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013F"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475E839C" w14:textId="77777777" w:rsidR="003D1442" w:rsidRPr="00565F75" w:rsidRDefault="00C00B89"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sidRPr="00565F75">
        <w:rPr>
          <w:rFonts w:ascii="Garamond" w:hAnsi="Garamond" w:cs="Sylfaen"/>
          <w:b/>
          <w:color w:val="1F497D" w:themeColor="text2"/>
          <w:spacing w:val="20"/>
          <w:w w:val="110"/>
          <w:szCs w:val="22"/>
        </w:rPr>
        <w:t>THE CENTRAL BANK OF THE REPUBLIC OF ARMENIA</w:t>
      </w:r>
    </w:p>
    <w:p w14:paraId="0FEBDA95"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Approved under the Central Bank Board Resolution No. </w:t>
      </w:r>
      <w:r w:rsidR="00216163">
        <w:rPr>
          <w:rFonts w:ascii="Garamond" w:hAnsi="Garamond" w:cs="Sylfaen"/>
          <w:b/>
          <w:i/>
          <w:color w:val="002060"/>
          <w:spacing w:val="4"/>
          <w:w w:val="110"/>
          <w:szCs w:val="22"/>
        </w:rPr>
        <w:t>147</w:t>
      </w:r>
      <w:r w:rsidRPr="00565F75">
        <w:rPr>
          <w:rFonts w:ascii="Garamond" w:hAnsi="Garamond" w:cs="Sylfaen"/>
          <w:b/>
          <w:i/>
          <w:color w:val="002060"/>
          <w:spacing w:val="4"/>
          <w:w w:val="110"/>
          <w:szCs w:val="22"/>
        </w:rPr>
        <w:t xml:space="preserve">A, dated </w:t>
      </w:r>
      <w:r w:rsidR="00216163">
        <w:rPr>
          <w:rFonts w:ascii="Garamond" w:hAnsi="Garamond" w:cs="Sylfaen"/>
          <w:b/>
          <w:i/>
          <w:color w:val="002060"/>
          <w:spacing w:val="4"/>
          <w:w w:val="110"/>
          <w:szCs w:val="22"/>
        </w:rPr>
        <w:t>August</w:t>
      </w:r>
      <w:r w:rsidRPr="00565F75">
        <w:rPr>
          <w:rFonts w:ascii="Garamond" w:hAnsi="Garamond" w:cs="Sylfaen"/>
          <w:b/>
          <w:i/>
          <w:color w:val="002060"/>
          <w:spacing w:val="4"/>
          <w:w w:val="110"/>
          <w:szCs w:val="22"/>
        </w:rPr>
        <w:t xml:space="preserve"> 2</w:t>
      </w:r>
      <w:r w:rsidR="00216163">
        <w:rPr>
          <w:rFonts w:ascii="Garamond" w:hAnsi="Garamond" w:cs="Sylfaen"/>
          <w:b/>
          <w:i/>
          <w:color w:val="002060"/>
          <w:spacing w:val="4"/>
          <w:w w:val="110"/>
          <w:szCs w:val="22"/>
        </w:rPr>
        <w:t>7</w:t>
      </w:r>
      <w:r w:rsidRPr="00565F75">
        <w:rPr>
          <w:rFonts w:ascii="Garamond" w:hAnsi="Garamond" w:cs="Sylfaen"/>
          <w:b/>
          <w:i/>
          <w:color w:val="002060"/>
          <w:spacing w:val="4"/>
          <w:w w:val="110"/>
          <w:szCs w:val="22"/>
        </w:rPr>
        <w:t>, 2018</w:t>
      </w:r>
    </w:p>
    <w:p w14:paraId="662D309C"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6EAED07F"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438193B2"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5D0BDB5E"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216163">
        <w:rPr>
          <w:rFonts w:ascii="Garamond" w:hAnsi="Garamond"/>
          <w:b/>
          <w:color w:val="1F497D" w:themeColor="text2"/>
          <w:szCs w:val="22"/>
        </w:rPr>
        <w:t>3</w:t>
      </w:r>
      <w:r w:rsidRPr="00565F75">
        <w:rPr>
          <w:rFonts w:ascii="Garamond" w:hAnsi="Garamond"/>
          <w:b/>
          <w:color w:val="1F497D" w:themeColor="text2"/>
          <w:szCs w:val="22"/>
        </w:rPr>
        <w:t>, 2018</w:t>
      </w:r>
    </w:p>
    <w:p w14:paraId="2AEB9ED5"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2C392A9F"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216163">
        <w:rPr>
          <w:rFonts w:ascii="Garamond" w:hAnsi="Garamond"/>
          <w:b/>
          <w:color w:val="1F497D" w:themeColor="text2"/>
          <w:szCs w:val="22"/>
        </w:rPr>
        <w:t>2</w:t>
      </w:r>
      <w:r w:rsidRPr="00565F75">
        <w:rPr>
          <w:rFonts w:ascii="Garamond" w:hAnsi="Garamond"/>
          <w:b/>
          <w:color w:val="1F497D" w:themeColor="text2"/>
          <w:szCs w:val="22"/>
        </w:rPr>
        <w:t>, 2018</w:t>
      </w:r>
    </w:p>
    <w:p w14:paraId="2824D60D"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283484B8"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inflation targeting strategy of the Central Bank of Armenia highlights the importance of communicating of the Bank to the general public by publishing, inter alia, quarterly inflation reports.</w:t>
      </w:r>
    </w:p>
    <w:p w14:paraId="01D45213"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495D6477"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second section includes status report on implementation of the monetary policy program of the previous quarter, which presents the results of monetary policy implementation and covers the actual developments in the domestic economy.</w:t>
      </w:r>
    </w:p>
    <w:p w14:paraId="1EE4009A"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2BF7D67C"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According to the rule of monetary policy, the policy is aimed at minimizing the deviations between the 4% target and the inflation forecasts. The path to inflation rate shaped as a result of projected policy directions is published as a forecast probability distribution chart for the 12-quarter time horizon.</w:t>
      </w:r>
    </w:p>
    <w:p w14:paraId="5DEC11E9"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 xml:space="preserve">Projections in this report are based on the actual information available by </w:t>
      </w:r>
      <w:r w:rsidR="00216163">
        <w:rPr>
          <w:rFonts w:ascii="Garamond" w:hAnsi="Garamond" w:cs="Sylfaen"/>
          <w:i/>
          <w:sz w:val="22"/>
          <w:szCs w:val="22"/>
        </w:rPr>
        <w:t>August</w:t>
      </w:r>
      <w:r w:rsidRPr="00EE5F0F">
        <w:rPr>
          <w:rFonts w:ascii="Garamond" w:hAnsi="Garamond" w:cs="Sylfaen"/>
          <w:i/>
          <w:sz w:val="22"/>
          <w:szCs w:val="22"/>
          <w:lang w:val="hy-AM"/>
        </w:rPr>
        <w:t xml:space="preserve"> 1</w:t>
      </w:r>
      <w:r w:rsidR="00216163">
        <w:rPr>
          <w:rFonts w:ascii="Garamond" w:hAnsi="Garamond" w:cs="Sylfaen"/>
          <w:i/>
          <w:sz w:val="22"/>
          <w:szCs w:val="22"/>
        </w:rPr>
        <w:t>4</w:t>
      </w:r>
      <w:r w:rsidRPr="00EE5F0F">
        <w:rPr>
          <w:rFonts w:ascii="Garamond" w:hAnsi="Garamond" w:cs="Sylfaen"/>
          <w:i/>
          <w:sz w:val="22"/>
          <w:szCs w:val="22"/>
          <w:lang w:val="hy-AM"/>
        </w:rPr>
        <w:t>, 2018, i.e. the day on which the refinancing rate was set, the results of a survey conducted by the Bank and the judgment made pursuant to the information on future developments of the macroeconomic environment.</w:t>
      </w:r>
    </w:p>
    <w:p w14:paraId="447800B2"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r w:rsidRPr="00EE5F0F">
        <w:rPr>
          <w:rFonts w:ascii="Garamond" w:hAnsi="Garamond" w:cs="Sylfaen"/>
          <w:i/>
          <w:sz w:val="22"/>
          <w:szCs w:val="22"/>
          <w:lang w:val="hy-AM"/>
        </w:rPr>
        <w:t>All inflation reports which have been published to date are available on the Bank’s website which also contains all press-releases and other monetary policy-related publications.</w:t>
      </w:r>
    </w:p>
    <w:p w14:paraId="4ABF7977"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2EA3AB0A"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57E56C2F"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5D1CA2CF" w14:textId="77777777" w:rsidTr="00525AE5">
        <w:tc>
          <w:tcPr>
            <w:tcW w:w="6345" w:type="dxa"/>
            <w:shd w:val="clear" w:color="auto" w:fill="D9D9D9"/>
          </w:tcPr>
          <w:p w14:paraId="177420D7"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t>Table of Contents</w:t>
            </w:r>
          </w:p>
        </w:tc>
      </w:tr>
    </w:tbl>
    <w:p w14:paraId="2E9EBCB6"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lang w:val="hy-AM" w:eastAsia="hy-AM"/>
        </w:rPr>
        <mc:AlternateContent>
          <mc:Choice Requires="wps">
            <w:drawing>
              <wp:anchor distT="0" distB="0" distL="114300" distR="114300" simplePos="0" relativeHeight="251661312" behindDoc="0" locked="0" layoutInCell="1" allowOverlap="1" wp14:anchorId="1AE889E1" wp14:editId="65FE4C4F">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327FA" w14:textId="77777777" w:rsidR="00196427" w:rsidRDefault="00196427"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E889E1"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615327FA" w14:textId="77777777" w:rsidR="00196427" w:rsidRDefault="00196427"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5CB002BB" w14:textId="77777777" w:rsidTr="00525AE5">
        <w:tc>
          <w:tcPr>
            <w:tcW w:w="5877" w:type="dxa"/>
            <w:shd w:val="pct20" w:color="000000" w:fill="FFFFFF"/>
          </w:tcPr>
          <w:p w14:paraId="1ABA5FF8"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7B007C5D"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471C6BAE" w14:textId="77777777" w:rsidTr="00525AE5">
        <w:tc>
          <w:tcPr>
            <w:tcW w:w="5877" w:type="dxa"/>
            <w:shd w:val="pct5" w:color="000000" w:fill="FFFFFF"/>
          </w:tcPr>
          <w:p w14:paraId="67659F04"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4092498D"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9E304C3" w14:textId="77777777" w:rsidTr="00525AE5">
        <w:tc>
          <w:tcPr>
            <w:tcW w:w="5877" w:type="dxa"/>
            <w:shd w:val="pct20" w:color="000000" w:fill="FFFFFF"/>
          </w:tcPr>
          <w:p w14:paraId="285BDAAA"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66E0672D"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7EC5FCC" w14:textId="77777777" w:rsidTr="00525AE5">
        <w:tc>
          <w:tcPr>
            <w:tcW w:w="5877" w:type="dxa"/>
            <w:shd w:val="pct20" w:color="000000" w:fill="FFFFFF"/>
          </w:tcPr>
          <w:p w14:paraId="253A7765"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4F032D4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6391B2D" w14:textId="77777777" w:rsidTr="00525AE5">
        <w:tc>
          <w:tcPr>
            <w:tcW w:w="5877" w:type="dxa"/>
            <w:shd w:val="pct5" w:color="000000" w:fill="FFFFFF"/>
          </w:tcPr>
          <w:p w14:paraId="5223E3A2"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45E0A57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3F32919" w14:textId="77777777" w:rsidTr="00525AE5">
        <w:tc>
          <w:tcPr>
            <w:tcW w:w="5877" w:type="dxa"/>
            <w:shd w:val="pct20" w:color="000000" w:fill="FFFFFF"/>
          </w:tcPr>
          <w:p w14:paraId="67D46FBA"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5BCF1F5D"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8F087C8" w14:textId="77777777" w:rsidTr="00525AE5">
        <w:tc>
          <w:tcPr>
            <w:tcW w:w="5877" w:type="dxa"/>
            <w:shd w:val="pct5" w:color="000000" w:fill="FFFFFF"/>
          </w:tcPr>
          <w:p w14:paraId="127C76A8" w14:textId="77777777" w:rsidR="007B1D1B" w:rsidRPr="00565F75" w:rsidRDefault="00216163" w:rsidP="009F526A">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Box 1: The </w:t>
            </w:r>
            <w:r>
              <w:rPr>
                <w:rFonts w:ascii="Garamond" w:hAnsi="Garamond" w:cs="Sylfaen"/>
                <w:i/>
                <w:color w:val="1F497D" w:themeColor="text2"/>
                <w:sz w:val="20"/>
                <w:szCs w:val="20"/>
              </w:rPr>
              <w:t>medium term state budget d</w:t>
            </w:r>
            <w:r w:rsidRPr="00216163">
              <w:rPr>
                <w:rFonts w:ascii="Garamond" w:hAnsi="Garamond" w:cs="Sylfaen"/>
                <w:i/>
                <w:color w:val="1F497D" w:themeColor="text2"/>
                <w:sz w:val="20"/>
                <w:szCs w:val="20"/>
              </w:rPr>
              <w:t xml:space="preserve">evelopments, </w:t>
            </w:r>
            <w:r w:rsidR="009F526A">
              <w:rPr>
                <w:rFonts w:ascii="Garamond" w:hAnsi="Garamond" w:cs="Sylfaen"/>
                <w:i/>
                <w:color w:val="1F497D" w:themeColor="text2"/>
                <w:sz w:val="20"/>
                <w:szCs w:val="20"/>
              </w:rPr>
              <w:t xml:space="preserve">by MTEF </w:t>
            </w:r>
            <w:r w:rsidRPr="00216163">
              <w:rPr>
                <w:rFonts w:ascii="Garamond" w:hAnsi="Garamond" w:cs="Sylfaen"/>
                <w:i/>
                <w:color w:val="1F497D" w:themeColor="text2"/>
                <w:sz w:val="20"/>
                <w:szCs w:val="20"/>
              </w:rPr>
              <w:t>2019-2021</w:t>
            </w:r>
            <w:r w:rsidR="009F526A">
              <w:rPr>
                <w:rFonts w:ascii="Garamond" w:hAnsi="Garamond" w:cs="Sylfaen"/>
                <w:color w:val="1F497D" w:themeColor="text2"/>
                <w:sz w:val="20"/>
                <w:szCs w:val="20"/>
              </w:rPr>
              <w:t>........</w:t>
            </w:r>
          </w:p>
        </w:tc>
        <w:tc>
          <w:tcPr>
            <w:tcW w:w="468" w:type="dxa"/>
            <w:shd w:val="pct5" w:color="000000" w:fill="FFFFFF"/>
            <w:vAlign w:val="bottom"/>
          </w:tcPr>
          <w:p w14:paraId="4BE0C4F3"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ABE7E90" w14:textId="77777777" w:rsidTr="00525AE5">
        <w:tc>
          <w:tcPr>
            <w:tcW w:w="5877" w:type="dxa"/>
            <w:shd w:val="pct20" w:color="000000" w:fill="FFFFFF"/>
          </w:tcPr>
          <w:p w14:paraId="0E95AD8B" w14:textId="77777777" w:rsidR="007B1D1B" w:rsidRPr="00565F75" w:rsidRDefault="009F526A"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20" w:color="000000" w:fill="FFFFFF"/>
            <w:vAlign w:val="bottom"/>
          </w:tcPr>
          <w:p w14:paraId="1F2F759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86E0388" w14:textId="77777777" w:rsidTr="00525AE5">
        <w:tc>
          <w:tcPr>
            <w:tcW w:w="5877" w:type="dxa"/>
            <w:shd w:val="pct20" w:color="000000" w:fill="FFFFFF"/>
          </w:tcPr>
          <w:p w14:paraId="790A454F" w14:textId="77777777" w:rsidR="007B1D1B" w:rsidRPr="00565F75" w:rsidRDefault="009F526A" w:rsidP="00525AE5">
            <w:pPr>
              <w:pStyle w:val="Heading5"/>
              <w:spacing w:before="50" w:after="50"/>
              <w:ind w:left="1204" w:right="-113" w:hanging="920"/>
              <w:rPr>
                <w:rFonts w:ascii="Garamond" w:hAnsi="Garamond"/>
                <w:b/>
                <w:iCs/>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1A11D03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A630AF7" w14:textId="77777777" w:rsidTr="00525AE5">
        <w:tc>
          <w:tcPr>
            <w:tcW w:w="5877" w:type="dxa"/>
            <w:shd w:val="pct5" w:color="000000" w:fill="FFFFFF"/>
          </w:tcPr>
          <w:p w14:paraId="6F8A56AA" w14:textId="77777777" w:rsidR="007B1D1B" w:rsidRPr="00565F75" w:rsidRDefault="009F526A" w:rsidP="009F526A">
            <w:pPr>
              <w:spacing w:before="50" w:after="50"/>
              <w:ind w:left="284" w:right="-113" w:hanging="284"/>
              <w:rPr>
                <w:rFonts w:ascii="Garamond" w:hAnsi="Garamond"/>
                <w:b/>
                <w:color w:val="1F497D" w:themeColor="text2"/>
                <w:sz w:val="20"/>
                <w:szCs w:val="20"/>
              </w:rPr>
            </w:pPr>
            <w:r w:rsidRPr="00565F75">
              <w:rPr>
                <w:rFonts w:ascii="Garamond" w:hAnsi="Garamond" w:cs="Sylfaen"/>
                <w:i/>
                <w:color w:val="1F497D" w:themeColor="text2"/>
                <w:sz w:val="20"/>
                <w:szCs w:val="20"/>
              </w:rPr>
              <w:t xml:space="preserve">Box </w:t>
            </w:r>
            <w:r>
              <w:rPr>
                <w:rFonts w:ascii="Garamond" w:hAnsi="Garamond" w:cs="Sylfaen"/>
                <w:i/>
                <w:color w:val="1F497D" w:themeColor="text2"/>
                <w:sz w:val="20"/>
                <w:szCs w:val="20"/>
              </w:rPr>
              <w:t>2</w:t>
            </w:r>
            <w:r w:rsidRPr="00565F75">
              <w:rPr>
                <w:rFonts w:ascii="Garamond" w:hAnsi="Garamond" w:cs="Sylfaen"/>
                <w:i/>
                <w:color w:val="1F497D" w:themeColor="text2"/>
                <w:sz w:val="20"/>
                <w:szCs w:val="20"/>
              </w:rPr>
              <w:t>: The results of survey on the expectations by the households and the financial system</w:t>
            </w:r>
            <w:r w:rsidRPr="00565F75">
              <w:rPr>
                <w:rFonts w:ascii="Garamond" w:hAnsi="Garamond" w:cs="Sylfaen"/>
                <w:color w:val="1F497D" w:themeColor="text2"/>
                <w:sz w:val="20"/>
                <w:szCs w:val="20"/>
              </w:rPr>
              <w:t>.....................................................</w:t>
            </w:r>
          </w:p>
        </w:tc>
        <w:tc>
          <w:tcPr>
            <w:tcW w:w="468" w:type="dxa"/>
            <w:shd w:val="pct5" w:color="000000" w:fill="FFFFFF"/>
            <w:vAlign w:val="bottom"/>
          </w:tcPr>
          <w:p w14:paraId="292BA4EE"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9F526A" w:rsidRPr="00565F75" w14:paraId="4D801903" w14:textId="77777777" w:rsidTr="00525AE5">
        <w:tc>
          <w:tcPr>
            <w:tcW w:w="5877" w:type="dxa"/>
            <w:shd w:val="clear" w:color="auto" w:fill="CCCCCC"/>
          </w:tcPr>
          <w:p w14:paraId="14A86AAB" w14:textId="77777777" w:rsidR="009F526A" w:rsidRPr="00565F75" w:rsidRDefault="009F526A" w:rsidP="009F526A">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3. Actual developments in Q</w:t>
            </w:r>
            <w:r>
              <w:rPr>
                <w:rFonts w:ascii="Garamond" w:hAnsi="Garamond"/>
                <w:b/>
                <w:color w:val="1F497D" w:themeColor="text2"/>
                <w:sz w:val="20"/>
                <w:szCs w:val="20"/>
              </w:rPr>
              <w:t>2</w:t>
            </w:r>
            <w:r w:rsidRPr="00565F75">
              <w:rPr>
                <w:rFonts w:ascii="Garamond" w:hAnsi="Garamond"/>
                <w:b/>
                <w:color w:val="1F497D" w:themeColor="text2"/>
                <w:sz w:val="20"/>
                <w:szCs w:val="20"/>
              </w:rPr>
              <w:t>, 2018</w:t>
            </w:r>
            <w:r w:rsidRPr="00565F75">
              <w:rPr>
                <w:rFonts w:ascii="Garamond" w:hAnsi="Garamond"/>
                <w:bCs/>
                <w:color w:val="1F497D" w:themeColor="text2"/>
                <w:sz w:val="20"/>
                <w:szCs w:val="20"/>
              </w:rPr>
              <w:t>........................................................</w:t>
            </w:r>
          </w:p>
        </w:tc>
        <w:tc>
          <w:tcPr>
            <w:tcW w:w="468" w:type="dxa"/>
            <w:shd w:val="pct20" w:color="000000" w:fill="FFFFFF"/>
            <w:vAlign w:val="bottom"/>
          </w:tcPr>
          <w:p w14:paraId="1C10D9CC"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1AD25C46" w14:textId="77777777" w:rsidTr="00525AE5">
        <w:tc>
          <w:tcPr>
            <w:tcW w:w="5877" w:type="dxa"/>
            <w:shd w:val="pct5" w:color="000000" w:fill="FFFFFF"/>
          </w:tcPr>
          <w:p w14:paraId="464C60E1" w14:textId="77777777" w:rsidR="009F526A" w:rsidRPr="00565F75" w:rsidRDefault="009F526A" w:rsidP="003417FE">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5" w:color="000000" w:fill="FFFFFF"/>
            <w:vAlign w:val="bottom"/>
          </w:tcPr>
          <w:p w14:paraId="7B2D7AF1"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0070278C" w14:textId="77777777" w:rsidTr="00525AE5">
        <w:tc>
          <w:tcPr>
            <w:tcW w:w="5877" w:type="dxa"/>
            <w:shd w:val="clear" w:color="auto" w:fill="CCCCCC"/>
          </w:tcPr>
          <w:p w14:paraId="132AB27D"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20" w:color="000000" w:fill="FFFFFF"/>
            <w:vAlign w:val="bottom"/>
          </w:tcPr>
          <w:p w14:paraId="680E1CB5"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67C4E84E" w14:textId="77777777" w:rsidTr="00525AE5">
        <w:tc>
          <w:tcPr>
            <w:tcW w:w="5877" w:type="dxa"/>
            <w:shd w:val="pct20" w:color="000000" w:fill="FFFFFF"/>
          </w:tcPr>
          <w:p w14:paraId="69A9C687"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31320A61"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7601A720" w14:textId="77777777" w:rsidTr="00525AE5">
        <w:tc>
          <w:tcPr>
            <w:tcW w:w="5877" w:type="dxa"/>
            <w:shd w:val="pct5" w:color="000000" w:fill="FFFFFF"/>
          </w:tcPr>
          <w:p w14:paraId="0810D39A" w14:textId="77777777" w:rsidR="009F526A" w:rsidRPr="00565F75" w:rsidRDefault="009F526A" w:rsidP="003417FE">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5" w:color="000000" w:fill="FFFFFF"/>
            <w:vAlign w:val="bottom"/>
          </w:tcPr>
          <w:p w14:paraId="08927791"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56776BC2" w14:textId="77777777" w:rsidTr="00525AE5">
        <w:tc>
          <w:tcPr>
            <w:tcW w:w="5877" w:type="dxa"/>
            <w:shd w:val="pct20" w:color="000000" w:fill="FFFFFF"/>
          </w:tcPr>
          <w:p w14:paraId="38757255"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20" w:color="000000" w:fill="FFFFFF"/>
            <w:vAlign w:val="bottom"/>
          </w:tcPr>
          <w:p w14:paraId="0CAFFC87"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0C1FD042" w14:textId="77777777" w:rsidTr="00525AE5">
        <w:tc>
          <w:tcPr>
            <w:tcW w:w="5877" w:type="dxa"/>
            <w:shd w:val="pct5" w:color="000000" w:fill="FFFFFF"/>
          </w:tcPr>
          <w:p w14:paraId="3E6DCB77"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p>
        </w:tc>
        <w:tc>
          <w:tcPr>
            <w:tcW w:w="468" w:type="dxa"/>
            <w:shd w:val="pct5" w:color="000000" w:fill="FFFFFF"/>
            <w:vAlign w:val="bottom"/>
          </w:tcPr>
          <w:p w14:paraId="152373D8"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1D2B30CF" w14:textId="77777777" w:rsidTr="00525AE5">
        <w:tc>
          <w:tcPr>
            <w:tcW w:w="5877" w:type="dxa"/>
            <w:shd w:val="pct20" w:color="000000" w:fill="FFFFFF"/>
          </w:tcPr>
          <w:p w14:paraId="3B851C97"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20" w:color="000000" w:fill="FFFFFF"/>
            <w:vAlign w:val="bottom"/>
          </w:tcPr>
          <w:p w14:paraId="7CA69190"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0386C5F7" w14:textId="77777777" w:rsidTr="00525AE5">
        <w:tc>
          <w:tcPr>
            <w:tcW w:w="5877" w:type="dxa"/>
            <w:shd w:val="pct5" w:color="000000" w:fill="FFFFFF"/>
          </w:tcPr>
          <w:p w14:paraId="1CFC3378" w14:textId="77777777" w:rsidR="009F526A" w:rsidRPr="00565F75" w:rsidRDefault="009F526A" w:rsidP="003417FE">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5" w:color="000000" w:fill="FFFFFF"/>
            <w:vAlign w:val="bottom"/>
          </w:tcPr>
          <w:p w14:paraId="124F33E6"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2CC84BB2" w14:textId="77777777" w:rsidTr="00525AE5">
        <w:tc>
          <w:tcPr>
            <w:tcW w:w="5877" w:type="dxa"/>
            <w:shd w:val="pct20" w:color="000000" w:fill="FFFFFF"/>
          </w:tcPr>
          <w:p w14:paraId="64654C2D" w14:textId="77777777" w:rsidR="009F526A" w:rsidRPr="00565F75" w:rsidRDefault="009F526A" w:rsidP="003417FE">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20" w:color="000000" w:fill="FFFFFF"/>
            <w:vAlign w:val="bottom"/>
          </w:tcPr>
          <w:p w14:paraId="1D284413"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3658941D" w14:textId="77777777" w:rsidTr="00525AE5">
        <w:tc>
          <w:tcPr>
            <w:tcW w:w="5877" w:type="dxa"/>
            <w:shd w:val="pct20" w:color="000000" w:fill="FFFFFF"/>
          </w:tcPr>
          <w:p w14:paraId="1B0CA762" w14:textId="77777777" w:rsidR="009F526A" w:rsidRPr="00565F75" w:rsidRDefault="009F526A" w:rsidP="009F526A">
            <w:pPr>
              <w:spacing w:before="50" w:after="50"/>
              <w:ind w:left="284" w:right="-113"/>
              <w:rPr>
                <w:rFonts w:ascii="Garamond" w:hAnsi="Garamond"/>
                <w:b/>
                <w:color w:val="1F497D" w:themeColor="text2"/>
                <w:sz w:val="20"/>
                <w:szCs w:val="20"/>
              </w:rPr>
            </w:pPr>
            <w:r>
              <w:rPr>
                <w:rFonts w:ascii="Garamond" w:hAnsi="Garamond" w:cs="Sylfaen"/>
                <w:bCs/>
                <w:i/>
                <w:color w:val="1F497D" w:themeColor="text2"/>
                <w:sz w:val="20"/>
                <w:szCs w:val="20"/>
              </w:rPr>
              <w:t>Box 3</w:t>
            </w:r>
            <w:r w:rsidRPr="00565F75">
              <w:rPr>
                <w:rFonts w:ascii="Garamond" w:hAnsi="Garamond" w:cs="Sylfaen"/>
                <w:bCs/>
                <w:i/>
                <w:color w:val="1F497D" w:themeColor="text2"/>
                <w:sz w:val="20"/>
                <w:szCs w:val="20"/>
              </w:rPr>
              <w:t>:</w:t>
            </w:r>
            <w:r>
              <w:rPr>
                <w:rFonts w:ascii="Garamond" w:hAnsi="Garamond" w:cs="Sylfaen"/>
                <w:bCs/>
                <w:i/>
                <w:color w:val="1F497D" w:themeColor="text2"/>
                <w:sz w:val="20"/>
                <w:szCs w:val="20"/>
              </w:rPr>
              <w:t xml:space="preserve"> Th</w:t>
            </w:r>
            <w:r w:rsidRPr="009F526A">
              <w:rPr>
                <w:rFonts w:ascii="Garamond" w:hAnsi="Garamond" w:cs="Sylfaen"/>
                <w:bCs/>
                <w:i/>
                <w:color w:val="1F497D" w:themeColor="text2"/>
                <w:sz w:val="20"/>
                <w:szCs w:val="20"/>
              </w:rPr>
              <w:t>e impact of the political events in the second quarter on the Armenian financial market</w:t>
            </w:r>
            <w:r>
              <w:rPr>
                <w:rFonts w:ascii="Garamond" w:hAnsi="Garamond" w:cs="Sylfaen"/>
                <w:bCs/>
                <w:i/>
                <w:color w:val="1F497D" w:themeColor="text2"/>
                <w:sz w:val="20"/>
                <w:szCs w:val="20"/>
              </w:rPr>
              <w:t>,</w:t>
            </w:r>
            <w:r w:rsidRPr="009F526A">
              <w:rPr>
                <w:rFonts w:ascii="Garamond" w:hAnsi="Garamond" w:cs="Sylfaen"/>
                <w:bCs/>
                <w:i/>
                <w:color w:val="1F497D" w:themeColor="text2"/>
                <w:sz w:val="20"/>
                <w:szCs w:val="20"/>
              </w:rPr>
              <w:t xml:space="preserve"> and </w:t>
            </w:r>
            <w:r>
              <w:rPr>
                <w:rFonts w:ascii="Garamond" w:hAnsi="Garamond" w:cs="Sylfaen"/>
                <w:bCs/>
                <w:i/>
                <w:color w:val="1F497D" w:themeColor="text2"/>
                <w:sz w:val="20"/>
                <w:szCs w:val="20"/>
              </w:rPr>
              <w:t xml:space="preserve">the </w:t>
            </w:r>
            <w:r w:rsidRPr="009F526A">
              <w:rPr>
                <w:rFonts w:ascii="Garamond" w:hAnsi="Garamond" w:cs="Sylfaen"/>
                <w:bCs/>
                <w:i/>
                <w:color w:val="1F497D" w:themeColor="text2"/>
                <w:sz w:val="20"/>
                <w:szCs w:val="20"/>
              </w:rPr>
              <w:t>C</w:t>
            </w:r>
            <w:r>
              <w:rPr>
                <w:rFonts w:ascii="Garamond" w:hAnsi="Garamond" w:cs="Sylfaen"/>
                <w:bCs/>
                <w:i/>
                <w:color w:val="1F497D" w:themeColor="text2"/>
                <w:sz w:val="20"/>
                <w:szCs w:val="20"/>
              </w:rPr>
              <w:t xml:space="preserve">entral </w:t>
            </w:r>
            <w:r w:rsidRPr="009F526A">
              <w:rPr>
                <w:rFonts w:ascii="Garamond" w:hAnsi="Garamond" w:cs="Sylfaen"/>
                <w:bCs/>
                <w:i/>
                <w:color w:val="1F497D" w:themeColor="text2"/>
                <w:sz w:val="20"/>
                <w:szCs w:val="20"/>
              </w:rPr>
              <w:t>B</w:t>
            </w:r>
            <w:r>
              <w:rPr>
                <w:rFonts w:ascii="Garamond" w:hAnsi="Garamond" w:cs="Sylfaen"/>
                <w:bCs/>
                <w:i/>
                <w:color w:val="1F497D" w:themeColor="text2"/>
                <w:sz w:val="20"/>
                <w:szCs w:val="20"/>
              </w:rPr>
              <w:t>ank</w:t>
            </w:r>
            <w:r w:rsidRPr="009F526A">
              <w:rPr>
                <w:rFonts w:ascii="Garamond" w:hAnsi="Garamond" w:cs="Sylfaen"/>
                <w:bCs/>
                <w:i/>
                <w:color w:val="1F497D" w:themeColor="text2"/>
                <w:sz w:val="20"/>
                <w:szCs w:val="20"/>
              </w:rPr>
              <w:t xml:space="preserve"> </w:t>
            </w:r>
            <w:r>
              <w:rPr>
                <w:rFonts w:ascii="Garamond" w:hAnsi="Garamond" w:cs="Sylfaen"/>
                <w:bCs/>
                <w:i/>
                <w:color w:val="1F497D" w:themeColor="text2"/>
                <w:sz w:val="20"/>
                <w:szCs w:val="20"/>
              </w:rPr>
              <w:t>action</w:t>
            </w:r>
            <w:r w:rsidRPr="009F526A">
              <w:rPr>
                <w:rFonts w:ascii="Garamond" w:hAnsi="Garamond" w:cs="Sylfaen"/>
                <w:bCs/>
                <w:i/>
                <w:color w:val="1F497D" w:themeColor="text2"/>
                <w:sz w:val="20"/>
                <w:szCs w:val="20"/>
              </w:rPr>
              <w:t xml:space="preserve"> </w:t>
            </w:r>
            <w:r w:rsidRPr="00565F75">
              <w:rPr>
                <w:rFonts w:ascii="Garamond" w:hAnsi="Garamond" w:cs="Sylfaen"/>
                <w:color w:val="1F497D" w:themeColor="text2"/>
                <w:sz w:val="20"/>
                <w:szCs w:val="20"/>
              </w:rPr>
              <w:t>………</w:t>
            </w:r>
            <w:r w:rsidRPr="00565F75">
              <w:rPr>
                <w:rFonts w:ascii="Garamond" w:hAnsi="Garamond"/>
                <w:bCs/>
                <w:color w:val="1F497D" w:themeColor="text2"/>
                <w:sz w:val="20"/>
                <w:szCs w:val="20"/>
              </w:rPr>
              <w:t>............................</w:t>
            </w:r>
          </w:p>
        </w:tc>
        <w:tc>
          <w:tcPr>
            <w:tcW w:w="468" w:type="dxa"/>
            <w:shd w:val="pct20" w:color="000000" w:fill="FFFFFF"/>
            <w:vAlign w:val="bottom"/>
          </w:tcPr>
          <w:p w14:paraId="4F7E2B86"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1752791E" w14:textId="77777777" w:rsidTr="00525AE5">
        <w:tc>
          <w:tcPr>
            <w:tcW w:w="5877" w:type="dxa"/>
            <w:shd w:val="pct5" w:color="000000" w:fill="FFFFFF"/>
          </w:tcPr>
          <w:p w14:paraId="7F36ED9B" w14:textId="77777777" w:rsidR="009F526A" w:rsidRPr="00565F75" w:rsidRDefault="009F526A" w:rsidP="003417FE">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Annex</w:t>
            </w:r>
          </w:p>
        </w:tc>
        <w:tc>
          <w:tcPr>
            <w:tcW w:w="468" w:type="dxa"/>
            <w:shd w:val="pct5" w:color="000000" w:fill="FFFFFF"/>
            <w:vAlign w:val="bottom"/>
          </w:tcPr>
          <w:p w14:paraId="794641AD"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3042B1EC" w14:textId="77777777" w:rsidTr="00525AE5">
        <w:tc>
          <w:tcPr>
            <w:tcW w:w="5877" w:type="dxa"/>
            <w:shd w:val="pct20" w:color="000000" w:fill="FFFFFF"/>
          </w:tcPr>
          <w:p w14:paraId="51FD43B2"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20" w:color="000000" w:fill="FFFFFF"/>
            <w:vAlign w:val="bottom"/>
          </w:tcPr>
          <w:p w14:paraId="7C1AEEA9"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26291D68" w14:textId="77777777" w:rsidTr="00525AE5">
        <w:tc>
          <w:tcPr>
            <w:tcW w:w="5877" w:type="dxa"/>
            <w:shd w:val="pct5" w:color="000000" w:fill="FFFFFF"/>
          </w:tcPr>
          <w:p w14:paraId="09B06D33"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68" w:type="dxa"/>
            <w:shd w:val="pct5" w:color="000000" w:fill="FFFFFF"/>
            <w:vAlign w:val="bottom"/>
          </w:tcPr>
          <w:p w14:paraId="5059F56C"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296B1A49" w14:textId="77777777" w:rsidTr="00525AE5">
        <w:tc>
          <w:tcPr>
            <w:tcW w:w="5877" w:type="dxa"/>
            <w:shd w:val="pct20" w:color="000000" w:fill="FFFFFF"/>
          </w:tcPr>
          <w:p w14:paraId="1259EB36"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20" w:color="000000" w:fill="FFFFFF"/>
            <w:vAlign w:val="bottom"/>
          </w:tcPr>
          <w:p w14:paraId="1EA13496"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28CD1BF4" w14:textId="77777777" w:rsidTr="00525AE5">
        <w:tc>
          <w:tcPr>
            <w:tcW w:w="5877" w:type="dxa"/>
            <w:shd w:val="pct5" w:color="000000" w:fill="FFFFFF"/>
          </w:tcPr>
          <w:p w14:paraId="0CDC3A6A"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5" w:color="000000" w:fill="FFFFFF"/>
            <w:vAlign w:val="bottom"/>
          </w:tcPr>
          <w:p w14:paraId="77B9AA74"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77FF047F" w14:textId="77777777" w:rsidTr="00525AE5">
        <w:tc>
          <w:tcPr>
            <w:tcW w:w="5877" w:type="dxa"/>
            <w:shd w:val="pct20" w:color="000000" w:fill="FFFFFF"/>
          </w:tcPr>
          <w:p w14:paraId="5FB62433"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20" w:color="000000" w:fill="FFFFFF"/>
            <w:vAlign w:val="bottom"/>
          </w:tcPr>
          <w:p w14:paraId="69979A15"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r w:rsidR="009F526A" w:rsidRPr="00565F75" w14:paraId="466D4672" w14:textId="77777777" w:rsidTr="00525AE5">
        <w:tc>
          <w:tcPr>
            <w:tcW w:w="5877" w:type="dxa"/>
            <w:shd w:val="pct20" w:color="000000" w:fill="FFFFFF"/>
          </w:tcPr>
          <w:p w14:paraId="0D5C796C" w14:textId="77777777" w:rsidR="009F526A" w:rsidRPr="00565F75" w:rsidRDefault="009F526A" w:rsidP="003417FE">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2FAACC53" w14:textId="77777777" w:rsidR="009F526A" w:rsidRPr="00565F75" w:rsidRDefault="009F526A" w:rsidP="00525AE5">
            <w:pPr>
              <w:spacing w:before="50" w:after="50"/>
              <w:ind w:hanging="284"/>
              <w:jc w:val="right"/>
              <w:rPr>
                <w:rFonts w:ascii="Garamond" w:hAnsi="Garamond"/>
                <w:b/>
                <w:bCs/>
                <w:color w:val="1F497D" w:themeColor="text2"/>
                <w:sz w:val="20"/>
                <w:szCs w:val="20"/>
              </w:rPr>
            </w:pPr>
          </w:p>
        </w:tc>
      </w:tr>
    </w:tbl>
    <w:p w14:paraId="69346964"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1ABC0356"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39D8C432"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4BEB96B8"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2801E18B"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1. EXECUTIVE SUMMARY</w:t>
      </w:r>
    </w:p>
    <w:p w14:paraId="6B365D06" w14:textId="77777777" w:rsidR="00EE619D" w:rsidRDefault="00774E83"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w:t>
      </w:r>
      <w:r w:rsidRPr="00EE5F0F">
        <w:rPr>
          <w:rFonts w:ascii="Garamond" w:hAnsi="Garamond"/>
          <w:b/>
          <w:sz w:val="22"/>
          <w:szCs w:val="22"/>
        </w:rPr>
        <w:t xml:space="preserve">n the </w:t>
      </w:r>
      <w:r>
        <w:rPr>
          <w:rFonts w:ascii="Garamond" w:hAnsi="Garamond"/>
          <w:b/>
          <w:sz w:val="22"/>
          <w:szCs w:val="22"/>
        </w:rPr>
        <w:t>second quarter of 2018 i</w:t>
      </w:r>
      <w:r w:rsidR="001830A1" w:rsidRPr="00EE5F0F">
        <w:rPr>
          <w:rFonts w:ascii="Garamond" w:hAnsi="Garamond"/>
          <w:b/>
          <w:sz w:val="22"/>
          <w:szCs w:val="22"/>
        </w:rPr>
        <w:t xml:space="preserve">nflation </w:t>
      </w:r>
      <w:r w:rsidR="003720FB" w:rsidRPr="00EE5F0F">
        <w:rPr>
          <w:rFonts w:ascii="Garamond" w:hAnsi="Garamond"/>
          <w:b/>
          <w:sz w:val="22"/>
          <w:szCs w:val="22"/>
        </w:rPr>
        <w:t>slowed down to a certain extent</w:t>
      </w:r>
      <w:r w:rsidR="003720FB">
        <w:rPr>
          <w:rFonts w:ascii="Garamond" w:hAnsi="Garamond"/>
          <w:b/>
          <w:sz w:val="22"/>
          <w:szCs w:val="22"/>
        </w:rPr>
        <w:t xml:space="preserve">, </w:t>
      </w:r>
      <w:r w:rsidR="001830A1" w:rsidRPr="00EE5F0F">
        <w:rPr>
          <w:rFonts w:ascii="Garamond" w:hAnsi="Garamond"/>
          <w:b/>
          <w:sz w:val="22"/>
          <w:szCs w:val="22"/>
        </w:rPr>
        <w:t xml:space="preserve">driven by the fall in prices of seasonal products. However, </w:t>
      </w:r>
      <w:r>
        <w:rPr>
          <w:rFonts w:ascii="Garamond" w:hAnsi="Garamond"/>
          <w:b/>
          <w:sz w:val="22"/>
          <w:szCs w:val="22"/>
        </w:rPr>
        <w:t xml:space="preserve">under current monetary policy, </w:t>
      </w:r>
      <w:r w:rsidRPr="00774E83">
        <w:rPr>
          <w:rFonts w:ascii="Garamond" w:hAnsi="Garamond"/>
          <w:b/>
          <w:sz w:val="22"/>
          <w:szCs w:val="22"/>
        </w:rPr>
        <w:t xml:space="preserve">the 12-month inflation </w:t>
      </w:r>
      <w:r>
        <w:rPr>
          <w:rFonts w:ascii="Garamond" w:hAnsi="Garamond"/>
          <w:b/>
          <w:sz w:val="22"/>
          <w:szCs w:val="22"/>
        </w:rPr>
        <w:t>rate is expected to increase over the second half of the year</w:t>
      </w:r>
      <w:r w:rsidRPr="00774E83">
        <w:rPr>
          <w:rFonts w:ascii="Garamond" w:hAnsi="Garamond"/>
          <w:b/>
          <w:sz w:val="22"/>
          <w:szCs w:val="22"/>
        </w:rPr>
        <w:t xml:space="preserve">, remaining within the </w:t>
      </w:r>
      <w:r w:rsidR="001830A1" w:rsidRPr="00EE5F0F">
        <w:rPr>
          <w:rFonts w:ascii="Garamond" w:hAnsi="Garamond"/>
          <w:b/>
          <w:sz w:val="22"/>
          <w:szCs w:val="22"/>
        </w:rPr>
        <w:t xml:space="preserve">confidence band; in the forecast horizon it will stabilize around the </w:t>
      </w:r>
      <w:r>
        <w:rPr>
          <w:rFonts w:ascii="Garamond" w:hAnsi="Garamond"/>
          <w:b/>
          <w:sz w:val="22"/>
          <w:szCs w:val="22"/>
        </w:rPr>
        <w:t xml:space="preserve">4% </w:t>
      </w:r>
      <w:r w:rsidR="001830A1" w:rsidRPr="00EE5F0F">
        <w:rPr>
          <w:rFonts w:ascii="Garamond" w:hAnsi="Garamond"/>
          <w:b/>
          <w:sz w:val="22"/>
          <w:szCs w:val="22"/>
        </w:rPr>
        <w:t>target.</w:t>
      </w:r>
      <w:r w:rsidR="00463534"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AB24C1" w:rsidRPr="00AB24C1" w14:paraId="2D6E505B" w14:textId="77777777" w:rsidTr="000A0192">
        <w:tc>
          <w:tcPr>
            <w:tcW w:w="6204" w:type="dxa"/>
          </w:tcPr>
          <w:p w14:paraId="1F9B8C9E" w14:textId="77777777" w:rsidR="000A0192" w:rsidRPr="00AB24C1" w:rsidRDefault="000A0192" w:rsidP="000A0192">
            <w:pPr>
              <w:autoSpaceDE w:val="0"/>
              <w:autoSpaceDN w:val="0"/>
              <w:adjustRightInd w:val="0"/>
              <w:spacing w:after="120" w:line="360" w:lineRule="auto"/>
              <w:jc w:val="both"/>
              <w:rPr>
                <w:rFonts w:ascii="Garamond" w:hAnsi="Garamond"/>
                <w:color w:val="0070C0"/>
                <w:sz w:val="20"/>
                <w:szCs w:val="20"/>
              </w:rPr>
            </w:pPr>
            <w:r w:rsidRPr="00AB24C1">
              <w:rPr>
                <w:rFonts w:ascii="Garamond" w:hAnsi="Garamond"/>
                <w:color w:val="0070C0"/>
                <w:sz w:val="20"/>
                <w:szCs w:val="20"/>
              </w:rPr>
              <w:t>In the second quarter of 2018, inflation has somewhat slowed down due to the fall in seasonal product prices. It is expected that the 12-month inflation will increase in the second half of 2018, remaining within the confidence band, and it will stabilize around the 4% target in the forecast horizon.</w:t>
            </w:r>
          </w:p>
        </w:tc>
      </w:tr>
    </w:tbl>
    <w:p w14:paraId="7C0D8D6B" w14:textId="77777777" w:rsidR="00AB24C1" w:rsidRDefault="00AB24C1" w:rsidP="00EE619D">
      <w:pPr>
        <w:autoSpaceDE w:val="0"/>
        <w:autoSpaceDN w:val="0"/>
        <w:adjustRightInd w:val="0"/>
        <w:spacing w:after="120" w:line="360" w:lineRule="auto"/>
        <w:jc w:val="both"/>
        <w:rPr>
          <w:rFonts w:ascii="Garamond" w:hAnsi="Garamond"/>
          <w:sz w:val="22"/>
          <w:szCs w:val="22"/>
        </w:rPr>
      </w:pPr>
    </w:p>
    <w:p w14:paraId="2EF74453" w14:textId="77777777" w:rsidR="00BF11F1"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Positive developments in the macroeconomic environment </w:t>
      </w:r>
      <w:r w:rsidR="00352C8E">
        <w:rPr>
          <w:rFonts w:ascii="Garamond" w:hAnsi="Garamond"/>
          <w:sz w:val="22"/>
          <w:szCs w:val="22"/>
        </w:rPr>
        <w:t xml:space="preserve">carrying on </w:t>
      </w:r>
      <w:r w:rsidRPr="00EE5F0F">
        <w:rPr>
          <w:rFonts w:ascii="Garamond" w:hAnsi="Garamond"/>
          <w:sz w:val="22"/>
          <w:szCs w:val="22"/>
        </w:rPr>
        <w:t xml:space="preserve">in the short run will largely </w:t>
      </w:r>
      <w:r w:rsidR="00463534" w:rsidRPr="00EE5F0F">
        <w:rPr>
          <w:rFonts w:ascii="Garamond" w:hAnsi="Garamond"/>
          <w:sz w:val="22"/>
          <w:szCs w:val="22"/>
        </w:rPr>
        <w:t>facilitate</w:t>
      </w:r>
      <w:r w:rsidRPr="00EE5F0F">
        <w:rPr>
          <w:rFonts w:ascii="Garamond" w:hAnsi="Garamond"/>
          <w:sz w:val="22"/>
          <w:szCs w:val="22"/>
        </w:rPr>
        <w:t xml:space="preserve"> the </w:t>
      </w:r>
      <w:r w:rsidR="00463534" w:rsidRPr="00EE5F0F">
        <w:rPr>
          <w:rFonts w:ascii="Garamond" w:hAnsi="Garamond"/>
          <w:sz w:val="22"/>
          <w:szCs w:val="22"/>
        </w:rPr>
        <w:t>fulfilment of t</w:t>
      </w:r>
      <w:r w:rsidRPr="00EE5F0F">
        <w:rPr>
          <w:rFonts w:ascii="Garamond" w:hAnsi="Garamond"/>
          <w:sz w:val="22"/>
          <w:szCs w:val="22"/>
        </w:rPr>
        <w:t xml:space="preserve">he 12-month inflation </w:t>
      </w:r>
      <w:r w:rsidR="00463534" w:rsidRPr="00EE5F0F">
        <w:rPr>
          <w:rFonts w:ascii="Garamond" w:hAnsi="Garamond"/>
          <w:sz w:val="22"/>
          <w:szCs w:val="22"/>
        </w:rPr>
        <w:t>target</w:t>
      </w:r>
      <w:r w:rsidRPr="00EE5F0F">
        <w:rPr>
          <w:rFonts w:ascii="Garamond" w:hAnsi="Garamond"/>
          <w:sz w:val="22"/>
          <w:szCs w:val="22"/>
        </w:rPr>
        <w:t xml:space="preserve">, owing to </w:t>
      </w:r>
      <w:r w:rsidR="00352C8E">
        <w:rPr>
          <w:rFonts w:ascii="Garamond" w:hAnsi="Garamond"/>
          <w:sz w:val="22"/>
          <w:szCs w:val="22"/>
        </w:rPr>
        <w:t xml:space="preserve">the effect </w:t>
      </w:r>
      <w:r w:rsidRPr="00EE5F0F">
        <w:rPr>
          <w:rFonts w:ascii="Garamond" w:hAnsi="Garamond"/>
          <w:sz w:val="22"/>
          <w:szCs w:val="22"/>
        </w:rPr>
        <w:t xml:space="preserve">of </w:t>
      </w:r>
      <w:r w:rsidR="00352C8E">
        <w:rPr>
          <w:rFonts w:ascii="Garamond" w:hAnsi="Garamond"/>
          <w:sz w:val="22"/>
          <w:szCs w:val="22"/>
        </w:rPr>
        <w:t xml:space="preserve">persisting </w:t>
      </w:r>
      <w:r w:rsidRPr="00EE5F0F">
        <w:rPr>
          <w:rFonts w:ascii="Garamond" w:hAnsi="Garamond"/>
          <w:sz w:val="22"/>
          <w:szCs w:val="22"/>
        </w:rPr>
        <w:t xml:space="preserve">expansionary monetary policy and </w:t>
      </w:r>
      <w:r w:rsidR="00352C8E">
        <w:rPr>
          <w:rFonts w:ascii="Garamond" w:hAnsi="Garamond"/>
          <w:sz w:val="22"/>
          <w:szCs w:val="22"/>
        </w:rPr>
        <w:t>relatively high economic activity,</w:t>
      </w:r>
      <w:r w:rsidR="00352C8E" w:rsidRPr="00352C8E">
        <w:t xml:space="preserve"> </w:t>
      </w:r>
      <w:r w:rsidR="00352C8E" w:rsidRPr="00352C8E">
        <w:rPr>
          <w:rFonts w:ascii="Garamond" w:hAnsi="Garamond"/>
          <w:sz w:val="22"/>
          <w:szCs w:val="22"/>
        </w:rPr>
        <w:t>although domestic demand and i</w:t>
      </w:r>
      <w:r w:rsidR="00352C8E">
        <w:rPr>
          <w:rFonts w:ascii="Garamond" w:hAnsi="Garamond"/>
          <w:sz w:val="22"/>
          <w:szCs w:val="22"/>
        </w:rPr>
        <w:t xml:space="preserve">nflation in the external sector </w:t>
      </w:r>
      <w:r w:rsidR="00352C8E" w:rsidRPr="00352C8E">
        <w:rPr>
          <w:rFonts w:ascii="Garamond" w:hAnsi="Garamond"/>
          <w:sz w:val="22"/>
          <w:szCs w:val="22"/>
        </w:rPr>
        <w:t>weaken</w:t>
      </w:r>
      <w:r w:rsidR="00352C8E">
        <w:rPr>
          <w:rFonts w:ascii="Garamond" w:hAnsi="Garamond"/>
          <w:sz w:val="22"/>
          <w:szCs w:val="22"/>
        </w:rPr>
        <w:t xml:space="preserve">ed to some extent. </w:t>
      </w:r>
      <w:r w:rsidR="002A7A3F">
        <w:rPr>
          <w:rFonts w:ascii="Garamond" w:hAnsi="Garamond"/>
          <w:sz w:val="22"/>
          <w:szCs w:val="22"/>
        </w:rPr>
        <w:t>The i</w:t>
      </w:r>
      <w:r w:rsidR="002A7A3F" w:rsidRPr="002A7A3F">
        <w:rPr>
          <w:rFonts w:ascii="Garamond" w:hAnsi="Garamond"/>
          <w:sz w:val="22"/>
          <w:szCs w:val="22"/>
        </w:rPr>
        <w:t xml:space="preserve">nflation environment </w:t>
      </w:r>
      <w:r w:rsidR="002A7A3F">
        <w:rPr>
          <w:rFonts w:ascii="Garamond" w:hAnsi="Garamond"/>
          <w:sz w:val="22"/>
          <w:szCs w:val="22"/>
        </w:rPr>
        <w:t>remained low i</w:t>
      </w:r>
      <w:r w:rsidR="002A7A3F" w:rsidRPr="002A7A3F">
        <w:rPr>
          <w:rFonts w:ascii="Garamond" w:hAnsi="Garamond"/>
          <w:sz w:val="22"/>
          <w:szCs w:val="22"/>
        </w:rPr>
        <w:t xml:space="preserve">n the past period of the year and the 12-month inflation </w:t>
      </w:r>
      <w:r w:rsidR="002A7A3F">
        <w:rPr>
          <w:rFonts w:ascii="Garamond" w:hAnsi="Garamond"/>
          <w:sz w:val="22"/>
          <w:szCs w:val="22"/>
        </w:rPr>
        <w:t xml:space="preserve">mostly </w:t>
      </w:r>
      <w:r w:rsidR="002A7A3F" w:rsidRPr="002A7A3F">
        <w:rPr>
          <w:rFonts w:ascii="Garamond" w:hAnsi="Garamond"/>
          <w:sz w:val="22"/>
          <w:szCs w:val="22"/>
        </w:rPr>
        <w:t xml:space="preserve">fluctuated </w:t>
      </w:r>
      <w:r w:rsidR="002A7A3F">
        <w:rPr>
          <w:rFonts w:ascii="Garamond" w:hAnsi="Garamond"/>
          <w:sz w:val="22"/>
          <w:szCs w:val="22"/>
        </w:rPr>
        <w:t>within</w:t>
      </w:r>
      <w:r w:rsidR="002A7A3F" w:rsidRPr="002A7A3F">
        <w:rPr>
          <w:rFonts w:ascii="Garamond" w:hAnsi="Garamond"/>
          <w:sz w:val="22"/>
          <w:szCs w:val="22"/>
        </w:rPr>
        <w:t xml:space="preserve"> the lower part of the </w:t>
      </w:r>
      <w:r w:rsidR="002A7A3F">
        <w:rPr>
          <w:rFonts w:ascii="Garamond" w:hAnsi="Garamond"/>
          <w:sz w:val="22"/>
          <w:szCs w:val="22"/>
        </w:rPr>
        <w:t xml:space="preserve">confidence band. </w:t>
      </w:r>
      <w:r w:rsidR="00BF6445">
        <w:rPr>
          <w:rFonts w:ascii="Garamond" w:hAnsi="Garamond"/>
          <w:sz w:val="22"/>
          <w:szCs w:val="22"/>
        </w:rPr>
        <w:t xml:space="preserve">The core inflation and short-term inflation expectations have reduced as well, </w:t>
      </w:r>
      <w:r w:rsidR="002A7A3F" w:rsidRPr="002A7A3F">
        <w:rPr>
          <w:rFonts w:ascii="Garamond" w:hAnsi="Garamond"/>
          <w:sz w:val="22"/>
          <w:szCs w:val="22"/>
        </w:rPr>
        <w:t>influence</w:t>
      </w:r>
      <w:r w:rsidR="00BF6445">
        <w:rPr>
          <w:rFonts w:ascii="Garamond" w:hAnsi="Garamond"/>
          <w:sz w:val="22"/>
          <w:szCs w:val="22"/>
        </w:rPr>
        <w:t>d</w:t>
      </w:r>
      <w:r w:rsidR="002A7A3F" w:rsidRPr="002A7A3F">
        <w:rPr>
          <w:rFonts w:ascii="Garamond" w:hAnsi="Garamond"/>
          <w:sz w:val="22"/>
          <w:szCs w:val="22"/>
        </w:rPr>
        <w:t xml:space="preserve"> </w:t>
      </w:r>
      <w:r w:rsidR="00BF6445">
        <w:rPr>
          <w:rFonts w:ascii="Garamond" w:hAnsi="Garamond"/>
          <w:sz w:val="22"/>
          <w:szCs w:val="22"/>
        </w:rPr>
        <w:t>by the</w:t>
      </w:r>
      <w:r w:rsidR="002A7A3F" w:rsidRPr="002A7A3F">
        <w:rPr>
          <w:rFonts w:ascii="Garamond" w:hAnsi="Garamond"/>
          <w:sz w:val="22"/>
          <w:szCs w:val="22"/>
        </w:rPr>
        <w:t xml:space="preserve"> change in the supply in </w:t>
      </w:r>
      <w:r w:rsidR="00BF6445">
        <w:rPr>
          <w:rFonts w:ascii="Garamond" w:hAnsi="Garamond"/>
          <w:sz w:val="22"/>
          <w:szCs w:val="22"/>
        </w:rPr>
        <w:t xml:space="preserve">some product </w:t>
      </w:r>
      <w:r w:rsidR="002A7A3F" w:rsidRPr="002A7A3F">
        <w:rPr>
          <w:rFonts w:ascii="Garamond" w:hAnsi="Garamond"/>
          <w:sz w:val="22"/>
          <w:szCs w:val="22"/>
        </w:rPr>
        <w:t>markets.</w:t>
      </w:r>
      <w:r w:rsidR="00954D2F" w:rsidRPr="00EE5F0F">
        <w:rPr>
          <w:rFonts w:ascii="Garamond" w:hAnsi="Garamond"/>
          <w:sz w:val="22"/>
          <w:szCs w:val="22"/>
        </w:rPr>
        <w:t xml:space="preserve"> </w:t>
      </w:r>
      <w:r w:rsidR="00BF6445">
        <w:rPr>
          <w:rFonts w:ascii="Garamond" w:hAnsi="Garamond"/>
          <w:sz w:val="22"/>
          <w:szCs w:val="22"/>
        </w:rPr>
        <w:t xml:space="preserve">It is estimated that </w:t>
      </w:r>
      <w:r w:rsidR="00BF6445" w:rsidRPr="00BF6445">
        <w:rPr>
          <w:rFonts w:ascii="Garamond" w:hAnsi="Garamond"/>
          <w:sz w:val="22"/>
          <w:szCs w:val="22"/>
        </w:rPr>
        <w:t>inflation expectations will also increase and stabilize around the target</w:t>
      </w:r>
      <w:r w:rsidR="00BF6445">
        <w:rPr>
          <w:rFonts w:ascii="Garamond" w:hAnsi="Garamond"/>
          <w:sz w:val="22"/>
          <w:szCs w:val="22"/>
        </w:rPr>
        <w:t xml:space="preserve">, as inflation recovers. </w:t>
      </w:r>
      <w:r w:rsidR="00954D2F" w:rsidRPr="00EE5F0F">
        <w:rPr>
          <w:rFonts w:ascii="Garamond" w:hAnsi="Garamond"/>
          <w:sz w:val="22"/>
          <w:szCs w:val="22"/>
        </w:rPr>
        <w:t xml:space="preserve">In view of the </w:t>
      </w:r>
      <w:r w:rsidR="00BF6445" w:rsidRPr="00BF6445">
        <w:rPr>
          <w:rFonts w:ascii="Garamond" w:hAnsi="Garamond"/>
          <w:sz w:val="22"/>
          <w:szCs w:val="22"/>
        </w:rPr>
        <w:t>actual and predictable macroeconomic developments</w:t>
      </w:r>
      <w:r w:rsidR="00BF6445">
        <w:rPr>
          <w:rFonts w:ascii="Garamond" w:hAnsi="Garamond"/>
          <w:sz w:val="22"/>
          <w:szCs w:val="22"/>
        </w:rPr>
        <w:t xml:space="preserve">, in particular, the </w:t>
      </w:r>
      <w:r w:rsidR="00954D2F" w:rsidRPr="00EE5F0F">
        <w:rPr>
          <w:rFonts w:ascii="Garamond" w:hAnsi="Garamond"/>
          <w:sz w:val="22"/>
          <w:szCs w:val="22"/>
        </w:rPr>
        <w:t>need to strengthen the domestic demand recovery</w:t>
      </w:r>
      <w:r w:rsidR="00BF6445">
        <w:rPr>
          <w:rFonts w:ascii="Garamond" w:hAnsi="Garamond"/>
          <w:sz w:val="22"/>
          <w:szCs w:val="22"/>
        </w:rPr>
        <w:t>,</w:t>
      </w:r>
      <w:r w:rsidR="00954D2F" w:rsidRPr="00EE5F0F">
        <w:rPr>
          <w:rFonts w:ascii="Garamond" w:hAnsi="Garamond"/>
          <w:sz w:val="22"/>
          <w:szCs w:val="22"/>
        </w:rPr>
        <w:t xml:space="preserve"> the </w:t>
      </w:r>
      <w:r w:rsidR="00954D2F" w:rsidRPr="00EE5F0F">
        <w:rPr>
          <w:rFonts w:ascii="Garamond" w:hAnsi="Garamond"/>
          <w:b/>
          <w:sz w:val="22"/>
          <w:szCs w:val="22"/>
        </w:rPr>
        <w:t xml:space="preserve">Board of the Central Bank decided to </w:t>
      </w:r>
      <w:r w:rsidR="00BF11F1" w:rsidRPr="00EE5F0F">
        <w:rPr>
          <w:rFonts w:ascii="Garamond" w:hAnsi="Garamond"/>
          <w:b/>
          <w:sz w:val="22"/>
          <w:szCs w:val="22"/>
        </w:rPr>
        <w:t>keep</w:t>
      </w:r>
      <w:r w:rsidR="00954D2F" w:rsidRPr="00EE5F0F">
        <w:rPr>
          <w:rFonts w:ascii="Garamond" w:hAnsi="Garamond"/>
          <w:b/>
          <w:sz w:val="22"/>
          <w:szCs w:val="22"/>
        </w:rPr>
        <w:t xml:space="preserve"> the refinancing rate unchanged, </w:t>
      </w:r>
      <w:r w:rsidR="00BF11F1" w:rsidRPr="00EE5F0F">
        <w:rPr>
          <w:rFonts w:ascii="Garamond" w:hAnsi="Garamond"/>
          <w:b/>
          <w:sz w:val="22"/>
          <w:szCs w:val="22"/>
        </w:rPr>
        <w:t xml:space="preserve">leaving </w:t>
      </w:r>
      <w:r w:rsidR="00954D2F" w:rsidRPr="00EE5F0F">
        <w:rPr>
          <w:rFonts w:ascii="Garamond" w:hAnsi="Garamond"/>
          <w:b/>
          <w:sz w:val="22"/>
          <w:szCs w:val="22"/>
        </w:rPr>
        <w:t xml:space="preserve">the monetary policy </w:t>
      </w:r>
      <w:r w:rsidR="00BF11F1" w:rsidRPr="00EE5F0F">
        <w:rPr>
          <w:rFonts w:ascii="Garamond" w:hAnsi="Garamond"/>
          <w:b/>
          <w:sz w:val="22"/>
          <w:szCs w:val="22"/>
        </w:rPr>
        <w:t>direction expansionary</w:t>
      </w:r>
      <w:r w:rsidR="00954D2F" w:rsidRPr="00EE5F0F">
        <w:rPr>
          <w:rFonts w:ascii="Garamond" w:hAnsi="Garamond"/>
          <w:b/>
          <w:sz w:val="22"/>
          <w:szCs w:val="22"/>
        </w:rPr>
        <w:t>.</w:t>
      </w:r>
      <w:r w:rsidR="00954D2F" w:rsidRPr="00EE5F0F">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BF6445" w:rsidRPr="00AB24C1" w14:paraId="592FBD62" w14:textId="77777777" w:rsidTr="003417FE">
        <w:tc>
          <w:tcPr>
            <w:tcW w:w="6204" w:type="dxa"/>
          </w:tcPr>
          <w:p w14:paraId="5F04E0C5" w14:textId="77777777" w:rsidR="00BF6445" w:rsidRPr="00944055" w:rsidRDefault="00944055" w:rsidP="00944055">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E</w:t>
            </w:r>
            <w:r w:rsidRPr="00944055">
              <w:rPr>
                <w:rFonts w:ascii="Garamond" w:hAnsi="Garamond"/>
                <w:color w:val="0070C0"/>
                <w:sz w:val="20"/>
                <w:szCs w:val="20"/>
              </w:rPr>
              <w:t xml:space="preserve">conomic activity was </w:t>
            </w:r>
            <w:r>
              <w:rPr>
                <w:rFonts w:ascii="Garamond" w:hAnsi="Garamond"/>
                <w:color w:val="0070C0"/>
                <w:sz w:val="20"/>
                <w:szCs w:val="20"/>
              </w:rPr>
              <w:t xml:space="preserve">still high </w:t>
            </w:r>
            <w:r w:rsidRPr="00944055">
              <w:rPr>
                <w:rFonts w:ascii="Garamond" w:hAnsi="Garamond"/>
                <w:color w:val="0070C0"/>
                <w:sz w:val="20"/>
                <w:szCs w:val="20"/>
              </w:rPr>
              <w:t xml:space="preserve">over the first </w:t>
            </w:r>
            <w:r>
              <w:rPr>
                <w:rFonts w:ascii="Garamond" w:hAnsi="Garamond"/>
                <w:color w:val="0070C0"/>
                <w:sz w:val="20"/>
                <w:szCs w:val="20"/>
              </w:rPr>
              <w:t xml:space="preserve">half </w:t>
            </w:r>
            <w:r w:rsidRPr="00944055">
              <w:rPr>
                <w:rFonts w:ascii="Garamond" w:hAnsi="Garamond"/>
                <w:color w:val="0070C0"/>
                <w:sz w:val="20"/>
                <w:szCs w:val="20"/>
              </w:rPr>
              <w:t>of 2018, mainly due to strong growth of investments in the private sector. The estimation is that these trends will continue over the short term, on the basis of which the Central Bank has revised the year’s economic growth forecast upside. In the mid-term perspective, the growth will approach its long-term equilibrium.</w:t>
            </w:r>
          </w:p>
        </w:tc>
      </w:tr>
    </w:tbl>
    <w:p w14:paraId="17812DF3" w14:textId="77777777" w:rsidR="00C44F94" w:rsidRDefault="00C44F94" w:rsidP="00EE619D">
      <w:pPr>
        <w:autoSpaceDE w:val="0"/>
        <w:autoSpaceDN w:val="0"/>
        <w:adjustRightInd w:val="0"/>
        <w:spacing w:after="120" w:line="360" w:lineRule="auto"/>
        <w:jc w:val="both"/>
        <w:rPr>
          <w:rFonts w:ascii="Garamond" w:hAnsi="Garamond"/>
          <w:sz w:val="22"/>
          <w:szCs w:val="22"/>
        </w:rPr>
      </w:pPr>
    </w:p>
    <w:p w14:paraId="51CC727B" w14:textId="77777777" w:rsidR="00BF11F1" w:rsidRPr="00C44F94" w:rsidRDefault="00C44F9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BF11F1" w:rsidRPr="00EE5F0F">
        <w:rPr>
          <w:rFonts w:ascii="Garamond" w:hAnsi="Garamond"/>
          <w:sz w:val="22"/>
          <w:szCs w:val="22"/>
        </w:rPr>
        <w:t>n the light of predicted macroeconomic developments</w:t>
      </w:r>
      <w:r w:rsidR="00566D4F">
        <w:rPr>
          <w:rFonts w:ascii="Garamond" w:hAnsi="Garamond"/>
          <w:sz w:val="22"/>
          <w:szCs w:val="22"/>
        </w:rPr>
        <w:t>,</w:t>
      </w:r>
      <w:r w:rsidR="00BF11F1" w:rsidRPr="00EE5F0F">
        <w:rPr>
          <w:rFonts w:ascii="Garamond" w:hAnsi="Garamond"/>
          <w:b/>
          <w:sz w:val="22"/>
          <w:szCs w:val="22"/>
        </w:rPr>
        <w:t xml:space="preserve"> </w:t>
      </w:r>
      <w:r w:rsidRPr="00C44F94">
        <w:rPr>
          <w:rFonts w:ascii="Garamond" w:hAnsi="Garamond"/>
          <w:sz w:val="22"/>
          <w:szCs w:val="22"/>
        </w:rPr>
        <w:t>the Central Bank estimates</w:t>
      </w:r>
      <w:r>
        <w:rPr>
          <w:rFonts w:ascii="Garamond" w:hAnsi="Garamond"/>
          <w:sz w:val="22"/>
          <w:szCs w:val="22"/>
        </w:rPr>
        <w:t xml:space="preserve"> that</w:t>
      </w:r>
      <w:r w:rsidRPr="00C44F94">
        <w:rPr>
          <w:rFonts w:ascii="Garamond" w:hAnsi="Garamond"/>
          <w:sz w:val="22"/>
          <w:szCs w:val="22"/>
        </w:rPr>
        <w:t xml:space="preserve"> </w:t>
      </w:r>
      <w:r>
        <w:rPr>
          <w:rFonts w:ascii="Garamond" w:hAnsi="Garamond"/>
          <w:sz w:val="22"/>
          <w:szCs w:val="22"/>
        </w:rPr>
        <w:t xml:space="preserve">maintaining the </w:t>
      </w:r>
      <w:r w:rsidRPr="00C44F94">
        <w:rPr>
          <w:rFonts w:ascii="Garamond" w:hAnsi="Garamond"/>
          <w:sz w:val="22"/>
          <w:szCs w:val="22"/>
        </w:rPr>
        <w:t xml:space="preserve">monetary </w:t>
      </w:r>
      <w:r>
        <w:rPr>
          <w:rFonts w:ascii="Garamond" w:hAnsi="Garamond"/>
          <w:sz w:val="22"/>
          <w:szCs w:val="22"/>
        </w:rPr>
        <w:t xml:space="preserve">environment </w:t>
      </w:r>
      <w:r w:rsidR="00BF11F1" w:rsidRPr="00C44F94">
        <w:rPr>
          <w:rFonts w:ascii="Garamond" w:hAnsi="Garamond"/>
          <w:sz w:val="22"/>
          <w:szCs w:val="22"/>
        </w:rPr>
        <w:t xml:space="preserve">expansionary </w:t>
      </w:r>
      <w:r w:rsidRPr="00C44F94">
        <w:rPr>
          <w:rFonts w:ascii="Garamond" w:hAnsi="Garamond"/>
          <w:b/>
          <w:sz w:val="22"/>
          <w:szCs w:val="22"/>
        </w:rPr>
        <w:t>in the upcoming period</w:t>
      </w:r>
      <w:r>
        <w:rPr>
          <w:rFonts w:ascii="Garamond" w:hAnsi="Garamond"/>
          <w:sz w:val="22"/>
          <w:szCs w:val="22"/>
        </w:rPr>
        <w:t xml:space="preserve"> </w:t>
      </w:r>
      <w:r w:rsidR="00BF11F1" w:rsidRPr="00C44F94">
        <w:rPr>
          <w:rFonts w:ascii="Garamond" w:hAnsi="Garamond"/>
          <w:sz w:val="22"/>
          <w:szCs w:val="22"/>
        </w:rPr>
        <w:t xml:space="preserve">will be needed, </w:t>
      </w:r>
      <w:r>
        <w:rPr>
          <w:rFonts w:ascii="Garamond" w:hAnsi="Garamond"/>
          <w:sz w:val="22"/>
          <w:szCs w:val="22"/>
        </w:rPr>
        <w:t>while considering that it will gradually eliminate in the medium run</w:t>
      </w:r>
      <w:r w:rsidR="00BF11F1" w:rsidRPr="00C44F94">
        <w:rPr>
          <w:rFonts w:ascii="Garamond" w:hAnsi="Garamond"/>
          <w:sz w:val="22"/>
          <w:szCs w:val="22"/>
        </w:rPr>
        <w:t>.</w:t>
      </w:r>
    </w:p>
    <w:p w14:paraId="2B50C329" w14:textId="77777777" w:rsidR="00BF11F1" w:rsidRPr="00EE5F0F" w:rsidRDefault="00BF11F1" w:rsidP="00BF11F1">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lastRenderedPageBreak/>
        <w:t xml:space="preserve">High economic activity was persisting over the first </w:t>
      </w:r>
      <w:r w:rsidR="00944055">
        <w:rPr>
          <w:rFonts w:ascii="Garamond" w:hAnsi="Garamond"/>
          <w:b/>
          <w:sz w:val="22"/>
          <w:szCs w:val="22"/>
        </w:rPr>
        <w:t xml:space="preserve">half </w:t>
      </w:r>
      <w:r w:rsidRPr="00EE5F0F">
        <w:rPr>
          <w:rFonts w:ascii="Garamond" w:hAnsi="Garamond"/>
          <w:b/>
          <w:sz w:val="22"/>
          <w:szCs w:val="22"/>
        </w:rPr>
        <w:t xml:space="preserve">of 2018, </w:t>
      </w:r>
      <w:r w:rsidR="00944055" w:rsidRPr="00944055">
        <w:rPr>
          <w:rFonts w:ascii="Garamond" w:hAnsi="Garamond"/>
          <w:b/>
          <w:sz w:val="22"/>
          <w:szCs w:val="22"/>
        </w:rPr>
        <w:t xml:space="preserve">mainly due to </w:t>
      </w:r>
      <w:r w:rsidR="00944055">
        <w:rPr>
          <w:rFonts w:ascii="Garamond" w:hAnsi="Garamond"/>
          <w:b/>
          <w:sz w:val="22"/>
          <w:szCs w:val="22"/>
        </w:rPr>
        <w:t xml:space="preserve">strong growth of investments </w:t>
      </w:r>
      <w:r w:rsidR="00944055" w:rsidRPr="00944055">
        <w:rPr>
          <w:rFonts w:ascii="Garamond" w:hAnsi="Garamond"/>
          <w:b/>
          <w:sz w:val="22"/>
          <w:szCs w:val="22"/>
        </w:rPr>
        <w:t xml:space="preserve">in </w:t>
      </w:r>
      <w:r w:rsidR="00944055">
        <w:rPr>
          <w:rFonts w:ascii="Garamond" w:hAnsi="Garamond"/>
          <w:b/>
          <w:sz w:val="22"/>
          <w:szCs w:val="22"/>
        </w:rPr>
        <w:t xml:space="preserve">the </w:t>
      </w:r>
      <w:r w:rsidR="00944055" w:rsidRPr="00944055">
        <w:rPr>
          <w:rFonts w:ascii="Garamond" w:hAnsi="Garamond"/>
          <w:b/>
          <w:sz w:val="22"/>
          <w:szCs w:val="22"/>
        </w:rPr>
        <w:t xml:space="preserve">private sector. </w:t>
      </w:r>
      <w:r w:rsidR="00944055">
        <w:rPr>
          <w:rFonts w:ascii="Garamond" w:hAnsi="Garamond"/>
          <w:b/>
          <w:sz w:val="22"/>
          <w:szCs w:val="22"/>
        </w:rPr>
        <w:t xml:space="preserve">The </w:t>
      </w:r>
      <w:r w:rsidR="00944055" w:rsidRPr="00944055">
        <w:rPr>
          <w:rFonts w:ascii="Garamond" w:hAnsi="Garamond"/>
          <w:b/>
          <w:sz w:val="22"/>
          <w:szCs w:val="22"/>
        </w:rPr>
        <w:t>estima</w:t>
      </w:r>
      <w:r w:rsidR="00944055">
        <w:rPr>
          <w:rFonts w:ascii="Garamond" w:hAnsi="Garamond"/>
          <w:b/>
          <w:sz w:val="22"/>
          <w:szCs w:val="22"/>
        </w:rPr>
        <w:t xml:space="preserve">tion is </w:t>
      </w:r>
      <w:r w:rsidR="00944055" w:rsidRPr="00944055">
        <w:rPr>
          <w:rFonts w:ascii="Garamond" w:hAnsi="Garamond"/>
          <w:b/>
          <w:sz w:val="22"/>
          <w:szCs w:val="22"/>
        </w:rPr>
        <w:t xml:space="preserve">that these trends will </w:t>
      </w:r>
      <w:r w:rsidR="00944055">
        <w:rPr>
          <w:rFonts w:ascii="Garamond" w:hAnsi="Garamond"/>
          <w:b/>
          <w:sz w:val="22"/>
          <w:szCs w:val="22"/>
        </w:rPr>
        <w:t>continue over</w:t>
      </w:r>
      <w:r w:rsidR="00944055" w:rsidRPr="00944055">
        <w:rPr>
          <w:rFonts w:ascii="Garamond" w:hAnsi="Garamond"/>
          <w:b/>
          <w:sz w:val="22"/>
          <w:szCs w:val="22"/>
        </w:rPr>
        <w:t xml:space="preserve"> the short term, on the basis of which the C</w:t>
      </w:r>
      <w:r w:rsidR="00944055">
        <w:rPr>
          <w:rFonts w:ascii="Garamond" w:hAnsi="Garamond"/>
          <w:b/>
          <w:sz w:val="22"/>
          <w:szCs w:val="22"/>
        </w:rPr>
        <w:t xml:space="preserve">entral </w:t>
      </w:r>
      <w:r w:rsidR="00944055" w:rsidRPr="00944055">
        <w:rPr>
          <w:rFonts w:ascii="Garamond" w:hAnsi="Garamond"/>
          <w:b/>
          <w:sz w:val="22"/>
          <w:szCs w:val="22"/>
        </w:rPr>
        <w:t>B</w:t>
      </w:r>
      <w:r w:rsidR="00944055">
        <w:rPr>
          <w:rFonts w:ascii="Garamond" w:hAnsi="Garamond"/>
          <w:b/>
          <w:sz w:val="22"/>
          <w:szCs w:val="22"/>
        </w:rPr>
        <w:t>ank</w:t>
      </w:r>
      <w:r w:rsidR="00944055" w:rsidRPr="00944055">
        <w:rPr>
          <w:rFonts w:ascii="Garamond" w:hAnsi="Garamond"/>
          <w:b/>
          <w:sz w:val="22"/>
          <w:szCs w:val="22"/>
        </w:rPr>
        <w:t xml:space="preserve"> has </w:t>
      </w:r>
      <w:r w:rsidR="00944055">
        <w:rPr>
          <w:rFonts w:ascii="Garamond" w:hAnsi="Garamond"/>
          <w:b/>
          <w:sz w:val="22"/>
          <w:szCs w:val="22"/>
        </w:rPr>
        <w:t xml:space="preserve">revised </w:t>
      </w:r>
      <w:r w:rsidR="00944055" w:rsidRPr="00944055">
        <w:rPr>
          <w:rFonts w:ascii="Garamond" w:hAnsi="Garamond"/>
          <w:b/>
          <w:sz w:val="22"/>
          <w:szCs w:val="22"/>
        </w:rPr>
        <w:t xml:space="preserve">the </w:t>
      </w:r>
      <w:r w:rsidR="00944055">
        <w:rPr>
          <w:rFonts w:ascii="Garamond" w:hAnsi="Garamond"/>
          <w:b/>
          <w:sz w:val="22"/>
          <w:szCs w:val="22"/>
        </w:rPr>
        <w:t xml:space="preserve">year’s </w:t>
      </w:r>
      <w:r w:rsidR="00944055" w:rsidRPr="00944055">
        <w:rPr>
          <w:rFonts w:ascii="Garamond" w:hAnsi="Garamond"/>
          <w:b/>
          <w:sz w:val="22"/>
          <w:szCs w:val="22"/>
        </w:rPr>
        <w:t xml:space="preserve">economic growth forecast </w:t>
      </w:r>
      <w:r w:rsidR="00944055">
        <w:rPr>
          <w:rFonts w:ascii="Garamond" w:hAnsi="Garamond"/>
          <w:b/>
          <w:sz w:val="22"/>
          <w:szCs w:val="22"/>
        </w:rPr>
        <w:t>upside. In</w:t>
      </w:r>
      <w:r w:rsidR="00944055" w:rsidRPr="00944055">
        <w:rPr>
          <w:rFonts w:ascii="Garamond" w:hAnsi="Garamond"/>
          <w:b/>
          <w:sz w:val="22"/>
          <w:szCs w:val="22"/>
        </w:rPr>
        <w:t xml:space="preserve"> the mid-term </w:t>
      </w:r>
      <w:r w:rsidR="00944055">
        <w:rPr>
          <w:rFonts w:ascii="Garamond" w:hAnsi="Garamond"/>
          <w:b/>
          <w:sz w:val="22"/>
          <w:szCs w:val="22"/>
        </w:rPr>
        <w:t xml:space="preserve">perspective, the growth will approach its </w:t>
      </w:r>
      <w:r w:rsidRPr="00EE5F0F">
        <w:rPr>
          <w:rFonts w:ascii="Garamond" w:hAnsi="Garamond"/>
          <w:b/>
          <w:sz w:val="22"/>
          <w:szCs w:val="22"/>
        </w:rPr>
        <w:t>long-term equilibrium.</w:t>
      </w:r>
    </w:p>
    <w:tbl>
      <w:tblPr>
        <w:tblStyle w:val="TableGrid"/>
        <w:tblW w:w="0" w:type="auto"/>
        <w:tblLook w:val="04A0" w:firstRow="1" w:lastRow="0" w:firstColumn="1" w:lastColumn="0" w:noHBand="0" w:noVBand="1"/>
      </w:tblPr>
      <w:tblGrid>
        <w:gridCol w:w="9576"/>
      </w:tblGrid>
      <w:tr w:rsidR="00265345" w:rsidRPr="003720FB" w14:paraId="5D0779CF" w14:textId="77777777" w:rsidTr="003417FE">
        <w:trPr>
          <w:trHeight w:val="335"/>
        </w:trPr>
        <w:tc>
          <w:tcPr>
            <w:tcW w:w="9576" w:type="dxa"/>
          </w:tcPr>
          <w:p w14:paraId="545BB3A4" w14:textId="77777777" w:rsidR="00265345" w:rsidRPr="003720FB" w:rsidRDefault="00265345" w:rsidP="003417FE">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t xml:space="preserve">Footnote 1. </w:t>
            </w:r>
            <w:r w:rsidRPr="003720FB">
              <w:rPr>
                <w:rFonts w:ascii="Garamond" w:hAnsi="Garamond"/>
                <w:color w:val="FF0000"/>
                <w:sz w:val="18"/>
                <w:szCs w:val="18"/>
              </w:rPr>
              <w:t>The growth rate of each quarter is calculated as the cumulative growth rate for the last four quarters.</w:t>
            </w:r>
          </w:p>
        </w:tc>
      </w:tr>
    </w:tbl>
    <w:p w14:paraId="02D8F53C" w14:textId="77777777" w:rsidR="00265345" w:rsidRPr="00EE5F0F" w:rsidRDefault="00265345" w:rsidP="00265345">
      <w:pPr>
        <w:autoSpaceDE w:val="0"/>
        <w:autoSpaceDN w:val="0"/>
        <w:adjustRightInd w:val="0"/>
        <w:spacing w:after="120" w:line="360" w:lineRule="auto"/>
        <w:jc w:val="both"/>
        <w:rPr>
          <w:rFonts w:ascii="Garamond" w:hAnsi="Garamond"/>
          <w:b/>
          <w:sz w:val="22"/>
          <w:szCs w:val="22"/>
        </w:rPr>
      </w:pPr>
    </w:p>
    <w:p w14:paraId="5844BC03" w14:textId="77777777" w:rsidR="00560595" w:rsidRPr="00EE5F0F" w:rsidRDefault="00BF11F1"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sz w:val="22"/>
          <w:szCs w:val="22"/>
        </w:rPr>
        <w:t xml:space="preserve">According to the baseline scenario, mid-term economic growth trends </w:t>
      </w:r>
      <w:r w:rsidR="00265345">
        <w:rPr>
          <w:rFonts w:ascii="Garamond" w:hAnsi="Garamond"/>
          <w:sz w:val="22"/>
          <w:szCs w:val="22"/>
        </w:rPr>
        <w:t xml:space="preserve">will </w:t>
      </w:r>
      <w:r w:rsidRPr="00EE5F0F">
        <w:rPr>
          <w:rFonts w:ascii="Garamond" w:hAnsi="Garamond"/>
          <w:sz w:val="22"/>
          <w:szCs w:val="22"/>
        </w:rPr>
        <w:t xml:space="preserve">largely </w:t>
      </w:r>
      <w:r w:rsidR="00265345">
        <w:rPr>
          <w:rFonts w:ascii="Garamond" w:hAnsi="Garamond"/>
          <w:sz w:val="22"/>
          <w:szCs w:val="22"/>
        </w:rPr>
        <w:t xml:space="preserve">depend on </w:t>
      </w:r>
      <w:r w:rsidRPr="00EE5F0F">
        <w:rPr>
          <w:rFonts w:ascii="Garamond" w:hAnsi="Garamond"/>
          <w:sz w:val="22"/>
          <w:szCs w:val="22"/>
        </w:rPr>
        <w:t xml:space="preserve">the </w:t>
      </w:r>
      <w:r w:rsidR="00522147" w:rsidRPr="00EE5F0F">
        <w:rPr>
          <w:rFonts w:ascii="Garamond" w:hAnsi="Garamond"/>
          <w:sz w:val="22"/>
          <w:szCs w:val="22"/>
        </w:rPr>
        <w:t>economy’s fundamentals,</w:t>
      </w:r>
      <w:r w:rsidRPr="00EE5F0F">
        <w:rPr>
          <w:rFonts w:ascii="Garamond" w:hAnsi="Garamond"/>
          <w:sz w:val="22"/>
          <w:szCs w:val="22"/>
        </w:rPr>
        <w:t xml:space="preserve"> </w:t>
      </w:r>
      <w:r w:rsidR="00265345" w:rsidRPr="00265345">
        <w:rPr>
          <w:rFonts w:ascii="Garamond" w:hAnsi="Garamond"/>
          <w:sz w:val="22"/>
          <w:szCs w:val="22"/>
        </w:rPr>
        <w:t xml:space="preserve">investment activity and </w:t>
      </w:r>
      <w:r w:rsidR="00265345">
        <w:rPr>
          <w:rFonts w:ascii="Garamond" w:hAnsi="Garamond"/>
          <w:sz w:val="22"/>
          <w:szCs w:val="22"/>
        </w:rPr>
        <w:t xml:space="preserve">an </w:t>
      </w:r>
      <w:r w:rsidR="00265345" w:rsidRPr="00265345">
        <w:rPr>
          <w:rFonts w:ascii="Garamond" w:hAnsi="Garamond"/>
          <w:sz w:val="22"/>
          <w:szCs w:val="22"/>
        </w:rPr>
        <w:t>increase of production capacities</w:t>
      </w:r>
      <w:r w:rsidR="00265345">
        <w:rPr>
          <w:rFonts w:ascii="Garamond" w:hAnsi="Garamond"/>
          <w:sz w:val="22"/>
          <w:szCs w:val="22"/>
        </w:rPr>
        <w:t xml:space="preserve"> in </w:t>
      </w:r>
      <w:r w:rsidR="00265345" w:rsidRPr="00265345">
        <w:rPr>
          <w:rFonts w:ascii="Garamond" w:hAnsi="Garamond"/>
          <w:sz w:val="22"/>
          <w:szCs w:val="22"/>
        </w:rPr>
        <w:t>2017-2018,</w:t>
      </w:r>
      <w:r w:rsidR="00265345">
        <w:rPr>
          <w:rFonts w:ascii="Garamond" w:hAnsi="Garamond"/>
          <w:sz w:val="22"/>
          <w:szCs w:val="22"/>
        </w:rPr>
        <w:t xml:space="preserve"> </w:t>
      </w:r>
      <w:r w:rsidRPr="00EE5F0F">
        <w:rPr>
          <w:rFonts w:ascii="Garamond" w:hAnsi="Garamond"/>
          <w:sz w:val="22"/>
          <w:szCs w:val="22"/>
        </w:rPr>
        <w:t xml:space="preserve">the </w:t>
      </w:r>
      <w:r w:rsidR="00522147" w:rsidRPr="00EE5F0F">
        <w:rPr>
          <w:rFonts w:ascii="Garamond" w:hAnsi="Garamond"/>
          <w:sz w:val="22"/>
          <w:szCs w:val="22"/>
        </w:rPr>
        <w:t xml:space="preserve">pace of Government-led </w:t>
      </w:r>
      <w:r w:rsidRPr="00EE5F0F">
        <w:rPr>
          <w:rFonts w:ascii="Garamond" w:hAnsi="Garamond"/>
          <w:sz w:val="22"/>
          <w:szCs w:val="22"/>
        </w:rPr>
        <w:t>structural reforms</w:t>
      </w:r>
      <w:r w:rsidR="00522147" w:rsidRPr="00EE5F0F">
        <w:rPr>
          <w:rFonts w:ascii="Garamond" w:hAnsi="Garamond"/>
          <w:sz w:val="22"/>
          <w:szCs w:val="22"/>
        </w:rPr>
        <w:t>,</w:t>
      </w:r>
      <w:r w:rsidRPr="00EE5F0F">
        <w:rPr>
          <w:rFonts w:ascii="Garamond" w:hAnsi="Garamond"/>
          <w:sz w:val="22"/>
          <w:szCs w:val="22"/>
        </w:rPr>
        <w:t xml:space="preserve"> and </w:t>
      </w:r>
      <w:r w:rsidR="00265345">
        <w:rPr>
          <w:rFonts w:ascii="Garamond" w:hAnsi="Garamond"/>
          <w:sz w:val="22"/>
          <w:szCs w:val="22"/>
        </w:rPr>
        <w:t xml:space="preserve">the anticipated </w:t>
      </w:r>
      <w:r w:rsidRPr="00EE5F0F">
        <w:rPr>
          <w:rFonts w:ascii="Garamond" w:hAnsi="Garamond"/>
          <w:sz w:val="22"/>
          <w:szCs w:val="22"/>
        </w:rPr>
        <w:t>potential of economic growth in partner countries.</w:t>
      </w:r>
      <w:r w:rsidR="00522147" w:rsidRPr="00EE5F0F">
        <w:rPr>
          <w:rFonts w:ascii="Garamond" w:hAnsi="Garamond"/>
          <w:sz w:val="22"/>
          <w:szCs w:val="22"/>
        </w:rPr>
        <w:t xml:space="preserve"> </w:t>
      </w:r>
    </w:p>
    <w:p w14:paraId="5FEDA84A" w14:textId="77777777" w:rsidR="00E67952" w:rsidRPr="00EE5F0F" w:rsidRDefault="003417F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R</w:t>
      </w:r>
      <w:r w:rsidR="00EE619D" w:rsidRPr="00EE5F0F">
        <w:rPr>
          <w:rFonts w:ascii="Garamond" w:hAnsi="Garamond"/>
          <w:sz w:val="22"/>
          <w:szCs w:val="22"/>
        </w:rPr>
        <w:t xml:space="preserve">isks to inflation </w:t>
      </w:r>
      <w:r w:rsidR="00560595" w:rsidRPr="00EE5F0F">
        <w:rPr>
          <w:rFonts w:ascii="Garamond" w:hAnsi="Garamond"/>
          <w:sz w:val="22"/>
          <w:szCs w:val="22"/>
        </w:rPr>
        <w:t xml:space="preserve">and economic growth </w:t>
      </w:r>
      <w:r>
        <w:rPr>
          <w:rFonts w:ascii="Garamond" w:hAnsi="Garamond"/>
          <w:b/>
          <w:sz w:val="22"/>
          <w:szCs w:val="22"/>
        </w:rPr>
        <w:t>i</w:t>
      </w:r>
      <w:r w:rsidRPr="00EE5F0F">
        <w:rPr>
          <w:rFonts w:ascii="Garamond" w:hAnsi="Garamond"/>
          <w:b/>
          <w:sz w:val="22"/>
          <w:szCs w:val="22"/>
        </w:rPr>
        <w:t xml:space="preserve">n the short </w:t>
      </w:r>
      <w:r>
        <w:rPr>
          <w:rFonts w:ascii="Garamond" w:hAnsi="Garamond"/>
          <w:b/>
          <w:sz w:val="22"/>
          <w:szCs w:val="22"/>
        </w:rPr>
        <w:t>run and</w:t>
      </w:r>
      <w:r w:rsidRPr="00EE5F0F">
        <w:rPr>
          <w:rFonts w:ascii="Garamond" w:hAnsi="Garamond"/>
          <w:b/>
          <w:sz w:val="22"/>
          <w:szCs w:val="22"/>
        </w:rPr>
        <w:t xml:space="preserve"> medium run</w:t>
      </w:r>
      <w:r w:rsidRPr="00EE5F0F">
        <w:rPr>
          <w:rFonts w:ascii="Garamond" w:hAnsi="Garamond"/>
          <w:sz w:val="22"/>
          <w:szCs w:val="22"/>
        </w:rPr>
        <w:t xml:space="preserve"> </w:t>
      </w:r>
      <w:r w:rsidR="00560595" w:rsidRPr="00EE5F0F">
        <w:rPr>
          <w:rFonts w:ascii="Garamond" w:hAnsi="Garamond"/>
          <w:sz w:val="22"/>
          <w:szCs w:val="22"/>
        </w:rPr>
        <w:t>are dual-sided</w:t>
      </w:r>
      <w:r>
        <w:rPr>
          <w:rFonts w:ascii="Garamond" w:hAnsi="Garamond"/>
          <w:sz w:val="22"/>
          <w:szCs w:val="22"/>
        </w:rPr>
        <w:t xml:space="preserve"> and estimated to be balanced (see subsection 2.2.4 “Main assumptions and risks”)</w:t>
      </w:r>
      <w:r w:rsidR="00560595" w:rsidRPr="00EE5F0F">
        <w:rPr>
          <w:rFonts w:ascii="Garamond" w:hAnsi="Garamond"/>
          <w:sz w:val="22"/>
          <w:szCs w:val="22"/>
        </w:rPr>
        <w:t xml:space="preserve">. </w:t>
      </w:r>
    </w:p>
    <w:p w14:paraId="3B5E10A0" w14:textId="77777777" w:rsidR="00EE619D" w:rsidRPr="00EE5F0F" w:rsidRDefault="00E6795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If the </w:t>
      </w:r>
      <w:r w:rsidR="003417FE">
        <w:rPr>
          <w:rFonts w:ascii="Garamond" w:hAnsi="Garamond"/>
          <w:sz w:val="22"/>
          <w:szCs w:val="22"/>
        </w:rPr>
        <w:t xml:space="preserve">event </w:t>
      </w:r>
      <w:r w:rsidRPr="00EE5F0F">
        <w:rPr>
          <w:rFonts w:ascii="Garamond" w:hAnsi="Garamond"/>
          <w:sz w:val="22"/>
          <w:szCs w:val="22"/>
        </w:rPr>
        <w:t xml:space="preserve">risks </w:t>
      </w:r>
      <w:r w:rsidR="003417FE">
        <w:rPr>
          <w:rFonts w:ascii="Garamond" w:hAnsi="Garamond"/>
          <w:sz w:val="22"/>
          <w:szCs w:val="22"/>
        </w:rPr>
        <w:t>deviate from the prediction</w:t>
      </w:r>
      <w:r w:rsidRPr="00EE5F0F">
        <w:rPr>
          <w:rFonts w:ascii="Garamond" w:hAnsi="Garamond"/>
          <w:sz w:val="22"/>
          <w:szCs w:val="22"/>
        </w:rPr>
        <w:t>, the Central Bank will react by adjusting its monetary conditions accordingly</w:t>
      </w:r>
      <w:r w:rsidR="00F61EDD" w:rsidRPr="00EE5F0F">
        <w:rPr>
          <w:rFonts w:ascii="Garamond" w:hAnsi="Garamond"/>
          <w:sz w:val="22"/>
          <w:szCs w:val="22"/>
        </w:rPr>
        <w:t xml:space="preserve">. </w:t>
      </w:r>
    </w:p>
    <w:p w14:paraId="22B099A0" w14:textId="77777777" w:rsidR="003D1442" w:rsidRPr="00EE5F0F" w:rsidRDefault="003D1442" w:rsidP="00EE619D">
      <w:pPr>
        <w:autoSpaceDE w:val="0"/>
        <w:autoSpaceDN w:val="0"/>
        <w:adjustRightInd w:val="0"/>
        <w:spacing w:after="120" w:line="360" w:lineRule="auto"/>
        <w:jc w:val="both"/>
        <w:rPr>
          <w:rFonts w:ascii="Garamond" w:hAnsi="Garamond"/>
          <w:b/>
          <w:color w:val="0070C0"/>
          <w:sz w:val="22"/>
          <w:szCs w:val="22"/>
        </w:rPr>
      </w:pPr>
    </w:p>
    <w:p w14:paraId="6C025E3F"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31E68FE6"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752B2B84" w14:textId="77777777" w:rsidR="00EE619D" w:rsidRDefault="00DF2AC4"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The </w:t>
      </w:r>
      <w:r w:rsidR="0007024C">
        <w:rPr>
          <w:rFonts w:ascii="Garamond" w:hAnsi="Garamond"/>
          <w:b/>
          <w:sz w:val="22"/>
          <w:szCs w:val="22"/>
        </w:rPr>
        <w:t xml:space="preserve">anticipation is that </w:t>
      </w:r>
      <w:r w:rsidRPr="00EE5F0F">
        <w:rPr>
          <w:rFonts w:ascii="Garamond" w:hAnsi="Garamond"/>
          <w:b/>
          <w:sz w:val="22"/>
          <w:szCs w:val="22"/>
        </w:rPr>
        <w:t xml:space="preserve">strengthening of the global economy </w:t>
      </w:r>
      <w:r w:rsidR="0007024C">
        <w:rPr>
          <w:rFonts w:ascii="Garamond" w:hAnsi="Garamond"/>
          <w:b/>
          <w:sz w:val="22"/>
          <w:szCs w:val="22"/>
        </w:rPr>
        <w:t xml:space="preserve">observable in the first half of 2018 will smoothly </w:t>
      </w:r>
      <w:r w:rsidRPr="00EE5F0F">
        <w:rPr>
          <w:rFonts w:ascii="Garamond" w:hAnsi="Garamond"/>
          <w:b/>
          <w:sz w:val="22"/>
          <w:szCs w:val="22"/>
        </w:rPr>
        <w:t>continue</w:t>
      </w:r>
      <w:r w:rsidR="0007024C">
        <w:rPr>
          <w:rFonts w:ascii="Garamond" w:hAnsi="Garamond"/>
          <w:b/>
          <w:sz w:val="22"/>
          <w:szCs w:val="22"/>
        </w:rPr>
        <w:t xml:space="preserve"> over the second</w:t>
      </w:r>
      <w:r w:rsidRPr="00EE5F0F">
        <w:rPr>
          <w:rFonts w:ascii="Garamond" w:hAnsi="Garamond"/>
          <w:b/>
          <w:sz w:val="22"/>
          <w:szCs w:val="22"/>
        </w:rPr>
        <w:t xml:space="preserve"> </w:t>
      </w:r>
      <w:r w:rsidR="0007024C">
        <w:rPr>
          <w:rFonts w:ascii="Garamond" w:hAnsi="Garamond"/>
          <w:b/>
          <w:sz w:val="22"/>
          <w:szCs w:val="22"/>
        </w:rPr>
        <w:t>half</w:t>
      </w:r>
      <w:r w:rsidRPr="00EE5F0F">
        <w:rPr>
          <w:rFonts w:ascii="Garamond" w:hAnsi="Garamond"/>
          <w:b/>
          <w:sz w:val="22"/>
          <w:szCs w:val="22"/>
        </w:rPr>
        <w:t xml:space="preserve"> of </w:t>
      </w:r>
      <w:r w:rsidR="0007024C">
        <w:rPr>
          <w:rFonts w:ascii="Garamond" w:hAnsi="Garamond"/>
          <w:b/>
          <w:sz w:val="22"/>
          <w:szCs w:val="22"/>
        </w:rPr>
        <w:t>the year</w:t>
      </w:r>
      <w:r w:rsidRPr="00EE5F0F">
        <w:rPr>
          <w:rFonts w:ascii="Garamond" w:hAnsi="Garamond"/>
          <w:b/>
          <w:sz w:val="22"/>
          <w:szCs w:val="22"/>
        </w:rPr>
        <w:t xml:space="preserve">. </w:t>
      </w:r>
      <w:r w:rsidR="00BC3332" w:rsidRPr="00EE5F0F">
        <w:rPr>
          <w:rFonts w:ascii="Garamond" w:hAnsi="Garamond"/>
          <w:b/>
          <w:sz w:val="22"/>
          <w:szCs w:val="22"/>
        </w:rPr>
        <w:t>As for principal trade partners to Armenia</w:t>
      </w:r>
      <w:r w:rsidR="00BC3332">
        <w:rPr>
          <w:rFonts w:ascii="Garamond" w:hAnsi="Garamond"/>
          <w:b/>
          <w:sz w:val="22"/>
          <w:szCs w:val="22"/>
        </w:rPr>
        <w:t xml:space="preserve">, </w:t>
      </w:r>
      <w:r w:rsidR="0007024C">
        <w:rPr>
          <w:rFonts w:ascii="Garamond" w:hAnsi="Garamond"/>
          <w:b/>
          <w:sz w:val="22"/>
          <w:szCs w:val="22"/>
        </w:rPr>
        <w:t xml:space="preserve">relatively strong economic growth rates are expected in the </w:t>
      </w:r>
      <w:r w:rsidR="00BC3332">
        <w:rPr>
          <w:rFonts w:ascii="Garamond" w:hAnsi="Garamond"/>
          <w:b/>
          <w:sz w:val="22"/>
          <w:szCs w:val="22"/>
        </w:rPr>
        <w:t>United States</w:t>
      </w:r>
      <w:r w:rsidR="00954241" w:rsidRPr="00EE5F0F">
        <w:rPr>
          <w:rFonts w:ascii="Garamond" w:hAnsi="Garamond"/>
          <w:b/>
          <w:sz w:val="22"/>
          <w:szCs w:val="22"/>
        </w:rPr>
        <w:t xml:space="preserve">, </w:t>
      </w:r>
      <w:r w:rsidR="00BC3332">
        <w:rPr>
          <w:rFonts w:ascii="Garamond" w:hAnsi="Garamond"/>
          <w:b/>
          <w:sz w:val="22"/>
          <w:szCs w:val="22"/>
        </w:rPr>
        <w:t xml:space="preserve">some slowing in high </w:t>
      </w:r>
      <w:r w:rsidR="00954241" w:rsidRPr="00EE5F0F">
        <w:rPr>
          <w:rFonts w:ascii="Garamond" w:hAnsi="Garamond"/>
          <w:b/>
          <w:sz w:val="22"/>
          <w:szCs w:val="22"/>
        </w:rPr>
        <w:t xml:space="preserve">growth rates </w:t>
      </w:r>
      <w:r w:rsidR="00BC3332">
        <w:rPr>
          <w:rFonts w:ascii="Garamond" w:hAnsi="Garamond"/>
          <w:b/>
          <w:sz w:val="22"/>
          <w:szCs w:val="22"/>
        </w:rPr>
        <w:t>is</w:t>
      </w:r>
      <w:r w:rsidR="00954241" w:rsidRPr="00EE5F0F">
        <w:rPr>
          <w:rFonts w:ascii="Garamond" w:hAnsi="Garamond"/>
          <w:b/>
          <w:sz w:val="22"/>
          <w:szCs w:val="22"/>
        </w:rPr>
        <w:t xml:space="preserve"> </w:t>
      </w:r>
      <w:r w:rsidR="00BC3332">
        <w:rPr>
          <w:rFonts w:ascii="Garamond" w:hAnsi="Garamond"/>
          <w:b/>
          <w:sz w:val="22"/>
          <w:szCs w:val="22"/>
        </w:rPr>
        <w:t>anticipated in the</w:t>
      </w:r>
      <w:r w:rsidR="00954241" w:rsidRPr="00EE5F0F">
        <w:rPr>
          <w:rFonts w:ascii="Garamond" w:hAnsi="Garamond"/>
          <w:b/>
          <w:sz w:val="22"/>
          <w:szCs w:val="22"/>
        </w:rPr>
        <w:t xml:space="preserve"> Eurozone, while </w:t>
      </w:r>
      <w:r w:rsidR="00BC3332">
        <w:rPr>
          <w:rFonts w:ascii="Garamond" w:hAnsi="Garamond"/>
          <w:b/>
          <w:sz w:val="22"/>
          <w:szCs w:val="22"/>
        </w:rPr>
        <w:t xml:space="preserve">continued </w:t>
      </w:r>
      <w:r w:rsidR="00954241" w:rsidRPr="00EE5F0F">
        <w:rPr>
          <w:rFonts w:ascii="Garamond" w:hAnsi="Garamond"/>
          <w:b/>
          <w:sz w:val="22"/>
          <w:szCs w:val="22"/>
        </w:rPr>
        <w:t xml:space="preserve">recovery will be observable in </w:t>
      </w:r>
      <w:r w:rsidR="00BC3332">
        <w:rPr>
          <w:rFonts w:ascii="Garamond" w:hAnsi="Garamond"/>
          <w:b/>
          <w:sz w:val="22"/>
          <w:szCs w:val="22"/>
        </w:rPr>
        <w:t xml:space="preserve">the </w:t>
      </w:r>
      <w:r w:rsidR="00954241" w:rsidRPr="00EE5F0F">
        <w:rPr>
          <w:rFonts w:ascii="Garamond" w:hAnsi="Garamond"/>
          <w:b/>
          <w:sz w:val="22"/>
          <w:szCs w:val="22"/>
        </w:rPr>
        <w:t>Russia</w:t>
      </w:r>
      <w:r w:rsidR="00BC3332">
        <w:rPr>
          <w:rFonts w:ascii="Garamond" w:hAnsi="Garamond"/>
          <w:b/>
          <w:sz w:val="22"/>
          <w:szCs w:val="22"/>
        </w:rPr>
        <w:t>n economy</w:t>
      </w:r>
      <w:r w:rsidR="00E76EEB"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3417FE" w:rsidRPr="00AB24C1" w14:paraId="43557DA0" w14:textId="77777777" w:rsidTr="003417FE">
        <w:tc>
          <w:tcPr>
            <w:tcW w:w="6204" w:type="dxa"/>
          </w:tcPr>
          <w:p w14:paraId="1431534D" w14:textId="77777777" w:rsidR="003417FE" w:rsidRPr="00BC3332" w:rsidRDefault="00BC3332" w:rsidP="00BC3332">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global economy </w:t>
            </w:r>
            <w:r>
              <w:rPr>
                <w:rFonts w:ascii="Garamond" w:hAnsi="Garamond"/>
                <w:color w:val="0070C0"/>
                <w:sz w:val="20"/>
                <w:szCs w:val="20"/>
              </w:rPr>
              <w:t xml:space="preserve">strengthened over </w:t>
            </w:r>
            <w:r w:rsidRPr="00BC3332">
              <w:rPr>
                <w:rFonts w:ascii="Garamond" w:hAnsi="Garamond"/>
                <w:color w:val="0070C0"/>
                <w:sz w:val="20"/>
                <w:szCs w:val="20"/>
              </w:rPr>
              <w:t xml:space="preserve">the first half of 2018 </w:t>
            </w:r>
            <w:r>
              <w:rPr>
                <w:rFonts w:ascii="Garamond" w:hAnsi="Garamond"/>
                <w:color w:val="0070C0"/>
                <w:sz w:val="20"/>
                <w:szCs w:val="20"/>
              </w:rPr>
              <w:t>is expected to</w:t>
            </w:r>
            <w:r w:rsidRPr="00BC3332">
              <w:rPr>
                <w:rFonts w:ascii="Garamond" w:hAnsi="Garamond"/>
                <w:color w:val="0070C0"/>
                <w:sz w:val="20"/>
                <w:szCs w:val="20"/>
              </w:rPr>
              <w:t xml:space="preserve"> </w:t>
            </w:r>
            <w:r>
              <w:rPr>
                <w:rFonts w:ascii="Garamond" w:hAnsi="Garamond"/>
                <w:color w:val="0070C0"/>
                <w:sz w:val="20"/>
                <w:szCs w:val="20"/>
              </w:rPr>
              <w:t xml:space="preserve">remain so </w:t>
            </w:r>
            <w:r w:rsidRPr="00BC3332">
              <w:rPr>
                <w:rFonts w:ascii="Garamond" w:hAnsi="Garamond"/>
                <w:color w:val="0070C0"/>
                <w:sz w:val="20"/>
                <w:szCs w:val="20"/>
              </w:rPr>
              <w:t>over the second half of the year. As for principal trade partners to Armenia, relatively strong economic growth rates are expected in the United States, some slowing in high growth rates is anticipated in the Eurozone, while continued recovery will be observable in the Russian economy.</w:t>
            </w:r>
          </w:p>
        </w:tc>
      </w:tr>
    </w:tbl>
    <w:p w14:paraId="41C135FF" w14:textId="77777777" w:rsidR="003417FE" w:rsidRDefault="003417FE" w:rsidP="003417FE">
      <w:pPr>
        <w:autoSpaceDE w:val="0"/>
        <w:autoSpaceDN w:val="0"/>
        <w:adjustRightInd w:val="0"/>
        <w:spacing w:after="120" w:line="360" w:lineRule="auto"/>
        <w:jc w:val="both"/>
        <w:rPr>
          <w:rFonts w:ascii="Garamond" w:hAnsi="Garamond"/>
          <w:sz w:val="22"/>
          <w:szCs w:val="22"/>
        </w:rPr>
      </w:pPr>
    </w:p>
    <w:p w14:paraId="2C414D6E" w14:textId="77777777" w:rsidR="00EE619D" w:rsidRPr="00EE5F0F" w:rsidRDefault="00F3060D"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P</w:t>
      </w:r>
      <w:r w:rsidR="002C4561" w:rsidRPr="00EE5F0F">
        <w:rPr>
          <w:rFonts w:ascii="Garamond" w:hAnsi="Garamond"/>
          <w:b/>
          <w:sz w:val="22"/>
          <w:szCs w:val="22"/>
        </w:rPr>
        <w:t xml:space="preserve">rices will </w:t>
      </w:r>
      <w:r>
        <w:rPr>
          <w:rFonts w:ascii="Garamond" w:hAnsi="Garamond"/>
          <w:b/>
          <w:sz w:val="22"/>
          <w:szCs w:val="22"/>
        </w:rPr>
        <w:t>remain relatively high i</w:t>
      </w:r>
      <w:r w:rsidR="002C4561" w:rsidRPr="00EE5F0F">
        <w:rPr>
          <w:rFonts w:ascii="Garamond" w:hAnsi="Garamond"/>
          <w:b/>
          <w:sz w:val="22"/>
          <w:szCs w:val="22"/>
        </w:rPr>
        <w:t xml:space="preserve">n </w:t>
      </w:r>
      <w:r>
        <w:rPr>
          <w:rFonts w:ascii="Garamond" w:hAnsi="Garamond"/>
          <w:b/>
          <w:sz w:val="22"/>
          <w:szCs w:val="22"/>
        </w:rPr>
        <w:t xml:space="preserve">the </w:t>
      </w:r>
      <w:r w:rsidR="002C4561" w:rsidRPr="00EE5F0F">
        <w:rPr>
          <w:rFonts w:ascii="Garamond" w:hAnsi="Garamond"/>
          <w:b/>
          <w:sz w:val="22"/>
          <w:szCs w:val="22"/>
        </w:rPr>
        <w:t>world</w:t>
      </w:r>
      <w:r>
        <w:rPr>
          <w:rFonts w:ascii="Garamond" w:hAnsi="Garamond"/>
          <w:b/>
          <w:sz w:val="22"/>
          <w:szCs w:val="22"/>
        </w:rPr>
        <w:t>’s raw material and food product ma</w:t>
      </w:r>
      <w:r w:rsidR="002C4561" w:rsidRPr="00EE5F0F">
        <w:rPr>
          <w:rFonts w:ascii="Garamond" w:hAnsi="Garamond"/>
          <w:b/>
          <w:sz w:val="22"/>
          <w:szCs w:val="22"/>
        </w:rPr>
        <w:t>rkets over 2018 owing to supply factor</w:t>
      </w:r>
      <w:r w:rsidR="001547FD">
        <w:rPr>
          <w:rFonts w:ascii="Garamond" w:hAnsi="Garamond"/>
          <w:b/>
          <w:sz w:val="22"/>
          <w:szCs w:val="22"/>
        </w:rPr>
        <w:t xml:space="preserve">-associated matters </w:t>
      </w:r>
      <w:r>
        <w:rPr>
          <w:rFonts w:ascii="Garamond" w:hAnsi="Garamond"/>
          <w:b/>
          <w:sz w:val="22"/>
          <w:szCs w:val="22"/>
        </w:rPr>
        <w:t>in the light of</w:t>
      </w:r>
      <w:r w:rsidRPr="00F3060D">
        <w:rPr>
          <w:rFonts w:ascii="Garamond" w:hAnsi="Garamond"/>
          <w:b/>
          <w:sz w:val="22"/>
          <w:szCs w:val="22"/>
        </w:rPr>
        <w:t xml:space="preserve"> </w:t>
      </w:r>
      <w:r>
        <w:rPr>
          <w:rFonts w:ascii="Garamond" w:hAnsi="Garamond"/>
          <w:b/>
          <w:sz w:val="22"/>
          <w:szCs w:val="22"/>
        </w:rPr>
        <w:t xml:space="preserve">a </w:t>
      </w:r>
      <w:r w:rsidRPr="00F3060D">
        <w:rPr>
          <w:rFonts w:ascii="Garamond" w:hAnsi="Garamond"/>
          <w:b/>
          <w:sz w:val="22"/>
          <w:szCs w:val="22"/>
        </w:rPr>
        <w:t>s</w:t>
      </w:r>
      <w:r>
        <w:rPr>
          <w:rFonts w:ascii="Garamond" w:hAnsi="Garamond"/>
          <w:b/>
          <w:sz w:val="22"/>
          <w:szCs w:val="22"/>
        </w:rPr>
        <w:t xml:space="preserve">ustainable </w:t>
      </w:r>
      <w:r w:rsidRPr="00F3060D">
        <w:rPr>
          <w:rFonts w:ascii="Garamond" w:hAnsi="Garamond"/>
          <w:b/>
          <w:sz w:val="22"/>
          <w:szCs w:val="22"/>
        </w:rPr>
        <w:t>demand</w:t>
      </w:r>
      <w:r>
        <w:rPr>
          <w:rFonts w:ascii="Garamond" w:hAnsi="Garamond"/>
          <w:b/>
          <w:sz w:val="22"/>
          <w:szCs w:val="22"/>
        </w:rPr>
        <w:t>.</w:t>
      </w:r>
      <w:r w:rsidR="002C4561" w:rsidRPr="00EE5F0F">
        <w:rPr>
          <w:rFonts w:ascii="Garamond" w:hAnsi="Garamond"/>
          <w:b/>
          <w:sz w:val="22"/>
          <w:szCs w:val="22"/>
        </w:rPr>
        <w:t xml:space="preserve"> </w:t>
      </w:r>
    </w:p>
    <w:p w14:paraId="60444DF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Economic developments in the external sector:</w:t>
      </w:r>
      <w:r w:rsidRPr="00EE5F0F">
        <w:rPr>
          <w:rFonts w:ascii="Garamond" w:hAnsi="Garamond"/>
          <w:sz w:val="22"/>
          <w:szCs w:val="22"/>
        </w:rPr>
        <w:t xml:space="preserve"> According to preliminary estimates of the Bureau of Economic Analysis of the U.S. Department of Commerce, economic growth in the </w:t>
      </w:r>
      <w:r w:rsidRPr="00EE5F0F">
        <w:rPr>
          <w:rFonts w:ascii="Garamond" w:hAnsi="Garamond"/>
          <w:b/>
          <w:sz w:val="22"/>
          <w:szCs w:val="22"/>
        </w:rPr>
        <w:t>United States</w:t>
      </w:r>
      <w:r w:rsidRPr="00EE5F0F">
        <w:rPr>
          <w:rFonts w:ascii="Garamond" w:hAnsi="Garamond"/>
          <w:b/>
          <w:sz w:val="22"/>
          <w:szCs w:val="22"/>
          <w:lang w:val="hy-AM"/>
        </w:rPr>
        <w:t xml:space="preserve"> </w:t>
      </w:r>
      <w:r w:rsidR="00506EA5" w:rsidRPr="00EE5F0F">
        <w:rPr>
          <w:rFonts w:ascii="Garamond" w:hAnsi="Garamond"/>
          <w:sz w:val="22"/>
          <w:szCs w:val="22"/>
        </w:rPr>
        <w:t xml:space="preserve">in the </w:t>
      </w:r>
      <w:r w:rsidR="001547FD">
        <w:rPr>
          <w:rFonts w:ascii="Garamond" w:hAnsi="Garamond"/>
          <w:sz w:val="22"/>
          <w:szCs w:val="22"/>
        </w:rPr>
        <w:lastRenderedPageBreak/>
        <w:t>second</w:t>
      </w:r>
      <w:r w:rsidR="00240895" w:rsidRPr="00EE5F0F">
        <w:rPr>
          <w:rFonts w:ascii="Garamond" w:hAnsi="Garamond"/>
          <w:sz w:val="22"/>
          <w:szCs w:val="22"/>
        </w:rPr>
        <w:t xml:space="preserve"> </w:t>
      </w:r>
      <w:r w:rsidRPr="00EE5F0F">
        <w:rPr>
          <w:rFonts w:ascii="Garamond" w:hAnsi="Garamond"/>
          <w:sz w:val="22"/>
          <w:szCs w:val="22"/>
        </w:rPr>
        <w:t>quarter of 201</w:t>
      </w:r>
      <w:r w:rsidR="00240895" w:rsidRPr="00EE5F0F">
        <w:rPr>
          <w:rFonts w:ascii="Garamond" w:hAnsi="Garamond"/>
          <w:sz w:val="22"/>
          <w:szCs w:val="22"/>
        </w:rPr>
        <w:t>8</w:t>
      </w:r>
      <w:r w:rsidRPr="00EE5F0F">
        <w:rPr>
          <w:rFonts w:ascii="Garamond" w:hAnsi="Garamond"/>
          <w:sz w:val="22"/>
          <w:szCs w:val="22"/>
        </w:rPr>
        <w:t xml:space="preserve"> was 2.</w:t>
      </w:r>
      <w:r w:rsidR="001547FD">
        <w:rPr>
          <w:rFonts w:ascii="Garamond" w:hAnsi="Garamond"/>
          <w:sz w:val="22"/>
          <w:szCs w:val="22"/>
        </w:rPr>
        <w:t>8</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projected at 2.</w:t>
      </w:r>
      <w:r w:rsidR="001547FD">
        <w:rPr>
          <w:rFonts w:ascii="Garamond" w:hAnsi="Garamond"/>
          <w:sz w:val="22"/>
          <w:szCs w:val="22"/>
        </w:rPr>
        <w:t>8</w:t>
      </w:r>
      <w:r w:rsidRPr="00EE5F0F">
        <w:rPr>
          <w:rFonts w:ascii="Garamond" w:hAnsi="Garamond"/>
          <w:sz w:val="22"/>
          <w:szCs w:val="22"/>
        </w:rPr>
        <w:t>% for 201</w:t>
      </w:r>
      <w:r w:rsidR="00240895" w:rsidRPr="00EE5F0F">
        <w:rPr>
          <w:rFonts w:ascii="Garamond" w:hAnsi="Garamond"/>
          <w:sz w:val="22"/>
          <w:szCs w:val="22"/>
        </w:rPr>
        <w:t>8</w:t>
      </w:r>
      <w:r w:rsidR="001547FD">
        <w:rPr>
          <w:rFonts w:ascii="Garamond" w:hAnsi="Garamond"/>
          <w:sz w:val="22"/>
          <w:szCs w:val="22"/>
        </w:rPr>
        <w:t>,</w:t>
      </w:r>
      <w:r w:rsidR="00240895" w:rsidRPr="00EE5F0F">
        <w:rPr>
          <w:rFonts w:ascii="Garamond" w:hAnsi="Garamond"/>
          <w:sz w:val="22"/>
          <w:szCs w:val="22"/>
        </w:rPr>
        <w:t xml:space="preserve"> </w:t>
      </w:r>
      <w:r w:rsidR="001547FD">
        <w:rPr>
          <w:rFonts w:ascii="Garamond" w:hAnsi="Garamond"/>
          <w:sz w:val="22"/>
          <w:szCs w:val="22"/>
        </w:rPr>
        <w:t>driven</w:t>
      </w:r>
      <w:r w:rsidR="00240895" w:rsidRPr="00EE5F0F">
        <w:rPr>
          <w:rFonts w:ascii="Garamond" w:hAnsi="Garamond"/>
          <w:sz w:val="22"/>
          <w:szCs w:val="22"/>
        </w:rPr>
        <w:t xml:space="preserve"> </w:t>
      </w:r>
      <w:r w:rsidR="001547FD">
        <w:rPr>
          <w:rFonts w:ascii="Garamond" w:hAnsi="Garamond"/>
          <w:sz w:val="22"/>
          <w:szCs w:val="22"/>
        </w:rPr>
        <w:t xml:space="preserve">by </w:t>
      </w:r>
      <w:r w:rsidR="00240895" w:rsidRPr="00EE5F0F">
        <w:rPr>
          <w:rFonts w:ascii="Garamond" w:hAnsi="Garamond"/>
          <w:sz w:val="22"/>
          <w:szCs w:val="22"/>
        </w:rPr>
        <w:t xml:space="preserve">robust </w:t>
      </w:r>
      <w:r w:rsidR="001547FD">
        <w:rPr>
          <w:rFonts w:ascii="Garamond" w:hAnsi="Garamond"/>
          <w:sz w:val="22"/>
          <w:szCs w:val="22"/>
        </w:rPr>
        <w:t>domestic</w:t>
      </w:r>
      <w:r w:rsidR="00240895" w:rsidRPr="00EE5F0F">
        <w:rPr>
          <w:rFonts w:ascii="Garamond" w:hAnsi="Garamond"/>
          <w:sz w:val="22"/>
          <w:szCs w:val="22"/>
        </w:rPr>
        <w:t xml:space="preserve"> demand and </w:t>
      </w:r>
      <w:r w:rsidR="001547FD">
        <w:rPr>
          <w:rFonts w:ascii="Garamond" w:hAnsi="Garamond"/>
          <w:sz w:val="22"/>
          <w:szCs w:val="22"/>
        </w:rPr>
        <w:t xml:space="preserve">increased net export. </w:t>
      </w:r>
      <w:r w:rsidR="008D51E4" w:rsidRPr="00EE5F0F">
        <w:rPr>
          <w:rFonts w:ascii="Garamond" w:hAnsi="Garamond"/>
          <w:sz w:val="22"/>
          <w:szCs w:val="22"/>
        </w:rPr>
        <w:t xml:space="preserve">In the </w:t>
      </w:r>
      <w:r w:rsidR="001547FD">
        <w:rPr>
          <w:rFonts w:ascii="Garamond" w:hAnsi="Garamond"/>
          <w:sz w:val="22"/>
          <w:szCs w:val="22"/>
        </w:rPr>
        <w:t>second</w:t>
      </w:r>
      <w:r w:rsidR="00951313" w:rsidRPr="00EE5F0F">
        <w:rPr>
          <w:rFonts w:ascii="Garamond" w:hAnsi="Garamond"/>
          <w:sz w:val="22"/>
          <w:szCs w:val="22"/>
        </w:rPr>
        <w:t xml:space="preserve"> </w:t>
      </w:r>
      <w:r w:rsidR="008D51E4" w:rsidRPr="00EE5F0F">
        <w:rPr>
          <w:rFonts w:ascii="Garamond" w:hAnsi="Garamond"/>
          <w:sz w:val="22"/>
          <w:szCs w:val="22"/>
        </w:rPr>
        <w:t>quarter of 201</w:t>
      </w:r>
      <w:r w:rsidR="00951313" w:rsidRPr="00EE5F0F">
        <w:rPr>
          <w:rFonts w:ascii="Garamond" w:hAnsi="Garamond"/>
          <w:sz w:val="22"/>
          <w:szCs w:val="22"/>
        </w:rPr>
        <w:t>8</w:t>
      </w:r>
      <w:r w:rsidR="008D51E4" w:rsidRPr="00EE5F0F">
        <w:rPr>
          <w:rFonts w:ascii="Garamond" w:hAnsi="Garamond"/>
          <w:sz w:val="22"/>
          <w:szCs w:val="22"/>
        </w:rPr>
        <w:t xml:space="preserve"> the u</w:t>
      </w:r>
      <w:r w:rsidR="00506EA5" w:rsidRPr="00EE5F0F">
        <w:rPr>
          <w:rFonts w:ascii="Garamond" w:hAnsi="Garamond"/>
          <w:sz w:val="22"/>
          <w:szCs w:val="22"/>
        </w:rPr>
        <w:t xml:space="preserve">nemployment rate </w:t>
      </w:r>
      <w:r w:rsidR="001547FD">
        <w:rPr>
          <w:rFonts w:ascii="Garamond" w:hAnsi="Garamond"/>
          <w:sz w:val="22"/>
          <w:szCs w:val="22"/>
        </w:rPr>
        <w:t xml:space="preserve">reduced to </w:t>
      </w:r>
      <w:r w:rsidR="00506EA5" w:rsidRPr="00EE5F0F">
        <w:rPr>
          <w:rFonts w:ascii="Garamond" w:hAnsi="Garamond"/>
          <w:sz w:val="22"/>
          <w:szCs w:val="22"/>
        </w:rPr>
        <w:t>4.</w:t>
      </w:r>
      <w:r w:rsidR="001547FD">
        <w:rPr>
          <w:rFonts w:ascii="Garamond" w:hAnsi="Garamond"/>
          <w:sz w:val="22"/>
          <w:szCs w:val="22"/>
        </w:rPr>
        <w:t>0</w:t>
      </w:r>
      <w:r w:rsidR="00506EA5" w:rsidRPr="00EE5F0F">
        <w:rPr>
          <w:rFonts w:ascii="Garamond" w:hAnsi="Garamond"/>
          <w:sz w:val="22"/>
          <w:szCs w:val="22"/>
        </w:rPr>
        <w:t>%.</w:t>
      </w:r>
      <w:r w:rsidR="008D51E4" w:rsidRPr="00EE5F0F">
        <w:rPr>
          <w:rFonts w:ascii="Garamond" w:hAnsi="Garamond"/>
          <w:sz w:val="22"/>
          <w:szCs w:val="22"/>
        </w:rPr>
        <w:t xml:space="preserve"> </w:t>
      </w:r>
    </w:p>
    <w:p w14:paraId="37704191"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According to preliminary estimates provided by the Eurostat, economic growth in the</w:t>
      </w:r>
      <w:r w:rsidRPr="00EE5F0F">
        <w:rPr>
          <w:rFonts w:ascii="Garamond" w:hAnsi="Garamond"/>
          <w:sz w:val="22"/>
          <w:szCs w:val="22"/>
          <w:lang w:val="hy-AM"/>
        </w:rPr>
        <w:t xml:space="preserve"> </w:t>
      </w:r>
      <w:r w:rsidRPr="00EE5F0F">
        <w:rPr>
          <w:rFonts w:ascii="Garamond" w:hAnsi="Garamond"/>
          <w:b/>
          <w:sz w:val="22"/>
          <w:szCs w:val="22"/>
        </w:rPr>
        <w:t>Eurozone</w:t>
      </w:r>
      <w:r w:rsidRPr="00EE5F0F">
        <w:rPr>
          <w:rFonts w:ascii="Garamond" w:hAnsi="Garamond"/>
          <w:b/>
          <w:sz w:val="22"/>
          <w:szCs w:val="22"/>
          <w:lang w:val="hy-AM"/>
        </w:rPr>
        <w:t xml:space="preserve"> </w:t>
      </w:r>
      <w:r w:rsidRPr="00EE5F0F">
        <w:rPr>
          <w:rFonts w:ascii="Garamond" w:hAnsi="Garamond"/>
          <w:sz w:val="22"/>
          <w:szCs w:val="22"/>
        </w:rPr>
        <w:t xml:space="preserve">in the </w:t>
      </w:r>
      <w:r w:rsidR="008D29B5">
        <w:rPr>
          <w:rFonts w:ascii="Garamond" w:hAnsi="Garamond"/>
          <w:sz w:val="22"/>
          <w:szCs w:val="22"/>
        </w:rPr>
        <w:t>second</w:t>
      </w:r>
      <w:r w:rsidR="00525AE5" w:rsidRPr="00EE5F0F">
        <w:rPr>
          <w:rFonts w:ascii="Garamond" w:hAnsi="Garamond"/>
          <w:sz w:val="22"/>
          <w:szCs w:val="22"/>
        </w:rPr>
        <w:t xml:space="preserve"> quarter of 2018</w:t>
      </w:r>
      <w:r w:rsidRPr="00EE5F0F">
        <w:rPr>
          <w:rFonts w:ascii="Garamond" w:hAnsi="Garamond"/>
          <w:sz w:val="22"/>
          <w:szCs w:val="22"/>
          <w:lang w:val="hy-AM"/>
        </w:rPr>
        <w:t xml:space="preserve"> </w:t>
      </w:r>
      <w:r w:rsidR="00C06522" w:rsidRPr="00EE5F0F">
        <w:rPr>
          <w:rFonts w:ascii="Garamond" w:hAnsi="Garamond"/>
          <w:sz w:val="22"/>
          <w:szCs w:val="22"/>
        </w:rPr>
        <w:t xml:space="preserve">amounted to </w:t>
      </w:r>
      <w:r w:rsidRPr="00EE5F0F">
        <w:rPr>
          <w:rFonts w:ascii="Garamond" w:hAnsi="Garamond"/>
          <w:sz w:val="22"/>
          <w:szCs w:val="22"/>
        </w:rPr>
        <w:t>2.</w:t>
      </w:r>
      <w:r w:rsidR="008D29B5">
        <w:rPr>
          <w:rFonts w:ascii="Garamond" w:hAnsi="Garamond"/>
          <w:sz w:val="22"/>
          <w:szCs w:val="22"/>
        </w:rPr>
        <w:t>1</w:t>
      </w:r>
      <w:r w:rsidRPr="00EE5F0F">
        <w:rPr>
          <w:rFonts w:ascii="Garamond" w:hAnsi="Garamond"/>
          <w:sz w:val="22"/>
          <w:szCs w:val="22"/>
        </w:rPr>
        <w:t>% y/y</w:t>
      </w:r>
      <w:r w:rsidR="003B213B" w:rsidRPr="00EE5F0F">
        <w:rPr>
          <w:rFonts w:ascii="Garamond" w:hAnsi="Garamond"/>
          <w:sz w:val="22"/>
          <w:szCs w:val="22"/>
        </w:rPr>
        <w:t>;</w:t>
      </w:r>
      <w:r w:rsidR="00533644" w:rsidRPr="00EE5F0F">
        <w:rPr>
          <w:rFonts w:ascii="Garamond" w:hAnsi="Garamond"/>
          <w:sz w:val="22"/>
          <w:szCs w:val="22"/>
        </w:rPr>
        <w:t xml:space="preserve"> </w:t>
      </w:r>
      <w:r w:rsidR="00525AE5" w:rsidRPr="00EE5F0F">
        <w:rPr>
          <w:rFonts w:ascii="Garamond" w:hAnsi="Garamond"/>
          <w:sz w:val="22"/>
          <w:szCs w:val="22"/>
        </w:rPr>
        <w:t xml:space="preserve">that much is predicted </w:t>
      </w:r>
      <w:r w:rsidR="00533644" w:rsidRPr="00EE5F0F">
        <w:rPr>
          <w:rFonts w:ascii="Garamond" w:hAnsi="Garamond"/>
          <w:sz w:val="22"/>
          <w:szCs w:val="22"/>
        </w:rPr>
        <w:t xml:space="preserve">for the </w:t>
      </w:r>
      <w:r w:rsidR="00525AE5" w:rsidRPr="00EE5F0F">
        <w:rPr>
          <w:rFonts w:ascii="Garamond" w:hAnsi="Garamond"/>
          <w:sz w:val="22"/>
          <w:szCs w:val="22"/>
        </w:rPr>
        <w:t>entire year</w:t>
      </w:r>
      <w:r w:rsidR="008D29B5">
        <w:rPr>
          <w:rFonts w:ascii="Garamond" w:hAnsi="Garamond"/>
          <w:sz w:val="22"/>
          <w:szCs w:val="22"/>
        </w:rPr>
        <w:t xml:space="preserve">, mainly owing to </w:t>
      </w:r>
      <w:r w:rsidR="008D29B5" w:rsidRPr="008D29B5">
        <w:rPr>
          <w:rFonts w:ascii="Garamond" w:hAnsi="Garamond"/>
          <w:sz w:val="22"/>
          <w:szCs w:val="22"/>
        </w:rPr>
        <w:t>the increase in private consumption</w:t>
      </w:r>
      <w:r w:rsidR="008D29B5">
        <w:rPr>
          <w:rFonts w:ascii="Garamond" w:hAnsi="Garamond"/>
          <w:sz w:val="22"/>
          <w:szCs w:val="22"/>
        </w:rPr>
        <w:t xml:space="preserve"> and a certain </w:t>
      </w:r>
      <w:r w:rsidR="008D29B5" w:rsidRPr="008D29B5">
        <w:rPr>
          <w:rFonts w:ascii="Garamond" w:hAnsi="Garamond"/>
          <w:sz w:val="22"/>
          <w:szCs w:val="22"/>
        </w:rPr>
        <w:t>positive impact of investment growth.</w:t>
      </w:r>
      <w:r w:rsidR="008D29B5">
        <w:rPr>
          <w:rFonts w:ascii="Garamond" w:hAnsi="Garamond"/>
          <w:sz w:val="22"/>
          <w:szCs w:val="22"/>
        </w:rPr>
        <w:t xml:space="preserve"> In the second</w:t>
      </w:r>
      <w:r w:rsidR="008D29B5" w:rsidRPr="00EE5F0F">
        <w:rPr>
          <w:rFonts w:ascii="Garamond" w:hAnsi="Garamond"/>
          <w:sz w:val="22"/>
          <w:szCs w:val="22"/>
        </w:rPr>
        <w:t xml:space="preserve"> quarter of 2018</w:t>
      </w:r>
      <w:r w:rsidR="008D29B5" w:rsidRPr="00EE5F0F">
        <w:rPr>
          <w:rFonts w:ascii="Garamond" w:hAnsi="Garamond"/>
          <w:sz w:val="22"/>
          <w:szCs w:val="22"/>
          <w:lang w:val="hy-AM"/>
        </w:rPr>
        <w:t xml:space="preserve"> </w:t>
      </w:r>
      <w:r w:rsidR="008D29B5">
        <w:rPr>
          <w:rFonts w:ascii="Garamond" w:hAnsi="Garamond"/>
          <w:sz w:val="22"/>
          <w:szCs w:val="22"/>
        </w:rPr>
        <w:t>t</w:t>
      </w:r>
      <w:r w:rsidR="003B213B" w:rsidRPr="00EE5F0F">
        <w:rPr>
          <w:rFonts w:ascii="Garamond" w:hAnsi="Garamond"/>
          <w:sz w:val="22"/>
          <w:szCs w:val="22"/>
        </w:rPr>
        <w:t>he unemployment rate further dropped to 8.</w:t>
      </w:r>
      <w:r w:rsidR="008D29B5">
        <w:rPr>
          <w:rFonts w:ascii="Garamond" w:hAnsi="Garamond"/>
          <w:sz w:val="22"/>
          <w:szCs w:val="22"/>
        </w:rPr>
        <w:t>4</w:t>
      </w:r>
      <w:r w:rsidR="003B213B" w:rsidRPr="00EE5F0F">
        <w:rPr>
          <w:rFonts w:ascii="Garamond" w:hAnsi="Garamond"/>
          <w:sz w:val="22"/>
          <w:szCs w:val="22"/>
        </w:rPr>
        <w:t>%.</w:t>
      </w:r>
      <w:r w:rsidR="00ED2E1C" w:rsidRPr="00EE5F0F">
        <w:rPr>
          <w:rFonts w:ascii="Garamond" w:hAnsi="Garamond"/>
          <w:sz w:val="22"/>
          <w:szCs w:val="22"/>
        </w:rPr>
        <w:t xml:space="preserve"> </w:t>
      </w:r>
    </w:p>
    <w:p w14:paraId="68903808"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preliminary estimates </w:t>
      </w:r>
      <w:r w:rsidR="007B1049" w:rsidRPr="00EE5F0F">
        <w:rPr>
          <w:rFonts w:ascii="Garamond" w:hAnsi="Garamond"/>
          <w:sz w:val="22"/>
          <w:szCs w:val="22"/>
        </w:rPr>
        <w:t>provided by</w:t>
      </w:r>
      <w:r w:rsidRPr="00EE5F0F">
        <w:rPr>
          <w:rFonts w:ascii="Garamond" w:hAnsi="Garamond"/>
          <w:sz w:val="22"/>
          <w:szCs w:val="22"/>
        </w:rPr>
        <w:t xml:space="preserve"> State Statistics Service of the</w:t>
      </w:r>
      <w:r w:rsidRPr="00EE5F0F">
        <w:rPr>
          <w:rFonts w:ascii="Garamond" w:hAnsi="Garamond"/>
          <w:b/>
          <w:sz w:val="22"/>
          <w:szCs w:val="22"/>
        </w:rPr>
        <w:t xml:space="preserve"> Russian Federation</w:t>
      </w:r>
      <w:r w:rsidRPr="00EE5F0F">
        <w:rPr>
          <w:rFonts w:ascii="Garamond" w:hAnsi="Garamond"/>
          <w:sz w:val="22"/>
          <w:szCs w:val="22"/>
        </w:rPr>
        <w:t xml:space="preserve">, economic growth in the </w:t>
      </w:r>
      <w:r w:rsidR="00FA03A5">
        <w:rPr>
          <w:rFonts w:ascii="Garamond" w:hAnsi="Garamond"/>
          <w:sz w:val="22"/>
          <w:szCs w:val="22"/>
        </w:rPr>
        <w:t>second</w:t>
      </w:r>
      <w:r w:rsidR="005776E9" w:rsidRPr="00EE5F0F">
        <w:rPr>
          <w:rFonts w:ascii="Garamond" w:hAnsi="Garamond"/>
          <w:sz w:val="22"/>
          <w:szCs w:val="22"/>
        </w:rPr>
        <w:t xml:space="preserve"> </w:t>
      </w:r>
      <w:r w:rsidRPr="00EE5F0F">
        <w:rPr>
          <w:rFonts w:ascii="Garamond" w:hAnsi="Garamond"/>
          <w:sz w:val="22"/>
          <w:szCs w:val="22"/>
        </w:rPr>
        <w:t xml:space="preserve">quarter </w:t>
      </w:r>
      <w:r w:rsidR="005776E9" w:rsidRPr="00EE5F0F">
        <w:rPr>
          <w:rFonts w:ascii="Garamond" w:hAnsi="Garamond"/>
          <w:sz w:val="22"/>
          <w:szCs w:val="22"/>
        </w:rPr>
        <w:t xml:space="preserve">of 2018 </w:t>
      </w:r>
      <w:r w:rsidRPr="00EE5F0F">
        <w:rPr>
          <w:rFonts w:ascii="Garamond" w:hAnsi="Garamond"/>
          <w:sz w:val="22"/>
          <w:szCs w:val="22"/>
        </w:rPr>
        <w:t>was 1.</w:t>
      </w:r>
      <w:r w:rsidR="00FA03A5">
        <w:rPr>
          <w:rFonts w:ascii="Garamond" w:hAnsi="Garamond"/>
          <w:sz w:val="22"/>
          <w:szCs w:val="22"/>
        </w:rPr>
        <w:t>8</w:t>
      </w:r>
      <w:r w:rsidRPr="00EE5F0F">
        <w:rPr>
          <w:rFonts w:ascii="Garamond" w:hAnsi="Garamond"/>
          <w:sz w:val="22"/>
          <w:szCs w:val="22"/>
        </w:rPr>
        <w:t>% y/y</w:t>
      </w:r>
      <w:r w:rsidR="005776E9" w:rsidRPr="00EE5F0F">
        <w:rPr>
          <w:rFonts w:ascii="Garamond" w:hAnsi="Garamond"/>
          <w:sz w:val="22"/>
          <w:szCs w:val="22"/>
        </w:rPr>
        <w:t xml:space="preserve"> against </w:t>
      </w:r>
      <w:r w:rsidR="007B1049" w:rsidRPr="00EE5F0F">
        <w:rPr>
          <w:rFonts w:ascii="Garamond" w:hAnsi="Garamond"/>
          <w:sz w:val="22"/>
          <w:szCs w:val="22"/>
        </w:rPr>
        <w:t xml:space="preserve">the previous quarter’s </w:t>
      </w:r>
      <w:r w:rsidR="00FA03A5">
        <w:rPr>
          <w:rFonts w:ascii="Garamond" w:hAnsi="Garamond"/>
          <w:sz w:val="22"/>
          <w:szCs w:val="22"/>
        </w:rPr>
        <w:t>1</w:t>
      </w:r>
      <w:r w:rsidR="00CE3BB4" w:rsidRPr="00EE5F0F">
        <w:rPr>
          <w:rFonts w:ascii="Garamond" w:hAnsi="Garamond"/>
          <w:sz w:val="22"/>
          <w:szCs w:val="22"/>
        </w:rPr>
        <w:t>.</w:t>
      </w:r>
      <w:r w:rsidR="00FA03A5">
        <w:rPr>
          <w:rFonts w:ascii="Garamond" w:hAnsi="Garamond"/>
          <w:sz w:val="22"/>
          <w:szCs w:val="22"/>
        </w:rPr>
        <w:t>3</w:t>
      </w:r>
      <w:r w:rsidR="00CE3BB4" w:rsidRPr="00EE5F0F">
        <w:rPr>
          <w:rFonts w:ascii="Garamond" w:hAnsi="Garamond"/>
          <w:sz w:val="22"/>
          <w:szCs w:val="22"/>
        </w:rPr>
        <w:t>%</w:t>
      </w:r>
      <w:r w:rsidR="005776E9" w:rsidRPr="00EE5F0F">
        <w:rPr>
          <w:rFonts w:ascii="Garamond" w:hAnsi="Garamond"/>
          <w:sz w:val="22"/>
          <w:szCs w:val="22"/>
        </w:rPr>
        <w:t xml:space="preserve">. </w:t>
      </w:r>
      <w:r w:rsidR="00CE3BB4" w:rsidRPr="00EE5F0F">
        <w:rPr>
          <w:rFonts w:ascii="Garamond" w:hAnsi="Garamond"/>
          <w:sz w:val="22"/>
          <w:szCs w:val="22"/>
        </w:rPr>
        <w:t>The 2018 economic growth is forecast to reach 1.</w:t>
      </w:r>
      <w:r w:rsidR="00FA03A5">
        <w:rPr>
          <w:rFonts w:ascii="Garamond" w:hAnsi="Garamond"/>
          <w:sz w:val="22"/>
          <w:szCs w:val="22"/>
        </w:rPr>
        <w:t>7</w:t>
      </w:r>
      <w:r w:rsidR="00CE3BB4" w:rsidRPr="00EE5F0F">
        <w:rPr>
          <w:rFonts w:ascii="Garamond" w:hAnsi="Garamond"/>
          <w:sz w:val="22"/>
          <w:szCs w:val="22"/>
        </w:rPr>
        <w:t>%</w:t>
      </w:r>
      <w:r w:rsidR="00FA03A5">
        <w:rPr>
          <w:rFonts w:ascii="Garamond" w:hAnsi="Garamond"/>
          <w:sz w:val="22"/>
          <w:szCs w:val="22"/>
        </w:rPr>
        <w:t xml:space="preserve"> – t</w:t>
      </w:r>
      <w:r w:rsidR="00FA03A5" w:rsidRPr="00FA03A5">
        <w:rPr>
          <w:rFonts w:ascii="Garamond" w:hAnsi="Garamond"/>
          <w:sz w:val="22"/>
          <w:szCs w:val="22"/>
        </w:rPr>
        <w:t xml:space="preserve">he </w:t>
      </w:r>
      <w:r w:rsidR="00FA03A5">
        <w:rPr>
          <w:rFonts w:ascii="Garamond" w:hAnsi="Garamond"/>
          <w:sz w:val="22"/>
          <w:szCs w:val="22"/>
        </w:rPr>
        <w:t xml:space="preserve">reported </w:t>
      </w:r>
      <w:r w:rsidR="00FA03A5" w:rsidRPr="00FA03A5">
        <w:rPr>
          <w:rFonts w:ascii="Garamond" w:hAnsi="Garamond"/>
          <w:sz w:val="22"/>
          <w:szCs w:val="22"/>
        </w:rPr>
        <w:t>growth of tourism and service</w:t>
      </w:r>
      <w:r w:rsidR="00FA03A5">
        <w:rPr>
          <w:rFonts w:ascii="Garamond" w:hAnsi="Garamond"/>
          <w:sz w:val="22"/>
          <w:szCs w:val="22"/>
        </w:rPr>
        <w:t>s</w:t>
      </w:r>
      <w:r w:rsidR="00FA03A5" w:rsidRPr="00FA03A5">
        <w:rPr>
          <w:rFonts w:ascii="Garamond" w:hAnsi="Garamond"/>
          <w:sz w:val="22"/>
          <w:szCs w:val="22"/>
        </w:rPr>
        <w:t xml:space="preserve"> during the </w:t>
      </w:r>
      <w:r w:rsidR="00FA03A5">
        <w:rPr>
          <w:rFonts w:ascii="Garamond" w:hAnsi="Garamond"/>
          <w:sz w:val="22"/>
          <w:szCs w:val="22"/>
        </w:rPr>
        <w:t xml:space="preserve">FIFA World Cup 2018 in </w:t>
      </w:r>
      <w:r w:rsidR="00FA03A5" w:rsidRPr="00FA03A5">
        <w:rPr>
          <w:rFonts w:ascii="Garamond" w:hAnsi="Garamond"/>
          <w:sz w:val="22"/>
          <w:szCs w:val="22"/>
        </w:rPr>
        <w:t xml:space="preserve">Russia </w:t>
      </w:r>
      <w:r w:rsidR="00FA03A5">
        <w:rPr>
          <w:rFonts w:ascii="Garamond" w:hAnsi="Garamond"/>
          <w:sz w:val="22"/>
          <w:szCs w:val="22"/>
        </w:rPr>
        <w:t xml:space="preserve">contributed positively to </w:t>
      </w:r>
      <w:r w:rsidR="00FA03A5" w:rsidRPr="00FA03A5">
        <w:rPr>
          <w:rFonts w:ascii="Garamond" w:hAnsi="Garamond"/>
          <w:sz w:val="22"/>
          <w:szCs w:val="22"/>
        </w:rPr>
        <w:t>the second and third quarters</w:t>
      </w:r>
      <w:r w:rsidR="00FA03A5">
        <w:rPr>
          <w:rFonts w:ascii="Garamond" w:hAnsi="Garamond"/>
          <w:sz w:val="22"/>
          <w:szCs w:val="22"/>
        </w:rPr>
        <w:t>’</w:t>
      </w:r>
      <w:r w:rsidR="00FA03A5" w:rsidRPr="00FA03A5">
        <w:rPr>
          <w:rFonts w:ascii="Garamond" w:hAnsi="Garamond"/>
          <w:sz w:val="22"/>
          <w:szCs w:val="22"/>
        </w:rPr>
        <w:t xml:space="preserve"> economic growth </w:t>
      </w:r>
      <w:r w:rsidR="00FA03A5">
        <w:rPr>
          <w:rFonts w:ascii="Garamond" w:hAnsi="Garamond"/>
          <w:sz w:val="22"/>
          <w:szCs w:val="22"/>
        </w:rPr>
        <w:t xml:space="preserve">in the country. </w:t>
      </w:r>
      <w:r w:rsidR="004A2C47" w:rsidRPr="00EE5F0F">
        <w:rPr>
          <w:rFonts w:ascii="Garamond" w:hAnsi="Garamond"/>
          <w:sz w:val="22"/>
          <w:szCs w:val="22"/>
        </w:rPr>
        <w:t xml:space="preserve">With </w:t>
      </w:r>
      <w:r w:rsidR="009D03A7" w:rsidRPr="00EE5F0F">
        <w:rPr>
          <w:rFonts w:ascii="Garamond" w:hAnsi="Garamond"/>
          <w:sz w:val="22"/>
          <w:szCs w:val="22"/>
        </w:rPr>
        <w:t xml:space="preserve">such economic activity, </w:t>
      </w:r>
      <w:r w:rsidR="000B13F5" w:rsidRPr="00EE5F0F">
        <w:rPr>
          <w:rFonts w:ascii="Garamond" w:hAnsi="Garamond"/>
          <w:sz w:val="22"/>
          <w:szCs w:val="22"/>
        </w:rPr>
        <w:t xml:space="preserve">the unemployment rate continued </w:t>
      </w:r>
      <w:r w:rsidR="00FA03A5">
        <w:rPr>
          <w:rFonts w:ascii="Garamond" w:hAnsi="Garamond"/>
          <w:sz w:val="22"/>
          <w:szCs w:val="22"/>
        </w:rPr>
        <w:t xml:space="preserve">declining slowly during </w:t>
      </w:r>
      <w:r w:rsidR="004A2C47" w:rsidRPr="00EE5F0F">
        <w:rPr>
          <w:rFonts w:ascii="Garamond" w:hAnsi="Garamond"/>
          <w:sz w:val="22"/>
          <w:szCs w:val="22"/>
        </w:rPr>
        <w:t xml:space="preserve">the </w:t>
      </w:r>
      <w:r w:rsidR="00FA03A5">
        <w:rPr>
          <w:rFonts w:ascii="Garamond" w:hAnsi="Garamond"/>
          <w:sz w:val="22"/>
          <w:szCs w:val="22"/>
        </w:rPr>
        <w:t>second</w:t>
      </w:r>
      <w:r w:rsidR="004A2C47" w:rsidRPr="00EE5F0F">
        <w:rPr>
          <w:rFonts w:ascii="Garamond" w:hAnsi="Garamond"/>
          <w:sz w:val="22"/>
          <w:szCs w:val="22"/>
        </w:rPr>
        <w:t xml:space="preserve"> quarter of 2018</w:t>
      </w:r>
      <w:r w:rsidR="009D03A7" w:rsidRPr="00EE5F0F">
        <w:rPr>
          <w:rFonts w:ascii="Garamond" w:hAnsi="Garamond"/>
          <w:sz w:val="22"/>
          <w:szCs w:val="22"/>
        </w:rPr>
        <w:t>.</w:t>
      </w:r>
      <w:r w:rsidR="0070332C">
        <w:rPr>
          <w:rFonts w:ascii="Garamond" w:hAnsi="Garamond"/>
          <w:sz w:val="22"/>
          <w:szCs w:val="22"/>
        </w:rPr>
        <w:t xml:space="preserve"> </w:t>
      </w:r>
      <w:r w:rsidR="0070332C" w:rsidRPr="0070332C">
        <w:rPr>
          <w:rFonts w:ascii="Garamond" w:hAnsi="Garamond"/>
          <w:sz w:val="22"/>
          <w:szCs w:val="22"/>
        </w:rPr>
        <w:t xml:space="preserve">In the medium term, </w:t>
      </w:r>
      <w:r w:rsidR="0070332C">
        <w:rPr>
          <w:rFonts w:ascii="Garamond" w:hAnsi="Garamond"/>
          <w:sz w:val="22"/>
          <w:szCs w:val="22"/>
        </w:rPr>
        <w:t>notwithstanding some external demand shaped under a depreciated exchange rate,</w:t>
      </w:r>
      <w:r w:rsidR="0070332C" w:rsidRPr="0070332C">
        <w:rPr>
          <w:rFonts w:ascii="Garamond" w:hAnsi="Garamond"/>
          <w:sz w:val="22"/>
          <w:szCs w:val="22"/>
        </w:rPr>
        <w:t xml:space="preserve"> the domestic demand is expected to </w:t>
      </w:r>
      <w:r w:rsidR="0070332C">
        <w:rPr>
          <w:rFonts w:ascii="Garamond" w:hAnsi="Garamond"/>
          <w:sz w:val="22"/>
          <w:szCs w:val="22"/>
        </w:rPr>
        <w:t xml:space="preserve">decline concomitant with implementation of a contractionary </w:t>
      </w:r>
      <w:r w:rsidR="0070332C" w:rsidRPr="0070332C">
        <w:rPr>
          <w:rFonts w:ascii="Garamond" w:hAnsi="Garamond"/>
          <w:sz w:val="22"/>
          <w:szCs w:val="22"/>
        </w:rPr>
        <w:t xml:space="preserve">fiscal policy </w:t>
      </w:r>
      <w:r w:rsidR="0070332C">
        <w:rPr>
          <w:rFonts w:ascii="Garamond" w:hAnsi="Garamond"/>
          <w:sz w:val="22"/>
          <w:szCs w:val="22"/>
        </w:rPr>
        <w:t xml:space="preserve">under the 2019 </w:t>
      </w:r>
      <w:r w:rsidR="0070332C" w:rsidRPr="0070332C">
        <w:rPr>
          <w:rFonts w:ascii="Garamond" w:hAnsi="Garamond"/>
          <w:sz w:val="22"/>
          <w:szCs w:val="22"/>
        </w:rPr>
        <w:t>program.</w:t>
      </w:r>
      <w:r w:rsidR="00FA03A5">
        <w:rPr>
          <w:rFonts w:ascii="Garamond" w:hAnsi="Garamond"/>
          <w:sz w:val="22"/>
          <w:szCs w:val="22"/>
        </w:rPr>
        <w:t xml:space="preserve"> </w:t>
      </w:r>
    </w:p>
    <w:p w14:paraId="7FC27B5F" w14:textId="77777777" w:rsidR="003B4B24"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Price and financial developments in the external sector:</w:t>
      </w:r>
      <w:r w:rsidRPr="00EE5F0F">
        <w:rPr>
          <w:rFonts w:ascii="Garamond" w:hAnsi="Garamond"/>
          <w:sz w:val="22"/>
          <w:szCs w:val="22"/>
        </w:rPr>
        <w:t xml:space="preserve"> </w:t>
      </w:r>
      <w:r w:rsidR="003B4B24" w:rsidRPr="00EE5F0F">
        <w:rPr>
          <w:rFonts w:ascii="Garamond" w:hAnsi="Garamond"/>
          <w:sz w:val="22"/>
          <w:szCs w:val="22"/>
        </w:rPr>
        <w:t xml:space="preserve">In the </w:t>
      </w:r>
      <w:r w:rsidR="00971605">
        <w:rPr>
          <w:rFonts w:ascii="Garamond" w:hAnsi="Garamond"/>
          <w:sz w:val="22"/>
          <w:szCs w:val="22"/>
        </w:rPr>
        <w:t>second</w:t>
      </w:r>
      <w:r w:rsidR="007F5B7D" w:rsidRPr="00EE5F0F">
        <w:rPr>
          <w:rFonts w:ascii="Garamond" w:hAnsi="Garamond"/>
          <w:sz w:val="22"/>
          <w:szCs w:val="22"/>
        </w:rPr>
        <w:t xml:space="preserve"> </w:t>
      </w:r>
      <w:r w:rsidR="003B4B24" w:rsidRPr="00EE5F0F">
        <w:rPr>
          <w:rFonts w:ascii="Garamond" w:hAnsi="Garamond"/>
          <w:sz w:val="22"/>
          <w:szCs w:val="22"/>
        </w:rPr>
        <w:t>quarter of 201</w:t>
      </w:r>
      <w:r w:rsidR="007F5B7D" w:rsidRPr="00EE5F0F">
        <w:rPr>
          <w:rFonts w:ascii="Garamond" w:hAnsi="Garamond"/>
          <w:sz w:val="22"/>
          <w:szCs w:val="22"/>
        </w:rPr>
        <w:t>8</w:t>
      </w:r>
      <w:r w:rsidR="00971605">
        <w:rPr>
          <w:rFonts w:ascii="Garamond" w:hAnsi="Garamond"/>
          <w:sz w:val="22"/>
          <w:szCs w:val="22"/>
        </w:rPr>
        <w:t>, the developments in raw material and food product markets</w:t>
      </w:r>
      <w:r w:rsidR="003B4B24" w:rsidRPr="00EE5F0F">
        <w:rPr>
          <w:rFonts w:ascii="Garamond" w:hAnsi="Garamond"/>
          <w:sz w:val="22"/>
          <w:szCs w:val="22"/>
        </w:rPr>
        <w:t xml:space="preserve"> unfolded</w:t>
      </w:r>
      <w:r w:rsidR="00971605">
        <w:rPr>
          <w:rFonts w:ascii="Garamond" w:hAnsi="Garamond"/>
          <w:sz w:val="22"/>
          <w:szCs w:val="22"/>
        </w:rPr>
        <w:t>,</w:t>
      </w:r>
      <w:r w:rsidR="003B4B24" w:rsidRPr="00EE5F0F">
        <w:rPr>
          <w:rFonts w:ascii="Garamond" w:hAnsi="Garamond"/>
          <w:sz w:val="22"/>
          <w:szCs w:val="22"/>
        </w:rPr>
        <w:t xml:space="preserve"> </w:t>
      </w:r>
      <w:r w:rsidR="00971605">
        <w:rPr>
          <w:rFonts w:ascii="Garamond" w:hAnsi="Garamond"/>
          <w:sz w:val="22"/>
          <w:szCs w:val="22"/>
        </w:rPr>
        <w:t xml:space="preserve">with prices going slightly upward against </w:t>
      </w:r>
      <w:r w:rsidR="003B4B24" w:rsidRPr="00EE5F0F">
        <w:rPr>
          <w:rFonts w:ascii="Garamond" w:hAnsi="Garamond"/>
          <w:sz w:val="22"/>
          <w:szCs w:val="22"/>
        </w:rPr>
        <w:t>the pr</w:t>
      </w:r>
      <w:r w:rsidR="00971605">
        <w:rPr>
          <w:rFonts w:ascii="Garamond" w:hAnsi="Garamond"/>
          <w:sz w:val="22"/>
          <w:szCs w:val="22"/>
        </w:rPr>
        <w:t>ogram</w:t>
      </w:r>
      <w:r w:rsidR="003B4B24" w:rsidRPr="00EE5F0F">
        <w:rPr>
          <w:rFonts w:ascii="Garamond" w:hAnsi="Garamond"/>
          <w:sz w:val="22"/>
          <w:szCs w:val="22"/>
        </w:rPr>
        <w:t>,</w:t>
      </w:r>
      <w:r w:rsidR="00971605">
        <w:rPr>
          <w:rFonts w:ascii="Garamond" w:hAnsi="Garamond"/>
          <w:sz w:val="22"/>
          <w:szCs w:val="22"/>
        </w:rPr>
        <w:t xml:space="preserve"> </w:t>
      </w:r>
      <w:r w:rsidR="003B4B24" w:rsidRPr="00EE5F0F">
        <w:rPr>
          <w:rFonts w:ascii="Garamond" w:hAnsi="Garamond"/>
          <w:sz w:val="22"/>
          <w:szCs w:val="22"/>
        </w:rPr>
        <w:t>except</w:t>
      </w:r>
      <w:r w:rsidR="00971605">
        <w:rPr>
          <w:rFonts w:ascii="Garamond" w:hAnsi="Garamond"/>
          <w:sz w:val="22"/>
          <w:szCs w:val="22"/>
        </w:rPr>
        <w:t xml:space="preserve"> the international copper price, the</w:t>
      </w:r>
      <w:r w:rsidR="003B4B24" w:rsidRPr="00EE5F0F">
        <w:rPr>
          <w:rFonts w:ascii="Garamond" w:hAnsi="Garamond"/>
          <w:sz w:val="22"/>
          <w:szCs w:val="22"/>
        </w:rPr>
        <w:t xml:space="preserve"> current level </w:t>
      </w:r>
      <w:r w:rsidR="007F5B7D" w:rsidRPr="00EE5F0F">
        <w:rPr>
          <w:rFonts w:ascii="Garamond" w:hAnsi="Garamond"/>
          <w:sz w:val="22"/>
          <w:szCs w:val="22"/>
        </w:rPr>
        <w:t xml:space="preserve">of which </w:t>
      </w:r>
      <w:r w:rsidR="00971605">
        <w:rPr>
          <w:rFonts w:ascii="Garamond" w:hAnsi="Garamond"/>
          <w:sz w:val="22"/>
          <w:szCs w:val="22"/>
        </w:rPr>
        <w:t>was</w:t>
      </w:r>
      <w:r w:rsidR="007F5B7D" w:rsidRPr="00EE5F0F">
        <w:rPr>
          <w:rFonts w:ascii="Garamond" w:hAnsi="Garamond"/>
          <w:sz w:val="22"/>
          <w:szCs w:val="22"/>
        </w:rPr>
        <w:t xml:space="preserve"> somewhat below the </w:t>
      </w:r>
      <w:r w:rsidR="00BC1CA0">
        <w:rPr>
          <w:rFonts w:ascii="Garamond" w:hAnsi="Garamond"/>
          <w:sz w:val="22"/>
          <w:szCs w:val="22"/>
        </w:rPr>
        <w:t xml:space="preserve">previous </w:t>
      </w:r>
      <w:r w:rsidR="007F5B7D" w:rsidRPr="00EE5F0F">
        <w:rPr>
          <w:rFonts w:ascii="Garamond" w:hAnsi="Garamond"/>
          <w:sz w:val="22"/>
          <w:szCs w:val="22"/>
        </w:rPr>
        <w:t>forecast</w:t>
      </w:r>
      <w:r w:rsidR="003B4B24" w:rsidRPr="00EE5F0F">
        <w:rPr>
          <w:rFonts w:ascii="Garamond" w:hAnsi="Garamond"/>
          <w:sz w:val="22"/>
          <w:szCs w:val="22"/>
        </w:rPr>
        <w:t xml:space="preserve">. </w:t>
      </w:r>
    </w:p>
    <w:p w14:paraId="6303DE00"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United States in the </w:t>
      </w:r>
      <w:r w:rsidR="004806AB">
        <w:rPr>
          <w:rFonts w:ascii="Garamond" w:hAnsi="Garamond"/>
          <w:sz w:val="22"/>
          <w:szCs w:val="22"/>
        </w:rPr>
        <w:t>second</w:t>
      </w:r>
      <w:r w:rsidR="009F2880" w:rsidRPr="00EE5F0F">
        <w:rPr>
          <w:rFonts w:ascii="Garamond" w:hAnsi="Garamond"/>
          <w:sz w:val="22"/>
          <w:szCs w:val="22"/>
        </w:rPr>
        <w:t xml:space="preserve"> </w:t>
      </w:r>
      <w:r w:rsidRPr="00EE5F0F">
        <w:rPr>
          <w:rFonts w:ascii="Garamond" w:hAnsi="Garamond"/>
          <w:sz w:val="22"/>
          <w:szCs w:val="22"/>
        </w:rPr>
        <w:t>quarter of 201</w:t>
      </w:r>
      <w:r w:rsidR="009F2880" w:rsidRPr="00EE5F0F">
        <w:rPr>
          <w:rFonts w:ascii="Garamond" w:hAnsi="Garamond"/>
          <w:sz w:val="22"/>
          <w:szCs w:val="22"/>
        </w:rPr>
        <w:t>8</w:t>
      </w:r>
      <w:r w:rsidRPr="00EE5F0F">
        <w:rPr>
          <w:rFonts w:ascii="Garamond" w:hAnsi="Garamond"/>
          <w:sz w:val="22"/>
          <w:szCs w:val="22"/>
        </w:rPr>
        <w:t xml:space="preserve">, compared to the previous quarter, the average quarterly inflation </w:t>
      </w:r>
      <w:r w:rsidR="004806AB">
        <w:rPr>
          <w:rFonts w:ascii="Garamond" w:hAnsi="Garamond"/>
          <w:sz w:val="22"/>
          <w:szCs w:val="22"/>
        </w:rPr>
        <w:t>notably</w:t>
      </w:r>
      <w:r w:rsidR="009F2880" w:rsidRPr="00EE5F0F">
        <w:rPr>
          <w:rFonts w:ascii="Garamond" w:hAnsi="Garamond"/>
          <w:sz w:val="22"/>
          <w:szCs w:val="22"/>
        </w:rPr>
        <w:t xml:space="preserve"> </w:t>
      </w:r>
      <w:r w:rsidR="003B4B24" w:rsidRPr="00EE5F0F">
        <w:rPr>
          <w:rFonts w:ascii="Garamond" w:hAnsi="Garamond"/>
          <w:sz w:val="22"/>
          <w:szCs w:val="22"/>
        </w:rPr>
        <w:t>accelerat</w:t>
      </w:r>
      <w:r w:rsidR="004806AB">
        <w:rPr>
          <w:rFonts w:ascii="Garamond" w:hAnsi="Garamond"/>
          <w:sz w:val="22"/>
          <w:szCs w:val="22"/>
        </w:rPr>
        <w:t xml:space="preserve">ed </w:t>
      </w:r>
      <w:r w:rsidR="009F2880" w:rsidRPr="00EE5F0F">
        <w:rPr>
          <w:rFonts w:ascii="Garamond" w:hAnsi="Garamond"/>
          <w:sz w:val="22"/>
          <w:szCs w:val="22"/>
        </w:rPr>
        <w:t>to</w:t>
      </w:r>
      <w:r w:rsidRPr="00EE5F0F">
        <w:rPr>
          <w:rFonts w:ascii="Garamond" w:hAnsi="Garamond"/>
          <w:sz w:val="22"/>
          <w:szCs w:val="22"/>
        </w:rPr>
        <w:t xml:space="preserve"> </w:t>
      </w:r>
      <w:r w:rsidR="003B4B24" w:rsidRPr="00EE5F0F">
        <w:rPr>
          <w:rFonts w:ascii="Garamond" w:hAnsi="Garamond"/>
          <w:sz w:val="22"/>
          <w:szCs w:val="22"/>
        </w:rPr>
        <w:t>2</w:t>
      </w:r>
      <w:r w:rsidRPr="00EE5F0F">
        <w:rPr>
          <w:rFonts w:ascii="Garamond" w:hAnsi="Garamond"/>
          <w:sz w:val="22"/>
          <w:szCs w:val="22"/>
        </w:rPr>
        <w:t>.</w:t>
      </w:r>
      <w:r w:rsidR="004806AB">
        <w:rPr>
          <w:rFonts w:ascii="Garamond" w:hAnsi="Garamond"/>
          <w:sz w:val="22"/>
          <w:szCs w:val="22"/>
        </w:rPr>
        <w:t>7</w:t>
      </w:r>
      <w:r w:rsidRPr="00EE5F0F">
        <w:rPr>
          <w:rFonts w:ascii="Garamond" w:hAnsi="Garamond"/>
          <w:sz w:val="22"/>
          <w:szCs w:val="22"/>
        </w:rPr>
        <w:t>%</w:t>
      </w:r>
      <w:r w:rsidR="005A6FF7" w:rsidRPr="00EE5F0F">
        <w:rPr>
          <w:rFonts w:ascii="Garamond" w:hAnsi="Garamond"/>
          <w:sz w:val="22"/>
          <w:szCs w:val="22"/>
        </w:rPr>
        <w:t xml:space="preserve">, </w:t>
      </w:r>
      <w:r w:rsidR="009F2880" w:rsidRPr="00EE5F0F">
        <w:rPr>
          <w:rFonts w:ascii="Garamond" w:hAnsi="Garamond"/>
          <w:sz w:val="22"/>
          <w:szCs w:val="22"/>
        </w:rPr>
        <w:t xml:space="preserve">running </w:t>
      </w:r>
      <w:r w:rsidR="005A6FF7" w:rsidRPr="00EE5F0F">
        <w:rPr>
          <w:rFonts w:ascii="Garamond" w:hAnsi="Garamond"/>
          <w:sz w:val="22"/>
          <w:szCs w:val="22"/>
        </w:rPr>
        <w:t xml:space="preserve">above </w:t>
      </w:r>
      <w:r w:rsidR="004806AB">
        <w:rPr>
          <w:rFonts w:ascii="Garamond" w:hAnsi="Garamond"/>
          <w:sz w:val="22"/>
          <w:szCs w:val="22"/>
        </w:rPr>
        <w:t xml:space="preserve">the </w:t>
      </w:r>
      <w:r w:rsidR="006D59F1" w:rsidRPr="00EE5F0F">
        <w:rPr>
          <w:rFonts w:ascii="Garamond" w:hAnsi="Garamond"/>
          <w:sz w:val="22"/>
          <w:szCs w:val="22"/>
        </w:rPr>
        <w:t>US Federal Reserve System</w:t>
      </w:r>
      <w:r w:rsidR="004806AB">
        <w:rPr>
          <w:rFonts w:ascii="Garamond" w:hAnsi="Garamond"/>
          <w:sz w:val="22"/>
          <w:szCs w:val="22"/>
        </w:rPr>
        <w:t>’</w:t>
      </w:r>
      <w:r w:rsidRPr="00EE5F0F">
        <w:rPr>
          <w:rFonts w:ascii="Garamond" w:hAnsi="Garamond"/>
          <w:sz w:val="22"/>
          <w:szCs w:val="22"/>
        </w:rPr>
        <w:t xml:space="preserve">s </w:t>
      </w:r>
      <w:r w:rsidR="004806AB">
        <w:rPr>
          <w:rFonts w:ascii="Garamond" w:hAnsi="Garamond"/>
          <w:sz w:val="22"/>
          <w:szCs w:val="22"/>
        </w:rPr>
        <w:t>mid</w:t>
      </w:r>
      <w:r w:rsidRPr="00EE5F0F">
        <w:rPr>
          <w:rFonts w:ascii="Garamond" w:hAnsi="Garamond"/>
          <w:sz w:val="22"/>
          <w:szCs w:val="22"/>
        </w:rPr>
        <w:t xml:space="preserve">-term target. </w:t>
      </w:r>
      <w:r w:rsidR="00801BFF" w:rsidRPr="00EE5F0F">
        <w:rPr>
          <w:rFonts w:ascii="Garamond" w:hAnsi="Garamond"/>
          <w:sz w:val="22"/>
          <w:szCs w:val="22"/>
        </w:rPr>
        <w:t xml:space="preserve">In view of such </w:t>
      </w:r>
      <w:r w:rsidRPr="00EE5F0F">
        <w:rPr>
          <w:rFonts w:ascii="Garamond" w:hAnsi="Garamond"/>
          <w:sz w:val="22"/>
          <w:szCs w:val="22"/>
        </w:rPr>
        <w:t>econom</w:t>
      </w:r>
      <w:r w:rsidR="00801BFF" w:rsidRPr="00EE5F0F">
        <w:rPr>
          <w:rFonts w:ascii="Garamond" w:hAnsi="Garamond"/>
          <w:sz w:val="22"/>
          <w:szCs w:val="22"/>
        </w:rPr>
        <w:t>ic</w:t>
      </w:r>
      <w:r w:rsidRPr="00EE5F0F">
        <w:rPr>
          <w:rFonts w:ascii="Garamond" w:hAnsi="Garamond"/>
          <w:sz w:val="22"/>
          <w:szCs w:val="22"/>
        </w:rPr>
        <w:t xml:space="preserve"> and price</w:t>
      </w:r>
      <w:r w:rsidR="00801BFF" w:rsidRPr="00EE5F0F">
        <w:rPr>
          <w:rFonts w:ascii="Garamond" w:hAnsi="Garamond"/>
          <w:sz w:val="22"/>
          <w:szCs w:val="22"/>
        </w:rPr>
        <w:t xml:space="preserve"> development</w:t>
      </w:r>
      <w:r w:rsidRPr="00EE5F0F">
        <w:rPr>
          <w:rFonts w:ascii="Garamond" w:hAnsi="Garamond"/>
          <w:sz w:val="22"/>
          <w:szCs w:val="22"/>
        </w:rPr>
        <w:t>s</w:t>
      </w:r>
      <w:r w:rsidR="00801BFF" w:rsidRPr="00EE5F0F">
        <w:rPr>
          <w:rFonts w:ascii="Garamond" w:hAnsi="Garamond"/>
          <w:sz w:val="22"/>
          <w:szCs w:val="22"/>
        </w:rPr>
        <w:t>,</w:t>
      </w:r>
      <w:r w:rsidR="006D59F1">
        <w:rPr>
          <w:rFonts w:ascii="Garamond" w:hAnsi="Garamond"/>
          <w:sz w:val="22"/>
          <w:szCs w:val="22"/>
        </w:rPr>
        <w:t xml:space="preserve"> the F</w:t>
      </w:r>
      <w:r w:rsidR="005747F6">
        <w:rPr>
          <w:rFonts w:ascii="Garamond" w:hAnsi="Garamond"/>
          <w:sz w:val="22"/>
          <w:szCs w:val="22"/>
        </w:rPr>
        <w:t>RS</w:t>
      </w:r>
      <w:r w:rsidRPr="00EE5F0F">
        <w:rPr>
          <w:rFonts w:ascii="Garamond" w:hAnsi="Garamond"/>
          <w:sz w:val="22"/>
          <w:szCs w:val="22"/>
        </w:rPr>
        <w:t xml:space="preserve"> </w:t>
      </w:r>
      <w:r w:rsidR="006D59F1">
        <w:rPr>
          <w:rFonts w:ascii="Garamond" w:hAnsi="Garamond"/>
          <w:sz w:val="22"/>
          <w:szCs w:val="22"/>
        </w:rPr>
        <w:t>rose</w:t>
      </w:r>
      <w:r w:rsidR="009F2880" w:rsidRPr="00EE5F0F">
        <w:rPr>
          <w:rFonts w:ascii="Garamond" w:hAnsi="Garamond"/>
          <w:sz w:val="22"/>
          <w:szCs w:val="22"/>
        </w:rPr>
        <w:t xml:space="preserve"> </w:t>
      </w:r>
      <w:r w:rsidR="00801BFF" w:rsidRPr="00EE5F0F">
        <w:rPr>
          <w:rFonts w:ascii="Garamond" w:hAnsi="Garamond"/>
          <w:sz w:val="22"/>
          <w:szCs w:val="22"/>
        </w:rPr>
        <w:t>the</w:t>
      </w:r>
      <w:r w:rsidRPr="00EE5F0F">
        <w:rPr>
          <w:rFonts w:ascii="Garamond" w:hAnsi="Garamond"/>
          <w:sz w:val="22"/>
          <w:szCs w:val="22"/>
        </w:rPr>
        <w:t xml:space="preserve"> policy rate</w:t>
      </w:r>
      <w:r w:rsidR="006D59F1">
        <w:rPr>
          <w:rFonts w:ascii="Garamond" w:hAnsi="Garamond"/>
          <w:sz w:val="22"/>
          <w:szCs w:val="22"/>
        </w:rPr>
        <w:t xml:space="preserve"> </w:t>
      </w:r>
      <w:r w:rsidR="006D59F1" w:rsidRPr="00EE5F0F">
        <w:rPr>
          <w:rFonts w:ascii="Garamond" w:hAnsi="Garamond"/>
          <w:sz w:val="22"/>
          <w:szCs w:val="22"/>
        </w:rPr>
        <w:t xml:space="preserve">in the </w:t>
      </w:r>
      <w:r w:rsidR="006D59F1">
        <w:rPr>
          <w:rFonts w:ascii="Garamond" w:hAnsi="Garamond"/>
          <w:sz w:val="22"/>
          <w:szCs w:val="22"/>
        </w:rPr>
        <w:t>second</w:t>
      </w:r>
      <w:r w:rsidR="006D59F1" w:rsidRPr="00EE5F0F">
        <w:rPr>
          <w:rFonts w:ascii="Garamond" w:hAnsi="Garamond"/>
          <w:sz w:val="22"/>
          <w:szCs w:val="22"/>
        </w:rPr>
        <w:t xml:space="preserve"> quarter</w:t>
      </w:r>
      <w:r w:rsidR="009652E7" w:rsidRPr="00EE5F0F">
        <w:rPr>
          <w:rFonts w:ascii="Garamond" w:hAnsi="Garamond"/>
          <w:sz w:val="22"/>
          <w:szCs w:val="22"/>
        </w:rPr>
        <w:t>,</w:t>
      </w:r>
      <w:r w:rsidR="009F2880" w:rsidRPr="00EE5F0F">
        <w:rPr>
          <w:rFonts w:ascii="Garamond" w:hAnsi="Garamond"/>
          <w:sz w:val="22"/>
          <w:szCs w:val="22"/>
        </w:rPr>
        <w:t xml:space="preserve"> </w:t>
      </w:r>
      <w:r w:rsidR="009652E7" w:rsidRPr="00EE5F0F">
        <w:rPr>
          <w:rFonts w:ascii="Garamond" w:hAnsi="Garamond"/>
          <w:sz w:val="22"/>
          <w:szCs w:val="22"/>
        </w:rPr>
        <w:t xml:space="preserve">as was expected, </w:t>
      </w:r>
      <w:r w:rsidR="00801BFF" w:rsidRPr="00EE5F0F">
        <w:rPr>
          <w:rFonts w:ascii="Garamond" w:hAnsi="Garamond"/>
          <w:sz w:val="22"/>
          <w:szCs w:val="22"/>
        </w:rPr>
        <w:t xml:space="preserve">by </w:t>
      </w:r>
      <w:r w:rsidR="006D59F1">
        <w:rPr>
          <w:rFonts w:ascii="Garamond" w:hAnsi="Garamond"/>
          <w:sz w:val="22"/>
          <w:szCs w:val="22"/>
        </w:rPr>
        <w:t xml:space="preserve">another </w:t>
      </w:r>
      <w:r w:rsidR="00801BFF" w:rsidRPr="00EE5F0F">
        <w:rPr>
          <w:rFonts w:ascii="Garamond" w:hAnsi="Garamond"/>
          <w:sz w:val="22"/>
          <w:szCs w:val="22"/>
        </w:rPr>
        <w:t xml:space="preserve">0.25 pp, </w:t>
      </w:r>
      <w:r w:rsidR="009652E7" w:rsidRPr="00EE5F0F">
        <w:rPr>
          <w:rFonts w:ascii="Garamond" w:hAnsi="Garamond"/>
          <w:sz w:val="22"/>
          <w:szCs w:val="22"/>
        </w:rPr>
        <w:t xml:space="preserve">setting it in </w:t>
      </w:r>
      <w:r w:rsidR="0047223E">
        <w:rPr>
          <w:rFonts w:ascii="Garamond" w:hAnsi="Garamond"/>
          <w:sz w:val="22"/>
          <w:szCs w:val="22"/>
        </w:rPr>
        <w:t>a</w:t>
      </w:r>
      <w:r w:rsidR="00B93B04" w:rsidRPr="00EE5F0F">
        <w:rPr>
          <w:rFonts w:ascii="Garamond" w:hAnsi="Garamond"/>
          <w:sz w:val="22"/>
          <w:szCs w:val="22"/>
        </w:rPr>
        <w:t xml:space="preserve"> </w:t>
      </w:r>
      <w:r w:rsidR="009652E7" w:rsidRPr="00EE5F0F">
        <w:rPr>
          <w:rFonts w:ascii="Garamond" w:hAnsi="Garamond"/>
          <w:sz w:val="22"/>
          <w:szCs w:val="22"/>
        </w:rPr>
        <w:t>1.</w:t>
      </w:r>
      <w:r w:rsidR="006D59F1">
        <w:rPr>
          <w:rFonts w:ascii="Garamond" w:hAnsi="Garamond"/>
          <w:sz w:val="22"/>
          <w:szCs w:val="22"/>
        </w:rPr>
        <w:t>7</w:t>
      </w:r>
      <w:r w:rsidR="009652E7" w:rsidRPr="00EE5F0F">
        <w:rPr>
          <w:rFonts w:ascii="Garamond" w:hAnsi="Garamond"/>
          <w:sz w:val="22"/>
          <w:szCs w:val="22"/>
        </w:rPr>
        <w:t>5</w:t>
      </w:r>
      <w:r w:rsidR="006D59F1">
        <w:rPr>
          <w:rFonts w:ascii="Garamond" w:hAnsi="Garamond"/>
          <w:sz w:val="22"/>
          <w:szCs w:val="22"/>
        </w:rPr>
        <w:t>-2</w:t>
      </w:r>
      <w:r w:rsidR="00B93B04" w:rsidRPr="00EE5F0F">
        <w:rPr>
          <w:rFonts w:ascii="Garamond" w:hAnsi="Garamond"/>
          <w:sz w:val="22"/>
          <w:szCs w:val="22"/>
        </w:rPr>
        <w:t>.</w:t>
      </w:r>
      <w:r w:rsidR="006D59F1">
        <w:rPr>
          <w:rFonts w:ascii="Garamond" w:hAnsi="Garamond"/>
          <w:sz w:val="22"/>
          <w:szCs w:val="22"/>
        </w:rPr>
        <w:t>00</w:t>
      </w:r>
      <w:r w:rsidR="009652E7" w:rsidRPr="00EE5F0F">
        <w:rPr>
          <w:rFonts w:ascii="Garamond" w:hAnsi="Garamond"/>
          <w:sz w:val="22"/>
          <w:szCs w:val="22"/>
        </w:rPr>
        <w:t>%</w:t>
      </w:r>
      <w:r w:rsidR="006D59F1">
        <w:rPr>
          <w:rFonts w:ascii="Garamond" w:hAnsi="Garamond"/>
          <w:sz w:val="22"/>
          <w:szCs w:val="22"/>
        </w:rPr>
        <w:t xml:space="preserve"> range</w:t>
      </w:r>
      <w:r w:rsidR="00801BFF" w:rsidRPr="00EE5F0F">
        <w:rPr>
          <w:rFonts w:ascii="Garamond" w:hAnsi="Garamond"/>
          <w:sz w:val="22"/>
          <w:szCs w:val="22"/>
        </w:rPr>
        <w:t>.</w:t>
      </w:r>
      <w:r w:rsidRPr="00EE5F0F">
        <w:rPr>
          <w:rFonts w:ascii="Garamond" w:hAnsi="Garamond"/>
          <w:sz w:val="22"/>
          <w:szCs w:val="22"/>
        </w:rPr>
        <w:t xml:space="preserve"> </w:t>
      </w:r>
      <w:r w:rsidR="009F1154" w:rsidRPr="00EE5F0F">
        <w:rPr>
          <w:rFonts w:ascii="Garamond" w:hAnsi="Garamond"/>
          <w:sz w:val="22"/>
          <w:szCs w:val="22"/>
        </w:rPr>
        <w:t>Predictions suggest that t</w:t>
      </w:r>
      <w:r w:rsidR="00801BFF" w:rsidRPr="00EE5F0F">
        <w:rPr>
          <w:rFonts w:ascii="Garamond" w:hAnsi="Garamond"/>
          <w:sz w:val="22"/>
          <w:szCs w:val="22"/>
        </w:rPr>
        <w:t>he US inflation</w:t>
      </w:r>
      <w:r w:rsidR="009F1154" w:rsidRPr="00EE5F0F">
        <w:rPr>
          <w:rFonts w:ascii="Garamond" w:hAnsi="Garamond"/>
          <w:sz w:val="22"/>
          <w:szCs w:val="22"/>
        </w:rPr>
        <w:t xml:space="preserve"> </w:t>
      </w:r>
      <w:r w:rsidR="0024318B" w:rsidRPr="00EE5F0F">
        <w:rPr>
          <w:rFonts w:ascii="Garamond" w:hAnsi="Garamond"/>
          <w:sz w:val="22"/>
          <w:szCs w:val="22"/>
        </w:rPr>
        <w:t xml:space="preserve">will </w:t>
      </w:r>
      <w:r w:rsidR="005747F6">
        <w:rPr>
          <w:rFonts w:ascii="Garamond" w:hAnsi="Garamond"/>
          <w:sz w:val="22"/>
          <w:szCs w:val="22"/>
        </w:rPr>
        <w:t xml:space="preserve">remain </w:t>
      </w:r>
      <w:r w:rsidR="009F1154" w:rsidRPr="00EE5F0F">
        <w:rPr>
          <w:rFonts w:ascii="Garamond" w:hAnsi="Garamond"/>
          <w:sz w:val="22"/>
          <w:szCs w:val="22"/>
        </w:rPr>
        <w:t xml:space="preserve">above </w:t>
      </w:r>
      <w:r w:rsidR="0024318B" w:rsidRPr="00EE5F0F">
        <w:rPr>
          <w:rFonts w:ascii="Garamond" w:hAnsi="Garamond"/>
          <w:sz w:val="22"/>
          <w:szCs w:val="22"/>
        </w:rPr>
        <w:t>its target</w:t>
      </w:r>
      <w:r w:rsidR="005747F6" w:rsidRPr="005747F6">
        <w:rPr>
          <w:rFonts w:ascii="Garamond" w:hAnsi="Garamond"/>
          <w:sz w:val="22"/>
          <w:szCs w:val="22"/>
        </w:rPr>
        <w:t xml:space="preserve"> </w:t>
      </w:r>
      <w:r w:rsidR="005747F6" w:rsidRPr="00EE5F0F">
        <w:rPr>
          <w:rFonts w:ascii="Garamond" w:hAnsi="Garamond"/>
          <w:sz w:val="22"/>
          <w:szCs w:val="22"/>
        </w:rPr>
        <w:t>in 2018</w:t>
      </w:r>
      <w:r w:rsidR="0024318B" w:rsidRPr="00EE5F0F">
        <w:rPr>
          <w:rFonts w:ascii="Garamond" w:hAnsi="Garamond"/>
          <w:sz w:val="22"/>
          <w:szCs w:val="22"/>
        </w:rPr>
        <w:t xml:space="preserve"> </w:t>
      </w:r>
      <w:r w:rsidR="005747F6">
        <w:rPr>
          <w:rFonts w:ascii="Garamond" w:hAnsi="Garamond"/>
          <w:sz w:val="22"/>
          <w:szCs w:val="22"/>
        </w:rPr>
        <w:t>and</w:t>
      </w:r>
      <w:r w:rsidR="0024318B" w:rsidRPr="00EE5F0F">
        <w:rPr>
          <w:rFonts w:ascii="Garamond" w:hAnsi="Garamond"/>
          <w:sz w:val="22"/>
          <w:szCs w:val="22"/>
        </w:rPr>
        <w:t xml:space="preserve">, taking into account </w:t>
      </w:r>
      <w:r w:rsidR="00801BFF" w:rsidRPr="00EE5F0F">
        <w:rPr>
          <w:rFonts w:ascii="Garamond" w:hAnsi="Garamond"/>
          <w:sz w:val="22"/>
          <w:szCs w:val="22"/>
        </w:rPr>
        <w:t xml:space="preserve">the economic </w:t>
      </w:r>
      <w:r w:rsidR="005747F6">
        <w:rPr>
          <w:rFonts w:ascii="Garamond" w:hAnsi="Garamond"/>
          <w:sz w:val="22"/>
          <w:szCs w:val="22"/>
        </w:rPr>
        <w:t xml:space="preserve">growth trends, </w:t>
      </w:r>
      <w:r w:rsidR="0024318B" w:rsidRPr="00EE5F0F">
        <w:rPr>
          <w:rFonts w:ascii="Garamond" w:hAnsi="Garamond"/>
          <w:sz w:val="22"/>
          <w:szCs w:val="22"/>
        </w:rPr>
        <w:t>the F</w:t>
      </w:r>
      <w:r w:rsidR="005747F6">
        <w:rPr>
          <w:rFonts w:ascii="Garamond" w:hAnsi="Garamond"/>
          <w:sz w:val="22"/>
          <w:szCs w:val="22"/>
        </w:rPr>
        <w:t>ed</w:t>
      </w:r>
      <w:r w:rsidR="0024318B" w:rsidRPr="00EE5F0F">
        <w:rPr>
          <w:rFonts w:ascii="Garamond" w:hAnsi="Garamond"/>
          <w:sz w:val="22"/>
          <w:szCs w:val="22"/>
        </w:rPr>
        <w:t xml:space="preserve"> </w:t>
      </w:r>
      <w:r w:rsidR="005747F6">
        <w:rPr>
          <w:rFonts w:ascii="Garamond" w:hAnsi="Garamond"/>
          <w:sz w:val="22"/>
          <w:szCs w:val="22"/>
        </w:rPr>
        <w:t>may</w:t>
      </w:r>
      <w:r w:rsidR="0024318B" w:rsidRPr="00EE5F0F">
        <w:rPr>
          <w:rFonts w:ascii="Garamond" w:hAnsi="Garamond"/>
          <w:sz w:val="22"/>
          <w:szCs w:val="22"/>
        </w:rPr>
        <w:t xml:space="preserve"> further pursue a gradually tightening monetary policy</w:t>
      </w:r>
      <w:r w:rsidR="005747F6">
        <w:rPr>
          <w:rFonts w:ascii="Garamond" w:hAnsi="Garamond"/>
          <w:sz w:val="22"/>
          <w:szCs w:val="22"/>
        </w:rPr>
        <w:t xml:space="preserve"> </w:t>
      </w:r>
      <w:r w:rsidR="005747F6" w:rsidRPr="005747F6">
        <w:rPr>
          <w:rFonts w:ascii="Garamond" w:hAnsi="Garamond"/>
          <w:sz w:val="22"/>
          <w:szCs w:val="22"/>
        </w:rPr>
        <w:t>to bring the inflation closer to the target</w:t>
      </w:r>
      <w:r w:rsidR="005747F6">
        <w:rPr>
          <w:rFonts w:ascii="Garamond" w:hAnsi="Garamond"/>
          <w:sz w:val="22"/>
          <w:szCs w:val="22"/>
        </w:rPr>
        <w:t xml:space="preserve">. </w:t>
      </w:r>
      <w:r w:rsidR="00861BFA">
        <w:rPr>
          <w:rFonts w:ascii="Garamond" w:hAnsi="Garamond"/>
          <w:sz w:val="22"/>
          <w:szCs w:val="22"/>
        </w:rPr>
        <w:t xml:space="preserve">Moreover, </w:t>
      </w:r>
      <w:r w:rsidR="000C26AF" w:rsidRPr="00EE5F0F">
        <w:rPr>
          <w:rFonts w:ascii="Garamond" w:hAnsi="Garamond"/>
          <w:sz w:val="22"/>
          <w:szCs w:val="22"/>
        </w:rPr>
        <w:t xml:space="preserve">the risk to capital outflows from emerging economies and subsequent volatilities in the financial markets will persist in the event </w:t>
      </w:r>
      <w:r w:rsidR="00566D4F">
        <w:rPr>
          <w:rFonts w:ascii="Garamond" w:hAnsi="Garamond"/>
          <w:sz w:val="22"/>
          <w:szCs w:val="22"/>
        </w:rPr>
        <w:t xml:space="preserve">the </w:t>
      </w:r>
      <w:r w:rsidR="000C26AF" w:rsidRPr="00EE5F0F">
        <w:rPr>
          <w:rFonts w:ascii="Garamond" w:hAnsi="Garamond"/>
          <w:sz w:val="22"/>
          <w:szCs w:val="22"/>
        </w:rPr>
        <w:t xml:space="preserve">long-term interest rates of US Treasury bonds </w:t>
      </w:r>
      <w:r w:rsidR="00566D4F">
        <w:rPr>
          <w:rFonts w:ascii="Garamond" w:hAnsi="Garamond"/>
          <w:sz w:val="22"/>
          <w:szCs w:val="22"/>
        </w:rPr>
        <w:t>rise</w:t>
      </w:r>
      <w:r w:rsidR="000C26AF" w:rsidRPr="00EE5F0F">
        <w:rPr>
          <w:rFonts w:ascii="Garamond" w:hAnsi="Garamond"/>
          <w:sz w:val="22"/>
          <w:szCs w:val="22"/>
        </w:rPr>
        <w:t>.</w:t>
      </w:r>
      <w:r w:rsidR="007877D5" w:rsidRPr="00EE5F0F">
        <w:rPr>
          <w:rFonts w:ascii="Garamond" w:hAnsi="Garamond"/>
          <w:sz w:val="22"/>
          <w:szCs w:val="22"/>
          <w:highlight w:val="yellow"/>
        </w:rPr>
        <w:t xml:space="preserve"> </w:t>
      </w:r>
    </w:p>
    <w:p w14:paraId="266894D2" w14:textId="77777777" w:rsidR="00EE619D" w:rsidRPr="00EE5F0F" w:rsidRDefault="000F59C5"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94191B">
        <w:rPr>
          <w:rFonts w:ascii="Garamond" w:hAnsi="Garamond"/>
          <w:sz w:val="22"/>
          <w:szCs w:val="22"/>
        </w:rPr>
        <w:t>second</w:t>
      </w:r>
      <w:r w:rsidRPr="00EE5F0F">
        <w:rPr>
          <w:rFonts w:ascii="Garamond" w:hAnsi="Garamond"/>
          <w:sz w:val="22"/>
          <w:szCs w:val="22"/>
        </w:rPr>
        <w:t xml:space="preserve"> quarter of 2018</w:t>
      </w:r>
      <w:r w:rsidR="00566D4F">
        <w:rPr>
          <w:rFonts w:ascii="Garamond" w:hAnsi="Garamond"/>
          <w:sz w:val="22"/>
          <w:szCs w:val="22"/>
        </w:rPr>
        <w:t>,</w:t>
      </w:r>
      <w:r w:rsidRPr="00EE5F0F">
        <w:rPr>
          <w:rFonts w:ascii="Garamond" w:hAnsi="Garamond"/>
          <w:sz w:val="22"/>
          <w:szCs w:val="22"/>
        </w:rPr>
        <w:t xml:space="preserve"> t</w:t>
      </w:r>
      <w:r w:rsidR="00671CE7" w:rsidRPr="00EE5F0F">
        <w:rPr>
          <w:rFonts w:ascii="Garamond" w:hAnsi="Garamond"/>
          <w:sz w:val="22"/>
          <w:szCs w:val="22"/>
        </w:rPr>
        <w:t xml:space="preserve">he average quarterly inflation in the Eurozone </w:t>
      </w:r>
      <w:r w:rsidR="0094191B">
        <w:rPr>
          <w:rFonts w:ascii="Garamond" w:hAnsi="Garamond"/>
          <w:sz w:val="22"/>
          <w:szCs w:val="22"/>
        </w:rPr>
        <w:t xml:space="preserve">accelerated </w:t>
      </w:r>
      <w:r w:rsidRPr="00EE5F0F">
        <w:rPr>
          <w:rFonts w:ascii="Garamond" w:hAnsi="Garamond"/>
          <w:sz w:val="22"/>
          <w:szCs w:val="22"/>
        </w:rPr>
        <w:t>to</w:t>
      </w:r>
      <w:r w:rsidR="007877D5" w:rsidRPr="00EE5F0F">
        <w:rPr>
          <w:rFonts w:ascii="Garamond" w:hAnsi="Garamond"/>
          <w:sz w:val="22"/>
          <w:szCs w:val="22"/>
        </w:rPr>
        <w:t xml:space="preserve"> 1.</w:t>
      </w:r>
      <w:r w:rsidR="0094191B">
        <w:rPr>
          <w:rFonts w:ascii="Garamond" w:hAnsi="Garamond"/>
          <w:sz w:val="22"/>
          <w:szCs w:val="22"/>
        </w:rPr>
        <w:t>7</w:t>
      </w:r>
      <w:r w:rsidR="00EE619D" w:rsidRPr="00EE5F0F">
        <w:rPr>
          <w:rFonts w:ascii="Garamond" w:hAnsi="Garamond"/>
          <w:sz w:val="22"/>
          <w:szCs w:val="22"/>
        </w:rPr>
        <w:t xml:space="preserve">%, </w:t>
      </w:r>
      <w:r w:rsidR="0094191B">
        <w:rPr>
          <w:rFonts w:ascii="Garamond" w:hAnsi="Garamond"/>
          <w:sz w:val="22"/>
          <w:szCs w:val="22"/>
        </w:rPr>
        <w:t xml:space="preserve">almost approaching the planned </w:t>
      </w:r>
      <w:r w:rsidR="00EE619D" w:rsidRPr="00EE5F0F">
        <w:rPr>
          <w:rFonts w:ascii="Garamond" w:hAnsi="Garamond"/>
          <w:sz w:val="22"/>
          <w:szCs w:val="22"/>
        </w:rPr>
        <w:t xml:space="preserve">target. </w:t>
      </w:r>
      <w:r w:rsidR="0094191B" w:rsidRPr="00EE5F0F">
        <w:rPr>
          <w:rFonts w:ascii="Garamond" w:hAnsi="Garamond"/>
          <w:sz w:val="22"/>
          <w:szCs w:val="22"/>
        </w:rPr>
        <w:t>In view of such economic developments</w:t>
      </w:r>
      <w:r w:rsidR="0094191B" w:rsidRPr="0094191B">
        <w:rPr>
          <w:rFonts w:ascii="Garamond" w:hAnsi="Garamond"/>
          <w:sz w:val="22"/>
          <w:szCs w:val="22"/>
        </w:rPr>
        <w:t xml:space="preserve"> </w:t>
      </w:r>
      <w:r w:rsidR="0094191B">
        <w:rPr>
          <w:rFonts w:ascii="Garamond" w:hAnsi="Garamond"/>
          <w:sz w:val="22"/>
          <w:szCs w:val="22"/>
        </w:rPr>
        <w:t xml:space="preserve">when </w:t>
      </w:r>
      <w:r w:rsidR="0094191B" w:rsidRPr="0094191B">
        <w:rPr>
          <w:rFonts w:ascii="Garamond" w:hAnsi="Garamond"/>
          <w:sz w:val="22"/>
          <w:szCs w:val="22"/>
        </w:rPr>
        <w:t xml:space="preserve">inflation </w:t>
      </w:r>
      <w:r w:rsidR="0094191B">
        <w:rPr>
          <w:rFonts w:ascii="Garamond" w:hAnsi="Garamond"/>
          <w:sz w:val="22"/>
          <w:szCs w:val="22"/>
        </w:rPr>
        <w:t>needs to be brought c</w:t>
      </w:r>
      <w:r w:rsidR="0094191B" w:rsidRPr="0094191B">
        <w:rPr>
          <w:rFonts w:ascii="Garamond" w:hAnsi="Garamond"/>
          <w:sz w:val="22"/>
          <w:szCs w:val="22"/>
        </w:rPr>
        <w:t>loser to the target in the medium term</w:t>
      </w:r>
      <w:r w:rsidR="0094191B">
        <w:rPr>
          <w:rFonts w:ascii="Garamond" w:hAnsi="Garamond"/>
          <w:sz w:val="22"/>
          <w:szCs w:val="22"/>
        </w:rPr>
        <w:t>,</w:t>
      </w:r>
      <w:r w:rsidR="0094191B" w:rsidRPr="00EE5F0F">
        <w:rPr>
          <w:rFonts w:ascii="Garamond" w:hAnsi="Garamond"/>
          <w:sz w:val="22"/>
          <w:szCs w:val="22"/>
        </w:rPr>
        <w:t xml:space="preserve"> </w:t>
      </w:r>
      <w:r w:rsidR="0094191B">
        <w:rPr>
          <w:rFonts w:ascii="Garamond" w:hAnsi="Garamond"/>
          <w:sz w:val="22"/>
          <w:szCs w:val="22"/>
        </w:rPr>
        <w:t xml:space="preserve">the European Central Bank will </w:t>
      </w:r>
      <w:r w:rsidR="000115CE">
        <w:rPr>
          <w:rFonts w:ascii="Garamond" w:hAnsi="Garamond"/>
          <w:sz w:val="22"/>
          <w:szCs w:val="22"/>
        </w:rPr>
        <w:t xml:space="preserve">still continue </w:t>
      </w:r>
      <w:r w:rsidR="00EE619D" w:rsidRPr="00EE5F0F">
        <w:rPr>
          <w:rFonts w:ascii="Garamond" w:hAnsi="Garamond"/>
          <w:sz w:val="22"/>
          <w:szCs w:val="22"/>
        </w:rPr>
        <w:t>a low interest rate policy</w:t>
      </w:r>
      <w:r w:rsidR="0094191B">
        <w:rPr>
          <w:rFonts w:ascii="Garamond" w:hAnsi="Garamond"/>
          <w:sz w:val="22"/>
          <w:szCs w:val="22"/>
        </w:rPr>
        <w:t xml:space="preserve">, announcing in June about </w:t>
      </w:r>
      <w:r w:rsidR="000115CE">
        <w:rPr>
          <w:rFonts w:ascii="Garamond" w:hAnsi="Garamond"/>
          <w:sz w:val="22"/>
          <w:szCs w:val="22"/>
        </w:rPr>
        <w:t>winding-up</w:t>
      </w:r>
      <w:r w:rsidR="0094191B">
        <w:rPr>
          <w:rFonts w:ascii="Garamond" w:hAnsi="Garamond"/>
          <w:sz w:val="22"/>
          <w:szCs w:val="22"/>
        </w:rPr>
        <w:t xml:space="preserve"> </w:t>
      </w:r>
      <w:r w:rsidR="00EE619D" w:rsidRPr="00EE5F0F">
        <w:rPr>
          <w:rFonts w:ascii="Garamond" w:hAnsi="Garamond"/>
          <w:sz w:val="22"/>
          <w:szCs w:val="22"/>
        </w:rPr>
        <w:t xml:space="preserve">the asset purchases program </w:t>
      </w:r>
      <w:r w:rsidR="002139DF">
        <w:rPr>
          <w:rFonts w:ascii="Garamond" w:hAnsi="Garamond"/>
          <w:sz w:val="22"/>
          <w:szCs w:val="22"/>
        </w:rPr>
        <w:t>at</w:t>
      </w:r>
      <w:r w:rsidR="0094191B">
        <w:rPr>
          <w:rFonts w:ascii="Garamond" w:hAnsi="Garamond"/>
          <w:sz w:val="22"/>
          <w:szCs w:val="22"/>
        </w:rPr>
        <w:t xml:space="preserve"> </w:t>
      </w:r>
      <w:r w:rsidR="00710622" w:rsidRPr="00EE5F0F">
        <w:rPr>
          <w:rFonts w:ascii="Garamond" w:hAnsi="Garamond"/>
          <w:sz w:val="22"/>
          <w:szCs w:val="22"/>
        </w:rPr>
        <w:t xml:space="preserve">the end of </w:t>
      </w:r>
      <w:r w:rsidR="0094191B">
        <w:rPr>
          <w:rFonts w:ascii="Garamond" w:hAnsi="Garamond"/>
          <w:sz w:val="22"/>
          <w:szCs w:val="22"/>
        </w:rPr>
        <w:t>the year</w:t>
      </w:r>
      <w:r w:rsidR="00EE619D" w:rsidRPr="00EE5F0F">
        <w:rPr>
          <w:rFonts w:ascii="Garamond" w:hAnsi="Garamond"/>
          <w:sz w:val="22"/>
          <w:szCs w:val="22"/>
        </w:rPr>
        <w:t>.</w:t>
      </w:r>
      <w:r w:rsidR="002139DF">
        <w:rPr>
          <w:rFonts w:ascii="Garamond" w:hAnsi="Garamond"/>
          <w:sz w:val="22"/>
          <w:szCs w:val="22"/>
        </w:rPr>
        <w:t xml:space="preserve"> Note that t</w:t>
      </w:r>
      <w:r w:rsidR="002139DF" w:rsidRPr="002139DF">
        <w:rPr>
          <w:rFonts w:ascii="Garamond" w:hAnsi="Garamond"/>
          <w:sz w:val="22"/>
          <w:szCs w:val="22"/>
        </w:rPr>
        <w:t xml:space="preserve">he program will continue </w:t>
      </w:r>
      <w:r w:rsidR="002139DF">
        <w:rPr>
          <w:rFonts w:ascii="Garamond" w:hAnsi="Garamond"/>
          <w:sz w:val="22"/>
          <w:szCs w:val="22"/>
        </w:rPr>
        <w:t xml:space="preserve">usual purchases of EUR </w:t>
      </w:r>
      <w:r w:rsidR="002139DF" w:rsidRPr="002139DF">
        <w:rPr>
          <w:rFonts w:ascii="Garamond" w:hAnsi="Garamond"/>
          <w:sz w:val="22"/>
          <w:szCs w:val="22"/>
        </w:rPr>
        <w:t xml:space="preserve">30 billion a month </w:t>
      </w:r>
      <w:r w:rsidR="002139DF">
        <w:rPr>
          <w:rFonts w:ascii="Garamond" w:hAnsi="Garamond"/>
          <w:sz w:val="22"/>
          <w:szCs w:val="22"/>
        </w:rPr>
        <w:t>by September</w:t>
      </w:r>
      <w:r w:rsidR="002139DF" w:rsidRPr="002139DF">
        <w:rPr>
          <w:rFonts w:ascii="Garamond" w:hAnsi="Garamond"/>
          <w:sz w:val="22"/>
          <w:szCs w:val="22"/>
        </w:rPr>
        <w:t xml:space="preserve">, and </w:t>
      </w:r>
      <w:r w:rsidR="002139DF">
        <w:rPr>
          <w:rFonts w:ascii="Garamond" w:hAnsi="Garamond"/>
          <w:sz w:val="22"/>
          <w:szCs w:val="22"/>
        </w:rPr>
        <w:t xml:space="preserve">of EUR </w:t>
      </w:r>
      <w:r w:rsidR="002139DF" w:rsidRPr="002139DF">
        <w:rPr>
          <w:rFonts w:ascii="Garamond" w:hAnsi="Garamond"/>
          <w:sz w:val="22"/>
          <w:szCs w:val="22"/>
        </w:rPr>
        <w:t>15 billion</w:t>
      </w:r>
      <w:r w:rsidR="002139DF">
        <w:rPr>
          <w:rFonts w:ascii="Garamond" w:hAnsi="Garamond"/>
          <w:sz w:val="22"/>
          <w:szCs w:val="22"/>
        </w:rPr>
        <w:t xml:space="preserve"> a month by the end of 2018</w:t>
      </w:r>
      <w:r w:rsidR="002139DF" w:rsidRPr="002139DF">
        <w:rPr>
          <w:rFonts w:ascii="Garamond" w:hAnsi="Garamond"/>
          <w:sz w:val="22"/>
          <w:szCs w:val="22"/>
        </w:rPr>
        <w:t xml:space="preserve">. </w:t>
      </w:r>
      <w:r w:rsidR="002139DF">
        <w:rPr>
          <w:rFonts w:ascii="Garamond" w:hAnsi="Garamond"/>
          <w:sz w:val="22"/>
          <w:szCs w:val="22"/>
        </w:rPr>
        <w:t xml:space="preserve">In the meanwhile, </w:t>
      </w:r>
      <w:r w:rsidR="002139DF" w:rsidRPr="002139DF">
        <w:rPr>
          <w:rFonts w:ascii="Garamond" w:hAnsi="Garamond"/>
          <w:sz w:val="22"/>
          <w:szCs w:val="22"/>
        </w:rPr>
        <w:t xml:space="preserve">the ECB has </w:t>
      </w:r>
      <w:r w:rsidR="002139DF">
        <w:rPr>
          <w:rFonts w:ascii="Garamond" w:hAnsi="Garamond"/>
          <w:sz w:val="22"/>
          <w:szCs w:val="22"/>
        </w:rPr>
        <w:t>talked about the possibility of leaving</w:t>
      </w:r>
      <w:r w:rsidR="002139DF" w:rsidRPr="002139DF">
        <w:rPr>
          <w:rFonts w:ascii="Garamond" w:hAnsi="Garamond"/>
          <w:sz w:val="22"/>
          <w:szCs w:val="22"/>
        </w:rPr>
        <w:t xml:space="preserve"> interest rates </w:t>
      </w:r>
      <w:r w:rsidR="002139DF">
        <w:rPr>
          <w:rFonts w:ascii="Garamond" w:hAnsi="Garamond"/>
          <w:sz w:val="22"/>
          <w:szCs w:val="22"/>
        </w:rPr>
        <w:t>unaffected up</w:t>
      </w:r>
      <w:r w:rsidR="002139DF" w:rsidRPr="002139DF">
        <w:rPr>
          <w:rFonts w:ascii="Garamond" w:hAnsi="Garamond"/>
          <w:sz w:val="22"/>
          <w:szCs w:val="22"/>
        </w:rPr>
        <w:t xml:space="preserve"> until </w:t>
      </w:r>
      <w:r w:rsidR="002139DF">
        <w:rPr>
          <w:rFonts w:ascii="Garamond" w:hAnsi="Garamond"/>
          <w:sz w:val="22"/>
          <w:szCs w:val="22"/>
        </w:rPr>
        <w:t xml:space="preserve">the half of </w:t>
      </w:r>
      <w:r w:rsidR="002139DF" w:rsidRPr="002139DF">
        <w:rPr>
          <w:rFonts w:ascii="Garamond" w:hAnsi="Garamond"/>
          <w:sz w:val="22"/>
          <w:szCs w:val="22"/>
        </w:rPr>
        <w:t xml:space="preserve">2019. </w:t>
      </w:r>
    </w:p>
    <w:p w14:paraId="15220892" w14:textId="77777777" w:rsidR="00EE619D" w:rsidRPr="00EE5F0F" w:rsidRDefault="00551F7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In the second quarter of 2018, t</w:t>
      </w:r>
      <w:r w:rsidR="00EE619D" w:rsidRPr="00EE5F0F">
        <w:rPr>
          <w:rFonts w:ascii="Garamond" w:hAnsi="Garamond"/>
          <w:sz w:val="22"/>
          <w:szCs w:val="22"/>
        </w:rPr>
        <w:t xml:space="preserve">he average quarterly inflation in the </w:t>
      </w:r>
      <w:r w:rsidR="00EE619D" w:rsidRPr="00EE5F0F">
        <w:rPr>
          <w:rFonts w:ascii="Garamond" w:hAnsi="Garamond"/>
          <w:b/>
          <w:sz w:val="22"/>
          <w:szCs w:val="22"/>
        </w:rPr>
        <w:t>Russian Federation</w:t>
      </w:r>
      <w:r w:rsidR="001B7F81" w:rsidRPr="00EE5F0F">
        <w:rPr>
          <w:rFonts w:ascii="Garamond" w:hAnsi="Garamond"/>
          <w:sz w:val="22"/>
          <w:szCs w:val="22"/>
        </w:rPr>
        <w:t xml:space="preserve"> </w:t>
      </w:r>
      <w:r>
        <w:rPr>
          <w:rFonts w:ascii="Garamond" w:hAnsi="Garamond"/>
          <w:sz w:val="22"/>
          <w:szCs w:val="22"/>
        </w:rPr>
        <w:t xml:space="preserve">somewhat accelerated to 2.4% (2.3% in previous quarter), but was </w:t>
      </w:r>
      <w:r w:rsidR="001B7F81" w:rsidRPr="00EE5F0F">
        <w:rPr>
          <w:rFonts w:ascii="Garamond" w:hAnsi="Garamond"/>
          <w:sz w:val="22"/>
          <w:szCs w:val="22"/>
        </w:rPr>
        <w:t xml:space="preserve">still </w:t>
      </w:r>
      <w:r w:rsidR="00EE619D" w:rsidRPr="00EE5F0F">
        <w:rPr>
          <w:rFonts w:ascii="Garamond" w:hAnsi="Garamond"/>
          <w:sz w:val="22"/>
          <w:szCs w:val="22"/>
        </w:rPr>
        <w:t xml:space="preserve">below its target </w:t>
      </w:r>
      <w:r w:rsidR="001B7F81" w:rsidRPr="00EE5F0F">
        <w:rPr>
          <w:rFonts w:ascii="Garamond" w:hAnsi="Garamond"/>
          <w:sz w:val="22"/>
          <w:szCs w:val="22"/>
        </w:rPr>
        <w:t xml:space="preserve">of </w:t>
      </w:r>
      <w:r w:rsidR="00EE619D" w:rsidRPr="00EE5F0F">
        <w:rPr>
          <w:rFonts w:ascii="Garamond" w:hAnsi="Garamond"/>
          <w:sz w:val="22"/>
          <w:szCs w:val="22"/>
        </w:rPr>
        <w:t>4%. The d</w:t>
      </w:r>
      <w:r>
        <w:rPr>
          <w:rFonts w:ascii="Garamond" w:hAnsi="Garamond"/>
          <w:sz w:val="22"/>
          <w:szCs w:val="22"/>
        </w:rPr>
        <w:t xml:space="preserve">ropped </w:t>
      </w:r>
      <w:r w:rsidR="00241C68" w:rsidRPr="00EE5F0F">
        <w:rPr>
          <w:rFonts w:ascii="Garamond" w:hAnsi="Garamond"/>
          <w:sz w:val="22"/>
          <w:szCs w:val="22"/>
        </w:rPr>
        <w:t xml:space="preserve">food </w:t>
      </w:r>
      <w:r>
        <w:rPr>
          <w:rFonts w:ascii="Garamond" w:hAnsi="Garamond"/>
          <w:sz w:val="22"/>
          <w:szCs w:val="22"/>
        </w:rPr>
        <w:t xml:space="preserve">prices, the seasonal fruit and vegetable prices in particular, were </w:t>
      </w:r>
      <w:r w:rsidR="002D15EE" w:rsidRPr="00EE5F0F">
        <w:rPr>
          <w:rFonts w:ascii="Garamond" w:hAnsi="Garamond"/>
          <w:sz w:val="22"/>
          <w:szCs w:val="22"/>
        </w:rPr>
        <w:t>the main</w:t>
      </w:r>
      <w:r w:rsidR="00EE619D" w:rsidRPr="00EE5F0F">
        <w:rPr>
          <w:rFonts w:ascii="Garamond" w:hAnsi="Garamond"/>
          <w:sz w:val="22"/>
          <w:szCs w:val="22"/>
        </w:rPr>
        <w:t xml:space="preserve"> contribut</w:t>
      </w:r>
      <w:r w:rsidR="002D15EE" w:rsidRPr="00EE5F0F">
        <w:rPr>
          <w:rFonts w:ascii="Garamond" w:hAnsi="Garamond"/>
          <w:sz w:val="22"/>
          <w:szCs w:val="22"/>
        </w:rPr>
        <w:t xml:space="preserve">ion to </w:t>
      </w:r>
      <w:r>
        <w:rPr>
          <w:rFonts w:ascii="Garamond" w:hAnsi="Garamond"/>
          <w:sz w:val="22"/>
          <w:szCs w:val="22"/>
        </w:rPr>
        <w:t xml:space="preserve">keeping </w:t>
      </w:r>
      <w:r w:rsidR="002D15EE" w:rsidRPr="00EE5F0F">
        <w:rPr>
          <w:rFonts w:ascii="Garamond" w:hAnsi="Garamond"/>
          <w:sz w:val="22"/>
          <w:szCs w:val="22"/>
        </w:rPr>
        <w:t>the</w:t>
      </w:r>
      <w:r>
        <w:rPr>
          <w:rFonts w:ascii="Garamond" w:hAnsi="Garamond"/>
          <w:sz w:val="22"/>
          <w:szCs w:val="22"/>
        </w:rPr>
        <w:t xml:space="preserve"> </w:t>
      </w:r>
      <w:r w:rsidR="00EE619D" w:rsidRPr="00EE5F0F">
        <w:rPr>
          <w:rFonts w:ascii="Garamond" w:hAnsi="Garamond"/>
          <w:sz w:val="22"/>
          <w:szCs w:val="22"/>
        </w:rPr>
        <w:t>inflation</w:t>
      </w:r>
      <w:r>
        <w:rPr>
          <w:rFonts w:ascii="Garamond" w:hAnsi="Garamond"/>
          <w:sz w:val="22"/>
          <w:szCs w:val="22"/>
        </w:rPr>
        <w:t xml:space="preserve"> low</w:t>
      </w:r>
      <w:r w:rsidR="00EE619D" w:rsidRPr="00EE5F0F">
        <w:rPr>
          <w:rFonts w:ascii="Garamond" w:hAnsi="Garamond"/>
          <w:sz w:val="22"/>
          <w:szCs w:val="22"/>
        </w:rPr>
        <w:t>.</w:t>
      </w:r>
      <w:r w:rsidR="00251DCE">
        <w:rPr>
          <w:rFonts w:ascii="Garamond" w:hAnsi="Garamond"/>
          <w:sz w:val="22"/>
          <w:szCs w:val="22"/>
        </w:rPr>
        <w:t xml:space="preserve"> In view of </w:t>
      </w:r>
      <w:r w:rsidR="00251DCE" w:rsidRPr="00251DCE">
        <w:rPr>
          <w:rFonts w:ascii="Garamond" w:hAnsi="Garamond"/>
          <w:sz w:val="22"/>
          <w:szCs w:val="22"/>
        </w:rPr>
        <w:t xml:space="preserve">such conditions as well as </w:t>
      </w:r>
      <w:r w:rsidR="00251DCE">
        <w:rPr>
          <w:rFonts w:ascii="Garamond" w:hAnsi="Garamond"/>
          <w:sz w:val="22"/>
          <w:szCs w:val="22"/>
        </w:rPr>
        <w:t xml:space="preserve">growing inflationary expectations due to </w:t>
      </w:r>
      <w:r w:rsidR="00251DCE" w:rsidRPr="00251DCE">
        <w:rPr>
          <w:rFonts w:ascii="Garamond" w:hAnsi="Garamond"/>
          <w:sz w:val="22"/>
          <w:szCs w:val="22"/>
        </w:rPr>
        <w:t xml:space="preserve">the rise in </w:t>
      </w:r>
      <w:r w:rsidR="00251DCE">
        <w:rPr>
          <w:rFonts w:ascii="Garamond" w:hAnsi="Garamond"/>
          <w:sz w:val="22"/>
          <w:szCs w:val="22"/>
        </w:rPr>
        <w:t xml:space="preserve">petrol </w:t>
      </w:r>
      <w:r w:rsidR="00251DCE" w:rsidRPr="00251DCE">
        <w:rPr>
          <w:rFonts w:ascii="Garamond" w:hAnsi="Garamond"/>
          <w:sz w:val="22"/>
          <w:szCs w:val="22"/>
        </w:rPr>
        <w:t>prices</w:t>
      </w:r>
      <w:r w:rsidR="00251DCE">
        <w:rPr>
          <w:rFonts w:ascii="Garamond" w:hAnsi="Garamond"/>
          <w:sz w:val="22"/>
          <w:szCs w:val="22"/>
        </w:rPr>
        <w:t>,</w:t>
      </w:r>
      <w:r w:rsidR="00251DCE" w:rsidRPr="00251DCE">
        <w:rPr>
          <w:rFonts w:ascii="Garamond" w:hAnsi="Garamond"/>
          <w:sz w:val="22"/>
          <w:szCs w:val="22"/>
        </w:rPr>
        <w:t xml:space="preserve"> </w:t>
      </w:r>
      <w:r w:rsidR="00251DCE">
        <w:rPr>
          <w:rFonts w:ascii="Garamond" w:hAnsi="Garamond"/>
          <w:sz w:val="22"/>
          <w:szCs w:val="22"/>
        </w:rPr>
        <w:t xml:space="preserve">in the second quarter </w:t>
      </w:r>
      <w:r w:rsidR="00251DCE" w:rsidRPr="00251DCE">
        <w:rPr>
          <w:rFonts w:ascii="Garamond" w:hAnsi="Garamond"/>
          <w:sz w:val="22"/>
          <w:szCs w:val="22"/>
        </w:rPr>
        <w:t xml:space="preserve">the </w:t>
      </w:r>
      <w:r w:rsidR="00251DCE">
        <w:rPr>
          <w:rFonts w:ascii="Garamond" w:hAnsi="Garamond"/>
          <w:sz w:val="22"/>
          <w:szCs w:val="22"/>
        </w:rPr>
        <w:t xml:space="preserve">Central Bank of </w:t>
      </w:r>
      <w:r w:rsidR="00251DCE" w:rsidRPr="00251DCE">
        <w:rPr>
          <w:rFonts w:ascii="Garamond" w:hAnsi="Garamond"/>
          <w:sz w:val="22"/>
          <w:szCs w:val="22"/>
        </w:rPr>
        <w:t>Russia</w:t>
      </w:r>
      <w:r w:rsidR="00251DCE">
        <w:rPr>
          <w:rFonts w:ascii="Garamond" w:hAnsi="Garamond"/>
          <w:sz w:val="22"/>
          <w:szCs w:val="22"/>
        </w:rPr>
        <w:t xml:space="preserve"> kept </w:t>
      </w:r>
      <w:r w:rsidR="00251DCE" w:rsidRPr="00251DCE">
        <w:rPr>
          <w:rFonts w:ascii="Garamond" w:hAnsi="Garamond"/>
          <w:sz w:val="22"/>
          <w:szCs w:val="22"/>
        </w:rPr>
        <w:t xml:space="preserve">the policy rate </w:t>
      </w:r>
      <w:r w:rsidR="00251DCE">
        <w:rPr>
          <w:rFonts w:ascii="Garamond" w:hAnsi="Garamond"/>
          <w:sz w:val="22"/>
          <w:szCs w:val="22"/>
        </w:rPr>
        <w:t>unchanged,</w:t>
      </w:r>
      <w:r w:rsidR="00251DCE" w:rsidRPr="00251DCE">
        <w:rPr>
          <w:rFonts w:ascii="Garamond" w:hAnsi="Garamond"/>
          <w:sz w:val="22"/>
          <w:szCs w:val="22"/>
        </w:rPr>
        <w:t xml:space="preserve"> at the level of 7.25%</w:t>
      </w:r>
      <w:r w:rsidR="00251DCE">
        <w:rPr>
          <w:rFonts w:ascii="Garamond" w:hAnsi="Garamond"/>
          <w:sz w:val="22"/>
          <w:szCs w:val="22"/>
        </w:rPr>
        <w:t>,</w:t>
      </w:r>
      <w:r w:rsidR="00251DCE" w:rsidRPr="00251DCE">
        <w:rPr>
          <w:rFonts w:ascii="Garamond" w:hAnsi="Garamond"/>
          <w:sz w:val="22"/>
          <w:szCs w:val="22"/>
        </w:rPr>
        <w:t xml:space="preserve"> </w:t>
      </w:r>
      <w:r w:rsidR="00251DCE">
        <w:rPr>
          <w:rFonts w:ascii="Garamond" w:hAnsi="Garamond"/>
          <w:sz w:val="22"/>
          <w:szCs w:val="22"/>
        </w:rPr>
        <w:t>as</w:t>
      </w:r>
      <w:r w:rsidR="00251DCE" w:rsidRPr="00251DCE">
        <w:rPr>
          <w:rFonts w:ascii="Garamond" w:hAnsi="Garamond"/>
          <w:sz w:val="22"/>
          <w:szCs w:val="22"/>
        </w:rPr>
        <w:t xml:space="preserve"> </w:t>
      </w:r>
      <w:r w:rsidR="00251DCE">
        <w:rPr>
          <w:rFonts w:ascii="Garamond" w:hAnsi="Garamond"/>
          <w:sz w:val="22"/>
          <w:szCs w:val="22"/>
        </w:rPr>
        <w:t xml:space="preserve">was in </w:t>
      </w:r>
      <w:r w:rsidR="00251DCE" w:rsidRPr="00251DCE">
        <w:rPr>
          <w:rFonts w:ascii="Garamond" w:hAnsi="Garamond"/>
          <w:sz w:val="22"/>
          <w:szCs w:val="22"/>
        </w:rPr>
        <w:t>the previous quarter.</w:t>
      </w:r>
      <w:r w:rsidR="00EE619D" w:rsidRPr="00EE5F0F">
        <w:rPr>
          <w:rFonts w:ascii="Garamond" w:hAnsi="Garamond"/>
          <w:sz w:val="22"/>
          <w:szCs w:val="22"/>
        </w:rPr>
        <w:t xml:space="preserve"> </w:t>
      </w:r>
      <w:r w:rsidR="001D0FDA">
        <w:rPr>
          <w:rFonts w:ascii="Garamond" w:hAnsi="Garamond"/>
          <w:sz w:val="22"/>
          <w:szCs w:val="22"/>
        </w:rPr>
        <w:t xml:space="preserve">Remarkably, the decision on </w:t>
      </w:r>
      <w:r w:rsidR="001D0FDA" w:rsidRPr="001D0FDA">
        <w:rPr>
          <w:rFonts w:ascii="Garamond" w:hAnsi="Garamond"/>
          <w:sz w:val="22"/>
          <w:szCs w:val="22"/>
        </w:rPr>
        <w:t>increas</w:t>
      </w:r>
      <w:r w:rsidR="001D0FDA">
        <w:rPr>
          <w:rFonts w:ascii="Garamond" w:hAnsi="Garamond"/>
          <w:sz w:val="22"/>
          <w:szCs w:val="22"/>
        </w:rPr>
        <w:t>ing</w:t>
      </w:r>
      <w:r w:rsidR="001D0FDA" w:rsidRPr="001D0FDA">
        <w:rPr>
          <w:rFonts w:ascii="Garamond" w:hAnsi="Garamond"/>
          <w:sz w:val="22"/>
          <w:szCs w:val="22"/>
        </w:rPr>
        <w:t xml:space="preserve"> </w:t>
      </w:r>
      <w:r w:rsidR="001D0FDA">
        <w:rPr>
          <w:rFonts w:ascii="Garamond" w:hAnsi="Garamond"/>
          <w:sz w:val="22"/>
          <w:szCs w:val="22"/>
        </w:rPr>
        <w:t xml:space="preserve">the </w:t>
      </w:r>
      <w:r w:rsidR="001D0FDA" w:rsidRPr="001D0FDA">
        <w:rPr>
          <w:rFonts w:ascii="Garamond" w:hAnsi="Garamond"/>
          <w:sz w:val="22"/>
          <w:szCs w:val="22"/>
        </w:rPr>
        <w:t>VAT in Russia</w:t>
      </w:r>
      <w:r w:rsidR="001D0FDA">
        <w:rPr>
          <w:rFonts w:ascii="Garamond" w:hAnsi="Garamond"/>
          <w:sz w:val="22"/>
          <w:szCs w:val="22"/>
        </w:rPr>
        <w:t xml:space="preserve">, which was announced in June 2018, </w:t>
      </w:r>
      <w:r w:rsidR="001D0FDA" w:rsidRPr="001D0FDA">
        <w:rPr>
          <w:rFonts w:ascii="Garamond" w:hAnsi="Garamond"/>
          <w:sz w:val="22"/>
          <w:szCs w:val="22"/>
        </w:rPr>
        <w:t>will have an impact on inflation at the beginning of the next year</w:t>
      </w:r>
      <w:r w:rsidR="000B214F">
        <w:rPr>
          <w:rFonts w:ascii="Garamond" w:hAnsi="Garamond"/>
          <w:sz w:val="22"/>
          <w:szCs w:val="22"/>
        </w:rPr>
        <w:t>,</w:t>
      </w:r>
      <w:r w:rsidR="001D0FDA">
        <w:rPr>
          <w:rFonts w:ascii="Garamond" w:hAnsi="Garamond"/>
          <w:sz w:val="22"/>
          <w:szCs w:val="22"/>
        </w:rPr>
        <w:t xml:space="preserve"> </w:t>
      </w:r>
      <w:r w:rsidR="00DC18DE">
        <w:rPr>
          <w:rFonts w:ascii="Garamond" w:hAnsi="Garamond"/>
          <w:sz w:val="22"/>
          <w:szCs w:val="22"/>
        </w:rPr>
        <w:t>while</w:t>
      </w:r>
      <w:r w:rsidR="001D0FDA">
        <w:rPr>
          <w:rFonts w:ascii="Garamond" w:hAnsi="Garamond"/>
          <w:sz w:val="22"/>
          <w:szCs w:val="22"/>
        </w:rPr>
        <w:t xml:space="preserve"> the inflationary expectations it will cause </w:t>
      </w:r>
      <w:r w:rsidR="00DC18DE">
        <w:rPr>
          <w:rFonts w:ascii="Garamond" w:hAnsi="Garamond"/>
          <w:sz w:val="22"/>
          <w:szCs w:val="22"/>
        </w:rPr>
        <w:t>may</w:t>
      </w:r>
      <w:r w:rsidR="001D0FDA">
        <w:rPr>
          <w:rFonts w:ascii="Garamond" w:hAnsi="Garamond"/>
          <w:sz w:val="22"/>
          <w:szCs w:val="22"/>
        </w:rPr>
        <w:t xml:space="preserve"> also affect </w:t>
      </w:r>
      <w:r w:rsidR="001D0FDA" w:rsidRPr="001D0FDA">
        <w:rPr>
          <w:rFonts w:ascii="Garamond" w:hAnsi="Garamond"/>
          <w:sz w:val="22"/>
          <w:szCs w:val="22"/>
        </w:rPr>
        <w:t>the current inflation development</w:t>
      </w:r>
      <w:r w:rsidR="001D0FDA">
        <w:rPr>
          <w:rFonts w:ascii="Garamond" w:hAnsi="Garamond"/>
          <w:sz w:val="22"/>
          <w:szCs w:val="22"/>
        </w:rPr>
        <w:t xml:space="preserve">s. </w:t>
      </w:r>
      <w:r w:rsidR="007E6636">
        <w:rPr>
          <w:rFonts w:ascii="Garamond" w:hAnsi="Garamond"/>
          <w:sz w:val="22"/>
          <w:szCs w:val="22"/>
        </w:rPr>
        <w:t xml:space="preserve">The external demand, expanding as a result of a depreciated exchange rate, will create additional inflation expectations. So, despite the fact that inflation is running below its target, the CBR </w:t>
      </w:r>
      <w:r w:rsidR="00EE619D" w:rsidRPr="00EE5F0F">
        <w:rPr>
          <w:rFonts w:ascii="Garamond" w:hAnsi="Garamond"/>
          <w:sz w:val="22"/>
          <w:szCs w:val="22"/>
        </w:rPr>
        <w:t xml:space="preserve">will </w:t>
      </w:r>
      <w:r w:rsidR="007E6636">
        <w:rPr>
          <w:rFonts w:ascii="Garamond" w:hAnsi="Garamond"/>
          <w:sz w:val="22"/>
          <w:szCs w:val="22"/>
        </w:rPr>
        <w:t xml:space="preserve">continue implementing </w:t>
      </w:r>
      <w:r w:rsidR="00EE619D" w:rsidRPr="00EE5F0F">
        <w:rPr>
          <w:rFonts w:ascii="Garamond" w:hAnsi="Garamond"/>
          <w:sz w:val="22"/>
          <w:szCs w:val="22"/>
        </w:rPr>
        <w:t>a</w:t>
      </w:r>
      <w:r w:rsidR="002D15EE" w:rsidRPr="00EE5F0F">
        <w:rPr>
          <w:rFonts w:ascii="Garamond" w:hAnsi="Garamond"/>
          <w:sz w:val="22"/>
          <w:szCs w:val="22"/>
        </w:rPr>
        <w:t xml:space="preserve"> moderately </w:t>
      </w:r>
      <w:r w:rsidR="007E6636">
        <w:rPr>
          <w:rFonts w:ascii="Garamond" w:hAnsi="Garamond"/>
          <w:sz w:val="22"/>
          <w:szCs w:val="22"/>
        </w:rPr>
        <w:t xml:space="preserve">contractionary monetary </w:t>
      </w:r>
      <w:r w:rsidR="002D15EE" w:rsidRPr="00EE5F0F">
        <w:rPr>
          <w:rFonts w:ascii="Garamond" w:hAnsi="Garamond"/>
          <w:sz w:val="22"/>
          <w:szCs w:val="22"/>
        </w:rPr>
        <w:t xml:space="preserve">aimed at reducing inflation expectations and anchoring the inflation around the target. </w:t>
      </w:r>
    </w:p>
    <w:p w14:paraId="55AF7911" w14:textId="77777777" w:rsidR="00803722" w:rsidRDefault="0080372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AF7B80" w:rsidRPr="00EE5F0F">
        <w:rPr>
          <w:rFonts w:ascii="Garamond" w:hAnsi="Garamond"/>
          <w:sz w:val="22"/>
          <w:szCs w:val="22"/>
        </w:rPr>
        <w:t xml:space="preserve">n the </w:t>
      </w:r>
      <w:r>
        <w:rPr>
          <w:rFonts w:ascii="Garamond" w:hAnsi="Garamond"/>
          <w:sz w:val="22"/>
          <w:szCs w:val="22"/>
        </w:rPr>
        <w:t>second</w:t>
      </w:r>
      <w:r w:rsidR="00AF7B80" w:rsidRPr="00EE5F0F">
        <w:rPr>
          <w:rFonts w:ascii="Garamond" w:hAnsi="Garamond"/>
          <w:sz w:val="22"/>
          <w:szCs w:val="22"/>
        </w:rPr>
        <w:t xml:space="preserve"> quarter</w:t>
      </w:r>
      <w:r>
        <w:rPr>
          <w:rFonts w:ascii="Garamond" w:hAnsi="Garamond"/>
          <w:sz w:val="22"/>
          <w:szCs w:val="22"/>
        </w:rPr>
        <w:t xml:space="preserve"> of 2018</w:t>
      </w:r>
      <w:r w:rsidR="00A03652" w:rsidRPr="00EE5F0F">
        <w:rPr>
          <w:rFonts w:ascii="Garamond" w:hAnsi="Garamond"/>
          <w:sz w:val="22"/>
          <w:szCs w:val="22"/>
        </w:rPr>
        <w:t>,</w:t>
      </w:r>
      <w:r w:rsidR="00EE619D" w:rsidRPr="00EE5F0F">
        <w:rPr>
          <w:rFonts w:ascii="Garamond" w:hAnsi="Garamond"/>
          <w:sz w:val="22"/>
          <w:szCs w:val="22"/>
        </w:rPr>
        <w:t xml:space="preserve"> the euro </w:t>
      </w:r>
      <w:r w:rsidR="00A03652" w:rsidRPr="00EE5F0F">
        <w:rPr>
          <w:rFonts w:ascii="Garamond" w:hAnsi="Garamond"/>
          <w:sz w:val="22"/>
          <w:szCs w:val="22"/>
        </w:rPr>
        <w:t xml:space="preserve">exchange rate </w:t>
      </w:r>
      <w:r w:rsidR="00AF7B80" w:rsidRPr="00EE5F0F">
        <w:rPr>
          <w:rFonts w:ascii="Garamond" w:hAnsi="Garamond"/>
          <w:sz w:val="22"/>
          <w:szCs w:val="22"/>
        </w:rPr>
        <w:t>versus</w:t>
      </w:r>
      <w:r w:rsidR="00EE619D" w:rsidRPr="00EE5F0F">
        <w:rPr>
          <w:rFonts w:ascii="Garamond" w:hAnsi="Garamond"/>
          <w:sz w:val="22"/>
          <w:szCs w:val="22"/>
        </w:rPr>
        <w:t xml:space="preserve"> the US dollar</w:t>
      </w:r>
      <w:r w:rsidR="00AF7B80" w:rsidRPr="00EE5F0F">
        <w:rPr>
          <w:rFonts w:ascii="Garamond" w:hAnsi="Garamond"/>
          <w:sz w:val="22"/>
          <w:szCs w:val="22"/>
        </w:rPr>
        <w:t xml:space="preserve"> </w:t>
      </w:r>
      <w:r>
        <w:rPr>
          <w:rFonts w:ascii="Garamond" w:hAnsi="Garamond"/>
          <w:sz w:val="22"/>
          <w:szCs w:val="22"/>
        </w:rPr>
        <w:t>de</w:t>
      </w:r>
      <w:r w:rsidR="00A03652" w:rsidRPr="00EE5F0F">
        <w:rPr>
          <w:rFonts w:ascii="Garamond" w:hAnsi="Garamond"/>
          <w:sz w:val="22"/>
          <w:szCs w:val="22"/>
        </w:rPr>
        <w:t xml:space="preserve">preciated </w:t>
      </w:r>
      <w:r w:rsidR="00AF7B80" w:rsidRPr="00EE5F0F">
        <w:rPr>
          <w:rFonts w:ascii="Garamond" w:hAnsi="Garamond"/>
          <w:sz w:val="22"/>
          <w:szCs w:val="22"/>
        </w:rPr>
        <w:t xml:space="preserve">by </w:t>
      </w:r>
      <w:r>
        <w:rPr>
          <w:rFonts w:ascii="Garamond" w:hAnsi="Garamond"/>
          <w:sz w:val="22"/>
          <w:szCs w:val="22"/>
        </w:rPr>
        <w:t>3</w:t>
      </w:r>
      <w:r w:rsidR="0053486E" w:rsidRPr="00EE5F0F">
        <w:rPr>
          <w:rFonts w:ascii="Garamond" w:hAnsi="Garamond"/>
          <w:sz w:val="22"/>
          <w:szCs w:val="22"/>
        </w:rPr>
        <w:t>.0</w:t>
      </w:r>
      <w:r w:rsidR="00AF7B80" w:rsidRPr="00EE5F0F">
        <w:rPr>
          <w:rFonts w:ascii="Garamond" w:hAnsi="Garamond"/>
          <w:sz w:val="22"/>
          <w:szCs w:val="22"/>
        </w:rPr>
        <w:t xml:space="preserve">% </w:t>
      </w:r>
      <w:r>
        <w:rPr>
          <w:rFonts w:ascii="Garamond" w:hAnsi="Garamond"/>
          <w:sz w:val="22"/>
          <w:szCs w:val="22"/>
        </w:rPr>
        <w:t>q</w:t>
      </w:r>
      <w:r w:rsidR="00A03652" w:rsidRPr="00EE5F0F">
        <w:rPr>
          <w:rFonts w:ascii="Garamond" w:hAnsi="Garamond"/>
          <w:sz w:val="22"/>
          <w:szCs w:val="22"/>
        </w:rPr>
        <w:t>/</w:t>
      </w:r>
      <w:r>
        <w:rPr>
          <w:rFonts w:ascii="Garamond" w:hAnsi="Garamond"/>
          <w:sz w:val="22"/>
          <w:szCs w:val="22"/>
        </w:rPr>
        <w:t>q</w:t>
      </w:r>
      <w:r w:rsidR="00A03652" w:rsidRPr="00EE5F0F">
        <w:rPr>
          <w:rFonts w:ascii="Garamond" w:hAnsi="Garamond"/>
          <w:sz w:val="22"/>
          <w:szCs w:val="22"/>
        </w:rPr>
        <w:t xml:space="preserve"> </w:t>
      </w:r>
      <w:r w:rsidR="00AF7B80" w:rsidRPr="00EE5F0F">
        <w:rPr>
          <w:rFonts w:ascii="Garamond" w:hAnsi="Garamond"/>
          <w:sz w:val="22"/>
          <w:szCs w:val="22"/>
        </w:rPr>
        <w:t xml:space="preserve">to </w:t>
      </w:r>
      <w:r w:rsidR="00EE619D" w:rsidRPr="00EE5F0F">
        <w:rPr>
          <w:rFonts w:ascii="Garamond" w:hAnsi="Garamond"/>
          <w:sz w:val="22"/>
          <w:szCs w:val="22"/>
        </w:rPr>
        <w:t>1.</w:t>
      </w:r>
      <w:r>
        <w:rPr>
          <w:rFonts w:ascii="Garamond" w:hAnsi="Garamond"/>
          <w:sz w:val="22"/>
          <w:szCs w:val="22"/>
        </w:rPr>
        <w:t xml:space="preserve">19 dollars per euro, </w:t>
      </w:r>
      <w:r w:rsidRPr="00803722">
        <w:rPr>
          <w:rFonts w:ascii="Garamond" w:hAnsi="Garamond"/>
          <w:sz w:val="22"/>
          <w:szCs w:val="22"/>
        </w:rPr>
        <w:t xml:space="preserve">which was mainly </w:t>
      </w:r>
      <w:r>
        <w:rPr>
          <w:rFonts w:ascii="Garamond" w:hAnsi="Garamond"/>
          <w:sz w:val="22"/>
          <w:szCs w:val="22"/>
        </w:rPr>
        <w:t xml:space="preserve">attributable to an approach to conducting </w:t>
      </w:r>
      <w:r w:rsidRPr="00803722">
        <w:rPr>
          <w:rFonts w:ascii="Garamond" w:hAnsi="Garamond"/>
          <w:sz w:val="22"/>
          <w:szCs w:val="22"/>
        </w:rPr>
        <w:t>differen</w:t>
      </w:r>
      <w:r>
        <w:rPr>
          <w:rFonts w:ascii="Garamond" w:hAnsi="Garamond"/>
          <w:sz w:val="22"/>
          <w:szCs w:val="22"/>
        </w:rPr>
        <w:t>t</w:t>
      </w:r>
      <w:r w:rsidRPr="00803722">
        <w:rPr>
          <w:rFonts w:ascii="Garamond" w:hAnsi="Garamond"/>
          <w:sz w:val="22"/>
          <w:szCs w:val="22"/>
        </w:rPr>
        <w:t xml:space="preserve"> monetary polic</w:t>
      </w:r>
      <w:r>
        <w:rPr>
          <w:rFonts w:ascii="Garamond" w:hAnsi="Garamond"/>
          <w:sz w:val="22"/>
          <w:szCs w:val="22"/>
        </w:rPr>
        <w:t xml:space="preserve">ies in the US and Eurozone. </w:t>
      </w:r>
      <w:r w:rsidRPr="00803722">
        <w:rPr>
          <w:rFonts w:ascii="Garamond" w:hAnsi="Garamond"/>
          <w:sz w:val="22"/>
          <w:szCs w:val="22"/>
        </w:rPr>
        <w:t xml:space="preserve">In the second quarter </w:t>
      </w:r>
      <w:r>
        <w:rPr>
          <w:rFonts w:ascii="Garamond" w:hAnsi="Garamond"/>
          <w:sz w:val="22"/>
          <w:szCs w:val="22"/>
        </w:rPr>
        <w:t xml:space="preserve">the </w:t>
      </w:r>
      <w:r w:rsidRPr="00803722">
        <w:rPr>
          <w:rFonts w:ascii="Garamond" w:hAnsi="Garamond"/>
          <w:sz w:val="22"/>
          <w:szCs w:val="22"/>
        </w:rPr>
        <w:t xml:space="preserve">Russian ruble </w:t>
      </w:r>
      <w:r>
        <w:rPr>
          <w:rFonts w:ascii="Garamond" w:hAnsi="Garamond"/>
          <w:sz w:val="22"/>
          <w:szCs w:val="22"/>
        </w:rPr>
        <w:t xml:space="preserve">depreciated by </w:t>
      </w:r>
      <w:r w:rsidRPr="00803722">
        <w:rPr>
          <w:rFonts w:ascii="Garamond" w:hAnsi="Garamond"/>
          <w:sz w:val="22"/>
          <w:szCs w:val="22"/>
        </w:rPr>
        <w:t xml:space="preserve">1.5% to an average </w:t>
      </w:r>
      <w:r>
        <w:rPr>
          <w:rFonts w:ascii="Garamond" w:hAnsi="Garamond"/>
          <w:sz w:val="22"/>
          <w:szCs w:val="22"/>
        </w:rPr>
        <w:t>RUB</w:t>
      </w:r>
      <w:r w:rsidRPr="00803722">
        <w:rPr>
          <w:rFonts w:ascii="Garamond" w:hAnsi="Garamond"/>
          <w:sz w:val="22"/>
          <w:szCs w:val="22"/>
        </w:rPr>
        <w:t xml:space="preserve"> 61.9 </w:t>
      </w:r>
      <w:r>
        <w:rPr>
          <w:rFonts w:ascii="Garamond" w:hAnsi="Garamond"/>
          <w:sz w:val="22"/>
          <w:szCs w:val="22"/>
        </w:rPr>
        <w:t>per dollar</w:t>
      </w:r>
      <w:r w:rsidRPr="00803722">
        <w:rPr>
          <w:rFonts w:ascii="Garamond" w:hAnsi="Garamond"/>
          <w:sz w:val="22"/>
          <w:szCs w:val="22"/>
        </w:rPr>
        <w:t xml:space="preserve">, mainly due to US sanctions </w:t>
      </w:r>
      <w:r w:rsidR="004B5112">
        <w:rPr>
          <w:rFonts w:ascii="Garamond" w:hAnsi="Garamond"/>
          <w:sz w:val="22"/>
          <w:szCs w:val="22"/>
        </w:rPr>
        <w:t>imposed on</w:t>
      </w:r>
      <w:r w:rsidRPr="00803722">
        <w:rPr>
          <w:rFonts w:ascii="Garamond" w:hAnsi="Garamond"/>
          <w:sz w:val="22"/>
          <w:szCs w:val="22"/>
        </w:rPr>
        <w:t xml:space="preserve"> Russia in April. </w:t>
      </w:r>
      <w:r w:rsidR="004B5112">
        <w:rPr>
          <w:rFonts w:ascii="Garamond" w:hAnsi="Garamond"/>
          <w:sz w:val="22"/>
          <w:szCs w:val="22"/>
        </w:rPr>
        <w:t>Note also that depreciation of t</w:t>
      </w:r>
      <w:r w:rsidR="004B5112" w:rsidRPr="00803722">
        <w:rPr>
          <w:rFonts w:ascii="Garamond" w:hAnsi="Garamond"/>
          <w:sz w:val="22"/>
          <w:szCs w:val="22"/>
        </w:rPr>
        <w:t xml:space="preserve">he Russian ruble </w:t>
      </w:r>
      <w:r w:rsidR="004B5112">
        <w:rPr>
          <w:rFonts w:ascii="Garamond" w:hAnsi="Garamond"/>
          <w:sz w:val="22"/>
          <w:szCs w:val="22"/>
        </w:rPr>
        <w:t xml:space="preserve">is predicted to continue </w:t>
      </w:r>
      <w:r w:rsidRPr="00803722">
        <w:rPr>
          <w:rFonts w:ascii="Garamond" w:hAnsi="Garamond"/>
          <w:sz w:val="22"/>
          <w:szCs w:val="22"/>
        </w:rPr>
        <w:t xml:space="preserve">in the short </w:t>
      </w:r>
      <w:r w:rsidR="004B5112">
        <w:rPr>
          <w:rFonts w:ascii="Garamond" w:hAnsi="Garamond"/>
          <w:sz w:val="22"/>
          <w:szCs w:val="22"/>
        </w:rPr>
        <w:t>run on the brink of a</w:t>
      </w:r>
      <w:r w:rsidRPr="00803722">
        <w:rPr>
          <w:rFonts w:ascii="Garamond" w:hAnsi="Garamond"/>
          <w:sz w:val="22"/>
          <w:szCs w:val="22"/>
        </w:rPr>
        <w:t xml:space="preserve"> new wave of anti-Russian sanctions announced by the US in August</w:t>
      </w:r>
      <w:r w:rsidR="004B5112">
        <w:rPr>
          <w:rFonts w:ascii="Garamond" w:hAnsi="Garamond"/>
          <w:sz w:val="22"/>
          <w:szCs w:val="22"/>
        </w:rPr>
        <w:t>,</w:t>
      </w:r>
      <w:r w:rsidRPr="00803722">
        <w:rPr>
          <w:rFonts w:ascii="Garamond" w:hAnsi="Garamond"/>
          <w:sz w:val="22"/>
          <w:szCs w:val="22"/>
        </w:rPr>
        <w:t xml:space="preserve"> </w:t>
      </w:r>
      <w:r w:rsidR="004B5112">
        <w:rPr>
          <w:rFonts w:ascii="Garamond" w:hAnsi="Garamond"/>
          <w:sz w:val="22"/>
          <w:szCs w:val="22"/>
        </w:rPr>
        <w:t xml:space="preserve">on the one hand, and </w:t>
      </w:r>
      <w:r w:rsidRPr="00803722">
        <w:rPr>
          <w:rFonts w:ascii="Garamond" w:hAnsi="Garamond"/>
          <w:sz w:val="22"/>
          <w:szCs w:val="22"/>
        </w:rPr>
        <w:t>the cautious attitude of investors to developing countries as a result of the Turk</w:t>
      </w:r>
      <w:r w:rsidR="004B5112">
        <w:rPr>
          <w:rFonts w:ascii="Garamond" w:hAnsi="Garamond"/>
          <w:sz w:val="22"/>
          <w:szCs w:val="22"/>
        </w:rPr>
        <w:t xml:space="preserve">ey </w:t>
      </w:r>
      <w:r w:rsidRPr="00803722">
        <w:rPr>
          <w:rFonts w:ascii="Garamond" w:hAnsi="Garamond"/>
          <w:sz w:val="22"/>
          <w:szCs w:val="22"/>
        </w:rPr>
        <w:t>crisis</w:t>
      </w:r>
      <w:r w:rsidR="004B5112">
        <w:rPr>
          <w:rFonts w:ascii="Garamond" w:hAnsi="Garamond"/>
          <w:sz w:val="22"/>
          <w:szCs w:val="22"/>
        </w:rPr>
        <w:t>, on the other</w:t>
      </w:r>
      <w:r w:rsidRPr="00803722">
        <w:rPr>
          <w:rFonts w:ascii="Garamond" w:hAnsi="Garamond"/>
          <w:sz w:val="22"/>
          <w:szCs w:val="22"/>
        </w:rPr>
        <w:t>.</w:t>
      </w:r>
    </w:p>
    <w:p w14:paraId="47C46B93" w14:textId="77777777" w:rsidR="00EE619D" w:rsidRPr="00EE5F0F" w:rsidRDefault="00660AE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International copper prices posted a decrease and oil prices, a considerable increase, </w:t>
      </w:r>
      <w:r w:rsidR="003D2B35" w:rsidRPr="00EE5F0F">
        <w:rPr>
          <w:rFonts w:ascii="Garamond" w:hAnsi="Garamond"/>
          <w:sz w:val="22"/>
          <w:szCs w:val="22"/>
        </w:rPr>
        <w:t xml:space="preserve">during the </w:t>
      </w:r>
      <w:r>
        <w:rPr>
          <w:rFonts w:ascii="Garamond" w:hAnsi="Garamond"/>
          <w:sz w:val="22"/>
          <w:szCs w:val="22"/>
        </w:rPr>
        <w:t>second</w:t>
      </w:r>
      <w:r w:rsidR="007542DE" w:rsidRPr="00EE5F0F">
        <w:rPr>
          <w:rFonts w:ascii="Garamond" w:hAnsi="Garamond"/>
          <w:sz w:val="22"/>
          <w:szCs w:val="22"/>
        </w:rPr>
        <w:t xml:space="preserve"> </w:t>
      </w:r>
      <w:r w:rsidR="003D2B35" w:rsidRPr="00EE5F0F">
        <w:rPr>
          <w:rFonts w:ascii="Garamond" w:hAnsi="Garamond"/>
          <w:sz w:val="22"/>
          <w:szCs w:val="22"/>
        </w:rPr>
        <w:t>quarter</w:t>
      </w:r>
      <w:r w:rsidR="007542DE" w:rsidRPr="00EE5F0F">
        <w:rPr>
          <w:rFonts w:ascii="Garamond" w:hAnsi="Garamond"/>
          <w:sz w:val="22"/>
          <w:szCs w:val="22"/>
        </w:rPr>
        <w:t xml:space="preserve"> of 2018</w:t>
      </w:r>
      <w:r>
        <w:rPr>
          <w:rFonts w:ascii="Garamond" w:hAnsi="Garamond"/>
          <w:sz w:val="22"/>
          <w:szCs w:val="22"/>
        </w:rPr>
        <w:t>, and t</w:t>
      </w:r>
      <w:r w:rsidR="003D2B35" w:rsidRPr="00EE5F0F">
        <w:rPr>
          <w:rFonts w:ascii="Garamond" w:hAnsi="Garamond"/>
          <w:sz w:val="22"/>
          <w:szCs w:val="22"/>
        </w:rPr>
        <w:t xml:space="preserve">he expectation </w:t>
      </w:r>
      <w:r w:rsidR="002C108E" w:rsidRPr="00EE5F0F">
        <w:rPr>
          <w:rFonts w:ascii="Garamond" w:hAnsi="Garamond"/>
          <w:sz w:val="22"/>
          <w:szCs w:val="22"/>
        </w:rPr>
        <w:t xml:space="preserve">for the forecast horizon </w:t>
      </w:r>
      <w:r w:rsidR="003D2B35" w:rsidRPr="00EE5F0F">
        <w:rPr>
          <w:rFonts w:ascii="Garamond" w:hAnsi="Garamond"/>
          <w:sz w:val="22"/>
          <w:szCs w:val="22"/>
        </w:rPr>
        <w:t xml:space="preserve">is that </w:t>
      </w:r>
      <w:r w:rsidR="007542DE" w:rsidRPr="00EE5F0F">
        <w:rPr>
          <w:rFonts w:ascii="Garamond" w:hAnsi="Garamond"/>
          <w:sz w:val="22"/>
          <w:szCs w:val="22"/>
        </w:rPr>
        <w:t xml:space="preserve">the commodity </w:t>
      </w:r>
      <w:r w:rsidR="00EE619D" w:rsidRPr="00EE5F0F">
        <w:rPr>
          <w:rFonts w:ascii="Garamond" w:hAnsi="Garamond"/>
          <w:sz w:val="22"/>
          <w:szCs w:val="22"/>
        </w:rPr>
        <w:t>prices</w:t>
      </w:r>
      <w:r w:rsidR="003D2B35" w:rsidRPr="00EE5F0F">
        <w:rPr>
          <w:rFonts w:ascii="Garamond" w:hAnsi="Garamond"/>
          <w:sz w:val="22"/>
          <w:szCs w:val="22"/>
        </w:rPr>
        <w:t xml:space="preserve"> </w:t>
      </w:r>
      <w:r w:rsidR="00EE619D" w:rsidRPr="00EE5F0F">
        <w:rPr>
          <w:rFonts w:ascii="Garamond" w:hAnsi="Garamond"/>
          <w:sz w:val="22"/>
          <w:szCs w:val="22"/>
        </w:rPr>
        <w:t xml:space="preserve">will </w:t>
      </w:r>
      <w:r w:rsidR="0099686E" w:rsidRPr="00EE5F0F">
        <w:rPr>
          <w:rFonts w:ascii="Garamond" w:hAnsi="Garamond"/>
          <w:sz w:val="22"/>
          <w:szCs w:val="22"/>
        </w:rPr>
        <w:t>remain</w:t>
      </w:r>
      <w:r>
        <w:rPr>
          <w:rFonts w:ascii="Garamond" w:hAnsi="Garamond"/>
          <w:sz w:val="22"/>
          <w:szCs w:val="22"/>
        </w:rPr>
        <w:t xml:space="preserve"> as much</w:t>
      </w:r>
      <w:r w:rsidR="0099686E" w:rsidRPr="00EE5F0F">
        <w:rPr>
          <w:rFonts w:ascii="Garamond" w:hAnsi="Garamond"/>
          <w:sz w:val="22"/>
          <w:szCs w:val="22"/>
        </w:rPr>
        <w:t xml:space="preserve"> elevated</w:t>
      </w:r>
      <w:r>
        <w:rPr>
          <w:rFonts w:ascii="Garamond" w:hAnsi="Garamond"/>
          <w:sz w:val="22"/>
          <w:szCs w:val="22"/>
        </w:rPr>
        <w:t xml:space="preserve"> as they are for now</w:t>
      </w:r>
      <w:r w:rsidR="0099686E" w:rsidRPr="00EE5F0F">
        <w:rPr>
          <w:rFonts w:ascii="Garamond" w:hAnsi="Garamond"/>
          <w:sz w:val="22"/>
          <w:szCs w:val="22"/>
        </w:rPr>
        <w:t xml:space="preserve">. Specifically, the rise in </w:t>
      </w:r>
      <w:r w:rsidR="00EE619D" w:rsidRPr="00EE5F0F">
        <w:rPr>
          <w:rFonts w:ascii="Garamond" w:hAnsi="Garamond"/>
          <w:sz w:val="22"/>
          <w:szCs w:val="22"/>
        </w:rPr>
        <w:t xml:space="preserve">international </w:t>
      </w:r>
      <w:r w:rsidR="0099686E" w:rsidRPr="00EE5F0F">
        <w:rPr>
          <w:rFonts w:ascii="Garamond" w:hAnsi="Garamond"/>
          <w:sz w:val="22"/>
          <w:szCs w:val="22"/>
        </w:rPr>
        <w:t>oil</w:t>
      </w:r>
      <w:r w:rsidR="00EE619D" w:rsidRPr="00EE5F0F">
        <w:rPr>
          <w:rFonts w:ascii="Garamond" w:hAnsi="Garamond"/>
          <w:sz w:val="22"/>
          <w:szCs w:val="22"/>
        </w:rPr>
        <w:t xml:space="preserve"> prices </w:t>
      </w:r>
      <w:r w:rsidR="007542DE" w:rsidRPr="00EE5F0F">
        <w:rPr>
          <w:rFonts w:ascii="Garamond" w:hAnsi="Garamond"/>
          <w:sz w:val="22"/>
          <w:szCs w:val="22"/>
        </w:rPr>
        <w:t>observable</w:t>
      </w:r>
      <w:r w:rsidR="0099686E" w:rsidRPr="00EE5F0F">
        <w:rPr>
          <w:rFonts w:ascii="Garamond" w:hAnsi="Garamond"/>
          <w:sz w:val="22"/>
          <w:szCs w:val="22"/>
        </w:rPr>
        <w:t xml:space="preserve"> in</w:t>
      </w:r>
      <w:r w:rsidR="00EE619D" w:rsidRPr="00EE5F0F">
        <w:rPr>
          <w:rFonts w:ascii="Garamond" w:hAnsi="Garamond"/>
          <w:sz w:val="22"/>
          <w:szCs w:val="22"/>
        </w:rPr>
        <w:t xml:space="preserve"> the </w:t>
      </w:r>
      <w:r w:rsidR="007542DE" w:rsidRPr="00EE5F0F">
        <w:rPr>
          <w:rFonts w:ascii="Garamond" w:hAnsi="Garamond"/>
          <w:sz w:val="22"/>
          <w:szCs w:val="22"/>
        </w:rPr>
        <w:t xml:space="preserve">previous year and </w:t>
      </w:r>
      <w:r>
        <w:rPr>
          <w:rFonts w:ascii="Garamond" w:hAnsi="Garamond"/>
          <w:sz w:val="22"/>
          <w:szCs w:val="22"/>
        </w:rPr>
        <w:t>over the first half of</w:t>
      </w:r>
      <w:r w:rsidR="007542DE" w:rsidRPr="00EE5F0F">
        <w:rPr>
          <w:rFonts w:ascii="Garamond" w:hAnsi="Garamond"/>
          <w:sz w:val="22"/>
          <w:szCs w:val="22"/>
        </w:rPr>
        <w:t xml:space="preserve"> 2018</w:t>
      </w:r>
      <w:r w:rsidR="0099686E" w:rsidRPr="00EE5F0F">
        <w:rPr>
          <w:rFonts w:ascii="Garamond" w:hAnsi="Garamond"/>
          <w:sz w:val="22"/>
          <w:szCs w:val="22"/>
        </w:rPr>
        <w:t xml:space="preserve"> will, according to forecasts, continue in the short run </w:t>
      </w:r>
      <w:r>
        <w:rPr>
          <w:rFonts w:ascii="Garamond" w:hAnsi="Garamond"/>
          <w:sz w:val="22"/>
          <w:szCs w:val="22"/>
        </w:rPr>
        <w:t>too</w:t>
      </w:r>
      <w:r w:rsidR="0099686E" w:rsidRPr="00EE5F0F">
        <w:rPr>
          <w:rFonts w:ascii="Garamond" w:hAnsi="Garamond"/>
          <w:sz w:val="22"/>
          <w:szCs w:val="22"/>
        </w:rPr>
        <w:t xml:space="preserve">, </w:t>
      </w:r>
      <w:r w:rsidR="00D442AC" w:rsidRPr="00EE5F0F">
        <w:rPr>
          <w:rFonts w:ascii="Garamond" w:hAnsi="Garamond"/>
          <w:sz w:val="22"/>
          <w:szCs w:val="22"/>
        </w:rPr>
        <w:t>due to the resumption of US sanctions against Iran</w:t>
      </w:r>
      <w:r>
        <w:rPr>
          <w:rFonts w:ascii="Garamond" w:hAnsi="Garamond"/>
          <w:sz w:val="22"/>
          <w:szCs w:val="22"/>
        </w:rPr>
        <w:t>,</w:t>
      </w:r>
      <w:r w:rsidR="00D442AC" w:rsidRPr="00EE5F0F">
        <w:rPr>
          <w:rFonts w:ascii="Garamond" w:hAnsi="Garamond"/>
          <w:sz w:val="22"/>
          <w:szCs w:val="22"/>
        </w:rPr>
        <w:t xml:space="preserve"> as well as reduced US oil inventories. </w:t>
      </w:r>
      <w:r w:rsidR="00E3738D" w:rsidRPr="00EE5F0F">
        <w:rPr>
          <w:rFonts w:ascii="Garamond" w:hAnsi="Garamond"/>
          <w:sz w:val="22"/>
          <w:szCs w:val="22"/>
        </w:rPr>
        <w:t xml:space="preserve">The </w:t>
      </w:r>
      <w:r w:rsidR="003D2CD2">
        <w:rPr>
          <w:rFonts w:ascii="Garamond" w:hAnsi="Garamond"/>
          <w:sz w:val="22"/>
          <w:szCs w:val="22"/>
        </w:rPr>
        <w:t>drop</w:t>
      </w:r>
      <w:r w:rsidR="00E3738D" w:rsidRPr="00EE5F0F">
        <w:rPr>
          <w:rFonts w:ascii="Garamond" w:hAnsi="Garamond"/>
          <w:sz w:val="22"/>
          <w:szCs w:val="22"/>
        </w:rPr>
        <w:t xml:space="preserve"> in international copper prices in the </w:t>
      </w:r>
      <w:r w:rsidR="003D2CD2">
        <w:rPr>
          <w:rFonts w:ascii="Garamond" w:hAnsi="Garamond"/>
          <w:sz w:val="22"/>
          <w:szCs w:val="22"/>
        </w:rPr>
        <w:t>second</w:t>
      </w:r>
      <w:r w:rsidR="00E3738D" w:rsidRPr="00EE5F0F">
        <w:rPr>
          <w:rFonts w:ascii="Garamond" w:hAnsi="Garamond"/>
          <w:sz w:val="22"/>
          <w:szCs w:val="22"/>
        </w:rPr>
        <w:t xml:space="preserve"> quarter of 2018 was driven by </w:t>
      </w:r>
      <w:r w:rsidR="003D2CD2">
        <w:rPr>
          <w:rFonts w:ascii="Garamond" w:hAnsi="Garamond"/>
          <w:sz w:val="22"/>
          <w:szCs w:val="22"/>
        </w:rPr>
        <w:t>trade tension, as China reduced the demand</w:t>
      </w:r>
      <w:r w:rsidR="0099686E" w:rsidRPr="00EE5F0F">
        <w:rPr>
          <w:rFonts w:ascii="Garamond" w:hAnsi="Garamond"/>
          <w:sz w:val="22"/>
          <w:szCs w:val="22"/>
        </w:rPr>
        <w:t>.</w:t>
      </w:r>
      <w:r w:rsidR="003D2CD2">
        <w:rPr>
          <w:rFonts w:ascii="Garamond" w:hAnsi="Garamond"/>
          <w:sz w:val="22"/>
          <w:szCs w:val="22"/>
        </w:rPr>
        <w:t xml:space="preserve"> </w:t>
      </w:r>
      <w:r w:rsidR="003D2CD2" w:rsidRPr="003D2CD2">
        <w:rPr>
          <w:rFonts w:ascii="Garamond" w:hAnsi="Garamond"/>
          <w:sz w:val="22"/>
          <w:szCs w:val="22"/>
        </w:rPr>
        <w:t>It is expected that in the medium term price</w:t>
      </w:r>
      <w:r w:rsidR="003D2CD2">
        <w:rPr>
          <w:rFonts w:ascii="Garamond" w:hAnsi="Garamond"/>
          <w:sz w:val="22"/>
          <w:szCs w:val="22"/>
        </w:rPr>
        <w:t>s</w:t>
      </w:r>
      <w:r w:rsidR="003D2CD2" w:rsidRPr="003D2CD2">
        <w:rPr>
          <w:rFonts w:ascii="Garamond" w:hAnsi="Garamond"/>
          <w:sz w:val="22"/>
          <w:szCs w:val="22"/>
        </w:rPr>
        <w:t xml:space="preserve"> </w:t>
      </w:r>
      <w:r w:rsidR="003D2CD2">
        <w:rPr>
          <w:rFonts w:ascii="Garamond" w:hAnsi="Garamond"/>
          <w:sz w:val="22"/>
          <w:szCs w:val="22"/>
        </w:rPr>
        <w:t>will stabilize around the current. However,</w:t>
      </w:r>
      <w:r w:rsidR="003D2CD2" w:rsidRPr="003D2CD2">
        <w:rPr>
          <w:rFonts w:ascii="Garamond" w:hAnsi="Garamond"/>
          <w:sz w:val="22"/>
          <w:szCs w:val="22"/>
        </w:rPr>
        <w:t xml:space="preserve"> </w:t>
      </w:r>
      <w:r w:rsidR="003D2CD2">
        <w:rPr>
          <w:rFonts w:ascii="Garamond" w:hAnsi="Garamond"/>
          <w:sz w:val="22"/>
          <w:szCs w:val="22"/>
        </w:rPr>
        <w:t xml:space="preserve">trade </w:t>
      </w:r>
      <w:r w:rsidR="003D2CD2" w:rsidRPr="003D2CD2">
        <w:rPr>
          <w:rFonts w:ascii="Garamond" w:hAnsi="Garamond"/>
          <w:sz w:val="22"/>
          <w:szCs w:val="22"/>
        </w:rPr>
        <w:t>war</w:t>
      </w:r>
      <w:r w:rsidR="003D2CD2">
        <w:rPr>
          <w:rFonts w:ascii="Garamond" w:hAnsi="Garamond"/>
          <w:sz w:val="22"/>
          <w:szCs w:val="22"/>
        </w:rPr>
        <w:t>s</w:t>
      </w:r>
      <w:r w:rsidR="003D2CD2" w:rsidRPr="003D2CD2">
        <w:rPr>
          <w:rFonts w:ascii="Garamond" w:hAnsi="Garamond"/>
          <w:sz w:val="22"/>
          <w:szCs w:val="22"/>
        </w:rPr>
        <w:t xml:space="preserve"> </w:t>
      </w:r>
      <w:r w:rsidR="003D2CD2">
        <w:rPr>
          <w:rFonts w:ascii="Garamond" w:hAnsi="Garamond"/>
          <w:sz w:val="22"/>
          <w:szCs w:val="22"/>
        </w:rPr>
        <w:t xml:space="preserve">contain </w:t>
      </w:r>
      <w:r w:rsidR="003D2CD2" w:rsidRPr="003D2CD2">
        <w:rPr>
          <w:rFonts w:ascii="Garamond" w:hAnsi="Garamond"/>
          <w:sz w:val="22"/>
          <w:szCs w:val="22"/>
        </w:rPr>
        <w:t xml:space="preserve">significant risks, which may affect the </w:t>
      </w:r>
      <w:r w:rsidR="003D2CD2">
        <w:rPr>
          <w:rFonts w:ascii="Garamond" w:hAnsi="Garamond"/>
          <w:sz w:val="22"/>
          <w:szCs w:val="22"/>
        </w:rPr>
        <w:t xml:space="preserve">copper </w:t>
      </w:r>
      <w:r w:rsidR="003D2CD2" w:rsidRPr="003D2CD2">
        <w:rPr>
          <w:rFonts w:ascii="Garamond" w:hAnsi="Garamond"/>
          <w:sz w:val="22"/>
          <w:szCs w:val="22"/>
        </w:rPr>
        <w:t>prices.</w:t>
      </w:r>
      <w:r w:rsidR="006B09B3" w:rsidRPr="00EE5F0F">
        <w:rPr>
          <w:rFonts w:ascii="Garamond" w:hAnsi="Garamond"/>
          <w:sz w:val="22"/>
          <w:szCs w:val="22"/>
        </w:rPr>
        <w:t xml:space="preserve"> </w:t>
      </w:r>
    </w:p>
    <w:p w14:paraId="555FBD8B" w14:textId="77777777" w:rsidR="00EE619D" w:rsidRPr="00EE5F0F" w:rsidRDefault="00C57674" w:rsidP="00E3294E">
      <w:pPr>
        <w:autoSpaceDE w:val="0"/>
        <w:autoSpaceDN w:val="0"/>
        <w:adjustRightInd w:val="0"/>
        <w:spacing w:after="120" w:line="360" w:lineRule="auto"/>
        <w:jc w:val="both"/>
        <w:rPr>
          <w:rFonts w:ascii="Garamond" w:hAnsi="Garamond"/>
          <w:b/>
          <w:color w:val="0070C0"/>
          <w:sz w:val="22"/>
          <w:szCs w:val="22"/>
        </w:rPr>
      </w:pPr>
      <w:r>
        <w:rPr>
          <w:rFonts w:ascii="Garamond" w:hAnsi="Garamond"/>
          <w:sz w:val="22"/>
          <w:szCs w:val="22"/>
        </w:rPr>
        <w:t xml:space="preserve">The previous quarter’s small slowing of </w:t>
      </w:r>
      <w:r w:rsidRPr="00EE5F0F">
        <w:rPr>
          <w:rFonts w:ascii="Garamond" w:hAnsi="Garamond"/>
          <w:sz w:val="22"/>
          <w:szCs w:val="22"/>
        </w:rPr>
        <w:t xml:space="preserve">price growth rates </w:t>
      </w:r>
      <w:r>
        <w:rPr>
          <w:rFonts w:ascii="Garamond" w:hAnsi="Garamond"/>
          <w:sz w:val="22"/>
          <w:szCs w:val="22"/>
        </w:rPr>
        <w:t>in</w:t>
      </w:r>
      <w:r w:rsidR="00EE619D" w:rsidRPr="00EE5F0F">
        <w:rPr>
          <w:rFonts w:ascii="Garamond" w:hAnsi="Garamond"/>
          <w:sz w:val="22"/>
          <w:szCs w:val="22"/>
        </w:rPr>
        <w:t xml:space="preserve"> </w:t>
      </w:r>
      <w:r>
        <w:rPr>
          <w:rFonts w:ascii="Garamond" w:hAnsi="Garamond"/>
          <w:sz w:val="22"/>
          <w:szCs w:val="22"/>
        </w:rPr>
        <w:t xml:space="preserve">the world </w:t>
      </w:r>
      <w:r w:rsidR="00EE619D" w:rsidRPr="00EE5F0F">
        <w:rPr>
          <w:rFonts w:ascii="Garamond" w:hAnsi="Garamond"/>
          <w:sz w:val="22"/>
          <w:szCs w:val="22"/>
        </w:rPr>
        <w:t>food product markets</w:t>
      </w:r>
      <w:r w:rsidR="006B09B3" w:rsidRPr="00EE5F0F">
        <w:rPr>
          <w:rFonts w:ascii="Garamond" w:hAnsi="Garamond"/>
          <w:sz w:val="22"/>
          <w:szCs w:val="22"/>
        </w:rPr>
        <w:t xml:space="preserve"> </w:t>
      </w:r>
      <w:r>
        <w:rPr>
          <w:rFonts w:ascii="Garamond" w:hAnsi="Garamond"/>
          <w:sz w:val="22"/>
          <w:szCs w:val="22"/>
        </w:rPr>
        <w:t>continued over the second quarter of 2018. Specifically</w:t>
      </w:r>
      <w:r w:rsidR="00EE619D" w:rsidRPr="00EE5F0F">
        <w:rPr>
          <w:rFonts w:ascii="Garamond" w:hAnsi="Garamond"/>
          <w:sz w:val="22"/>
          <w:szCs w:val="22"/>
        </w:rPr>
        <w:t xml:space="preserve">, the </w:t>
      </w:r>
      <w:r w:rsidR="006B09B3" w:rsidRPr="00EE5F0F">
        <w:rPr>
          <w:rFonts w:ascii="Garamond" w:hAnsi="Garamond"/>
          <w:sz w:val="22"/>
          <w:szCs w:val="22"/>
        </w:rPr>
        <w:t>d</w:t>
      </w:r>
      <w:r>
        <w:rPr>
          <w:rFonts w:ascii="Garamond" w:hAnsi="Garamond"/>
          <w:sz w:val="22"/>
          <w:szCs w:val="22"/>
        </w:rPr>
        <w:t xml:space="preserve">rop </w:t>
      </w:r>
      <w:r w:rsidR="00EE619D" w:rsidRPr="00EE5F0F">
        <w:rPr>
          <w:rFonts w:ascii="Garamond" w:hAnsi="Garamond"/>
          <w:sz w:val="22"/>
          <w:szCs w:val="22"/>
        </w:rPr>
        <w:t xml:space="preserve">in </w:t>
      </w:r>
      <w:r>
        <w:rPr>
          <w:rFonts w:ascii="Garamond" w:hAnsi="Garamond"/>
          <w:sz w:val="22"/>
          <w:szCs w:val="22"/>
        </w:rPr>
        <w:t xml:space="preserve">sugar, vegetable oil and meat product </w:t>
      </w:r>
      <w:r w:rsidR="00EE619D" w:rsidRPr="00EE5F0F">
        <w:rPr>
          <w:rFonts w:ascii="Garamond" w:hAnsi="Garamond"/>
          <w:sz w:val="22"/>
          <w:szCs w:val="22"/>
        </w:rPr>
        <w:t xml:space="preserve">prices </w:t>
      </w:r>
      <w:r>
        <w:rPr>
          <w:rFonts w:ascii="Garamond" w:hAnsi="Garamond"/>
          <w:sz w:val="22"/>
          <w:szCs w:val="22"/>
        </w:rPr>
        <w:t xml:space="preserve">in the second quarter </w:t>
      </w:r>
      <w:r w:rsidR="00EE619D" w:rsidRPr="00EE5F0F">
        <w:rPr>
          <w:rFonts w:ascii="Garamond" w:hAnsi="Garamond"/>
          <w:sz w:val="22"/>
          <w:szCs w:val="22"/>
        </w:rPr>
        <w:t xml:space="preserve">has </w:t>
      </w:r>
      <w:r w:rsidR="006B09B3" w:rsidRPr="00EE5F0F">
        <w:rPr>
          <w:rFonts w:ascii="Garamond" w:hAnsi="Garamond"/>
          <w:sz w:val="22"/>
          <w:szCs w:val="22"/>
        </w:rPr>
        <w:t xml:space="preserve">resulted in slower growing </w:t>
      </w:r>
      <w:r w:rsidR="00EE619D" w:rsidRPr="00EE5F0F">
        <w:rPr>
          <w:rFonts w:ascii="Garamond" w:hAnsi="Garamond"/>
          <w:sz w:val="22"/>
          <w:szCs w:val="22"/>
        </w:rPr>
        <w:t>food prices</w:t>
      </w:r>
      <w:r w:rsidR="00276564" w:rsidRPr="00EE5F0F">
        <w:rPr>
          <w:rFonts w:ascii="Garamond" w:hAnsi="Garamond"/>
          <w:sz w:val="22"/>
          <w:szCs w:val="22"/>
        </w:rPr>
        <w:t xml:space="preserve">, although </w:t>
      </w:r>
      <w:r w:rsidR="007011C3">
        <w:rPr>
          <w:rFonts w:ascii="Garamond" w:hAnsi="Garamond"/>
          <w:sz w:val="22"/>
          <w:szCs w:val="22"/>
        </w:rPr>
        <w:t xml:space="preserve">international </w:t>
      </w:r>
      <w:r w:rsidR="00276564" w:rsidRPr="00EE5F0F">
        <w:rPr>
          <w:rFonts w:ascii="Garamond" w:hAnsi="Garamond"/>
          <w:sz w:val="22"/>
          <w:szCs w:val="22"/>
        </w:rPr>
        <w:t>dairy and wheat prices have risen.</w:t>
      </w:r>
      <w:r w:rsidR="006B09B3" w:rsidRPr="00EE5F0F">
        <w:rPr>
          <w:rFonts w:ascii="Garamond" w:hAnsi="Garamond"/>
          <w:sz w:val="22"/>
          <w:szCs w:val="22"/>
        </w:rPr>
        <w:t xml:space="preserve"> </w:t>
      </w:r>
      <w:r w:rsidR="00C7198F" w:rsidRPr="00C7198F">
        <w:rPr>
          <w:rFonts w:ascii="Garamond" w:hAnsi="Garamond"/>
          <w:sz w:val="22"/>
          <w:szCs w:val="22"/>
        </w:rPr>
        <w:t>In the second half</w:t>
      </w:r>
      <w:r w:rsidR="00C7198F">
        <w:rPr>
          <w:rFonts w:ascii="Garamond" w:hAnsi="Garamond"/>
          <w:sz w:val="22"/>
          <w:szCs w:val="22"/>
        </w:rPr>
        <w:t xml:space="preserve"> of 2018</w:t>
      </w:r>
      <w:r w:rsidR="00C7198F" w:rsidRPr="00C7198F">
        <w:rPr>
          <w:rFonts w:ascii="Garamond" w:hAnsi="Garamond"/>
          <w:sz w:val="22"/>
          <w:szCs w:val="22"/>
        </w:rPr>
        <w:t xml:space="preserve">, </w:t>
      </w:r>
      <w:r w:rsidR="00C7198F">
        <w:rPr>
          <w:rFonts w:ascii="Garamond" w:hAnsi="Garamond"/>
          <w:sz w:val="22"/>
          <w:szCs w:val="22"/>
        </w:rPr>
        <w:t xml:space="preserve">thanks to a </w:t>
      </w:r>
      <w:r w:rsidR="00C7198F" w:rsidRPr="00C7198F">
        <w:rPr>
          <w:rFonts w:ascii="Garamond" w:hAnsi="Garamond"/>
          <w:sz w:val="22"/>
          <w:szCs w:val="22"/>
        </w:rPr>
        <w:t xml:space="preserve">relatively good </w:t>
      </w:r>
      <w:r w:rsidR="00C7198F">
        <w:rPr>
          <w:rFonts w:ascii="Garamond" w:hAnsi="Garamond"/>
          <w:sz w:val="22"/>
          <w:szCs w:val="22"/>
        </w:rPr>
        <w:t>harvest</w:t>
      </w:r>
      <w:r w:rsidR="00C7198F" w:rsidRPr="00C7198F">
        <w:rPr>
          <w:rFonts w:ascii="Garamond" w:hAnsi="Garamond"/>
          <w:sz w:val="22"/>
          <w:szCs w:val="22"/>
        </w:rPr>
        <w:t xml:space="preserve"> in some of the major sugar exporting countries, a slight decline in sugar prices is expected, </w:t>
      </w:r>
      <w:r w:rsidR="00C7198F">
        <w:rPr>
          <w:rFonts w:ascii="Garamond" w:hAnsi="Garamond"/>
          <w:sz w:val="22"/>
          <w:szCs w:val="22"/>
        </w:rPr>
        <w:t>whereas in</w:t>
      </w:r>
      <w:r w:rsidR="00C7198F" w:rsidRPr="00C7198F">
        <w:rPr>
          <w:rFonts w:ascii="Garamond" w:hAnsi="Garamond"/>
          <w:sz w:val="22"/>
          <w:szCs w:val="22"/>
        </w:rPr>
        <w:t>ternational wheat prices</w:t>
      </w:r>
      <w:r w:rsidR="00C7198F">
        <w:rPr>
          <w:rFonts w:ascii="Garamond" w:hAnsi="Garamond"/>
          <w:sz w:val="22"/>
          <w:szCs w:val="22"/>
        </w:rPr>
        <w:t xml:space="preserve"> are predicted to grow in anticipation of </w:t>
      </w:r>
      <w:r w:rsidR="00C7198F" w:rsidRPr="00C7198F">
        <w:rPr>
          <w:rFonts w:ascii="Garamond" w:hAnsi="Garamond"/>
          <w:sz w:val="22"/>
          <w:szCs w:val="22"/>
        </w:rPr>
        <w:t>low</w:t>
      </w:r>
      <w:r w:rsidR="00C7198F">
        <w:rPr>
          <w:rFonts w:ascii="Garamond" w:hAnsi="Garamond"/>
          <w:sz w:val="22"/>
          <w:szCs w:val="22"/>
        </w:rPr>
        <w:t>er</w:t>
      </w:r>
      <w:r w:rsidR="00C7198F" w:rsidRPr="00C7198F">
        <w:rPr>
          <w:rFonts w:ascii="Garamond" w:hAnsi="Garamond"/>
          <w:sz w:val="22"/>
          <w:szCs w:val="22"/>
        </w:rPr>
        <w:t xml:space="preserve"> crop</w:t>
      </w:r>
      <w:r w:rsidR="00C7198F">
        <w:rPr>
          <w:rFonts w:ascii="Garamond" w:hAnsi="Garamond"/>
          <w:sz w:val="22"/>
          <w:szCs w:val="22"/>
        </w:rPr>
        <w:t>s</w:t>
      </w:r>
      <w:r w:rsidR="00C7198F" w:rsidRPr="00C7198F">
        <w:rPr>
          <w:rFonts w:ascii="Garamond" w:hAnsi="Garamond"/>
          <w:sz w:val="22"/>
          <w:szCs w:val="22"/>
        </w:rPr>
        <w:t xml:space="preserve"> </w:t>
      </w:r>
      <w:r w:rsidR="00C7198F">
        <w:rPr>
          <w:rFonts w:ascii="Garamond" w:hAnsi="Garamond"/>
          <w:sz w:val="22"/>
          <w:szCs w:val="22"/>
        </w:rPr>
        <w:t>because of</w:t>
      </w:r>
      <w:r w:rsidR="00C7198F" w:rsidRPr="00C7198F">
        <w:rPr>
          <w:rFonts w:ascii="Garamond" w:hAnsi="Garamond"/>
          <w:sz w:val="22"/>
          <w:szCs w:val="22"/>
        </w:rPr>
        <w:t xml:space="preserve"> dry weather conditions.</w:t>
      </w:r>
      <w:r w:rsidR="00C7198F">
        <w:rPr>
          <w:rFonts w:ascii="Garamond" w:hAnsi="Garamond"/>
          <w:sz w:val="22"/>
          <w:szCs w:val="22"/>
        </w:rPr>
        <w:t xml:space="preserve"> </w:t>
      </w:r>
    </w:p>
    <w:p w14:paraId="54F760DA"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314B5F7E"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lastRenderedPageBreak/>
        <w:t>2.2. Forecasts</w:t>
      </w:r>
      <w:r w:rsidRPr="00EE5F0F">
        <w:rPr>
          <w:rFonts w:ascii="Garamond" w:hAnsi="Garamond"/>
          <w:sz w:val="22"/>
          <w:szCs w:val="22"/>
        </w:rPr>
        <w:t xml:space="preserve"> </w:t>
      </w:r>
    </w:p>
    <w:p w14:paraId="339B2583"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61FAEA08" w14:textId="77777777" w:rsidR="00EE619D" w:rsidRDefault="00846B8F"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Driven by falling prices of seasonal products, inflation slowed down to some extent in the </w:t>
      </w:r>
      <w:r w:rsidR="00994D66">
        <w:rPr>
          <w:rFonts w:ascii="Garamond" w:hAnsi="Garamond"/>
          <w:b/>
          <w:sz w:val="22"/>
          <w:szCs w:val="22"/>
        </w:rPr>
        <w:t>second</w:t>
      </w:r>
      <w:r w:rsidRPr="00EE5F0F">
        <w:rPr>
          <w:rFonts w:ascii="Garamond" w:hAnsi="Garamond"/>
          <w:b/>
          <w:sz w:val="22"/>
          <w:szCs w:val="22"/>
        </w:rPr>
        <w:t xml:space="preserve"> quarter of 2018. However, g</w:t>
      </w:r>
      <w:r w:rsidR="003B18EA" w:rsidRPr="00EE5F0F">
        <w:rPr>
          <w:rFonts w:ascii="Garamond" w:hAnsi="Garamond"/>
          <w:b/>
          <w:sz w:val="22"/>
          <w:szCs w:val="22"/>
        </w:rPr>
        <w:t>iven</w:t>
      </w:r>
      <w:r w:rsidR="00E3294E" w:rsidRPr="00EE5F0F">
        <w:rPr>
          <w:rFonts w:ascii="Garamond" w:hAnsi="Garamond"/>
          <w:b/>
          <w:sz w:val="22"/>
          <w:szCs w:val="22"/>
        </w:rPr>
        <w:t xml:space="preserve"> the current monetary policy conditions, </w:t>
      </w:r>
      <w:r w:rsidRPr="00EE5F0F">
        <w:rPr>
          <w:rFonts w:ascii="Garamond" w:hAnsi="Garamond"/>
          <w:b/>
          <w:sz w:val="22"/>
          <w:szCs w:val="22"/>
        </w:rPr>
        <w:t>it</w:t>
      </w:r>
      <w:r w:rsidR="00EE619D" w:rsidRPr="00EE5F0F">
        <w:rPr>
          <w:rFonts w:ascii="Garamond" w:hAnsi="Garamond"/>
          <w:b/>
          <w:sz w:val="22"/>
          <w:szCs w:val="22"/>
        </w:rPr>
        <w:t xml:space="preserve"> will continue </w:t>
      </w:r>
      <w:r w:rsidR="00E3294E" w:rsidRPr="00EE5F0F">
        <w:rPr>
          <w:rFonts w:ascii="Garamond" w:hAnsi="Garamond"/>
          <w:b/>
          <w:sz w:val="22"/>
          <w:szCs w:val="22"/>
        </w:rPr>
        <w:t xml:space="preserve">expanding in </w:t>
      </w:r>
      <w:r w:rsidR="00994D66">
        <w:rPr>
          <w:rFonts w:ascii="Garamond" w:hAnsi="Garamond"/>
          <w:b/>
          <w:sz w:val="22"/>
          <w:szCs w:val="22"/>
        </w:rPr>
        <w:t xml:space="preserve">the course of </w:t>
      </w:r>
      <w:r w:rsidR="00E3294E" w:rsidRPr="00EE5F0F">
        <w:rPr>
          <w:rFonts w:ascii="Garamond" w:hAnsi="Garamond"/>
          <w:b/>
          <w:sz w:val="22"/>
          <w:szCs w:val="22"/>
        </w:rPr>
        <w:t xml:space="preserve">2018, staying within </w:t>
      </w:r>
      <w:r w:rsidR="00EE619D" w:rsidRPr="00EE5F0F">
        <w:rPr>
          <w:rFonts w:ascii="Garamond" w:hAnsi="Garamond"/>
          <w:b/>
          <w:sz w:val="22"/>
          <w:szCs w:val="22"/>
        </w:rPr>
        <w:t>the confidence band</w:t>
      </w:r>
      <w:r w:rsidRPr="00EE5F0F">
        <w:rPr>
          <w:rFonts w:ascii="Garamond" w:hAnsi="Garamond"/>
          <w:b/>
          <w:sz w:val="22"/>
          <w:szCs w:val="22"/>
        </w:rPr>
        <w:t>,</w:t>
      </w:r>
      <w:r w:rsidR="00E3294E" w:rsidRPr="00EE5F0F">
        <w:rPr>
          <w:rFonts w:ascii="Garamond" w:hAnsi="Garamond"/>
          <w:b/>
          <w:sz w:val="22"/>
          <w:szCs w:val="22"/>
        </w:rPr>
        <w:t xml:space="preserve"> and </w:t>
      </w:r>
      <w:r w:rsidRPr="00EE5F0F">
        <w:rPr>
          <w:rFonts w:ascii="Garamond" w:hAnsi="Garamond"/>
          <w:b/>
          <w:sz w:val="22"/>
          <w:szCs w:val="22"/>
        </w:rPr>
        <w:t xml:space="preserve">will </w:t>
      </w:r>
      <w:r w:rsidR="00E3294E" w:rsidRPr="00EE5F0F">
        <w:rPr>
          <w:rFonts w:ascii="Garamond" w:hAnsi="Garamond"/>
          <w:b/>
          <w:sz w:val="22"/>
          <w:szCs w:val="22"/>
        </w:rPr>
        <w:t>stabiliz</w:t>
      </w:r>
      <w:r w:rsidRPr="00EE5F0F">
        <w:rPr>
          <w:rFonts w:ascii="Garamond" w:hAnsi="Garamond"/>
          <w:b/>
          <w:sz w:val="22"/>
          <w:szCs w:val="22"/>
        </w:rPr>
        <w:t>e</w:t>
      </w:r>
      <w:r w:rsidR="00E3294E" w:rsidRPr="00EE5F0F">
        <w:rPr>
          <w:rFonts w:ascii="Garamond" w:hAnsi="Garamond"/>
          <w:b/>
          <w:sz w:val="22"/>
          <w:szCs w:val="22"/>
        </w:rPr>
        <w:t xml:space="preserve"> around the target </w:t>
      </w:r>
      <w:r w:rsidRPr="00EE5F0F">
        <w:rPr>
          <w:rFonts w:ascii="Garamond" w:hAnsi="Garamond"/>
          <w:b/>
          <w:sz w:val="22"/>
          <w:szCs w:val="22"/>
        </w:rPr>
        <w:t>in the forecast horizon</w:t>
      </w:r>
      <w:r w:rsidR="00E3294E"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994D66" w:rsidRPr="00AB24C1" w14:paraId="47AA28BD" w14:textId="77777777" w:rsidTr="00F72D24">
        <w:tc>
          <w:tcPr>
            <w:tcW w:w="6204" w:type="dxa"/>
          </w:tcPr>
          <w:p w14:paraId="71F10DC5" w14:textId="77777777" w:rsidR="00994D66" w:rsidRPr="00BC3332" w:rsidRDefault="00994D66" w:rsidP="00994D66">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In the course of 2018, t</w:t>
            </w:r>
            <w:r w:rsidRPr="00994D66">
              <w:rPr>
                <w:rFonts w:ascii="Garamond" w:hAnsi="Garamond"/>
                <w:color w:val="0070C0"/>
                <w:sz w:val="20"/>
                <w:szCs w:val="20"/>
              </w:rPr>
              <w:t xml:space="preserve">he 12-month inflation will continue to increase, remaining within the </w:t>
            </w:r>
            <w:r>
              <w:rPr>
                <w:rFonts w:ascii="Garamond" w:hAnsi="Garamond"/>
                <w:color w:val="0070C0"/>
                <w:sz w:val="20"/>
                <w:szCs w:val="20"/>
              </w:rPr>
              <w:t>confidence band</w:t>
            </w:r>
            <w:r w:rsidRPr="00994D66">
              <w:rPr>
                <w:rFonts w:ascii="Garamond" w:hAnsi="Garamond"/>
                <w:color w:val="0070C0"/>
                <w:sz w:val="20"/>
                <w:szCs w:val="20"/>
              </w:rPr>
              <w:t xml:space="preserve">, and </w:t>
            </w:r>
            <w:r>
              <w:rPr>
                <w:rFonts w:ascii="Garamond" w:hAnsi="Garamond"/>
                <w:color w:val="0070C0"/>
                <w:sz w:val="20"/>
                <w:szCs w:val="20"/>
              </w:rPr>
              <w:t xml:space="preserve">in </w:t>
            </w:r>
            <w:r w:rsidRPr="00994D66">
              <w:rPr>
                <w:rFonts w:ascii="Garamond" w:hAnsi="Garamond"/>
                <w:color w:val="0070C0"/>
                <w:sz w:val="20"/>
                <w:szCs w:val="20"/>
              </w:rPr>
              <w:t>the forecast horizon</w:t>
            </w:r>
            <w:r>
              <w:rPr>
                <w:rFonts w:ascii="Garamond" w:hAnsi="Garamond"/>
                <w:color w:val="0070C0"/>
                <w:sz w:val="20"/>
                <w:szCs w:val="20"/>
              </w:rPr>
              <w:t xml:space="preserve"> it </w:t>
            </w:r>
            <w:r w:rsidRPr="00994D66">
              <w:rPr>
                <w:rFonts w:ascii="Garamond" w:hAnsi="Garamond"/>
                <w:color w:val="0070C0"/>
                <w:sz w:val="20"/>
                <w:szCs w:val="20"/>
              </w:rPr>
              <w:t xml:space="preserve">will stabilize </w:t>
            </w:r>
            <w:r>
              <w:rPr>
                <w:rFonts w:ascii="Garamond" w:hAnsi="Garamond"/>
                <w:color w:val="0070C0"/>
                <w:sz w:val="20"/>
                <w:szCs w:val="20"/>
              </w:rPr>
              <w:t>around the target.</w:t>
            </w:r>
          </w:p>
        </w:tc>
      </w:tr>
    </w:tbl>
    <w:p w14:paraId="65E9C355" w14:textId="77777777" w:rsidR="00994D66" w:rsidRPr="00EE5F0F" w:rsidRDefault="00994D66" w:rsidP="00EE619D">
      <w:pPr>
        <w:autoSpaceDE w:val="0"/>
        <w:autoSpaceDN w:val="0"/>
        <w:adjustRightInd w:val="0"/>
        <w:spacing w:after="120" w:line="360" w:lineRule="auto"/>
        <w:jc w:val="both"/>
        <w:rPr>
          <w:rFonts w:ascii="Garamond" w:hAnsi="Garamond"/>
          <w:sz w:val="22"/>
          <w:szCs w:val="22"/>
        </w:rPr>
      </w:pPr>
    </w:p>
    <w:p w14:paraId="53F78A90" w14:textId="77777777" w:rsidR="00D91261" w:rsidRPr="00EE5F0F" w:rsidRDefault="00F63631"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853145">
        <w:rPr>
          <w:rFonts w:ascii="Garamond" w:hAnsi="Garamond"/>
          <w:sz w:val="22"/>
          <w:szCs w:val="22"/>
        </w:rPr>
        <w:t>second</w:t>
      </w:r>
      <w:r w:rsidRPr="00EE5F0F">
        <w:rPr>
          <w:rFonts w:ascii="Garamond" w:hAnsi="Garamond"/>
          <w:sz w:val="22"/>
          <w:szCs w:val="22"/>
        </w:rPr>
        <w:t xml:space="preserve"> quarter of 2018</w:t>
      </w:r>
      <w:r w:rsidR="00566D4F">
        <w:rPr>
          <w:rFonts w:ascii="Garamond" w:hAnsi="Garamond"/>
          <w:sz w:val="22"/>
          <w:szCs w:val="22"/>
        </w:rPr>
        <w:t>,</w:t>
      </w:r>
      <w:r w:rsidRPr="00EE5F0F">
        <w:rPr>
          <w:rFonts w:ascii="Garamond" w:hAnsi="Garamond"/>
          <w:sz w:val="22"/>
          <w:szCs w:val="22"/>
        </w:rPr>
        <w:t xml:space="preserve"> core inflation </w:t>
      </w:r>
      <w:r w:rsidR="00853145">
        <w:rPr>
          <w:rFonts w:ascii="Garamond" w:hAnsi="Garamond"/>
          <w:sz w:val="22"/>
          <w:szCs w:val="22"/>
        </w:rPr>
        <w:t>slowed to some extent but was still persisting at a relatively high level. I</w:t>
      </w:r>
      <w:r w:rsidR="00853145" w:rsidRPr="00853145">
        <w:rPr>
          <w:rFonts w:ascii="Garamond" w:hAnsi="Garamond"/>
          <w:sz w:val="22"/>
          <w:szCs w:val="22"/>
        </w:rPr>
        <w:t xml:space="preserve">n the coming months </w:t>
      </w:r>
      <w:r w:rsidR="00853145">
        <w:rPr>
          <w:rFonts w:ascii="Garamond" w:hAnsi="Garamond"/>
          <w:sz w:val="22"/>
          <w:szCs w:val="22"/>
        </w:rPr>
        <w:t>i</w:t>
      </w:r>
      <w:r w:rsidR="00853145" w:rsidRPr="00853145">
        <w:rPr>
          <w:rFonts w:ascii="Garamond" w:hAnsi="Garamond"/>
          <w:sz w:val="22"/>
          <w:szCs w:val="22"/>
        </w:rPr>
        <w:t xml:space="preserve">t will continue to soften under the influence of </w:t>
      </w:r>
      <w:r w:rsidR="00853145">
        <w:rPr>
          <w:rFonts w:ascii="Garamond" w:hAnsi="Garamond"/>
          <w:sz w:val="22"/>
          <w:szCs w:val="22"/>
        </w:rPr>
        <w:t xml:space="preserve">supply-side </w:t>
      </w:r>
      <w:r w:rsidR="00853145" w:rsidRPr="00853145">
        <w:rPr>
          <w:rFonts w:ascii="Garamond" w:hAnsi="Garamond"/>
          <w:sz w:val="22"/>
          <w:szCs w:val="22"/>
        </w:rPr>
        <w:t>shock</w:t>
      </w:r>
      <w:r w:rsidR="00853145">
        <w:rPr>
          <w:rFonts w:ascii="Garamond" w:hAnsi="Garamond"/>
          <w:sz w:val="22"/>
          <w:szCs w:val="22"/>
        </w:rPr>
        <w:t>s</w:t>
      </w:r>
      <w:r w:rsidR="00853145" w:rsidRPr="00853145">
        <w:rPr>
          <w:rFonts w:ascii="Garamond" w:hAnsi="Garamond"/>
          <w:sz w:val="22"/>
          <w:szCs w:val="22"/>
        </w:rPr>
        <w:t xml:space="preserve"> in some </w:t>
      </w:r>
      <w:r w:rsidR="00853145">
        <w:rPr>
          <w:rFonts w:ascii="Garamond" w:hAnsi="Garamond"/>
          <w:sz w:val="22"/>
          <w:szCs w:val="22"/>
        </w:rPr>
        <w:t>product m</w:t>
      </w:r>
      <w:r w:rsidR="00853145" w:rsidRPr="00853145">
        <w:rPr>
          <w:rFonts w:ascii="Garamond" w:hAnsi="Garamond"/>
          <w:sz w:val="22"/>
          <w:szCs w:val="22"/>
        </w:rPr>
        <w:t>arkets</w:t>
      </w:r>
      <w:r w:rsidR="000D0801">
        <w:rPr>
          <w:rStyle w:val="FootnoteReference"/>
          <w:rFonts w:ascii="Garamond" w:hAnsi="Garamond"/>
          <w:sz w:val="22"/>
          <w:szCs w:val="22"/>
        </w:rPr>
        <w:footnoteReference w:customMarkFollows="1" w:id="1"/>
        <w:t>2</w:t>
      </w:r>
      <w:r w:rsidR="00853145" w:rsidRPr="00853145">
        <w:rPr>
          <w:rFonts w:ascii="Garamond" w:hAnsi="Garamond"/>
          <w:sz w:val="22"/>
          <w:szCs w:val="22"/>
        </w:rPr>
        <w:t xml:space="preserve"> </w:t>
      </w:r>
      <w:r w:rsidR="00853145">
        <w:rPr>
          <w:rFonts w:ascii="Garamond" w:hAnsi="Garamond"/>
          <w:sz w:val="22"/>
          <w:szCs w:val="22"/>
        </w:rPr>
        <w:t xml:space="preserve">and will </w:t>
      </w:r>
      <w:r w:rsidR="002276FE">
        <w:rPr>
          <w:rFonts w:ascii="Garamond" w:hAnsi="Garamond"/>
          <w:sz w:val="22"/>
          <w:szCs w:val="22"/>
        </w:rPr>
        <w:t>come nearer to</w:t>
      </w:r>
      <w:r w:rsidR="00853145">
        <w:rPr>
          <w:rFonts w:ascii="Garamond" w:hAnsi="Garamond"/>
          <w:sz w:val="22"/>
          <w:szCs w:val="22"/>
        </w:rPr>
        <w:t xml:space="preserve"> headline inflation </w:t>
      </w:r>
      <w:r w:rsidR="00853145" w:rsidRPr="00853145">
        <w:rPr>
          <w:rFonts w:ascii="Garamond" w:hAnsi="Garamond"/>
          <w:sz w:val="22"/>
          <w:szCs w:val="22"/>
        </w:rPr>
        <w:t>t</w:t>
      </w:r>
      <w:r w:rsidR="00853145">
        <w:rPr>
          <w:rFonts w:ascii="Garamond" w:hAnsi="Garamond"/>
          <w:sz w:val="22"/>
          <w:szCs w:val="22"/>
        </w:rPr>
        <w:t>r</w:t>
      </w:r>
      <w:r w:rsidR="00853145" w:rsidRPr="00853145">
        <w:rPr>
          <w:rFonts w:ascii="Garamond" w:hAnsi="Garamond"/>
          <w:sz w:val="22"/>
          <w:szCs w:val="22"/>
        </w:rPr>
        <w:t>ends</w:t>
      </w:r>
      <w:r w:rsidR="00853145">
        <w:rPr>
          <w:rFonts w:ascii="Garamond" w:hAnsi="Garamond"/>
          <w:sz w:val="22"/>
          <w:szCs w:val="22"/>
        </w:rPr>
        <w:t>.</w:t>
      </w:r>
      <w:r w:rsidR="00853145" w:rsidRPr="00853145">
        <w:rPr>
          <w:rFonts w:ascii="Garamond" w:hAnsi="Garamond"/>
          <w:sz w:val="22"/>
          <w:szCs w:val="22"/>
        </w:rPr>
        <w:t xml:space="preserve"> </w:t>
      </w:r>
      <w:r w:rsidR="002647E8" w:rsidRPr="00EE5F0F">
        <w:rPr>
          <w:rFonts w:ascii="Garamond" w:hAnsi="Garamond"/>
          <w:sz w:val="22"/>
          <w:szCs w:val="22"/>
        </w:rPr>
        <w:t xml:space="preserve">At the same time, </w:t>
      </w:r>
      <w:r w:rsidR="00CD7A87">
        <w:rPr>
          <w:rFonts w:ascii="Garamond" w:hAnsi="Garamond"/>
          <w:sz w:val="22"/>
          <w:szCs w:val="22"/>
        </w:rPr>
        <w:t>the p</w:t>
      </w:r>
      <w:r w:rsidR="007E77B6" w:rsidRPr="00EE5F0F">
        <w:rPr>
          <w:rFonts w:ascii="Garamond" w:hAnsi="Garamond"/>
          <w:sz w:val="22"/>
          <w:szCs w:val="22"/>
        </w:rPr>
        <w:t xml:space="preserve">rices </w:t>
      </w:r>
      <w:r w:rsidR="001B0A66" w:rsidRPr="00EE5F0F">
        <w:rPr>
          <w:rFonts w:ascii="Garamond" w:hAnsi="Garamond"/>
          <w:sz w:val="22"/>
          <w:szCs w:val="22"/>
        </w:rPr>
        <w:t>of</w:t>
      </w:r>
      <w:r w:rsidR="007E77B6" w:rsidRPr="00EE5F0F">
        <w:rPr>
          <w:rFonts w:ascii="Garamond" w:hAnsi="Garamond"/>
          <w:sz w:val="22"/>
          <w:szCs w:val="22"/>
        </w:rPr>
        <w:t xml:space="preserve"> seasonal agricultural products</w:t>
      </w:r>
      <w:r w:rsidR="00CD7A87">
        <w:rPr>
          <w:rFonts w:ascii="Garamond" w:hAnsi="Garamond"/>
          <w:sz w:val="22"/>
          <w:szCs w:val="22"/>
        </w:rPr>
        <w:t xml:space="preserve"> </w:t>
      </w:r>
      <w:r w:rsidR="000B14DC">
        <w:rPr>
          <w:rFonts w:ascii="Garamond" w:hAnsi="Garamond"/>
          <w:sz w:val="22"/>
          <w:szCs w:val="22"/>
        </w:rPr>
        <w:t>have begu</w:t>
      </w:r>
      <w:r w:rsidR="00CD7A87">
        <w:rPr>
          <w:rFonts w:ascii="Garamond" w:hAnsi="Garamond"/>
          <w:sz w:val="22"/>
          <w:szCs w:val="22"/>
        </w:rPr>
        <w:t xml:space="preserve">n recovering </w:t>
      </w:r>
      <w:r w:rsidR="00CD7A87" w:rsidRPr="00CD7A87">
        <w:rPr>
          <w:rFonts w:ascii="Garamond" w:hAnsi="Garamond"/>
          <w:sz w:val="22"/>
          <w:szCs w:val="22"/>
        </w:rPr>
        <w:t>a little earlier than expected</w:t>
      </w:r>
      <w:r w:rsidR="000B14DC">
        <w:rPr>
          <w:rFonts w:ascii="Garamond" w:hAnsi="Garamond"/>
          <w:sz w:val="22"/>
          <w:szCs w:val="22"/>
        </w:rPr>
        <w:t xml:space="preserve">, following </w:t>
      </w:r>
      <w:r w:rsidR="00CD7A87">
        <w:rPr>
          <w:rFonts w:ascii="Garamond" w:hAnsi="Garamond"/>
          <w:sz w:val="22"/>
          <w:szCs w:val="22"/>
        </w:rPr>
        <w:t xml:space="preserve">the reported decline </w:t>
      </w:r>
      <w:r w:rsidR="000B14DC">
        <w:rPr>
          <w:rFonts w:ascii="Garamond" w:hAnsi="Garamond"/>
          <w:sz w:val="22"/>
          <w:szCs w:val="22"/>
        </w:rPr>
        <w:t xml:space="preserve">in </w:t>
      </w:r>
      <w:r w:rsidR="00CD7A87">
        <w:rPr>
          <w:rFonts w:ascii="Garamond" w:hAnsi="Garamond"/>
          <w:sz w:val="22"/>
          <w:szCs w:val="22"/>
        </w:rPr>
        <w:t>the previous quarters</w:t>
      </w:r>
      <w:r w:rsidR="000B14DC">
        <w:rPr>
          <w:rFonts w:ascii="Garamond" w:hAnsi="Garamond"/>
          <w:sz w:val="22"/>
          <w:szCs w:val="22"/>
        </w:rPr>
        <w:t xml:space="preserve">, in which circumstance </w:t>
      </w:r>
      <w:r w:rsidR="000B14DC" w:rsidRPr="000B14DC">
        <w:rPr>
          <w:rFonts w:ascii="Garamond" w:hAnsi="Garamond"/>
          <w:sz w:val="22"/>
          <w:szCs w:val="22"/>
        </w:rPr>
        <w:t xml:space="preserve">the </w:t>
      </w:r>
      <w:r w:rsidR="000B14DC">
        <w:rPr>
          <w:rFonts w:ascii="Garamond" w:hAnsi="Garamond"/>
          <w:sz w:val="22"/>
          <w:szCs w:val="22"/>
        </w:rPr>
        <w:t xml:space="preserve">headline </w:t>
      </w:r>
      <w:r w:rsidR="000B14DC" w:rsidRPr="000B14DC">
        <w:rPr>
          <w:rFonts w:ascii="Garamond" w:hAnsi="Garamond"/>
          <w:sz w:val="22"/>
          <w:szCs w:val="22"/>
        </w:rPr>
        <w:t xml:space="preserve">inflation will </w:t>
      </w:r>
      <w:r w:rsidR="000B14DC">
        <w:rPr>
          <w:rFonts w:ascii="Garamond" w:hAnsi="Garamond"/>
          <w:sz w:val="22"/>
          <w:szCs w:val="22"/>
        </w:rPr>
        <w:t xml:space="preserve">somehow </w:t>
      </w:r>
      <w:r w:rsidR="000B14DC" w:rsidRPr="000B14DC">
        <w:rPr>
          <w:rFonts w:ascii="Garamond" w:hAnsi="Garamond"/>
          <w:sz w:val="22"/>
          <w:szCs w:val="22"/>
        </w:rPr>
        <w:t xml:space="preserve">increase in the course of the year, </w:t>
      </w:r>
      <w:r w:rsidR="000B14DC">
        <w:rPr>
          <w:rFonts w:ascii="Garamond" w:hAnsi="Garamond"/>
          <w:sz w:val="22"/>
          <w:szCs w:val="22"/>
        </w:rPr>
        <w:t>staying within the lower part of the confidence band</w:t>
      </w:r>
      <w:r w:rsidR="001B0A66" w:rsidRPr="00EE5F0F">
        <w:rPr>
          <w:rFonts w:ascii="Garamond" w:hAnsi="Garamond"/>
          <w:sz w:val="22"/>
          <w:szCs w:val="22"/>
        </w:rPr>
        <w:t xml:space="preserve">. </w:t>
      </w:r>
    </w:p>
    <w:p w14:paraId="5A8BABB9" w14:textId="2D812DF2" w:rsidR="00E11C2C" w:rsidRDefault="000B14DC" w:rsidP="00EE619D">
      <w:pPr>
        <w:autoSpaceDE w:val="0"/>
        <w:autoSpaceDN w:val="0"/>
        <w:adjustRightInd w:val="0"/>
        <w:spacing w:after="120" w:line="360" w:lineRule="auto"/>
        <w:jc w:val="both"/>
        <w:rPr>
          <w:rFonts w:ascii="Garamond" w:hAnsi="Garamond"/>
          <w:b/>
          <w:sz w:val="22"/>
          <w:szCs w:val="22"/>
        </w:rPr>
      </w:pPr>
      <w:r>
        <w:rPr>
          <w:rFonts w:ascii="Garamond" w:hAnsi="Garamond"/>
          <w:sz w:val="22"/>
          <w:szCs w:val="22"/>
        </w:rPr>
        <w:t>According to t</w:t>
      </w:r>
      <w:r w:rsidR="002B1812" w:rsidRPr="00EE5F0F">
        <w:rPr>
          <w:rFonts w:ascii="Garamond" w:hAnsi="Garamond"/>
          <w:sz w:val="22"/>
          <w:szCs w:val="22"/>
        </w:rPr>
        <w:t>he Central Bank estimates</w:t>
      </w:r>
      <w:r>
        <w:rPr>
          <w:rFonts w:ascii="Garamond" w:hAnsi="Garamond"/>
          <w:sz w:val="22"/>
          <w:szCs w:val="22"/>
        </w:rPr>
        <w:t>,</w:t>
      </w:r>
      <w:r w:rsidR="002B1812" w:rsidRPr="00EE5F0F">
        <w:rPr>
          <w:rFonts w:ascii="Garamond" w:hAnsi="Garamond"/>
          <w:sz w:val="22"/>
          <w:szCs w:val="22"/>
        </w:rPr>
        <w:t xml:space="preserve"> economic activity </w:t>
      </w:r>
      <w:r>
        <w:rPr>
          <w:rFonts w:ascii="Garamond" w:hAnsi="Garamond"/>
          <w:sz w:val="22"/>
          <w:szCs w:val="22"/>
        </w:rPr>
        <w:t xml:space="preserve">slowed down to some extent in the second quarter of 2018 on the back of strong indicators posted in the previous quarter. </w:t>
      </w:r>
      <w:r w:rsidR="00225D1F">
        <w:rPr>
          <w:rFonts w:ascii="Garamond" w:hAnsi="Garamond"/>
          <w:sz w:val="22"/>
          <w:szCs w:val="22"/>
        </w:rPr>
        <w:t>In the meanwhile</w:t>
      </w:r>
      <w:r w:rsidR="00990C29" w:rsidRPr="00990C29">
        <w:rPr>
          <w:rFonts w:ascii="Garamond" w:hAnsi="Garamond"/>
          <w:sz w:val="22"/>
          <w:szCs w:val="22"/>
        </w:rPr>
        <w:t xml:space="preserve">, there has been some </w:t>
      </w:r>
      <w:r w:rsidR="00990C29">
        <w:rPr>
          <w:rFonts w:ascii="Garamond" w:hAnsi="Garamond"/>
          <w:sz w:val="22"/>
          <w:szCs w:val="22"/>
        </w:rPr>
        <w:t xml:space="preserve">slowing </w:t>
      </w:r>
      <w:r w:rsidR="00990C29" w:rsidRPr="00990C29">
        <w:rPr>
          <w:rFonts w:ascii="Garamond" w:hAnsi="Garamond"/>
          <w:sz w:val="22"/>
          <w:szCs w:val="22"/>
        </w:rPr>
        <w:t xml:space="preserve">in </w:t>
      </w:r>
      <w:r w:rsidR="00990C29">
        <w:rPr>
          <w:rFonts w:ascii="Garamond" w:hAnsi="Garamond"/>
          <w:sz w:val="22"/>
          <w:szCs w:val="22"/>
        </w:rPr>
        <w:t xml:space="preserve">the </w:t>
      </w:r>
      <w:r w:rsidR="00990C29" w:rsidRPr="00990C29">
        <w:rPr>
          <w:rFonts w:ascii="Garamond" w:hAnsi="Garamond"/>
          <w:sz w:val="22"/>
          <w:szCs w:val="22"/>
        </w:rPr>
        <w:t>productivity growth</w:t>
      </w:r>
      <w:r w:rsidR="00990C29">
        <w:rPr>
          <w:rFonts w:ascii="Garamond" w:hAnsi="Garamond"/>
          <w:sz w:val="22"/>
          <w:szCs w:val="22"/>
        </w:rPr>
        <w:t xml:space="preserve"> </w:t>
      </w:r>
      <w:r w:rsidR="00990C29" w:rsidRPr="00225D1F">
        <w:rPr>
          <w:rFonts w:ascii="Garamond" w:hAnsi="Garamond"/>
          <w:sz w:val="22"/>
          <w:szCs w:val="22"/>
        </w:rPr>
        <w:t xml:space="preserve">rates, </w:t>
      </w:r>
      <w:r w:rsidR="00225D1F">
        <w:rPr>
          <w:rFonts w:ascii="Garamond" w:hAnsi="Garamond"/>
          <w:sz w:val="22"/>
          <w:szCs w:val="22"/>
        </w:rPr>
        <w:t>and</w:t>
      </w:r>
      <w:r w:rsidR="00990C29" w:rsidRPr="00225D1F">
        <w:rPr>
          <w:rFonts w:ascii="Garamond" w:hAnsi="Garamond"/>
          <w:sz w:val="22"/>
          <w:szCs w:val="22"/>
        </w:rPr>
        <w:t xml:space="preserve"> the growth in private demand has slowed down </w:t>
      </w:r>
      <w:r w:rsidR="00225D1F">
        <w:rPr>
          <w:rFonts w:ascii="Garamond" w:hAnsi="Garamond"/>
          <w:sz w:val="22"/>
          <w:szCs w:val="22"/>
        </w:rPr>
        <w:t xml:space="preserve">much more </w:t>
      </w:r>
      <w:r w:rsidR="00990C29" w:rsidRPr="00225D1F">
        <w:rPr>
          <w:rFonts w:ascii="Garamond" w:hAnsi="Garamond"/>
          <w:sz w:val="22"/>
          <w:szCs w:val="22"/>
        </w:rPr>
        <w:t xml:space="preserve">as </w:t>
      </w:r>
      <w:r w:rsidR="00225D1F">
        <w:rPr>
          <w:rFonts w:ascii="Garamond" w:hAnsi="Garamond"/>
          <w:sz w:val="22"/>
          <w:szCs w:val="22"/>
        </w:rPr>
        <w:t>in</w:t>
      </w:r>
      <w:r w:rsidR="00990C29" w:rsidRPr="00225D1F">
        <w:rPr>
          <w:rFonts w:ascii="Garamond" w:hAnsi="Garamond"/>
          <w:sz w:val="22"/>
          <w:szCs w:val="22"/>
        </w:rPr>
        <w:t>vestment growth rates</w:t>
      </w:r>
      <w:r w:rsidR="00225D1F">
        <w:rPr>
          <w:rFonts w:ascii="Garamond" w:hAnsi="Garamond"/>
          <w:sz w:val="22"/>
          <w:szCs w:val="22"/>
        </w:rPr>
        <w:t xml:space="preserve"> reduced</w:t>
      </w:r>
      <w:r w:rsidR="00990C29" w:rsidRPr="00225D1F">
        <w:rPr>
          <w:rFonts w:ascii="Garamond" w:hAnsi="Garamond"/>
          <w:sz w:val="22"/>
          <w:szCs w:val="22"/>
        </w:rPr>
        <w:t>.</w:t>
      </w:r>
      <w:r w:rsidR="00225D1F">
        <w:rPr>
          <w:rFonts w:ascii="Garamond" w:hAnsi="Garamond"/>
          <w:sz w:val="22"/>
          <w:szCs w:val="22"/>
        </w:rPr>
        <w:t xml:space="preserve"> Also, </w:t>
      </w:r>
      <w:r w:rsidR="00225D1F" w:rsidRPr="00225D1F">
        <w:rPr>
          <w:rFonts w:ascii="Garamond" w:hAnsi="Garamond"/>
          <w:sz w:val="22"/>
          <w:szCs w:val="22"/>
        </w:rPr>
        <w:t xml:space="preserve">aggregate demand </w:t>
      </w:r>
      <w:r w:rsidR="00225D1F">
        <w:rPr>
          <w:rFonts w:ascii="Garamond" w:hAnsi="Garamond"/>
          <w:sz w:val="22"/>
          <w:szCs w:val="22"/>
        </w:rPr>
        <w:t xml:space="preserve">has incurred the </w:t>
      </w:r>
      <w:r w:rsidR="00225D1F" w:rsidRPr="00225D1F">
        <w:rPr>
          <w:rFonts w:ascii="Garamond" w:hAnsi="Garamond"/>
          <w:sz w:val="22"/>
          <w:szCs w:val="22"/>
        </w:rPr>
        <w:t xml:space="preserve">significant </w:t>
      </w:r>
      <w:r w:rsidR="00225D1F">
        <w:rPr>
          <w:rFonts w:ascii="Garamond" w:hAnsi="Garamond"/>
          <w:sz w:val="22"/>
          <w:szCs w:val="22"/>
        </w:rPr>
        <w:t xml:space="preserve">contractionary impact of public demand. </w:t>
      </w:r>
      <w:r w:rsidR="00725034" w:rsidRPr="00EE5F0F">
        <w:rPr>
          <w:rFonts w:ascii="Garamond" w:hAnsi="Garamond"/>
          <w:sz w:val="22"/>
          <w:szCs w:val="22"/>
        </w:rPr>
        <w:t xml:space="preserve">As a result, the GDP gap is estimated </w:t>
      </w:r>
      <w:r w:rsidR="00225D1F">
        <w:rPr>
          <w:rFonts w:ascii="Garamond" w:hAnsi="Garamond"/>
          <w:sz w:val="22"/>
          <w:szCs w:val="22"/>
        </w:rPr>
        <w:t xml:space="preserve">close to zero </w:t>
      </w:r>
      <w:r w:rsidR="00725034" w:rsidRPr="00EE5F0F">
        <w:rPr>
          <w:rFonts w:ascii="Garamond" w:hAnsi="Garamond"/>
          <w:sz w:val="22"/>
          <w:szCs w:val="22"/>
        </w:rPr>
        <w:t xml:space="preserve">in the </w:t>
      </w:r>
      <w:r w:rsidR="00225D1F">
        <w:rPr>
          <w:rFonts w:ascii="Garamond" w:hAnsi="Garamond"/>
          <w:sz w:val="22"/>
          <w:szCs w:val="22"/>
        </w:rPr>
        <w:t>second</w:t>
      </w:r>
      <w:r w:rsidR="00725034" w:rsidRPr="00EE5F0F">
        <w:rPr>
          <w:rFonts w:ascii="Garamond" w:hAnsi="Garamond"/>
          <w:sz w:val="22"/>
          <w:szCs w:val="22"/>
        </w:rPr>
        <w:t xml:space="preserve"> quarter of 201</w:t>
      </w:r>
      <w:r w:rsidR="00E8514A" w:rsidRPr="00EE5F0F">
        <w:rPr>
          <w:rFonts w:ascii="Garamond" w:hAnsi="Garamond"/>
          <w:sz w:val="22"/>
          <w:szCs w:val="22"/>
        </w:rPr>
        <w:t>8</w:t>
      </w:r>
      <w:r w:rsidR="008F2A0D" w:rsidRPr="00EE5F0F">
        <w:rPr>
          <w:rFonts w:ascii="Garamond" w:hAnsi="Garamond"/>
          <w:sz w:val="22"/>
          <w:szCs w:val="22"/>
        </w:rPr>
        <w:t xml:space="preserve">. At the same time, </w:t>
      </w:r>
      <w:r w:rsidR="00E87D02" w:rsidRPr="00E87D02">
        <w:rPr>
          <w:rFonts w:ascii="Garamond" w:hAnsi="Garamond"/>
          <w:sz w:val="22"/>
          <w:szCs w:val="22"/>
        </w:rPr>
        <w:t xml:space="preserve">demand </w:t>
      </w:r>
      <w:r w:rsidR="00E87D02">
        <w:rPr>
          <w:rFonts w:ascii="Garamond" w:hAnsi="Garamond"/>
          <w:sz w:val="22"/>
          <w:szCs w:val="22"/>
        </w:rPr>
        <w:t xml:space="preserve">is expected to </w:t>
      </w:r>
      <w:r w:rsidR="00E87D02" w:rsidRPr="00E87D02">
        <w:rPr>
          <w:rFonts w:ascii="Garamond" w:hAnsi="Garamond"/>
          <w:sz w:val="22"/>
          <w:szCs w:val="22"/>
        </w:rPr>
        <w:t xml:space="preserve">weaken </w:t>
      </w:r>
      <w:r w:rsidR="00E87D02">
        <w:rPr>
          <w:rFonts w:ascii="Garamond" w:hAnsi="Garamond"/>
          <w:sz w:val="22"/>
          <w:szCs w:val="22"/>
        </w:rPr>
        <w:t xml:space="preserve">gradually </w:t>
      </w:r>
      <w:r w:rsidR="00E87D02" w:rsidRPr="00E87D02">
        <w:rPr>
          <w:rFonts w:ascii="Garamond" w:hAnsi="Garamond"/>
          <w:sz w:val="22"/>
          <w:szCs w:val="22"/>
        </w:rPr>
        <w:t xml:space="preserve">due to a </w:t>
      </w:r>
      <w:r w:rsidR="00E87D02">
        <w:rPr>
          <w:rFonts w:ascii="Garamond" w:hAnsi="Garamond"/>
          <w:sz w:val="22"/>
          <w:szCs w:val="22"/>
        </w:rPr>
        <w:t xml:space="preserve">notably contractionary effect of the </w:t>
      </w:r>
      <w:r w:rsidR="00E87D02" w:rsidRPr="00E87D02">
        <w:rPr>
          <w:rFonts w:ascii="Garamond" w:hAnsi="Garamond"/>
          <w:sz w:val="22"/>
          <w:szCs w:val="22"/>
        </w:rPr>
        <w:t>fiscal policy.</w:t>
      </w:r>
      <w:r w:rsidR="00E87D02">
        <w:rPr>
          <w:rFonts w:ascii="Garamond" w:hAnsi="Garamond"/>
          <w:sz w:val="22"/>
          <w:szCs w:val="22"/>
        </w:rPr>
        <w:t xml:space="preserve"> </w:t>
      </w:r>
      <w:r w:rsidR="00E87D02" w:rsidRPr="00E87D02">
        <w:rPr>
          <w:rFonts w:ascii="Garamond" w:hAnsi="Garamond"/>
          <w:sz w:val="22"/>
          <w:szCs w:val="22"/>
        </w:rPr>
        <w:t>A</w:t>
      </w:r>
      <w:r w:rsidR="00E87D02">
        <w:rPr>
          <w:rFonts w:ascii="Garamond" w:hAnsi="Garamond"/>
          <w:sz w:val="22"/>
          <w:szCs w:val="22"/>
        </w:rPr>
        <w:t xml:space="preserve">s </w:t>
      </w:r>
      <w:r w:rsidR="00E87D02" w:rsidRPr="00E87D02">
        <w:rPr>
          <w:rFonts w:ascii="Garamond" w:hAnsi="Garamond"/>
          <w:sz w:val="22"/>
          <w:szCs w:val="22"/>
        </w:rPr>
        <w:t>the aforementioned developments</w:t>
      </w:r>
      <w:r w:rsidR="00E87D02">
        <w:rPr>
          <w:rFonts w:ascii="Garamond" w:hAnsi="Garamond"/>
          <w:sz w:val="22"/>
          <w:szCs w:val="22"/>
        </w:rPr>
        <w:t xml:space="preserve"> unfold</w:t>
      </w:r>
      <w:r w:rsidR="00E87D02" w:rsidRPr="00E87D02">
        <w:rPr>
          <w:rFonts w:ascii="Garamond" w:hAnsi="Garamond"/>
          <w:sz w:val="22"/>
          <w:szCs w:val="22"/>
        </w:rPr>
        <w:t xml:space="preserve">, </w:t>
      </w:r>
      <w:r w:rsidR="00E87D02">
        <w:rPr>
          <w:rFonts w:ascii="Garamond" w:hAnsi="Garamond"/>
          <w:sz w:val="22"/>
          <w:szCs w:val="22"/>
        </w:rPr>
        <w:t xml:space="preserve">aggregate </w:t>
      </w:r>
      <w:r w:rsidR="00E87D02" w:rsidRPr="00E87D02">
        <w:rPr>
          <w:rFonts w:ascii="Garamond" w:hAnsi="Garamond"/>
          <w:sz w:val="22"/>
          <w:szCs w:val="22"/>
        </w:rPr>
        <w:t xml:space="preserve">demand will also </w:t>
      </w:r>
      <w:r w:rsidR="00E87D02">
        <w:rPr>
          <w:rFonts w:ascii="Garamond" w:hAnsi="Garamond"/>
          <w:sz w:val="22"/>
          <w:szCs w:val="22"/>
        </w:rPr>
        <w:t xml:space="preserve">incur the impact of </w:t>
      </w:r>
      <w:r w:rsidR="00E87D02" w:rsidRPr="00E87D02">
        <w:rPr>
          <w:rFonts w:ascii="Garamond" w:hAnsi="Garamond"/>
          <w:sz w:val="22"/>
          <w:szCs w:val="22"/>
        </w:rPr>
        <w:t>currency de</w:t>
      </w:r>
      <w:r w:rsidR="00E87D02">
        <w:rPr>
          <w:rFonts w:ascii="Garamond" w:hAnsi="Garamond"/>
          <w:sz w:val="22"/>
          <w:szCs w:val="22"/>
        </w:rPr>
        <w:t xml:space="preserve">preciation </w:t>
      </w:r>
      <w:r w:rsidR="00510D9C">
        <w:rPr>
          <w:rFonts w:ascii="Sylfaen" w:hAnsi="Sylfaen"/>
          <w:sz w:val="22"/>
          <w:szCs w:val="22"/>
        </w:rPr>
        <w:t>in</w:t>
      </w:r>
      <w:r w:rsidR="00E87D02">
        <w:rPr>
          <w:rFonts w:ascii="Garamond" w:hAnsi="Garamond"/>
          <w:sz w:val="22"/>
          <w:szCs w:val="22"/>
        </w:rPr>
        <w:t xml:space="preserve"> </w:t>
      </w:r>
      <w:r w:rsidR="00E87D02" w:rsidRPr="00E87D02">
        <w:rPr>
          <w:rFonts w:ascii="Garamond" w:hAnsi="Garamond"/>
          <w:sz w:val="22"/>
          <w:szCs w:val="22"/>
        </w:rPr>
        <w:t xml:space="preserve">partner countries, </w:t>
      </w:r>
      <w:r w:rsidR="00510D9C" w:rsidRPr="00E87D02">
        <w:rPr>
          <w:rFonts w:ascii="Garamond" w:hAnsi="Garamond"/>
          <w:sz w:val="22"/>
          <w:szCs w:val="22"/>
        </w:rPr>
        <w:t>because</w:t>
      </w:r>
      <w:r w:rsidR="00E87D02" w:rsidRPr="00E87D02">
        <w:rPr>
          <w:rFonts w:ascii="Garamond" w:hAnsi="Garamond"/>
          <w:sz w:val="22"/>
          <w:szCs w:val="22"/>
        </w:rPr>
        <w:t xml:space="preserve"> of which the GDP gap will gradually diminish</w:t>
      </w:r>
      <w:r w:rsidR="00E87D02">
        <w:rPr>
          <w:rFonts w:ascii="Garamond" w:hAnsi="Garamond"/>
          <w:sz w:val="22"/>
          <w:szCs w:val="22"/>
        </w:rPr>
        <w:t>,</w:t>
      </w:r>
      <w:r w:rsidR="00E87D02" w:rsidRPr="00E87D02">
        <w:rPr>
          <w:rFonts w:ascii="Garamond" w:hAnsi="Garamond"/>
          <w:sz w:val="22"/>
          <w:szCs w:val="22"/>
        </w:rPr>
        <w:t xml:space="preserve"> entering the negative </w:t>
      </w:r>
      <w:r w:rsidR="00E87D02">
        <w:rPr>
          <w:rFonts w:ascii="Garamond" w:hAnsi="Garamond"/>
          <w:sz w:val="22"/>
          <w:szCs w:val="22"/>
        </w:rPr>
        <w:t xml:space="preserve">territory. </w:t>
      </w:r>
      <w:r w:rsidR="00F235A7" w:rsidRPr="00F235A7">
        <w:rPr>
          <w:rFonts w:ascii="Garamond" w:hAnsi="Garamond"/>
          <w:sz w:val="22"/>
          <w:szCs w:val="22"/>
        </w:rPr>
        <w:t xml:space="preserve">The latter will have a moderate deflationary </w:t>
      </w:r>
      <w:r w:rsidR="00F235A7">
        <w:rPr>
          <w:rFonts w:ascii="Garamond" w:hAnsi="Garamond"/>
          <w:sz w:val="22"/>
          <w:szCs w:val="22"/>
        </w:rPr>
        <w:t xml:space="preserve">effect which, fueled by an expansionary monetary policy, will phase out </w:t>
      </w:r>
      <w:r w:rsidR="00F235A7" w:rsidRPr="00F235A7">
        <w:rPr>
          <w:rFonts w:ascii="Garamond" w:hAnsi="Garamond"/>
          <w:sz w:val="22"/>
          <w:szCs w:val="22"/>
        </w:rPr>
        <w:t>in the m</w:t>
      </w:r>
      <w:r w:rsidR="00F235A7">
        <w:rPr>
          <w:rFonts w:ascii="Garamond" w:hAnsi="Garamond"/>
          <w:sz w:val="22"/>
          <w:szCs w:val="22"/>
        </w:rPr>
        <w:t xml:space="preserve">edium-term perspective as the GDP gap closes. </w:t>
      </w:r>
      <w:r w:rsidR="00F357AB" w:rsidRPr="00EE5F0F">
        <w:rPr>
          <w:rFonts w:ascii="Garamond" w:hAnsi="Garamond"/>
          <w:sz w:val="22"/>
          <w:szCs w:val="22"/>
        </w:rPr>
        <w:t xml:space="preserve">In the outcome, </w:t>
      </w:r>
      <w:r w:rsidR="00F235A7" w:rsidRPr="00EE5F0F">
        <w:rPr>
          <w:rFonts w:ascii="Garamond" w:hAnsi="Garamond"/>
          <w:sz w:val="22"/>
          <w:szCs w:val="22"/>
        </w:rPr>
        <w:t xml:space="preserve">inflation </w:t>
      </w:r>
      <w:r w:rsidR="00F235A7">
        <w:rPr>
          <w:rFonts w:ascii="Garamond" w:hAnsi="Garamond"/>
          <w:sz w:val="22"/>
          <w:szCs w:val="22"/>
        </w:rPr>
        <w:t xml:space="preserve">will </w:t>
      </w:r>
      <w:r w:rsidR="00F235A7" w:rsidRPr="00EE5F0F">
        <w:rPr>
          <w:rFonts w:ascii="Garamond" w:hAnsi="Garamond"/>
          <w:sz w:val="22"/>
          <w:szCs w:val="22"/>
        </w:rPr>
        <w:t xml:space="preserve">stabilize around the target </w:t>
      </w:r>
      <w:r w:rsidR="00F235A7">
        <w:rPr>
          <w:rFonts w:ascii="Garamond" w:hAnsi="Garamond"/>
          <w:sz w:val="22"/>
          <w:szCs w:val="22"/>
        </w:rPr>
        <w:t xml:space="preserve">at the end of the forecast horizon. </w:t>
      </w:r>
      <w:r w:rsidR="00F235A7" w:rsidRPr="00F235A7">
        <w:rPr>
          <w:rFonts w:ascii="Garamond" w:hAnsi="Garamond"/>
          <w:sz w:val="22"/>
          <w:szCs w:val="22"/>
        </w:rPr>
        <w:t xml:space="preserve">It is estimated that short-term inflationary expectations of the public </w:t>
      </w:r>
      <w:r w:rsidR="00791959">
        <w:rPr>
          <w:rFonts w:ascii="Garamond" w:hAnsi="Garamond"/>
          <w:sz w:val="22"/>
          <w:szCs w:val="22"/>
        </w:rPr>
        <w:t>have somewhat reduced</w:t>
      </w:r>
      <w:r w:rsidR="00F235A7" w:rsidRPr="00F235A7">
        <w:rPr>
          <w:rFonts w:ascii="Garamond" w:hAnsi="Garamond"/>
          <w:sz w:val="22"/>
          <w:szCs w:val="22"/>
        </w:rPr>
        <w:t xml:space="preserve"> </w:t>
      </w:r>
      <w:r w:rsidR="00791959">
        <w:rPr>
          <w:rFonts w:ascii="Garamond" w:hAnsi="Garamond"/>
          <w:sz w:val="22"/>
          <w:szCs w:val="22"/>
        </w:rPr>
        <w:t xml:space="preserve">in the light of </w:t>
      </w:r>
      <w:r w:rsidR="00F235A7" w:rsidRPr="00F235A7">
        <w:rPr>
          <w:rFonts w:ascii="Garamond" w:hAnsi="Garamond"/>
          <w:sz w:val="22"/>
          <w:szCs w:val="22"/>
        </w:rPr>
        <w:t xml:space="preserve">inflation developments, particularly in the context of </w:t>
      </w:r>
      <w:r w:rsidR="00791959">
        <w:rPr>
          <w:rFonts w:ascii="Garamond" w:hAnsi="Garamond"/>
          <w:sz w:val="22"/>
          <w:szCs w:val="22"/>
        </w:rPr>
        <w:t xml:space="preserve">increased </w:t>
      </w:r>
      <w:r w:rsidR="00F235A7" w:rsidRPr="00F235A7">
        <w:rPr>
          <w:rFonts w:ascii="Garamond" w:hAnsi="Garamond"/>
          <w:sz w:val="22"/>
          <w:szCs w:val="22"/>
        </w:rPr>
        <w:t xml:space="preserve">competition in a </w:t>
      </w:r>
      <w:r w:rsidR="00791959">
        <w:rPr>
          <w:rFonts w:ascii="Garamond" w:hAnsi="Garamond"/>
          <w:sz w:val="22"/>
          <w:szCs w:val="22"/>
        </w:rPr>
        <w:t>variety of product</w:t>
      </w:r>
      <w:r w:rsidR="00F235A7" w:rsidRPr="00F235A7">
        <w:rPr>
          <w:rFonts w:ascii="Garamond" w:hAnsi="Garamond"/>
          <w:sz w:val="22"/>
          <w:szCs w:val="22"/>
        </w:rPr>
        <w:t xml:space="preserve"> markets</w:t>
      </w:r>
      <w:r w:rsidR="00791959" w:rsidRPr="00791959">
        <w:rPr>
          <w:rFonts w:ascii="Garamond" w:hAnsi="Garamond"/>
          <w:sz w:val="22"/>
          <w:szCs w:val="22"/>
        </w:rPr>
        <w:t xml:space="preserve"> </w:t>
      </w:r>
      <w:r w:rsidR="00791959">
        <w:rPr>
          <w:rFonts w:ascii="Garamond" w:hAnsi="Garamond"/>
          <w:sz w:val="22"/>
          <w:szCs w:val="22"/>
        </w:rPr>
        <w:t>in the second quarter</w:t>
      </w:r>
      <w:r w:rsidR="00F235A7" w:rsidRPr="00F235A7">
        <w:rPr>
          <w:rFonts w:ascii="Garamond" w:hAnsi="Garamond"/>
          <w:sz w:val="22"/>
          <w:szCs w:val="22"/>
        </w:rPr>
        <w:t>. Nevertheless, the</w:t>
      </w:r>
      <w:r w:rsidR="0020630B">
        <w:rPr>
          <w:rFonts w:ascii="Garamond" w:hAnsi="Garamond"/>
          <w:sz w:val="22"/>
          <w:szCs w:val="22"/>
        </w:rPr>
        <w:t>se expectations wil</w:t>
      </w:r>
      <w:r w:rsidR="00F235A7" w:rsidRPr="00F235A7">
        <w:rPr>
          <w:rFonts w:ascii="Garamond" w:hAnsi="Garamond"/>
          <w:sz w:val="22"/>
          <w:szCs w:val="22"/>
        </w:rPr>
        <w:t>l also stabilize a</w:t>
      </w:r>
      <w:r w:rsidR="0020630B">
        <w:rPr>
          <w:rFonts w:ascii="Garamond" w:hAnsi="Garamond"/>
          <w:sz w:val="22"/>
          <w:szCs w:val="22"/>
        </w:rPr>
        <w:t>round the target as inflation res</w:t>
      </w:r>
      <w:r w:rsidR="00F235A7" w:rsidRPr="00F235A7">
        <w:rPr>
          <w:rFonts w:ascii="Garamond" w:hAnsi="Garamond"/>
          <w:sz w:val="22"/>
          <w:szCs w:val="22"/>
        </w:rPr>
        <w:t>t</w:t>
      </w:r>
      <w:r w:rsidR="0020630B">
        <w:rPr>
          <w:rFonts w:ascii="Garamond" w:hAnsi="Garamond"/>
          <w:sz w:val="22"/>
          <w:szCs w:val="22"/>
        </w:rPr>
        <w:t>ores.</w:t>
      </w:r>
      <w:r w:rsidR="00F235A7" w:rsidRPr="00F235A7">
        <w:rPr>
          <w:rFonts w:ascii="Garamond" w:hAnsi="Garamond"/>
          <w:sz w:val="22"/>
          <w:szCs w:val="22"/>
        </w:rPr>
        <w:t xml:space="preserve"> </w:t>
      </w:r>
      <w:r w:rsidR="0020630B">
        <w:rPr>
          <w:rFonts w:ascii="Garamond" w:hAnsi="Garamond"/>
          <w:b/>
          <w:sz w:val="22"/>
          <w:szCs w:val="22"/>
        </w:rPr>
        <w:t>T</w:t>
      </w:r>
      <w:r w:rsidR="00E11C2C" w:rsidRPr="00EE5F0F">
        <w:rPr>
          <w:rFonts w:ascii="Garamond" w:hAnsi="Garamond"/>
          <w:b/>
          <w:sz w:val="22"/>
          <w:szCs w:val="22"/>
        </w:rPr>
        <w:t xml:space="preserve">he Board of the </w:t>
      </w:r>
      <w:r w:rsidR="00E11C2C" w:rsidRPr="00EE5F0F">
        <w:rPr>
          <w:rFonts w:ascii="Garamond" w:hAnsi="Garamond"/>
          <w:b/>
          <w:sz w:val="22"/>
          <w:szCs w:val="22"/>
        </w:rPr>
        <w:lastRenderedPageBreak/>
        <w:t xml:space="preserve">Central Bank believes that </w:t>
      </w:r>
      <w:r w:rsidR="0020630B">
        <w:rPr>
          <w:rFonts w:ascii="Garamond" w:hAnsi="Garamond"/>
          <w:b/>
          <w:sz w:val="22"/>
          <w:szCs w:val="22"/>
        </w:rPr>
        <w:t xml:space="preserve">keeping </w:t>
      </w:r>
      <w:r w:rsidR="00E11C2C" w:rsidRPr="00EE5F0F">
        <w:rPr>
          <w:rFonts w:ascii="Garamond" w:hAnsi="Garamond"/>
          <w:b/>
          <w:sz w:val="22"/>
          <w:szCs w:val="22"/>
        </w:rPr>
        <w:t>the policy rate unchanged</w:t>
      </w:r>
      <w:r w:rsidR="0020630B">
        <w:rPr>
          <w:rFonts w:ascii="Garamond" w:hAnsi="Garamond"/>
          <w:b/>
          <w:sz w:val="22"/>
          <w:szCs w:val="22"/>
        </w:rPr>
        <w:t>, while leaving the monetary conditions expansionary, is appropriate for now</w:t>
      </w:r>
      <w:r w:rsidR="00E11C2C" w:rsidRPr="00EE5F0F">
        <w:rPr>
          <w:rFonts w:ascii="Garamond" w:hAnsi="Garamond"/>
          <w:b/>
          <w:sz w:val="22"/>
          <w:szCs w:val="22"/>
        </w:rPr>
        <w:t xml:space="preserve">. </w:t>
      </w:r>
    </w:p>
    <w:p w14:paraId="3B47CA40"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1:</w:t>
      </w:r>
    </w:p>
    <w:p w14:paraId="4C26BE42"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9F51E8">
        <w:rPr>
          <w:rStyle w:val="FootnoteReference"/>
          <w:rFonts w:ascii="Garamond" w:hAnsi="Garamond"/>
          <w:b/>
          <w:bCs/>
          <w:iCs/>
          <w:color w:val="0070C0"/>
          <w:sz w:val="22"/>
          <w:szCs w:val="22"/>
        </w:rPr>
        <w:footnoteReference w:customMarkFollows="1" w:id="2"/>
        <w:t>3</w:t>
      </w:r>
    </w:p>
    <w:p w14:paraId="055DCEFC"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Aggregate demand:</w:t>
      </w:r>
      <w:r w:rsidRPr="00EE5F0F">
        <w:rPr>
          <w:rFonts w:ascii="Garamond" w:hAnsi="Garamond"/>
          <w:sz w:val="22"/>
          <w:szCs w:val="22"/>
        </w:rPr>
        <w:t xml:space="preserve"> </w:t>
      </w:r>
      <w:r w:rsidR="00677E52" w:rsidRPr="00EE5F0F">
        <w:rPr>
          <w:rFonts w:ascii="Garamond" w:hAnsi="Garamond"/>
          <w:sz w:val="22"/>
          <w:szCs w:val="22"/>
        </w:rPr>
        <w:t xml:space="preserve">High economic activity persisted over the first </w:t>
      </w:r>
      <w:r w:rsidR="009F51E8">
        <w:rPr>
          <w:rFonts w:ascii="Garamond" w:hAnsi="Garamond"/>
          <w:sz w:val="22"/>
          <w:szCs w:val="22"/>
        </w:rPr>
        <w:t>half</w:t>
      </w:r>
      <w:r w:rsidR="00677E52" w:rsidRPr="00EE5F0F">
        <w:rPr>
          <w:rFonts w:ascii="Garamond" w:hAnsi="Garamond"/>
          <w:sz w:val="22"/>
          <w:szCs w:val="22"/>
        </w:rPr>
        <w:t xml:space="preserve"> of 2018</w:t>
      </w:r>
      <w:r w:rsidR="009F51E8">
        <w:rPr>
          <w:rFonts w:ascii="Garamond" w:hAnsi="Garamond"/>
          <w:sz w:val="22"/>
          <w:szCs w:val="22"/>
        </w:rPr>
        <w:t>, mostly owing to strong growth of investment in the private sector.</w:t>
      </w:r>
      <w:r w:rsidR="00967B45" w:rsidRPr="00EE5F0F">
        <w:rPr>
          <w:rFonts w:ascii="Garamond" w:hAnsi="Garamond"/>
          <w:sz w:val="22"/>
          <w:szCs w:val="22"/>
        </w:rPr>
        <w:t xml:space="preserve"> </w:t>
      </w:r>
      <w:r w:rsidR="00A04E80">
        <w:rPr>
          <w:rFonts w:ascii="Garamond" w:hAnsi="Garamond"/>
          <w:sz w:val="22"/>
          <w:szCs w:val="22"/>
        </w:rPr>
        <w:t xml:space="preserve">Predicted </w:t>
      </w:r>
      <w:r w:rsidR="00511F0C" w:rsidRPr="00EE5F0F">
        <w:rPr>
          <w:rFonts w:ascii="Garamond" w:hAnsi="Garamond"/>
          <w:sz w:val="22"/>
          <w:szCs w:val="22"/>
        </w:rPr>
        <w:t xml:space="preserve">economic growth </w:t>
      </w:r>
      <w:r w:rsidR="00A04E80">
        <w:rPr>
          <w:rFonts w:ascii="Garamond" w:hAnsi="Garamond"/>
          <w:sz w:val="22"/>
          <w:szCs w:val="22"/>
        </w:rPr>
        <w:t xml:space="preserve">in 2018 </w:t>
      </w:r>
      <w:r w:rsidR="00511F0C" w:rsidRPr="00EE5F0F">
        <w:rPr>
          <w:rFonts w:ascii="Garamond" w:hAnsi="Garamond"/>
          <w:sz w:val="22"/>
          <w:szCs w:val="22"/>
        </w:rPr>
        <w:t xml:space="preserve">largely </w:t>
      </w:r>
      <w:r w:rsidR="00A04E80">
        <w:rPr>
          <w:rFonts w:ascii="Garamond" w:hAnsi="Garamond"/>
          <w:sz w:val="22"/>
          <w:szCs w:val="22"/>
        </w:rPr>
        <w:t xml:space="preserve">depends on </w:t>
      </w:r>
      <w:r w:rsidR="00511F0C" w:rsidRPr="00EE5F0F">
        <w:rPr>
          <w:rFonts w:ascii="Garamond" w:hAnsi="Garamond"/>
          <w:sz w:val="22"/>
          <w:szCs w:val="22"/>
        </w:rPr>
        <w:t xml:space="preserve">the </w:t>
      </w:r>
      <w:r w:rsidR="00A04E80" w:rsidRPr="00EE5F0F">
        <w:rPr>
          <w:rFonts w:ascii="Garamond" w:hAnsi="Garamond"/>
          <w:sz w:val="22"/>
          <w:szCs w:val="22"/>
        </w:rPr>
        <w:t>growth of lending to the economy</w:t>
      </w:r>
      <w:r w:rsidR="00A04E80">
        <w:rPr>
          <w:rFonts w:ascii="Garamond" w:hAnsi="Garamond"/>
          <w:sz w:val="22"/>
          <w:szCs w:val="22"/>
        </w:rPr>
        <w:t>,</w:t>
      </w:r>
      <w:r w:rsidR="00A04E80" w:rsidRPr="00EE5F0F">
        <w:rPr>
          <w:rFonts w:ascii="Garamond" w:hAnsi="Garamond"/>
          <w:sz w:val="22"/>
          <w:szCs w:val="22"/>
        </w:rPr>
        <w:t xml:space="preserve"> high investment activity as well as</w:t>
      </w:r>
      <w:r w:rsidR="00A04E80">
        <w:rPr>
          <w:rFonts w:ascii="Garamond" w:hAnsi="Garamond"/>
          <w:sz w:val="22"/>
          <w:szCs w:val="22"/>
        </w:rPr>
        <w:t xml:space="preserve"> an</w:t>
      </w:r>
      <w:r w:rsidR="00A04E80" w:rsidRPr="00EE5F0F">
        <w:rPr>
          <w:rFonts w:ascii="Garamond" w:hAnsi="Garamond"/>
          <w:sz w:val="22"/>
          <w:szCs w:val="22"/>
        </w:rPr>
        <w:t xml:space="preserve"> increase</w:t>
      </w:r>
      <w:r w:rsidR="00A04E80">
        <w:rPr>
          <w:rFonts w:ascii="Garamond" w:hAnsi="Garamond"/>
          <w:sz w:val="22"/>
          <w:szCs w:val="22"/>
        </w:rPr>
        <w:t xml:space="preserve"> in</w:t>
      </w:r>
      <w:r w:rsidR="00A04E80" w:rsidRPr="00EE5F0F">
        <w:rPr>
          <w:rFonts w:ascii="Garamond" w:hAnsi="Garamond"/>
          <w:sz w:val="22"/>
          <w:szCs w:val="22"/>
        </w:rPr>
        <w:t xml:space="preserve"> external demand. </w:t>
      </w:r>
    </w:p>
    <w:tbl>
      <w:tblPr>
        <w:tblStyle w:val="TableGrid"/>
        <w:tblW w:w="0" w:type="auto"/>
        <w:tblLook w:val="04A0" w:firstRow="1" w:lastRow="0" w:firstColumn="1" w:lastColumn="0" w:noHBand="0" w:noVBand="1"/>
      </w:tblPr>
      <w:tblGrid>
        <w:gridCol w:w="6204"/>
      </w:tblGrid>
      <w:tr w:rsidR="00A04E80" w:rsidRPr="00AB24C1" w14:paraId="22EF3AAF" w14:textId="77777777" w:rsidTr="00F72D24">
        <w:tc>
          <w:tcPr>
            <w:tcW w:w="6204" w:type="dxa"/>
          </w:tcPr>
          <w:p w14:paraId="7ADA4753" w14:textId="77777777" w:rsidR="00A04E80" w:rsidRPr="00A04E80" w:rsidRDefault="00A04E80" w:rsidP="00A04E80">
            <w:pPr>
              <w:autoSpaceDE w:val="0"/>
              <w:autoSpaceDN w:val="0"/>
              <w:adjustRightInd w:val="0"/>
              <w:spacing w:after="120" w:line="360" w:lineRule="auto"/>
              <w:jc w:val="both"/>
              <w:rPr>
                <w:rFonts w:ascii="Garamond" w:hAnsi="Garamond"/>
                <w:color w:val="0070C0"/>
                <w:sz w:val="20"/>
                <w:szCs w:val="20"/>
              </w:rPr>
            </w:pPr>
            <w:r w:rsidRPr="00A04E80">
              <w:rPr>
                <w:rFonts w:ascii="Garamond" w:hAnsi="Garamond"/>
                <w:color w:val="0070C0"/>
                <w:sz w:val="20"/>
                <w:szCs w:val="20"/>
              </w:rPr>
              <w:t>High economic activity persisted over the first half of 2018</w:t>
            </w:r>
            <w:r>
              <w:rPr>
                <w:rFonts w:ascii="Garamond" w:hAnsi="Garamond"/>
                <w:color w:val="0070C0"/>
                <w:sz w:val="20"/>
                <w:szCs w:val="20"/>
              </w:rPr>
              <w:t xml:space="preserve"> owed </w:t>
            </w:r>
            <w:r w:rsidRPr="00A04E80">
              <w:rPr>
                <w:rFonts w:ascii="Garamond" w:hAnsi="Garamond"/>
                <w:color w:val="0070C0"/>
                <w:sz w:val="20"/>
                <w:szCs w:val="20"/>
              </w:rPr>
              <w:t>mostly</w:t>
            </w:r>
            <w:r>
              <w:rPr>
                <w:rFonts w:ascii="Garamond" w:hAnsi="Garamond"/>
                <w:color w:val="0070C0"/>
                <w:sz w:val="20"/>
                <w:szCs w:val="20"/>
              </w:rPr>
              <w:t xml:space="preserve"> to a </w:t>
            </w:r>
            <w:r w:rsidRPr="00A04E80">
              <w:rPr>
                <w:rFonts w:ascii="Garamond" w:hAnsi="Garamond"/>
                <w:color w:val="0070C0"/>
                <w:sz w:val="20"/>
                <w:szCs w:val="20"/>
              </w:rPr>
              <w:t>strong growth of investment in the private sector.</w:t>
            </w:r>
          </w:p>
        </w:tc>
      </w:tr>
    </w:tbl>
    <w:p w14:paraId="4EAB050B" w14:textId="77777777" w:rsidR="00A04E80" w:rsidRDefault="00A04E80" w:rsidP="00A04E80">
      <w:pPr>
        <w:autoSpaceDE w:val="0"/>
        <w:autoSpaceDN w:val="0"/>
        <w:adjustRightInd w:val="0"/>
        <w:spacing w:after="120" w:line="360" w:lineRule="auto"/>
        <w:jc w:val="both"/>
        <w:rPr>
          <w:rFonts w:ascii="Garamond" w:hAnsi="Garamond"/>
          <w:sz w:val="22"/>
          <w:szCs w:val="22"/>
        </w:rPr>
      </w:pPr>
    </w:p>
    <w:p w14:paraId="11ED5D0D" w14:textId="77777777" w:rsidR="009C3795"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light of the aforementioned developments, economic growth in 201</w:t>
      </w:r>
      <w:r w:rsidR="00511F0C" w:rsidRPr="00EE5F0F">
        <w:rPr>
          <w:rFonts w:ascii="Garamond" w:hAnsi="Garamond"/>
          <w:sz w:val="22"/>
          <w:szCs w:val="22"/>
        </w:rPr>
        <w:t>8</w:t>
      </w:r>
      <w:r w:rsidRPr="00EE5F0F">
        <w:rPr>
          <w:rFonts w:ascii="Garamond" w:hAnsi="Garamond"/>
          <w:sz w:val="22"/>
          <w:szCs w:val="22"/>
        </w:rPr>
        <w:t xml:space="preserve"> is expected in the range of </w:t>
      </w:r>
      <w:r w:rsidR="003D6063">
        <w:rPr>
          <w:rFonts w:ascii="Garamond" w:hAnsi="Garamond"/>
          <w:b/>
          <w:sz w:val="22"/>
          <w:szCs w:val="22"/>
        </w:rPr>
        <w:t>5</w:t>
      </w:r>
      <w:r w:rsidRPr="00EE5F0F">
        <w:rPr>
          <w:rFonts w:ascii="Garamond" w:hAnsi="Garamond"/>
          <w:b/>
          <w:sz w:val="22"/>
          <w:szCs w:val="22"/>
        </w:rPr>
        <w:t>.</w:t>
      </w:r>
      <w:r w:rsidR="003D6063">
        <w:rPr>
          <w:rFonts w:ascii="Garamond" w:hAnsi="Garamond"/>
          <w:b/>
          <w:sz w:val="22"/>
          <w:szCs w:val="22"/>
        </w:rPr>
        <w:t>6</w:t>
      </w:r>
      <w:r w:rsidRPr="00EE5F0F">
        <w:rPr>
          <w:rFonts w:ascii="Garamond" w:hAnsi="Garamond"/>
          <w:b/>
          <w:sz w:val="22"/>
          <w:szCs w:val="22"/>
        </w:rPr>
        <w:t>-</w:t>
      </w:r>
      <w:r w:rsidR="00511F0C" w:rsidRPr="00EE5F0F">
        <w:rPr>
          <w:rFonts w:ascii="Garamond" w:hAnsi="Garamond"/>
          <w:b/>
          <w:sz w:val="22"/>
          <w:szCs w:val="22"/>
        </w:rPr>
        <w:t>6</w:t>
      </w:r>
      <w:r w:rsidRPr="00EE5F0F">
        <w:rPr>
          <w:rFonts w:ascii="Garamond" w:hAnsi="Garamond"/>
          <w:b/>
          <w:sz w:val="22"/>
          <w:szCs w:val="22"/>
        </w:rPr>
        <w:t>.</w:t>
      </w:r>
      <w:r w:rsidR="003D6063">
        <w:rPr>
          <w:rFonts w:ascii="Garamond" w:hAnsi="Garamond"/>
          <w:b/>
          <w:sz w:val="22"/>
          <w:szCs w:val="22"/>
        </w:rPr>
        <w:t>9</w:t>
      </w:r>
      <w:r w:rsidRPr="00EE5F0F">
        <w:rPr>
          <w:rFonts w:ascii="Garamond" w:hAnsi="Garamond"/>
          <w:b/>
          <w:sz w:val="22"/>
          <w:szCs w:val="22"/>
        </w:rPr>
        <w:t>%</w:t>
      </w:r>
      <w:r w:rsidR="00511F0C" w:rsidRPr="00EE5F0F">
        <w:rPr>
          <w:rFonts w:ascii="Garamond" w:hAnsi="Garamond"/>
          <w:b/>
          <w:sz w:val="22"/>
          <w:szCs w:val="22"/>
        </w:rPr>
        <w:t>.</w:t>
      </w:r>
      <w:r w:rsidRPr="00EE5F0F">
        <w:rPr>
          <w:rFonts w:ascii="Garamond" w:hAnsi="Garamond"/>
          <w:sz w:val="22"/>
          <w:szCs w:val="22"/>
        </w:rPr>
        <w:t xml:space="preserve"> </w:t>
      </w:r>
      <w:r w:rsidR="009C3795" w:rsidRPr="00EE5F0F">
        <w:rPr>
          <w:rFonts w:ascii="Garamond" w:hAnsi="Garamond"/>
          <w:sz w:val="22"/>
          <w:szCs w:val="22"/>
        </w:rPr>
        <w:t xml:space="preserve">The </w:t>
      </w:r>
      <w:r w:rsidR="009C3795">
        <w:rPr>
          <w:rFonts w:ascii="Garamond" w:hAnsi="Garamond"/>
          <w:sz w:val="22"/>
          <w:szCs w:val="22"/>
        </w:rPr>
        <w:t>3.4</w:t>
      </w:r>
      <w:r w:rsidR="009C3795" w:rsidRPr="00EE5F0F">
        <w:rPr>
          <w:rFonts w:ascii="Garamond" w:hAnsi="Garamond"/>
          <w:sz w:val="22"/>
          <w:szCs w:val="22"/>
        </w:rPr>
        <w:t xml:space="preserve">% growth in private consumption and </w:t>
      </w:r>
      <w:r w:rsidR="009C3795">
        <w:rPr>
          <w:rFonts w:ascii="Garamond" w:hAnsi="Garamond"/>
          <w:sz w:val="22"/>
          <w:szCs w:val="22"/>
        </w:rPr>
        <w:t>as much as 37%</w:t>
      </w:r>
      <w:r w:rsidR="009C3795" w:rsidRPr="00EE5F0F">
        <w:rPr>
          <w:rFonts w:ascii="Garamond" w:hAnsi="Garamond"/>
          <w:sz w:val="22"/>
          <w:szCs w:val="22"/>
        </w:rPr>
        <w:t xml:space="preserve"> growth in investment will make a</w:t>
      </w:r>
      <w:r w:rsidR="009C3795">
        <w:rPr>
          <w:rFonts w:ascii="Garamond" w:hAnsi="Garamond"/>
          <w:sz w:val="22"/>
          <w:szCs w:val="22"/>
        </w:rPr>
        <w:t>n</w:t>
      </w:r>
      <w:r w:rsidR="009C3795" w:rsidRPr="00EE5F0F">
        <w:rPr>
          <w:rFonts w:ascii="Garamond" w:hAnsi="Garamond"/>
          <w:sz w:val="22"/>
          <w:szCs w:val="22"/>
        </w:rPr>
        <w:t xml:space="preserve"> </w:t>
      </w:r>
      <w:r w:rsidR="009C3795">
        <w:rPr>
          <w:rFonts w:ascii="Garamond" w:hAnsi="Garamond"/>
          <w:sz w:val="22"/>
          <w:szCs w:val="22"/>
        </w:rPr>
        <w:t>8</w:t>
      </w:r>
      <w:r w:rsidR="009C3795" w:rsidRPr="00EE5F0F">
        <w:rPr>
          <w:rFonts w:ascii="Garamond" w:hAnsi="Garamond"/>
          <w:sz w:val="22"/>
          <w:szCs w:val="22"/>
        </w:rPr>
        <w:t>.</w:t>
      </w:r>
      <w:r w:rsidR="009C3795">
        <w:rPr>
          <w:rFonts w:ascii="Garamond" w:hAnsi="Garamond"/>
          <w:sz w:val="22"/>
          <w:szCs w:val="22"/>
        </w:rPr>
        <w:t>2</w:t>
      </w:r>
      <w:r w:rsidR="009C3795" w:rsidRPr="00EE5F0F">
        <w:rPr>
          <w:rFonts w:ascii="Garamond" w:hAnsi="Garamond"/>
          <w:sz w:val="22"/>
          <w:szCs w:val="22"/>
        </w:rPr>
        <w:t xml:space="preserve"> pp contribution to the growth, whereas public spending will leave a </w:t>
      </w:r>
      <w:r w:rsidR="009C3795">
        <w:rPr>
          <w:rFonts w:ascii="Garamond" w:hAnsi="Garamond"/>
          <w:sz w:val="22"/>
          <w:szCs w:val="22"/>
        </w:rPr>
        <w:t>2</w:t>
      </w:r>
      <w:r w:rsidR="009C3795" w:rsidRPr="00EE5F0F">
        <w:rPr>
          <w:rFonts w:ascii="Garamond" w:hAnsi="Garamond"/>
          <w:sz w:val="22"/>
          <w:szCs w:val="22"/>
        </w:rPr>
        <w:t>.</w:t>
      </w:r>
      <w:r w:rsidR="009C3795">
        <w:rPr>
          <w:rFonts w:ascii="Garamond" w:hAnsi="Garamond"/>
          <w:sz w:val="22"/>
          <w:szCs w:val="22"/>
        </w:rPr>
        <w:t>6</w:t>
      </w:r>
      <w:r w:rsidR="009C3795" w:rsidRPr="00EE5F0F">
        <w:rPr>
          <w:rFonts w:ascii="Garamond" w:hAnsi="Garamond"/>
          <w:sz w:val="22"/>
          <w:szCs w:val="22"/>
        </w:rPr>
        <w:t xml:space="preserve"> pp negative impact on the growth. N</w:t>
      </w:r>
      <w:r w:rsidR="009C3795">
        <w:rPr>
          <w:rFonts w:ascii="Garamond" w:hAnsi="Garamond"/>
          <w:sz w:val="22"/>
          <w:szCs w:val="22"/>
        </w:rPr>
        <w:t>et export</w:t>
      </w:r>
      <w:r w:rsidR="009C3795" w:rsidRPr="00EE5F0F">
        <w:rPr>
          <w:rFonts w:ascii="Garamond" w:hAnsi="Garamond"/>
          <w:sz w:val="22"/>
          <w:szCs w:val="22"/>
        </w:rPr>
        <w:t xml:space="preserve"> will make a </w:t>
      </w:r>
      <w:r w:rsidR="009C3795">
        <w:rPr>
          <w:rFonts w:ascii="Garamond" w:hAnsi="Garamond"/>
          <w:sz w:val="22"/>
          <w:szCs w:val="22"/>
        </w:rPr>
        <w:t>0</w:t>
      </w:r>
      <w:r w:rsidR="009C3795" w:rsidRPr="00EE5F0F">
        <w:rPr>
          <w:rFonts w:ascii="Garamond" w:hAnsi="Garamond"/>
          <w:sz w:val="22"/>
          <w:szCs w:val="22"/>
        </w:rPr>
        <w:t>.6 pp positive contribution to the 2018 economic growth.</w:t>
      </w:r>
    </w:p>
    <w:tbl>
      <w:tblPr>
        <w:tblStyle w:val="TableGrid"/>
        <w:tblW w:w="0" w:type="auto"/>
        <w:tblLook w:val="04A0" w:firstRow="1" w:lastRow="0" w:firstColumn="1" w:lastColumn="0" w:noHBand="0" w:noVBand="1"/>
      </w:tblPr>
      <w:tblGrid>
        <w:gridCol w:w="6204"/>
      </w:tblGrid>
      <w:tr w:rsidR="009C3795" w:rsidRPr="00AB24C1" w14:paraId="52566F13" w14:textId="77777777" w:rsidTr="00F72D24">
        <w:tc>
          <w:tcPr>
            <w:tcW w:w="6204" w:type="dxa"/>
          </w:tcPr>
          <w:p w14:paraId="5A177E55" w14:textId="77777777" w:rsidR="009C3795" w:rsidRPr="009C3795" w:rsidRDefault="009C3795" w:rsidP="00F72D24">
            <w:pPr>
              <w:autoSpaceDE w:val="0"/>
              <w:autoSpaceDN w:val="0"/>
              <w:adjustRightInd w:val="0"/>
              <w:spacing w:after="120" w:line="360" w:lineRule="auto"/>
              <w:jc w:val="both"/>
              <w:rPr>
                <w:rFonts w:ascii="Garamond" w:hAnsi="Garamond"/>
                <w:color w:val="0070C0"/>
                <w:sz w:val="20"/>
                <w:szCs w:val="20"/>
              </w:rPr>
            </w:pPr>
            <w:r w:rsidRPr="009C3795">
              <w:rPr>
                <w:rFonts w:ascii="Garamond" w:hAnsi="Garamond"/>
                <w:color w:val="0070C0"/>
                <w:sz w:val="20"/>
                <w:szCs w:val="20"/>
              </w:rPr>
              <w:t>Economic growth in 2018 is expected in the range of 5.6-6.9%.</w:t>
            </w:r>
          </w:p>
        </w:tc>
      </w:tr>
    </w:tbl>
    <w:p w14:paraId="58F010D4" w14:textId="77777777" w:rsidR="009C3795" w:rsidRDefault="009C3795" w:rsidP="00EE619D">
      <w:pPr>
        <w:autoSpaceDE w:val="0"/>
        <w:autoSpaceDN w:val="0"/>
        <w:adjustRightInd w:val="0"/>
        <w:spacing w:after="120" w:line="360" w:lineRule="auto"/>
        <w:jc w:val="both"/>
        <w:rPr>
          <w:rFonts w:ascii="Garamond" w:hAnsi="Garamond"/>
          <w:sz w:val="22"/>
          <w:szCs w:val="22"/>
        </w:rPr>
      </w:pPr>
    </w:p>
    <w:p w14:paraId="0CC2888F" w14:textId="50E9C754" w:rsidR="00C86872" w:rsidRPr="00EE5F0F" w:rsidRDefault="00C8687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medium run, economic growth developments are largely determined by the economy’s fundamentals, as well as investment activity in the period 2017-2018. </w:t>
      </w:r>
      <w:r w:rsidR="008802DC">
        <w:rPr>
          <w:rFonts w:ascii="Garamond" w:hAnsi="Garamond"/>
          <w:sz w:val="22"/>
          <w:szCs w:val="22"/>
        </w:rPr>
        <w:t>In anticipation of h</w:t>
      </w:r>
      <w:r w:rsidR="008802DC" w:rsidRPr="008802DC">
        <w:rPr>
          <w:rFonts w:ascii="Garamond" w:hAnsi="Garamond"/>
          <w:sz w:val="22"/>
          <w:szCs w:val="22"/>
        </w:rPr>
        <w:t>igh investment activity</w:t>
      </w:r>
      <w:r w:rsidR="008802DC">
        <w:rPr>
          <w:rFonts w:ascii="Garamond" w:hAnsi="Garamond"/>
          <w:sz w:val="22"/>
          <w:szCs w:val="22"/>
        </w:rPr>
        <w:t>,</w:t>
      </w:r>
      <w:r w:rsidR="008802DC" w:rsidRPr="008802DC">
        <w:rPr>
          <w:rFonts w:ascii="Garamond" w:hAnsi="Garamond"/>
          <w:sz w:val="22"/>
          <w:szCs w:val="22"/>
        </w:rPr>
        <w:t xml:space="preserve"> </w:t>
      </w:r>
      <w:r w:rsidR="008802DC">
        <w:rPr>
          <w:rFonts w:ascii="Garamond" w:hAnsi="Garamond"/>
          <w:sz w:val="22"/>
          <w:szCs w:val="22"/>
        </w:rPr>
        <w:t xml:space="preserve">mid-term </w:t>
      </w:r>
      <w:r w:rsidR="008802DC" w:rsidRPr="008802DC">
        <w:rPr>
          <w:rFonts w:ascii="Garamond" w:hAnsi="Garamond"/>
          <w:sz w:val="22"/>
          <w:szCs w:val="22"/>
        </w:rPr>
        <w:t>economic growth forecasts have been revised</w:t>
      </w:r>
      <w:r w:rsidR="008802DC">
        <w:rPr>
          <w:rFonts w:ascii="Garamond" w:hAnsi="Garamond"/>
          <w:sz w:val="22"/>
          <w:szCs w:val="22"/>
        </w:rPr>
        <w:t xml:space="preserve"> slightly up</w:t>
      </w:r>
      <w:r w:rsidR="008802DC" w:rsidRPr="008802DC">
        <w:rPr>
          <w:rFonts w:ascii="Garamond" w:hAnsi="Garamond"/>
          <w:sz w:val="22"/>
          <w:szCs w:val="22"/>
        </w:rPr>
        <w:t>.</w:t>
      </w:r>
      <w:r w:rsidR="008802DC">
        <w:rPr>
          <w:rFonts w:ascii="Garamond" w:hAnsi="Garamond"/>
          <w:sz w:val="22"/>
          <w:szCs w:val="22"/>
        </w:rPr>
        <w:t xml:space="preserve"> </w:t>
      </w:r>
      <w:r w:rsidRPr="00EE5F0F">
        <w:rPr>
          <w:rFonts w:ascii="Garamond" w:hAnsi="Garamond"/>
          <w:sz w:val="22"/>
          <w:szCs w:val="22"/>
        </w:rPr>
        <w:t xml:space="preserve">Thus, the 2019 economic growth is estimated in the range of </w:t>
      </w:r>
      <w:r w:rsidRPr="00EE5F0F">
        <w:rPr>
          <w:rFonts w:ascii="Garamond" w:hAnsi="Garamond"/>
          <w:b/>
          <w:sz w:val="22"/>
          <w:szCs w:val="22"/>
        </w:rPr>
        <w:t>4.</w:t>
      </w:r>
      <w:r w:rsidR="008802DC">
        <w:rPr>
          <w:rFonts w:ascii="Garamond" w:hAnsi="Garamond"/>
          <w:b/>
          <w:sz w:val="22"/>
          <w:szCs w:val="22"/>
        </w:rPr>
        <w:t>6</w:t>
      </w:r>
      <w:r w:rsidRPr="00EE5F0F">
        <w:rPr>
          <w:rFonts w:ascii="Garamond" w:hAnsi="Garamond"/>
          <w:b/>
          <w:sz w:val="22"/>
          <w:szCs w:val="22"/>
        </w:rPr>
        <w:t>-6.</w:t>
      </w:r>
      <w:r w:rsidR="008802DC">
        <w:rPr>
          <w:rFonts w:ascii="Garamond" w:hAnsi="Garamond"/>
          <w:b/>
          <w:sz w:val="22"/>
          <w:szCs w:val="22"/>
        </w:rPr>
        <w:t>4</w:t>
      </w:r>
      <w:r w:rsidRPr="00EE5F0F">
        <w:rPr>
          <w:rFonts w:ascii="Garamond" w:hAnsi="Garamond"/>
          <w:b/>
          <w:sz w:val="22"/>
          <w:szCs w:val="22"/>
        </w:rPr>
        <w:t>%</w:t>
      </w:r>
      <w:r w:rsidR="008802DC">
        <w:rPr>
          <w:rFonts w:ascii="Garamond" w:hAnsi="Garamond"/>
          <w:b/>
          <w:sz w:val="22"/>
          <w:szCs w:val="22"/>
        </w:rPr>
        <w:t>,</w:t>
      </w:r>
      <w:r w:rsidRPr="00EE5F0F">
        <w:rPr>
          <w:rFonts w:ascii="Garamond" w:hAnsi="Garamond"/>
          <w:sz w:val="22"/>
          <w:szCs w:val="22"/>
        </w:rPr>
        <w:t xml:space="preserve"> that of 2020</w:t>
      </w:r>
      <w:r w:rsidR="008802DC">
        <w:rPr>
          <w:rFonts w:ascii="Garamond" w:hAnsi="Garamond"/>
          <w:sz w:val="22"/>
          <w:szCs w:val="22"/>
        </w:rPr>
        <w:t>,</w:t>
      </w:r>
      <w:r w:rsidRPr="00EE5F0F">
        <w:rPr>
          <w:rFonts w:ascii="Garamond" w:hAnsi="Garamond"/>
          <w:sz w:val="22"/>
          <w:szCs w:val="22"/>
        </w:rPr>
        <w:t xml:space="preserve"> in the range of </w:t>
      </w:r>
      <w:r w:rsidR="008802DC">
        <w:rPr>
          <w:rFonts w:ascii="Garamond" w:hAnsi="Garamond"/>
          <w:b/>
          <w:sz w:val="22"/>
          <w:szCs w:val="22"/>
        </w:rPr>
        <w:t>4</w:t>
      </w:r>
      <w:r w:rsidRPr="00EE5F0F">
        <w:rPr>
          <w:rFonts w:ascii="Garamond" w:hAnsi="Garamond"/>
          <w:b/>
          <w:sz w:val="22"/>
          <w:szCs w:val="22"/>
        </w:rPr>
        <w:t>.</w:t>
      </w:r>
      <w:r w:rsidR="008802DC">
        <w:rPr>
          <w:rFonts w:ascii="Garamond" w:hAnsi="Garamond"/>
          <w:b/>
          <w:sz w:val="22"/>
          <w:szCs w:val="22"/>
        </w:rPr>
        <w:t>1</w:t>
      </w:r>
      <w:r w:rsidRPr="00EE5F0F">
        <w:rPr>
          <w:rFonts w:ascii="Garamond" w:hAnsi="Garamond"/>
          <w:b/>
          <w:sz w:val="22"/>
          <w:szCs w:val="22"/>
        </w:rPr>
        <w:t>-6.</w:t>
      </w:r>
      <w:r w:rsidR="008802DC">
        <w:rPr>
          <w:rFonts w:ascii="Garamond" w:hAnsi="Garamond"/>
          <w:b/>
          <w:sz w:val="22"/>
          <w:szCs w:val="22"/>
        </w:rPr>
        <w:t>2</w:t>
      </w:r>
      <w:r w:rsidRPr="00EE5F0F">
        <w:rPr>
          <w:rFonts w:ascii="Garamond" w:hAnsi="Garamond"/>
          <w:b/>
          <w:sz w:val="22"/>
          <w:szCs w:val="22"/>
        </w:rPr>
        <w:t>%</w:t>
      </w:r>
      <w:r w:rsidR="008802DC">
        <w:rPr>
          <w:rFonts w:ascii="Garamond" w:hAnsi="Garamond"/>
          <w:b/>
          <w:sz w:val="22"/>
          <w:szCs w:val="22"/>
        </w:rPr>
        <w:t>,</w:t>
      </w:r>
      <w:r w:rsidR="008802DC" w:rsidRPr="008802DC">
        <w:rPr>
          <w:rFonts w:ascii="Garamond" w:hAnsi="Garamond"/>
          <w:sz w:val="22"/>
          <w:szCs w:val="22"/>
        </w:rPr>
        <w:t xml:space="preserve"> and at the end of the forecast horizon</w:t>
      </w:r>
      <w:r w:rsidR="008802DC">
        <w:rPr>
          <w:rFonts w:ascii="Garamond" w:hAnsi="Garamond"/>
          <w:sz w:val="22"/>
          <w:szCs w:val="22"/>
        </w:rPr>
        <w:t xml:space="preserve"> it</w:t>
      </w:r>
      <w:r w:rsidR="008802DC" w:rsidRPr="008802DC">
        <w:rPr>
          <w:rFonts w:ascii="Garamond" w:hAnsi="Garamond"/>
          <w:sz w:val="22"/>
          <w:szCs w:val="22"/>
        </w:rPr>
        <w:t xml:space="preserve"> will approach its long-</w:t>
      </w:r>
      <w:r w:rsidR="00F92F39">
        <w:rPr>
          <w:rFonts w:ascii="Garamond" w:hAnsi="Garamond"/>
          <w:sz w:val="22"/>
          <w:szCs w:val="22"/>
        </w:rPr>
        <w:t>run</w:t>
      </w:r>
      <w:r w:rsidR="00F92F39" w:rsidRPr="008802DC">
        <w:rPr>
          <w:rFonts w:ascii="Garamond" w:hAnsi="Garamond"/>
          <w:sz w:val="22"/>
          <w:szCs w:val="22"/>
        </w:rPr>
        <w:t xml:space="preserve"> </w:t>
      </w:r>
      <w:r w:rsidR="008802DC">
        <w:rPr>
          <w:rFonts w:ascii="Garamond" w:hAnsi="Garamond"/>
          <w:sz w:val="22"/>
          <w:szCs w:val="22"/>
        </w:rPr>
        <w:t>equilibrium</w:t>
      </w:r>
      <w:r w:rsidR="008802DC" w:rsidRPr="008802DC">
        <w:rPr>
          <w:rFonts w:ascii="Garamond" w:hAnsi="Garamond"/>
          <w:sz w:val="22"/>
          <w:szCs w:val="22"/>
        </w:rPr>
        <w:t>.</w:t>
      </w:r>
      <w:r w:rsidRPr="008802DC">
        <w:rPr>
          <w:rFonts w:ascii="Garamond" w:hAnsi="Garamond"/>
          <w:sz w:val="22"/>
          <w:szCs w:val="22"/>
        </w:rPr>
        <w:t xml:space="preserve"> These mid-term</w:t>
      </w:r>
      <w:r w:rsidRPr="00EE5F0F">
        <w:rPr>
          <w:rFonts w:ascii="Garamond" w:hAnsi="Garamond"/>
          <w:sz w:val="22"/>
          <w:szCs w:val="22"/>
        </w:rPr>
        <w:t xml:space="preserve"> growths </w:t>
      </w:r>
      <w:r w:rsidR="003E020C">
        <w:rPr>
          <w:rFonts w:ascii="Garamond" w:hAnsi="Garamond"/>
          <w:sz w:val="22"/>
          <w:szCs w:val="22"/>
        </w:rPr>
        <w:t>are</w:t>
      </w:r>
      <w:r w:rsidRPr="00EE5F0F">
        <w:rPr>
          <w:rFonts w:ascii="Garamond" w:hAnsi="Garamond"/>
          <w:sz w:val="22"/>
          <w:szCs w:val="22"/>
        </w:rPr>
        <w:t xml:space="preserve"> </w:t>
      </w:r>
      <w:r w:rsidR="003E020C">
        <w:rPr>
          <w:rFonts w:ascii="Garamond" w:hAnsi="Garamond"/>
          <w:sz w:val="22"/>
          <w:szCs w:val="22"/>
        </w:rPr>
        <w:t>largely d</w:t>
      </w:r>
      <w:r w:rsidRPr="00EE5F0F">
        <w:rPr>
          <w:rFonts w:ascii="Garamond" w:hAnsi="Garamond"/>
          <w:sz w:val="22"/>
          <w:szCs w:val="22"/>
        </w:rPr>
        <w:t xml:space="preserve">etermined by </w:t>
      </w:r>
      <w:r w:rsidR="003E020C">
        <w:rPr>
          <w:rFonts w:ascii="Garamond" w:hAnsi="Garamond"/>
          <w:sz w:val="22"/>
          <w:szCs w:val="22"/>
        </w:rPr>
        <w:t xml:space="preserve">expanded production capacities, </w:t>
      </w:r>
      <w:r w:rsidRPr="00EE5F0F">
        <w:rPr>
          <w:rFonts w:ascii="Garamond" w:hAnsi="Garamond"/>
          <w:sz w:val="22"/>
          <w:szCs w:val="22"/>
        </w:rPr>
        <w:t xml:space="preserve">the pace of Government-led structural reforms, and anticipated potential of economic growth in partner countries. </w:t>
      </w:r>
    </w:p>
    <w:p w14:paraId="1DFD8CE0" w14:textId="3390BE0E" w:rsidR="00A5588A"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1C2D10" w:rsidRPr="00EE5F0F">
        <w:rPr>
          <w:rFonts w:ascii="Garamond" w:hAnsi="Garamond"/>
          <w:sz w:val="22"/>
          <w:szCs w:val="22"/>
        </w:rPr>
        <w:t>Sustainable global economic growth</w:t>
      </w:r>
      <w:r w:rsidR="004C5244">
        <w:rPr>
          <w:rFonts w:ascii="Garamond" w:hAnsi="Garamond"/>
          <w:sz w:val="22"/>
          <w:szCs w:val="22"/>
        </w:rPr>
        <w:t xml:space="preserve"> notwithstanding</w:t>
      </w:r>
      <w:r w:rsidR="001C2D10" w:rsidRPr="00EE5F0F">
        <w:rPr>
          <w:rFonts w:ascii="Garamond" w:hAnsi="Garamond"/>
          <w:sz w:val="22"/>
          <w:szCs w:val="22"/>
        </w:rPr>
        <w:t xml:space="preserve">, </w:t>
      </w:r>
      <w:r w:rsidR="004C5244" w:rsidRPr="004C5244">
        <w:rPr>
          <w:rFonts w:ascii="Garamond" w:hAnsi="Garamond"/>
          <w:sz w:val="22"/>
          <w:szCs w:val="22"/>
        </w:rPr>
        <w:t>the mining and processing industries</w:t>
      </w:r>
      <w:r w:rsidR="004C5244">
        <w:rPr>
          <w:rFonts w:ascii="Garamond" w:hAnsi="Garamond"/>
          <w:sz w:val="22"/>
          <w:szCs w:val="22"/>
        </w:rPr>
        <w:t>’</w:t>
      </w:r>
      <w:r w:rsidR="004C5244" w:rsidRPr="004C5244">
        <w:rPr>
          <w:rFonts w:ascii="Garamond" w:hAnsi="Garamond"/>
          <w:sz w:val="22"/>
          <w:szCs w:val="22"/>
        </w:rPr>
        <w:t xml:space="preserve"> growth rates slowed down</w:t>
      </w:r>
      <w:r w:rsidR="004C5244">
        <w:rPr>
          <w:rFonts w:ascii="Garamond" w:hAnsi="Garamond"/>
          <w:sz w:val="22"/>
          <w:szCs w:val="22"/>
        </w:rPr>
        <w:t xml:space="preserve"> i</w:t>
      </w:r>
      <w:r w:rsidR="004C5244" w:rsidRPr="004C5244">
        <w:rPr>
          <w:rFonts w:ascii="Garamond" w:hAnsi="Garamond"/>
          <w:sz w:val="22"/>
          <w:szCs w:val="22"/>
        </w:rPr>
        <w:t>n the second quarter</w:t>
      </w:r>
      <w:r w:rsidR="004C5244">
        <w:rPr>
          <w:rFonts w:ascii="Garamond" w:hAnsi="Garamond"/>
          <w:sz w:val="22"/>
          <w:szCs w:val="22"/>
        </w:rPr>
        <w:t xml:space="preserve"> of 2018, which was caused by </w:t>
      </w:r>
      <w:r w:rsidR="004C5244" w:rsidRPr="004C5244">
        <w:rPr>
          <w:rFonts w:ascii="Garamond" w:hAnsi="Garamond"/>
          <w:sz w:val="22"/>
          <w:szCs w:val="22"/>
        </w:rPr>
        <w:t xml:space="preserve">the events in the domestic economy, </w:t>
      </w:r>
      <w:r w:rsidR="004C5244">
        <w:rPr>
          <w:rFonts w:ascii="Garamond" w:hAnsi="Garamond"/>
          <w:sz w:val="22"/>
          <w:szCs w:val="22"/>
        </w:rPr>
        <w:t xml:space="preserve">as, </w:t>
      </w:r>
      <w:r w:rsidR="004C5244" w:rsidRPr="004C5244">
        <w:rPr>
          <w:rFonts w:ascii="Garamond" w:hAnsi="Garamond"/>
          <w:sz w:val="22"/>
          <w:szCs w:val="22"/>
        </w:rPr>
        <w:t>in particular</w:t>
      </w:r>
      <w:r w:rsidR="004C5244">
        <w:rPr>
          <w:rFonts w:ascii="Garamond" w:hAnsi="Garamond"/>
          <w:sz w:val="22"/>
          <w:szCs w:val="22"/>
        </w:rPr>
        <w:t>,</w:t>
      </w:r>
      <w:r w:rsidR="004C5244" w:rsidRPr="004C5244">
        <w:rPr>
          <w:rFonts w:ascii="Garamond" w:hAnsi="Garamond"/>
          <w:sz w:val="22"/>
          <w:szCs w:val="22"/>
        </w:rPr>
        <w:t xml:space="preserve"> the </w:t>
      </w:r>
      <w:r w:rsidR="004C5244">
        <w:rPr>
          <w:rFonts w:ascii="Garamond" w:hAnsi="Garamond"/>
          <w:sz w:val="22"/>
          <w:szCs w:val="22"/>
        </w:rPr>
        <w:t xml:space="preserve">operation of </w:t>
      </w:r>
      <w:r w:rsidR="004C5244" w:rsidRPr="004C5244">
        <w:rPr>
          <w:rFonts w:ascii="Garamond" w:hAnsi="Garamond"/>
          <w:sz w:val="22"/>
          <w:szCs w:val="22"/>
        </w:rPr>
        <w:t xml:space="preserve">Teghut mine </w:t>
      </w:r>
      <w:r w:rsidR="004C5244">
        <w:rPr>
          <w:rFonts w:ascii="Garamond" w:hAnsi="Garamond"/>
          <w:sz w:val="22"/>
          <w:szCs w:val="22"/>
        </w:rPr>
        <w:t xml:space="preserve">was suspended for an indefinite period, </w:t>
      </w:r>
      <w:r w:rsidR="004C5244" w:rsidRPr="004C5244">
        <w:rPr>
          <w:rFonts w:ascii="Garamond" w:hAnsi="Garamond"/>
          <w:sz w:val="22"/>
          <w:szCs w:val="22"/>
        </w:rPr>
        <w:t xml:space="preserve">and </w:t>
      </w:r>
      <w:r w:rsidR="004C5244">
        <w:rPr>
          <w:rFonts w:ascii="Garamond" w:hAnsi="Garamond"/>
          <w:sz w:val="22"/>
          <w:szCs w:val="22"/>
        </w:rPr>
        <w:t xml:space="preserve">by </w:t>
      </w:r>
      <w:r w:rsidR="004C5244" w:rsidRPr="004C5244">
        <w:rPr>
          <w:rFonts w:ascii="Garamond" w:hAnsi="Garamond"/>
          <w:sz w:val="22"/>
          <w:szCs w:val="22"/>
        </w:rPr>
        <w:t xml:space="preserve">the temporary effects of political </w:t>
      </w:r>
      <w:r w:rsidR="00943A96">
        <w:rPr>
          <w:rFonts w:ascii="Garamond" w:hAnsi="Garamond"/>
          <w:sz w:val="22"/>
          <w:szCs w:val="22"/>
        </w:rPr>
        <w:t xml:space="preserve"> events</w:t>
      </w:r>
      <w:r w:rsidR="004C5244" w:rsidRPr="004C5244">
        <w:rPr>
          <w:rFonts w:ascii="Garamond" w:hAnsi="Garamond"/>
          <w:sz w:val="22"/>
          <w:szCs w:val="22"/>
        </w:rPr>
        <w:t xml:space="preserve"> in April-May.</w:t>
      </w:r>
      <w:r w:rsidR="004C5244">
        <w:rPr>
          <w:rFonts w:ascii="Garamond" w:hAnsi="Garamond"/>
          <w:sz w:val="22"/>
          <w:szCs w:val="22"/>
        </w:rPr>
        <w:t xml:space="preserve"> </w:t>
      </w:r>
      <w:r w:rsidR="004C5244" w:rsidRPr="004C5244">
        <w:rPr>
          <w:rFonts w:ascii="Garamond" w:hAnsi="Garamond"/>
          <w:sz w:val="22"/>
          <w:szCs w:val="22"/>
        </w:rPr>
        <w:t>The</w:t>
      </w:r>
      <w:r w:rsidR="00A5588A">
        <w:rPr>
          <w:rFonts w:ascii="Garamond" w:hAnsi="Garamond"/>
          <w:sz w:val="22"/>
          <w:szCs w:val="22"/>
        </w:rPr>
        <w:t xml:space="preserve"> growth rates of traveling to </w:t>
      </w:r>
      <w:r w:rsidR="004C5244" w:rsidRPr="004C5244">
        <w:rPr>
          <w:rFonts w:ascii="Garamond" w:hAnsi="Garamond"/>
          <w:sz w:val="22"/>
          <w:szCs w:val="22"/>
        </w:rPr>
        <w:t>Armenia</w:t>
      </w:r>
      <w:r w:rsidR="00A5588A">
        <w:rPr>
          <w:rFonts w:ascii="Garamond" w:hAnsi="Garamond"/>
          <w:sz w:val="22"/>
          <w:szCs w:val="22"/>
        </w:rPr>
        <w:t xml:space="preserve"> have slowed down as well</w:t>
      </w:r>
      <w:r w:rsidR="004C5244" w:rsidRPr="004C5244">
        <w:rPr>
          <w:rFonts w:ascii="Garamond" w:hAnsi="Garamond"/>
          <w:sz w:val="22"/>
          <w:szCs w:val="22"/>
        </w:rPr>
        <w:t xml:space="preserve">. At the same time, </w:t>
      </w:r>
      <w:r w:rsidR="00A5588A">
        <w:rPr>
          <w:rFonts w:ascii="Garamond" w:hAnsi="Garamond"/>
          <w:sz w:val="22"/>
          <w:szCs w:val="22"/>
        </w:rPr>
        <w:t xml:space="preserve">the growth of </w:t>
      </w:r>
      <w:r w:rsidR="004C5244" w:rsidRPr="004C5244">
        <w:rPr>
          <w:rFonts w:ascii="Garamond" w:hAnsi="Garamond"/>
          <w:sz w:val="22"/>
          <w:szCs w:val="22"/>
        </w:rPr>
        <w:t xml:space="preserve">import of </w:t>
      </w:r>
      <w:r w:rsidR="00A5588A">
        <w:rPr>
          <w:rFonts w:ascii="Garamond" w:hAnsi="Garamond"/>
          <w:sz w:val="22"/>
          <w:szCs w:val="22"/>
        </w:rPr>
        <w:t>intermediate goods remained robust.</w:t>
      </w:r>
      <w:r w:rsidR="009D06A5" w:rsidRPr="00EE5F0F">
        <w:rPr>
          <w:rFonts w:ascii="Garamond" w:hAnsi="Garamond"/>
          <w:sz w:val="22"/>
          <w:szCs w:val="22"/>
        </w:rPr>
        <w:t xml:space="preserve"> </w:t>
      </w:r>
      <w:r w:rsidR="00F72D24">
        <w:rPr>
          <w:rFonts w:ascii="Garamond" w:hAnsi="Garamond"/>
          <w:sz w:val="22"/>
          <w:szCs w:val="22"/>
        </w:rPr>
        <w:t>Overall</w:t>
      </w:r>
      <w:r w:rsidR="00A5588A">
        <w:rPr>
          <w:rFonts w:ascii="Garamond" w:hAnsi="Garamond"/>
          <w:sz w:val="22"/>
          <w:szCs w:val="22"/>
        </w:rPr>
        <w:t xml:space="preserve">, </w:t>
      </w:r>
      <w:r w:rsidR="000D42F3" w:rsidRPr="00EE5F0F">
        <w:rPr>
          <w:rFonts w:ascii="Garamond" w:hAnsi="Garamond"/>
          <w:sz w:val="22"/>
          <w:szCs w:val="22"/>
        </w:rPr>
        <w:t xml:space="preserve">contribution of </w:t>
      </w:r>
      <w:r w:rsidR="009D06A5" w:rsidRPr="00EE5F0F">
        <w:rPr>
          <w:rFonts w:ascii="Garamond" w:hAnsi="Garamond"/>
          <w:sz w:val="22"/>
          <w:szCs w:val="22"/>
        </w:rPr>
        <w:t xml:space="preserve">net export </w:t>
      </w:r>
      <w:r w:rsidR="000D42F3" w:rsidRPr="00EE5F0F">
        <w:rPr>
          <w:rFonts w:ascii="Garamond" w:hAnsi="Garamond"/>
          <w:sz w:val="22"/>
          <w:szCs w:val="22"/>
        </w:rPr>
        <w:t xml:space="preserve">to </w:t>
      </w:r>
      <w:r w:rsidR="009D06A5" w:rsidRPr="00EE5F0F">
        <w:rPr>
          <w:rFonts w:ascii="Garamond" w:hAnsi="Garamond"/>
          <w:sz w:val="22"/>
          <w:szCs w:val="22"/>
        </w:rPr>
        <w:t xml:space="preserve">economic growth is </w:t>
      </w:r>
      <w:r w:rsidR="000D42F3" w:rsidRPr="00EE5F0F">
        <w:rPr>
          <w:rFonts w:ascii="Garamond" w:hAnsi="Garamond"/>
          <w:sz w:val="22"/>
          <w:szCs w:val="22"/>
        </w:rPr>
        <w:t xml:space="preserve">estimated </w:t>
      </w:r>
      <w:r w:rsidR="009D06A5" w:rsidRPr="00EE5F0F">
        <w:rPr>
          <w:rFonts w:ascii="Garamond" w:hAnsi="Garamond"/>
          <w:sz w:val="22"/>
          <w:szCs w:val="22"/>
        </w:rPr>
        <w:t>negative</w:t>
      </w:r>
      <w:r w:rsidR="00A5588A">
        <w:rPr>
          <w:rFonts w:ascii="Garamond" w:hAnsi="Garamond"/>
          <w:sz w:val="22"/>
          <w:szCs w:val="22"/>
        </w:rPr>
        <w:t>.</w:t>
      </w:r>
      <w:r w:rsidR="009D06A5" w:rsidRPr="00EE5F0F">
        <w:rPr>
          <w:rFonts w:ascii="Garamond" w:hAnsi="Garamond"/>
          <w:sz w:val="22"/>
          <w:szCs w:val="22"/>
        </w:rPr>
        <w:t xml:space="preserve"> </w:t>
      </w:r>
    </w:p>
    <w:p w14:paraId="23122653" w14:textId="77777777" w:rsidR="000D42F3" w:rsidRDefault="00D93023"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The </w:t>
      </w:r>
      <w:r w:rsidR="00F72D24">
        <w:rPr>
          <w:rFonts w:ascii="Garamond" w:hAnsi="Garamond"/>
          <w:sz w:val="22"/>
          <w:szCs w:val="22"/>
        </w:rPr>
        <w:t xml:space="preserve">forecasts for </w:t>
      </w:r>
      <w:r w:rsidRPr="00EE5F0F">
        <w:rPr>
          <w:rFonts w:ascii="Garamond" w:hAnsi="Garamond"/>
          <w:sz w:val="22"/>
          <w:szCs w:val="22"/>
        </w:rPr>
        <w:t xml:space="preserve">real growth of export </w:t>
      </w:r>
      <w:r w:rsidR="00F72D24">
        <w:rPr>
          <w:rFonts w:ascii="Garamond" w:hAnsi="Garamond"/>
          <w:sz w:val="22"/>
          <w:szCs w:val="22"/>
        </w:rPr>
        <w:t>have</w:t>
      </w:r>
      <w:r w:rsidRPr="00EE5F0F">
        <w:rPr>
          <w:rFonts w:ascii="Garamond" w:hAnsi="Garamond"/>
          <w:sz w:val="22"/>
          <w:szCs w:val="22"/>
        </w:rPr>
        <w:t xml:space="preserve"> been revised </w:t>
      </w:r>
      <w:r w:rsidR="00F72D24">
        <w:rPr>
          <w:rFonts w:ascii="Garamond" w:hAnsi="Garamond"/>
          <w:sz w:val="22"/>
          <w:szCs w:val="22"/>
        </w:rPr>
        <w:t>downside</w:t>
      </w:r>
      <w:r w:rsidRPr="00EE5F0F">
        <w:rPr>
          <w:rFonts w:ascii="Garamond" w:hAnsi="Garamond"/>
          <w:sz w:val="22"/>
          <w:szCs w:val="22"/>
        </w:rPr>
        <w:t xml:space="preserve"> for the </w:t>
      </w:r>
      <w:r w:rsidR="00F72D24">
        <w:rPr>
          <w:rFonts w:ascii="Garamond" w:hAnsi="Garamond"/>
          <w:sz w:val="22"/>
          <w:szCs w:val="22"/>
        </w:rPr>
        <w:t xml:space="preserve">second half </w:t>
      </w:r>
      <w:r w:rsidRPr="00EE5F0F">
        <w:rPr>
          <w:rFonts w:ascii="Garamond" w:hAnsi="Garamond"/>
          <w:sz w:val="22"/>
          <w:szCs w:val="22"/>
        </w:rPr>
        <w:t xml:space="preserve">of 2018 in view of predictions for </w:t>
      </w:r>
      <w:r w:rsidR="00F72D24" w:rsidRPr="00F72D24">
        <w:rPr>
          <w:rFonts w:ascii="Garamond" w:hAnsi="Garamond"/>
          <w:sz w:val="22"/>
          <w:szCs w:val="22"/>
        </w:rPr>
        <w:t>slow</w:t>
      </w:r>
      <w:r w:rsidR="005B1A98">
        <w:rPr>
          <w:rFonts w:ascii="Garamond" w:hAnsi="Garamond"/>
          <w:sz w:val="22"/>
          <w:szCs w:val="22"/>
        </w:rPr>
        <w:t>er</w:t>
      </w:r>
      <w:r w:rsidR="00F72D24" w:rsidRPr="00F72D24">
        <w:rPr>
          <w:rFonts w:ascii="Garamond" w:hAnsi="Garamond"/>
          <w:sz w:val="22"/>
          <w:szCs w:val="22"/>
        </w:rPr>
        <w:t xml:space="preserve"> growth in the mining industry</w:t>
      </w:r>
      <w:r w:rsidR="005B1A98">
        <w:rPr>
          <w:rFonts w:ascii="Garamond" w:hAnsi="Garamond"/>
          <w:sz w:val="22"/>
          <w:szCs w:val="22"/>
        </w:rPr>
        <w:t>.</w:t>
      </w:r>
      <w:r w:rsidRPr="00EE5F0F">
        <w:rPr>
          <w:rFonts w:ascii="Garamond" w:hAnsi="Garamond"/>
          <w:sz w:val="22"/>
          <w:szCs w:val="22"/>
        </w:rPr>
        <w:t xml:space="preserve"> As a result, t</w:t>
      </w:r>
      <w:r w:rsidR="006909DE" w:rsidRPr="00EE5F0F">
        <w:rPr>
          <w:rFonts w:ascii="Garamond" w:hAnsi="Garamond"/>
          <w:sz w:val="22"/>
          <w:szCs w:val="22"/>
        </w:rPr>
        <w:t xml:space="preserve">he real growth </w:t>
      </w:r>
      <w:r w:rsidRPr="00EE5F0F">
        <w:rPr>
          <w:rFonts w:ascii="Garamond" w:hAnsi="Garamond"/>
          <w:sz w:val="22"/>
          <w:szCs w:val="22"/>
        </w:rPr>
        <w:t>of ex</w:t>
      </w:r>
      <w:r w:rsidR="006909DE" w:rsidRPr="00EE5F0F">
        <w:rPr>
          <w:rFonts w:ascii="Garamond" w:hAnsi="Garamond"/>
          <w:sz w:val="22"/>
          <w:szCs w:val="22"/>
        </w:rPr>
        <w:t xml:space="preserve">port of goods and services </w:t>
      </w:r>
      <w:r w:rsidRPr="00EE5F0F">
        <w:rPr>
          <w:rFonts w:ascii="Garamond" w:hAnsi="Garamond"/>
          <w:sz w:val="22"/>
          <w:szCs w:val="22"/>
        </w:rPr>
        <w:t xml:space="preserve">in 2018 </w:t>
      </w:r>
      <w:r w:rsidR="005B1A98">
        <w:rPr>
          <w:rFonts w:ascii="Garamond" w:hAnsi="Garamond"/>
          <w:sz w:val="22"/>
          <w:szCs w:val="22"/>
        </w:rPr>
        <w:t>will be within 8</w:t>
      </w:r>
      <w:r w:rsidR="006909DE" w:rsidRPr="00EE5F0F">
        <w:rPr>
          <w:rFonts w:ascii="Garamond" w:hAnsi="Garamond"/>
          <w:sz w:val="22"/>
          <w:szCs w:val="22"/>
        </w:rPr>
        <w:t>.0-</w:t>
      </w:r>
      <w:r w:rsidR="00C95F66" w:rsidRPr="00EE5F0F">
        <w:rPr>
          <w:rFonts w:ascii="Garamond" w:hAnsi="Garamond"/>
          <w:sz w:val="22"/>
          <w:szCs w:val="22"/>
        </w:rPr>
        <w:t>1</w:t>
      </w:r>
      <w:r w:rsidR="005B1A98">
        <w:rPr>
          <w:rFonts w:ascii="Garamond" w:hAnsi="Garamond"/>
          <w:sz w:val="22"/>
          <w:szCs w:val="22"/>
        </w:rPr>
        <w:t>0</w:t>
      </w:r>
      <w:r w:rsidR="00C95F66" w:rsidRPr="00EE5F0F">
        <w:rPr>
          <w:rFonts w:ascii="Garamond" w:hAnsi="Garamond"/>
          <w:sz w:val="22"/>
          <w:szCs w:val="22"/>
        </w:rPr>
        <w:t xml:space="preserve">.0%. With </w:t>
      </w:r>
      <w:r w:rsidR="005B1A98">
        <w:rPr>
          <w:rFonts w:ascii="Garamond" w:hAnsi="Garamond"/>
          <w:sz w:val="22"/>
          <w:szCs w:val="22"/>
        </w:rPr>
        <w:t xml:space="preserve">the </w:t>
      </w:r>
      <w:r w:rsidR="00C95F66" w:rsidRPr="00EE5F0F">
        <w:rPr>
          <w:rFonts w:ascii="Garamond" w:hAnsi="Garamond"/>
          <w:sz w:val="22"/>
          <w:szCs w:val="22"/>
        </w:rPr>
        <w:t xml:space="preserve">domestic demand </w:t>
      </w:r>
      <w:r w:rsidR="005B1A98">
        <w:rPr>
          <w:rFonts w:ascii="Garamond" w:hAnsi="Garamond"/>
          <w:sz w:val="22"/>
          <w:szCs w:val="22"/>
        </w:rPr>
        <w:t>slackening</w:t>
      </w:r>
      <w:r w:rsidR="006909DE" w:rsidRPr="00EE5F0F">
        <w:rPr>
          <w:rFonts w:ascii="Garamond" w:hAnsi="Garamond"/>
          <w:sz w:val="22"/>
          <w:szCs w:val="22"/>
        </w:rPr>
        <w:t xml:space="preserve">, </w:t>
      </w:r>
      <w:r w:rsidR="005B1A98" w:rsidRPr="005B1A98">
        <w:rPr>
          <w:rFonts w:ascii="Garamond" w:hAnsi="Garamond"/>
          <w:sz w:val="22"/>
          <w:szCs w:val="22"/>
        </w:rPr>
        <w:t xml:space="preserve">including due to the completion of the </w:t>
      </w:r>
      <w:r w:rsidR="005B1A98">
        <w:rPr>
          <w:rFonts w:ascii="Garamond" w:hAnsi="Garamond"/>
          <w:sz w:val="22"/>
          <w:szCs w:val="22"/>
        </w:rPr>
        <w:t>“</w:t>
      </w:r>
      <w:r w:rsidR="005B1A98" w:rsidRPr="005B1A98">
        <w:rPr>
          <w:rFonts w:ascii="Garamond" w:hAnsi="Garamond"/>
          <w:sz w:val="22"/>
          <w:szCs w:val="22"/>
        </w:rPr>
        <w:t>Amoulsar</w:t>
      </w:r>
      <w:r w:rsidR="005B1A98">
        <w:rPr>
          <w:rFonts w:ascii="Garamond" w:hAnsi="Garamond"/>
          <w:sz w:val="22"/>
          <w:szCs w:val="22"/>
        </w:rPr>
        <w:t>”</w:t>
      </w:r>
      <w:r w:rsidR="005B1A98" w:rsidRPr="005B1A98">
        <w:rPr>
          <w:rFonts w:ascii="Garamond" w:hAnsi="Garamond"/>
          <w:sz w:val="22"/>
          <w:szCs w:val="22"/>
        </w:rPr>
        <w:t xml:space="preserve"> investment pro</w:t>
      </w:r>
      <w:r w:rsidR="005B1A98">
        <w:rPr>
          <w:rFonts w:ascii="Garamond" w:hAnsi="Garamond"/>
          <w:sz w:val="22"/>
          <w:szCs w:val="22"/>
        </w:rPr>
        <w:t xml:space="preserve">ject, the </w:t>
      </w:r>
      <w:r w:rsidR="00BD6307" w:rsidRPr="00EE5F0F">
        <w:rPr>
          <w:rFonts w:ascii="Garamond" w:hAnsi="Garamond"/>
          <w:sz w:val="22"/>
          <w:szCs w:val="22"/>
        </w:rPr>
        <w:t xml:space="preserve">real growth of </w:t>
      </w:r>
      <w:r w:rsidR="00C95F66" w:rsidRPr="00EE5F0F">
        <w:rPr>
          <w:rFonts w:ascii="Garamond" w:hAnsi="Garamond"/>
          <w:sz w:val="22"/>
          <w:szCs w:val="22"/>
        </w:rPr>
        <w:t>im</w:t>
      </w:r>
      <w:r w:rsidR="006909DE" w:rsidRPr="00EE5F0F">
        <w:rPr>
          <w:rFonts w:ascii="Garamond" w:hAnsi="Garamond"/>
          <w:sz w:val="22"/>
          <w:szCs w:val="22"/>
        </w:rPr>
        <w:t>port of goods and services</w:t>
      </w:r>
      <w:r w:rsidR="006B7FBD">
        <w:rPr>
          <w:rFonts w:ascii="Garamond" w:hAnsi="Garamond"/>
          <w:sz w:val="22"/>
          <w:szCs w:val="22"/>
        </w:rPr>
        <w:t xml:space="preserve"> </w:t>
      </w:r>
      <w:r w:rsidR="006B7FBD" w:rsidRPr="00EE5F0F">
        <w:rPr>
          <w:rFonts w:ascii="Garamond" w:hAnsi="Garamond"/>
          <w:sz w:val="22"/>
          <w:szCs w:val="22"/>
        </w:rPr>
        <w:t xml:space="preserve">for the </w:t>
      </w:r>
      <w:r w:rsidR="006B7FBD">
        <w:rPr>
          <w:rFonts w:ascii="Garamond" w:hAnsi="Garamond"/>
          <w:sz w:val="22"/>
          <w:szCs w:val="22"/>
        </w:rPr>
        <w:t xml:space="preserve">second half </w:t>
      </w:r>
      <w:r w:rsidR="006B7FBD" w:rsidRPr="00EE5F0F">
        <w:rPr>
          <w:rFonts w:ascii="Garamond" w:hAnsi="Garamond"/>
          <w:sz w:val="22"/>
          <w:szCs w:val="22"/>
        </w:rPr>
        <w:t>of</w:t>
      </w:r>
      <w:r w:rsidR="006B7FBD">
        <w:rPr>
          <w:rFonts w:ascii="Garamond" w:hAnsi="Garamond"/>
          <w:sz w:val="22"/>
          <w:szCs w:val="22"/>
        </w:rPr>
        <w:t xml:space="preserve"> the year </w:t>
      </w:r>
      <w:r w:rsidR="005B1A98">
        <w:rPr>
          <w:rFonts w:ascii="Garamond" w:hAnsi="Garamond"/>
          <w:sz w:val="22"/>
          <w:szCs w:val="22"/>
        </w:rPr>
        <w:t>ha</w:t>
      </w:r>
      <w:r w:rsidR="006B7FBD">
        <w:rPr>
          <w:rFonts w:ascii="Garamond" w:hAnsi="Garamond"/>
          <w:sz w:val="22"/>
          <w:szCs w:val="22"/>
        </w:rPr>
        <w:t>s</w:t>
      </w:r>
      <w:r w:rsidR="005B1A98">
        <w:rPr>
          <w:rFonts w:ascii="Garamond" w:hAnsi="Garamond"/>
          <w:sz w:val="22"/>
          <w:szCs w:val="22"/>
        </w:rPr>
        <w:t xml:space="preserve"> </w:t>
      </w:r>
      <w:r w:rsidR="006B7FBD">
        <w:rPr>
          <w:rFonts w:ascii="Garamond" w:hAnsi="Garamond"/>
          <w:sz w:val="22"/>
          <w:szCs w:val="22"/>
        </w:rPr>
        <w:t xml:space="preserve">had </w:t>
      </w:r>
      <w:r w:rsidR="005B1A98">
        <w:rPr>
          <w:rFonts w:ascii="Garamond" w:hAnsi="Garamond"/>
          <w:sz w:val="22"/>
          <w:szCs w:val="22"/>
        </w:rPr>
        <w:t xml:space="preserve">downside </w:t>
      </w:r>
      <w:r w:rsidR="006B7FBD">
        <w:rPr>
          <w:rFonts w:ascii="Garamond" w:hAnsi="Garamond"/>
          <w:sz w:val="22"/>
          <w:szCs w:val="22"/>
        </w:rPr>
        <w:t xml:space="preserve">forecasts. However, </w:t>
      </w:r>
      <w:r w:rsidR="00C95F66" w:rsidRPr="00EE5F0F">
        <w:rPr>
          <w:rFonts w:ascii="Garamond" w:hAnsi="Garamond"/>
          <w:sz w:val="22"/>
          <w:szCs w:val="22"/>
        </w:rPr>
        <w:t xml:space="preserve">the </w:t>
      </w:r>
      <w:r w:rsidR="006B7FBD">
        <w:rPr>
          <w:rFonts w:ascii="Garamond" w:hAnsi="Garamond"/>
          <w:sz w:val="22"/>
          <w:szCs w:val="22"/>
        </w:rPr>
        <w:t xml:space="preserve">2018 annual </w:t>
      </w:r>
      <w:r w:rsidR="00C95F66" w:rsidRPr="00EE5F0F">
        <w:rPr>
          <w:rFonts w:ascii="Garamond" w:hAnsi="Garamond"/>
          <w:sz w:val="22"/>
          <w:szCs w:val="22"/>
        </w:rPr>
        <w:t xml:space="preserve">growth will be </w:t>
      </w:r>
      <w:r w:rsidR="006909DE" w:rsidRPr="00EE5F0F">
        <w:rPr>
          <w:rFonts w:ascii="Garamond" w:hAnsi="Garamond"/>
          <w:sz w:val="22"/>
          <w:szCs w:val="22"/>
        </w:rPr>
        <w:t xml:space="preserve">in the range </w:t>
      </w:r>
      <w:r w:rsidR="00BD6307" w:rsidRPr="00EE5F0F">
        <w:rPr>
          <w:rFonts w:ascii="Garamond" w:hAnsi="Garamond"/>
          <w:sz w:val="22"/>
          <w:szCs w:val="22"/>
        </w:rPr>
        <w:t xml:space="preserve">of </w:t>
      </w:r>
      <w:r w:rsidR="006B7FBD">
        <w:rPr>
          <w:rFonts w:ascii="Garamond" w:hAnsi="Garamond"/>
          <w:sz w:val="22"/>
          <w:szCs w:val="22"/>
        </w:rPr>
        <w:t>6</w:t>
      </w:r>
      <w:r w:rsidR="006909DE" w:rsidRPr="00EE5F0F">
        <w:rPr>
          <w:rFonts w:ascii="Garamond" w:hAnsi="Garamond"/>
          <w:sz w:val="22"/>
          <w:szCs w:val="22"/>
        </w:rPr>
        <w:t>.</w:t>
      </w:r>
      <w:r w:rsidR="00191370">
        <w:rPr>
          <w:rFonts w:ascii="Garamond" w:hAnsi="Garamond"/>
          <w:sz w:val="22"/>
          <w:szCs w:val="22"/>
        </w:rPr>
        <w:t>0</w:t>
      </w:r>
      <w:r w:rsidR="006909DE" w:rsidRPr="00EE5F0F">
        <w:rPr>
          <w:rFonts w:ascii="Garamond" w:hAnsi="Garamond"/>
          <w:sz w:val="22"/>
          <w:szCs w:val="22"/>
        </w:rPr>
        <w:t>-</w:t>
      </w:r>
      <w:r w:rsidR="006B7FBD">
        <w:rPr>
          <w:rFonts w:ascii="Garamond" w:hAnsi="Garamond"/>
          <w:sz w:val="22"/>
          <w:szCs w:val="22"/>
        </w:rPr>
        <w:t>8</w:t>
      </w:r>
      <w:r w:rsidR="006909DE" w:rsidRPr="00EE5F0F">
        <w:rPr>
          <w:rFonts w:ascii="Garamond" w:hAnsi="Garamond"/>
          <w:sz w:val="22"/>
          <w:szCs w:val="22"/>
        </w:rPr>
        <w:t>.0%</w:t>
      </w:r>
      <w:r w:rsidR="006B7FBD">
        <w:rPr>
          <w:rFonts w:ascii="Garamond" w:hAnsi="Garamond"/>
          <w:sz w:val="22"/>
          <w:szCs w:val="22"/>
        </w:rPr>
        <w:t xml:space="preserve">, </w:t>
      </w:r>
      <w:r w:rsidR="00015A40">
        <w:rPr>
          <w:rFonts w:ascii="Garamond" w:hAnsi="Garamond"/>
          <w:sz w:val="22"/>
          <w:szCs w:val="22"/>
        </w:rPr>
        <w:t xml:space="preserve">as </w:t>
      </w:r>
      <w:r w:rsidR="006B7FBD" w:rsidRPr="006B7FBD">
        <w:rPr>
          <w:rFonts w:ascii="Garamond" w:hAnsi="Garamond"/>
          <w:sz w:val="22"/>
          <w:szCs w:val="22"/>
        </w:rPr>
        <w:t>import</w:t>
      </w:r>
      <w:r w:rsidR="00015A40">
        <w:rPr>
          <w:rFonts w:ascii="Garamond" w:hAnsi="Garamond"/>
          <w:sz w:val="22"/>
          <w:szCs w:val="22"/>
        </w:rPr>
        <w:t>s</w:t>
      </w:r>
      <w:r w:rsidR="006B7FBD" w:rsidRPr="006B7FBD">
        <w:rPr>
          <w:rFonts w:ascii="Garamond" w:hAnsi="Garamond"/>
          <w:sz w:val="22"/>
          <w:szCs w:val="22"/>
        </w:rPr>
        <w:t xml:space="preserve"> </w:t>
      </w:r>
      <w:r w:rsidR="00015A40">
        <w:rPr>
          <w:rFonts w:ascii="Garamond" w:hAnsi="Garamond"/>
          <w:sz w:val="22"/>
          <w:szCs w:val="22"/>
        </w:rPr>
        <w:t xml:space="preserve">have posted </w:t>
      </w:r>
      <w:r w:rsidR="00015A40" w:rsidRPr="006B7FBD">
        <w:rPr>
          <w:rFonts w:ascii="Garamond" w:hAnsi="Garamond"/>
          <w:sz w:val="22"/>
          <w:szCs w:val="22"/>
        </w:rPr>
        <w:t xml:space="preserve">more than expected </w:t>
      </w:r>
      <w:r w:rsidR="00015A40">
        <w:rPr>
          <w:rFonts w:ascii="Garamond" w:hAnsi="Garamond"/>
          <w:sz w:val="22"/>
          <w:szCs w:val="22"/>
        </w:rPr>
        <w:t>growth in real terms i</w:t>
      </w:r>
      <w:r w:rsidR="006B7FBD" w:rsidRPr="006B7FBD">
        <w:rPr>
          <w:rFonts w:ascii="Garamond" w:hAnsi="Garamond"/>
          <w:sz w:val="22"/>
          <w:szCs w:val="22"/>
        </w:rPr>
        <w:t>n the first half of the year</w:t>
      </w:r>
      <w:r w:rsidR="006909DE" w:rsidRPr="00EE5F0F">
        <w:rPr>
          <w:rFonts w:ascii="Garamond" w:hAnsi="Garamond"/>
          <w:sz w:val="22"/>
          <w:szCs w:val="22"/>
        </w:rPr>
        <w:t>.</w:t>
      </w:r>
      <w:r w:rsidR="00BD6307" w:rsidRPr="00EE5F0F">
        <w:rPr>
          <w:rFonts w:ascii="Garamond" w:hAnsi="Garamond"/>
          <w:sz w:val="22"/>
          <w:szCs w:val="22"/>
        </w:rPr>
        <w:t xml:space="preserve"> </w:t>
      </w:r>
      <w:r w:rsidR="00191370">
        <w:rPr>
          <w:rFonts w:ascii="Garamond" w:hAnsi="Garamond"/>
          <w:sz w:val="22"/>
          <w:szCs w:val="22"/>
        </w:rPr>
        <w:t>As a result of t</w:t>
      </w:r>
      <w:r w:rsidR="001A456E" w:rsidRPr="00EE5F0F">
        <w:rPr>
          <w:rFonts w:ascii="Garamond" w:hAnsi="Garamond"/>
          <w:sz w:val="22"/>
          <w:szCs w:val="22"/>
        </w:rPr>
        <w:t xml:space="preserve">hese </w:t>
      </w:r>
      <w:r w:rsidR="00191370">
        <w:rPr>
          <w:rFonts w:ascii="Garamond" w:hAnsi="Garamond"/>
          <w:sz w:val="22"/>
          <w:szCs w:val="22"/>
        </w:rPr>
        <w:t xml:space="preserve">forecasts, </w:t>
      </w:r>
      <w:r w:rsidR="001A456E" w:rsidRPr="00EE5F0F">
        <w:rPr>
          <w:rFonts w:ascii="Garamond" w:hAnsi="Garamond"/>
          <w:sz w:val="22"/>
          <w:szCs w:val="22"/>
        </w:rPr>
        <w:t>net export’s negative contribution to the real GDP</w:t>
      </w:r>
      <w:r w:rsidR="00191370">
        <w:rPr>
          <w:rFonts w:ascii="Garamond" w:hAnsi="Garamond"/>
          <w:sz w:val="22"/>
          <w:szCs w:val="22"/>
        </w:rPr>
        <w:t xml:space="preserve"> </w:t>
      </w:r>
      <w:r w:rsidR="00124D9C">
        <w:rPr>
          <w:rFonts w:ascii="Garamond" w:hAnsi="Garamond"/>
          <w:sz w:val="22"/>
          <w:szCs w:val="22"/>
        </w:rPr>
        <w:t xml:space="preserve">for the first half </w:t>
      </w:r>
      <w:r w:rsidR="001A456E" w:rsidRPr="00EE5F0F">
        <w:rPr>
          <w:rFonts w:ascii="Garamond" w:hAnsi="Garamond"/>
          <w:sz w:val="22"/>
          <w:szCs w:val="22"/>
        </w:rPr>
        <w:t xml:space="preserve">will </w:t>
      </w:r>
      <w:r w:rsidR="00191370">
        <w:rPr>
          <w:rFonts w:ascii="Garamond" w:hAnsi="Garamond"/>
          <w:sz w:val="22"/>
          <w:szCs w:val="22"/>
        </w:rPr>
        <w:t xml:space="preserve">neutralize </w:t>
      </w:r>
      <w:r w:rsidR="001A456E" w:rsidRPr="00EE5F0F">
        <w:rPr>
          <w:rFonts w:ascii="Garamond" w:hAnsi="Garamond"/>
          <w:sz w:val="22"/>
          <w:szCs w:val="22"/>
        </w:rPr>
        <w:t xml:space="preserve">over the </w:t>
      </w:r>
      <w:r w:rsidR="00124D9C">
        <w:rPr>
          <w:rFonts w:ascii="Garamond" w:hAnsi="Garamond"/>
          <w:sz w:val="22"/>
          <w:szCs w:val="22"/>
        </w:rPr>
        <w:t>second half</w:t>
      </w:r>
      <w:r w:rsidR="001A456E" w:rsidRPr="00EE5F0F">
        <w:rPr>
          <w:rFonts w:ascii="Garamond" w:hAnsi="Garamond"/>
          <w:sz w:val="22"/>
          <w:szCs w:val="22"/>
        </w:rPr>
        <w:t>.</w:t>
      </w:r>
    </w:p>
    <w:p w14:paraId="0A54F36E" w14:textId="52D7DF13" w:rsidR="0023452F" w:rsidRPr="00EE5F0F" w:rsidRDefault="0023452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Remittances of individuals in the </w:t>
      </w:r>
      <w:r w:rsidR="00252F40">
        <w:rPr>
          <w:rFonts w:ascii="Garamond" w:hAnsi="Garamond"/>
          <w:sz w:val="22"/>
          <w:szCs w:val="22"/>
        </w:rPr>
        <w:t>second</w:t>
      </w:r>
      <w:r w:rsidRPr="00EE5F0F">
        <w:rPr>
          <w:rFonts w:ascii="Garamond" w:hAnsi="Garamond"/>
          <w:sz w:val="22"/>
          <w:szCs w:val="22"/>
        </w:rPr>
        <w:t xml:space="preserve"> quarter of 2018</w:t>
      </w:r>
      <w:r w:rsidR="00252F40">
        <w:rPr>
          <w:rFonts w:ascii="Garamond" w:hAnsi="Garamond"/>
          <w:sz w:val="22"/>
          <w:szCs w:val="22"/>
        </w:rPr>
        <w:t xml:space="preserve"> have been consistent with the forecast, but their </w:t>
      </w:r>
      <w:r w:rsidR="00252F40" w:rsidRPr="00EE5F0F">
        <w:rPr>
          <w:rFonts w:ascii="Garamond" w:hAnsi="Garamond"/>
          <w:sz w:val="22"/>
          <w:szCs w:val="22"/>
        </w:rPr>
        <w:t xml:space="preserve">growth rates </w:t>
      </w:r>
      <w:r w:rsidRPr="00EE5F0F">
        <w:rPr>
          <w:rFonts w:ascii="Garamond" w:hAnsi="Garamond"/>
          <w:sz w:val="22"/>
          <w:szCs w:val="22"/>
        </w:rPr>
        <w:t xml:space="preserve">for the </w:t>
      </w:r>
      <w:r w:rsidR="00252F40">
        <w:rPr>
          <w:rFonts w:ascii="Garamond" w:hAnsi="Garamond"/>
          <w:sz w:val="22"/>
          <w:szCs w:val="22"/>
        </w:rPr>
        <w:t xml:space="preserve">next </w:t>
      </w:r>
      <w:r w:rsidRPr="00EE5F0F">
        <w:rPr>
          <w:rFonts w:ascii="Garamond" w:hAnsi="Garamond"/>
          <w:sz w:val="22"/>
          <w:szCs w:val="22"/>
        </w:rPr>
        <w:t xml:space="preserve">quarters </w:t>
      </w:r>
      <w:r w:rsidR="00252F40">
        <w:rPr>
          <w:rFonts w:ascii="Garamond" w:hAnsi="Garamond"/>
          <w:sz w:val="22"/>
          <w:szCs w:val="22"/>
        </w:rPr>
        <w:t>incurred a downward revision in relation to</w:t>
      </w:r>
      <w:r w:rsidRPr="00EE5F0F">
        <w:rPr>
          <w:rFonts w:ascii="Garamond" w:hAnsi="Garamond"/>
          <w:sz w:val="22"/>
          <w:szCs w:val="22"/>
        </w:rPr>
        <w:t xml:space="preserve"> the previous forecast, </w:t>
      </w:r>
      <w:r w:rsidR="00252F40">
        <w:rPr>
          <w:rFonts w:ascii="Garamond" w:hAnsi="Garamond"/>
          <w:sz w:val="22"/>
          <w:szCs w:val="22"/>
        </w:rPr>
        <w:t xml:space="preserve">due primarily to </w:t>
      </w:r>
      <w:r w:rsidR="00943A96">
        <w:rPr>
          <w:rFonts w:ascii="Garamond" w:hAnsi="Garamond"/>
          <w:sz w:val="22"/>
          <w:szCs w:val="22"/>
        </w:rPr>
        <w:t xml:space="preserve"> more</w:t>
      </w:r>
      <w:r w:rsidR="00252F40">
        <w:rPr>
          <w:rFonts w:ascii="Garamond" w:hAnsi="Garamond"/>
          <w:sz w:val="22"/>
          <w:szCs w:val="22"/>
        </w:rPr>
        <w:t xml:space="preserve"> depreciated ruble. </w:t>
      </w:r>
      <w:r w:rsidRPr="00EE5F0F">
        <w:rPr>
          <w:rFonts w:ascii="Garamond" w:hAnsi="Garamond"/>
          <w:sz w:val="22"/>
          <w:szCs w:val="22"/>
        </w:rPr>
        <w:t>As a result, the growth of individuals</w:t>
      </w:r>
      <w:r w:rsidR="00396B2C" w:rsidRPr="00EE5F0F">
        <w:rPr>
          <w:rFonts w:ascii="Garamond" w:hAnsi="Garamond"/>
          <w:sz w:val="22"/>
          <w:szCs w:val="22"/>
        </w:rPr>
        <w:t>’ remittances will be in the</w:t>
      </w:r>
      <w:r w:rsidRPr="00EE5F0F">
        <w:rPr>
          <w:rFonts w:ascii="Garamond" w:hAnsi="Garamond"/>
          <w:sz w:val="22"/>
          <w:szCs w:val="22"/>
        </w:rPr>
        <w:t xml:space="preserve"> range of </w:t>
      </w:r>
      <w:r w:rsidR="00252F40">
        <w:rPr>
          <w:rFonts w:ascii="Garamond" w:hAnsi="Garamond"/>
          <w:sz w:val="22"/>
          <w:szCs w:val="22"/>
        </w:rPr>
        <w:t>5</w:t>
      </w:r>
      <w:r w:rsidRPr="00EE5F0F">
        <w:rPr>
          <w:rFonts w:ascii="Garamond" w:hAnsi="Garamond"/>
          <w:sz w:val="22"/>
          <w:szCs w:val="22"/>
        </w:rPr>
        <w:t>.0-</w:t>
      </w:r>
      <w:r w:rsidR="00252F40">
        <w:rPr>
          <w:rFonts w:ascii="Garamond" w:hAnsi="Garamond"/>
          <w:sz w:val="22"/>
          <w:szCs w:val="22"/>
        </w:rPr>
        <w:t>7</w:t>
      </w:r>
      <w:r w:rsidRPr="00EE5F0F">
        <w:rPr>
          <w:rFonts w:ascii="Garamond" w:hAnsi="Garamond"/>
          <w:sz w:val="22"/>
          <w:szCs w:val="22"/>
        </w:rPr>
        <w:t>.0%.</w:t>
      </w:r>
    </w:p>
    <w:p w14:paraId="780B7C0E" w14:textId="111C43AE"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As a result of the aforementioned developments, the current account deficit-to-GDP ratio will </w:t>
      </w:r>
      <w:r w:rsidR="004F233A">
        <w:rPr>
          <w:rFonts w:ascii="Garamond" w:hAnsi="Garamond"/>
          <w:sz w:val="22"/>
          <w:szCs w:val="22"/>
        </w:rPr>
        <w:t xml:space="preserve">somehow </w:t>
      </w:r>
      <w:r w:rsidRPr="00EE5F0F">
        <w:rPr>
          <w:rFonts w:ascii="Garamond" w:hAnsi="Garamond"/>
          <w:sz w:val="22"/>
          <w:szCs w:val="22"/>
        </w:rPr>
        <w:t xml:space="preserve">increase against the previous forecast and </w:t>
      </w:r>
      <w:r w:rsidR="001C1968">
        <w:rPr>
          <w:rFonts w:ascii="Garamond" w:hAnsi="Garamond"/>
          <w:sz w:val="22"/>
          <w:szCs w:val="22"/>
        </w:rPr>
        <w:t>will be</w:t>
      </w:r>
      <w:r w:rsidR="001C1968" w:rsidRPr="00EE5F0F">
        <w:rPr>
          <w:rFonts w:ascii="Garamond" w:hAnsi="Garamond"/>
          <w:sz w:val="22"/>
          <w:szCs w:val="22"/>
        </w:rPr>
        <w:t xml:space="preserve"> </w:t>
      </w:r>
      <w:r w:rsidR="004F233A">
        <w:rPr>
          <w:rFonts w:ascii="Garamond" w:hAnsi="Garamond"/>
          <w:sz w:val="22"/>
          <w:szCs w:val="22"/>
        </w:rPr>
        <w:t>within 4</w:t>
      </w:r>
      <w:r w:rsidRPr="00EE5F0F">
        <w:rPr>
          <w:rFonts w:ascii="Garamond" w:hAnsi="Garamond"/>
          <w:sz w:val="22"/>
          <w:szCs w:val="22"/>
        </w:rPr>
        <w:t>.0-</w:t>
      </w:r>
      <w:r w:rsidR="004F233A">
        <w:rPr>
          <w:rFonts w:ascii="Garamond" w:hAnsi="Garamond"/>
          <w:sz w:val="22"/>
          <w:szCs w:val="22"/>
        </w:rPr>
        <w:t>5</w:t>
      </w:r>
      <w:r w:rsidRPr="00EE5F0F">
        <w:rPr>
          <w:rFonts w:ascii="Garamond" w:hAnsi="Garamond"/>
          <w:sz w:val="22"/>
          <w:szCs w:val="22"/>
        </w:rPr>
        <w:t>.0%.</w:t>
      </w:r>
      <w:r w:rsidR="004F233A">
        <w:rPr>
          <w:rFonts w:ascii="Garamond" w:hAnsi="Garamond"/>
          <w:sz w:val="22"/>
          <w:szCs w:val="22"/>
        </w:rPr>
        <w:t xml:space="preserve"> In the medium run, the </w:t>
      </w:r>
      <w:r w:rsidR="004F233A" w:rsidRPr="004F233A">
        <w:rPr>
          <w:rFonts w:ascii="Garamond" w:hAnsi="Garamond"/>
          <w:sz w:val="22"/>
          <w:szCs w:val="22"/>
        </w:rPr>
        <w:t xml:space="preserve">ratio </w:t>
      </w:r>
      <w:r w:rsidR="004F233A">
        <w:rPr>
          <w:rFonts w:ascii="Garamond" w:hAnsi="Garamond"/>
          <w:sz w:val="22"/>
          <w:szCs w:val="22"/>
        </w:rPr>
        <w:t xml:space="preserve">will </w:t>
      </w:r>
      <w:r w:rsidR="001C1968">
        <w:rPr>
          <w:rFonts w:ascii="Garamond" w:hAnsi="Garamond"/>
          <w:sz w:val="22"/>
          <w:szCs w:val="22"/>
        </w:rPr>
        <w:t xml:space="preserve">stabilize </w:t>
      </w:r>
      <w:r w:rsidR="004F233A">
        <w:rPr>
          <w:rFonts w:ascii="Garamond" w:hAnsi="Garamond"/>
          <w:sz w:val="22"/>
          <w:szCs w:val="22"/>
        </w:rPr>
        <w:t xml:space="preserve"> around an estimated </w:t>
      </w:r>
      <w:r w:rsidR="004F233A" w:rsidRPr="004F233A">
        <w:rPr>
          <w:rFonts w:ascii="Garamond" w:hAnsi="Garamond"/>
          <w:sz w:val="22"/>
          <w:szCs w:val="22"/>
        </w:rPr>
        <w:t>3.0%</w:t>
      </w:r>
      <w:r w:rsidR="004F233A">
        <w:rPr>
          <w:rFonts w:ascii="Garamond" w:hAnsi="Garamond"/>
          <w:sz w:val="22"/>
          <w:szCs w:val="22"/>
        </w:rPr>
        <w:t xml:space="preserve"> equilibrium</w:t>
      </w:r>
      <w:r w:rsidR="009152D3">
        <w:rPr>
          <w:rFonts w:ascii="Garamond" w:hAnsi="Garamond"/>
          <w:sz w:val="22"/>
          <w:szCs w:val="22"/>
        </w:rPr>
        <w:t xml:space="preserve"> level</w:t>
      </w:r>
      <w:r w:rsidR="004F233A">
        <w:rPr>
          <w:rFonts w:ascii="Garamond" w:hAnsi="Garamond"/>
          <w:sz w:val="22"/>
          <w:szCs w:val="22"/>
        </w:rPr>
        <w:t>.</w:t>
      </w:r>
    </w:p>
    <w:p w14:paraId="6BA30EA8" w14:textId="77777777" w:rsidR="00D60B77" w:rsidRPr="00EE5F0F" w:rsidRDefault="00EE619D" w:rsidP="00D60B77">
      <w:pPr>
        <w:autoSpaceDE w:val="0"/>
        <w:autoSpaceDN w:val="0"/>
        <w:adjustRightInd w:val="0"/>
        <w:spacing w:after="120" w:line="360" w:lineRule="auto"/>
        <w:jc w:val="both"/>
        <w:rPr>
          <w:rFonts w:ascii="Garamond" w:hAnsi="Garamond"/>
          <w:sz w:val="22"/>
          <w:szCs w:val="22"/>
        </w:rPr>
      </w:pPr>
      <w:r w:rsidRPr="00974358">
        <w:rPr>
          <w:rFonts w:ascii="Garamond" w:hAnsi="Garamond"/>
          <w:b/>
          <w:sz w:val="22"/>
          <w:szCs w:val="22"/>
        </w:rPr>
        <w:t>Fiscal policy:</w:t>
      </w:r>
      <w:r w:rsidRPr="00974358">
        <w:rPr>
          <w:rFonts w:ascii="Garamond" w:hAnsi="Garamond"/>
          <w:sz w:val="22"/>
          <w:szCs w:val="22"/>
        </w:rPr>
        <w:t xml:space="preserve"> </w:t>
      </w:r>
      <w:r w:rsidR="00974358">
        <w:rPr>
          <w:rFonts w:ascii="Garamond" w:hAnsi="Garamond"/>
          <w:sz w:val="22"/>
          <w:szCs w:val="22"/>
        </w:rPr>
        <w:t xml:space="preserve">The </w:t>
      </w:r>
      <w:r w:rsidR="00974358" w:rsidRPr="00D60B77">
        <w:rPr>
          <w:rFonts w:ascii="Garamond" w:hAnsi="Garamond"/>
          <w:b/>
          <w:sz w:val="22"/>
          <w:szCs w:val="22"/>
        </w:rPr>
        <w:t>fiscal policy’s impact</w:t>
      </w:r>
      <w:r w:rsidR="00974358">
        <w:rPr>
          <w:rFonts w:ascii="Garamond" w:hAnsi="Garamond"/>
          <w:sz w:val="22"/>
          <w:szCs w:val="22"/>
        </w:rPr>
        <w:t xml:space="preserve"> on aggregate demand </w:t>
      </w:r>
      <w:r w:rsidR="00D60B77">
        <w:rPr>
          <w:rFonts w:ascii="Garamond" w:hAnsi="Garamond"/>
          <w:sz w:val="22"/>
          <w:szCs w:val="22"/>
        </w:rPr>
        <w:t>in</w:t>
      </w:r>
      <w:r w:rsidR="00974358">
        <w:rPr>
          <w:rFonts w:ascii="Garamond" w:hAnsi="Garamond"/>
          <w:sz w:val="22"/>
          <w:szCs w:val="22"/>
        </w:rPr>
        <w:t xml:space="preserve"> 2018 </w:t>
      </w:r>
      <w:r w:rsidR="00D60B77">
        <w:rPr>
          <w:rFonts w:ascii="Garamond" w:hAnsi="Garamond"/>
          <w:sz w:val="22"/>
          <w:szCs w:val="22"/>
        </w:rPr>
        <w:t>has been</w:t>
      </w:r>
      <w:r w:rsidR="00974358">
        <w:rPr>
          <w:rFonts w:ascii="Garamond" w:hAnsi="Garamond"/>
          <w:sz w:val="22"/>
          <w:szCs w:val="22"/>
        </w:rPr>
        <w:t xml:space="preserve"> estimated using the revenue and e</w:t>
      </w:r>
      <w:r w:rsidR="00974358" w:rsidRPr="00974358">
        <w:rPr>
          <w:rFonts w:ascii="Garamond" w:hAnsi="Garamond"/>
          <w:sz w:val="22"/>
          <w:szCs w:val="22"/>
        </w:rPr>
        <w:t xml:space="preserve">xpenditure </w:t>
      </w:r>
      <w:r w:rsidR="00974358">
        <w:rPr>
          <w:rFonts w:ascii="Garamond" w:hAnsi="Garamond"/>
          <w:sz w:val="22"/>
          <w:szCs w:val="22"/>
        </w:rPr>
        <w:t>i</w:t>
      </w:r>
      <w:r w:rsidR="00974358" w:rsidRPr="00974358">
        <w:rPr>
          <w:rFonts w:ascii="Garamond" w:hAnsi="Garamond"/>
          <w:sz w:val="22"/>
          <w:szCs w:val="22"/>
        </w:rPr>
        <w:t xml:space="preserve">ndicators </w:t>
      </w:r>
      <w:r w:rsidR="00974358">
        <w:rPr>
          <w:rFonts w:ascii="Garamond" w:hAnsi="Garamond"/>
          <w:sz w:val="22"/>
          <w:szCs w:val="22"/>
        </w:rPr>
        <w:t>determined by the Republic of Armenia Law on “State Budget 2018” and adjusted</w:t>
      </w:r>
      <w:r w:rsidR="00D60B77" w:rsidRPr="00EE5F0F">
        <w:rPr>
          <w:rStyle w:val="FootnoteReference"/>
          <w:rFonts w:ascii="Garamond" w:hAnsi="Garamond"/>
          <w:sz w:val="22"/>
          <w:szCs w:val="22"/>
        </w:rPr>
        <w:footnoteReference w:customMarkFollows="1" w:id="3"/>
        <w:t>4</w:t>
      </w:r>
      <w:r w:rsidR="00974358">
        <w:rPr>
          <w:rFonts w:ascii="Garamond" w:hAnsi="Garamond"/>
          <w:sz w:val="22"/>
          <w:szCs w:val="22"/>
        </w:rPr>
        <w:t xml:space="preserve"> under </w:t>
      </w:r>
      <w:r w:rsidR="00D60B77">
        <w:rPr>
          <w:rFonts w:ascii="Garamond" w:hAnsi="Garamond"/>
          <w:sz w:val="22"/>
          <w:szCs w:val="22"/>
        </w:rPr>
        <w:t xml:space="preserve">specific </w:t>
      </w:r>
      <w:r w:rsidR="00974358">
        <w:rPr>
          <w:rFonts w:ascii="Garamond" w:hAnsi="Garamond"/>
          <w:sz w:val="22"/>
          <w:szCs w:val="22"/>
        </w:rPr>
        <w:t>Government of Armenia resolutions</w:t>
      </w:r>
      <w:r w:rsidR="00D60B77">
        <w:rPr>
          <w:rFonts w:ascii="Garamond" w:hAnsi="Garamond"/>
          <w:sz w:val="22"/>
          <w:szCs w:val="22"/>
        </w:rPr>
        <w:t>.</w:t>
      </w:r>
      <w:r w:rsidR="00974358">
        <w:rPr>
          <w:rFonts w:ascii="Garamond" w:hAnsi="Garamond"/>
          <w:sz w:val="22"/>
          <w:szCs w:val="22"/>
        </w:rPr>
        <w:t xml:space="preserve"> </w:t>
      </w:r>
    </w:p>
    <w:p w14:paraId="697640AF" w14:textId="77777777" w:rsidR="00D60B77" w:rsidRDefault="00AF7DD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the previous MP program, the state budget revenue forecasts did not change and are in line with quarterly revenue plans. </w:t>
      </w:r>
      <w:r w:rsidR="002B1502">
        <w:rPr>
          <w:rFonts w:ascii="Garamond" w:hAnsi="Garamond"/>
          <w:sz w:val="22"/>
          <w:szCs w:val="22"/>
        </w:rPr>
        <w:t xml:space="preserve">Lesser public spending during the second quarter made it possible to forecast savings on expenditures for the year, with nearly a </w:t>
      </w:r>
      <w:r w:rsidR="00D60B77" w:rsidRPr="00D60B77">
        <w:rPr>
          <w:rFonts w:ascii="Garamond" w:hAnsi="Garamond"/>
          <w:sz w:val="22"/>
          <w:szCs w:val="22"/>
        </w:rPr>
        <w:t xml:space="preserve">95% </w:t>
      </w:r>
      <w:r w:rsidR="002B1502">
        <w:rPr>
          <w:rFonts w:ascii="Garamond" w:hAnsi="Garamond"/>
          <w:sz w:val="22"/>
          <w:szCs w:val="22"/>
        </w:rPr>
        <w:t xml:space="preserve">performance rate </w:t>
      </w:r>
      <w:r w:rsidR="00D60B77" w:rsidRPr="00D60B77">
        <w:rPr>
          <w:rFonts w:ascii="Garamond" w:hAnsi="Garamond"/>
          <w:sz w:val="22"/>
          <w:szCs w:val="22"/>
        </w:rPr>
        <w:t>of the annual p</w:t>
      </w:r>
      <w:r w:rsidR="002B1502">
        <w:rPr>
          <w:rFonts w:ascii="Garamond" w:hAnsi="Garamond"/>
          <w:sz w:val="22"/>
          <w:szCs w:val="22"/>
        </w:rPr>
        <w:t>lan</w:t>
      </w:r>
      <w:r w:rsidR="00D60B77" w:rsidRPr="00D60B77">
        <w:rPr>
          <w:rFonts w:ascii="Garamond" w:hAnsi="Garamond"/>
          <w:sz w:val="22"/>
          <w:szCs w:val="22"/>
        </w:rPr>
        <w:t xml:space="preserve">. </w:t>
      </w:r>
      <w:r w:rsidR="000D2BCD">
        <w:rPr>
          <w:rFonts w:ascii="Garamond" w:hAnsi="Garamond"/>
          <w:sz w:val="22"/>
          <w:szCs w:val="22"/>
        </w:rPr>
        <w:t>This will affect the deficit which</w:t>
      </w:r>
      <w:r w:rsidR="00D60B77" w:rsidRPr="00D60B77">
        <w:rPr>
          <w:rFonts w:ascii="Garamond" w:hAnsi="Garamond"/>
          <w:sz w:val="22"/>
          <w:szCs w:val="22"/>
        </w:rPr>
        <w:t xml:space="preserve">, </w:t>
      </w:r>
      <w:r w:rsidR="000D2BCD">
        <w:rPr>
          <w:rFonts w:ascii="Garamond" w:hAnsi="Garamond"/>
          <w:sz w:val="22"/>
          <w:szCs w:val="22"/>
        </w:rPr>
        <w:t xml:space="preserve">the Central Bank </w:t>
      </w:r>
      <w:r w:rsidR="00D60B77" w:rsidRPr="00D60B77">
        <w:rPr>
          <w:rFonts w:ascii="Garamond" w:hAnsi="Garamond"/>
          <w:sz w:val="22"/>
          <w:szCs w:val="22"/>
        </w:rPr>
        <w:t>estimates</w:t>
      </w:r>
      <w:r w:rsidR="000D2BCD">
        <w:rPr>
          <w:rFonts w:ascii="Garamond" w:hAnsi="Garamond"/>
          <w:sz w:val="22"/>
          <w:szCs w:val="22"/>
        </w:rPr>
        <w:t xml:space="preserve"> show</w:t>
      </w:r>
      <w:r w:rsidR="00D60B77" w:rsidRPr="00D60B77">
        <w:rPr>
          <w:rFonts w:ascii="Garamond" w:hAnsi="Garamond"/>
          <w:sz w:val="22"/>
          <w:szCs w:val="22"/>
        </w:rPr>
        <w:t xml:space="preserve">, will make </w:t>
      </w:r>
      <w:r w:rsidR="000D2BCD">
        <w:rPr>
          <w:rFonts w:ascii="Garamond" w:hAnsi="Garamond"/>
          <w:sz w:val="22"/>
          <w:szCs w:val="22"/>
        </w:rPr>
        <w:t xml:space="preserve">up </w:t>
      </w:r>
      <w:r w:rsidR="00D60B77" w:rsidRPr="00D60B77">
        <w:rPr>
          <w:rFonts w:ascii="Garamond" w:hAnsi="Garamond"/>
          <w:sz w:val="22"/>
          <w:szCs w:val="22"/>
        </w:rPr>
        <w:t>1.5% of</w:t>
      </w:r>
      <w:r w:rsidR="006E7B5A">
        <w:rPr>
          <w:rFonts w:ascii="Garamond" w:hAnsi="Garamond"/>
          <w:sz w:val="22"/>
          <w:szCs w:val="22"/>
        </w:rPr>
        <w:t xml:space="preserve"> the</w:t>
      </w:r>
      <w:r w:rsidR="00D60B77" w:rsidRPr="00D60B77">
        <w:rPr>
          <w:rFonts w:ascii="Garamond" w:hAnsi="Garamond"/>
          <w:sz w:val="22"/>
          <w:szCs w:val="22"/>
        </w:rPr>
        <w:t xml:space="preserve"> GDP instead of 2.7%</w:t>
      </w:r>
      <w:r w:rsidR="000D2BCD">
        <w:rPr>
          <w:rFonts w:ascii="Garamond" w:hAnsi="Garamond"/>
          <w:sz w:val="22"/>
          <w:szCs w:val="22"/>
        </w:rPr>
        <w:t xml:space="preserve"> as provided for by the law</w:t>
      </w:r>
      <w:r w:rsidR="00D60B77" w:rsidRPr="00D60B77">
        <w:rPr>
          <w:rFonts w:ascii="Garamond" w:hAnsi="Garamond"/>
          <w:sz w:val="22"/>
          <w:szCs w:val="22"/>
        </w:rPr>
        <w:t xml:space="preserve">. As a result, </w:t>
      </w:r>
      <w:r w:rsidR="006E7B5A">
        <w:rPr>
          <w:rFonts w:ascii="Garamond" w:hAnsi="Garamond"/>
          <w:sz w:val="22"/>
          <w:szCs w:val="22"/>
        </w:rPr>
        <w:t>the</w:t>
      </w:r>
      <w:r w:rsidR="00D60B77" w:rsidRPr="00D60B77">
        <w:rPr>
          <w:rFonts w:ascii="Garamond" w:hAnsi="Garamond"/>
          <w:sz w:val="22"/>
          <w:szCs w:val="22"/>
        </w:rPr>
        <w:t xml:space="preserve"> fiscal policy will have a </w:t>
      </w:r>
      <w:r w:rsidR="006E7B5A">
        <w:rPr>
          <w:rFonts w:ascii="Garamond" w:hAnsi="Garamond"/>
          <w:sz w:val="22"/>
          <w:szCs w:val="22"/>
        </w:rPr>
        <w:t>1.6 pp of contractionary impact on</w:t>
      </w:r>
      <w:r w:rsidR="00D60B77" w:rsidRPr="00D60B77">
        <w:rPr>
          <w:rFonts w:ascii="Garamond" w:hAnsi="Garamond"/>
          <w:sz w:val="22"/>
          <w:szCs w:val="22"/>
        </w:rPr>
        <w:t xml:space="preserve"> domestic demand </w:t>
      </w:r>
      <w:r w:rsidR="006E7B5A">
        <w:rPr>
          <w:rFonts w:ascii="Garamond" w:hAnsi="Garamond"/>
          <w:sz w:val="22"/>
          <w:szCs w:val="22"/>
        </w:rPr>
        <w:t>in 2018</w:t>
      </w:r>
      <w:r w:rsidR="00D60B77" w:rsidRPr="00D60B77">
        <w:rPr>
          <w:rFonts w:ascii="Garamond" w:hAnsi="Garamond"/>
          <w:sz w:val="22"/>
          <w:szCs w:val="22"/>
        </w:rPr>
        <w:t xml:space="preserve">, </w:t>
      </w:r>
      <w:r w:rsidR="006E7B5A">
        <w:rPr>
          <w:rFonts w:ascii="Garamond" w:hAnsi="Garamond"/>
          <w:sz w:val="22"/>
          <w:szCs w:val="22"/>
        </w:rPr>
        <w:t>mainly owing to tightened expenditures. N</w:t>
      </w:r>
      <w:r w:rsidR="00D60B77" w:rsidRPr="00D60B77">
        <w:rPr>
          <w:rFonts w:ascii="Garamond" w:hAnsi="Garamond"/>
          <w:sz w:val="22"/>
          <w:szCs w:val="22"/>
        </w:rPr>
        <w:t xml:space="preserve">evertheless, </w:t>
      </w:r>
      <w:r w:rsidR="006E7B5A">
        <w:rPr>
          <w:rFonts w:ascii="Garamond" w:hAnsi="Garamond"/>
          <w:sz w:val="22"/>
          <w:szCs w:val="22"/>
        </w:rPr>
        <w:t xml:space="preserve">some uncertainties </w:t>
      </w:r>
      <w:r w:rsidR="00BD0430">
        <w:rPr>
          <w:rFonts w:ascii="Garamond" w:hAnsi="Garamond"/>
          <w:sz w:val="22"/>
          <w:szCs w:val="22"/>
        </w:rPr>
        <w:t xml:space="preserve">as to which course to opt for collecting </w:t>
      </w:r>
      <w:r w:rsidR="006E7B5A" w:rsidRPr="00D60B77">
        <w:rPr>
          <w:rFonts w:ascii="Garamond" w:hAnsi="Garamond"/>
          <w:sz w:val="22"/>
          <w:szCs w:val="22"/>
        </w:rPr>
        <w:t>revenue</w:t>
      </w:r>
      <w:r w:rsidR="00BD0430">
        <w:rPr>
          <w:rFonts w:ascii="Garamond" w:hAnsi="Garamond"/>
          <w:sz w:val="22"/>
          <w:szCs w:val="22"/>
        </w:rPr>
        <w:t xml:space="preserve">s and making expenditures persist </w:t>
      </w:r>
      <w:r w:rsidR="00452657">
        <w:rPr>
          <w:rFonts w:ascii="Garamond" w:hAnsi="Garamond"/>
          <w:sz w:val="22"/>
          <w:szCs w:val="22"/>
        </w:rPr>
        <w:t xml:space="preserve">in the context of </w:t>
      </w:r>
      <w:r w:rsidR="00D60B77" w:rsidRPr="00D60B77">
        <w:rPr>
          <w:rFonts w:ascii="Garamond" w:hAnsi="Garamond"/>
          <w:sz w:val="22"/>
          <w:szCs w:val="22"/>
        </w:rPr>
        <w:t>further evaluati</w:t>
      </w:r>
      <w:r w:rsidR="00452657">
        <w:rPr>
          <w:rFonts w:ascii="Garamond" w:hAnsi="Garamond"/>
          <w:sz w:val="22"/>
          <w:szCs w:val="22"/>
        </w:rPr>
        <w:t>ng</w:t>
      </w:r>
      <w:r w:rsidR="00D60B77" w:rsidRPr="00D60B77">
        <w:rPr>
          <w:rFonts w:ascii="Garamond" w:hAnsi="Garamond"/>
          <w:sz w:val="22"/>
          <w:szCs w:val="22"/>
        </w:rPr>
        <w:t xml:space="preserve"> </w:t>
      </w:r>
      <w:r w:rsidR="00452657">
        <w:rPr>
          <w:rFonts w:ascii="Garamond" w:hAnsi="Garamond"/>
          <w:sz w:val="22"/>
          <w:szCs w:val="22"/>
        </w:rPr>
        <w:t xml:space="preserve">the pace of the </w:t>
      </w:r>
      <w:r w:rsidR="00D60B77" w:rsidRPr="00D60B77">
        <w:rPr>
          <w:rFonts w:ascii="Garamond" w:hAnsi="Garamond"/>
          <w:sz w:val="22"/>
          <w:szCs w:val="22"/>
        </w:rPr>
        <w:t>fiscal policy</w:t>
      </w:r>
      <w:r w:rsidR="00452657">
        <w:rPr>
          <w:rFonts w:ascii="Garamond" w:hAnsi="Garamond"/>
          <w:sz w:val="22"/>
          <w:szCs w:val="22"/>
        </w:rPr>
        <w:t>.</w:t>
      </w:r>
    </w:p>
    <w:tbl>
      <w:tblPr>
        <w:tblStyle w:val="TableGrid"/>
        <w:tblW w:w="0" w:type="auto"/>
        <w:tblLook w:val="04A0" w:firstRow="1" w:lastRow="0" w:firstColumn="1" w:lastColumn="0" w:noHBand="0" w:noVBand="1"/>
      </w:tblPr>
      <w:tblGrid>
        <w:gridCol w:w="6204"/>
      </w:tblGrid>
      <w:tr w:rsidR="00452657" w:rsidRPr="00AB24C1" w14:paraId="23BF7293" w14:textId="77777777" w:rsidTr="008B7BEE">
        <w:tc>
          <w:tcPr>
            <w:tcW w:w="6204" w:type="dxa"/>
          </w:tcPr>
          <w:p w14:paraId="789C6AF0" w14:textId="77777777" w:rsidR="00452657" w:rsidRPr="00452657" w:rsidRDefault="00452657" w:rsidP="008B7BEE">
            <w:pPr>
              <w:autoSpaceDE w:val="0"/>
              <w:autoSpaceDN w:val="0"/>
              <w:adjustRightInd w:val="0"/>
              <w:spacing w:after="120" w:line="360" w:lineRule="auto"/>
              <w:jc w:val="both"/>
              <w:rPr>
                <w:rFonts w:ascii="Garamond" w:hAnsi="Garamond"/>
                <w:color w:val="0070C0"/>
                <w:sz w:val="20"/>
                <w:szCs w:val="20"/>
              </w:rPr>
            </w:pPr>
            <w:r w:rsidRPr="00452657">
              <w:rPr>
                <w:rFonts w:ascii="Garamond" w:hAnsi="Garamond"/>
                <w:color w:val="0070C0"/>
                <w:sz w:val="20"/>
                <w:szCs w:val="20"/>
              </w:rPr>
              <w:t>In 2018, the fiscal policy will have a 1.6 pp of contractionary impact on domestic demand, mostly owing to tightened expenditures.</w:t>
            </w:r>
          </w:p>
        </w:tc>
      </w:tr>
    </w:tbl>
    <w:p w14:paraId="029B2EC6" w14:textId="77777777" w:rsidR="00680C82" w:rsidRDefault="00680C82" w:rsidP="00452657">
      <w:pPr>
        <w:autoSpaceDE w:val="0"/>
        <w:autoSpaceDN w:val="0"/>
        <w:adjustRightInd w:val="0"/>
        <w:spacing w:after="120" w:line="360" w:lineRule="auto"/>
        <w:jc w:val="both"/>
        <w:rPr>
          <w:rFonts w:ascii="Garamond" w:hAnsi="Garamond"/>
          <w:sz w:val="22"/>
          <w:szCs w:val="22"/>
        </w:rPr>
      </w:pPr>
    </w:p>
    <w:p w14:paraId="165E0C58" w14:textId="77777777" w:rsidR="00452657" w:rsidRPr="00452657" w:rsidRDefault="00452657" w:rsidP="00452657">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A</w:t>
      </w:r>
      <w:r w:rsidRPr="00452657">
        <w:rPr>
          <w:rFonts w:ascii="Garamond" w:hAnsi="Garamond"/>
          <w:sz w:val="22"/>
          <w:szCs w:val="22"/>
        </w:rPr>
        <w:t>ccording to the C</w:t>
      </w:r>
      <w:r>
        <w:rPr>
          <w:rFonts w:ascii="Garamond" w:hAnsi="Garamond"/>
          <w:sz w:val="22"/>
          <w:szCs w:val="22"/>
        </w:rPr>
        <w:t xml:space="preserve">entral Bank </w:t>
      </w:r>
      <w:r w:rsidRPr="00452657">
        <w:rPr>
          <w:rFonts w:ascii="Garamond" w:hAnsi="Garamond"/>
          <w:sz w:val="22"/>
          <w:szCs w:val="22"/>
        </w:rPr>
        <w:t>assessment,</w:t>
      </w:r>
      <w:r>
        <w:rPr>
          <w:rFonts w:ascii="Garamond" w:hAnsi="Garamond"/>
          <w:sz w:val="22"/>
          <w:szCs w:val="22"/>
        </w:rPr>
        <w:t xml:space="preserve"> t</w:t>
      </w:r>
      <w:r w:rsidRPr="00452657">
        <w:rPr>
          <w:rFonts w:ascii="Garamond" w:hAnsi="Garamond"/>
          <w:sz w:val="22"/>
          <w:szCs w:val="22"/>
        </w:rPr>
        <w:t xml:space="preserve">he </w:t>
      </w:r>
      <w:r w:rsidRPr="00452657">
        <w:rPr>
          <w:rFonts w:ascii="Garamond" w:hAnsi="Garamond"/>
          <w:b/>
          <w:sz w:val="22"/>
          <w:szCs w:val="22"/>
        </w:rPr>
        <w:t>medium-term impact of fiscal policy</w:t>
      </w:r>
      <w:r>
        <w:rPr>
          <w:rFonts w:ascii="Garamond" w:hAnsi="Garamond"/>
          <w:b/>
          <w:sz w:val="22"/>
          <w:szCs w:val="22"/>
        </w:rPr>
        <w:t xml:space="preserve"> </w:t>
      </w:r>
      <w:r w:rsidRPr="00452657">
        <w:rPr>
          <w:rFonts w:ascii="Garamond" w:hAnsi="Garamond"/>
          <w:sz w:val="22"/>
          <w:szCs w:val="22"/>
        </w:rPr>
        <w:t>is still uncertain</w:t>
      </w:r>
      <w:r w:rsidR="00680C82">
        <w:rPr>
          <w:rFonts w:ascii="Garamond" w:hAnsi="Garamond"/>
          <w:sz w:val="22"/>
          <w:szCs w:val="22"/>
        </w:rPr>
        <w:t xml:space="preserve">, since </w:t>
      </w:r>
      <w:r w:rsidRPr="00452657">
        <w:rPr>
          <w:rFonts w:ascii="Garamond" w:hAnsi="Garamond"/>
          <w:sz w:val="22"/>
          <w:szCs w:val="22"/>
        </w:rPr>
        <w:t xml:space="preserve">the 2019 </w:t>
      </w:r>
      <w:r>
        <w:rPr>
          <w:rFonts w:ascii="Garamond" w:hAnsi="Garamond"/>
          <w:sz w:val="22"/>
          <w:szCs w:val="22"/>
        </w:rPr>
        <w:t>State Budget i</w:t>
      </w:r>
      <w:r w:rsidRPr="00452657">
        <w:rPr>
          <w:rFonts w:ascii="Garamond" w:hAnsi="Garamond"/>
          <w:sz w:val="22"/>
          <w:szCs w:val="22"/>
        </w:rPr>
        <w:t xml:space="preserve">ndicators </w:t>
      </w:r>
      <w:r>
        <w:rPr>
          <w:rFonts w:ascii="Garamond" w:hAnsi="Garamond"/>
          <w:sz w:val="22"/>
          <w:szCs w:val="22"/>
        </w:rPr>
        <w:t>m</w:t>
      </w:r>
      <w:r w:rsidRPr="00452657">
        <w:rPr>
          <w:rFonts w:ascii="Garamond" w:hAnsi="Garamond"/>
          <w:sz w:val="22"/>
          <w:szCs w:val="22"/>
        </w:rPr>
        <w:t xml:space="preserve">ay </w:t>
      </w:r>
      <w:r>
        <w:rPr>
          <w:rFonts w:ascii="Garamond" w:hAnsi="Garamond"/>
          <w:sz w:val="22"/>
          <w:szCs w:val="22"/>
        </w:rPr>
        <w:t xml:space="preserve">come deviated from the </w:t>
      </w:r>
      <w:r w:rsidRPr="00452657">
        <w:rPr>
          <w:rFonts w:ascii="Garamond" w:hAnsi="Garamond"/>
          <w:sz w:val="22"/>
          <w:szCs w:val="22"/>
        </w:rPr>
        <w:t xml:space="preserve">Medium Term </w:t>
      </w:r>
      <w:r w:rsidR="00680C82">
        <w:rPr>
          <w:rFonts w:ascii="Garamond" w:hAnsi="Garamond"/>
          <w:sz w:val="22"/>
          <w:szCs w:val="22"/>
        </w:rPr>
        <w:t xml:space="preserve">Expenditure Framework for </w:t>
      </w:r>
      <w:r w:rsidR="00680C82" w:rsidRPr="00452657">
        <w:rPr>
          <w:rFonts w:ascii="Garamond" w:hAnsi="Garamond"/>
          <w:sz w:val="22"/>
          <w:szCs w:val="22"/>
        </w:rPr>
        <w:t>2019-2021</w:t>
      </w:r>
      <w:r w:rsidR="00680C82">
        <w:rPr>
          <w:rFonts w:ascii="Garamond" w:hAnsi="Garamond"/>
          <w:sz w:val="22"/>
          <w:szCs w:val="22"/>
        </w:rPr>
        <w:t xml:space="preserve">, depending on the progress with the 2018 </w:t>
      </w:r>
      <w:r w:rsidRPr="00452657">
        <w:rPr>
          <w:rFonts w:ascii="Garamond" w:hAnsi="Garamond"/>
          <w:sz w:val="22"/>
          <w:szCs w:val="22"/>
        </w:rPr>
        <w:t xml:space="preserve">budget </w:t>
      </w:r>
      <w:r w:rsidR="00680C82">
        <w:rPr>
          <w:rFonts w:ascii="Garamond" w:hAnsi="Garamond"/>
          <w:sz w:val="22"/>
          <w:szCs w:val="22"/>
        </w:rPr>
        <w:t xml:space="preserve">performance </w:t>
      </w:r>
      <w:r w:rsidRPr="00452657">
        <w:rPr>
          <w:rFonts w:ascii="Garamond" w:hAnsi="Garamond"/>
          <w:sz w:val="22"/>
          <w:szCs w:val="22"/>
        </w:rPr>
        <w:t xml:space="preserve">and the </w:t>
      </w:r>
      <w:r w:rsidR="00680C82">
        <w:rPr>
          <w:rFonts w:ascii="Garamond" w:hAnsi="Garamond"/>
          <w:sz w:val="22"/>
          <w:szCs w:val="22"/>
        </w:rPr>
        <w:t xml:space="preserve">annualized </w:t>
      </w:r>
      <w:r w:rsidRPr="00452657">
        <w:rPr>
          <w:rFonts w:ascii="Garamond" w:hAnsi="Garamond"/>
          <w:sz w:val="22"/>
          <w:szCs w:val="22"/>
        </w:rPr>
        <w:t>indicators.</w:t>
      </w:r>
    </w:p>
    <w:p w14:paraId="310C381B" w14:textId="77777777" w:rsidR="00680C82" w:rsidRDefault="00452657" w:rsidP="00452657">
      <w:pPr>
        <w:autoSpaceDE w:val="0"/>
        <w:autoSpaceDN w:val="0"/>
        <w:adjustRightInd w:val="0"/>
        <w:spacing w:after="120" w:line="360" w:lineRule="auto"/>
        <w:jc w:val="both"/>
        <w:rPr>
          <w:rFonts w:ascii="Garamond" w:hAnsi="Garamond"/>
          <w:sz w:val="22"/>
          <w:szCs w:val="22"/>
        </w:rPr>
      </w:pPr>
      <w:r w:rsidRPr="00452657">
        <w:rPr>
          <w:rFonts w:ascii="Garamond" w:hAnsi="Garamond"/>
          <w:sz w:val="22"/>
          <w:szCs w:val="22"/>
        </w:rPr>
        <w:t xml:space="preserve">Below </w:t>
      </w:r>
      <w:r w:rsidR="00680C82">
        <w:rPr>
          <w:rFonts w:ascii="Garamond" w:hAnsi="Garamond"/>
          <w:sz w:val="22"/>
          <w:szCs w:val="22"/>
        </w:rPr>
        <w:t xml:space="preserve">are the </w:t>
      </w:r>
      <w:r w:rsidRPr="00452657">
        <w:rPr>
          <w:rFonts w:ascii="Garamond" w:hAnsi="Garamond"/>
          <w:sz w:val="22"/>
          <w:szCs w:val="22"/>
        </w:rPr>
        <w:t xml:space="preserve">mid-term </w:t>
      </w:r>
      <w:r w:rsidR="00680C82">
        <w:rPr>
          <w:rFonts w:ascii="Garamond" w:hAnsi="Garamond"/>
          <w:sz w:val="22"/>
          <w:szCs w:val="22"/>
        </w:rPr>
        <w:t xml:space="preserve">fiscal </w:t>
      </w:r>
      <w:r w:rsidRPr="00452657">
        <w:rPr>
          <w:rFonts w:ascii="Garamond" w:hAnsi="Garamond"/>
          <w:sz w:val="22"/>
          <w:szCs w:val="22"/>
        </w:rPr>
        <w:t>trends and scope</w:t>
      </w:r>
      <w:r w:rsidR="00680C82">
        <w:rPr>
          <w:rFonts w:ascii="Garamond" w:hAnsi="Garamond"/>
          <w:sz w:val="22"/>
          <w:szCs w:val="22"/>
        </w:rPr>
        <w:t xml:space="preserve">, as outlined in the </w:t>
      </w:r>
      <w:r w:rsidR="00680C82" w:rsidRPr="00452657">
        <w:rPr>
          <w:rFonts w:ascii="Garamond" w:hAnsi="Garamond"/>
          <w:sz w:val="22"/>
          <w:szCs w:val="22"/>
        </w:rPr>
        <w:t xml:space="preserve">Medium Term </w:t>
      </w:r>
      <w:r w:rsidR="00680C82">
        <w:rPr>
          <w:rFonts w:ascii="Garamond" w:hAnsi="Garamond"/>
          <w:sz w:val="22"/>
          <w:szCs w:val="22"/>
        </w:rPr>
        <w:t>Expenditure Framework</w:t>
      </w:r>
      <w:r w:rsidR="007F3C2A">
        <w:rPr>
          <w:rFonts w:ascii="Garamond" w:hAnsi="Garamond"/>
          <w:sz w:val="22"/>
          <w:szCs w:val="22"/>
        </w:rPr>
        <w:t xml:space="preserve"> (MTEF)</w:t>
      </w:r>
      <w:r w:rsidR="00680C82">
        <w:rPr>
          <w:rFonts w:ascii="Garamond" w:hAnsi="Garamond"/>
          <w:sz w:val="22"/>
          <w:szCs w:val="22"/>
        </w:rPr>
        <w:t xml:space="preserve"> for </w:t>
      </w:r>
      <w:r w:rsidR="00680C82" w:rsidRPr="00452657">
        <w:rPr>
          <w:rFonts w:ascii="Garamond" w:hAnsi="Garamond"/>
          <w:sz w:val="22"/>
          <w:szCs w:val="22"/>
        </w:rPr>
        <w:t>2019-2021</w:t>
      </w:r>
      <w:r w:rsidR="00680C82">
        <w:rPr>
          <w:rFonts w:ascii="Garamond" w:hAnsi="Garamond"/>
          <w:sz w:val="22"/>
          <w:szCs w:val="22"/>
        </w:rPr>
        <w:t>:</w:t>
      </w:r>
    </w:p>
    <w:p w14:paraId="3CD12DC3" w14:textId="77777777" w:rsidR="00680C82" w:rsidRDefault="00680C82" w:rsidP="00680C82">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8613"/>
      </w:tblGrid>
      <w:tr w:rsidR="00680C82" w:rsidRPr="00AB24C1" w14:paraId="29254267" w14:textId="77777777" w:rsidTr="00680C82">
        <w:tc>
          <w:tcPr>
            <w:tcW w:w="8613" w:type="dxa"/>
          </w:tcPr>
          <w:p w14:paraId="3FD57665" w14:textId="77777777" w:rsidR="00680C82" w:rsidRPr="007F3C2A" w:rsidRDefault="00680C82" w:rsidP="008B7BEE">
            <w:pPr>
              <w:autoSpaceDE w:val="0"/>
              <w:autoSpaceDN w:val="0"/>
              <w:adjustRightInd w:val="0"/>
              <w:spacing w:after="120" w:line="360" w:lineRule="auto"/>
              <w:jc w:val="both"/>
              <w:rPr>
                <w:rFonts w:ascii="Garamond" w:hAnsi="Garamond"/>
                <w:b/>
                <w:color w:val="0070C0"/>
                <w:sz w:val="21"/>
                <w:szCs w:val="21"/>
              </w:rPr>
            </w:pPr>
            <w:r w:rsidRPr="007F3C2A">
              <w:rPr>
                <w:rFonts w:ascii="Garamond" w:hAnsi="Garamond"/>
                <w:b/>
                <w:color w:val="0070C0"/>
                <w:sz w:val="21"/>
                <w:szCs w:val="21"/>
              </w:rPr>
              <w:t>Box 1:</w:t>
            </w:r>
          </w:p>
          <w:p w14:paraId="7B2BD163" w14:textId="77777777" w:rsidR="00680C82" w:rsidRPr="007F3C2A" w:rsidRDefault="007F3C2A" w:rsidP="007F3C2A">
            <w:pPr>
              <w:autoSpaceDE w:val="0"/>
              <w:autoSpaceDN w:val="0"/>
              <w:adjustRightInd w:val="0"/>
              <w:spacing w:after="120" w:line="360" w:lineRule="auto"/>
              <w:jc w:val="both"/>
              <w:rPr>
                <w:rFonts w:ascii="Garamond" w:hAnsi="Garamond" w:cs="Sylfaen"/>
                <w:b/>
                <w:color w:val="0070C0"/>
                <w:sz w:val="21"/>
                <w:szCs w:val="21"/>
              </w:rPr>
            </w:pPr>
            <w:r w:rsidRPr="007F3C2A">
              <w:rPr>
                <w:rFonts w:ascii="Garamond" w:hAnsi="Garamond" w:cs="Sylfaen"/>
                <w:b/>
                <w:color w:val="0070C0"/>
                <w:sz w:val="21"/>
                <w:szCs w:val="21"/>
              </w:rPr>
              <w:t>The Medium Term State Budget Developments, by MTEF 2019-2021</w:t>
            </w:r>
          </w:p>
          <w:p w14:paraId="5B0CB4DB" w14:textId="77777777" w:rsidR="007F3C2A" w:rsidRPr="007F3C2A" w:rsidRDefault="007F3C2A" w:rsidP="007F3C2A">
            <w:pPr>
              <w:autoSpaceDE w:val="0"/>
              <w:autoSpaceDN w:val="0"/>
              <w:adjustRightInd w:val="0"/>
              <w:spacing w:after="120" w:line="360" w:lineRule="auto"/>
              <w:jc w:val="both"/>
              <w:rPr>
                <w:rFonts w:ascii="Garamond" w:hAnsi="Garamond"/>
                <w:sz w:val="21"/>
                <w:szCs w:val="21"/>
              </w:rPr>
            </w:pPr>
            <w:r w:rsidRPr="007F3C2A">
              <w:rPr>
                <w:rFonts w:ascii="Garamond" w:hAnsi="Garamond"/>
                <w:sz w:val="21"/>
                <w:szCs w:val="21"/>
              </w:rPr>
              <w:t xml:space="preserve">The medium term fiscal policy framework </w:t>
            </w:r>
            <w:r w:rsidR="00B234E2">
              <w:rPr>
                <w:rFonts w:ascii="Garamond" w:hAnsi="Garamond"/>
                <w:sz w:val="21"/>
                <w:szCs w:val="21"/>
              </w:rPr>
              <w:t xml:space="preserve">which is incorporated in the </w:t>
            </w:r>
            <w:r w:rsidRPr="007F3C2A">
              <w:rPr>
                <w:rFonts w:ascii="Garamond" w:hAnsi="Garamond"/>
                <w:sz w:val="21"/>
                <w:szCs w:val="21"/>
              </w:rPr>
              <w:t>Medium-Term Expenditure</w:t>
            </w:r>
            <w:r w:rsidR="00B234E2">
              <w:rPr>
                <w:rFonts w:ascii="Garamond" w:hAnsi="Garamond"/>
                <w:sz w:val="21"/>
                <w:szCs w:val="21"/>
              </w:rPr>
              <w:t>s</w:t>
            </w:r>
            <w:r w:rsidRPr="007F3C2A">
              <w:rPr>
                <w:rFonts w:ascii="Garamond" w:hAnsi="Garamond"/>
                <w:sz w:val="21"/>
                <w:szCs w:val="21"/>
              </w:rPr>
              <w:t xml:space="preserve"> </w:t>
            </w:r>
            <w:r w:rsidR="00B234E2">
              <w:rPr>
                <w:rFonts w:ascii="Garamond" w:hAnsi="Garamond"/>
                <w:sz w:val="21"/>
                <w:szCs w:val="21"/>
              </w:rPr>
              <w:t xml:space="preserve">Program for </w:t>
            </w:r>
            <w:r w:rsidRPr="007F3C2A">
              <w:rPr>
                <w:rFonts w:ascii="Garamond" w:hAnsi="Garamond"/>
                <w:sz w:val="21"/>
                <w:szCs w:val="21"/>
              </w:rPr>
              <w:t xml:space="preserve">2019-2021 has been developed </w:t>
            </w:r>
            <w:r w:rsidR="00EE3BD3">
              <w:rPr>
                <w:rFonts w:ascii="Garamond" w:hAnsi="Garamond"/>
                <w:sz w:val="21"/>
                <w:szCs w:val="21"/>
              </w:rPr>
              <w:t xml:space="preserve">using an upgraded system for </w:t>
            </w:r>
            <w:r w:rsidRPr="007F3C2A">
              <w:rPr>
                <w:rFonts w:ascii="Garamond" w:hAnsi="Garamond"/>
                <w:sz w:val="21"/>
                <w:szCs w:val="21"/>
              </w:rPr>
              <w:t>fiscal rules</w:t>
            </w:r>
            <w:r w:rsidR="00EE3BD3">
              <w:rPr>
                <w:rFonts w:ascii="Garamond" w:hAnsi="Garamond"/>
                <w:sz w:val="21"/>
                <w:szCs w:val="21"/>
              </w:rPr>
              <w:t>, effective from</w:t>
            </w:r>
            <w:r w:rsidRPr="007F3C2A">
              <w:rPr>
                <w:rFonts w:ascii="Garamond" w:hAnsi="Garamond"/>
                <w:sz w:val="21"/>
                <w:szCs w:val="21"/>
              </w:rPr>
              <w:t xml:space="preserve"> 2018. </w:t>
            </w:r>
            <w:r w:rsidR="00727198">
              <w:rPr>
                <w:rFonts w:ascii="Garamond" w:hAnsi="Garamond"/>
                <w:sz w:val="21"/>
                <w:szCs w:val="21"/>
              </w:rPr>
              <w:t xml:space="preserve">In compliance with these rules, a contractionary fiscal policy will be carried out in </w:t>
            </w:r>
            <w:r w:rsidRPr="007F3C2A">
              <w:rPr>
                <w:rFonts w:ascii="Garamond" w:hAnsi="Garamond"/>
                <w:sz w:val="21"/>
                <w:szCs w:val="21"/>
              </w:rPr>
              <w:t xml:space="preserve">the forecast medium-term horizon, </w:t>
            </w:r>
            <w:r w:rsidR="00727198">
              <w:rPr>
                <w:rFonts w:ascii="Garamond" w:hAnsi="Garamond"/>
                <w:sz w:val="21"/>
                <w:szCs w:val="21"/>
              </w:rPr>
              <w:t xml:space="preserve">in view of </w:t>
            </w:r>
            <w:r w:rsidRPr="007F3C2A">
              <w:rPr>
                <w:rFonts w:ascii="Garamond" w:hAnsi="Garamond"/>
                <w:sz w:val="21"/>
                <w:szCs w:val="21"/>
              </w:rPr>
              <w:t xml:space="preserve">the need to </w:t>
            </w:r>
            <w:r w:rsidR="00727198">
              <w:rPr>
                <w:rFonts w:ascii="Garamond" w:hAnsi="Garamond"/>
                <w:sz w:val="21"/>
                <w:szCs w:val="21"/>
              </w:rPr>
              <w:t xml:space="preserve">shape </w:t>
            </w:r>
            <w:r w:rsidRPr="007F3C2A">
              <w:rPr>
                <w:rFonts w:ascii="Garamond" w:hAnsi="Garamond"/>
                <w:sz w:val="21"/>
                <w:szCs w:val="21"/>
              </w:rPr>
              <w:t xml:space="preserve">a </w:t>
            </w:r>
            <w:r w:rsidR="00727198">
              <w:rPr>
                <w:rFonts w:ascii="Garamond" w:hAnsi="Garamond"/>
                <w:sz w:val="21"/>
                <w:szCs w:val="21"/>
              </w:rPr>
              <w:t xml:space="preserve">sustainable </w:t>
            </w:r>
            <w:r w:rsidRPr="007F3C2A">
              <w:rPr>
                <w:rFonts w:ascii="Garamond" w:hAnsi="Garamond"/>
                <w:sz w:val="21"/>
                <w:szCs w:val="21"/>
              </w:rPr>
              <w:t xml:space="preserve">fiscal and debt environment. </w:t>
            </w:r>
            <w:r w:rsidR="00727198">
              <w:rPr>
                <w:rFonts w:ascii="Garamond" w:hAnsi="Garamond"/>
                <w:sz w:val="21"/>
                <w:szCs w:val="21"/>
              </w:rPr>
              <w:t xml:space="preserve">In </w:t>
            </w:r>
            <w:r w:rsidRPr="007F3C2A">
              <w:rPr>
                <w:rFonts w:ascii="Garamond" w:hAnsi="Garamond"/>
                <w:sz w:val="21"/>
                <w:szCs w:val="21"/>
              </w:rPr>
              <w:t>2019-2021</w:t>
            </w:r>
            <w:r w:rsidR="00727198">
              <w:rPr>
                <w:rFonts w:ascii="Garamond" w:hAnsi="Garamond"/>
                <w:sz w:val="21"/>
                <w:szCs w:val="21"/>
              </w:rPr>
              <w:t>,</w:t>
            </w:r>
            <w:r w:rsidRPr="007F3C2A">
              <w:rPr>
                <w:rFonts w:ascii="Garamond" w:hAnsi="Garamond"/>
                <w:sz w:val="21"/>
                <w:szCs w:val="21"/>
              </w:rPr>
              <w:t xml:space="preserve"> </w:t>
            </w:r>
            <w:r w:rsidR="00004D9D">
              <w:rPr>
                <w:rFonts w:ascii="Garamond" w:hAnsi="Garamond"/>
                <w:sz w:val="21"/>
                <w:szCs w:val="21"/>
              </w:rPr>
              <w:t xml:space="preserve">an increase in </w:t>
            </w:r>
            <w:r w:rsidRPr="007F3C2A">
              <w:rPr>
                <w:rFonts w:ascii="Garamond" w:hAnsi="Garamond"/>
                <w:sz w:val="21"/>
                <w:szCs w:val="21"/>
              </w:rPr>
              <w:t>tax revenue</w:t>
            </w:r>
            <w:r w:rsidR="00004D9D">
              <w:rPr>
                <w:rFonts w:ascii="Garamond" w:hAnsi="Garamond"/>
                <w:sz w:val="21"/>
                <w:szCs w:val="21"/>
              </w:rPr>
              <w:t xml:space="preserve"> relative to the G</w:t>
            </w:r>
            <w:r w:rsidRPr="007F3C2A">
              <w:rPr>
                <w:rFonts w:ascii="Garamond" w:hAnsi="Garamond"/>
                <w:sz w:val="21"/>
                <w:szCs w:val="21"/>
              </w:rPr>
              <w:t>DP will</w:t>
            </w:r>
            <w:r w:rsidR="00727198">
              <w:rPr>
                <w:rFonts w:ascii="Garamond" w:hAnsi="Garamond"/>
                <w:sz w:val="21"/>
                <w:szCs w:val="21"/>
              </w:rPr>
              <w:t xml:space="preserve"> </w:t>
            </w:r>
            <w:r w:rsidR="00004D9D">
              <w:rPr>
                <w:rFonts w:ascii="Garamond" w:hAnsi="Garamond"/>
                <w:sz w:val="21"/>
                <w:szCs w:val="21"/>
              </w:rPr>
              <w:t xml:space="preserve">amount to </w:t>
            </w:r>
            <w:r w:rsidRPr="007F3C2A">
              <w:rPr>
                <w:rFonts w:ascii="Garamond" w:hAnsi="Garamond"/>
                <w:sz w:val="21"/>
                <w:szCs w:val="21"/>
              </w:rPr>
              <w:t>0.4 p</w:t>
            </w:r>
            <w:r w:rsidR="00004D9D">
              <w:rPr>
                <w:rFonts w:ascii="Garamond" w:hAnsi="Garamond"/>
                <w:sz w:val="21"/>
                <w:szCs w:val="21"/>
              </w:rPr>
              <w:t>p on average</w:t>
            </w:r>
            <w:r w:rsidRPr="007F3C2A">
              <w:rPr>
                <w:rFonts w:ascii="Garamond" w:hAnsi="Garamond"/>
                <w:sz w:val="21"/>
                <w:szCs w:val="21"/>
              </w:rPr>
              <w:t>.</w:t>
            </w:r>
          </w:p>
          <w:p w14:paraId="118312FF" w14:textId="77777777" w:rsidR="007F3C2A" w:rsidRPr="007F3C2A" w:rsidRDefault="007F3C2A" w:rsidP="007F3C2A">
            <w:pPr>
              <w:autoSpaceDE w:val="0"/>
              <w:autoSpaceDN w:val="0"/>
              <w:adjustRightInd w:val="0"/>
              <w:spacing w:after="120" w:line="360" w:lineRule="auto"/>
              <w:jc w:val="both"/>
              <w:rPr>
                <w:rFonts w:ascii="Garamond" w:hAnsi="Garamond"/>
                <w:sz w:val="21"/>
                <w:szCs w:val="21"/>
              </w:rPr>
            </w:pPr>
            <w:r w:rsidRPr="007F3C2A">
              <w:rPr>
                <w:rFonts w:ascii="Garamond" w:hAnsi="Garamond"/>
                <w:sz w:val="21"/>
                <w:szCs w:val="21"/>
              </w:rPr>
              <w:t xml:space="preserve">To ensure long-term economic growth, </w:t>
            </w:r>
            <w:r w:rsidR="008B7BEE">
              <w:rPr>
                <w:rFonts w:ascii="Garamond" w:hAnsi="Garamond"/>
                <w:sz w:val="21"/>
                <w:szCs w:val="21"/>
              </w:rPr>
              <w:t xml:space="preserve">there are plans to decrease the share of </w:t>
            </w:r>
            <w:r w:rsidRPr="007F3C2A">
              <w:rPr>
                <w:rFonts w:ascii="Garamond" w:hAnsi="Garamond"/>
                <w:sz w:val="21"/>
                <w:szCs w:val="21"/>
              </w:rPr>
              <w:t>current expenditure</w:t>
            </w:r>
            <w:r w:rsidR="008B7BEE">
              <w:rPr>
                <w:rFonts w:ascii="Garamond" w:hAnsi="Garamond"/>
                <w:sz w:val="21"/>
                <w:szCs w:val="21"/>
              </w:rPr>
              <w:t>s</w:t>
            </w:r>
            <w:r w:rsidRPr="007F3C2A">
              <w:rPr>
                <w:rFonts w:ascii="Garamond" w:hAnsi="Garamond"/>
                <w:sz w:val="21"/>
                <w:szCs w:val="21"/>
              </w:rPr>
              <w:t xml:space="preserve"> </w:t>
            </w:r>
            <w:r w:rsidR="008B7BEE" w:rsidRPr="007F3C2A">
              <w:rPr>
                <w:rFonts w:ascii="Garamond" w:hAnsi="Garamond"/>
                <w:sz w:val="21"/>
                <w:szCs w:val="21"/>
              </w:rPr>
              <w:t xml:space="preserve">and increase the share of capital expenditures </w:t>
            </w:r>
            <w:r w:rsidRPr="007F3C2A">
              <w:rPr>
                <w:rFonts w:ascii="Garamond" w:hAnsi="Garamond"/>
                <w:sz w:val="21"/>
                <w:szCs w:val="21"/>
              </w:rPr>
              <w:t xml:space="preserve">in </w:t>
            </w:r>
            <w:r w:rsidR="008B7BEE">
              <w:rPr>
                <w:rFonts w:ascii="Garamond" w:hAnsi="Garamond"/>
                <w:sz w:val="21"/>
                <w:szCs w:val="21"/>
              </w:rPr>
              <w:t xml:space="preserve">the </w:t>
            </w:r>
            <w:r w:rsidRPr="007F3C2A">
              <w:rPr>
                <w:rFonts w:ascii="Garamond" w:hAnsi="Garamond"/>
                <w:sz w:val="21"/>
                <w:szCs w:val="21"/>
              </w:rPr>
              <w:t>GDP.</w:t>
            </w:r>
          </w:p>
          <w:p w14:paraId="6C7C8784" w14:textId="77777777" w:rsidR="007F3C2A" w:rsidRPr="007F3C2A" w:rsidRDefault="007F3C2A" w:rsidP="007F3C2A">
            <w:pPr>
              <w:autoSpaceDE w:val="0"/>
              <w:autoSpaceDN w:val="0"/>
              <w:adjustRightInd w:val="0"/>
              <w:spacing w:after="120" w:line="360" w:lineRule="auto"/>
              <w:jc w:val="both"/>
              <w:rPr>
                <w:rFonts w:ascii="Garamond" w:hAnsi="Garamond"/>
                <w:sz w:val="21"/>
                <w:szCs w:val="21"/>
              </w:rPr>
            </w:pPr>
            <w:r w:rsidRPr="007F3C2A">
              <w:rPr>
                <w:rFonts w:ascii="Garamond" w:hAnsi="Garamond"/>
                <w:sz w:val="21"/>
                <w:szCs w:val="21"/>
              </w:rPr>
              <w:t>A</w:t>
            </w:r>
            <w:r w:rsidR="008B7BEE">
              <w:rPr>
                <w:rFonts w:ascii="Garamond" w:hAnsi="Garamond"/>
                <w:sz w:val="21"/>
                <w:szCs w:val="21"/>
              </w:rPr>
              <w:t xml:space="preserve">s regards the </w:t>
            </w:r>
            <w:r w:rsidRPr="007F3C2A">
              <w:rPr>
                <w:rFonts w:ascii="Garamond" w:hAnsi="Garamond"/>
                <w:sz w:val="21"/>
                <w:szCs w:val="21"/>
              </w:rPr>
              <w:t xml:space="preserve">Government debt, </w:t>
            </w:r>
            <w:r w:rsidR="008B7BEE">
              <w:rPr>
                <w:rFonts w:ascii="Garamond" w:hAnsi="Garamond"/>
                <w:sz w:val="21"/>
                <w:szCs w:val="21"/>
              </w:rPr>
              <w:t xml:space="preserve">the </w:t>
            </w:r>
            <w:r w:rsidRPr="007F3C2A">
              <w:rPr>
                <w:rFonts w:ascii="Garamond" w:hAnsi="Garamond"/>
                <w:sz w:val="21"/>
                <w:szCs w:val="21"/>
              </w:rPr>
              <w:t>government debt</w:t>
            </w:r>
            <w:r w:rsidR="008B7BEE">
              <w:rPr>
                <w:rFonts w:ascii="Garamond" w:hAnsi="Garamond"/>
                <w:sz w:val="21"/>
                <w:szCs w:val="21"/>
              </w:rPr>
              <w:t>-to-</w:t>
            </w:r>
            <w:r w:rsidRPr="007F3C2A">
              <w:rPr>
                <w:rFonts w:ascii="Garamond" w:hAnsi="Garamond"/>
                <w:sz w:val="21"/>
                <w:szCs w:val="21"/>
              </w:rPr>
              <w:t xml:space="preserve">GDP </w:t>
            </w:r>
            <w:r w:rsidR="008B7BEE">
              <w:rPr>
                <w:rFonts w:ascii="Garamond" w:hAnsi="Garamond"/>
                <w:sz w:val="21"/>
                <w:szCs w:val="21"/>
              </w:rPr>
              <w:t>ratio</w:t>
            </w:r>
            <w:r w:rsidR="006437AF">
              <w:rPr>
                <w:rFonts w:ascii="Garamond" w:hAnsi="Garamond"/>
                <w:sz w:val="21"/>
                <w:szCs w:val="21"/>
              </w:rPr>
              <w:t>, which exceeded</w:t>
            </w:r>
            <w:r w:rsidR="008B7BEE">
              <w:rPr>
                <w:rFonts w:ascii="Garamond" w:hAnsi="Garamond"/>
                <w:sz w:val="21"/>
                <w:szCs w:val="21"/>
              </w:rPr>
              <w:t xml:space="preserve"> </w:t>
            </w:r>
            <w:r w:rsidR="006437AF" w:rsidRPr="007F3C2A">
              <w:rPr>
                <w:rFonts w:ascii="Garamond" w:hAnsi="Garamond"/>
                <w:sz w:val="21"/>
                <w:szCs w:val="21"/>
              </w:rPr>
              <w:t xml:space="preserve">50% of </w:t>
            </w:r>
            <w:r w:rsidR="006437AF">
              <w:rPr>
                <w:rFonts w:ascii="Garamond" w:hAnsi="Garamond"/>
                <w:sz w:val="21"/>
                <w:szCs w:val="21"/>
              </w:rPr>
              <w:t xml:space="preserve">the </w:t>
            </w:r>
            <w:r w:rsidR="006437AF" w:rsidRPr="007F3C2A">
              <w:rPr>
                <w:rFonts w:ascii="Garamond" w:hAnsi="Garamond"/>
                <w:sz w:val="21"/>
                <w:szCs w:val="21"/>
              </w:rPr>
              <w:t>GDP</w:t>
            </w:r>
            <w:r w:rsidR="006437AF">
              <w:rPr>
                <w:rFonts w:ascii="Garamond" w:hAnsi="Garamond"/>
                <w:sz w:val="21"/>
                <w:szCs w:val="21"/>
              </w:rPr>
              <w:t xml:space="preserve"> in late 2017, amounting to 53.7%, </w:t>
            </w:r>
            <w:r w:rsidR="008B7BEE">
              <w:rPr>
                <w:rFonts w:ascii="Garamond" w:hAnsi="Garamond"/>
                <w:sz w:val="21"/>
                <w:szCs w:val="21"/>
              </w:rPr>
              <w:t xml:space="preserve">will, according to the fiscal rules, </w:t>
            </w:r>
            <w:r w:rsidR="006437AF">
              <w:rPr>
                <w:rFonts w:ascii="Garamond" w:hAnsi="Garamond"/>
                <w:sz w:val="21"/>
                <w:szCs w:val="21"/>
              </w:rPr>
              <w:t>be expected to trim down to be a figure below 50% of the GDP by 2023.</w:t>
            </w:r>
            <w:r w:rsidRPr="007F3C2A">
              <w:rPr>
                <w:rFonts w:ascii="Garamond" w:hAnsi="Garamond"/>
                <w:sz w:val="21"/>
                <w:szCs w:val="21"/>
              </w:rPr>
              <w:t xml:space="preserve"> </w:t>
            </w:r>
            <w:r w:rsidR="006437AF">
              <w:rPr>
                <w:rFonts w:ascii="Garamond" w:hAnsi="Garamond"/>
                <w:sz w:val="21"/>
                <w:szCs w:val="21"/>
              </w:rPr>
              <w:t>So</w:t>
            </w:r>
            <w:r w:rsidRPr="007F3C2A">
              <w:rPr>
                <w:rFonts w:ascii="Garamond" w:hAnsi="Garamond"/>
                <w:sz w:val="21"/>
                <w:szCs w:val="21"/>
              </w:rPr>
              <w:t xml:space="preserve">, </w:t>
            </w:r>
            <w:r w:rsidR="00FE6E39">
              <w:rPr>
                <w:rFonts w:ascii="Garamond" w:hAnsi="Garamond"/>
                <w:sz w:val="21"/>
                <w:szCs w:val="21"/>
              </w:rPr>
              <w:t>carryi</w:t>
            </w:r>
            <w:r w:rsidR="006437AF">
              <w:rPr>
                <w:rFonts w:ascii="Garamond" w:hAnsi="Garamond"/>
                <w:sz w:val="21"/>
                <w:szCs w:val="21"/>
              </w:rPr>
              <w:t>ng out a</w:t>
            </w:r>
            <w:r w:rsidRPr="007F3C2A">
              <w:rPr>
                <w:rFonts w:ascii="Garamond" w:hAnsi="Garamond"/>
                <w:sz w:val="21"/>
                <w:szCs w:val="21"/>
              </w:rPr>
              <w:t xml:space="preserve"> fiscal consolidation and improvement of the debt</w:t>
            </w:r>
            <w:r w:rsidR="006437AF">
              <w:rPr>
                <w:rFonts w:ascii="Garamond" w:hAnsi="Garamond"/>
                <w:sz w:val="21"/>
                <w:szCs w:val="21"/>
              </w:rPr>
              <w:t>-to-</w:t>
            </w:r>
            <w:r w:rsidRPr="007F3C2A">
              <w:rPr>
                <w:rFonts w:ascii="Garamond" w:hAnsi="Garamond"/>
                <w:sz w:val="21"/>
                <w:szCs w:val="21"/>
              </w:rPr>
              <w:t>GDP ratio</w:t>
            </w:r>
            <w:r w:rsidR="006437AF">
              <w:rPr>
                <w:rFonts w:ascii="Garamond" w:hAnsi="Garamond"/>
                <w:sz w:val="21"/>
                <w:szCs w:val="21"/>
              </w:rPr>
              <w:t xml:space="preserve"> is intended</w:t>
            </w:r>
            <w:r w:rsidR="006437AF" w:rsidRPr="007F3C2A">
              <w:rPr>
                <w:rFonts w:ascii="Garamond" w:hAnsi="Garamond"/>
                <w:sz w:val="21"/>
                <w:szCs w:val="21"/>
              </w:rPr>
              <w:t xml:space="preserve"> </w:t>
            </w:r>
            <w:r w:rsidR="006437AF">
              <w:rPr>
                <w:rFonts w:ascii="Garamond" w:hAnsi="Garamond"/>
                <w:sz w:val="21"/>
                <w:szCs w:val="21"/>
              </w:rPr>
              <w:t>in the medium-</w:t>
            </w:r>
            <w:r w:rsidR="006437AF" w:rsidRPr="007F3C2A">
              <w:rPr>
                <w:rFonts w:ascii="Garamond" w:hAnsi="Garamond"/>
                <w:sz w:val="21"/>
                <w:szCs w:val="21"/>
              </w:rPr>
              <w:t>term</w:t>
            </w:r>
            <w:r w:rsidR="006437AF">
              <w:rPr>
                <w:rFonts w:ascii="Garamond" w:hAnsi="Garamond"/>
                <w:sz w:val="21"/>
                <w:szCs w:val="21"/>
              </w:rPr>
              <w:t xml:space="preserve"> perspective.</w:t>
            </w:r>
          </w:p>
          <w:p w14:paraId="0067CCB7" w14:textId="77777777" w:rsidR="007F3C2A" w:rsidRPr="007F3C2A" w:rsidRDefault="001815BE" w:rsidP="00D6615F">
            <w:pPr>
              <w:autoSpaceDE w:val="0"/>
              <w:autoSpaceDN w:val="0"/>
              <w:adjustRightInd w:val="0"/>
              <w:spacing w:after="120" w:line="360" w:lineRule="auto"/>
              <w:jc w:val="both"/>
              <w:rPr>
                <w:rFonts w:ascii="Garamond" w:hAnsi="Garamond"/>
                <w:sz w:val="21"/>
                <w:szCs w:val="21"/>
              </w:rPr>
            </w:pPr>
            <w:r>
              <w:rPr>
                <w:rFonts w:ascii="Garamond" w:hAnsi="Garamond"/>
                <w:sz w:val="21"/>
                <w:szCs w:val="21"/>
              </w:rPr>
              <w:t>To</w:t>
            </w:r>
            <w:r w:rsidR="007F3C2A" w:rsidRPr="007F3C2A">
              <w:rPr>
                <w:rFonts w:ascii="Garamond" w:hAnsi="Garamond"/>
                <w:sz w:val="21"/>
                <w:szCs w:val="21"/>
              </w:rPr>
              <w:t xml:space="preserve"> our opinion, the quantitative criteria </w:t>
            </w:r>
            <w:r>
              <w:rPr>
                <w:rFonts w:ascii="Garamond" w:hAnsi="Garamond"/>
                <w:sz w:val="21"/>
                <w:szCs w:val="21"/>
              </w:rPr>
              <w:t>established under</w:t>
            </w:r>
            <w:r w:rsidR="007F3C2A" w:rsidRPr="007F3C2A">
              <w:rPr>
                <w:rFonts w:ascii="Garamond" w:hAnsi="Garamond"/>
                <w:sz w:val="21"/>
                <w:szCs w:val="21"/>
              </w:rPr>
              <w:t xml:space="preserve"> the fiscal rules are consistent with the long-term </w:t>
            </w:r>
            <w:r>
              <w:rPr>
                <w:rFonts w:ascii="Garamond" w:hAnsi="Garamond"/>
                <w:sz w:val="21"/>
                <w:szCs w:val="21"/>
              </w:rPr>
              <w:t xml:space="preserve">objective for </w:t>
            </w:r>
            <w:r w:rsidR="007F3C2A" w:rsidRPr="007F3C2A">
              <w:rPr>
                <w:rFonts w:ascii="Garamond" w:hAnsi="Garamond"/>
                <w:sz w:val="21"/>
                <w:szCs w:val="21"/>
              </w:rPr>
              <w:t>public debt</w:t>
            </w:r>
            <w:r>
              <w:rPr>
                <w:rFonts w:ascii="Garamond" w:hAnsi="Garamond"/>
                <w:sz w:val="21"/>
                <w:szCs w:val="21"/>
              </w:rPr>
              <w:t xml:space="preserve"> sustainability</w:t>
            </w:r>
            <w:r w:rsidR="007F3C2A" w:rsidRPr="007F3C2A">
              <w:rPr>
                <w:rFonts w:ascii="Garamond" w:hAnsi="Garamond"/>
                <w:sz w:val="21"/>
                <w:szCs w:val="21"/>
              </w:rPr>
              <w:t>, which</w:t>
            </w:r>
            <w:r w:rsidR="00D6615F">
              <w:rPr>
                <w:rFonts w:ascii="Garamond" w:hAnsi="Garamond"/>
                <w:sz w:val="21"/>
                <w:szCs w:val="21"/>
              </w:rPr>
              <w:t>, as and when maintained,</w:t>
            </w:r>
            <w:r w:rsidR="007F3C2A" w:rsidRPr="007F3C2A">
              <w:rPr>
                <w:rFonts w:ascii="Garamond" w:hAnsi="Garamond"/>
                <w:sz w:val="21"/>
                <w:szCs w:val="21"/>
              </w:rPr>
              <w:t xml:space="preserve"> will contribute to the strengthening of macroeconomic stability and </w:t>
            </w:r>
            <w:r w:rsidR="00D6615F">
              <w:rPr>
                <w:rFonts w:ascii="Garamond" w:hAnsi="Garamond"/>
                <w:sz w:val="21"/>
                <w:szCs w:val="21"/>
              </w:rPr>
              <w:t xml:space="preserve">enhancing confidence in </w:t>
            </w:r>
            <w:r w:rsidR="007F3C2A" w:rsidRPr="007F3C2A">
              <w:rPr>
                <w:rFonts w:ascii="Garamond" w:hAnsi="Garamond"/>
                <w:sz w:val="21"/>
                <w:szCs w:val="21"/>
              </w:rPr>
              <w:t>economic policy in the country.</w:t>
            </w:r>
          </w:p>
        </w:tc>
      </w:tr>
    </w:tbl>
    <w:p w14:paraId="15712C8F" w14:textId="77777777" w:rsidR="00680C82" w:rsidRDefault="00680C82" w:rsidP="00680C82">
      <w:pPr>
        <w:autoSpaceDE w:val="0"/>
        <w:autoSpaceDN w:val="0"/>
        <w:adjustRightInd w:val="0"/>
        <w:spacing w:after="120" w:line="360" w:lineRule="auto"/>
        <w:jc w:val="both"/>
        <w:rPr>
          <w:rFonts w:ascii="Garamond" w:hAnsi="Garamond"/>
          <w:sz w:val="22"/>
          <w:szCs w:val="22"/>
        </w:rPr>
      </w:pPr>
    </w:p>
    <w:p w14:paraId="31C7223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Labor market</w:t>
      </w:r>
      <w:r w:rsidR="007C4FF5" w:rsidRPr="00EE5F0F">
        <w:rPr>
          <w:rStyle w:val="FootnoteReference"/>
          <w:rFonts w:ascii="Garamond" w:hAnsi="Garamond"/>
          <w:b/>
          <w:sz w:val="22"/>
          <w:szCs w:val="22"/>
        </w:rPr>
        <w:footnoteReference w:customMarkFollows="1" w:id="4"/>
        <w:t>5</w:t>
      </w:r>
      <w:r w:rsidRPr="00EE5F0F">
        <w:rPr>
          <w:rFonts w:ascii="Garamond" w:hAnsi="Garamond"/>
          <w:b/>
          <w:sz w:val="22"/>
          <w:szCs w:val="22"/>
        </w:rPr>
        <w:t xml:space="preserve">: </w:t>
      </w:r>
      <w:r w:rsidR="00296451" w:rsidRPr="00296451">
        <w:rPr>
          <w:rFonts w:ascii="Garamond" w:hAnsi="Garamond"/>
          <w:sz w:val="22"/>
          <w:szCs w:val="22"/>
        </w:rPr>
        <w:t xml:space="preserve">A </w:t>
      </w:r>
      <w:r w:rsidR="00296451" w:rsidRPr="00BB15DC">
        <w:rPr>
          <w:rFonts w:ascii="Garamond" w:hAnsi="Garamond"/>
          <w:sz w:val="22"/>
          <w:szCs w:val="22"/>
        </w:rPr>
        <w:t xml:space="preserve">notable acceleration in </w:t>
      </w:r>
      <w:r w:rsidR="00BB15DC" w:rsidRPr="00BB15DC">
        <w:rPr>
          <w:rFonts w:ascii="Garamond" w:hAnsi="Garamond"/>
          <w:sz w:val="22"/>
          <w:szCs w:val="22"/>
        </w:rPr>
        <w:t>the nominal</w:t>
      </w:r>
      <w:r w:rsidR="00BB15DC" w:rsidRPr="00EE5F0F">
        <w:rPr>
          <w:rFonts w:ascii="Garamond" w:hAnsi="Garamond"/>
          <w:sz w:val="22"/>
          <w:szCs w:val="22"/>
        </w:rPr>
        <w:t xml:space="preserve"> wage</w:t>
      </w:r>
      <w:r w:rsidR="00BB15DC" w:rsidRPr="00EE5F0F">
        <w:rPr>
          <w:rStyle w:val="FootnoteReference"/>
          <w:rFonts w:ascii="Garamond" w:hAnsi="Garamond"/>
          <w:sz w:val="22"/>
          <w:szCs w:val="22"/>
        </w:rPr>
        <w:footnoteReference w:customMarkFollows="1" w:id="5"/>
        <w:t>6</w:t>
      </w:r>
      <w:r w:rsidR="00BB15DC" w:rsidRPr="00EE5F0F">
        <w:rPr>
          <w:rFonts w:ascii="Garamond" w:hAnsi="Garamond"/>
          <w:sz w:val="22"/>
          <w:szCs w:val="22"/>
        </w:rPr>
        <w:t xml:space="preserve"> growth </w:t>
      </w:r>
      <w:r w:rsidR="00BB15DC">
        <w:rPr>
          <w:rFonts w:ascii="Garamond" w:hAnsi="Garamond"/>
          <w:sz w:val="22"/>
          <w:szCs w:val="22"/>
        </w:rPr>
        <w:t xml:space="preserve">rate in </w:t>
      </w:r>
      <w:r w:rsidR="00E31B2F" w:rsidRPr="00EE5F0F">
        <w:rPr>
          <w:rFonts w:ascii="Garamond" w:hAnsi="Garamond"/>
          <w:sz w:val="22"/>
          <w:szCs w:val="22"/>
        </w:rPr>
        <w:t xml:space="preserve">the </w:t>
      </w:r>
      <w:r w:rsidR="00E31B2F" w:rsidRPr="00EE5F0F">
        <w:rPr>
          <w:rFonts w:ascii="Garamond" w:hAnsi="Garamond"/>
          <w:b/>
          <w:sz w:val="22"/>
          <w:szCs w:val="22"/>
        </w:rPr>
        <w:t>private sector</w:t>
      </w:r>
      <w:r w:rsidR="00E31B2F" w:rsidRPr="00EE5F0F">
        <w:rPr>
          <w:rFonts w:ascii="Garamond" w:hAnsi="Garamond"/>
          <w:sz w:val="22"/>
          <w:szCs w:val="22"/>
        </w:rPr>
        <w:t xml:space="preserve"> </w:t>
      </w:r>
      <w:r w:rsidR="00296451">
        <w:rPr>
          <w:rFonts w:ascii="Garamond" w:hAnsi="Garamond"/>
          <w:sz w:val="22"/>
          <w:szCs w:val="22"/>
        </w:rPr>
        <w:t xml:space="preserve">is not anticipated in 2018, </w:t>
      </w:r>
      <w:r w:rsidR="003219DC">
        <w:rPr>
          <w:rFonts w:ascii="Garamond" w:hAnsi="Garamond"/>
          <w:sz w:val="22"/>
          <w:szCs w:val="22"/>
        </w:rPr>
        <w:t xml:space="preserve">so </w:t>
      </w:r>
      <w:r w:rsidR="00296451">
        <w:rPr>
          <w:rFonts w:ascii="Garamond" w:hAnsi="Garamond"/>
          <w:sz w:val="22"/>
          <w:szCs w:val="22"/>
        </w:rPr>
        <w:t xml:space="preserve">it will hover at </w:t>
      </w:r>
      <w:r w:rsidR="00E31B2F" w:rsidRPr="00EE5F0F">
        <w:rPr>
          <w:rFonts w:ascii="Garamond" w:hAnsi="Garamond"/>
          <w:sz w:val="22"/>
          <w:szCs w:val="22"/>
        </w:rPr>
        <w:t>6.</w:t>
      </w:r>
      <w:r w:rsidR="007C4FF5" w:rsidRPr="00EE5F0F">
        <w:rPr>
          <w:rFonts w:ascii="Garamond" w:hAnsi="Garamond"/>
          <w:sz w:val="22"/>
          <w:szCs w:val="22"/>
        </w:rPr>
        <w:t>5</w:t>
      </w:r>
      <w:r w:rsidR="00E31B2F" w:rsidRPr="00EE5F0F">
        <w:rPr>
          <w:rFonts w:ascii="Garamond" w:hAnsi="Garamond"/>
          <w:sz w:val="22"/>
          <w:szCs w:val="22"/>
        </w:rPr>
        <w:t>%</w:t>
      </w:r>
      <w:r w:rsidR="00BB15DC">
        <w:rPr>
          <w:rFonts w:ascii="Garamond" w:hAnsi="Garamond"/>
          <w:sz w:val="22"/>
          <w:szCs w:val="22"/>
        </w:rPr>
        <w:t>,</w:t>
      </w:r>
      <w:r w:rsidR="003219DC">
        <w:rPr>
          <w:rFonts w:ascii="Garamond" w:hAnsi="Garamond"/>
          <w:sz w:val="22"/>
          <w:szCs w:val="22"/>
        </w:rPr>
        <w:t xml:space="preserve"> reflecting </w:t>
      </w:r>
      <w:r w:rsidR="00BB15DC">
        <w:rPr>
          <w:rFonts w:ascii="Garamond" w:hAnsi="Garamond"/>
          <w:sz w:val="22"/>
          <w:szCs w:val="22"/>
        </w:rPr>
        <w:t xml:space="preserve">a </w:t>
      </w:r>
      <w:r w:rsidR="003219DC" w:rsidRPr="003219DC">
        <w:rPr>
          <w:rFonts w:ascii="Garamond" w:hAnsi="Garamond"/>
          <w:sz w:val="22"/>
          <w:szCs w:val="22"/>
        </w:rPr>
        <w:t xml:space="preserve">slower productivity growth </w:t>
      </w:r>
      <w:r w:rsidR="00BB15DC">
        <w:rPr>
          <w:rFonts w:ascii="Garamond" w:hAnsi="Garamond"/>
          <w:sz w:val="22"/>
          <w:szCs w:val="22"/>
        </w:rPr>
        <w:t xml:space="preserve">rate </w:t>
      </w:r>
      <w:r w:rsidR="00262DF4">
        <w:rPr>
          <w:rFonts w:ascii="Garamond" w:hAnsi="Garamond"/>
          <w:sz w:val="22"/>
          <w:szCs w:val="22"/>
        </w:rPr>
        <w:t xml:space="preserve">and </w:t>
      </w:r>
      <w:r w:rsidR="003219DC" w:rsidRPr="003219DC">
        <w:rPr>
          <w:rFonts w:ascii="Garamond" w:hAnsi="Garamond"/>
          <w:sz w:val="22"/>
          <w:szCs w:val="22"/>
        </w:rPr>
        <w:t xml:space="preserve">declining </w:t>
      </w:r>
      <w:r w:rsidR="003219DC" w:rsidRPr="003219DC">
        <w:rPr>
          <w:rFonts w:ascii="Garamond" w:hAnsi="Garamond"/>
          <w:sz w:val="22"/>
          <w:szCs w:val="22"/>
        </w:rPr>
        <w:lastRenderedPageBreak/>
        <w:t>inflation expectations</w:t>
      </w:r>
      <w:r w:rsidR="00E31B2F" w:rsidRPr="00EE5F0F">
        <w:rPr>
          <w:rFonts w:ascii="Garamond" w:hAnsi="Garamond"/>
          <w:sz w:val="22"/>
          <w:szCs w:val="22"/>
        </w:rPr>
        <w:t xml:space="preserve">. In the medium </w:t>
      </w:r>
      <w:r w:rsidR="00262DF4">
        <w:rPr>
          <w:rFonts w:ascii="Garamond" w:hAnsi="Garamond"/>
          <w:sz w:val="22"/>
          <w:szCs w:val="22"/>
        </w:rPr>
        <w:t>run however</w:t>
      </w:r>
      <w:r w:rsidR="00E31B2F" w:rsidRPr="00EE5F0F">
        <w:rPr>
          <w:rFonts w:ascii="Garamond" w:hAnsi="Garamond"/>
          <w:sz w:val="22"/>
          <w:szCs w:val="22"/>
        </w:rPr>
        <w:t xml:space="preserve">, the </w:t>
      </w:r>
      <w:r w:rsidR="00262DF4" w:rsidRPr="00EE5F0F">
        <w:rPr>
          <w:rFonts w:ascii="Garamond" w:hAnsi="Garamond"/>
          <w:sz w:val="22"/>
          <w:szCs w:val="22"/>
        </w:rPr>
        <w:t xml:space="preserve">private sector </w:t>
      </w:r>
      <w:r w:rsidR="00262DF4">
        <w:rPr>
          <w:rFonts w:ascii="Garamond" w:hAnsi="Garamond"/>
          <w:sz w:val="22"/>
          <w:szCs w:val="22"/>
        </w:rPr>
        <w:t>n</w:t>
      </w:r>
      <w:r w:rsidR="00E31B2F" w:rsidRPr="00EE5F0F">
        <w:rPr>
          <w:rFonts w:ascii="Garamond" w:hAnsi="Garamond"/>
          <w:sz w:val="22"/>
          <w:szCs w:val="22"/>
        </w:rPr>
        <w:t xml:space="preserve">ominal wage </w:t>
      </w:r>
      <w:r w:rsidR="00262DF4">
        <w:rPr>
          <w:rFonts w:ascii="Garamond" w:hAnsi="Garamond"/>
          <w:sz w:val="22"/>
          <w:szCs w:val="22"/>
        </w:rPr>
        <w:t xml:space="preserve">growth </w:t>
      </w:r>
      <w:r w:rsidR="00E31B2F" w:rsidRPr="00EE5F0F">
        <w:rPr>
          <w:rFonts w:ascii="Garamond" w:hAnsi="Garamond"/>
          <w:sz w:val="22"/>
          <w:szCs w:val="22"/>
        </w:rPr>
        <w:t xml:space="preserve">will be </w:t>
      </w:r>
      <w:r w:rsidR="00262DF4">
        <w:rPr>
          <w:rFonts w:ascii="Garamond" w:hAnsi="Garamond"/>
          <w:sz w:val="22"/>
          <w:szCs w:val="22"/>
        </w:rPr>
        <w:t xml:space="preserve">consistent with </w:t>
      </w:r>
      <w:r w:rsidR="00E31B2F" w:rsidRPr="00EE5F0F">
        <w:rPr>
          <w:rFonts w:ascii="Garamond" w:hAnsi="Garamond"/>
          <w:sz w:val="22"/>
          <w:szCs w:val="22"/>
        </w:rPr>
        <w:t>economic growth and inflation developments</w:t>
      </w:r>
      <w:r w:rsidR="00262DF4">
        <w:rPr>
          <w:rFonts w:ascii="Garamond" w:hAnsi="Garamond"/>
          <w:sz w:val="22"/>
          <w:szCs w:val="22"/>
        </w:rPr>
        <w:t>, i.e. its fundamentals</w:t>
      </w:r>
      <w:r w:rsidR="00E31B2F" w:rsidRPr="00EE5F0F">
        <w:rPr>
          <w:rFonts w:ascii="Garamond" w:hAnsi="Garamond"/>
          <w:sz w:val="22"/>
          <w:szCs w:val="22"/>
        </w:rPr>
        <w:t xml:space="preserve">. </w:t>
      </w:r>
      <w:r w:rsidR="007D055F" w:rsidRPr="00EE5F0F">
        <w:rPr>
          <w:rFonts w:ascii="Garamond" w:hAnsi="Garamond"/>
          <w:sz w:val="22"/>
          <w:szCs w:val="22"/>
        </w:rPr>
        <w:t>In 2019</w:t>
      </w:r>
      <w:r w:rsidR="00DF346D">
        <w:rPr>
          <w:rFonts w:ascii="Garamond" w:hAnsi="Garamond"/>
          <w:sz w:val="22"/>
          <w:szCs w:val="22"/>
        </w:rPr>
        <w:t>,</w:t>
      </w:r>
      <w:r w:rsidR="007D055F" w:rsidRPr="00EE5F0F">
        <w:rPr>
          <w:rFonts w:ascii="Garamond" w:hAnsi="Garamond"/>
          <w:sz w:val="22"/>
          <w:szCs w:val="22"/>
        </w:rPr>
        <w:t xml:space="preserve"> the private sector’s nominal wage is predicted to increase by 7.5%, and at the end of forecast horizon it will stabilize around 8.5%.</w:t>
      </w:r>
      <w:r w:rsidR="00E31B2F" w:rsidRPr="00EE5F0F">
        <w:rPr>
          <w:rFonts w:ascii="Garamond" w:hAnsi="Garamond"/>
          <w:sz w:val="22"/>
          <w:szCs w:val="22"/>
        </w:rPr>
        <w:t xml:space="preserve"> </w:t>
      </w:r>
    </w:p>
    <w:p w14:paraId="3F78A7FE" w14:textId="052BA4E3" w:rsidR="007D055F" w:rsidRPr="00EE5F0F" w:rsidRDefault="007849D7" w:rsidP="00EE619D">
      <w:pPr>
        <w:autoSpaceDE w:val="0"/>
        <w:autoSpaceDN w:val="0"/>
        <w:adjustRightInd w:val="0"/>
        <w:spacing w:after="120" w:line="360" w:lineRule="auto"/>
        <w:jc w:val="both"/>
        <w:rPr>
          <w:rFonts w:ascii="Garamond" w:hAnsi="Garamond"/>
          <w:sz w:val="22"/>
          <w:szCs w:val="22"/>
        </w:rPr>
      </w:pPr>
      <w:r w:rsidRPr="007849D7">
        <w:rPr>
          <w:rFonts w:ascii="Garamond" w:hAnsi="Garamond"/>
          <w:sz w:val="22"/>
          <w:szCs w:val="22"/>
        </w:rPr>
        <w:t xml:space="preserve">In case of a slowdown in productivity growth, the </w:t>
      </w:r>
      <w:r>
        <w:rPr>
          <w:rFonts w:ascii="Garamond" w:hAnsi="Garamond"/>
          <w:sz w:val="22"/>
          <w:szCs w:val="22"/>
        </w:rPr>
        <w:t>aforementioned</w:t>
      </w:r>
      <w:r w:rsidRPr="007849D7">
        <w:rPr>
          <w:rFonts w:ascii="Garamond" w:hAnsi="Garamond"/>
          <w:sz w:val="22"/>
          <w:szCs w:val="22"/>
        </w:rPr>
        <w:t xml:space="preserve"> economic growth will be </w:t>
      </w:r>
      <w:r>
        <w:rPr>
          <w:rFonts w:ascii="Garamond" w:hAnsi="Garamond"/>
          <w:sz w:val="22"/>
          <w:szCs w:val="22"/>
        </w:rPr>
        <w:t xml:space="preserve">concomitant with </w:t>
      </w:r>
      <w:r w:rsidRPr="007849D7">
        <w:rPr>
          <w:rFonts w:ascii="Garamond" w:hAnsi="Garamond"/>
          <w:sz w:val="22"/>
          <w:szCs w:val="22"/>
        </w:rPr>
        <w:t>increas</w:t>
      </w:r>
      <w:r>
        <w:rPr>
          <w:rFonts w:ascii="Garamond" w:hAnsi="Garamond"/>
          <w:sz w:val="22"/>
          <w:szCs w:val="22"/>
        </w:rPr>
        <w:t>ing</w:t>
      </w:r>
      <w:r w:rsidRPr="007849D7">
        <w:rPr>
          <w:rFonts w:ascii="Garamond" w:hAnsi="Garamond"/>
          <w:sz w:val="22"/>
          <w:szCs w:val="22"/>
        </w:rPr>
        <w:t xml:space="preserve"> employment, </w:t>
      </w:r>
      <w:r>
        <w:rPr>
          <w:rFonts w:ascii="Garamond" w:hAnsi="Garamond"/>
          <w:sz w:val="22"/>
          <w:szCs w:val="22"/>
        </w:rPr>
        <w:t xml:space="preserve">and </w:t>
      </w:r>
      <w:r w:rsidRPr="007849D7">
        <w:rPr>
          <w:rFonts w:ascii="Garamond" w:hAnsi="Garamond"/>
          <w:sz w:val="22"/>
          <w:szCs w:val="22"/>
        </w:rPr>
        <w:t xml:space="preserve">a lower unemployment rate of 16.6% </w:t>
      </w:r>
      <w:r>
        <w:rPr>
          <w:rFonts w:ascii="Garamond" w:hAnsi="Garamond"/>
          <w:sz w:val="22"/>
          <w:szCs w:val="22"/>
        </w:rPr>
        <w:t xml:space="preserve">can be expected </w:t>
      </w:r>
      <w:r w:rsidRPr="007849D7">
        <w:rPr>
          <w:rFonts w:ascii="Garamond" w:hAnsi="Garamond"/>
          <w:sz w:val="22"/>
          <w:szCs w:val="22"/>
        </w:rPr>
        <w:t>in 2018</w:t>
      </w:r>
      <w:r>
        <w:rPr>
          <w:rFonts w:ascii="Garamond" w:hAnsi="Garamond"/>
          <w:sz w:val="22"/>
          <w:szCs w:val="22"/>
        </w:rPr>
        <w:t xml:space="preserve"> as a result</w:t>
      </w:r>
      <w:r w:rsidRPr="007849D7">
        <w:rPr>
          <w:rFonts w:ascii="Garamond" w:hAnsi="Garamond"/>
          <w:sz w:val="22"/>
          <w:szCs w:val="22"/>
        </w:rPr>
        <w:t>.</w:t>
      </w:r>
      <w:r w:rsidR="007D055F" w:rsidRPr="007849D7">
        <w:rPr>
          <w:rFonts w:ascii="Garamond" w:hAnsi="Garamond"/>
          <w:sz w:val="22"/>
          <w:szCs w:val="22"/>
        </w:rPr>
        <w:t>. In the medium term, the unemployment rate will dec</w:t>
      </w:r>
      <w:r>
        <w:rPr>
          <w:rFonts w:ascii="Garamond" w:hAnsi="Garamond"/>
          <w:sz w:val="22"/>
          <w:szCs w:val="22"/>
        </w:rPr>
        <w:t>rease</w:t>
      </w:r>
      <w:r w:rsidR="007D055F" w:rsidRPr="007849D7">
        <w:rPr>
          <w:rFonts w:ascii="Garamond" w:hAnsi="Garamond"/>
          <w:sz w:val="22"/>
          <w:szCs w:val="22"/>
        </w:rPr>
        <w:t xml:space="preserve"> by </w:t>
      </w:r>
      <w:r>
        <w:rPr>
          <w:rFonts w:ascii="Garamond" w:hAnsi="Garamond"/>
          <w:sz w:val="22"/>
          <w:szCs w:val="22"/>
        </w:rPr>
        <w:t>0.2-</w:t>
      </w:r>
      <w:r w:rsidR="007D055F" w:rsidRPr="007849D7">
        <w:rPr>
          <w:rFonts w:ascii="Garamond" w:hAnsi="Garamond"/>
          <w:sz w:val="22"/>
          <w:szCs w:val="22"/>
        </w:rPr>
        <w:t xml:space="preserve">0.3 pp annually, approaching </w:t>
      </w:r>
      <w:r>
        <w:rPr>
          <w:rFonts w:ascii="Garamond" w:hAnsi="Garamond"/>
          <w:sz w:val="22"/>
          <w:szCs w:val="22"/>
        </w:rPr>
        <w:t>a level of 16%</w:t>
      </w:r>
      <w:r w:rsidR="007D055F" w:rsidRPr="00EE5F0F">
        <w:rPr>
          <w:rFonts w:ascii="Garamond" w:hAnsi="Garamond"/>
          <w:sz w:val="22"/>
          <w:szCs w:val="22"/>
        </w:rPr>
        <w:t xml:space="preserve"> at the end of the forecast horizon.      </w:t>
      </w:r>
    </w:p>
    <w:p w14:paraId="12D19976"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2018, </w:t>
      </w:r>
      <w:r w:rsidR="00383D4D" w:rsidRPr="00EE5F0F">
        <w:rPr>
          <w:rFonts w:ascii="Garamond" w:hAnsi="Garamond"/>
          <w:sz w:val="22"/>
          <w:szCs w:val="22"/>
        </w:rPr>
        <w:t xml:space="preserve">the growth of </w:t>
      </w:r>
      <w:r w:rsidRPr="00EE5F0F">
        <w:rPr>
          <w:rFonts w:ascii="Garamond" w:hAnsi="Garamond"/>
          <w:sz w:val="22"/>
          <w:szCs w:val="22"/>
        </w:rPr>
        <w:t xml:space="preserve">firms’ unit labor costs will </w:t>
      </w:r>
      <w:r w:rsidR="003A06CC">
        <w:rPr>
          <w:rFonts w:ascii="Garamond" w:hAnsi="Garamond"/>
          <w:sz w:val="22"/>
          <w:szCs w:val="22"/>
        </w:rPr>
        <w:t xml:space="preserve">accelerate </w:t>
      </w:r>
      <w:r w:rsidRPr="00EE5F0F">
        <w:rPr>
          <w:rFonts w:ascii="Garamond" w:hAnsi="Garamond"/>
          <w:sz w:val="22"/>
          <w:szCs w:val="22"/>
        </w:rPr>
        <w:t xml:space="preserve">and at the end of </w:t>
      </w:r>
      <w:r w:rsidR="003A06CC">
        <w:rPr>
          <w:rFonts w:ascii="Garamond" w:hAnsi="Garamond"/>
          <w:sz w:val="22"/>
          <w:szCs w:val="22"/>
        </w:rPr>
        <w:t xml:space="preserve">the </w:t>
      </w:r>
      <w:r w:rsidRPr="00EE5F0F">
        <w:rPr>
          <w:rFonts w:ascii="Garamond" w:hAnsi="Garamond"/>
          <w:sz w:val="22"/>
          <w:szCs w:val="22"/>
        </w:rPr>
        <w:t xml:space="preserve">forecast horizon it will stabilize </w:t>
      </w:r>
      <w:r w:rsidR="00383D4D" w:rsidRPr="00EE5F0F">
        <w:rPr>
          <w:rFonts w:ascii="Garamond" w:hAnsi="Garamond"/>
          <w:sz w:val="22"/>
          <w:szCs w:val="22"/>
        </w:rPr>
        <w:t>around its fundamental value, i.e. the 4% inflation target.</w:t>
      </w:r>
      <w:r w:rsidRPr="00EE5F0F">
        <w:rPr>
          <w:rFonts w:ascii="Garamond" w:hAnsi="Garamond"/>
          <w:sz w:val="22"/>
          <w:szCs w:val="22"/>
        </w:rPr>
        <w:t xml:space="preserve">              </w:t>
      </w:r>
    </w:p>
    <w:p w14:paraId="0DF903B6"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2510074E"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72F4F8ED" w14:textId="77777777" w:rsidR="00EE619D" w:rsidRPr="00EE5F0F" w:rsidRDefault="001454E4"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As to developments in the economies of trade partners to Armenia, s</w:t>
      </w:r>
      <w:r w:rsidR="00A26171" w:rsidRPr="00EE5F0F">
        <w:rPr>
          <w:rFonts w:ascii="Garamond" w:hAnsi="Garamond"/>
          <w:b/>
          <w:sz w:val="22"/>
          <w:szCs w:val="22"/>
        </w:rPr>
        <w:t xml:space="preserve">hort-term economic growth indicators </w:t>
      </w:r>
      <w:r w:rsidR="00A26171">
        <w:rPr>
          <w:rFonts w:ascii="Garamond" w:hAnsi="Garamond"/>
          <w:b/>
          <w:sz w:val="22"/>
          <w:szCs w:val="22"/>
        </w:rPr>
        <w:t>in the USA have been adjusted upside relative to th</w:t>
      </w:r>
      <w:r w:rsidR="00A26171" w:rsidRPr="00EE5F0F">
        <w:rPr>
          <w:rFonts w:ascii="Garamond" w:hAnsi="Garamond"/>
          <w:b/>
          <w:sz w:val="22"/>
          <w:szCs w:val="22"/>
        </w:rPr>
        <w:t>e previous forecast</w:t>
      </w:r>
      <w:r w:rsidR="00A26171">
        <w:rPr>
          <w:rFonts w:ascii="Garamond" w:hAnsi="Garamond"/>
          <w:b/>
          <w:sz w:val="22"/>
          <w:szCs w:val="22"/>
        </w:rPr>
        <w:t>, while those of the Eurozone, downside. M</w:t>
      </w:r>
      <w:r w:rsidR="00A26171" w:rsidRPr="00A26171">
        <w:rPr>
          <w:rFonts w:ascii="Garamond" w:hAnsi="Garamond"/>
          <w:b/>
          <w:sz w:val="22"/>
          <w:szCs w:val="22"/>
        </w:rPr>
        <w:t xml:space="preserve">id-term growth rates will be </w:t>
      </w:r>
      <w:r w:rsidR="00A26171">
        <w:rPr>
          <w:rFonts w:ascii="Garamond" w:hAnsi="Garamond"/>
          <w:b/>
          <w:sz w:val="22"/>
          <w:szCs w:val="22"/>
        </w:rPr>
        <w:t>co</w:t>
      </w:r>
      <w:r w:rsidR="005E5244">
        <w:rPr>
          <w:rFonts w:ascii="Garamond" w:hAnsi="Garamond"/>
          <w:b/>
          <w:sz w:val="22"/>
          <w:szCs w:val="22"/>
        </w:rPr>
        <w:t xml:space="preserve">nsistent </w:t>
      </w:r>
      <w:r w:rsidR="00A26171">
        <w:rPr>
          <w:rFonts w:ascii="Garamond" w:hAnsi="Garamond"/>
          <w:b/>
          <w:sz w:val="22"/>
          <w:szCs w:val="22"/>
        </w:rPr>
        <w:t xml:space="preserve">with </w:t>
      </w:r>
      <w:r w:rsidR="00A26171" w:rsidRPr="00A26171">
        <w:rPr>
          <w:rFonts w:ascii="Garamond" w:hAnsi="Garamond"/>
          <w:b/>
          <w:sz w:val="22"/>
          <w:szCs w:val="22"/>
        </w:rPr>
        <w:t xml:space="preserve">the </w:t>
      </w:r>
      <w:r w:rsidR="00A26171">
        <w:rPr>
          <w:rFonts w:ascii="Garamond" w:hAnsi="Garamond"/>
          <w:b/>
          <w:sz w:val="22"/>
          <w:szCs w:val="22"/>
        </w:rPr>
        <w:t>framework of the previous forecast.</w:t>
      </w:r>
      <w:r w:rsidR="00EE619D" w:rsidRPr="00EE5F0F">
        <w:rPr>
          <w:rFonts w:ascii="Garamond" w:hAnsi="Garamond"/>
          <w:b/>
          <w:sz w:val="22"/>
          <w:szCs w:val="22"/>
        </w:rPr>
        <w:t xml:space="preserve"> </w:t>
      </w:r>
    </w:p>
    <w:p w14:paraId="3AFE81C7" w14:textId="77777777" w:rsidR="001454E4" w:rsidRDefault="007C2B74"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US economic growth forecasts for 2018</w:t>
      </w:r>
      <w:r w:rsidR="005E5244">
        <w:rPr>
          <w:rFonts w:ascii="Garamond" w:hAnsi="Garamond"/>
          <w:sz w:val="22"/>
          <w:szCs w:val="22"/>
        </w:rPr>
        <w:t>-2019</w:t>
      </w:r>
      <w:r w:rsidRPr="00EE5F0F">
        <w:rPr>
          <w:rFonts w:ascii="Garamond" w:hAnsi="Garamond"/>
          <w:sz w:val="22"/>
          <w:szCs w:val="22"/>
        </w:rPr>
        <w:t xml:space="preserve"> </w:t>
      </w:r>
      <w:r w:rsidR="005E5244">
        <w:rPr>
          <w:rFonts w:ascii="Garamond" w:hAnsi="Garamond"/>
          <w:sz w:val="22"/>
          <w:szCs w:val="22"/>
        </w:rPr>
        <w:t>have been revised upside,</w:t>
      </w:r>
      <w:r w:rsidR="005E5244" w:rsidRPr="005E5244">
        <w:t xml:space="preserve"> </w:t>
      </w:r>
      <w:r w:rsidR="005E5244" w:rsidRPr="005E5244">
        <w:rPr>
          <w:rFonts w:ascii="Garamond" w:hAnsi="Garamond"/>
          <w:sz w:val="22"/>
          <w:szCs w:val="22"/>
        </w:rPr>
        <w:t xml:space="preserve">mainly </w:t>
      </w:r>
      <w:r w:rsidR="005E5244">
        <w:rPr>
          <w:rFonts w:ascii="Garamond" w:hAnsi="Garamond"/>
          <w:sz w:val="22"/>
          <w:szCs w:val="22"/>
        </w:rPr>
        <w:t>attributable to</w:t>
      </w:r>
      <w:r w:rsidR="005E5244" w:rsidRPr="005E5244">
        <w:rPr>
          <w:rFonts w:ascii="Garamond" w:hAnsi="Garamond"/>
          <w:sz w:val="22"/>
          <w:szCs w:val="22"/>
        </w:rPr>
        <w:t xml:space="preserve"> private consum</w:t>
      </w:r>
      <w:r w:rsidR="005E5244">
        <w:rPr>
          <w:rFonts w:ascii="Garamond" w:hAnsi="Garamond"/>
          <w:sz w:val="22"/>
          <w:szCs w:val="22"/>
        </w:rPr>
        <w:t xml:space="preserve">ption and net export, </w:t>
      </w:r>
      <w:r w:rsidR="005E5244" w:rsidRPr="005E5244">
        <w:rPr>
          <w:rFonts w:ascii="Garamond" w:hAnsi="Garamond"/>
          <w:sz w:val="22"/>
          <w:szCs w:val="22"/>
        </w:rPr>
        <w:t xml:space="preserve">with </w:t>
      </w:r>
      <w:r w:rsidR="005E5244">
        <w:rPr>
          <w:rFonts w:ascii="Garamond" w:hAnsi="Garamond"/>
          <w:sz w:val="22"/>
          <w:szCs w:val="22"/>
        </w:rPr>
        <w:t>their more-than-</w:t>
      </w:r>
      <w:r w:rsidR="005E5244" w:rsidRPr="005E5244">
        <w:rPr>
          <w:rFonts w:ascii="Garamond" w:hAnsi="Garamond"/>
          <w:sz w:val="22"/>
          <w:szCs w:val="22"/>
        </w:rPr>
        <w:t>expected growth</w:t>
      </w:r>
      <w:r w:rsidR="005E5244">
        <w:rPr>
          <w:rFonts w:ascii="Garamond" w:hAnsi="Garamond"/>
          <w:sz w:val="22"/>
          <w:szCs w:val="22"/>
        </w:rPr>
        <w:t xml:space="preserve"> reported previously</w:t>
      </w:r>
      <w:r w:rsidR="005E5244" w:rsidRPr="005E5244">
        <w:rPr>
          <w:rFonts w:ascii="Garamond" w:hAnsi="Garamond"/>
          <w:sz w:val="22"/>
          <w:szCs w:val="22"/>
        </w:rPr>
        <w:t>,</w:t>
      </w:r>
      <w:r w:rsidRPr="00EE5F0F">
        <w:rPr>
          <w:rFonts w:ascii="Garamond" w:hAnsi="Garamond"/>
          <w:sz w:val="22"/>
          <w:szCs w:val="22"/>
        </w:rPr>
        <w:t xml:space="preserve"> </w:t>
      </w:r>
      <w:r w:rsidR="005E5244" w:rsidRPr="005E5244">
        <w:rPr>
          <w:rFonts w:ascii="Garamond" w:hAnsi="Garamond"/>
          <w:sz w:val="22"/>
          <w:szCs w:val="22"/>
        </w:rPr>
        <w:t xml:space="preserve">as well as </w:t>
      </w:r>
      <w:r w:rsidR="005E5244">
        <w:rPr>
          <w:rFonts w:ascii="Garamond" w:hAnsi="Garamond"/>
          <w:sz w:val="22"/>
          <w:szCs w:val="22"/>
        </w:rPr>
        <w:t xml:space="preserve">to </w:t>
      </w:r>
      <w:r w:rsidR="005E5244" w:rsidRPr="005E5244">
        <w:rPr>
          <w:rFonts w:ascii="Garamond" w:hAnsi="Garamond"/>
          <w:sz w:val="22"/>
          <w:szCs w:val="22"/>
        </w:rPr>
        <w:t>the positive effect of tax reforms.</w:t>
      </w:r>
      <w:r w:rsidR="005E5244">
        <w:rPr>
          <w:rFonts w:ascii="Garamond" w:hAnsi="Garamond"/>
          <w:sz w:val="22"/>
          <w:szCs w:val="22"/>
        </w:rPr>
        <w:t xml:space="preserve"> </w:t>
      </w:r>
    </w:p>
    <w:p w14:paraId="50C57580" w14:textId="77777777" w:rsidR="001454E4" w:rsidRDefault="00272DD8"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2018 economic growth forecasts in Eurozone </w:t>
      </w:r>
      <w:r w:rsidR="005E5244">
        <w:rPr>
          <w:rFonts w:ascii="Garamond" w:hAnsi="Garamond"/>
          <w:sz w:val="22"/>
          <w:szCs w:val="22"/>
        </w:rPr>
        <w:t>have been adjusted downside</w:t>
      </w:r>
      <w:r w:rsidR="001454E4">
        <w:rPr>
          <w:rFonts w:ascii="Garamond" w:hAnsi="Garamond"/>
          <w:sz w:val="22"/>
          <w:szCs w:val="22"/>
        </w:rPr>
        <w:t xml:space="preserve"> primarily due to </w:t>
      </w:r>
      <w:r w:rsidR="001454E4" w:rsidRPr="001454E4">
        <w:rPr>
          <w:rFonts w:ascii="Garamond" w:hAnsi="Garamond"/>
          <w:sz w:val="22"/>
          <w:szCs w:val="22"/>
        </w:rPr>
        <w:t xml:space="preserve">net export volumes </w:t>
      </w:r>
      <w:r w:rsidR="001454E4">
        <w:rPr>
          <w:rFonts w:ascii="Garamond" w:hAnsi="Garamond"/>
          <w:sz w:val="22"/>
          <w:szCs w:val="22"/>
        </w:rPr>
        <w:t>that are anticipated to shrink in the short run.</w:t>
      </w:r>
      <w:r w:rsidR="00C339DE" w:rsidRPr="00EE5F0F">
        <w:rPr>
          <w:rFonts w:ascii="Garamond" w:hAnsi="Garamond"/>
          <w:sz w:val="22"/>
          <w:szCs w:val="22"/>
        </w:rPr>
        <w:t xml:space="preserve"> </w:t>
      </w:r>
    </w:p>
    <w:p w14:paraId="423990E8" w14:textId="77777777" w:rsidR="00500167" w:rsidRPr="00EE5F0F" w:rsidRDefault="001454E4" w:rsidP="00EE619D">
      <w:pPr>
        <w:autoSpaceDE w:val="0"/>
        <w:autoSpaceDN w:val="0"/>
        <w:adjustRightInd w:val="0"/>
        <w:spacing w:after="120" w:line="360" w:lineRule="auto"/>
        <w:jc w:val="both"/>
        <w:rPr>
          <w:rFonts w:ascii="Garamond" w:hAnsi="Garamond"/>
          <w:sz w:val="22"/>
          <w:szCs w:val="22"/>
        </w:rPr>
      </w:pPr>
      <w:r w:rsidRPr="001454E4">
        <w:rPr>
          <w:rFonts w:ascii="Garamond" w:hAnsi="Garamond"/>
          <w:sz w:val="22"/>
          <w:szCs w:val="22"/>
        </w:rPr>
        <w:t xml:space="preserve">According to </w:t>
      </w:r>
      <w:r>
        <w:rPr>
          <w:rFonts w:ascii="Garamond" w:hAnsi="Garamond"/>
          <w:sz w:val="22"/>
          <w:szCs w:val="22"/>
        </w:rPr>
        <w:t>c</w:t>
      </w:r>
      <w:r w:rsidRPr="001454E4">
        <w:rPr>
          <w:rFonts w:ascii="Garamond" w:hAnsi="Garamond"/>
          <w:sz w:val="22"/>
          <w:szCs w:val="22"/>
        </w:rPr>
        <w:t xml:space="preserve">urrent forecasts, </w:t>
      </w:r>
      <w:r>
        <w:rPr>
          <w:rFonts w:ascii="Garamond" w:hAnsi="Garamond"/>
          <w:sz w:val="22"/>
          <w:szCs w:val="22"/>
        </w:rPr>
        <w:t xml:space="preserve">economic growth rate in </w:t>
      </w:r>
      <w:r w:rsidRPr="001454E4">
        <w:rPr>
          <w:rFonts w:ascii="Garamond" w:hAnsi="Garamond"/>
          <w:sz w:val="22"/>
          <w:szCs w:val="22"/>
        </w:rPr>
        <w:t xml:space="preserve">Russia </w:t>
      </w:r>
      <w:r>
        <w:rPr>
          <w:rFonts w:ascii="Garamond" w:hAnsi="Garamond"/>
          <w:sz w:val="22"/>
          <w:szCs w:val="22"/>
        </w:rPr>
        <w:t>for</w:t>
      </w:r>
      <w:r w:rsidRPr="001454E4">
        <w:rPr>
          <w:rFonts w:ascii="Garamond" w:hAnsi="Garamond"/>
          <w:sz w:val="22"/>
          <w:szCs w:val="22"/>
        </w:rPr>
        <w:t xml:space="preserve"> 2018-2019</w:t>
      </w:r>
      <w:r>
        <w:rPr>
          <w:rFonts w:ascii="Garamond" w:hAnsi="Garamond"/>
          <w:sz w:val="22"/>
          <w:szCs w:val="22"/>
        </w:rPr>
        <w:t xml:space="preserve"> </w:t>
      </w:r>
      <w:r w:rsidRPr="001454E4">
        <w:rPr>
          <w:rFonts w:ascii="Garamond" w:hAnsi="Garamond"/>
          <w:sz w:val="22"/>
          <w:szCs w:val="22"/>
        </w:rPr>
        <w:t xml:space="preserve">is lower than </w:t>
      </w:r>
      <w:r>
        <w:rPr>
          <w:rFonts w:ascii="Garamond" w:hAnsi="Garamond"/>
          <w:sz w:val="22"/>
          <w:szCs w:val="22"/>
        </w:rPr>
        <w:t xml:space="preserve">outlined in the previous forecast, which is explained by </w:t>
      </w:r>
      <w:r w:rsidRPr="001454E4">
        <w:rPr>
          <w:rFonts w:ascii="Garamond" w:hAnsi="Garamond"/>
          <w:sz w:val="22"/>
          <w:szCs w:val="22"/>
        </w:rPr>
        <w:t>the anti-Russian sanctions</w:t>
      </w:r>
      <w:r>
        <w:rPr>
          <w:rFonts w:ascii="Garamond" w:hAnsi="Garamond"/>
          <w:sz w:val="22"/>
          <w:szCs w:val="22"/>
        </w:rPr>
        <w:t>’</w:t>
      </w:r>
      <w:r w:rsidRPr="001454E4">
        <w:rPr>
          <w:rFonts w:ascii="Garamond" w:hAnsi="Garamond"/>
          <w:sz w:val="22"/>
          <w:szCs w:val="22"/>
        </w:rPr>
        <w:t xml:space="preserve"> negative impact on the economy</w:t>
      </w:r>
      <w:r w:rsidR="007F4F2D">
        <w:rPr>
          <w:rFonts w:ascii="Garamond" w:hAnsi="Garamond"/>
          <w:sz w:val="22"/>
          <w:szCs w:val="22"/>
        </w:rPr>
        <w:t>,</w:t>
      </w:r>
      <w:r w:rsidRPr="001454E4">
        <w:rPr>
          <w:rFonts w:ascii="Garamond" w:hAnsi="Garamond"/>
          <w:sz w:val="22"/>
          <w:szCs w:val="22"/>
        </w:rPr>
        <w:t xml:space="preserve"> </w:t>
      </w:r>
      <w:r>
        <w:rPr>
          <w:rFonts w:ascii="Garamond" w:hAnsi="Garamond"/>
          <w:sz w:val="22"/>
          <w:szCs w:val="22"/>
        </w:rPr>
        <w:t xml:space="preserve">on the one hand, and </w:t>
      </w:r>
      <w:r w:rsidRPr="001454E4">
        <w:rPr>
          <w:rFonts w:ascii="Garamond" w:hAnsi="Garamond"/>
          <w:sz w:val="22"/>
          <w:szCs w:val="22"/>
        </w:rPr>
        <w:t xml:space="preserve">reduction in demand </w:t>
      </w:r>
      <w:r w:rsidR="007F4F2D">
        <w:rPr>
          <w:rFonts w:ascii="Garamond" w:hAnsi="Garamond"/>
          <w:sz w:val="22"/>
          <w:szCs w:val="22"/>
        </w:rPr>
        <w:t xml:space="preserve">in </w:t>
      </w:r>
      <w:r w:rsidR="004B3D61">
        <w:rPr>
          <w:rFonts w:ascii="Garamond" w:hAnsi="Garamond"/>
          <w:sz w:val="22"/>
          <w:szCs w:val="22"/>
        </w:rPr>
        <w:t xml:space="preserve">expectation </w:t>
      </w:r>
      <w:r w:rsidR="007F4F2D">
        <w:rPr>
          <w:rFonts w:ascii="Garamond" w:hAnsi="Garamond"/>
          <w:sz w:val="22"/>
          <w:szCs w:val="22"/>
        </w:rPr>
        <w:t>of</w:t>
      </w:r>
      <w:r w:rsidRPr="001454E4">
        <w:rPr>
          <w:rFonts w:ascii="Garamond" w:hAnsi="Garamond"/>
          <w:sz w:val="22"/>
          <w:szCs w:val="22"/>
        </w:rPr>
        <w:t xml:space="preserve"> </w:t>
      </w:r>
      <w:r w:rsidR="007F4F2D">
        <w:rPr>
          <w:rFonts w:ascii="Garamond" w:hAnsi="Garamond"/>
          <w:sz w:val="22"/>
          <w:szCs w:val="22"/>
        </w:rPr>
        <w:t xml:space="preserve">a </w:t>
      </w:r>
      <w:r>
        <w:rPr>
          <w:rFonts w:ascii="Garamond" w:hAnsi="Garamond"/>
          <w:sz w:val="22"/>
          <w:szCs w:val="22"/>
        </w:rPr>
        <w:t xml:space="preserve">contractionary </w:t>
      </w:r>
      <w:r w:rsidRPr="001454E4">
        <w:rPr>
          <w:rFonts w:ascii="Garamond" w:hAnsi="Garamond"/>
          <w:sz w:val="22"/>
          <w:szCs w:val="22"/>
        </w:rPr>
        <w:t>fiscal policy</w:t>
      </w:r>
      <w:r>
        <w:rPr>
          <w:rFonts w:ascii="Garamond" w:hAnsi="Garamond"/>
          <w:sz w:val="22"/>
          <w:szCs w:val="22"/>
        </w:rPr>
        <w:t xml:space="preserve">, on the other. </w:t>
      </w:r>
    </w:p>
    <w:p w14:paraId="3578F337"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In the world’s commodity markets</w:t>
      </w:r>
      <w:r w:rsidR="00811961" w:rsidRPr="00EE5F0F">
        <w:rPr>
          <w:rFonts w:ascii="Garamond" w:hAnsi="Garamond"/>
          <w:b/>
          <w:sz w:val="22"/>
          <w:szCs w:val="22"/>
        </w:rPr>
        <w:t>,</w:t>
      </w:r>
      <w:r w:rsidRPr="00EE5F0F">
        <w:rPr>
          <w:rFonts w:ascii="Garamond" w:hAnsi="Garamond"/>
          <w:b/>
          <w:sz w:val="22"/>
          <w:szCs w:val="22"/>
        </w:rPr>
        <w:t xml:space="preserve"> </w:t>
      </w:r>
      <w:r w:rsidR="004B3D61">
        <w:rPr>
          <w:rFonts w:ascii="Garamond" w:hAnsi="Garamond"/>
          <w:b/>
          <w:sz w:val="22"/>
          <w:szCs w:val="22"/>
        </w:rPr>
        <w:t xml:space="preserve">higher </w:t>
      </w:r>
      <w:r w:rsidRPr="00EE5F0F">
        <w:rPr>
          <w:rFonts w:ascii="Garamond" w:hAnsi="Garamond"/>
          <w:b/>
          <w:sz w:val="22"/>
          <w:szCs w:val="22"/>
        </w:rPr>
        <w:t>i</w:t>
      </w:r>
      <w:r w:rsidR="003B6FDA" w:rsidRPr="00EE5F0F">
        <w:rPr>
          <w:rFonts w:ascii="Garamond" w:hAnsi="Garamond"/>
          <w:b/>
          <w:sz w:val="22"/>
          <w:szCs w:val="22"/>
        </w:rPr>
        <w:t xml:space="preserve">nflationary </w:t>
      </w:r>
      <w:r w:rsidRPr="00EE5F0F">
        <w:rPr>
          <w:rFonts w:ascii="Garamond" w:hAnsi="Garamond"/>
          <w:b/>
          <w:sz w:val="22"/>
          <w:szCs w:val="22"/>
        </w:rPr>
        <w:t>pattern</w:t>
      </w:r>
      <w:r w:rsidR="003B6FDA" w:rsidRPr="00EE5F0F">
        <w:rPr>
          <w:rFonts w:ascii="Garamond" w:hAnsi="Garamond"/>
          <w:b/>
          <w:sz w:val="22"/>
          <w:szCs w:val="22"/>
        </w:rPr>
        <w:t xml:space="preserve">s are </w:t>
      </w:r>
      <w:r w:rsidR="008C05C0" w:rsidRPr="00EE5F0F">
        <w:rPr>
          <w:rFonts w:ascii="Garamond" w:hAnsi="Garamond"/>
          <w:b/>
          <w:sz w:val="22"/>
          <w:szCs w:val="22"/>
        </w:rPr>
        <w:t>anticipated;</w:t>
      </w:r>
      <w:r w:rsidRPr="00EE5F0F">
        <w:rPr>
          <w:rFonts w:ascii="Garamond" w:hAnsi="Garamond"/>
          <w:b/>
          <w:sz w:val="22"/>
          <w:szCs w:val="22"/>
        </w:rPr>
        <w:t xml:space="preserve"> in food product markets, prices will shape at </w:t>
      </w:r>
      <w:r w:rsidR="008C05C0" w:rsidRPr="00EE5F0F">
        <w:rPr>
          <w:rFonts w:ascii="Garamond" w:hAnsi="Garamond"/>
          <w:b/>
          <w:sz w:val="22"/>
          <w:szCs w:val="22"/>
        </w:rPr>
        <w:t xml:space="preserve">the levels </w:t>
      </w:r>
      <w:r w:rsidRPr="00EE5F0F">
        <w:rPr>
          <w:rFonts w:ascii="Garamond" w:hAnsi="Garamond"/>
          <w:b/>
          <w:sz w:val="22"/>
          <w:szCs w:val="22"/>
        </w:rPr>
        <w:t>forecasted previously</w:t>
      </w:r>
      <w:r w:rsidR="003B6FDA" w:rsidRPr="00EE5F0F">
        <w:rPr>
          <w:rFonts w:ascii="Garamond" w:hAnsi="Garamond"/>
          <w:b/>
          <w:sz w:val="22"/>
          <w:szCs w:val="22"/>
        </w:rPr>
        <w:t>.</w:t>
      </w:r>
    </w:p>
    <w:p w14:paraId="7C176423" w14:textId="77777777" w:rsidR="00500167" w:rsidRPr="00EE5F0F" w:rsidRDefault="004B3D6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Specifically, 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5A3523" w:rsidRPr="00EE5F0F">
        <w:rPr>
          <w:rFonts w:ascii="Garamond" w:hAnsi="Garamond"/>
          <w:sz w:val="22"/>
          <w:szCs w:val="22"/>
        </w:rPr>
        <w:t xml:space="preserve"> </w:t>
      </w:r>
      <w:r w:rsidR="003E01F9" w:rsidRPr="00EE5F0F">
        <w:rPr>
          <w:rFonts w:ascii="Garamond" w:hAnsi="Garamond"/>
          <w:sz w:val="22"/>
          <w:szCs w:val="22"/>
        </w:rPr>
        <w:t xml:space="preserve">the prices </w:t>
      </w:r>
      <w:r>
        <w:rPr>
          <w:rFonts w:ascii="Garamond" w:hAnsi="Garamond"/>
          <w:sz w:val="22"/>
          <w:szCs w:val="22"/>
        </w:rPr>
        <w:t xml:space="preserve">will </w:t>
      </w:r>
      <w:r w:rsidR="003E01F9" w:rsidRPr="00EE5F0F">
        <w:rPr>
          <w:rFonts w:ascii="Garamond" w:hAnsi="Garamond"/>
          <w:sz w:val="22"/>
          <w:szCs w:val="22"/>
        </w:rPr>
        <w:t xml:space="preserve">increase </w:t>
      </w:r>
      <w:r>
        <w:rPr>
          <w:rFonts w:ascii="Garamond" w:hAnsi="Garamond"/>
          <w:sz w:val="22"/>
          <w:szCs w:val="22"/>
        </w:rPr>
        <w:t>in line with the previously predicted dynamics</w:t>
      </w:r>
      <w:r w:rsidR="003E01F9" w:rsidRPr="00EE5F0F">
        <w:rPr>
          <w:rFonts w:ascii="Garamond" w:hAnsi="Garamond"/>
          <w:sz w:val="22"/>
          <w:szCs w:val="22"/>
        </w:rPr>
        <w:t xml:space="preserve">, but </w:t>
      </w:r>
      <w:r>
        <w:rPr>
          <w:rFonts w:ascii="Garamond" w:hAnsi="Garamond"/>
          <w:sz w:val="22"/>
          <w:szCs w:val="22"/>
        </w:rPr>
        <w:t xml:space="preserve">in some markets (sugar, wheat) </w:t>
      </w:r>
      <w:r w:rsidR="003E01F9" w:rsidRPr="00EE5F0F">
        <w:rPr>
          <w:rFonts w:ascii="Garamond" w:hAnsi="Garamond"/>
          <w:sz w:val="22"/>
          <w:szCs w:val="22"/>
        </w:rPr>
        <w:t xml:space="preserve">they will shape at </w:t>
      </w:r>
      <w:r>
        <w:rPr>
          <w:rFonts w:ascii="Garamond" w:hAnsi="Garamond"/>
          <w:sz w:val="22"/>
          <w:szCs w:val="22"/>
        </w:rPr>
        <w:t>the levels slightly lower from previous forecasts, owing to an expected good harvest</w:t>
      </w:r>
      <w:r w:rsidR="006355AE" w:rsidRPr="00EE5F0F">
        <w:rPr>
          <w:rFonts w:ascii="Garamond" w:hAnsi="Garamond"/>
          <w:sz w:val="22"/>
          <w:szCs w:val="22"/>
        </w:rPr>
        <w:t>.</w:t>
      </w:r>
      <w:r w:rsidR="004928D0" w:rsidRPr="00EE5F0F">
        <w:rPr>
          <w:rFonts w:ascii="Garamond" w:hAnsi="Garamond"/>
          <w:sz w:val="22"/>
          <w:szCs w:val="22"/>
        </w:rPr>
        <w:t xml:space="preserve"> </w:t>
      </w:r>
    </w:p>
    <w:p w14:paraId="286986C8" w14:textId="77777777" w:rsidR="004928D0" w:rsidRPr="00EE5F0F" w:rsidRDefault="004928D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previous forecasts, </w:t>
      </w:r>
      <w:r w:rsidR="006355AE" w:rsidRPr="00EE5F0F">
        <w:rPr>
          <w:rFonts w:ascii="Garamond" w:hAnsi="Garamond"/>
          <w:sz w:val="22"/>
          <w:szCs w:val="22"/>
        </w:rPr>
        <w:t xml:space="preserve">international </w:t>
      </w:r>
      <w:r w:rsidRPr="00EE5F0F">
        <w:rPr>
          <w:rFonts w:ascii="Garamond" w:hAnsi="Garamond"/>
          <w:sz w:val="22"/>
          <w:szCs w:val="22"/>
        </w:rPr>
        <w:t>oil prices will rest on a higher level</w:t>
      </w:r>
      <w:r w:rsidR="00765248">
        <w:rPr>
          <w:rFonts w:ascii="Garamond" w:hAnsi="Garamond"/>
          <w:sz w:val="22"/>
          <w:szCs w:val="22"/>
        </w:rPr>
        <w:t xml:space="preserve"> due to e</w:t>
      </w:r>
      <w:r w:rsidR="00765248" w:rsidRPr="00765248">
        <w:rPr>
          <w:rFonts w:ascii="Garamond" w:hAnsi="Garamond"/>
          <w:sz w:val="22"/>
          <w:szCs w:val="22"/>
        </w:rPr>
        <w:t xml:space="preserve">xpected small US </w:t>
      </w:r>
      <w:r w:rsidR="00765248">
        <w:rPr>
          <w:rFonts w:ascii="Garamond" w:hAnsi="Garamond"/>
          <w:sz w:val="22"/>
          <w:szCs w:val="22"/>
        </w:rPr>
        <w:t xml:space="preserve">inventories and </w:t>
      </w:r>
      <w:r w:rsidR="006355AE" w:rsidRPr="00EE5F0F">
        <w:rPr>
          <w:rFonts w:ascii="Garamond" w:hAnsi="Garamond"/>
          <w:sz w:val="22"/>
          <w:szCs w:val="22"/>
        </w:rPr>
        <w:t>possible reduction in the supply as a result of the US sanctions on Iran</w:t>
      </w:r>
      <w:r w:rsidR="00765248">
        <w:rPr>
          <w:rFonts w:ascii="Garamond" w:hAnsi="Garamond"/>
          <w:sz w:val="22"/>
          <w:szCs w:val="22"/>
        </w:rPr>
        <w:t>. T</w:t>
      </w:r>
      <w:r w:rsidR="00E72006" w:rsidRPr="00EE5F0F">
        <w:rPr>
          <w:rFonts w:ascii="Garamond" w:hAnsi="Garamond"/>
          <w:sz w:val="22"/>
          <w:szCs w:val="22"/>
        </w:rPr>
        <w:t xml:space="preserve">he </w:t>
      </w:r>
      <w:r w:rsidR="006355AE" w:rsidRPr="00EE5F0F">
        <w:rPr>
          <w:rFonts w:ascii="Garamond" w:hAnsi="Garamond"/>
          <w:sz w:val="22"/>
          <w:szCs w:val="22"/>
        </w:rPr>
        <w:t xml:space="preserve">world oil demand </w:t>
      </w:r>
      <w:r w:rsidR="00765248">
        <w:rPr>
          <w:rFonts w:ascii="Garamond" w:hAnsi="Garamond"/>
          <w:sz w:val="22"/>
          <w:szCs w:val="22"/>
        </w:rPr>
        <w:t xml:space="preserve">will further </w:t>
      </w:r>
      <w:r w:rsidR="00E72006" w:rsidRPr="00EE5F0F">
        <w:rPr>
          <w:rFonts w:ascii="Garamond" w:hAnsi="Garamond"/>
          <w:sz w:val="22"/>
          <w:szCs w:val="22"/>
        </w:rPr>
        <w:t>rebound</w:t>
      </w:r>
      <w:r w:rsidR="00765248">
        <w:rPr>
          <w:rFonts w:ascii="Garamond" w:hAnsi="Garamond"/>
          <w:sz w:val="22"/>
          <w:szCs w:val="22"/>
        </w:rPr>
        <w:t xml:space="preserve"> in the meanwhile</w:t>
      </w:r>
      <w:r w:rsidRPr="00EE5F0F">
        <w:rPr>
          <w:rFonts w:ascii="Garamond" w:hAnsi="Garamond"/>
          <w:sz w:val="22"/>
          <w:szCs w:val="22"/>
        </w:rPr>
        <w:t xml:space="preserve">. </w:t>
      </w:r>
    </w:p>
    <w:p w14:paraId="73646811"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I</w:t>
      </w:r>
      <w:r w:rsidR="00785B36" w:rsidRPr="00EE5F0F">
        <w:rPr>
          <w:rFonts w:ascii="Garamond" w:hAnsi="Garamond"/>
          <w:sz w:val="22"/>
          <w:szCs w:val="22"/>
        </w:rPr>
        <w:t>n</w:t>
      </w:r>
      <w:r w:rsidR="00765248">
        <w:rPr>
          <w:rFonts w:ascii="Garamond" w:hAnsi="Garamond"/>
          <w:sz w:val="22"/>
          <w:szCs w:val="22"/>
        </w:rPr>
        <w:t xml:space="preserve"> the medium term, in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the levels close to the ones outlined in the previous forecast, </w:t>
      </w:r>
      <w:r w:rsidR="00765248" w:rsidRPr="00765248">
        <w:rPr>
          <w:rFonts w:ascii="Garamond" w:hAnsi="Garamond"/>
          <w:sz w:val="22"/>
          <w:szCs w:val="22"/>
        </w:rPr>
        <w:t xml:space="preserve">and in the short run </w:t>
      </w:r>
      <w:r w:rsidR="00765248">
        <w:rPr>
          <w:rFonts w:ascii="Garamond" w:hAnsi="Garamond"/>
          <w:sz w:val="22"/>
          <w:szCs w:val="22"/>
        </w:rPr>
        <w:t xml:space="preserve">they </w:t>
      </w:r>
      <w:r w:rsidR="00765248" w:rsidRPr="00765248">
        <w:rPr>
          <w:rFonts w:ascii="Garamond" w:hAnsi="Garamond"/>
          <w:sz w:val="22"/>
          <w:szCs w:val="22"/>
        </w:rPr>
        <w:t xml:space="preserve">will </w:t>
      </w:r>
      <w:r w:rsidR="00765248">
        <w:rPr>
          <w:rFonts w:ascii="Garamond" w:hAnsi="Garamond"/>
          <w:sz w:val="22"/>
          <w:szCs w:val="22"/>
        </w:rPr>
        <w:t xml:space="preserve">rest on </w:t>
      </w:r>
      <w:r w:rsidR="00765248" w:rsidRPr="00765248">
        <w:rPr>
          <w:rFonts w:ascii="Garamond" w:hAnsi="Garamond"/>
          <w:sz w:val="22"/>
          <w:szCs w:val="22"/>
        </w:rPr>
        <w:t xml:space="preserve">lower </w:t>
      </w:r>
      <w:r w:rsidR="00765248">
        <w:rPr>
          <w:rFonts w:ascii="Garamond" w:hAnsi="Garamond"/>
          <w:sz w:val="22"/>
          <w:szCs w:val="22"/>
        </w:rPr>
        <w:t xml:space="preserve">levels </w:t>
      </w:r>
      <w:r w:rsidR="00765248" w:rsidRPr="00765248">
        <w:rPr>
          <w:rFonts w:ascii="Garamond" w:hAnsi="Garamond"/>
          <w:sz w:val="22"/>
          <w:szCs w:val="22"/>
        </w:rPr>
        <w:t>than previously anticipated, d</w:t>
      </w:r>
      <w:r w:rsidR="00D576E2">
        <w:rPr>
          <w:rFonts w:ascii="Garamond" w:hAnsi="Garamond"/>
          <w:sz w:val="22"/>
          <w:szCs w:val="22"/>
        </w:rPr>
        <w:t xml:space="preserve">riven by </w:t>
      </w:r>
      <w:r w:rsidR="00765248" w:rsidRPr="00765248">
        <w:rPr>
          <w:rFonts w:ascii="Garamond" w:hAnsi="Garamond"/>
          <w:sz w:val="22"/>
          <w:szCs w:val="22"/>
        </w:rPr>
        <w:t xml:space="preserve">expected </w:t>
      </w:r>
      <w:r w:rsidR="00D576E2">
        <w:rPr>
          <w:rFonts w:ascii="Garamond" w:hAnsi="Garamond"/>
          <w:sz w:val="22"/>
          <w:szCs w:val="22"/>
        </w:rPr>
        <w:t>contraction</w:t>
      </w:r>
      <w:r w:rsidR="00765248" w:rsidRPr="00765248">
        <w:rPr>
          <w:rFonts w:ascii="Garamond" w:hAnsi="Garamond"/>
          <w:sz w:val="22"/>
          <w:szCs w:val="22"/>
        </w:rPr>
        <w:t xml:space="preserve"> in demand by China </w:t>
      </w:r>
      <w:r w:rsidR="00D576E2">
        <w:rPr>
          <w:rFonts w:ascii="Garamond" w:hAnsi="Garamond"/>
          <w:sz w:val="22"/>
          <w:szCs w:val="22"/>
        </w:rPr>
        <w:t xml:space="preserve">as a result of trade </w:t>
      </w:r>
      <w:r w:rsidR="00765248" w:rsidRPr="00765248">
        <w:rPr>
          <w:rFonts w:ascii="Garamond" w:hAnsi="Garamond"/>
          <w:sz w:val="22"/>
          <w:szCs w:val="22"/>
        </w:rPr>
        <w:t xml:space="preserve">restrictions </w:t>
      </w:r>
      <w:r w:rsidR="00D576E2">
        <w:rPr>
          <w:rFonts w:ascii="Garamond" w:hAnsi="Garamond"/>
          <w:sz w:val="22"/>
          <w:szCs w:val="22"/>
        </w:rPr>
        <w:t>i</w:t>
      </w:r>
      <w:r w:rsidR="00765248" w:rsidRPr="00765248">
        <w:rPr>
          <w:rFonts w:ascii="Garamond" w:hAnsi="Garamond"/>
          <w:sz w:val="22"/>
          <w:szCs w:val="22"/>
        </w:rPr>
        <w:t>n the international copper market.</w:t>
      </w:r>
      <w:r w:rsidRPr="00EE5F0F">
        <w:rPr>
          <w:rFonts w:ascii="Garamond" w:hAnsi="Garamond"/>
          <w:sz w:val="22"/>
          <w:szCs w:val="22"/>
        </w:rPr>
        <w:t xml:space="preserve">  </w:t>
      </w:r>
    </w:p>
    <w:p w14:paraId="6DF943F7" w14:textId="77777777" w:rsidR="00C71404" w:rsidRPr="00EE5F0F" w:rsidRDefault="00C71404" w:rsidP="00EE619D">
      <w:pPr>
        <w:autoSpaceDE w:val="0"/>
        <w:autoSpaceDN w:val="0"/>
        <w:adjustRightInd w:val="0"/>
        <w:spacing w:after="120" w:line="360" w:lineRule="auto"/>
        <w:jc w:val="both"/>
        <w:rPr>
          <w:rFonts w:ascii="Garamond" w:hAnsi="Garamond"/>
          <w:b/>
          <w:sz w:val="22"/>
          <w:szCs w:val="22"/>
          <w:lang w:val="hy-AM"/>
        </w:rPr>
      </w:pPr>
      <w:r w:rsidRPr="00EE5F0F">
        <w:rPr>
          <w:rFonts w:ascii="Garamond" w:hAnsi="Garamond"/>
          <w:b/>
          <w:sz w:val="22"/>
          <w:szCs w:val="22"/>
        </w:rPr>
        <w:t xml:space="preserve">Armenia’s economic growth rate </w:t>
      </w:r>
      <w:r w:rsidR="00D576E2">
        <w:rPr>
          <w:rFonts w:ascii="Garamond" w:hAnsi="Garamond"/>
          <w:b/>
          <w:sz w:val="22"/>
          <w:szCs w:val="22"/>
        </w:rPr>
        <w:t xml:space="preserve">has been revised slightly upside </w:t>
      </w:r>
      <w:r w:rsidR="00CA1277" w:rsidRPr="00EE5F0F">
        <w:rPr>
          <w:rFonts w:ascii="Garamond" w:hAnsi="Garamond"/>
          <w:b/>
          <w:sz w:val="22"/>
          <w:szCs w:val="22"/>
        </w:rPr>
        <w:t xml:space="preserve">relative to </w:t>
      </w:r>
      <w:r w:rsidRPr="00EE5F0F">
        <w:rPr>
          <w:rFonts w:ascii="Garamond" w:hAnsi="Garamond"/>
          <w:b/>
          <w:sz w:val="22"/>
          <w:szCs w:val="22"/>
        </w:rPr>
        <w:t>previous forecasts</w:t>
      </w:r>
      <w:r w:rsidR="008901DA" w:rsidRPr="00EE5F0F">
        <w:rPr>
          <w:rFonts w:ascii="Garamond" w:hAnsi="Garamond"/>
          <w:b/>
          <w:sz w:val="22"/>
          <w:szCs w:val="22"/>
        </w:rPr>
        <w:t xml:space="preserve">, </w:t>
      </w:r>
      <w:r w:rsidR="00D576E2" w:rsidRPr="00D576E2">
        <w:rPr>
          <w:rFonts w:ascii="Garamond" w:hAnsi="Garamond"/>
          <w:b/>
          <w:sz w:val="22"/>
          <w:szCs w:val="22"/>
        </w:rPr>
        <w:t xml:space="preserve">both </w:t>
      </w:r>
      <w:r w:rsidR="00D576E2">
        <w:rPr>
          <w:rFonts w:ascii="Garamond" w:hAnsi="Garamond"/>
          <w:b/>
          <w:sz w:val="22"/>
          <w:szCs w:val="22"/>
        </w:rPr>
        <w:t xml:space="preserve">for </w:t>
      </w:r>
      <w:r w:rsidR="00D576E2" w:rsidRPr="00D576E2">
        <w:rPr>
          <w:rFonts w:ascii="Garamond" w:hAnsi="Garamond"/>
          <w:b/>
          <w:sz w:val="22"/>
          <w:szCs w:val="22"/>
        </w:rPr>
        <w:t xml:space="preserve">2018 and </w:t>
      </w:r>
      <w:r w:rsidR="00D576E2">
        <w:rPr>
          <w:rFonts w:ascii="Garamond" w:hAnsi="Garamond"/>
          <w:b/>
          <w:sz w:val="22"/>
          <w:szCs w:val="22"/>
        </w:rPr>
        <w:t xml:space="preserve">throughout </w:t>
      </w:r>
      <w:r w:rsidR="00D576E2" w:rsidRPr="00D576E2">
        <w:rPr>
          <w:rFonts w:ascii="Garamond" w:hAnsi="Garamond"/>
          <w:b/>
          <w:sz w:val="22"/>
          <w:szCs w:val="22"/>
        </w:rPr>
        <w:t xml:space="preserve">the </w:t>
      </w:r>
      <w:r w:rsidR="00D576E2">
        <w:rPr>
          <w:rFonts w:ascii="Garamond" w:hAnsi="Garamond"/>
          <w:b/>
          <w:sz w:val="22"/>
          <w:szCs w:val="22"/>
        </w:rPr>
        <w:t>forecast</w:t>
      </w:r>
      <w:r w:rsidR="00D576E2" w:rsidRPr="00D576E2">
        <w:rPr>
          <w:rFonts w:ascii="Garamond" w:hAnsi="Garamond"/>
          <w:b/>
          <w:sz w:val="22"/>
          <w:szCs w:val="22"/>
        </w:rPr>
        <w:t xml:space="preserve"> horizon.</w:t>
      </w:r>
      <w:r w:rsidR="00D576E2">
        <w:rPr>
          <w:rFonts w:ascii="Garamond" w:hAnsi="Garamond"/>
          <w:b/>
          <w:sz w:val="22"/>
          <w:szCs w:val="22"/>
        </w:rPr>
        <w:t xml:space="preserve"> </w:t>
      </w:r>
    </w:p>
    <w:p w14:paraId="0EB15B3C" w14:textId="77777777" w:rsidR="000007DB" w:rsidRPr="00EE5F0F" w:rsidRDefault="00D576E2" w:rsidP="00EE619D">
      <w:pPr>
        <w:autoSpaceDE w:val="0"/>
        <w:autoSpaceDN w:val="0"/>
        <w:adjustRightInd w:val="0"/>
        <w:spacing w:after="120" w:line="360" w:lineRule="auto"/>
        <w:jc w:val="both"/>
        <w:rPr>
          <w:rFonts w:ascii="Garamond" w:hAnsi="Garamond"/>
          <w:sz w:val="22"/>
          <w:szCs w:val="22"/>
        </w:rPr>
      </w:pPr>
      <w:r w:rsidRPr="00D576E2">
        <w:rPr>
          <w:rFonts w:ascii="Garamond" w:hAnsi="Garamond"/>
          <w:sz w:val="22"/>
          <w:szCs w:val="22"/>
        </w:rPr>
        <w:t xml:space="preserve">The economic growth of the recent period is </w:t>
      </w:r>
      <w:r>
        <w:rPr>
          <w:rFonts w:ascii="Garamond" w:hAnsi="Garamond"/>
          <w:sz w:val="22"/>
          <w:szCs w:val="22"/>
        </w:rPr>
        <w:t xml:space="preserve">remarkable for revived </w:t>
      </w:r>
      <w:r w:rsidRPr="00D576E2">
        <w:rPr>
          <w:rFonts w:ascii="Garamond" w:hAnsi="Garamond"/>
          <w:sz w:val="22"/>
          <w:szCs w:val="22"/>
        </w:rPr>
        <w:t xml:space="preserve">investment (see </w:t>
      </w:r>
      <w:r>
        <w:rPr>
          <w:rFonts w:ascii="Garamond" w:hAnsi="Garamond"/>
          <w:sz w:val="22"/>
          <w:szCs w:val="22"/>
        </w:rPr>
        <w:t>sub</w:t>
      </w:r>
      <w:r w:rsidRPr="00D576E2">
        <w:rPr>
          <w:rFonts w:ascii="Garamond" w:hAnsi="Garamond"/>
          <w:sz w:val="22"/>
          <w:szCs w:val="22"/>
        </w:rPr>
        <w:t xml:space="preserve">section 3. 2. 2) and construction (see </w:t>
      </w:r>
      <w:r>
        <w:rPr>
          <w:rFonts w:ascii="Garamond" w:hAnsi="Garamond"/>
          <w:sz w:val="22"/>
          <w:szCs w:val="22"/>
        </w:rPr>
        <w:t>sub</w:t>
      </w:r>
      <w:r w:rsidRPr="00D576E2">
        <w:rPr>
          <w:rFonts w:ascii="Garamond" w:hAnsi="Garamond"/>
          <w:sz w:val="22"/>
          <w:szCs w:val="22"/>
        </w:rPr>
        <w:t>section 3. 2. 3)</w:t>
      </w:r>
      <w:r>
        <w:rPr>
          <w:rFonts w:ascii="Garamond" w:hAnsi="Garamond"/>
          <w:sz w:val="22"/>
          <w:szCs w:val="22"/>
        </w:rPr>
        <w:t xml:space="preserve"> activity</w:t>
      </w:r>
      <w:r w:rsidRPr="00D576E2">
        <w:rPr>
          <w:rFonts w:ascii="Garamond" w:hAnsi="Garamond"/>
          <w:sz w:val="22"/>
          <w:szCs w:val="22"/>
        </w:rPr>
        <w:t xml:space="preserve">, which </w:t>
      </w:r>
      <w:r w:rsidR="006E7201">
        <w:rPr>
          <w:rFonts w:ascii="Garamond" w:hAnsi="Garamond"/>
          <w:sz w:val="22"/>
          <w:szCs w:val="22"/>
        </w:rPr>
        <w:t xml:space="preserve">has </w:t>
      </w:r>
      <w:r w:rsidRPr="00D576E2">
        <w:rPr>
          <w:rFonts w:ascii="Garamond" w:hAnsi="Garamond"/>
          <w:sz w:val="22"/>
          <w:szCs w:val="22"/>
        </w:rPr>
        <w:t>create</w:t>
      </w:r>
      <w:r w:rsidR="006E7201">
        <w:rPr>
          <w:rFonts w:ascii="Garamond" w:hAnsi="Garamond"/>
          <w:sz w:val="22"/>
          <w:szCs w:val="22"/>
        </w:rPr>
        <w:t>d</w:t>
      </w:r>
      <w:r w:rsidRPr="00D576E2">
        <w:rPr>
          <w:rFonts w:ascii="Garamond" w:hAnsi="Garamond"/>
          <w:sz w:val="22"/>
          <w:szCs w:val="22"/>
        </w:rPr>
        <w:t xml:space="preserve"> necessary preconditions for expanding the </w:t>
      </w:r>
      <w:r w:rsidR="006E7201">
        <w:rPr>
          <w:rFonts w:ascii="Garamond" w:hAnsi="Garamond"/>
          <w:sz w:val="22"/>
          <w:szCs w:val="22"/>
        </w:rPr>
        <w:t xml:space="preserve">production capacities of the economy </w:t>
      </w:r>
      <w:r w:rsidRPr="00D576E2">
        <w:rPr>
          <w:rFonts w:ascii="Garamond" w:hAnsi="Garamond"/>
          <w:sz w:val="22"/>
          <w:szCs w:val="22"/>
        </w:rPr>
        <w:t xml:space="preserve">in the medium term. It is therefore expected that </w:t>
      </w:r>
      <w:r w:rsidR="00117E84">
        <w:rPr>
          <w:rFonts w:ascii="Garamond" w:hAnsi="Garamond"/>
          <w:sz w:val="22"/>
          <w:szCs w:val="22"/>
        </w:rPr>
        <w:t xml:space="preserve">throughout </w:t>
      </w:r>
      <w:r w:rsidR="00117E84" w:rsidRPr="00D576E2">
        <w:rPr>
          <w:rFonts w:ascii="Garamond" w:hAnsi="Garamond"/>
          <w:sz w:val="22"/>
          <w:szCs w:val="22"/>
        </w:rPr>
        <w:t xml:space="preserve">the </w:t>
      </w:r>
      <w:r w:rsidR="00117E84">
        <w:rPr>
          <w:rFonts w:ascii="Garamond" w:hAnsi="Garamond"/>
          <w:sz w:val="22"/>
          <w:szCs w:val="22"/>
        </w:rPr>
        <w:t xml:space="preserve">entire </w:t>
      </w:r>
      <w:r w:rsidR="00117E84" w:rsidRPr="00D576E2">
        <w:rPr>
          <w:rFonts w:ascii="Garamond" w:hAnsi="Garamond"/>
          <w:sz w:val="22"/>
          <w:szCs w:val="22"/>
        </w:rPr>
        <w:t xml:space="preserve">forecast horizon </w:t>
      </w:r>
      <w:r w:rsidRPr="00D576E2">
        <w:rPr>
          <w:rFonts w:ascii="Garamond" w:hAnsi="Garamond"/>
          <w:sz w:val="22"/>
          <w:szCs w:val="22"/>
        </w:rPr>
        <w:t xml:space="preserve">the economic growth will be </w:t>
      </w:r>
      <w:r w:rsidR="00E26F64">
        <w:rPr>
          <w:rFonts w:ascii="Garamond" w:hAnsi="Garamond"/>
          <w:sz w:val="22"/>
          <w:szCs w:val="22"/>
        </w:rPr>
        <w:t xml:space="preserve">somewhat </w:t>
      </w:r>
      <w:r w:rsidRPr="00D576E2">
        <w:rPr>
          <w:rFonts w:ascii="Garamond" w:hAnsi="Garamond"/>
          <w:sz w:val="22"/>
          <w:szCs w:val="22"/>
        </w:rPr>
        <w:t xml:space="preserve">higher </w:t>
      </w:r>
      <w:r w:rsidR="00117E84">
        <w:rPr>
          <w:rFonts w:ascii="Garamond" w:hAnsi="Garamond"/>
          <w:sz w:val="22"/>
          <w:szCs w:val="22"/>
        </w:rPr>
        <w:t>relative t</w:t>
      </w:r>
      <w:r w:rsidRPr="00D576E2">
        <w:rPr>
          <w:rFonts w:ascii="Garamond" w:hAnsi="Garamond"/>
          <w:sz w:val="22"/>
          <w:szCs w:val="22"/>
        </w:rPr>
        <w:t xml:space="preserve">o previous predictions. Economic growth will mainly </w:t>
      </w:r>
      <w:r w:rsidR="00E26F64">
        <w:rPr>
          <w:rFonts w:ascii="Garamond" w:hAnsi="Garamond"/>
          <w:sz w:val="22"/>
          <w:szCs w:val="22"/>
        </w:rPr>
        <w:t xml:space="preserve">be fueled by </w:t>
      </w:r>
      <w:r w:rsidRPr="00D576E2">
        <w:rPr>
          <w:rFonts w:ascii="Garamond" w:hAnsi="Garamond"/>
          <w:sz w:val="22"/>
          <w:szCs w:val="22"/>
        </w:rPr>
        <w:t xml:space="preserve">the services sector, </w:t>
      </w:r>
      <w:r w:rsidR="00E26F64">
        <w:rPr>
          <w:rFonts w:ascii="Garamond" w:hAnsi="Garamond"/>
          <w:sz w:val="22"/>
          <w:szCs w:val="22"/>
        </w:rPr>
        <w:t xml:space="preserve">whereas contribution by </w:t>
      </w:r>
      <w:r w:rsidRPr="00D576E2">
        <w:rPr>
          <w:rFonts w:ascii="Garamond" w:hAnsi="Garamond"/>
          <w:sz w:val="22"/>
          <w:szCs w:val="22"/>
        </w:rPr>
        <w:t>agriculture, industry and construction will be relatively small.</w:t>
      </w:r>
      <w:r w:rsidR="00E26F64">
        <w:rPr>
          <w:rFonts w:ascii="Garamond" w:hAnsi="Garamond"/>
          <w:sz w:val="22"/>
          <w:szCs w:val="22"/>
        </w:rPr>
        <w:t xml:space="preserve"> </w:t>
      </w:r>
    </w:p>
    <w:p w14:paraId="4505D40E" w14:textId="77777777" w:rsidR="00AA75EC" w:rsidRDefault="00AA75EC"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There is expectation that </w:t>
      </w:r>
      <w:r w:rsidR="00E26F64">
        <w:rPr>
          <w:rFonts w:ascii="Garamond" w:hAnsi="Garamond"/>
          <w:sz w:val="22"/>
          <w:szCs w:val="22"/>
        </w:rPr>
        <w:t xml:space="preserve">the budget’s contractionary effect will lead to a negative </w:t>
      </w:r>
      <w:r w:rsidRPr="00EE5F0F">
        <w:rPr>
          <w:rFonts w:ascii="Garamond" w:hAnsi="Garamond"/>
          <w:sz w:val="22"/>
          <w:szCs w:val="22"/>
        </w:rPr>
        <w:t>GDP gap in the short run,</w:t>
      </w:r>
      <w:r w:rsidR="00E26F64">
        <w:rPr>
          <w:rFonts w:ascii="Garamond" w:hAnsi="Garamond"/>
          <w:sz w:val="22"/>
          <w:szCs w:val="22"/>
        </w:rPr>
        <w:t xml:space="preserve"> which will gradually phase </w:t>
      </w:r>
      <w:r w:rsidR="00E26F64" w:rsidRPr="002A27EA">
        <w:rPr>
          <w:rFonts w:ascii="Garamond" w:hAnsi="Garamond"/>
          <w:sz w:val="22"/>
          <w:szCs w:val="22"/>
        </w:rPr>
        <w:t xml:space="preserve">out in under </w:t>
      </w:r>
      <w:r w:rsidR="00E26F64">
        <w:rPr>
          <w:rFonts w:ascii="Garamond" w:hAnsi="Garamond"/>
          <w:sz w:val="22"/>
          <w:szCs w:val="22"/>
        </w:rPr>
        <w:t xml:space="preserve">the current expansionary monetary environment. In </w:t>
      </w:r>
      <w:r w:rsidR="00E26F64" w:rsidRPr="00E26F64">
        <w:rPr>
          <w:rFonts w:ascii="Garamond" w:hAnsi="Garamond"/>
          <w:sz w:val="22"/>
          <w:szCs w:val="22"/>
        </w:rPr>
        <w:t xml:space="preserve">the </w:t>
      </w:r>
      <w:r w:rsidR="00E26F64">
        <w:rPr>
          <w:rFonts w:ascii="Garamond" w:hAnsi="Garamond"/>
          <w:sz w:val="22"/>
          <w:szCs w:val="22"/>
        </w:rPr>
        <w:t xml:space="preserve">forecast horizon, the </w:t>
      </w:r>
      <w:r w:rsidR="00E26F64" w:rsidRPr="00E26F64">
        <w:rPr>
          <w:rFonts w:ascii="Garamond" w:hAnsi="Garamond"/>
          <w:sz w:val="22"/>
          <w:szCs w:val="22"/>
        </w:rPr>
        <w:t xml:space="preserve">economic growth will be close to its potential </w:t>
      </w:r>
      <w:r w:rsidR="00972A2E">
        <w:rPr>
          <w:rFonts w:ascii="Garamond" w:hAnsi="Garamond"/>
          <w:sz w:val="22"/>
          <w:szCs w:val="22"/>
        </w:rPr>
        <w:t>value</w:t>
      </w:r>
      <w:r w:rsidRPr="00EE5F0F">
        <w:rPr>
          <w:rFonts w:ascii="Garamond" w:hAnsi="Garamond"/>
          <w:sz w:val="22"/>
          <w:szCs w:val="22"/>
        </w:rPr>
        <w:t>.</w:t>
      </w:r>
    </w:p>
    <w:p w14:paraId="0BA4ECF7"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2:</w:t>
      </w:r>
    </w:p>
    <w:p w14:paraId="512364F8"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2018</w:t>
      </w:r>
      <w:r w:rsidR="00AA75EC" w:rsidRPr="00EE5F0F">
        <w:rPr>
          <w:rFonts w:ascii="Garamond" w:hAnsi="Garamond"/>
          <w:sz w:val="22"/>
          <w:szCs w:val="22"/>
        </w:rPr>
        <w:t>,</w:t>
      </w:r>
      <w:r w:rsidRPr="00EE5F0F">
        <w:rPr>
          <w:rFonts w:ascii="Garamond" w:hAnsi="Garamond"/>
          <w:sz w:val="22"/>
          <w:szCs w:val="22"/>
        </w:rPr>
        <w:t xml:space="preserve"> the current account deficit-to-GDP ratio will </w:t>
      </w:r>
      <w:r w:rsidR="00972A2E">
        <w:rPr>
          <w:rFonts w:ascii="Garamond" w:hAnsi="Garamond"/>
          <w:sz w:val="22"/>
          <w:szCs w:val="22"/>
        </w:rPr>
        <w:t>deteriorate</w:t>
      </w:r>
      <w:r w:rsidR="00917905">
        <w:rPr>
          <w:rFonts w:ascii="Garamond" w:hAnsi="Garamond"/>
          <w:sz w:val="22"/>
          <w:szCs w:val="22"/>
        </w:rPr>
        <w:t xml:space="preserve"> in relation to </w:t>
      </w:r>
      <w:r w:rsidR="00AA75EC" w:rsidRPr="00EE5F0F">
        <w:rPr>
          <w:rFonts w:ascii="Garamond" w:hAnsi="Garamond"/>
          <w:sz w:val="22"/>
          <w:szCs w:val="22"/>
        </w:rPr>
        <w:t xml:space="preserve">the previous forecast </w:t>
      </w:r>
      <w:r w:rsidR="00917905" w:rsidRPr="00917905">
        <w:rPr>
          <w:rFonts w:ascii="Garamond" w:hAnsi="Garamond"/>
          <w:sz w:val="22"/>
          <w:szCs w:val="22"/>
        </w:rPr>
        <w:t>mainly d</w:t>
      </w:r>
      <w:r w:rsidR="00E5485C">
        <w:rPr>
          <w:rFonts w:ascii="Garamond" w:hAnsi="Garamond"/>
          <w:sz w:val="22"/>
          <w:szCs w:val="22"/>
        </w:rPr>
        <w:t xml:space="preserve">riven by the </w:t>
      </w:r>
      <w:r w:rsidR="00E5485C" w:rsidRPr="00917905">
        <w:rPr>
          <w:rFonts w:ascii="Garamond" w:hAnsi="Garamond"/>
          <w:sz w:val="22"/>
          <w:szCs w:val="22"/>
        </w:rPr>
        <w:t xml:space="preserve">current account </w:t>
      </w:r>
      <w:r w:rsidR="00917905" w:rsidRPr="00917905">
        <w:rPr>
          <w:rFonts w:ascii="Garamond" w:hAnsi="Garamond"/>
          <w:sz w:val="22"/>
          <w:szCs w:val="22"/>
        </w:rPr>
        <w:t xml:space="preserve">developments in the </w:t>
      </w:r>
      <w:r w:rsidR="00E5485C">
        <w:rPr>
          <w:rFonts w:ascii="Garamond" w:hAnsi="Garamond"/>
          <w:sz w:val="22"/>
          <w:szCs w:val="22"/>
        </w:rPr>
        <w:t>f</w:t>
      </w:r>
      <w:r w:rsidR="00917905" w:rsidRPr="00917905">
        <w:rPr>
          <w:rFonts w:ascii="Garamond" w:hAnsi="Garamond"/>
          <w:sz w:val="22"/>
          <w:szCs w:val="22"/>
        </w:rPr>
        <w:t>irst half</w:t>
      </w:r>
      <w:r w:rsidR="00E5485C">
        <w:rPr>
          <w:rFonts w:ascii="Garamond" w:hAnsi="Garamond"/>
          <w:sz w:val="22"/>
          <w:szCs w:val="22"/>
        </w:rPr>
        <w:t xml:space="preserve"> of 2018</w:t>
      </w:r>
      <w:r w:rsidR="004D5BD5" w:rsidRPr="00EE5F0F">
        <w:rPr>
          <w:rFonts w:ascii="Garamond" w:hAnsi="Garamond"/>
          <w:sz w:val="22"/>
          <w:szCs w:val="22"/>
        </w:rPr>
        <w:t xml:space="preserve">. </w:t>
      </w:r>
    </w:p>
    <w:p w14:paraId="55E5627F" w14:textId="59E2B712" w:rsidR="00015947" w:rsidRPr="00EE5F0F" w:rsidRDefault="007A597B"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Relative to</w:t>
      </w:r>
      <w:r w:rsidR="00BE69EE" w:rsidRPr="00EE5F0F">
        <w:rPr>
          <w:rFonts w:ascii="Garamond" w:hAnsi="Garamond"/>
          <w:b/>
          <w:sz w:val="22"/>
          <w:szCs w:val="22"/>
        </w:rPr>
        <w:t xml:space="preserve"> the previous forecast</w:t>
      </w:r>
      <w:r w:rsidR="005260C0" w:rsidRPr="00EE5F0F">
        <w:rPr>
          <w:rFonts w:ascii="Garamond" w:hAnsi="Garamond"/>
          <w:b/>
          <w:sz w:val="22"/>
          <w:szCs w:val="22"/>
        </w:rPr>
        <w:t xml:space="preserve">, the </w:t>
      </w:r>
      <w:r>
        <w:rPr>
          <w:rFonts w:ascii="Garamond" w:hAnsi="Garamond"/>
          <w:b/>
          <w:sz w:val="22"/>
          <w:szCs w:val="22"/>
        </w:rPr>
        <w:t xml:space="preserve">2018 </w:t>
      </w:r>
      <w:r w:rsidR="005260C0" w:rsidRPr="00EE5F0F">
        <w:rPr>
          <w:rFonts w:ascii="Garamond" w:hAnsi="Garamond"/>
          <w:b/>
          <w:sz w:val="22"/>
          <w:szCs w:val="22"/>
        </w:rPr>
        <w:t>fiscal sector</w:t>
      </w:r>
      <w:r>
        <w:rPr>
          <w:rFonts w:ascii="Garamond" w:hAnsi="Garamond"/>
          <w:b/>
          <w:sz w:val="22"/>
          <w:szCs w:val="22"/>
        </w:rPr>
        <w:t xml:space="preserve"> </w:t>
      </w:r>
      <w:r w:rsidR="005260C0" w:rsidRPr="00EE5F0F">
        <w:rPr>
          <w:rFonts w:ascii="Garamond" w:hAnsi="Garamond"/>
          <w:b/>
          <w:sz w:val="22"/>
          <w:szCs w:val="22"/>
        </w:rPr>
        <w:t xml:space="preserve">impact has reduced to an estimated </w:t>
      </w:r>
      <w:r>
        <w:rPr>
          <w:rFonts w:ascii="Garamond" w:hAnsi="Garamond"/>
          <w:b/>
          <w:sz w:val="22"/>
          <w:szCs w:val="22"/>
        </w:rPr>
        <w:t>1</w:t>
      </w:r>
      <w:r w:rsidR="005260C0" w:rsidRPr="00EE5F0F">
        <w:rPr>
          <w:rFonts w:ascii="Garamond" w:hAnsi="Garamond"/>
          <w:b/>
          <w:sz w:val="22"/>
          <w:szCs w:val="22"/>
        </w:rPr>
        <w:t>.</w:t>
      </w:r>
      <w:r>
        <w:rPr>
          <w:rFonts w:ascii="Garamond" w:hAnsi="Garamond"/>
          <w:b/>
          <w:sz w:val="22"/>
          <w:szCs w:val="22"/>
        </w:rPr>
        <w:t>6</w:t>
      </w:r>
      <w:r w:rsidR="005260C0" w:rsidRPr="00EE5F0F">
        <w:rPr>
          <w:rFonts w:ascii="Garamond" w:hAnsi="Garamond"/>
          <w:b/>
          <w:sz w:val="22"/>
          <w:szCs w:val="22"/>
        </w:rPr>
        <w:t xml:space="preserve"> pp </w:t>
      </w:r>
      <w:r>
        <w:rPr>
          <w:rFonts w:ascii="Garamond" w:hAnsi="Garamond"/>
          <w:b/>
          <w:sz w:val="22"/>
          <w:szCs w:val="22"/>
        </w:rPr>
        <w:t>contraction</w:t>
      </w:r>
      <w:r w:rsidR="005260C0" w:rsidRPr="00EE5F0F">
        <w:rPr>
          <w:rFonts w:ascii="Garamond" w:hAnsi="Garamond"/>
          <w:b/>
          <w:sz w:val="22"/>
          <w:szCs w:val="22"/>
        </w:rPr>
        <w:t xml:space="preserve">ary from </w:t>
      </w:r>
      <w:r w:rsidR="00BE69EE" w:rsidRPr="00EE5F0F">
        <w:rPr>
          <w:rFonts w:ascii="Garamond" w:hAnsi="Garamond"/>
          <w:b/>
          <w:sz w:val="22"/>
          <w:szCs w:val="22"/>
        </w:rPr>
        <w:t>0.</w:t>
      </w:r>
      <w:r>
        <w:rPr>
          <w:rFonts w:ascii="Garamond" w:hAnsi="Garamond"/>
          <w:b/>
          <w:sz w:val="22"/>
          <w:szCs w:val="22"/>
        </w:rPr>
        <w:t>2</w:t>
      </w:r>
      <w:r w:rsidR="00BE69EE" w:rsidRPr="00EE5F0F">
        <w:rPr>
          <w:rFonts w:ascii="Garamond" w:hAnsi="Garamond"/>
          <w:b/>
          <w:sz w:val="22"/>
          <w:szCs w:val="22"/>
        </w:rPr>
        <w:t xml:space="preserve"> pp expansionary. </w:t>
      </w:r>
      <w:r w:rsidR="004C7884">
        <w:rPr>
          <w:rFonts w:ascii="Garamond" w:hAnsi="Garamond"/>
          <w:b/>
          <w:sz w:val="22"/>
          <w:szCs w:val="22"/>
        </w:rPr>
        <w:t>This</w:t>
      </w:r>
      <w:r w:rsidR="004C7884" w:rsidRPr="004C7884">
        <w:rPr>
          <w:rFonts w:ascii="Garamond" w:hAnsi="Garamond"/>
          <w:b/>
          <w:sz w:val="22"/>
          <w:szCs w:val="22"/>
        </w:rPr>
        <w:t xml:space="preserve"> will be </w:t>
      </w:r>
      <w:r w:rsidR="004C7884">
        <w:rPr>
          <w:rFonts w:ascii="Garamond" w:hAnsi="Garamond"/>
          <w:b/>
          <w:sz w:val="22"/>
          <w:szCs w:val="22"/>
        </w:rPr>
        <w:t xml:space="preserve">attributable to a neutral </w:t>
      </w:r>
      <w:r w:rsidR="00161D3D">
        <w:rPr>
          <w:rFonts w:ascii="Garamond" w:hAnsi="Garamond"/>
          <w:b/>
          <w:sz w:val="22"/>
          <w:szCs w:val="22"/>
        </w:rPr>
        <w:t>effect</w:t>
      </w:r>
      <w:r w:rsidR="00AF41DC">
        <w:rPr>
          <w:rFonts w:ascii="Garamond" w:hAnsi="Garamond"/>
          <w:b/>
          <w:sz w:val="22"/>
          <w:szCs w:val="22"/>
        </w:rPr>
        <w:t xml:space="preserve"> of revenues </w:t>
      </w:r>
      <w:r w:rsidR="00AF41DC" w:rsidRPr="004C7884">
        <w:rPr>
          <w:rFonts w:ascii="Garamond" w:hAnsi="Garamond"/>
          <w:b/>
          <w:sz w:val="22"/>
          <w:szCs w:val="22"/>
        </w:rPr>
        <w:t xml:space="preserve">as </w:t>
      </w:r>
      <w:r w:rsidR="00AF41DC">
        <w:rPr>
          <w:rFonts w:ascii="Garamond" w:hAnsi="Garamond"/>
          <w:b/>
          <w:sz w:val="22"/>
          <w:szCs w:val="22"/>
        </w:rPr>
        <w:t xml:space="preserve">collection of revenues comes along with </w:t>
      </w:r>
      <w:r w:rsidR="00AF41DC" w:rsidRPr="004C7884">
        <w:rPr>
          <w:rFonts w:ascii="Garamond" w:hAnsi="Garamond"/>
          <w:b/>
          <w:sz w:val="22"/>
          <w:szCs w:val="22"/>
        </w:rPr>
        <w:t xml:space="preserve">high economic growth </w:t>
      </w:r>
      <w:r w:rsidR="00AF41DC">
        <w:rPr>
          <w:rFonts w:ascii="Garamond" w:hAnsi="Garamond"/>
          <w:b/>
          <w:sz w:val="22"/>
          <w:szCs w:val="22"/>
        </w:rPr>
        <w:t xml:space="preserve">expected </w:t>
      </w:r>
      <w:r w:rsidR="00AF41DC" w:rsidRPr="004C7884">
        <w:rPr>
          <w:rFonts w:ascii="Garamond" w:hAnsi="Garamond"/>
          <w:b/>
          <w:sz w:val="22"/>
          <w:szCs w:val="22"/>
        </w:rPr>
        <w:t>for the year</w:t>
      </w:r>
      <w:r w:rsidR="00AF41DC">
        <w:rPr>
          <w:rFonts w:ascii="Garamond" w:hAnsi="Garamond"/>
          <w:b/>
          <w:sz w:val="22"/>
          <w:szCs w:val="22"/>
        </w:rPr>
        <w:t xml:space="preserve"> </w:t>
      </w:r>
      <w:r w:rsidR="004C7884">
        <w:rPr>
          <w:rFonts w:ascii="Garamond" w:hAnsi="Garamond"/>
          <w:b/>
          <w:sz w:val="22"/>
          <w:szCs w:val="22"/>
        </w:rPr>
        <w:t>and</w:t>
      </w:r>
      <w:r w:rsidR="00AF41DC">
        <w:rPr>
          <w:rFonts w:ascii="Garamond" w:hAnsi="Garamond"/>
          <w:b/>
          <w:sz w:val="22"/>
          <w:szCs w:val="22"/>
        </w:rPr>
        <w:t xml:space="preserve"> a contractionary effect of expenditures,</w:t>
      </w:r>
      <w:r w:rsidR="002A27EA">
        <w:rPr>
          <w:rFonts w:ascii="Garamond" w:hAnsi="Garamond"/>
          <w:b/>
          <w:sz w:val="22"/>
          <w:szCs w:val="22"/>
        </w:rPr>
        <w:t xml:space="preserve"> </w:t>
      </w:r>
      <w:r w:rsidR="004C7884">
        <w:rPr>
          <w:rFonts w:ascii="Garamond" w:hAnsi="Garamond"/>
          <w:b/>
          <w:sz w:val="22"/>
          <w:szCs w:val="22"/>
        </w:rPr>
        <w:t xml:space="preserve">after </w:t>
      </w:r>
      <w:r w:rsidR="004C7884" w:rsidRPr="004C7884">
        <w:rPr>
          <w:rFonts w:ascii="Garamond" w:hAnsi="Garamond"/>
          <w:b/>
          <w:sz w:val="22"/>
          <w:szCs w:val="22"/>
        </w:rPr>
        <w:t>certain</w:t>
      </w:r>
      <w:r w:rsidR="004C7884">
        <w:rPr>
          <w:rFonts w:ascii="Garamond" w:hAnsi="Garamond"/>
          <w:b/>
          <w:sz w:val="22"/>
          <w:szCs w:val="22"/>
        </w:rPr>
        <w:t xml:space="preserve"> </w:t>
      </w:r>
      <w:r w:rsidR="004C7884" w:rsidRPr="004C7884">
        <w:rPr>
          <w:rFonts w:ascii="Garamond" w:hAnsi="Garamond"/>
          <w:b/>
          <w:sz w:val="22"/>
          <w:szCs w:val="22"/>
        </w:rPr>
        <w:t>savings</w:t>
      </w:r>
      <w:r w:rsidR="004C7884">
        <w:rPr>
          <w:rFonts w:ascii="Garamond" w:hAnsi="Garamond"/>
          <w:b/>
          <w:sz w:val="22"/>
          <w:szCs w:val="22"/>
        </w:rPr>
        <w:t xml:space="preserve"> on expenditures</w:t>
      </w:r>
      <w:r w:rsidR="004C7884" w:rsidRPr="004C7884">
        <w:rPr>
          <w:rFonts w:ascii="Garamond" w:hAnsi="Garamond"/>
          <w:b/>
          <w:sz w:val="22"/>
          <w:szCs w:val="22"/>
        </w:rPr>
        <w:t xml:space="preserve">. It should be noted that the budget impact is rather </w:t>
      </w:r>
      <w:r w:rsidR="00161D3D" w:rsidRPr="004C7884">
        <w:rPr>
          <w:rFonts w:ascii="Garamond" w:hAnsi="Garamond"/>
          <w:b/>
          <w:sz w:val="22"/>
          <w:szCs w:val="22"/>
        </w:rPr>
        <w:t>unclear</w:t>
      </w:r>
      <w:r w:rsidR="004C7884" w:rsidRPr="004C7884">
        <w:rPr>
          <w:rFonts w:ascii="Garamond" w:hAnsi="Garamond"/>
          <w:b/>
          <w:sz w:val="22"/>
          <w:szCs w:val="22"/>
        </w:rPr>
        <w:t xml:space="preserve"> </w:t>
      </w:r>
      <w:r w:rsidR="00161D3D">
        <w:rPr>
          <w:rFonts w:ascii="Garamond" w:hAnsi="Garamond"/>
          <w:b/>
          <w:sz w:val="22"/>
          <w:szCs w:val="22"/>
        </w:rPr>
        <w:t xml:space="preserve">as to </w:t>
      </w:r>
      <w:r w:rsidR="004C7884" w:rsidRPr="004C7884">
        <w:rPr>
          <w:rFonts w:ascii="Garamond" w:hAnsi="Garamond"/>
          <w:b/>
          <w:sz w:val="22"/>
          <w:szCs w:val="22"/>
        </w:rPr>
        <w:t xml:space="preserve">the </w:t>
      </w:r>
      <w:r w:rsidR="00161D3D">
        <w:rPr>
          <w:rFonts w:ascii="Garamond" w:hAnsi="Garamond"/>
          <w:b/>
          <w:sz w:val="22"/>
          <w:szCs w:val="22"/>
        </w:rPr>
        <w:t xml:space="preserve">pace of </w:t>
      </w:r>
      <w:r w:rsidR="004C7884" w:rsidRPr="004C7884">
        <w:rPr>
          <w:rFonts w:ascii="Garamond" w:hAnsi="Garamond"/>
          <w:b/>
          <w:sz w:val="22"/>
          <w:szCs w:val="22"/>
        </w:rPr>
        <w:t>collecti</w:t>
      </w:r>
      <w:r w:rsidR="00161D3D">
        <w:rPr>
          <w:rFonts w:ascii="Garamond" w:hAnsi="Garamond"/>
          <w:b/>
          <w:sz w:val="22"/>
          <w:szCs w:val="22"/>
        </w:rPr>
        <w:t>ng</w:t>
      </w:r>
      <w:r w:rsidR="004C7884" w:rsidRPr="004C7884">
        <w:rPr>
          <w:rFonts w:ascii="Garamond" w:hAnsi="Garamond"/>
          <w:b/>
          <w:sz w:val="22"/>
          <w:szCs w:val="22"/>
        </w:rPr>
        <w:t xml:space="preserve"> </w:t>
      </w:r>
      <w:r w:rsidR="00161D3D">
        <w:rPr>
          <w:rFonts w:ascii="Garamond" w:hAnsi="Garamond"/>
          <w:b/>
          <w:sz w:val="22"/>
          <w:szCs w:val="22"/>
        </w:rPr>
        <w:t xml:space="preserve">the </w:t>
      </w:r>
      <w:r w:rsidR="004C7884" w:rsidRPr="004C7884">
        <w:rPr>
          <w:rFonts w:ascii="Garamond" w:hAnsi="Garamond"/>
          <w:b/>
          <w:sz w:val="22"/>
          <w:szCs w:val="22"/>
        </w:rPr>
        <w:t xml:space="preserve">revenue and, in particular, </w:t>
      </w:r>
      <w:r w:rsidR="00161D3D">
        <w:rPr>
          <w:rFonts w:ascii="Garamond" w:hAnsi="Garamond"/>
          <w:b/>
          <w:sz w:val="22"/>
          <w:szCs w:val="22"/>
        </w:rPr>
        <w:t>making the expenditures</w:t>
      </w:r>
      <w:r w:rsidR="005260C0" w:rsidRPr="00EE5F0F">
        <w:rPr>
          <w:rFonts w:ascii="Garamond" w:hAnsi="Garamond"/>
          <w:b/>
          <w:sz w:val="22"/>
          <w:szCs w:val="22"/>
        </w:rPr>
        <w:t>.</w:t>
      </w:r>
    </w:p>
    <w:p w14:paraId="5C008B42" w14:textId="77777777" w:rsidR="00015947" w:rsidRPr="00EE5F0F" w:rsidRDefault="00F51CC3"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According to the current forecast, </w:t>
      </w:r>
      <w:r w:rsidR="00D922F8" w:rsidRPr="00EE5F0F">
        <w:rPr>
          <w:rFonts w:ascii="Garamond" w:hAnsi="Garamond"/>
          <w:b/>
          <w:sz w:val="22"/>
          <w:szCs w:val="22"/>
        </w:rPr>
        <w:t>the inflation will</w:t>
      </w:r>
      <w:r w:rsidR="00803DE3">
        <w:rPr>
          <w:rFonts w:ascii="Garamond" w:hAnsi="Garamond"/>
          <w:b/>
          <w:sz w:val="22"/>
          <w:szCs w:val="22"/>
        </w:rPr>
        <w:t>,</w:t>
      </w:r>
      <w:r w:rsidR="00D922F8" w:rsidRPr="00EE5F0F">
        <w:rPr>
          <w:rFonts w:ascii="Garamond" w:hAnsi="Garamond"/>
          <w:b/>
          <w:sz w:val="22"/>
          <w:szCs w:val="22"/>
        </w:rPr>
        <w:t xml:space="preserve"> </w:t>
      </w:r>
      <w:r w:rsidR="00803DE3" w:rsidRPr="00EE5F0F">
        <w:rPr>
          <w:rFonts w:ascii="Garamond" w:hAnsi="Garamond"/>
          <w:b/>
          <w:sz w:val="22"/>
          <w:szCs w:val="22"/>
        </w:rPr>
        <w:t xml:space="preserve">in the short </w:t>
      </w:r>
      <w:r w:rsidR="00803DE3">
        <w:rPr>
          <w:rFonts w:ascii="Garamond" w:hAnsi="Garamond"/>
          <w:b/>
          <w:sz w:val="22"/>
          <w:szCs w:val="22"/>
        </w:rPr>
        <w:t>term,</w:t>
      </w:r>
      <w:r w:rsidR="00803DE3" w:rsidRPr="00EE5F0F">
        <w:rPr>
          <w:rFonts w:ascii="Garamond" w:hAnsi="Garamond"/>
          <w:b/>
          <w:sz w:val="22"/>
          <w:szCs w:val="22"/>
        </w:rPr>
        <w:t xml:space="preserve"> </w:t>
      </w:r>
      <w:r w:rsidR="00D922F8" w:rsidRPr="00EE5F0F">
        <w:rPr>
          <w:rFonts w:ascii="Garamond" w:hAnsi="Garamond"/>
          <w:b/>
          <w:sz w:val="22"/>
          <w:szCs w:val="22"/>
        </w:rPr>
        <w:t xml:space="preserve">run below the previous forecasts due to a </w:t>
      </w:r>
      <w:r w:rsidR="00F23148">
        <w:rPr>
          <w:rFonts w:ascii="Garamond" w:hAnsi="Garamond"/>
          <w:b/>
          <w:sz w:val="22"/>
          <w:szCs w:val="22"/>
        </w:rPr>
        <w:t xml:space="preserve">weaker </w:t>
      </w:r>
      <w:r w:rsidR="00D922F8" w:rsidRPr="00EE5F0F">
        <w:rPr>
          <w:rFonts w:ascii="Garamond" w:hAnsi="Garamond"/>
          <w:b/>
          <w:sz w:val="22"/>
          <w:szCs w:val="22"/>
        </w:rPr>
        <w:t xml:space="preserve">demand and </w:t>
      </w:r>
      <w:r w:rsidR="00F23148">
        <w:rPr>
          <w:rFonts w:ascii="Garamond" w:hAnsi="Garamond"/>
          <w:b/>
          <w:sz w:val="22"/>
          <w:szCs w:val="22"/>
        </w:rPr>
        <w:t xml:space="preserve">lower-than-expected </w:t>
      </w:r>
      <w:r w:rsidR="00161D3D">
        <w:rPr>
          <w:rFonts w:ascii="Garamond" w:hAnsi="Garamond"/>
          <w:b/>
          <w:sz w:val="22"/>
          <w:szCs w:val="22"/>
        </w:rPr>
        <w:t xml:space="preserve">actual </w:t>
      </w:r>
      <w:r w:rsidR="00D922F8" w:rsidRPr="00EE5F0F">
        <w:rPr>
          <w:rFonts w:ascii="Garamond" w:hAnsi="Garamond"/>
          <w:b/>
          <w:sz w:val="22"/>
          <w:szCs w:val="22"/>
        </w:rPr>
        <w:t>prices of seasonal agricultural products</w:t>
      </w:r>
      <w:r w:rsidR="00161D3D">
        <w:rPr>
          <w:rFonts w:ascii="Garamond" w:hAnsi="Garamond"/>
          <w:b/>
          <w:sz w:val="22"/>
          <w:szCs w:val="22"/>
        </w:rPr>
        <w:t xml:space="preserve">. </w:t>
      </w:r>
      <w:r w:rsidR="00F23148">
        <w:rPr>
          <w:rFonts w:ascii="Garamond" w:hAnsi="Garamond"/>
          <w:b/>
          <w:sz w:val="22"/>
          <w:szCs w:val="22"/>
        </w:rPr>
        <w:t xml:space="preserve">Moreover, </w:t>
      </w:r>
      <w:r w:rsidR="00F23148" w:rsidRPr="00F23148">
        <w:rPr>
          <w:rFonts w:ascii="Garamond" w:hAnsi="Garamond"/>
          <w:b/>
          <w:sz w:val="22"/>
          <w:szCs w:val="22"/>
        </w:rPr>
        <w:t xml:space="preserve">the supply of some </w:t>
      </w:r>
      <w:r w:rsidR="00F23148">
        <w:rPr>
          <w:rFonts w:ascii="Garamond" w:hAnsi="Garamond"/>
          <w:b/>
          <w:sz w:val="22"/>
          <w:szCs w:val="22"/>
        </w:rPr>
        <w:t xml:space="preserve">cultivated plants reduced notably </w:t>
      </w:r>
      <w:r w:rsidR="00F23148" w:rsidRPr="00F23148">
        <w:rPr>
          <w:rFonts w:ascii="Garamond" w:hAnsi="Garamond"/>
          <w:b/>
          <w:sz w:val="22"/>
          <w:szCs w:val="22"/>
        </w:rPr>
        <w:t xml:space="preserve">in the third quarter, </w:t>
      </w:r>
      <w:r w:rsidR="00BA1F4A">
        <w:rPr>
          <w:rFonts w:ascii="Garamond" w:hAnsi="Garamond"/>
          <w:b/>
          <w:sz w:val="22"/>
          <w:szCs w:val="22"/>
        </w:rPr>
        <w:t xml:space="preserve">and this </w:t>
      </w:r>
      <w:r w:rsidR="00F23148">
        <w:rPr>
          <w:rFonts w:ascii="Garamond" w:hAnsi="Garamond"/>
          <w:b/>
          <w:sz w:val="22"/>
          <w:szCs w:val="22"/>
        </w:rPr>
        <w:t xml:space="preserve">started </w:t>
      </w:r>
      <w:r w:rsidR="00803DE3">
        <w:rPr>
          <w:rFonts w:ascii="Garamond" w:hAnsi="Garamond"/>
          <w:b/>
          <w:sz w:val="22"/>
          <w:szCs w:val="22"/>
        </w:rPr>
        <w:t xml:space="preserve">spilling over </w:t>
      </w:r>
      <w:r w:rsidR="00BA1F4A">
        <w:rPr>
          <w:rFonts w:ascii="Garamond" w:hAnsi="Garamond"/>
          <w:b/>
          <w:sz w:val="22"/>
          <w:szCs w:val="22"/>
        </w:rPr>
        <w:t>as inflationary patterns</w:t>
      </w:r>
      <w:r w:rsidR="00F23148" w:rsidRPr="00F23148">
        <w:rPr>
          <w:rFonts w:ascii="Garamond" w:hAnsi="Garamond"/>
          <w:b/>
          <w:sz w:val="22"/>
          <w:szCs w:val="22"/>
        </w:rPr>
        <w:t xml:space="preserve"> in </w:t>
      </w:r>
      <w:r w:rsidR="00BA1F4A">
        <w:rPr>
          <w:rFonts w:ascii="Garamond" w:hAnsi="Garamond"/>
          <w:b/>
          <w:sz w:val="22"/>
          <w:szCs w:val="22"/>
        </w:rPr>
        <w:t>respective food product markets</w:t>
      </w:r>
      <w:r w:rsidR="00F23148" w:rsidRPr="00F23148">
        <w:rPr>
          <w:rFonts w:ascii="Garamond" w:hAnsi="Garamond"/>
          <w:b/>
          <w:sz w:val="22"/>
          <w:szCs w:val="22"/>
        </w:rPr>
        <w:t>.</w:t>
      </w:r>
      <w:r w:rsidR="00BA1F4A">
        <w:rPr>
          <w:rFonts w:ascii="Garamond" w:hAnsi="Garamond"/>
          <w:b/>
          <w:sz w:val="22"/>
          <w:szCs w:val="22"/>
        </w:rPr>
        <w:t xml:space="preserve"> </w:t>
      </w:r>
      <w:r w:rsidR="00803DE3" w:rsidRPr="00803DE3">
        <w:rPr>
          <w:rFonts w:ascii="Garamond" w:hAnsi="Garamond"/>
          <w:b/>
          <w:sz w:val="22"/>
          <w:szCs w:val="22"/>
        </w:rPr>
        <w:t>In the coming months</w:t>
      </w:r>
      <w:r w:rsidR="00803DE3">
        <w:rPr>
          <w:rFonts w:ascii="Garamond" w:hAnsi="Garamond"/>
          <w:b/>
          <w:sz w:val="22"/>
          <w:szCs w:val="22"/>
        </w:rPr>
        <w:t>,</w:t>
      </w:r>
      <w:r w:rsidR="00803DE3" w:rsidRPr="00803DE3">
        <w:rPr>
          <w:rFonts w:ascii="Garamond" w:hAnsi="Garamond"/>
          <w:b/>
          <w:sz w:val="22"/>
          <w:szCs w:val="22"/>
        </w:rPr>
        <w:t xml:space="preserve"> as </w:t>
      </w:r>
      <w:r w:rsidR="00803DE3">
        <w:rPr>
          <w:rFonts w:ascii="Garamond" w:hAnsi="Garamond"/>
          <w:b/>
          <w:sz w:val="22"/>
          <w:szCs w:val="22"/>
        </w:rPr>
        <w:t xml:space="preserve">prices of </w:t>
      </w:r>
      <w:r w:rsidR="00803DE3" w:rsidRPr="00803DE3">
        <w:rPr>
          <w:rFonts w:ascii="Garamond" w:hAnsi="Garamond"/>
          <w:b/>
          <w:sz w:val="22"/>
          <w:szCs w:val="22"/>
        </w:rPr>
        <w:t>agricultural products</w:t>
      </w:r>
      <w:r w:rsidR="00803DE3">
        <w:rPr>
          <w:rFonts w:ascii="Garamond" w:hAnsi="Garamond"/>
          <w:b/>
          <w:sz w:val="22"/>
          <w:szCs w:val="22"/>
        </w:rPr>
        <w:t xml:space="preserve"> recover at a faster rate</w:t>
      </w:r>
      <w:r w:rsidR="00803DE3" w:rsidRPr="00803DE3">
        <w:rPr>
          <w:rFonts w:ascii="Garamond" w:hAnsi="Garamond"/>
          <w:b/>
          <w:sz w:val="22"/>
          <w:szCs w:val="22"/>
        </w:rPr>
        <w:t xml:space="preserve">, the 12-month inflation will gradually accelerate, </w:t>
      </w:r>
      <w:r w:rsidR="00803DE3">
        <w:rPr>
          <w:rFonts w:ascii="Garamond" w:hAnsi="Garamond"/>
          <w:b/>
          <w:sz w:val="22"/>
          <w:szCs w:val="22"/>
        </w:rPr>
        <w:t>still fluctuating within the lower part of the confidence band.</w:t>
      </w:r>
      <w:r w:rsidR="00803DE3" w:rsidRPr="00803DE3">
        <w:rPr>
          <w:rFonts w:ascii="Garamond" w:hAnsi="Garamond"/>
          <w:b/>
          <w:sz w:val="22"/>
          <w:szCs w:val="22"/>
        </w:rPr>
        <w:t xml:space="preserve"> </w:t>
      </w:r>
    </w:p>
    <w:p w14:paraId="1BEB5D1D" w14:textId="77777777" w:rsidR="002A0418" w:rsidRPr="00EE5F0F" w:rsidRDefault="00C21775"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C21775">
        <w:rPr>
          <w:rFonts w:ascii="Garamond" w:hAnsi="Garamond"/>
          <w:sz w:val="22"/>
          <w:szCs w:val="22"/>
        </w:rPr>
        <w:t xml:space="preserve">he level of </w:t>
      </w:r>
      <w:r>
        <w:rPr>
          <w:rFonts w:ascii="Garamond" w:hAnsi="Garamond"/>
          <w:sz w:val="22"/>
          <w:szCs w:val="22"/>
        </w:rPr>
        <w:t>core i</w:t>
      </w:r>
      <w:r w:rsidRPr="00C21775">
        <w:rPr>
          <w:rFonts w:ascii="Garamond" w:hAnsi="Garamond"/>
          <w:sz w:val="22"/>
          <w:szCs w:val="22"/>
        </w:rPr>
        <w:t xml:space="preserve">nflation </w:t>
      </w:r>
      <w:r>
        <w:rPr>
          <w:rFonts w:ascii="Garamond" w:hAnsi="Garamond"/>
          <w:sz w:val="22"/>
          <w:szCs w:val="22"/>
        </w:rPr>
        <w:t xml:space="preserve">throughout the entire </w:t>
      </w:r>
      <w:r w:rsidRPr="00C21775">
        <w:rPr>
          <w:rFonts w:ascii="Garamond" w:hAnsi="Garamond"/>
          <w:sz w:val="22"/>
          <w:szCs w:val="22"/>
        </w:rPr>
        <w:t xml:space="preserve">forecast horizon will be lower than </w:t>
      </w:r>
      <w:r>
        <w:rPr>
          <w:rFonts w:ascii="Garamond" w:hAnsi="Garamond"/>
          <w:sz w:val="22"/>
          <w:szCs w:val="22"/>
        </w:rPr>
        <w:t xml:space="preserve">outlined </w:t>
      </w:r>
      <w:r w:rsidRPr="00C21775">
        <w:rPr>
          <w:rFonts w:ascii="Garamond" w:hAnsi="Garamond"/>
          <w:sz w:val="22"/>
          <w:szCs w:val="22"/>
        </w:rPr>
        <w:t xml:space="preserve">in the previous scenario, </w:t>
      </w:r>
      <w:r w:rsidR="009559B2">
        <w:rPr>
          <w:rFonts w:ascii="Garamond" w:hAnsi="Garamond"/>
          <w:sz w:val="22"/>
          <w:szCs w:val="22"/>
        </w:rPr>
        <w:t xml:space="preserve">which is explained by </w:t>
      </w:r>
      <w:r w:rsidRPr="00C21775">
        <w:rPr>
          <w:rFonts w:ascii="Garamond" w:hAnsi="Garamond"/>
          <w:sz w:val="22"/>
          <w:szCs w:val="22"/>
        </w:rPr>
        <w:t xml:space="preserve">a relatively </w:t>
      </w:r>
      <w:r>
        <w:rPr>
          <w:rFonts w:ascii="Garamond" w:hAnsi="Garamond"/>
          <w:sz w:val="22"/>
          <w:szCs w:val="22"/>
        </w:rPr>
        <w:t xml:space="preserve">sluggish </w:t>
      </w:r>
      <w:r w:rsidR="009559B2">
        <w:rPr>
          <w:rFonts w:ascii="Garamond" w:hAnsi="Garamond"/>
          <w:sz w:val="22"/>
          <w:szCs w:val="22"/>
        </w:rPr>
        <w:t xml:space="preserve">environment for </w:t>
      </w:r>
      <w:r>
        <w:rPr>
          <w:rFonts w:ascii="Garamond" w:hAnsi="Garamond"/>
          <w:sz w:val="22"/>
          <w:szCs w:val="22"/>
        </w:rPr>
        <w:t xml:space="preserve">aggregate demand. </w:t>
      </w:r>
      <w:r w:rsidR="009559B2" w:rsidRPr="00EE5F0F">
        <w:rPr>
          <w:rFonts w:ascii="Garamond" w:hAnsi="Garamond"/>
          <w:sz w:val="22"/>
          <w:szCs w:val="22"/>
        </w:rPr>
        <w:t>Consequently,</w:t>
      </w:r>
      <w:r w:rsidR="009559B2">
        <w:rPr>
          <w:rFonts w:ascii="Garamond" w:hAnsi="Garamond"/>
          <w:sz w:val="22"/>
          <w:szCs w:val="22"/>
        </w:rPr>
        <w:t xml:space="preserve"> </w:t>
      </w:r>
      <w:r w:rsidR="009559B2" w:rsidRPr="00EE5F0F">
        <w:rPr>
          <w:rFonts w:ascii="Garamond" w:hAnsi="Garamond"/>
          <w:sz w:val="22"/>
          <w:szCs w:val="22"/>
        </w:rPr>
        <w:t>fulfill</w:t>
      </w:r>
      <w:r w:rsidR="009559B2">
        <w:rPr>
          <w:rFonts w:ascii="Garamond" w:hAnsi="Garamond"/>
          <w:sz w:val="22"/>
          <w:szCs w:val="22"/>
        </w:rPr>
        <w:t>ing</w:t>
      </w:r>
      <w:r w:rsidR="009559B2" w:rsidRPr="00EE5F0F">
        <w:rPr>
          <w:rFonts w:ascii="Garamond" w:hAnsi="Garamond"/>
          <w:sz w:val="22"/>
          <w:szCs w:val="22"/>
        </w:rPr>
        <w:t xml:space="preserve"> the inflation target will require </w:t>
      </w:r>
      <w:r w:rsidR="009559B2">
        <w:rPr>
          <w:rFonts w:ascii="Garamond" w:hAnsi="Garamond"/>
          <w:sz w:val="22"/>
          <w:szCs w:val="22"/>
        </w:rPr>
        <w:t>keeping the</w:t>
      </w:r>
      <w:r w:rsidR="009559B2" w:rsidRPr="00EE5F0F">
        <w:rPr>
          <w:rFonts w:ascii="Garamond" w:hAnsi="Garamond"/>
          <w:sz w:val="22"/>
          <w:szCs w:val="22"/>
        </w:rPr>
        <w:t xml:space="preserve"> monetary </w:t>
      </w:r>
      <w:r w:rsidR="009559B2">
        <w:rPr>
          <w:rFonts w:ascii="Garamond" w:hAnsi="Garamond"/>
          <w:sz w:val="22"/>
          <w:szCs w:val="22"/>
        </w:rPr>
        <w:t xml:space="preserve">policy moderately expansionary for some time </w:t>
      </w:r>
      <w:r w:rsidR="009559B2">
        <w:rPr>
          <w:rFonts w:ascii="Garamond" w:hAnsi="Garamond"/>
          <w:sz w:val="22"/>
          <w:szCs w:val="22"/>
        </w:rPr>
        <w:lastRenderedPageBreak/>
        <w:t xml:space="preserve">and letting it </w:t>
      </w:r>
      <w:r w:rsidR="009559B2" w:rsidRPr="00EE5F0F">
        <w:rPr>
          <w:rFonts w:ascii="Garamond" w:hAnsi="Garamond"/>
          <w:sz w:val="22"/>
          <w:szCs w:val="22"/>
        </w:rPr>
        <w:t xml:space="preserve">phase out gradually in </w:t>
      </w:r>
      <w:r w:rsidR="009559B2">
        <w:rPr>
          <w:rFonts w:ascii="Garamond" w:hAnsi="Garamond"/>
          <w:sz w:val="22"/>
          <w:szCs w:val="22"/>
        </w:rPr>
        <w:t>the medium ru</w:t>
      </w:r>
      <w:r w:rsidR="00261149">
        <w:rPr>
          <w:rFonts w:ascii="Garamond" w:hAnsi="Garamond"/>
          <w:sz w:val="22"/>
          <w:szCs w:val="22"/>
        </w:rPr>
        <w:t xml:space="preserve">n, helping the inflation stabilize around the target </w:t>
      </w:r>
      <w:r w:rsidR="00261149" w:rsidRPr="00EE5F0F">
        <w:rPr>
          <w:rFonts w:ascii="Garamond" w:hAnsi="Garamond"/>
          <w:sz w:val="22"/>
          <w:szCs w:val="22"/>
        </w:rPr>
        <w:t>(see the Inflation Forecasts Probability Distribution Chart).</w:t>
      </w:r>
      <w:r w:rsidR="00261149">
        <w:rPr>
          <w:rFonts w:ascii="Garamond" w:hAnsi="Garamond"/>
          <w:sz w:val="22"/>
          <w:szCs w:val="22"/>
        </w:rPr>
        <w:t xml:space="preserve"> </w:t>
      </w:r>
    </w:p>
    <w:p w14:paraId="2F5FD7DC" w14:textId="77777777" w:rsidR="002A0418" w:rsidRPr="00EE5F0F" w:rsidRDefault="00C34BCA"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Short-term inflation expectations will </w:t>
      </w:r>
      <w:r w:rsidR="00626606">
        <w:rPr>
          <w:rFonts w:ascii="Garamond" w:hAnsi="Garamond"/>
          <w:b/>
          <w:sz w:val="22"/>
          <w:szCs w:val="22"/>
        </w:rPr>
        <w:t xml:space="preserve">rest on a level </w:t>
      </w:r>
      <w:r w:rsidRPr="00EE5F0F">
        <w:rPr>
          <w:rFonts w:ascii="Garamond" w:hAnsi="Garamond"/>
          <w:b/>
          <w:sz w:val="22"/>
          <w:szCs w:val="22"/>
        </w:rPr>
        <w:t>lower than outlined previous</w:t>
      </w:r>
      <w:r w:rsidR="00626606">
        <w:rPr>
          <w:rFonts w:ascii="Garamond" w:hAnsi="Garamond"/>
          <w:b/>
          <w:sz w:val="22"/>
          <w:szCs w:val="22"/>
        </w:rPr>
        <w:t>ly</w:t>
      </w:r>
      <w:r w:rsidRPr="00EE5F0F">
        <w:rPr>
          <w:rFonts w:ascii="Garamond" w:hAnsi="Garamond"/>
          <w:b/>
          <w:sz w:val="22"/>
          <w:szCs w:val="22"/>
        </w:rPr>
        <w:t xml:space="preserve"> and will be driven by how core inflation </w:t>
      </w:r>
      <w:r w:rsidR="00626606">
        <w:rPr>
          <w:rFonts w:ascii="Garamond" w:hAnsi="Garamond"/>
          <w:b/>
          <w:sz w:val="22"/>
          <w:szCs w:val="22"/>
        </w:rPr>
        <w:t xml:space="preserve">patterns </w:t>
      </w:r>
      <w:r w:rsidRPr="00EE5F0F">
        <w:rPr>
          <w:rFonts w:ascii="Garamond" w:hAnsi="Garamond"/>
          <w:b/>
          <w:sz w:val="22"/>
          <w:szCs w:val="22"/>
        </w:rPr>
        <w:t xml:space="preserve">unfold. </w:t>
      </w:r>
    </w:p>
    <w:p w14:paraId="0AE8E0DA"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2306BB14"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5443A45D" w14:textId="77777777" w:rsidR="00815906" w:rsidRPr="00EE5F0F"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7814FC">
        <w:rPr>
          <w:rFonts w:ascii="Garamond" w:hAnsi="Garamond"/>
          <w:sz w:val="22"/>
          <w:szCs w:val="22"/>
        </w:rPr>
        <w:t>third</w:t>
      </w:r>
      <w:r w:rsidRPr="00EE5F0F">
        <w:rPr>
          <w:rFonts w:ascii="Garamond" w:hAnsi="Garamond"/>
          <w:sz w:val="22"/>
          <w:szCs w:val="22"/>
        </w:rPr>
        <w:t xml:space="preserve"> quarter of 201</w:t>
      </w:r>
      <w:r w:rsidR="009A6F46" w:rsidRPr="00EE5F0F">
        <w:rPr>
          <w:rFonts w:ascii="Garamond" w:hAnsi="Garamond"/>
          <w:sz w:val="22"/>
          <w:szCs w:val="22"/>
        </w:rPr>
        <w:t>8</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 xml:space="preserve">fiscal policy, </w:t>
      </w:r>
      <w:r w:rsidR="009A6F46" w:rsidRPr="00EE5F0F">
        <w:rPr>
          <w:rFonts w:ascii="Garamond" w:hAnsi="Garamond"/>
          <w:sz w:val="22"/>
          <w:szCs w:val="22"/>
        </w:rPr>
        <w:t>basic</w:t>
      </w:r>
      <w:r w:rsidR="00FA0C20" w:rsidRPr="00EE5F0F">
        <w:rPr>
          <w:rFonts w:ascii="Garamond" w:hAnsi="Garamond"/>
          <w:sz w:val="22"/>
          <w:szCs w:val="22"/>
        </w:rPr>
        <w:t xml:space="preserve"> </w:t>
      </w:r>
      <w:r w:rsidR="00815906" w:rsidRPr="00EE5F0F">
        <w:rPr>
          <w:rFonts w:ascii="Garamond" w:hAnsi="Garamond"/>
          <w:sz w:val="22"/>
          <w:szCs w:val="22"/>
        </w:rPr>
        <w:t xml:space="preserve">trends and short-term forecasts. </w:t>
      </w:r>
    </w:p>
    <w:p w14:paraId="4205632B" w14:textId="77777777" w:rsidR="005E2710"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1.</w:t>
      </w:r>
      <w:r w:rsidRPr="00EE5F0F">
        <w:rPr>
          <w:rFonts w:ascii="Garamond" w:hAnsi="Garamond"/>
          <w:sz w:val="22"/>
          <w:szCs w:val="22"/>
        </w:rPr>
        <w:tab/>
      </w:r>
      <w:r w:rsidR="003A3D31">
        <w:rPr>
          <w:rFonts w:ascii="Garamond" w:hAnsi="Garamond"/>
          <w:sz w:val="22"/>
          <w:szCs w:val="22"/>
        </w:rPr>
        <w:t>The ruble d</w:t>
      </w:r>
      <w:r w:rsidR="003A3D31" w:rsidRPr="003A3D31">
        <w:rPr>
          <w:rFonts w:ascii="Garamond" w:hAnsi="Garamond"/>
          <w:sz w:val="22"/>
          <w:szCs w:val="22"/>
        </w:rPr>
        <w:t xml:space="preserve">epreciation </w:t>
      </w:r>
      <w:r w:rsidR="007D1BC6">
        <w:rPr>
          <w:rFonts w:ascii="Garamond" w:hAnsi="Garamond"/>
          <w:sz w:val="22"/>
          <w:szCs w:val="22"/>
        </w:rPr>
        <w:t xml:space="preserve">as a result </w:t>
      </w:r>
      <w:r w:rsidR="003A3D31">
        <w:rPr>
          <w:rFonts w:ascii="Garamond" w:hAnsi="Garamond"/>
          <w:sz w:val="22"/>
          <w:szCs w:val="22"/>
        </w:rPr>
        <w:t xml:space="preserve">of sanctions imposed on </w:t>
      </w:r>
      <w:r w:rsidR="003A3D31" w:rsidRPr="003A3D31">
        <w:rPr>
          <w:rFonts w:ascii="Garamond" w:hAnsi="Garamond"/>
          <w:sz w:val="22"/>
          <w:szCs w:val="22"/>
        </w:rPr>
        <w:t xml:space="preserve">Russia will generally </w:t>
      </w:r>
      <w:r w:rsidR="003A3D31">
        <w:rPr>
          <w:rFonts w:ascii="Garamond" w:hAnsi="Garamond"/>
          <w:sz w:val="22"/>
          <w:szCs w:val="22"/>
        </w:rPr>
        <w:t xml:space="preserve">be </w:t>
      </w:r>
      <w:r w:rsidR="003A3D31" w:rsidRPr="003A3D31">
        <w:rPr>
          <w:rFonts w:ascii="Garamond" w:hAnsi="Garamond"/>
          <w:sz w:val="22"/>
          <w:szCs w:val="22"/>
        </w:rPr>
        <w:t>a long-</w:t>
      </w:r>
      <w:r w:rsidR="003A3D31">
        <w:rPr>
          <w:rFonts w:ascii="Garamond" w:hAnsi="Garamond"/>
          <w:sz w:val="22"/>
          <w:szCs w:val="22"/>
        </w:rPr>
        <w:t>term trend</w:t>
      </w:r>
      <w:r w:rsidR="00926289">
        <w:rPr>
          <w:rFonts w:ascii="Garamond" w:hAnsi="Garamond"/>
          <w:sz w:val="22"/>
          <w:szCs w:val="22"/>
        </w:rPr>
        <w:t xml:space="preserve"> which will reflect</w:t>
      </w:r>
      <w:r w:rsidR="003A3D31">
        <w:rPr>
          <w:rFonts w:ascii="Garamond" w:hAnsi="Garamond"/>
          <w:sz w:val="22"/>
          <w:szCs w:val="22"/>
        </w:rPr>
        <w:t xml:space="preserve"> </w:t>
      </w:r>
      <w:r w:rsidR="007D1BC6">
        <w:rPr>
          <w:rFonts w:ascii="Garamond" w:hAnsi="Garamond"/>
          <w:sz w:val="22"/>
          <w:szCs w:val="22"/>
        </w:rPr>
        <w:t xml:space="preserve">both </w:t>
      </w:r>
      <w:r w:rsidR="003A3D31" w:rsidRPr="003A3D31">
        <w:rPr>
          <w:rFonts w:ascii="Garamond" w:hAnsi="Garamond"/>
          <w:sz w:val="22"/>
          <w:szCs w:val="22"/>
        </w:rPr>
        <w:t>slow</w:t>
      </w:r>
      <w:r w:rsidR="007D1BC6">
        <w:rPr>
          <w:rFonts w:ascii="Garamond" w:hAnsi="Garamond"/>
          <w:sz w:val="22"/>
          <w:szCs w:val="22"/>
        </w:rPr>
        <w:t>er</w:t>
      </w:r>
      <w:r w:rsidR="003A3D31">
        <w:rPr>
          <w:rFonts w:ascii="Garamond" w:hAnsi="Garamond"/>
          <w:sz w:val="22"/>
          <w:szCs w:val="22"/>
        </w:rPr>
        <w:t xml:space="preserve"> </w:t>
      </w:r>
      <w:r w:rsidR="003A3D31" w:rsidRPr="003A3D31">
        <w:rPr>
          <w:rFonts w:ascii="Garamond" w:hAnsi="Garamond"/>
          <w:sz w:val="22"/>
          <w:szCs w:val="22"/>
        </w:rPr>
        <w:t xml:space="preserve">growth rates </w:t>
      </w:r>
      <w:r w:rsidR="007D1BC6">
        <w:rPr>
          <w:rFonts w:ascii="Garamond" w:hAnsi="Garamond"/>
          <w:sz w:val="22"/>
          <w:szCs w:val="22"/>
        </w:rPr>
        <w:t>in</w:t>
      </w:r>
      <w:r w:rsidR="003A3D31" w:rsidRPr="003A3D31">
        <w:rPr>
          <w:rFonts w:ascii="Garamond" w:hAnsi="Garamond"/>
          <w:sz w:val="22"/>
          <w:szCs w:val="22"/>
        </w:rPr>
        <w:t xml:space="preserve"> </w:t>
      </w:r>
      <w:r w:rsidR="007D1BC6">
        <w:rPr>
          <w:rFonts w:ascii="Garamond" w:hAnsi="Garamond"/>
          <w:sz w:val="22"/>
          <w:szCs w:val="22"/>
        </w:rPr>
        <w:t>remittances to Armenia from Russia and a real exchange rate</w:t>
      </w:r>
      <w:r w:rsidR="00926289">
        <w:rPr>
          <w:rFonts w:ascii="Garamond" w:hAnsi="Garamond"/>
          <w:sz w:val="22"/>
          <w:szCs w:val="22"/>
        </w:rPr>
        <w:t xml:space="preserve"> coming </w:t>
      </w:r>
      <w:r w:rsidR="007D1BC6">
        <w:rPr>
          <w:rFonts w:ascii="Garamond" w:hAnsi="Garamond"/>
          <w:sz w:val="22"/>
          <w:szCs w:val="22"/>
        </w:rPr>
        <w:t xml:space="preserve">in </w:t>
      </w:r>
      <w:r w:rsidR="003A3D31" w:rsidRPr="003A3D31">
        <w:rPr>
          <w:rFonts w:ascii="Garamond" w:hAnsi="Garamond"/>
          <w:sz w:val="22"/>
          <w:szCs w:val="22"/>
        </w:rPr>
        <w:t>most apprecia</w:t>
      </w:r>
      <w:r w:rsidR="007D1BC6">
        <w:rPr>
          <w:rFonts w:ascii="Garamond" w:hAnsi="Garamond"/>
          <w:sz w:val="22"/>
          <w:szCs w:val="22"/>
        </w:rPr>
        <w:t xml:space="preserve">ted vis-à-vis the </w:t>
      </w:r>
      <w:r w:rsidR="003A3D31" w:rsidRPr="003A3D31">
        <w:rPr>
          <w:rFonts w:ascii="Garamond" w:hAnsi="Garamond"/>
          <w:sz w:val="22"/>
          <w:szCs w:val="22"/>
        </w:rPr>
        <w:t>partner countries</w:t>
      </w:r>
      <w:r w:rsidR="007D1BC6">
        <w:rPr>
          <w:rFonts w:ascii="Garamond" w:hAnsi="Garamond"/>
          <w:sz w:val="22"/>
          <w:szCs w:val="22"/>
        </w:rPr>
        <w:t>’</w:t>
      </w:r>
      <w:r w:rsidR="003A3D31" w:rsidRPr="003A3D31">
        <w:rPr>
          <w:rFonts w:ascii="Garamond" w:hAnsi="Garamond"/>
          <w:sz w:val="22"/>
          <w:szCs w:val="22"/>
        </w:rPr>
        <w:t xml:space="preserve"> currencies</w:t>
      </w:r>
      <w:r w:rsidR="007D1BC6">
        <w:rPr>
          <w:rFonts w:ascii="Garamond" w:hAnsi="Garamond"/>
          <w:sz w:val="22"/>
          <w:szCs w:val="22"/>
        </w:rPr>
        <w:t>. C</w:t>
      </w:r>
      <w:r w:rsidR="003A3D31" w:rsidRPr="003A3D31">
        <w:rPr>
          <w:rFonts w:ascii="Garamond" w:hAnsi="Garamond"/>
          <w:sz w:val="22"/>
          <w:szCs w:val="22"/>
        </w:rPr>
        <w:t>onsequently</w:t>
      </w:r>
      <w:r w:rsidR="007D1BC6">
        <w:rPr>
          <w:rFonts w:ascii="Garamond" w:hAnsi="Garamond"/>
          <w:sz w:val="22"/>
          <w:szCs w:val="22"/>
        </w:rPr>
        <w:t>,</w:t>
      </w:r>
      <w:r w:rsidR="003A3D31" w:rsidRPr="003A3D31">
        <w:rPr>
          <w:rFonts w:ascii="Garamond" w:hAnsi="Garamond"/>
          <w:sz w:val="22"/>
          <w:szCs w:val="22"/>
        </w:rPr>
        <w:t xml:space="preserve"> </w:t>
      </w:r>
      <w:r w:rsidR="007D1BC6">
        <w:rPr>
          <w:rFonts w:ascii="Garamond" w:hAnsi="Garamond"/>
          <w:sz w:val="22"/>
          <w:szCs w:val="22"/>
        </w:rPr>
        <w:t xml:space="preserve">it </w:t>
      </w:r>
      <w:r w:rsidR="003A3D31" w:rsidRPr="003A3D31">
        <w:rPr>
          <w:rFonts w:ascii="Garamond" w:hAnsi="Garamond"/>
          <w:sz w:val="22"/>
          <w:szCs w:val="22"/>
        </w:rPr>
        <w:t xml:space="preserve">will have a </w:t>
      </w:r>
      <w:r w:rsidR="007D1BC6">
        <w:rPr>
          <w:rFonts w:ascii="Garamond" w:hAnsi="Garamond"/>
          <w:sz w:val="22"/>
          <w:szCs w:val="22"/>
        </w:rPr>
        <w:t>contractionary impact on aggregate</w:t>
      </w:r>
      <w:r w:rsidR="003A3D31" w:rsidRPr="003A3D31">
        <w:rPr>
          <w:rFonts w:ascii="Garamond" w:hAnsi="Garamond"/>
          <w:sz w:val="22"/>
          <w:szCs w:val="22"/>
        </w:rPr>
        <w:t xml:space="preserve"> demand and inflation in the forecast horizon</w:t>
      </w:r>
      <w:r w:rsidR="007D1BC6">
        <w:rPr>
          <w:rFonts w:ascii="Garamond" w:hAnsi="Garamond"/>
          <w:sz w:val="22"/>
          <w:szCs w:val="22"/>
        </w:rPr>
        <w:t>.</w:t>
      </w:r>
      <w:r w:rsidR="003A3D31" w:rsidRPr="003A3D31">
        <w:rPr>
          <w:rFonts w:ascii="Garamond" w:hAnsi="Garamond"/>
          <w:sz w:val="22"/>
          <w:szCs w:val="22"/>
        </w:rPr>
        <w:t xml:space="preserve"> </w:t>
      </w:r>
      <w:r w:rsidR="00B45804">
        <w:rPr>
          <w:rFonts w:ascii="Garamond" w:hAnsi="Garamond"/>
          <w:sz w:val="22"/>
          <w:szCs w:val="22"/>
        </w:rPr>
        <w:t>I</w:t>
      </w:r>
      <w:r w:rsidR="003A3D31" w:rsidRPr="003A3D31">
        <w:rPr>
          <w:rFonts w:ascii="Garamond" w:hAnsi="Garamond"/>
          <w:sz w:val="22"/>
          <w:szCs w:val="22"/>
        </w:rPr>
        <w:t>t should be noted that the above-mentioned impacts on Armenia</w:t>
      </w:r>
      <w:r w:rsidR="00B45804">
        <w:rPr>
          <w:rFonts w:ascii="Garamond" w:hAnsi="Garamond"/>
          <w:sz w:val="22"/>
          <w:szCs w:val="22"/>
        </w:rPr>
        <w:t>’</w:t>
      </w:r>
      <w:r w:rsidR="003A3D31" w:rsidRPr="003A3D31">
        <w:rPr>
          <w:rFonts w:ascii="Garamond" w:hAnsi="Garamond"/>
          <w:sz w:val="22"/>
          <w:szCs w:val="22"/>
        </w:rPr>
        <w:t xml:space="preserve">s economic growth </w:t>
      </w:r>
      <w:r w:rsidR="00B45804">
        <w:rPr>
          <w:rFonts w:ascii="Garamond" w:hAnsi="Garamond"/>
          <w:sz w:val="22"/>
          <w:szCs w:val="22"/>
        </w:rPr>
        <w:t xml:space="preserve">outlook </w:t>
      </w:r>
      <w:r w:rsidR="003A3D31" w:rsidRPr="003A3D31">
        <w:rPr>
          <w:rFonts w:ascii="Garamond" w:hAnsi="Garamond"/>
          <w:sz w:val="22"/>
          <w:szCs w:val="22"/>
        </w:rPr>
        <w:t xml:space="preserve">are </w:t>
      </w:r>
      <w:r w:rsidR="00B45804">
        <w:rPr>
          <w:rFonts w:ascii="Garamond" w:hAnsi="Garamond"/>
          <w:sz w:val="22"/>
          <w:szCs w:val="22"/>
        </w:rPr>
        <w:t xml:space="preserve">estimated </w:t>
      </w:r>
      <w:r w:rsidR="003A3D31" w:rsidRPr="003A3D31">
        <w:rPr>
          <w:rFonts w:ascii="Garamond" w:hAnsi="Garamond"/>
          <w:sz w:val="22"/>
          <w:szCs w:val="22"/>
        </w:rPr>
        <w:t>not significant.</w:t>
      </w:r>
      <w:r w:rsidR="00B45804">
        <w:rPr>
          <w:rFonts w:ascii="Garamond" w:hAnsi="Garamond"/>
          <w:sz w:val="22"/>
          <w:szCs w:val="22"/>
        </w:rPr>
        <w:t xml:space="preserve"> </w:t>
      </w:r>
    </w:p>
    <w:p w14:paraId="63BA4B3A" w14:textId="77777777" w:rsidR="003864AA"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2.</w:t>
      </w:r>
      <w:r w:rsidRPr="00EE5F0F">
        <w:rPr>
          <w:rFonts w:ascii="Garamond" w:hAnsi="Garamond"/>
          <w:sz w:val="22"/>
          <w:szCs w:val="22"/>
        </w:rPr>
        <w:tab/>
      </w:r>
      <w:r w:rsidR="00926289">
        <w:rPr>
          <w:rFonts w:ascii="Garamond" w:hAnsi="Garamond"/>
          <w:sz w:val="22"/>
          <w:szCs w:val="22"/>
        </w:rPr>
        <w:t>Core inflation a</w:t>
      </w:r>
      <w:r w:rsidR="00926289" w:rsidRPr="00926289">
        <w:rPr>
          <w:rFonts w:ascii="Garamond" w:hAnsi="Garamond"/>
          <w:sz w:val="22"/>
          <w:szCs w:val="22"/>
        </w:rPr>
        <w:t>ctual</w:t>
      </w:r>
      <w:r w:rsidR="00926289">
        <w:rPr>
          <w:rFonts w:ascii="Garamond" w:hAnsi="Garamond"/>
          <w:sz w:val="22"/>
          <w:szCs w:val="22"/>
        </w:rPr>
        <w:t>ly</w:t>
      </w:r>
      <w:r w:rsidR="00926289" w:rsidRPr="00926289">
        <w:rPr>
          <w:rFonts w:ascii="Garamond" w:hAnsi="Garamond"/>
          <w:sz w:val="22"/>
          <w:szCs w:val="22"/>
        </w:rPr>
        <w:t xml:space="preserve"> slow</w:t>
      </w:r>
      <w:r w:rsidR="00926289">
        <w:rPr>
          <w:rFonts w:ascii="Garamond" w:hAnsi="Garamond"/>
          <w:sz w:val="22"/>
          <w:szCs w:val="22"/>
        </w:rPr>
        <w:t xml:space="preserve">ed </w:t>
      </w:r>
      <w:r w:rsidR="00926289" w:rsidRPr="00926289">
        <w:rPr>
          <w:rFonts w:ascii="Garamond" w:hAnsi="Garamond"/>
          <w:sz w:val="22"/>
          <w:szCs w:val="22"/>
        </w:rPr>
        <w:t>down in the second quarter refle</w:t>
      </w:r>
      <w:r w:rsidR="00926289">
        <w:rPr>
          <w:rFonts w:ascii="Garamond" w:hAnsi="Garamond"/>
          <w:sz w:val="22"/>
          <w:szCs w:val="22"/>
        </w:rPr>
        <w:t>cts the influence of supply-side shocks i</w:t>
      </w:r>
      <w:r w:rsidR="00926289" w:rsidRPr="00926289">
        <w:rPr>
          <w:rFonts w:ascii="Garamond" w:hAnsi="Garamond"/>
          <w:sz w:val="22"/>
          <w:szCs w:val="22"/>
        </w:rPr>
        <w:t xml:space="preserve">n some </w:t>
      </w:r>
      <w:r w:rsidR="00926289">
        <w:rPr>
          <w:rFonts w:ascii="Garamond" w:hAnsi="Garamond"/>
          <w:sz w:val="22"/>
          <w:szCs w:val="22"/>
        </w:rPr>
        <w:t>product</w:t>
      </w:r>
      <w:r w:rsidR="00926289" w:rsidRPr="00926289">
        <w:rPr>
          <w:rFonts w:ascii="Garamond" w:hAnsi="Garamond"/>
          <w:sz w:val="22"/>
          <w:szCs w:val="22"/>
        </w:rPr>
        <w:t xml:space="preserve"> markets. </w:t>
      </w:r>
      <w:r w:rsidR="00926289">
        <w:rPr>
          <w:rFonts w:ascii="Garamond" w:hAnsi="Garamond"/>
          <w:sz w:val="22"/>
          <w:szCs w:val="22"/>
        </w:rPr>
        <w:t>T</w:t>
      </w:r>
      <w:r w:rsidR="00926289" w:rsidRPr="00926289">
        <w:rPr>
          <w:rFonts w:ascii="Garamond" w:hAnsi="Garamond"/>
          <w:sz w:val="22"/>
          <w:szCs w:val="22"/>
        </w:rPr>
        <w:t xml:space="preserve">he </w:t>
      </w:r>
      <w:r w:rsidR="00926289">
        <w:rPr>
          <w:rFonts w:ascii="Garamond" w:hAnsi="Garamond"/>
          <w:sz w:val="22"/>
          <w:szCs w:val="22"/>
        </w:rPr>
        <w:t xml:space="preserve">depreciation of trade partner </w:t>
      </w:r>
      <w:r w:rsidR="00926289" w:rsidRPr="00926289">
        <w:rPr>
          <w:rFonts w:ascii="Garamond" w:hAnsi="Garamond"/>
          <w:sz w:val="22"/>
          <w:szCs w:val="22"/>
        </w:rPr>
        <w:t>currencies</w:t>
      </w:r>
      <w:r w:rsidR="00926289">
        <w:rPr>
          <w:rFonts w:ascii="Garamond" w:hAnsi="Garamond"/>
          <w:sz w:val="22"/>
          <w:szCs w:val="22"/>
        </w:rPr>
        <w:t xml:space="preserve">, especially the depreciation of </w:t>
      </w:r>
      <w:r w:rsidR="00926289" w:rsidRPr="00926289">
        <w:rPr>
          <w:rFonts w:ascii="Garamond" w:hAnsi="Garamond"/>
          <w:sz w:val="22"/>
          <w:szCs w:val="22"/>
        </w:rPr>
        <w:t>the euro</w:t>
      </w:r>
      <w:r w:rsidR="0059448F">
        <w:rPr>
          <w:rFonts w:ascii="Garamond" w:hAnsi="Garamond"/>
          <w:sz w:val="22"/>
          <w:szCs w:val="22"/>
        </w:rPr>
        <w:t>, proved a</w:t>
      </w:r>
      <w:r w:rsidR="00926289" w:rsidRPr="00926289">
        <w:rPr>
          <w:rFonts w:ascii="Garamond" w:hAnsi="Garamond"/>
          <w:sz w:val="22"/>
          <w:szCs w:val="22"/>
        </w:rPr>
        <w:t xml:space="preserve">n important factor in the </w:t>
      </w:r>
      <w:r w:rsidR="0059448F">
        <w:rPr>
          <w:rFonts w:ascii="Garamond" w:hAnsi="Garamond"/>
          <w:sz w:val="22"/>
          <w:szCs w:val="22"/>
        </w:rPr>
        <w:t>falling of pri</w:t>
      </w:r>
      <w:r w:rsidR="00926289" w:rsidRPr="00926289">
        <w:rPr>
          <w:rFonts w:ascii="Garamond" w:hAnsi="Garamond"/>
          <w:sz w:val="22"/>
          <w:szCs w:val="22"/>
        </w:rPr>
        <w:t>ces of import goods, part</w:t>
      </w:r>
      <w:r w:rsidR="0059448F">
        <w:rPr>
          <w:rFonts w:ascii="Garamond" w:hAnsi="Garamond"/>
          <w:sz w:val="22"/>
          <w:szCs w:val="22"/>
        </w:rPr>
        <w:t xml:space="preserve">icularly clothing and footwear, </w:t>
      </w:r>
      <w:r w:rsidR="00926289" w:rsidRPr="00926289">
        <w:rPr>
          <w:rFonts w:ascii="Garamond" w:hAnsi="Garamond"/>
          <w:sz w:val="22"/>
          <w:szCs w:val="22"/>
        </w:rPr>
        <w:t xml:space="preserve">which </w:t>
      </w:r>
      <w:r w:rsidR="0059448F">
        <w:rPr>
          <w:rFonts w:ascii="Garamond" w:hAnsi="Garamond"/>
          <w:sz w:val="22"/>
          <w:szCs w:val="22"/>
        </w:rPr>
        <w:t xml:space="preserve">left </w:t>
      </w:r>
      <w:r w:rsidR="00926289" w:rsidRPr="00926289">
        <w:rPr>
          <w:rFonts w:ascii="Garamond" w:hAnsi="Garamond"/>
          <w:sz w:val="22"/>
          <w:szCs w:val="22"/>
        </w:rPr>
        <w:t xml:space="preserve">a considerable impact on the domestic market prices. </w:t>
      </w:r>
      <w:r w:rsidR="00D64A61">
        <w:rPr>
          <w:rFonts w:ascii="Garamond" w:hAnsi="Garamond"/>
          <w:sz w:val="22"/>
          <w:szCs w:val="22"/>
        </w:rPr>
        <w:t>In some markets, a</w:t>
      </w:r>
      <w:r w:rsidR="00775BC3">
        <w:rPr>
          <w:rFonts w:ascii="Garamond" w:hAnsi="Garamond"/>
          <w:sz w:val="22"/>
          <w:szCs w:val="22"/>
        </w:rPr>
        <w:t xml:space="preserve">fter comparing </w:t>
      </w:r>
      <w:r w:rsidR="00775BC3" w:rsidRPr="00926289">
        <w:rPr>
          <w:rFonts w:ascii="Garamond" w:hAnsi="Garamond"/>
          <w:sz w:val="22"/>
          <w:szCs w:val="22"/>
        </w:rPr>
        <w:t xml:space="preserve">international and </w:t>
      </w:r>
      <w:r w:rsidR="00D64A61">
        <w:rPr>
          <w:rFonts w:ascii="Garamond" w:hAnsi="Garamond"/>
          <w:sz w:val="22"/>
          <w:szCs w:val="22"/>
        </w:rPr>
        <w:t xml:space="preserve">domestic </w:t>
      </w:r>
      <w:r w:rsidR="00775BC3" w:rsidRPr="00926289">
        <w:rPr>
          <w:rFonts w:ascii="Garamond" w:hAnsi="Garamond"/>
          <w:sz w:val="22"/>
          <w:szCs w:val="22"/>
        </w:rPr>
        <w:t xml:space="preserve">prices </w:t>
      </w:r>
      <w:r w:rsidR="00775BC3">
        <w:rPr>
          <w:rFonts w:ascii="Garamond" w:hAnsi="Garamond"/>
          <w:sz w:val="22"/>
          <w:szCs w:val="22"/>
        </w:rPr>
        <w:t xml:space="preserve">of </w:t>
      </w:r>
      <w:r w:rsidR="00775BC3" w:rsidRPr="00926289">
        <w:rPr>
          <w:rFonts w:ascii="Garamond" w:hAnsi="Garamond"/>
          <w:sz w:val="22"/>
          <w:szCs w:val="22"/>
        </w:rPr>
        <w:t>import goods</w:t>
      </w:r>
      <w:r w:rsidR="00D64A61">
        <w:rPr>
          <w:rFonts w:ascii="Garamond" w:hAnsi="Garamond"/>
          <w:sz w:val="22"/>
          <w:szCs w:val="22"/>
        </w:rPr>
        <w:t xml:space="preserve"> – wh</w:t>
      </w:r>
      <w:r w:rsidR="00775BC3">
        <w:rPr>
          <w:rFonts w:ascii="Garamond" w:hAnsi="Garamond"/>
          <w:sz w:val="22"/>
          <w:szCs w:val="22"/>
        </w:rPr>
        <w:t>eat and fuel</w:t>
      </w:r>
      <w:r w:rsidR="00D64A61">
        <w:rPr>
          <w:rFonts w:ascii="Garamond" w:hAnsi="Garamond"/>
          <w:sz w:val="22"/>
          <w:szCs w:val="22"/>
        </w:rPr>
        <w:t xml:space="preserve"> </w:t>
      </w:r>
      <w:r w:rsidR="00775BC3">
        <w:rPr>
          <w:rFonts w:ascii="Garamond" w:hAnsi="Garamond"/>
          <w:sz w:val="22"/>
          <w:szCs w:val="22"/>
        </w:rPr>
        <w:t>in particular</w:t>
      </w:r>
      <w:r w:rsidR="00926289" w:rsidRPr="00926289">
        <w:rPr>
          <w:rFonts w:ascii="Garamond" w:hAnsi="Garamond"/>
          <w:sz w:val="22"/>
          <w:szCs w:val="22"/>
        </w:rPr>
        <w:t xml:space="preserve">, </w:t>
      </w:r>
      <w:r w:rsidR="00D64A61">
        <w:rPr>
          <w:rFonts w:ascii="Garamond" w:hAnsi="Garamond"/>
          <w:sz w:val="22"/>
          <w:szCs w:val="22"/>
        </w:rPr>
        <w:t xml:space="preserve">one could see </w:t>
      </w:r>
      <w:r w:rsidR="00926289" w:rsidRPr="00926289">
        <w:rPr>
          <w:rFonts w:ascii="Garamond" w:hAnsi="Garamond"/>
          <w:sz w:val="22"/>
          <w:szCs w:val="22"/>
        </w:rPr>
        <w:t xml:space="preserve">a significant </w:t>
      </w:r>
      <w:r w:rsidR="00D64A61" w:rsidRPr="00926289">
        <w:rPr>
          <w:rFonts w:ascii="Garamond" w:hAnsi="Garamond"/>
          <w:sz w:val="22"/>
          <w:szCs w:val="22"/>
        </w:rPr>
        <w:t>decrease</w:t>
      </w:r>
      <w:r w:rsidR="00926289" w:rsidRPr="00926289">
        <w:rPr>
          <w:rFonts w:ascii="Garamond" w:hAnsi="Garamond"/>
          <w:sz w:val="22"/>
          <w:szCs w:val="22"/>
        </w:rPr>
        <w:t xml:space="preserve"> in </w:t>
      </w:r>
      <w:r w:rsidR="00D64A61">
        <w:rPr>
          <w:rFonts w:ascii="Garamond" w:hAnsi="Garamond"/>
          <w:sz w:val="22"/>
          <w:szCs w:val="22"/>
        </w:rPr>
        <w:t xml:space="preserve">markup </w:t>
      </w:r>
      <w:r w:rsidR="00926289" w:rsidRPr="00926289">
        <w:rPr>
          <w:rFonts w:ascii="Garamond" w:hAnsi="Garamond"/>
          <w:sz w:val="22"/>
          <w:szCs w:val="22"/>
        </w:rPr>
        <w:t>price</w:t>
      </w:r>
      <w:r w:rsidR="00D64A61">
        <w:rPr>
          <w:rFonts w:ascii="Garamond" w:hAnsi="Garamond"/>
          <w:sz w:val="22"/>
          <w:szCs w:val="22"/>
        </w:rPr>
        <w:t>s</w:t>
      </w:r>
      <w:r w:rsidR="00926289" w:rsidRPr="00926289">
        <w:rPr>
          <w:rFonts w:ascii="Garamond" w:hAnsi="Garamond"/>
          <w:sz w:val="22"/>
          <w:szCs w:val="22"/>
        </w:rPr>
        <w:t xml:space="preserve">, which may </w:t>
      </w:r>
      <w:r w:rsidR="00D64A61">
        <w:rPr>
          <w:rFonts w:ascii="Garamond" w:hAnsi="Garamond"/>
          <w:sz w:val="22"/>
          <w:szCs w:val="22"/>
        </w:rPr>
        <w:t xml:space="preserve">seem to also include </w:t>
      </w:r>
      <w:r w:rsidR="00926289" w:rsidRPr="00926289">
        <w:rPr>
          <w:rFonts w:ascii="Garamond" w:hAnsi="Garamond"/>
          <w:sz w:val="22"/>
          <w:szCs w:val="22"/>
        </w:rPr>
        <w:t xml:space="preserve">the deflationary effects of </w:t>
      </w:r>
      <w:r w:rsidR="00D64A61">
        <w:rPr>
          <w:rFonts w:ascii="Garamond" w:hAnsi="Garamond"/>
          <w:sz w:val="22"/>
          <w:szCs w:val="22"/>
        </w:rPr>
        <w:t xml:space="preserve">a </w:t>
      </w:r>
      <w:r w:rsidR="00926289" w:rsidRPr="00926289">
        <w:rPr>
          <w:rFonts w:ascii="Garamond" w:hAnsi="Garamond"/>
          <w:sz w:val="22"/>
          <w:szCs w:val="22"/>
        </w:rPr>
        <w:t>reduc</w:t>
      </w:r>
      <w:r w:rsidR="00D64A61">
        <w:rPr>
          <w:rFonts w:ascii="Garamond" w:hAnsi="Garamond"/>
          <w:sz w:val="22"/>
          <w:szCs w:val="22"/>
        </w:rPr>
        <w:t xml:space="preserve">ed </w:t>
      </w:r>
      <w:r w:rsidR="00926289" w:rsidRPr="00926289">
        <w:rPr>
          <w:rFonts w:ascii="Garamond" w:hAnsi="Garamond"/>
          <w:sz w:val="22"/>
          <w:szCs w:val="22"/>
        </w:rPr>
        <w:t>profit margin as a result of increased competition in the</w:t>
      </w:r>
      <w:r w:rsidR="00D64A61">
        <w:rPr>
          <w:rFonts w:ascii="Garamond" w:hAnsi="Garamond"/>
          <w:sz w:val="22"/>
          <w:szCs w:val="22"/>
        </w:rPr>
        <w:t>se</w:t>
      </w:r>
      <w:r w:rsidR="00926289" w:rsidRPr="00926289">
        <w:rPr>
          <w:rFonts w:ascii="Garamond" w:hAnsi="Garamond"/>
          <w:sz w:val="22"/>
          <w:szCs w:val="22"/>
        </w:rPr>
        <w:t xml:space="preserve"> markets. </w:t>
      </w:r>
      <w:r w:rsidR="00EC046D">
        <w:rPr>
          <w:rFonts w:ascii="Garamond" w:hAnsi="Garamond"/>
          <w:sz w:val="22"/>
          <w:szCs w:val="22"/>
        </w:rPr>
        <w:t>Moreover</w:t>
      </w:r>
      <w:r w:rsidR="00926289" w:rsidRPr="00926289">
        <w:rPr>
          <w:rFonts w:ascii="Garamond" w:hAnsi="Garamond"/>
          <w:sz w:val="22"/>
          <w:szCs w:val="22"/>
        </w:rPr>
        <w:t xml:space="preserve">, </w:t>
      </w:r>
      <w:r w:rsidR="00EC046D">
        <w:rPr>
          <w:rFonts w:ascii="Garamond" w:hAnsi="Garamond"/>
          <w:sz w:val="22"/>
          <w:szCs w:val="22"/>
        </w:rPr>
        <w:t xml:space="preserve">in order </w:t>
      </w:r>
      <w:r w:rsidR="00EC046D" w:rsidRPr="00926289">
        <w:rPr>
          <w:rFonts w:ascii="Garamond" w:hAnsi="Garamond"/>
          <w:sz w:val="22"/>
          <w:szCs w:val="22"/>
        </w:rPr>
        <w:t xml:space="preserve">to assess additional </w:t>
      </w:r>
      <w:r w:rsidR="00EC046D">
        <w:rPr>
          <w:rFonts w:ascii="Garamond" w:hAnsi="Garamond"/>
          <w:sz w:val="22"/>
          <w:szCs w:val="22"/>
        </w:rPr>
        <w:t xml:space="preserve">supply-side </w:t>
      </w:r>
      <w:r w:rsidR="00EC046D" w:rsidRPr="00926289">
        <w:rPr>
          <w:rFonts w:ascii="Garamond" w:hAnsi="Garamond"/>
          <w:sz w:val="22"/>
          <w:szCs w:val="22"/>
        </w:rPr>
        <w:t>shock</w:t>
      </w:r>
      <w:r w:rsidR="00EC046D">
        <w:rPr>
          <w:rFonts w:ascii="Garamond" w:hAnsi="Garamond"/>
          <w:sz w:val="22"/>
          <w:szCs w:val="22"/>
        </w:rPr>
        <w:t xml:space="preserve">s, </w:t>
      </w:r>
      <w:r w:rsidR="00926289" w:rsidRPr="00926289">
        <w:rPr>
          <w:rFonts w:ascii="Garamond" w:hAnsi="Garamond"/>
          <w:sz w:val="22"/>
          <w:szCs w:val="22"/>
        </w:rPr>
        <w:t xml:space="preserve">a historical analysis of inflation has been </w:t>
      </w:r>
      <w:r w:rsidR="00866F65">
        <w:rPr>
          <w:rFonts w:ascii="Garamond" w:hAnsi="Garamond"/>
          <w:sz w:val="22"/>
          <w:szCs w:val="22"/>
        </w:rPr>
        <w:t xml:space="preserve">carried out for </w:t>
      </w:r>
      <w:r w:rsidR="00EC046D">
        <w:rPr>
          <w:rFonts w:ascii="Garamond" w:hAnsi="Garamond"/>
          <w:sz w:val="22"/>
          <w:szCs w:val="22"/>
        </w:rPr>
        <w:t xml:space="preserve">selected goods that contribute to core inflation. </w:t>
      </w:r>
      <w:r w:rsidR="00926289" w:rsidRPr="00926289">
        <w:rPr>
          <w:rFonts w:ascii="Garamond" w:hAnsi="Garamond"/>
          <w:sz w:val="22"/>
          <w:szCs w:val="22"/>
        </w:rPr>
        <w:t xml:space="preserve">As a result, the overall impact of the </w:t>
      </w:r>
      <w:r w:rsidR="00EC046D">
        <w:rPr>
          <w:rFonts w:ascii="Garamond" w:hAnsi="Garamond"/>
          <w:sz w:val="22"/>
          <w:szCs w:val="22"/>
        </w:rPr>
        <w:t xml:space="preserve">supply-side </w:t>
      </w:r>
      <w:r w:rsidR="00926289" w:rsidRPr="00926289">
        <w:rPr>
          <w:rFonts w:ascii="Garamond" w:hAnsi="Garamond"/>
          <w:sz w:val="22"/>
          <w:szCs w:val="22"/>
        </w:rPr>
        <w:t xml:space="preserve">shock </w:t>
      </w:r>
      <w:r w:rsidR="00EC046D">
        <w:rPr>
          <w:rFonts w:ascii="Garamond" w:hAnsi="Garamond"/>
          <w:sz w:val="22"/>
          <w:szCs w:val="22"/>
        </w:rPr>
        <w:t>on</w:t>
      </w:r>
      <w:r w:rsidR="00926289" w:rsidRPr="00926289">
        <w:rPr>
          <w:rFonts w:ascii="Garamond" w:hAnsi="Garamond"/>
          <w:sz w:val="22"/>
          <w:szCs w:val="22"/>
        </w:rPr>
        <w:t xml:space="preserve"> price</w:t>
      </w:r>
      <w:r w:rsidR="00EC046D">
        <w:rPr>
          <w:rFonts w:ascii="Garamond" w:hAnsi="Garamond"/>
          <w:sz w:val="22"/>
          <w:szCs w:val="22"/>
        </w:rPr>
        <w:t>s</w:t>
      </w:r>
      <w:r w:rsidR="00926289" w:rsidRPr="00926289">
        <w:rPr>
          <w:rFonts w:ascii="Garamond" w:hAnsi="Garamond"/>
          <w:sz w:val="22"/>
          <w:szCs w:val="22"/>
        </w:rPr>
        <w:t xml:space="preserve"> </w:t>
      </w:r>
      <w:r w:rsidR="00EC046D">
        <w:rPr>
          <w:rFonts w:ascii="Garamond" w:hAnsi="Garamond"/>
          <w:sz w:val="22"/>
          <w:szCs w:val="22"/>
        </w:rPr>
        <w:t xml:space="preserve">has been estimated </w:t>
      </w:r>
      <w:r w:rsidR="00926289" w:rsidRPr="00926289">
        <w:rPr>
          <w:rFonts w:ascii="Garamond" w:hAnsi="Garamond"/>
          <w:sz w:val="22"/>
          <w:szCs w:val="22"/>
        </w:rPr>
        <w:t>0.8-0.9</w:t>
      </w:r>
      <w:r w:rsidR="00EC046D">
        <w:rPr>
          <w:rFonts w:ascii="Garamond" w:hAnsi="Garamond"/>
          <w:sz w:val="22"/>
          <w:szCs w:val="22"/>
        </w:rPr>
        <w:t xml:space="preserve"> pp negative.</w:t>
      </w:r>
    </w:p>
    <w:p w14:paraId="7CE4CB68" w14:textId="77777777" w:rsidR="0084157B" w:rsidRPr="00EE5F0F" w:rsidRDefault="0084157B" w:rsidP="0084157B">
      <w:pPr>
        <w:autoSpaceDE w:val="0"/>
        <w:autoSpaceDN w:val="0"/>
        <w:adjustRightInd w:val="0"/>
        <w:spacing w:after="120" w:line="360" w:lineRule="auto"/>
        <w:jc w:val="both"/>
        <w:rPr>
          <w:rFonts w:ascii="Garamond" w:hAnsi="Garamond"/>
          <w:sz w:val="22"/>
          <w:szCs w:val="22"/>
        </w:rPr>
      </w:pPr>
      <w:r w:rsidRPr="0015196D">
        <w:rPr>
          <w:rFonts w:ascii="Garamond" w:hAnsi="Garamond"/>
          <w:sz w:val="22"/>
          <w:szCs w:val="22"/>
        </w:rPr>
        <w:t>3.</w:t>
      </w:r>
      <w:r w:rsidRPr="0015196D">
        <w:rPr>
          <w:rFonts w:ascii="Garamond" w:hAnsi="Garamond"/>
          <w:sz w:val="22"/>
          <w:szCs w:val="22"/>
        </w:rPr>
        <w:tab/>
      </w:r>
      <w:r w:rsidR="0015196D" w:rsidRPr="0015196D">
        <w:rPr>
          <w:rFonts w:ascii="Garamond" w:hAnsi="Garamond"/>
          <w:sz w:val="22"/>
          <w:szCs w:val="22"/>
        </w:rPr>
        <w:t xml:space="preserve">The impact of </w:t>
      </w:r>
      <w:r w:rsidR="0015196D">
        <w:rPr>
          <w:rFonts w:ascii="Garamond" w:hAnsi="Garamond"/>
          <w:sz w:val="22"/>
          <w:szCs w:val="22"/>
        </w:rPr>
        <w:t xml:space="preserve">Armenia’s </w:t>
      </w:r>
      <w:r w:rsidR="0015196D" w:rsidRPr="0015196D">
        <w:rPr>
          <w:rFonts w:ascii="Garamond" w:hAnsi="Garamond"/>
          <w:sz w:val="22"/>
          <w:szCs w:val="22"/>
        </w:rPr>
        <w:t xml:space="preserve">state budget </w:t>
      </w:r>
      <w:r w:rsidR="0015196D">
        <w:rPr>
          <w:rFonts w:ascii="Garamond" w:hAnsi="Garamond"/>
          <w:sz w:val="22"/>
          <w:szCs w:val="22"/>
        </w:rPr>
        <w:t xml:space="preserve">now is estimated as contractionary instead of </w:t>
      </w:r>
      <w:r w:rsidR="000241AE">
        <w:rPr>
          <w:rFonts w:ascii="Garamond" w:hAnsi="Garamond"/>
          <w:sz w:val="22"/>
          <w:szCs w:val="22"/>
        </w:rPr>
        <w:t xml:space="preserve">slightly expansionary reported </w:t>
      </w:r>
      <w:r w:rsidR="0015196D">
        <w:rPr>
          <w:rFonts w:ascii="Garamond" w:hAnsi="Garamond"/>
          <w:sz w:val="22"/>
          <w:szCs w:val="22"/>
        </w:rPr>
        <w:t>previously</w:t>
      </w:r>
      <w:r w:rsidR="000241AE">
        <w:rPr>
          <w:rFonts w:ascii="Garamond" w:hAnsi="Garamond"/>
          <w:sz w:val="22"/>
          <w:szCs w:val="22"/>
        </w:rPr>
        <w:t xml:space="preserve">, owing to considerable savings on expenditures. </w:t>
      </w:r>
      <w:r w:rsidR="0015196D" w:rsidRPr="0015196D">
        <w:rPr>
          <w:rFonts w:ascii="Garamond" w:hAnsi="Garamond"/>
          <w:sz w:val="22"/>
          <w:szCs w:val="22"/>
        </w:rPr>
        <w:t xml:space="preserve">The budget impulse for the year is </w:t>
      </w:r>
      <w:r w:rsidR="000241AE">
        <w:rPr>
          <w:rFonts w:ascii="Garamond" w:hAnsi="Garamond"/>
          <w:sz w:val="22"/>
          <w:szCs w:val="22"/>
        </w:rPr>
        <w:t xml:space="preserve">an </w:t>
      </w:r>
      <w:r w:rsidR="0015196D" w:rsidRPr="0015196D">
        <w:rPr>
          <w:rFonts w:ascii="Garamond" w:hAnsi="Garamond"/>
          <w:sz w:val="22"/>
          <w:szCs w:val="22"/>
        </w:rPr>
        <w:t>estimated 1.6 p</w:t>
      </w:r>
      <w:r w:rsidR="000241AE">
        <w:rPr>
          <w:rFonts w:ascii="Garamond" w:hAnsi="Garamond"/>
          <w:sz w:val="22"/>
          <w:szCs w:val="22"/>
        </w:rPr>
        <w:t xml:space="preserve">p negative. </w:t>
      </w:r>
    </w:p>
    <w:p w14:paraId="705C3EBA" w14:textId="77777777" w:rsidR="005E2710"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4.</w:t>
      </w:r>
      <w:r w:rsidRPr="00EE5F0F">
        <w:rPr>
          <w:rFonts w:ascii="Garamond" w:hAnsi="Garamond"/>
          <w:sz w:val="22"/>
          <w:szCs w:val="22"/>
        </w:rPr>
        <w:tab/>
      </w:r>
      <w:r w:rsidR="000241AE">
        <w:rPr>
          <w:rFonts w:ascii="Garamond" w:hAnsi="Garamond"/>
          <w:sz w:val="22"/>
          <w:szCs w:val="22"/>
        </w:rPr>
        <w:t>The aggregate</w:t>
      </w:r>
      <w:r w:rsidR="000241AE" w:rsidRPr="000241AE">
        <w:rPr>
          <w:rFonts w:ascii="Garamond" w:hAnsi="Garamond"/>
          <w:sz w:val="22"/>
          <w:szCs w:val="22"/>
        </w:rPr>
        <w:t xml:space="preserve"> demand forecasts</w:t>
      </w:r>
      <w:r w:rsidR="000241AE">
        <w:rPr>
          <w:rFonts w:ascii="Garamond" w:hAnsi="Garamond"/>
          <w:sz w:val="22"/>
          <w:szCs w:val="22"/>
        </w:rPr>
        <w:t xml:space="preserve"> included </w:t>
      </w:r>
      <w:r w:rsidR="000241AE" w:rsidRPr="000241AE">
        <w:rPr>
          <w:rFonts w:ascii="Garamond" w:hAnsi="Garamond"/>
          <w:sz w:val="22"/>
          <w:szCs w:val="22"/>
        </w:rPr>
        <w:t>possible positive effects of a number of large-scale events</w:t>
      </w:r>
      <w:r w:rsidR="0010487A">
        <w:rPr>
          <w:rFonts w:ascii="Garamond" w:hAnsi="Garamond"/>
          <w:sz w:val="22"/>
          <w:szCs w:val="22"/>
        </w:rPr>
        <w:t xml:space="preserve"> </w:t>
      </w:r>
      <w:r w:rsidR="000241AE" w:rsidRPr="000241AE">
        <w:rPr>
          <w:rFonts w:ascii="Garamond" w:hAnsi="Garamond"/>
          <w:sz w:val="22"/>
          <w:szCs w:val="22"/>
        </w:rPr>
        <w:t>(</w:t>
      </w:r>
      <w:r w:rsidR="000241AE">
        <w:rPr>
          <w:rFonts w:ascii="Garamond" w:hAnsi="Garamond"/>
          <w:sz w:val="22"/>
          <w:szCs w:val="22"/>
        </w:rPr>
        <w:t>the “</w:t>
      </w:r>
      <w:r w:rsidR="0010487A">
        <w:rPr>
          <w:rFonts w:ascii="Garamond" w:hAnsi="Garamond"/>
          <w:sz w:val="22"/>
          <w:szCs w:val="22"/>
        </w:rPr>
        <w:t xml:space="preserve">La </w:t>
      </w:r>
      <w:r w:rsidR="000241AE" w:rsidRPr="000241AE">
        <w:rPr>
          <w:rFonts w:ascii="Garamond" w:hAnsi="Garamond"/>
          <w:sz w:val="22"/>
          <w:szCs w:val="22"/>
        </w:rPr>
        <w:t>Francophon</w:t>
      </w:r>
      <w:r w:rsidR="000241AE">
        <w:rPr>
          <w:rFonts w:ascii="Garamond" w:hAnsi="Garamond"/>
          <w:sz w:val="22"/>
          <w:szCs w:val="22"/>
        </w:rPr>
        <w:t>i</w:t>
      </w:r>
      <w:r w:rsidR="000241AE" w:rsidRPr="000241AE">
        <w:rPr>
          <w:rFonts w:ascii="Garamond" w:hAnsi="Garamond"/>
          <w:sz w:val="22"/>
          <w:szCs w:val="22"/>
        </w:rPr>
        <w:t>e Summit</w:t>
      </w:r>
      <w:r w:rsidR="000241AE">
        <w:rPr>
          <w:rFonts w:ascii="Garamond" w:hAnsi="Garamond"/>
          <w:sz w:val="22"/>
          <w:szCs w:val="22"/>
        </w:rPr>
        <w:t xml:space="preserve"> 2018”</w:t>
      </w:r>
      <w:r w:rsidR="000241AE" w:rsidRPr="000241AE">
        <w:rPr>
          <w:rFonts w:ascii="Garamond" w:hAnsi="Garamond"/>
          <w:sz w:val="22"/>
          <w:szCs w:val="22"/>
        </w:rPr>
        <w:t xml:space="preserve">, </w:t>
      </w:r>
      <w:r w:rsidR="000241AE">
        <w:rPr>
          <w:rFonts w:ascii="Garamond" w:hAnsi="Garamond"/>
          <w:sz w:val="22"/>
          <w:szCs w:val="22"/>
        </w:rPr>
        <w:t xml:space="preserve">the “Yerevan </w:t>
      </w:r>
      <w:r w:rsidR="000241AE" w:rsidRPr="000241AE">
        <w:rPr>
          <w:rFonts w:ascii="Garamond" w:hAnsi="Garamond"/>
          <w:sz w:val="22"/>
          <w:szCs w:val="22"/>
        </w:rPr>
        <w:t>2800th Anniversary</w:t>
      </w:r>
      <w:r w:rsidR="000241AE">
        <w:rPr>
          <w:rFonts w:ascii="Garamond" w:hAnsi="Garamond"/>
          <w:sz w:val="22"/>
          <w:szCs w:val="22"/>
        </w:rPr>
        <w:t xml:space="preserve"> of Founding”</w:t>
      </w:r>
      <w:r w:rsidR="000241AE" w:rsidRPr="000241AE">
        <w:rPr>
          <w:rFonts w:ascii="Garamond" w:hAnsi="Garamond"/>
          <w:sz w:val="22"/>
          <w:szCs w:val="22"/>
        </w:rPr>
        <w:t xml:space="preserve">, etc.) </w:t>
      </w:r>
      <w:r w:rsidR="0010487A">
        <w:rPr>
          <w:rFonts w:ascii="Garamond" w:hAnsi="Garamond"/>
          <w:sz w:val="22"/>
          <w:szCs w:val="22"/>
        </w:rPr>
        <w:t xml:space="preserve">which will be organized later in the year. </w:t>
      </w:r>
      <w:r w:rsidR="000241AE" w:rsidRPr="000241AE">
        <w:rPr>
          <w:rFonts w:ascii="Garamond" w:hAnsi="Garamond"/>
          <w:sz w:val="22"/>
          <w:szCs w:val="22"/>
        </w:rPr>
        <w:t>According to the estimates, the overall contribution of the abov</w:t>
      </w:r>
      <w:r w:rsidR="0010487A">
        <w:rPr>
          <w:rFonts w:ascii="Garamond" w:hAnsi="Garamond"/>
          <w:sz w:val="22"/>
          <w:szCs w:val="22"/>
        </w:rPr>
        <w:t>e-</w:t>
      </w:r>
      <w:r w:rsidR="000241AE" w:rsidRPr="000241AE">
        <w:rPr>
          <w:rFonts w:ascii="Garamond" w:hAnsi="Garamond"/>
          <w:sz w:val="22"/>
          <w:szCs w:val="22"/>
        </w:rPr>
        <w:t xml:space="preserve">mentioned measures to the GDP will </w:t>
      </w:r>
      <w:r w:rsidR="0010487A">
        <w:rPr>
          <w:rFonts w:ascii="Garamond" w:hAnsi="Garamond"/>
          <w:sz w:val="22"/>
          <w:szCs w:val="22"/>
        </w:rPr>
        <w:t xml:space="preserve">make up </w:t>
      </w:r>
      <w:r w:rsidR="000241AE" w:rsidRPr="000241AE">
        <w:rPr>
          <w:rFonts w:ascii="Garamond" w:hAnsi="Garamond"/>
          <w:sz w:val="22"/>
          <w:szCs w:val="22"/>
        </w:rPr>
        <w:t>0.4 p</w:t>
      </w:r>
      <w:r w:rsidR="0010487A">
        <w:rPr>
          <w:rFonts w:ascii="Garamond" w:hAnsi="Garamond"/>
          <w:sz w:val="22"/>
          <w:szCs w:val="22"/>
        </w:rPr>
        <w:t>p</w:t>
      </w:r>
      <w:r w:rsidR="000241AE" w:rsidRPr="000241AE">
        <w:rPr>
          <w:rFonts w:ascii="Garamond" w:hAnsi="Garamond"/>
          <w:sz w:val="22"/>
          <w:szCs w:val="22"/>
        </w:rPr>
        <w:t xml:space="preserve"> in the fourth quarter.</w:t>
      </w:r>
      <w:r w:rsidR="0010487A">
        <w:rPr>
          <w:rFonts w:ascii="Garamond" w:hAnsi="Garamond"/>
          <w:sz w:val="22"/>
          <w:szCs w:val="22"/>
        </w:rPr>
        <w:t xml:space="preserve"> </w:t>
      </w:r>
    </w:p>
    <w:tbl>
      <w:tblPr>
        <w:tblStyle w:val="TableGrid"/>
        <w:tblW w:w="0" w:type="auto"/>
        <w:tblLook w:val="04A0" w:firstRow="1" w:lastRow="0" w:firstColumn="1" w:lastColumn="0" w:noHBand="0" w:noVBand="1"/>
      </w:tblPr>
      <w:tblGrid>
        <w:gridCol w:w="9350"/>
      </w:tblGrid>
      <w:tr w:rsidR="00467C2C" w:rsidRPr="00EE5F0F" w14:paraId="02721209" w14:textId="77777777" w:rsidTr="00467C2C">
        <w:tc>
          <w:tcPr>
            <w:tcW w:w="9350" w:type="dxa"/>
          </w:tcPr>
          <w:p w14:paraId="1DDF5FC8" w14:textId="77777777" w:rsidR="00467C2C" w:rsidRPr="00CF2C97" w:rsidRDefault="0010487A"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lastRenderedPageBreak/>
              <w:t>Box 2</w:t>
            </w:r>
            <w:r w:rsidR="00467C2C" w:rsidRPr="00CF2C97">
              <w:rPr>
                <w:rFonts w:ascii="Garamond" w:hAnsi="Garamond"/>
                <w:b/>
                <w:color w:val="0070C0"/>
                <w:sz w:val="21"/>
                <w:szCs w:val="21"/>
              </w:rPr>
              <w:t>:</w:t>
            </w:r>
          </w:p>
          <w:p w14:paraId="1D6A3906"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The results of survey on expectations by the households and the financial system</w:t>
            </w:r>
          </w:p>
          <w:p w14:paraId="0F1A6BF5" w14:textId="77777777" w:rsidR="004C4C65" w:rsidRPr="00CF2C97" w:rsidRDefault="00467C2C" w:rsidP="006966A5">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inflation expectations have </w:t>
            </w:r>
            <w:r w:rsidR="0010487A" w:rsidRPr="00CF2C97">
              <w:rPr>
                <w:rFonts w:ascii="Garamond" w:hAnsi="Garamond"/>
                <w:sz w:val="21"/>
                <w:szCs w:val="21"/>
              </w:rPr>
              <w:t>reduced to a certain extent</w:t>
            </w:r>
            <w:r w:rsidRPr="00CF2C97">
              <w:rPr>
                <w:rFonts w:ascii="Garamond" w:hAnsi="Garamond"/>
                <w:sz w:val="21"/>
                <w:szCs w:val="21"/>
              </w:rPr>
              <w:t>, ac</w:t>
            </w:r>
            <w:r w:rsidR="00404293" w:rsidRPr="00CF2C97">
              <w:rPr>
                <w:rFonts w:ascii="Garamond" w:hAnsi="Garamond"/>
                <w:sz w:val="21"/>
                <w:szCs w:val="21"/>
              </w:rPr>
              <w:t>cording to the results of the Q</w:t>
            </w:r>
            <w:r w:rsidR="0010487A" w:rsidRPr="00CF2C97">
              <w:rPr>
                <w:rFonts w:ascii="Garamond" w:hAnsi="Garamond"/>
                <w:sz w:val="21"/>
                <w:szCs w:val="21"/>
              </w:rPr>
              <w:t>2</w:t>
            </w:r>
            <w:r w:rsidRPr="00CF2C97">
              <w:rPr>
                <w:rFonts w:ascii="Garamond" w:hAnsi="Garamond"/>
                <w:sz w:val="21"/>
                <w:szCs w:val="21"/>
              </w:rPr>
              <w:t>, 201</w:t>
            </w:r>
            <w:r w:rsidR="00BA3D0E" w:rsidRPr="00CF2C97">
              <w:rPr>
                <w:rFonts w:ascii="Garamond" w:hAnsi="Garamond"/>
                <w:sz w:val="21"/>
                <w:szCs w:val="21"/>
              </w:rPr>
              <w:t>8</w:t>
            </w:r>
            <w:r w:rsidRPr="00CF2C97">
              <w:rPr>
                <w:rFonts w:ascii="Garamond" w:hAnsi="Garamond"/>
                <w:sz w:val="21"/>
                <w:szCs w:val="21"/>
              </w:rPr>
              <w:t xml:space="preserve"> survey on selected macroeconomic indicators the Central Bank </w:t>
            </w:r>
            <w:r w:rsidR="0010487A" w:rsidRPr="00CF2C97">
              <w:rPr>
                <w:rFonts w:ascii="Garamond" w:hAnsi="Garamond"/>
                <w:sz w:val="21"/>
                <w:szCs w:val="21"/>
              </w:rPr>
              <w:t>c</w:t>
            </w:r>
            <w:r w:rsidR="00410D16" w:rsidRPr="00CF2C97">
              <w:rPr>
                <w:rFonts w:ascii="Garamond" w:hAnsi="Garamond"/>
                <w:sz w:val="21"/>
                <w:szCs w:val="21"/>
              </w:rPr>
              <w:t xml:space="preserve">arries out </w:t>
            </w:r>
            <w:r w:rsidR="0010487A" w:rsidRPr="00CF2C97">
              <w:rPr>
                <w:rFonts w:ascii="Garamond" w:hAnsi="Garamond"/>
                <w:sz w:val="21"/>
                <w:szCs w:val="21"/>
              </w:rPr>
              <w:t xml:space="preserve">by way of inquiries among both </w:t>
            </w:r>
            <w:r w:rsidR="00BA3D0E" w:rsidRPr="00CF2C97">
              <w:rPr>
                <w:rFonts w:ascii="Garamond" w:hAnsi="Garamond"/>
                <w:sz w:val="21"/>
                <w:szCs w:val="21"/>
              </w:rPr>
              <w:t>the households a</w:t>
            </w:r>
            <w:r w:rsidR="0010487A" w:rsidRPr="00CF2C97">
              <w:rPr>
                <w:rFonts w:ascii="Garamond" w:hAnsi="Garamond"/>
                <w:sz w:val="21"/>
                <w:szCs w:val="21"/>
              </w:rPr>
              <w:t xml:space="preserve">nd the companies in the </w:t>
            </w:r>
            <w:r w:rsidRPr="00CF2C97">
              <w:rPr>
                <w:rFonts w:ascii="Garamond" w:hAnsi="Garamond"/>
                <w:sz w:val="21"/>
                <w:szCs w:val="21"/>
              </w:rPr>
              <w:t xml:space="preserve">financial sector. </w:t>
            </w:r>
            <w:r w:rsidR="005B015A" w:rsidRPr="00CF2C97">
              <w:rPr>
                <w:rFonts w:ascii="Garamond" w:hAnsi="Garamond"/>
                <w:sz w:val="21"/>
                <w:szCs w:val="21"/>
              </w:rPr>
              <w:t xml:space="preserve">Remarkably, in total respondents, </w:t>
            </w:r>
            <w:r w:rsidR="006573EF" w:rsidRPr="00CF2C97">
              <w:rPr>
                <w:rFonts w:ascii="Garamond" w:hAnsi="Garamond"/>
                <w:sz w:val="21"/>
                <w:szCs w:val="21"/>
              </w:rPr>
              <w:t>the share of th</w:t>
            </w:r>
            <w:r w:rsidR="005B015A" w:rsidRPr="00CF2C97">
              <w:rPr>
                <w:rFonts w:ascii="Garamond" w:hAnsi="Garamond"/>
                <w:sz w:val="21"/>
                <w:szCs w:val="21"/>
              </w:rPr>
              <w:t>e</w:t>
            </w:r>
            <w:r w:rsidR="006573EF" w:rsidRPr="00CF2C97">
              <w:rPr>
                <w:rFonts w:ascii="Garamond" w:hAnsi="Garamond"/>
                <w:sz w:val="21"/>
                <w:szCs w:val="21"/>
              </w:rPr>
              <w:t xml:space="preserve"> households expecting </w:t>
            </w:r>
            <w:r w:rsidR="005B015A" w:rsidRPr="00CF2C97">
              <w:rPr>
                <w:rFonts w:ascii="Garamond" w:hAnsi="Garamond"/>
                <w:sz w:val="21"/>
                <w:szCs w:val="21"/>
              </w:rPr>
              <w:t xml:space="preserve">a high and </w:t>
            </w:r>
            <w:r w:rsidR="006573EF" w:rsidRPr="00CF2C97">
              <w:rPr>
                <w:rFonts w:ascii="Garamond" w:hAnsi="Garamond"/>
                <w:sz w:val="21"/>
                <w:szCs w:val="21"/>
              </w:rPr>
              <w:t>very high inflation rate</w:t>
            </w:r>
            <w:r w:rsidR="005B015A" w:rsidRPr="00CF2C97">
              <w:rPr>
                <w:rFonts w:ascii="Garamond" w:hAnsi="Garamond"/>
                <w:sz w:val="21"/>
                <w:szCs w:val="21"/>
              </w:rPr>
              <w:t xml:space="preserve"> for a one-year horizon declined dramatically from about 33% in the previous quarter to almost zero this quarter.</w:t>
            </w:r>
            <w:r w:rsidR="006573EF" w:rsidRPr="00CF2C97">
              <w:rPr>
                <w:rFonts w:ascii="Garamond" w:hAnsi="Garamond"/>
                <w:sz w:val="21"/>
                <w:szCs w:val="21"/>
              </w:rPr>
              <w:t xml:space="preserve"> </w:t>
            </w:r>
            <w:r w:rsidR="005B015A" w:rsidRPr="00CF2C97">
              <w:rPr>
                <w:rFonts w:ascii="Garamond" w:hAnsi="Garamond"/>
                <w:sz w:val="21"/>
                <w:szCs w:val="21"/>
              </w:rPr>
              <w:t xml:space="preserve">However, these figures may have contained the effects of recent political events, so the real impact of pricing and how it has actually affected consumption behavior </w:t>
            </w:r>
            <w:r w:rsidR="00A41E0A" w:rsidRPr="00CF2C97">
              <w:rPr>
                <w:rFonts w:ascii="Garamond" w:hAnsi="Garamond"/>
                <w:sz w:val="21"/>
                <w:szCs w:val="21"/>
              </w:rPr>
              <w:t>has</w:t>
            </w:r>
            <w:r w:rsidR="005B015A" w:rsidRPr="00CF2C97">
              <w:rPr>
                <w:rFonts w:ascii="Garamond" w:hAnsi="Garamond"/>
                <w:sz w:val="21"/>
                <w:szCs w:val="21"/>
              </w:rPr>
              <w:t xml:space="preserve"> supposedly </w:t>
            </w:r>
            <w:r w:rsidR="00A41E0A" w:rsidRPr="00CF2C97">
              <w:rPr>
                <w:rFonts w:ascii="Garamond" w:hAnsi="Garamond"/>
                <w:sz w:val="21"/>
                <w:szCs w:val="21"/>
              </w:rPr>
              <w:t xml:space="preserve">been </w:t>
            </w:r>
            <w:r w:rsidR="00BF40F8" w:rsidRPr="00CF2C97">
              <w:rPr>
                <w:rFonts w:ascii="Garamond" w:hAnsi="Garamond"/>
                <w:sz w:val="21"/>
                <w:szCs w:val="21"/>
              </w:rPr>
              <w:t xml:space="preserve">much more </w:t>
            </w:r>
            <w:r w:rsidR="005B015A" w:rsidRPr="00CF2C97">
              <w:rPr>
                <w:rFonts w:ascii="Garamond" w:hAnsi="Garamond"/>
                <w:sz w:val="21"/>
                <w:szCs w:val="21"/>
              </w:rPr>
              <w:t>limited.</w:t>
            </w:r>
          </w:p>
          <w:p w14:paraId="03AC4224" w14:textId="77777777" w:rsidR="00467C2C" w:rsidRPr="00EE5F0F" w:rsidRDefault="00467C2C" w:rsidP="005C6027">
            <w:pPr>
              <w:autoSpaceDE w:val="0"/>
              <w:autoSpaceDN w:val="0"/>
              <w:adjustRightInd w:val="0"/>
              <w:spacing w:after="120" w:line="360" w:lineRule="auto"/>
              <w:jc w:val="both"/>
              <w:rPr>
                <w:rFonts w:ascii="Garamond" w:hAnsi="Garamond"/>
                <w:b/>
                <w:color w:val="0070C0"/>
                <w:sz w:val="22"/>
                <w:szCs w:val="22"/>
              </w:rPr>
            </w:pPr>
            <w:r w:rsidRPr="00CF2C97">
              <w:rPr>
                <w:rFonts w:ascii="Garamond" w:hAnsi="Garamond"/>
                <w:sz w:val="21"/>
                <w:szCs w:val="21"/>
              </w:rPr>
              <w:t xml:space="preserve">The </w:t>
            </w:r>
            <w:r w:rsidRPr="00CF2C97">
              <w:rPr>
                <w:rFonts w:ascii="Garamond" w:hAnsi="Garamond"/>
                <w:b/>
                <w:sz w:val="21"/>
                <w:szCs w:val="21"/>
              </w:rPr>
              <w:t>average level of inflation expectations of the financial system</w:t>
            </w:r>
            <w:r w:rsidRPr="00CF2C97">
              <w:rPr>
                <w:rFonts w:ascii="Garamond" w:hAnsi="Garamond"/>
                <w:sz w:val="21"/>
                <w:szCs w:val="21"/>
              </w:rPr>
              <w:t xml:space="preserve"> in the upcoming one-year horizon</w:t>
            </w:r>
            <w:r w:rsidR="005C6027" w:rsidRPr="00CF2C97">
              <w:rPr>
                <w:rFonts w:ascii="Garamond" w:hAnsi="Garamond"/>
                <w:sz w:val="21"/>
                <w:szCs w:val="21"/>
              </w:rPr>
              <w:t xml:space="preserve"> has reduced too, to nearly </w:t>
            </w:r>
            <w:r w:rsidR="004C4C65" w:rsidRPr="00CF2C97">
              <w:rPr>
                <w:rFonts w:ascii="Garamond" w:hAnsi="Garamond"/>
                <w:b/>
                <w:sz w:val="21"/>
                <w:szCs w:val="21"/>
              </w:rPr>
              <w:t>3</w:t>
            </w:r>
            <w:r w:rsidRPr="00CF2C97">
              <w:rPr>
                <w:rFonts w:ascii="Garamond" w:hAnsi="Garamond"/>
                <w:b/>
                <w:sz w:val="21"/>
                <w:szCs w:val="21"/>
              </w:rPr>
              <w:t>.</w:t>
            </w:r>
            <w:r w:rsidR="005C6027" w:rsidRPr="00CF2C97">
              <w:rPr>
                <w:rFonts w:ascii="Garamond" w:hAnsi="Garamond"/>
                <w:b/>
                <w:sz w:val="21"/>
                <w:szCs w:val="21"/>
              </w:rPr>
              <w:t>0</w:t>
            </w:r>
            <w:r w:rsidRPr="00CF2C97">
              <w:rPr>
                <w:rFonts w:ascii="Garamond" w:hAnsi="Garamond"/>
                <w:b/>
                <w:sz w:val="21"/>
                <w:szCs w:val="21"/>
              </w:rPr>
              <w:t>%</w:t>
            </w:r>
            <w:r w:rsidR="004C4C65" w:rsidRPr="00CF2C97">
              <w:rPr>
                <w:rFonts w:ascii="Garamond" w:hAnsi="Garamond"/>
                <w:b/>
                <w:sz w:val="21"/>
                <w:szCs w:val="21"/>
              </w:rPr>
              <w:t xml:space="preserve"> </w:t>
            </w:r>
            <w:r w:rsidR="005C6027" w:rsidRPr="00CF2C97">
              <w:rPr>
                <w:rFonts w:ascii="Garamond" w:hAnsi="Garamond"/>
                <w:sz w:val="21"/>
                <w:szCs w:val="21"/>
              </w:rPr>
              <w:t xml:space="preserve">from </w:t>
            </w:r>
            <w:r w:rsidR="006573EF" w:rsidRPr="00CF2C97">
              <w:rPr>
                <w:rFonts w:ascii="Garamond" w:hAnsi="Garamond"/>
                <w:b/>
                <w:sz w:val="21"/>
                <w:szCs w:val="21"/>
              </w:rPr>
              <w:t>3</w:t>
            </w:r>
            <w:r w:rsidR="004C4C65" w:rsidRPr="00CF2C97">
              <w:rPr>
                <w:rFonts w:ascii="Garamond" w:hAnsi="Garamond"/>
                <w:b/>
                <w:sz w:val="21"/>
                <w:szCs w:val="21"/>
              </w:rPr>
              <w:t>.</w:t>
            </w:r>
            <w:r w:rsidR="005C6027" w:rsidRPr="00CF2C97">
              <w:rPr>
                <w:rFonts w:ascii="Garamond" w:hAnsi="Garamond"/>
                <w:b/>
                <w:sz w:val="21"/>
                <w:szCs w:val="21"/>
              </w:rPr>
              <w:t>5</w:t>
            </w:r>
            <w:r w:rsidR="004C4C65" w:rsidRPr="00CF2C97">
              <w:rPr>
                <w:rFonts w:ascii="Garamond" w:hAnsi="Garamond"/>
                <w:b/>
                <w:sz w:val="21"/>
                <w:szCs w:val="21"/>
              </w:rPr>
              <w:t>%</w:t>
            </w:r>
            <w:r w:rsidR="00010FBE" w:rsidRPr="00CF2C97">
              <w:rPr>
                <w:rFonts w:ascii="Garamond" w:hAnsi="Garamond"/>
                <w:sz w:val="21"/>
                <w:szCs w:val="21"/>
              </w:rPr>
              <w:t xml:space="preserve"> </w:t>
            </w:r>
            <w:r w:rsidR="005C6027" w:rsidRPr="00CF2C97">
              <w:rPr>
                <w:rFonts w:ascii="Garamond" w:hAnsi="Garamond"/>
                <w:sz w:val="21"/>
                <w:szCs w:val="21"/>
              </w:rPr>
              <w:t>reported by</w:t>
            </w:r>
            <w:r w:rsidR="004C4C65" w:rsidRPr="00CF2C97">
              <w:rPr>
                <w:rFonts w:ascii="Garamond" w:hAnsi="Garamond"/>
                <w:sz w:val="21"/>
                <w:szCs w:val="21"/>
              </w:rPr>
              <w:t xml:space="preserve"> the</w:t>
            </w:r>
            <w:r w:rsidRPr="00CF2C97">
              <w:rPr>
                <w:rFonts w:ascii="Garamond" w:hAnsi="Garamond"/>
                <w:sz w:val="21"/>
                <w:szCs w:val="21"/>
              </w:rPr>
              <w:t xml:space="preserve"> previous survey.</w:t>
            </w:r>
          </w:p>
        </w:tc>
      </w:tr>
    </w:tbl>
    <w:p w14:paraId="6D2A8429"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131D0F23"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5CDA6E08"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7E0F757B" w14:textId="77777777" w:rsidTr="004D4A0F">
        <w:trPr>
          <w:trHeight w:val="20"/>
        </w:trPr>
        <w:tc>
          <w:tcPr>
            <w:tcW w:w="1715" w:type="dxa"/>
            <w:vAlign w:val="center"/>
          </w:tcPr>
          <w:p w14:paraId="42BC0B36"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r w:rsidRPr="00EE5F0F">
              <w:rPr>
                <w:rFonts w:ascii="Garamond" w:hAnsi="Garamond" w:cs="Sylfaen"/>
                <w:b/>
                <w:sz w:val="22"/>
                <w:szCs w:val="22"/>
                <w:lang w:val="hy-AM"/>
              </w:rPr>
              <w:t>judgments and assumptions</w:t>
            </w:r>
          </w:p>
        </w:tc>
        <w:tc>
          <w:tcPr>
            <w:tcW w:w="4528" w:type="dxa"/>
            <w:vAlign w:val="center"/>
          </w:tcPr>
          <w:p w14:paraId="4306FC72" w14:textId="77777777" w:rsidR="005C6536" w:rsidRPr="00EE5F0F" w:rsidRDefault="005C6536" w:rsidP="000A2CFF">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r w:rsidRPr="00EE5F0F">
              <w:rPr>
                <w:rFonts w:ascii="Garamond" w:eastAsia="Calibri" w:hAnsi="Garamond" w:cs="GHEA Grapalat"/>
                <w:b/>
                <w:sz w:val="22"/>
                <w:szCs w:val="22"/>
                <w:lang w:val="hy-AM"/>
              </w:rPr>
              <w:t>ossible developments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this assumption </w:t>
            </w:r>
            <w:r w:rsidR="00A241EA" w:rsidRPr="00EE5F0F">
              <w:rPr>
                <w:rFonts w:ascii="Garamond" w:eastAsia="Calibri" w:hAnsi="Garamond" w:cs="GHEA Grapalat"/>
                <w:b/>
                <w:sz w:val="22"/>
                <w:szCs w:val="22"/>
              </w:rPr>
              <w:t>proves to be correct</w:t>
            </w:r>
            <w:r w:rsidRPr="00EE5F0F">
              <w:rPr>
                <w:rFonts w:ascii="Garamond" w:eastAsia="Calibri" w:hAnsi="Garamond" w:cs="GHEA Grapalat"/>
                <w:b/>
                <w:sz w:val="22"/>
                <w:szCs w:val="22"/>
              </w:rPr>
              <w:t xml:space="preserve"> </w:t>
            </w:r>
          </w:p>
        </w:tc>
      </w:tr>
      <w:tr w:rsidR="005C6536" w:rsidRPr="00EE5F0F" w14:paraId="65A2ED11" w14:textId="77777777" w:rsidTr="004D4A0F">
        <w:trPr>
          <w:trHeight w:val="20"/>
        </w:trPr>
        <w:tc>
          <w:tcPr>
            <w:tcW w:w="1715" w:type="dxa"/>
            <w:vAlign w:val="center"/>
          </w:tcPr>
          <w:p w14:paraId="321AE83F" w14:textId="77777777" w:rsidR="005C6536" w:rsidRPr="00EE5F0F" w:rsidRDefault="00703FA4" w:rsidP="00FA46F4">
            <w:pPr>
              <w:spacing w:before="30" w:after="30"/>
              <w:rPr>
                <w:rFonts w:ascii="Garamond" w:eastAsia="Calibri" w:hAnsi="Garamond" w:cs="GHEA Grapalat"/>
                <w:sz w:val="22"/>
                <w:szCs w:val="22"/>
                <w:lang w:val="hy-AM"/>
              </w:rPr>
            </w:pPr>
            <w:r w:rsidRPr="00EE5F0F">
              <w:rPr>
                <w:rFonts w:ascii="Garamond" w:eastAsia="Calibri" w:hAnsi="Garamond" w:cs="Sylfaen"/>
                <w:sz w:val="22"/>
                <w:szCs w:val="22"/>
              </w:rPr>
              <w:t>I</w:t>
            </w:r>
            <w:r w:rsidRPr="00EE5F0F">
              <w:rPr>
                <w:rFonts w:ascii="Garamond" w:eastAsia="Calibri" w:hAnsi="Garamond" w:cs="Sylfaen"/>
                <w:sz w:val="22"/>
                <w:szCs w:val="22"/>
                <w:lang w:val="hy-AM"/>
              </w:rPr>
              <w:t>n the external sector</w:t>
            </w:r>
            <w:r w:rsidR="006573EF" w:rsidRPr="00EE5F0F">
              <w:rPr>
                <w:rFonts w:ascii="Garamond" w:eastAsia="Calibri" w:hAnsi="Garamond" w:cs="Sylfaen"/>
                <w:sz w:val="22"/>
                <w:szCs w:val="22"/>
              </w:rPr>
              <w:t>,</w:t>
            </w:r>
            <w:r w:rsidRPr="00EE5F0F">
              <w:rPr>
                <w:rFonts w:ascii="Garamond" w:eastAsia="Calibri" w:hAnsi="Garamond" w:cs="Sylfaen"/>
                <w:sz w:val="22"/>
                <w:szCs w:val="22"/>
              </w:rPr>
              <w:t xml:space="preserve"> e</w:t>
            </w:r>
            <w:r w:rsidRPr="00EE5F0F">
              <w:rPr>
                <w:rFonts w:ascii="Garamond" w:eastAsia="Calibri" w:hAnsi="Garamond" w:cs="Sylfaen"/>
                <w:sz w:val="22"/>
                <w:szCs w:val="22"/>
                <w:lang w:val="hy-AM"/>
              </w:rPr>
              <w:t xml:space="preserve">conomic </w:t>
            </w:r>
            <w:r w:rsidR="00FA46F4" w:rsidRPr="00EE5F0F">
              <w:rPr>
                <w:rFonts w:ascii="Garamond" w:eastAsia="Calibri" w:hAnsi="Garamond" w:cs="Sylfaen"/>
                <w:sz w:val="22"/>
                <w:szCs w:val="22"/>
              </w:rPr>
              <w:t xml:space="preserve">activity keeps on </w:t>
            </w:r>
            <w:r w:rsidRPr="00EE5F0F">
              <w:rPr>
                <w:rFonts w:ascii="Garamond" w:eastAsia="Calibri" w:hAnsi="Garamond" w:cs="Sylfaen"/>
                <w:sz w:val="22"/>
                <w:szCs w:val="22"/>
              </w:rPr>
              <w:t>recover</w:t>
            </w:r>
            <w:r w:rsidR="00FA46F4" w:rsidRPr="00EE5F0F">
              <w:rPr>
                <w:rFonts w:ascii="Garamond" w:eastAsia="Calibri" w:hAnsi="Garamond" w:cs="Sylfaen"/>
                <w:sz w:val="22"/>
                <w:szCs w:val="22"/>
              </w:rPr>
              <w:t xml:space="preserve">ing </w:t>
            </w:r>
            <w:r w:rsidRPr="00EE5F0F">
              <w:rPr>
                <w:rFonts w:ascii="Garamond" w:eastAsia="Calibri" w:hAnsi="Garamond" w:cs="Sylfaen"/>
                <w:sz w:val="22"/>
                <w:szCs w:val="22"/>
              </w:rPr>
              <w:t>at steady rates</w:t>
            </w:r>
            <w:r w:rsidR="006573EF" w:rsidRPr="00EE5F0F">
              <w:rPr>
                <w:rFonts w:ascii="Garamond" w:eastAsia="Calibri" w:hAnsi="Garamond" w:cs="Sylfaen"/>
                <w:sz w:val="22"/>
                <w:szCs w:val="22"/>
              </w:rPr>
              <w:t>, and prices grow at faster rates</w:t>
            </w:r>
            <w:r w:rsidRPr="00EE5F0F">
              <w:rPr>
                <w:rFonts w:ascii="Garamond" w:eastAsia="Calibri" w:hAnsi="Garamond" w:cs="Sylfaen"/>
                <w:sz w:val="22"/>
                <w:szCs w:val="22"/>
                <w:lang w:val="hy-AM"/>
              </w:rPr>
              <w:t xml:space="preserve"> </w:t>
            </w:r>
          </w:p>
        </w:tc>
        <w:tc>
          <w:tcPr>
            <w:tcW w:w="4528" w:type="dxa"/>
            <w:vAlign w:val="center"/>
          </w:tcPr>
          <w:p w14:paraId="4D4C7667" w14:textId="77777777" w:rsidR="00703FA4" w:rsidRPr="00EE5F0F" w:rsidRDefault="003E35C5" w:rsidP="003E35C5">
            <w:pPr>
              <w:pStyle w:val="ListParagraph"/>
              <w:numPr>
                <w:ilvl w:val="0"/>
                <w:numId w:val="5"/>
              </w:numPr>
              <w:spacing w:before="30" w:after="30"/>
              <w:rPr>
                <w:rFonts w:ascii="Garamond" w:hAnsi="Garamond" w:cs="Sylfaen"/>
                <w:sz w:val="22"/>
                <w:szCs w:val="22"/>
                <w:lang w:val="hy-AM"/>
              </w:rPr>
            </w:pPr>
            <w:r w:rsidRPr="00EE5F0F">
              <w:rPr>
                <w:rFonts w:ascii="Garamond" w:hAnsi="Garamond" w:cs="Sylfaen"/>
                <w:sz w:val="22"/>
                <w:szCs w:val="22"/>
              </w:rPr>
              <w:t xml:space="preserve">As </w:t>
            </w:r>
            <w:r w:rsidRPr="00EE5F0F">
              <w:rPr>
                <w:rFonts w:ascii="Garamond" w:hAnsi="Garamond" w:cs="Sylfaen"/>
                <w:sz w:val="22"/>
                <w:szCs w:val="22"/>
                <w:lang w:val="hy-AM"/>
              </w:rPr>
              <w:t>econom</w:t>
            </w:r>
            <w:r w:rsidRPr="00EE5F0F">
              <w:rPr>
                <w:rFonts w:ascii="Garamond" w:hAnsi="Garamond" w:cs="Sylfaen"/>
                <w:sz w:val="22"/>
                <w:szCs w:val="22"/>
              </w:rPr>
              <w:t>y continues to re</w:t>
            </w:r>
            <w:r w:rsidR="00F41ADC">
              <w:rPr>
                <w:rFonts w:ascii="Garamond" w:hAnsi="Garamond" w:cs="Sylfaen"/>
                <w:sz w:val="22"/>
                <w:szCs w:val="22"/>
              </w:rPr>
              <w:t>cover</w:t>
            </w:r>
            <w:r w:rsidRPr="00EE5F0F">
              <w:rPr>
                <w:rFonts w:ascii="Garamond" w:hAnsi="Garamond" w:cs="Sylfaen"/>
                <w:sz w:val="22"/>
                <w:szCs w:val="22"/>
              </w:rPr>
              <w:t xml:space="preserve">, </w:t>
            </w:r>
            <w:r w:rsidR="00F41ADC">
              <w:rPr>
                <w:rFonts w:ascii="Garamond" w:hAnsi="Garamond" w:cs="Sylfaen"/>
                <w:sz w:val="22"/>
                <w:szCs w:val="22"/>
              </w:rPr>
              <w:t xml:space="preserve">external </w:t>
            </w:r>
            <w:r w:rsidRPr="00EE5F0F">
              <w:rPr>
                <w:rFonts w:ascii="Garamond" w:hAnsi="Garamond" w:cs="Sylfaen"/>
                <w:sz w:val="22"/>
                <w:szCs w:val="22"/>
              </w:rPr>
              <w:t>d</w:t>
            </w:r>
            <w:r w:rsidR="00703FA4" w:rsidRPr="00EE5F0F">
              <w:rPr>
                <w:rFonts w:ascii="Garamond" w:hAnsi="Garamond" w:cs="Sylfaen"/>
                <w:sz w:val="22"/>
                <w:szCs w:val="22"/>
                <w:lang w:val="hy-AM"/>
              </w:rPr>
              <w:t xml:space="preserve">emand </w:t>
            </w:r>
            <w:r w:rsidR="00703FA4" w:rsidRPr="00EE5F0F">
              <w:rPr>
                <w:rFonts w:ascii="Garamond" w:hAnsi="Garamond" w:cs="Sylfaen"/>
                <w:sz w:val="22"/>
                <w:szCs w:val="22"/>
              </w:rPr>
              <w:t xml:space="preserve">will </w:t>
            </w:r>
            <w:r w:rsidR="00F41ADC">
              <w:rPr>
                <w:rFonts w:ascii="Garamond" w:hAnsi="Garamond" w:cs="Sylfaen"/>
                <w:sz w:val="22"/>
                <w:szCs w:val="22"/>
              </w:rPr>
              <w:t xml:space="preserve">be expected to further </w:t>
            </w:r>
            <w:r w:rsidR="00703FA4" w:rsidRPr="00EE5F0F">
              <w:rPr>
                <w:rFonts w:ascii="Garamond" w:hAnsi="Garamond" w:cs="Sylfaen"/>
                <w:sz w:val="22"/>
                <w:szCs w:val="22"/>
              </w:rPr>
              <w:t>re</w:t>
            </w:r>
            <w:r w:rsidR="00F41ADC">
              <w:rPr>
                <w:rFonts w:ascii="Garamond" w:hAnsi="Garamond" w:cs="Sylfaen"/>
                <w:sz w:val="22"/>
                <w:szCs w:val="22"/>
              </w:rPr>
              <w:t>store</w:t>
            </w:r>
            <w:r w:rsidRPr="00EE5F0F">
              <w:rPr>
                <w:rFonts w:ascii="Garamond" w:hAnsi="Garamond" w:cs="Sylfaen"/>
                <w:sz w:val="22"/>
                <w:szCs w:val="22"/>
                <w:lang w:val="hy-AM"/>
              </w:rPr>
              <w:t xml:space="preserve"> </w:t>
            </w:r>
            <w:r w:rsidR="00F41ADC">
              <w:rPr>
                <w:rFonts w:ascii="Garamond" w:hAnsi="Garamond" w:cs="Sylfaen"/>
                <w:sz w:val="22"/>
                <w:szCs w:val="22"/>
              </w:rPr>
              <w:t xml:space="preserve">in </w:t>
            </w:r>
            <w:r w:rsidRPr="00EE5F0F">
              <w:rPr>
                <w:rFonts w:ascii="Garamond" w:hAnsi="Garamond" w:cs="Sylfaen"/>
                <w:sz w:val="22"/>
                <w:szCs w:val="22"/>
              </w:rPr>
              <w:t xml:space="preserve">trade </w:t>
            </w:r>
            <w:r w:rsidRPr="00EE5F0F">
              <w:rPr>
                <w:rFonts w:ascii="Garamond" w:hAnsi="Garamond" w:cs="Sylfaen"/>
                <w:sz w:val="22"/>
                <w:szCs w:val="22"/>
                <w:lang w:val="hy-AM"/>
              </w:rPr>
              <w:t>partner countries</w:t>
            </w:r>
            <w:r w:rsidRPr="00EE5F0F">
              <w:rPr>
                <w:rFonts w:ascii="Garamond" w:hAnsi="Garamond" w:cs="Sylfaen"/>
                <w:sz w:val="22"/>
                <w:szCs w:val="22"/>
              </w:rPr>
              <w:t>. In this case, developing countries are expected to gradually tighten their monetary policy conditions.</w:t>
            </w:r>
          </w:p>
          <w:p w14:paraId="09672C22" w14:textId="77777777" w:rsidR="003E35C5" w:rsidRPr="00F41ADC" w:rsidRDefault="00F41ADC" w:rsidP="00F41ADC">
            <w:pPr>
              <w:pStyle w:val="ListParagraph"/>
              <w:numPr>
                <w:ilvl w:val="0"/>
                <w:numId w:val="5"/>
              </w:numPr>
              <w:spacing w:before="30" w:after="30"/>
              <w:rPr>
                <w:rFonts w:ascii="Garamond" w:hAnsi="Garamond" w:cs="Sylfaen"/>
                <w:sz w:val="22"/>
                <w:szCs w:val="22"/>
                <w:lang w:val="hy-AM"/>
              </w:rPr>
            </w:pPr>
            <w:r w:rsidRPr="00F41ADC">
              <w:rPr>
                <w:rFonts w:ascii="Garamond" w:hAnsi="Garamond" w:cs="Sylfaen"/>
                <w:sz w:val="22"/>
                <w:szCs w:val="22"/>
              </w:rPr>
              <w:t xml:space="preserve">Depreciation of the Russian ruble will be </w:t>
            </w:r>
            <w:r>
              <w:rPr>
                <w:rFonts w:ascii="Garamond" w:hAnsi="Garamond" w:cs="Sylfaen"/>
                <w:sz w:val="22"/>
                <w:szCs w:val="22"/>
              </w:rPr>
              <w:t xml:space="preserve">a long-term trend </w:t>
            </w:r>
            <w:r w:rsidRPr="00F41ADC">
              <w:rPr>
                <w:rFonts w:ascii="Garamond" w:hAnsi="Garamond" w:cs="Sylfaen"/>
                <w:sz w:val="22"/>
                <w:szCs w:val="22"/>
              </w:rPr>
              <w:t>as a result of anti-Russian sanctions</w:t>
            </w:r>
            <w:r>
              <w:rPr>
                <w:rFonts w:ascii="Garamond" w:hAnsi="Garamond" w:cs="Sylfaen"/>
                <w:sz w:val="22"/>
                <w:szCs w:val="22"/>
              </w:rPr>
              <w:t>,</w:t>
            </w:r>
            <w:r w:rsidRPr="00F41ADC">
              <w:rPr>
                <w:rFonts w:ascii="Garamond" w:hAnsi="Garamond" w:cs="Sylfaen"/>
                <w:sz w:val="22"/>
                <w:szCs w:val="22"/>
              </w:rPr>
              <w:t xml:space="preserve"> which will </w:t>
            </w:r>
            <w:r>
              <w:rPr>
                <w:rFonts w:ascii="Garamond" w:hAnsi="Garamond" w:cs="Sylfaen"/>
                <w:sz w:val="22"/>
                <w:szCs w:val="22"/>
              </w:rPr>
              <w:t>somehow</w:t>
            </w:r>
            <w:r w:rsidRPr="00F41ADC">
              <w:rPr>
                <w:rFonts w:ascii="Garamond" w:hAnsi="Garamond" w:cs="Sylfaen"/>
                <w:sz w:val="22"/>
                <w:szCs w:val="22"/>
              </w:rPr>
              <w:t xml:space="preserve"> accelerate the rate of inflation in Russia.</w:t>
            </w:r>
            <w:r>
              <w:rPr>
                <w:rFonts w:ascii="Garamond" w:hAnsi="Garamond" w:cs="Sylfaen"/>
                <w:sz w:val="22"/>
                <w:szCs w:val="22"/>
              </w:rPr>
              <w:t xml:space="preserve"> </w:t>
            </w:r>
          </w:p>
          <w:p w14:paraId="5614B83E" w14:textId="77777777" w:rsidR="00F41ADC" w:rsidRPr="00EE5F0F" w:rsidRDefault="00F41ADC" w:rsidP="00F41ADC">
            <w:pPr>
              <w:pStyle w:val="ListParagraph"/>
              <w:numPr>
                <w:ilvl w:val="0"/>
                <w:numId w:val="5"/>
              </w:numPr>
              <w:spacing w:before="30" w:after="30"/>
              <w:rPr>
                <w:rFonts w:ascii="Garamond" w:hAnsi="Garamond" w:cs="Sylfaen"/>
                <w:sz w:val="22"/>
                <w:szCs w:val="22"/>
                <w:lang w:val="hy-AM"/>
              </w:rPr>
            </w:pPr>
            <w:r w:rsidRPr="00F41ADC">
              <w:rPr>
                <w:rFonts w:ascii="Garamond" w:hAnsi="Garamond" w:cs="Sylfaen"/>
                <w:sz w:val="22"/>
                <w:szCs w:val="22"/>
                <w:lang w:val="hy-AM"/>
              </w:rPr>
              <w:t xml:space="preserve">As a result of the increase in VAT, inflation expectations </w:t>
            </w:r>
            <w:r>
              <w:rPr>
                <w:rFonts w:ascii="Garamond" w:hAnsi="Garamond" w:cs="Sylfaen"/>
                <w:sz w:val="22"/>
                <w:szCs w:val="22"/>
              </w:rPr>
              <w:t>are expected to</w:t>
            </w:r>
            <w:r w:rsidRPr="00F41ADC">
              <w:rPr>
                <w:rFonts w:ascii="Garamond" w:hAnsi="Garamond" w:cs="Sylfaen"/>
                <w:sz w:val="22"/>
                <w:szCs w:val="22"/>
                <w:lang w:val="hy-AM"/>
              </w:rPr>
              <w:t xml:space="preserve"> remain unchanged, so </w:t>
            </w:r>
            <w:r>
              <w:rPr>
                <w:rFonts w:ascii="Garamond" w:hAnsi="Garamond" w:cs="Sylfaen"/>
                <w:sz w:val="22"/>
                <w:szCs w:val="22"/>
              </w:rPr>
              <w:t xml:space="preserve">no reaction will be expected from </w:t>
            </w:r>
            <w:r w:rsidRPr="00F41ADC">
              <w:rPr>
                <w:rFonts w:ascii="Garamond" w:hAnsi="Garamond" w:cs="Sylfaen"/>
                <w:sz w:val="22"/>
                <w:szCs w:val="22"/>
                <w:lang w:val="hy-AM"/>
              </w:rPr>
              <w:t xml:space="preserve">the </w:t>
            </w:r>
            <w:r>
              <w:rPr>
                <w:rFonts w:ascii="Garamond" w:hAnsi="Garamond" w:cs="Sylfaen"/>
                <w:sz w:val="22"/>
                <w:szCs w:val="22"/>
              </w:rPr>
              <w:t xml:space="preserve">Bank of </w:t>
            </w:r>
            <w:r w:rsidRPr="00F41ADC">
              <w:rPr>
                <w:rFonts w:ascii="Garamond" w:hAnsi="Garamond" w:cs="Sylfaen"/>
                <w:sz w:val="22"/>
                <w:szCs w:val="22"/>
                <w:lang w:val="hy-AM"/>
              </w:rPr>
              <w:t>Russia</w:t>
            </w:r>
            <w:r>
              <w:rPr>
                <w:rFonts w:ascii="Garamond" w:hAnsi="Garamond" w:cs="Sylfaen"/>
                <w:sz w:val="22"/>
                <w:szCs w:val="22"/>
              </w:rPr>
              <w:t xml:space="preserve"> </w:t>
            </w:r>
            <w:r w:rsidRPr="00F41ADC">
              <w:rPr>
                <w:rFonts w:ascii="Garamond" w:hAnsi="Garamond" w:cs="Sylfaen"/>
                <w:sz w:val="22"/>
                <w:szCs w:val="22"/>
                <w:lang w:val="hy-AM"/>
              </w:rPr>
              <w:t>during that period.</w:t>
            </w:r>
          </w:p>
          <w:p w14:paraId="73ECFC96" w14:textId="77777777" w:rsidR="005C6536" w:rsidRPr="00EE5F0F" w:rsidRDefault="00C4368F" w:rsidP="00BC5BF1">
            <w:pPr>
              <w:pStyle w:val="ListParagraph"/>
              <w:numPr>
                <w:ilvl w:val="0"/>
                <w:numId w:val="5"/>
              </w:numPr>
              <w:spacing w:before="30" w:after="30"/>
              <w:rPr>
                <w:rFonts w:ascii="Garamond" w:hAnsi="Garamond" w:cs="GHEA Grapalat"/>
                <w:sz w:val="22"/>
                <w:szCs w:val="22"/>
                <w:lang w:val="hy-AM"/>
              </w:rPr>
            </w:pPr>
            <w:r>
              <w:rPr>
                <w:rFonts w:ascii="Garamond" w:hAnsi="Garamond" w:cs="Sylfaen"/>
                <w:sz w:val="22"/>
                <w:szCs w:val="22"/>
              </w:rPr>
              <w:t xml:space="preserve">The </w:t>
            </w:r>
            <w:r w:rsidRPr="00C4368F">
              <w:rPr>
                <w:rFonts w:ascii="Garamond" w:hAnsi="Garamond" w:cs="Sylfaen"/>
                <w:sz w:val="22"/>
                <w:szCs w:val="22"/>
              </w:rPr>
              <w:t xml:space="preserve">US sanctions against Iran will continue to </w:t>
            </w:r>
            <w:r>
              <w:rPr>
                <w:rFonts w:ascii="Garamond" w:hAnsi="Garamond" w:cs="Sylfaen"/>
                <w:sz w:val="22"/>
                <w:szCs w:val="22"/>
              </w:rPr>
              <w:t xml:space="preserve">keep </w:t>
            </w:r>
            <w:r w:rsidRPr="00C4368F">
              <w:rPr>
                <w:rFonts w:ascii="Garamond" w:hAnsi="Garamond" w:cs="Sylfaen"/>
                <w:sz w:val="22"/>
                <w:szCs w:val="22"/>
              </w:rPr>
              <w:t xml:space="preserve">international oil prices </w:t>
            </w:r>
            <w:r>
              <w:rPr>
                <w:rFonts w:ascii="Garamond" w:hAnsi="Garamond" w:cs="Sylfaen"/>
                <w:sz w:val="22"/>
                <w:szCs w:val="22"/>
              </w:rPr>
              <w:t>high</w:t>
            </w:r>
            <w:r w:rsidR="00BC5BF1">
              <w:rPr>
                <w:rFonts w:ascii="Garamond" w:hAnsi="Garamond" w:cs="Sylfaen"/>
                <w:sz w:val="22"/>
                <w:szCs w:val="22"/>
              </w:rPr>
              <w:t xml:space="preserve">, while </w:t>
            </w:r>
            <w:r w:rsidRPr="00C4368F">
              <w:rPr>
                <w:rFonts w:ascii="Garamond" w:hAnsi="Garamond" w:cs="Sylfaen"/>
                <w:sz w:val="22"/>
                <w:szCs w:val="22"/>
              </w:rPr>
              <w:t xml:space="preserve">potential trade wars will contribute to </w:t>
            </w:r>
            <w:r w:rsidR="00BC5BF1">
              <w:rPr>
                <w:rFonts w:ascii="Garamond" w:hAnsi="Garamond" w:cs="Sylfaen"/>
                <w:sz w:val="22"/>
                <w:szCs w:val="22"/>
              </w:rPr>
              <w:t xml:space="preserve">maintaining the </w:t>
            </w:r>
            <w:r w:rsidRPr="00C4368F">
              <w:rPr>
                <w:rFonts w:ascii="Garamond" w:hAnsi="Garamond" w:cs="Sylfaen"/>
                <w:sz w:val="22"/>
                <w:szCs w:val="22"/>
              </w:rPr>
              <w:t xml:space="preserve">current levels of </w:t>
            </w:r>
            <w:r w:rsidR="00BC5BF1">
              <w:rPr>
                <w:rFonts w:ascii="Garamond" w:hAnsi="Garamond" w:cs="Sylfaen"/>
                <w:sz w:val="22"/>
                <w:szCs w:val="22"/>
              </w:rPr>
              <w:t xml:space="preserve">international </w:t>
            </w:r>
            <w:r w:rsidRPr="00C4368F">
              <w:rPr>
                <w:rFonts w:ascii="Garamond" w:hAnsi="Garamond" w:cs="Sylfaen"/>
                <w:sz w:val="22"/>
                <w:szCs w:val="22"/>
              </w:rPr>
              <w:t>copper prices.</w:t>
            </w:r>
            <w:r w:rsidR="00703FA4" w:rsidRPr="00EE5F0F">
              <w:rPr>
                <w:rFonts w:ascii="Garamond" w:hAnsi="Garamond" w:cs="Sylfaen"/>
                <w:sz w:val="22"/>
                <w:szCs w:val="22"/>
                <w:lang w:val="hy-AM"/>
              </w:rPr>
              <w:t xml:space="preserve"> </w:t>
            </w:r>
          </w:p>
        </w:tc>
      </w:tr>
      <w:tr w:rsidR="00E218FC" w:rsidRPr="00EE5F0F" w14:paraId="12A0B1A0" w14:textId="77777777" w:rsidTr="004D4A0F">
        <w:trPr>
          <w:trHeight w:val="20"/>
        </w:trPr>
        <w:tc>
          <w:tcPr>
            <w:tcW w:w="1715" w:type="dxa"/>
            <w:vAlign w:val="center"/>
          </w:tcPr>
          <w:p w14:paraId="366D98A4" w14:textId="77777777" w:rsidR="00E218FC" w:rsidRPr="00EE5F0F" w:rsidRDefault="00E218FC" w:rsidP="000A2CFF">
            <w:pPr>
              <w:spacing w:before="30" w:after="30"/>
              <w:rPr>
                <w:rFonts w:ascii="Garamond" w:eastAsia="Calibri" w:hAnsi="Garamond" w:cs="Sylfaen"/>
                <w:sz w:val="22"/>
                <w:szCs w:val="22"/>
              </w:rPr>
            </w:pPr>
            <w:r w:rsidRPr="00EE5F0F">
              <w:rPr>
                <w:rFonts w:ascii="Garamond" w:eastAsia="Calibri" w:hAnsi="Garamond" w:cs="Sylfaen"/>
                <w:sz w:val="22"/>
                <w:szCs w:val="22"/>
              </w:rPr>
              <w:t xml:space="preserve">Armenia’s risk premium </w:t>
            </w:r>
            <w:r>
              <w:rPr>
                <w:rFonts w:ascii="Garamond" w:eastAsia="Calibri" w:hAnsi="Garamond" w:cs="Sylfaen"/>
                <w:sz w:val="22"/>
                <w:szCs w:val="22"/>
              </w:rPr>
              <w:t>persists at the current level</w:t>
            </w:r>
          </w:p>
        </w:tc>
        <w:tc>
          <w:tcPr>
            <w:tcW w:w="4528" w:type="dxa"/>
            <w:vAlign w:val="center"/>
          </w:tcPr>
          <w:p w14:paraId="2585A1E6" w14:textId="77777777" w:rsidR="00E218FC" w:rsidRPr="00EE5F0F" w:rsidRDefault="00E218FC" w:rsidP="00B95881">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 xml:space="preserve">In the </w:t>
            </w:r>
            <w:r>
              <w:rPr>
                <w:rFonts w:ascii="Garamond" w:hAnsi="Garamond" w:cs="Sylfaen"/>
                <w:sz w:val="22"/>
                <w:szCs w:val="22"/>
              </w:rPr>
              <w:t>thir</w:t>
            </w:r>
            <w:r w:rsidRPr="00EE5F0F">
              <w:rPr>
                <w:rFonts w:ascii="Garamond" w:hAnsi="Garamond" w:cs="Sylfaen"/>
                <w:sz w:val="22"/>
                <w:szCs w:val="22"/>
              </w:rPr>
              <w:t xml:space="preserve">d quarter of 2018, the spread of interest rates of 10-year Eurobonds issued by the Armenian Government will </w:t>
            </w:r>
            <w:r>
              <w:rPr>
                <w:rFonts w:ascii="Garamond" w:hAnsi="Garamond" w:cs="Sylfaen"/>
                <w:sz w:val="22"/>
                <w:szCs w:val="22"/>
              </w:rPr>
              <w:t>remain at the previous quarter’s level,</w:t>
            </w:r>
            <w:r w:rsidRPr="00EE5F0F">
              <w:rPr>
                <w:rFonts w:ascii="Garamond" w:hAnsi="Garamond" w:cs="Sylfaen"/>
                <w:sz w:val="22"/>
                <w:szCs w:val="22"/>
              </w:rPr>
              <w:t xml:space="preserve"> relative to the similar maturity-US assets, amounting to </w:t>
            </w:r>
            <w:r>
              <w:rPr>
                <w:rFonts w:ascii="Garamond" w:hAnsi="Garamond" w:cs="Sylfaen"/>
                <w:sz w:val="22"/>
                <w:szCs w:val="22"/>
              </w:rPr>
              <w:t xml:space="preserve">around </w:t>
            </w:r>
            <w:r w:rsidRPr="00EE5F0F">
              <w:rPr>
                <w:rFonts w:ascii="Garamond" w:hAnsi="Garamond" w:cs="Sylfaen"/>
                <w:sz w:val="22"/>
                <w:szCs w:val="22"/>
              </w:rPr>
              <w:t>3%. Armenia’s risk premium is also assessed accordingly.</w:t>
            </w:r>
          </w:p>
        </w:tc>
      </w:tr>
      <w:tr w:rsidR="00E218FC" w:rsidRPr="00EE5F0F" w14:paraId="3B56DDB6" w14:textId="77777777" w:rsidTr="004D4A0F">
        <w:trPr>
          <w:trHeight w:val="20"/>
        </w:trPr>
        <w:tc>
          <w:tcPr>
            <w:tcW w:w="1715" w:type="dxa"/>
            <w:vAlign w:val="center"/>
          </w:tcPr>
          <w:p w14:paraId="39CAFC06" w14:textId="77777777" w:rsidR="00E218FC" w:rsidRPr="00EE5F0F" w:rsidRDefault="00E218FC" w:rsidP="00B95881">
            <w:pPr>
              <w:spacing w:before="40" w:after="40"/>
              <w:rPr>
                <w:rFonts w:ascii="Garamond" w:eastAsia="Calibri" w:hAnsi="Garamond" w:cs="GHEA Grapalat"/>
                <w:sz w:val="22"/>
                <w:szCs w:val="22"/>
                <w:lang w:val="hy-AM"/>
              </w:rPr>
            </w:pPr>
            <w:r w:rsidRPr="00EE5F0F">
              <w:rPr>
                <w:rFonts w:ascii="Garamond" w:eastAsia="Calibri" w:hAnsi="Garamond" w:cs="Sylfaen"/>
                <w:sz w:val="22"/>
                <w:szCs w:val="22"/>
                <w:lang w:val="hy-AM"/>
              </w:rPr>
              <w:lastRenderedPageBreak/>
              <w:t xml:space="preserve">Fiscal </w:t>
            </w:r>
            <w:r w:rsidRPr="00EE5F0F">
              <w:rPr>
                <w:rFonts w:ascii="Garamond" w:eastAsia="Calibri" w:hAnsi="Garamond" w:cs="Sylfaen"/>
                <w:sz w:val="22"/>
                <w:szCs w:val="22"/>
              </w:rPr>
              <w:t>p</w:t>
            </w:r>
            <w:r w:rsidRPr="00EE5F0F">
              <w:rPr>
                <w:rFonts w:ascii="Garamond" w:eastAsia="Calibri" w:hAnsi="Garamond" w:cs="Sylfaen"/>
                <w:sz w:val="22"/>
                <w:szCs w:val="22"/>
                <w:lang w:val="hy-AM"/>
              </w:rPr>
              <w:t>olicy</w:t>
            </w:r>
            <w:r w:rsidRPr="00EE5F0F">
              <w:rPr>
                <w:rFonts w:ascii="Garamond" w:eastAsia="Calibri" w:hAnsi="Garamond" w:cs="Sylfaen"/>
                <w:sz w:val="22"/>
                <w:szCs w:val="22"/>
              </w:rPr>
              <w:t xml:space="preserve"> conditions</w:t>
            </w:r>
          </w:p>
        </w:tc>
        <w:tc>
          <w:tcPr>
            <w:tcW w:w="4528" w:type="dxa"/>
            <w:vAlign w:val="center"/>
          </w:tcPr>
          <w:p w14:paraId="3B335529" w14:textId="77777777" w:rsidR="00E218FC" w:rsidRPr="00EE5F0F" w:rsidRDefault="00E218FC" w:rsidP="00E218FC">
            <w:pPr>
              <w:pStyle w:val="ListParagraph"/>
              <w:numPr>
                <w:ilvl w:val="0"/>
                <w:numId w:val="5"/>
              </w:numPr>
              <w:spacing w:before="30" w:after="30"/>
              <w:rPr>
                <w:rFonts w:ascii="Garamond" w:hAnsi="Garamond" w:cs="Sylfaen"/>
                <w:sz w:val="22"/>
                <w:szCs w:val="22"/>
              </w:rPr>
            </w:pPr>
            <w:r w:rsidRPr="00EE5F0F">
              <w:rPr>
                <w:rFonts w:ascii="Garamond" w:hAnsi="Garamond" w:cs="Sylfaen"/>
                <w:color w:val="000000" w:themeColor="text1"/>
                <w:sz w:val="22"/>
                <w:szCs w:val="22"/>
              </w:rPr>
              <w:t xml:space="preserve">The fiscal sector’s impact on aggregate demand is an estimated </w:t>
            </w:r>
            <w:r>
              <w:rPr>
                <w:rFonts w:ascii="Garamond" w:hAnsi="Garamond" w:cs="Sylfaen"/>
                <w:color w:val="000000" w:themeColor="text1"/>
                <w:sz w:val="22"/>
                <w:szCs w:val="22"/>
              </w:rPr>
              <w:t>1</w:t>
            </w:r>
            <w:r w:rsidRPr="00EE5F0F">
              <w:rPr>
                <w:rFonts w:ascii="Garamond" w:hAnsi="Garamond" w:cs="Sylfaen"/>
                <w:color w:val="000000" w:themeColor="text1"/>
                <w:sz w:val="22"/>
                <w:szCs w:val="22"/>
                <w:lang w:val="hy-AM"/>
              </w:rPr>
              <w:t>.</w:t>
            </w:r>
            <w:r>
              <w:rPr>
                <w:rFonts w:ascii="Garamond" w:hAnsi="Garamond" w:cs="Sylfaen"/>
                <w:color w:val="000000" w:themeColor="text1"/>
                <w:sz w:val="22"/>
                <w:szCs w:val="22"/>
              </w:rPr>
              <w:t>6</w:t>
            </w:r>
            <w:r w:rsidRPr="00EE5F0F">
              <w:rPr>
                <w:rFonts w:ascii="Garamond" w:hAnsi="Garamond" w:cs="Sylfaen"/>
                <w:color w:val="000000" w:themeColor="text1"/>
                <w:sz w:val="22"/>
                <w:szCs w:val="22"/>
                <w:lang w:val="hy-AM"/>
              </w:rPr>
              <w:t xml:space="preserve"> </w:t>
            </w:r>
            <w:r w:rsidRPr="00EE5F0F">
              <w:rPr>
                <w:rFonts w:ascii="Garamond" w:hAnsi="Garamond" w:cs="Sylfaen"/>
                <w:color w:val="000000" w:themeColor="text1"/>
                <w:sz w:val="22"/>
                <w:szCs w:val="22"/>
              </w:rPr>
              <w:t xml:space="preserve">pp </w:t>
            </w:r>
            <w:r>
              <w:rPr>
                <w:rFonts w:ascii="Garamond" w:hAnsi="Garamond" w:cs="Sylfaen"/>
                <w:color w:val="000000" w:themeColor="text1"/>
                <w:sz w:val="22"/>
                <w:szCs w:val="22"/>
              </w:rPr>
              <w:t>contractionary</w:t>
            </w:r>
            <w:r w:rsidRPr="00EE5F0F">
              <w:rPr>
                <w:rFonts w:ascii="Garamond" w:hAnsi="Garamond" w:cs="Sylfaen"/>
                <w:color w:val="000000" w:themeColor="text1"/>
                <w:sz w:val="22"/>
                <w:szCs w:val="22"/>
              </w:rPr>
              <w:t xml:space="preserve">, in </w:t>
            </w:r>
            <w:r w:rsidRPr="00EE5F0F">
              <w:rPr>
                <w:rFonts w:ascii="Garamond" w:hAnsi="Garamond" w:cs="Sylfaen"/>
                <w:color w:val="000000" w:themeColor="text1"/>
                <w:sz w:val="22"/>
                <w:szCs w:val="22"/>
                <w:lang w:val="hy-AM"/>
              </w:rPr>
              <w:t>201</w:t>
            </w:r>
            <w:r w:rsidRPr="00EE5F0F">
              <w:rPr>
                <w:rFonts w:ascii="Garamond" w:hAnsi="Garamond" w:cs="Sylfaen"/>
                <w:color w:val="000000" w:themeColor="text1"/>
                <w:sz w:val="22"/>
                <w:szCs w:val="22"/>
              </w:rPr>
              <w:t>8</w:t>
            </w:r>
            <w:r w:rsidRPr="00EE5F0F">
              <w:rPr>
                <w:rFonts w:ascii="Garamond" w:hAnsi="Garamond" w:cs="Sylfaen"/>
                <w:color w:val="000000" w:themeColor="text1"/>
                <w:sz w:val="22"/>
                <w:szCs w:val="22"/>
                <w:lang w:val="hy-AM"/>
              </w:rPr>
              <w:t>.</w:t>
            </w:r>
          </w:p>
        </w:tc>
      </w:tr>
      <w:tr w:rsidR="00E218FC" w:rsidRPr="00EE5F0F" w14:paraId="3C9204CC" w14:textId="77777777" w:rsidTr="004D4A0F">
        <w:trPr>
          <w:trHeight w:val="20"/>
        </w:trPr>
        <w:tc>
          <w:tcPr>
            <w:tcW w:w="1715" w:type="dxa"/>
            <w:vAlign w:val="center"/>
          </w:tcPr>
          <w:p w14:paraId="0E846477" w14:textId="77777777" w:rsidR="00E218FC" w:rsidRPr="00EE5F0F" w:rsidRDefault="00E218FC" w:rsidP="00B95881">
            <w:pPr>
              <w:spacing w:before="40" w:after="40"/>
              <w:rPr>
                <w:rFonts w:ascii="Garamond" w:eastAsia="Calibri" w:hAnsi="Garamond" w:cs="Sylfaen"/>
                <w:sz w:val="22"/>
                <w:szCs w:val="22"/>
                <w:lang w:val="hy-AM"/>
              </w:rPr>
            </w:pPr>
            <w:r w:rsidRPr="00EE5F0F">
              <w:rPr>
                <w:rFonts w:ascii="Garamond" w:eastAsia="Calibri" w:hAnsi="Garamond" w:cs="Sylfaen"/>
                <w:sz w:val="22"/>
                <w:szCs w:val="22"/>
              </w:rPr>
              <w:t>Action to tackle t</w:t>
            </w:r>
            <w:r w:rsidRPr="00EE5F0F">
              <w:rPr>
                <w:rFonts w:ascii="Garamond" w:eastAsia="Calibri" w:hAnsi="Garamond" w:cs="Sylfaen"/>
                <w:sz w:val="22"/>
                <w:szCs w:val="22"/>
                <w:lang w:val="hy-AM"/>
              </w:rPr>
              <w:t xml:space="preserve">he growth of </w:t>
            </w:r>
            <w:r w:rsidRPr="00EE5F0F">
              <w:rPr>
                <w:rFonts w:ascii="Garamond" w:eastAsia="Calibri" w:hAnsi="Garamond" w:cs="Sylfaen"/>
                <w:sz w:val="22"/>
                <w:szCs w:val="22"/>
              </w:rPr>
              <w:t xml:space="preserve">GDP </w:t>
            </w:r>
            <w:r w:rsidRPr="00EE5F0F">
              <w:rPr>
                <w:rFonts w:ascii="Garamond" w:eastAsia="Calibri" w:hAnsi="Garamond" w:cs="Sylfaen"/>
                <w:sz w:val="22"/>
                <w:szCs w:val="22"/>
                <w:lang w:val="hy-AM"/>
              </w:rPr>
              <w:t>potential</w:t>
            </w:r>
          </w:p>
        </w:tc>
        <w:tc>
          <w:tcPr>
            <w:tcW w:w="4528" w:type="dxa"/>
            <w:vAlign w:val="center"/>
          </w:tcPr>
          <w:p w14:paraId="080ED870" w14:textId="77777777" w:rsidR="00E218FC" w:rsidRPr="00EE5F0F" w:rsidRDefault="00E218FC" w:rsidP="00E218FC">
            <w:pPr>
              <w:pStyle w:val="ListParagraph"/>
              <w:numPr>
                <w:ilvl w:val="0"/>
                <w:numId w:val="5"/>
              </w:numPr>
              <w:spacing w:before="30" w:after="30"/>
              <w:rPr>
                <w:rFonts w:ascii="Garamond" w:hAnsi="Garamond" w:cs="Sylfaen"/>
                <w:color w:val="000000" w:themeColor="text1"/>
                <w:sz w:val="22"/>
                <w:szCs w:val="22"/>
              </w:rPr>
            </w:pPr>
            <w:r w:rsidRPr="00EE5F0F">
              <w:rPr>
                <w:rFonts w:ascii="Garamond" w:hAnsi="Garamond" w:cs="Sylfaen"/>
                <w:color w:val="000000" w:themeColor="text1"/>
                <w:sz w:val="22"/>
                <w:szCs w:val="22"/>
              </w:rPr>
              <w:t>Growth of GDP potential will show up mainly in continuous growth of private investment in the tradable sector by increasing output capacities for both goods and services, ensuring an annual 4.5-5.0% growth</w:t>
            </w:r>
            <w:r>
              <w:rPr>
                <w:rFonts w:ascii="Garamond" w:hAnsi="Garamond" w:cs="Sylfaen"/>
                <w:color w:val="000000" w:themeColor="text1"/>
                <w:sz w:val="22"/>
                <w:szCs w:val="22"/>
              </w:rPr>
              <w:t>.</w:t>
            </w:r>
          </w:p>
        </w:tc>
      </w:tr>
    </w:tbl>
    <w:p w14:paraId="48CEE438" w14:textId="77777777" w:rsidR="00E218FC" w:rsidRDefault="00E218FC" w:rsidP="005C6536">
      <w:pPr>
        <w:autoSpaceDE w:val="0"/>
        <w:autoSpaceDN w:val="0"/>
        <w:adjustRightInd w:val="0"/>
        <w:spacing w:after="120" w:line="360" w:lineRule="auto"/>
        <w:jc w:val="both"/>
        <w:rPr>
          <w:rFonts w:ascii="Garamond" w:hAnsi="Garamond"/>
          <w:sz w:val="22"/>
          <w:szCs w:val="22"/>
        </w:rPr>
      </w:pPr>
    </w:p>
    <w:p w14:paraId="44161794"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1E935D70"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main scenario-related risks </w:t>
      </w:r>
      <w:r w:rsidRPr="0003340B">
        <w:rPr>
          <w:rFonts w:ascii="Garamond" w:hAnsi="Garamond"/>
          <w:sz w:val="22"/>
          <w:szCs w:val="22"/>
        </w:rPr>
        <w:t xml:space="preserve">are </w:t>
      </w:r>
      <w:r>
        <w:rPr>
          <w:rFonts w:ascii="Garamond" w:hAnsi="Garamond"/>
          <w:sz w:val="22"/>
          <w:szCs w:val="22"/>
        </w:rPr>
        <w:t xml:space="preserve">determined by </w:t>
      </w:r>
      <w:r w:rsidRPr="0003340B">
        <w:rPr>
          <w:rFonts w:ascii="Garamond" w:hAnsi="Garamond"/>
          <w:sz w:val="22"/>
          <w:szCs w:val="22"/>
        </w:rPr>
        <w:t>both the supply and demand</w:t>
      </w:r>
      <w:r>
        <w:rPr>
          <w:rFonts w:ascii="Garamond" w:hAnsi="Garamond"/>
          <w:sz w:val="22"/>
          <w:szCs w:val="22"/>
        </w:rPr>
        <w:t xml:space="preserve">-driven </w:t>
      </w:r>
      <w:r w:rsidRPr="0003340B">
        <w:rPr>
          <w:rFonts w:ascii="Garamond" w:hAnsi="Garamond"/>
          <w:sz w:val="22"/>
          <w:szCs w:val="22"/>
        </w:rPr>
        <w:t>developments in the relevant sectors of the economy.</w:t>
      </w:r>
    </w:p>
    <w:p w14:paraId="16744EE8"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terms of </w:t>
      </w:r>
      <w:r>
        <w:rPr>
          <w:rFonts w:ascii="Garamond" w:hAnsi="Garamond"/>
          <w:sz w:val="22"/>
          <w:szCs w:val="22"/>
        </w:rPr>
        <w:t>aggregate</w:t>
      </w:r>
      <w:r w:rsidRPr="0003340B">
        <w:rPr>
          <w:rFonts w:ascii="Garamond" w:hAnsi="Garamond"/>
          <w:sz w:val="22"/>
          <w:szCs w:val="22"/>
        </w:rPr>
        <w:t xml:space="preserve"> demand, the main risks are related to the following factors:</w:t>
      </w:r>
    </w:p>
    <w:p w14:paraId="0703DD1F" w14:textId="77777777" w:rsidR="0003340B" w:rsidRPr="0003340B" w:rsidRDefault="0003340B" w:rsidP="0003340B">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03340B">
        <w:rPr>
          <w:rFonts w:ascii="Garamond" w:hAnsi="Garamond"/>
          <w:sz w:val="22"/>
          <w:szCs w:val="22"/>
        </w:rPr>
        <w:t>he budget</w:t>
      </w:r>
      <w:r>
        <w:rPr>
          <w:rFonts w:ascii="Garamond" w:hAnsi="Garamond"/>
          <w:sz w:val="22"/>
          <w:szCs w:val="22"/>
        </w:rPr>
        <w:t>’s contractionary impact persists</w:t>
      </w:r>
      <w:r w:rsidRPr="0003340B">
        <w:rPr>
          <w:rFonts w:ascii="Garamond" w:hAnsi="Garamond"/>
          <w:sz w:val="22"/>
          <w:szCs w:val="22"/>
        </w:rPr>
        <w:t xml:space="preserve">, as a result of which </w:t>
      </w:r>
      <w:r>
        <w:rPr>
          <w:rFonts w:ascii="Garamond" w:hAnsi="Garamond"/>
          <w:sz w:val="22"/>
          <w:szCs w:val="22"/>
        </w:rPr>
        <w:t xml:space="preserve">aggregate </w:t>
      </w:r>
      <w:r w:rsidRPr="0003340B">
        <w:rPr>
          <w:rFonts w:ascii="Garamond" w:hAnsi="Garamond"/>
          <w:sz w:val="22"/>
          <w:szCs w:val="22"/>
        </w:rPr>
        <w:t>demand will have a more def</w:t>
      </w:r>
      <w:r>
        <w:rPr>
          <w:rFonts w:ascii="Garamond" w:hAnsi="Garamond"/>
          <w:sz w:val="22"/>
          <w:szCs w:val="22"/>
        </w:rPr>
        <w:t>lationary effec</w:t>
      </w:r>
      <w:r w:rsidRPr="0003340B">
        <w:rPr>
          <w:rFonts w:ascii="Garamond" w:hAnsi="Garamond"/>
          <w:sz w:val="22"/>
          <w:szCs w:val="22"/>
        </w:rPr>
        <w:t xml:space="preserve">t on the inflation, </w:t>
      </w:r>
      <w:r w:rsidR="00B95881">
        <w:rPr>
          <w:rFonts w:ascii="Garamond" w:hAnsi="Garamond"/>
          <w:sz w:val="22"/>
          <w:szCs w:val="22"/>
        </w:rPr>
        <w:t>necessitating an implementation of</w:t>
      </w:r>
      <w:r w:rsidRPr="0003340B">
        <w:rPr>
          <w:rFonts w:ascii="Garamond" w:hAnsi="Garamond"/>
          <w:sz w:val="22"/>
          <w:szCs w:val="22"/>
        </w:rPr>
        <w:t xml:space="preserve"> additional </w:t>
      </w:r>
      <w:r w:rsidR="00B95881">
        <w:rPr>
          <w:rFonts w:ascii="Garamond" w:hAnsi="Garamond"/>
          <w:sz w:val="22"/>
          <w:szCs w:val="22"/>
        </w:rPr>
        <w:t xml:space="preserve">expansionary </w:t>
      </w:r>
      <w:r w:rsidRPr="0003340B">
        <w:rPr>
          <w:rFonts w:ascii="Garamond" w:hAnsi="Garamond"/>
          <w:sz w:val="22"/>
          <w:szCs w:val="22"/>
        </w:rPr>
        <w:t>monetary policy.</w:t>
      </w:r>
    </w:p>
    <w:p w14:paraId="3A46A2A3" w14:textId="77777777" w:rsidR="0003340B" w:rsidRPr="00B95881" w:rsidRDefault="00B95881"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03340B" w:rsidRPr="00B95881">
        <w:rPr>
          <w:rFonts w:ascii="Garamond" w:hAnsi="Garamond"/>
          <w:sz w:val="22"/>
          <w:szCs w:val="22"/>
        </w:rPr>
        <w:t xml:space="preserve">he actual high growth rates </w:t>
      </w:r>
      <w:r>
        <w:rPr>
          <w:rFonts w:ascii="Garamond" w:hAnsi="Garamond"/>
          <w:sz w:val="22"/>
          <w:szCs w:val="22"/>
        </w:rPr>
        <w:t>in</w:t>
      </w:r>
      <w:r w:rsidR="0003340B" w:rsidRPr="00B95881">
        <w:rPr>
          <w:rFonts w:ascii="Garamond" w:hAnsi="Garamond"/>
          <w:sz w:val="22"/>
          <w:szCs w:val="22"/>
        </w:rPr>
        <w:t xml:space="preserve"> investment</w:t>
      </w:r>
      <w:r>
        <w:rPr>
          <w:rFonts w:ascii="Garamond" w:hAnsi="Garamond"/>
          <w:sz w:val="22"/>
          <w:szCs w:val="22"/>
        </w:rPr>
        <w:t xml:space="preserve"> slow down</w:t>
      </w:r>
      <w:r w:rsidR="0003340B" w:rsidRPr="00B95881">
        <w:rPr>
          <w:rFonts w:ascii="Garamond" w:hAnsi="Garamond"/>
          <w:sz w:val="22"/>
          <w:szCs w:val="22"/>
        </w:rPr>
        <w:t xml:space="preserve"> due to the completion of major projects, which will also have an </w:t>
      </w:r>
      <w:r>
        <w:rPr>
          <w:rFonts w:ascii="Garamond" w:hAnsi="Garamond"/>
          <w:sz w:val="22"/>
          <w:szCs w:val="22"/>
        </w:rPr>
        <w:t xml:space="preserve">extra </w:t>
      </w:r>
      <w:r w:rsidR="0003340B" w:rsidRPr="00B95881">
        <w:rPr>
          <w:rFonts w:ascii="Garamond" w:hAnsi="Garamond"/>
          <w:sz w:val="22"/>
          <w:szCs w:val="22"/>
        </w:rPr>
        <w:t>def</w:t>
      </w:r>
      <w:r>
        <w:rPr>
          <w:rFonts w:ascii="Garamond" w:hAnsi="Garamond"/>
          <w:sz w:val="22"/>
          <w:szCs w:val="22"/>
        </w:rPr>
        <w:t xml:space="preserve">lationary </w:t>
      </w:r>
      <w:r w:rsidR="0003340B" w:rsidRPr="00B95881">
        <w:rPr>
          <w:rFonts w:ascii="Garamond" w:hAnsi="Garamond"/>
          <w:sz w:val="22"/>
          <w:szCs w:val="22"/>
        </w:rPr>
        <w:t>effect.</w:t>
      </w:r>
    </w:p>
    <w:p w14:paraId="42DA1FC8" w14:textId="77777777" w:rsidR="0003340B" w:rsidRPr="0003340B" w:rsidRDefault="00B95881"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terms of supply</w:t>
      </w:r>
      <w:r w:rsidR="0003340B" w:rsidRPr="0003340B">
        <w:rPr>
          <w:rFonts w:ascii="Garamond" w:hAnsi="Garamond"/>
          <w:sz w:val="22"/>
          <w:szCs w:val="22"/>
        </w:rPr>
        <w:t xml:space="preserve">, the following </w:t>
      </w:r>
      <w:r>
        <w:rPr>
          <w:rFonts w:ascii="Garamond" w:hAnsi="Garamond"/>
          <w:sz w:val="22"/>
          <w:szCs w:val="22"/>
        </w:rPr>
        <w:t xml:space="preserve">are </w:t>
      </w:r>
      <w:r w:rsidR="0003340B" w:rsidRPr="0003340B">
        <w:rPr>
          <w:rFonts w:ascii="Garamond" w:hAnsi="Garamond"/>
          <w:sz w:val="22"/>
          <w:szCs w:val="22"/>
        </w:rPr>
        <w:t xml:space="preserve">risks </w:t>
      </w:r>
      <w:r>
        <w:rPr>
          <w:rFonts w:ascii="Garamond" w:hAnsi="Garamond"/>
          <w:sz w:val="22"/>
          <w:szCs w:val="22"/>
        </w:rPr>
        <w:t xml:space="preserve">to the </w:t>
      </w:r>
      <w:r w:rsidR="0003340B" w:rsidRPr="0003340B">
        <w:rPr>
          <w:rFonts w:ascii="Garamond" w:hAnsi="Garamond"/>
          <w:sz w:val="22"/>
          <w:szCs w:val="22"/>
        </w:rPr>
        <w:t>inflation:</w:t>
      </w:r>
    </w:p>
    <w:p w14:paraId="450209F5" w14:textId="77777777" w:rsidR="0003340B" w:rsidRPr="00B95881" w:rsidRDefault="00B95881"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Pr="00B95881">
        <w:rPr>
          <w:rFonts w:ascii="Garamond" w:hAnsi="Garamond"/>
          <w:sz w:val="22"/>
          <w:szCs w:val="22"/>
        </w:rPr>
        <w:t xml:space="preserve">short-term </w:t>
      </w:r>
      <w:r>
        <w:rPr>
          <w:rFonts w:ascii="Garamond" w:hAnsi="Garamond"/>
          <w:sz w:val="22"/>
          <w:szCs w:val="22"/>
        </w:rPr>
        <w:t>i</w:t>
      </w:r>
      <w:r w:rsidR="0003340B" w:rsidRPr="00B95881">
        <w:rPr>
          <w:rFonts w:ascii="Garamond" w:hAnsi="Garamond"/>
          <w:sz w:val="22"/>
          <w:szCs w:val="22"/>
        </w:rPr>
        <w:t>nflation</w:t>
      </w:r>
      <w:r>
        <w:rPr>
          <w:rFonts w:ascii="Garamond" w:hAnsi="Garamond"/>
          <w:sz w:val="22"/>
          <w:szCs w:val="22"/>
        </w:rPr>
        <w:t>ary</w:t>
      </w:r>
      <w:r w:rsidR="0003340B" w:rsidRPr="00B95881">
        <w:rPr>
          <w:rFonts w:ascii="Garamond" w:hAnsi="Garamond"/>
          <w:sz w:val="22"/>
          <w:szCs w:val="22"/>
        </w:rPr>
        <w:t xml:space="preserve"> risks, </w:t>
      </w:r>
      <w:r>
        <w:rPr>
          <w:rFonts w:ascii="Garamond" w:hAnsi="Garamond"/>
          <w:sz w:val="22"/>
          <w:szCs w:val="22"/>
        </w:rPr>
        <w:t>depending on</w:t>
      </w:r>
      <w:r w:rsidR="0003340B" w:rsidRPr="00B95881">
        <w:rPr>
          <w:rFonts w:ascii="Garamond" w:hAnsi="Garamond"/>
          <w:sz w:val="22"/>
          <w:szCs w:val="22"/>
        </w:rPr>
        <w:t xml:space="preserve"> the </w:t>
      </w:r>
      <w:r w:rsidRPr="00B95881">
        <w:rPr>
          <w:rFonts w:ascii="Garamond" w:hAnsi="Garamond"/>
          <w:sz w:val="22"/>
          <w:szCs w:val="22"/>
        </w:rPr>
        <w:t>agricultural product</w:t>
      </w:r>
      <w:r>
        <w:rPr>
          <w:rFonts w:ascii="Garamond" w:hAnsi="Garamond"/>
          <w:sz w:val="22"/>
          <w:szCs w:val="22"/>
        </w:rPr>
        <w:t xml:space="preserve"> price </w:t>
      </w:r>
      <w:r w:rsidR="0003340B" w:rsidRPr="00B95881">
        <w:rPr>
          <w:rFonts w:ascii="Garamond" w:hAnsi="Garamond"/>
          <w:sz w:val="22"/>
          <w:szCs w:val="22"/>
        </w:rPr>
        <w:t>developments during the year.</w:t>
      </w:r>
    </w:p>
    <w:p w14:paraId="7A44CEB9" w14:textId="77777777" w:rsidR="0003340B" w:rsidRPr="00B95881" w:rsidRDefault="0003340B"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sidRPr="00B95881">
        <w:rPr>
          <w:rFonts w:ascii="Garamond" w:hAnsi="Garamond"/>
          <w:sz w:val="22"/>
          <w:szCs w:val="22"/>
        </w:rPr>
        <w:t xml:space="preserve">Changes in tax administration, the impact of which </w:t>
      </w:r>
      <w:r w:rsidR="00B95881">
        <w:rPr>
          <w:rFonts w:ascii="Garamond" w:hAnsi="Garamond"/>
          <w:sz w:val="22"/>
          <w:szCs w:val="22"/>
        </w:rPr>
        <w:t xml:space="preserve">on the inflation in the medium run </w:t>
      </w:r>
      <w:r w:rsidRPr="00B95881">
        <w:rPr>
          <w:rFonts w:ascii="Garamond" w:hAnsi="Garamond"/>
          <w:sz w:val="22"/>
          <w:szCs w:val="22"/>
        </w:rPr>
        <w:t xml:space="preserve">will depend on </w:t>
      </w:r>
      <w:r w:rsidR="00B95881" w:rsidRPr="00B95881">
        <w:rPr>
          <w:rFonts w:ascii="Garamond" w:hAnsi="Garamond"/>
          <w:sz w:val="22"/>
          <w:szCs w:val="22"/>
        </w:rPr>
        <w:t>market participants</w:t>
      </w:r>
      <w:r w:rsidR="00B95881">
        <w:rPr>
          <w:rFonts w:ascii="Garamond" w:hAnsi="Garamond"/>
          <w:sz w:val="22"/>
          <w:szCs w:val="22"/>
        </w:rPr>
        <w:t>’</w:t>
      </w:r>
      <w:r w:rsidR="00B95881" w:rsidRPr="00B95881">
        <w:rPr>
          <w:rFonts w:ascii="Garamond" w:hAnsi="Garamond"/>
          <w:sz w:val="22"/>
          <w:szCs w:val="22"/>
        </w:rPr>
        <w:t xml:space="preserve"> </w:t>
      </w:r>
      <w:r w:rsidRPr="00B95881">
        <w:rPr>
          <w:rFonts w:ascii="Garamond" w:hAnsi="Garamond"/>
          <w:sz w:val="22"/>
          <w:szCs w:val="22"/>
        </w:rPr>
        <w:t>re</w:t>
      </w:r>
      <w:r w:rsidR="00B95881">
        <w:rPr>
          <w:rFonts w:ascii="Garamond" w:hAnsi="Garamond"/>
          <w:sz w:val="22"/>
          <w:szCs w:val="22"/>
        </w:rPr>
        <w:t>positioning,</w:t>
      </w:r>
      <w:r w:rsidRPr="00B95881">
        <w:rPr>
          <w:rFonts w:ascii="Garamond" w:hAnsi="Garamond"/>
          <w:sz w:val="22"/>
          <w:szCs w:val="22"/>
        </w:rPr>
        <w:t xml:space="preserve"> competition in the markets and, consequently, structural adjustment to </w:t>
      </w:r>
      <w:r w:rsidR="00F27FE1">
        <w:rPr>
          <w:rFonts w:ascii="Garamond" w:hAnsi="Garamond"/>
          <w:sz w:val="22"/>
          <w:szCs w:val="22"/>
        </w:rPr>
        <w:t>markup prices</w:t>
      </w:r>
      <w:r w:rsidRPr="00B95881">
        <w:rPr>
          <w:rFonts w:ascii="Garamond" w:hAnsi="Garamond"/>
          <w:sz w:val="22"/>
          <w:szCs w:val="22"/>
        </w:rPr>
        <w:t>.</w:t>
      </w:r>
    </w:p>
    <w:p w14:paraId="3CBB7D6D" w14:textId="77777777" w:rsidR="0003340B" w:rsidRPr="00F27FE1" w:rsidRDefault="00F27FE1" w:rsidP="00F27FE1">
      <w:pPr>
        <w:pStyle w:val="ListParagraph"/>
        <w:numPr>
          <w:ilvl w:val="0"/>
          <w:numId w:val="7"/>
        </w:num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Risks to capital outflow from developing countries if developed countries attempt further tightening of their monetary policy conditions</w:t>
      </w:r>
      <w:r>
        <w:rPr>
          <w:rFonts w:ascii="Garamond" w:hAnsi="Garamond"/>
          <w:sz w:val="22"/>
          <w:szCs w:val="22"/>
        </w:rPr>
        <w:t>;</w:t>
      </w:r>
      <w:r w:rsidR="0003340B" w:rsidRPr="00F27FE1">
        <w:rPr>
          <w:rFonts w:ascii="Garamond" w:hAnsi="Garamond"/>
          <w:sz w:val="22"/>
          <w:szCs w:val="22"/>
        </w:rPr>
        <w:t xml:space="preserve"> </w:t>
      </w:r>
      <w:r>
        <w:rPr>
          <w:rFonts w:ascii="Garamond" w:hAnsi="Garamond"/>
          <w:sz w:val="22"/>
          <w:szCs w:val="22"/>
        </w:rPr>
        <w:t xml:space="preserve">this </w:t>
      </w:r>
      <w:r w:rsidR="0003340B" w:rsidRPr="00F27FE1">
        <w:rPr>
          <w:rFonts w:ascii="Garamond" w:hAnsi="Garamond"/>
          <w:sz w:val="22"/>
          <w:szCs w:val="22"/>
        </w:rPr>
        <w:t>will lead to raising the country</w:t>
      </w:r>
      <w:r w:rsidR="00C35186">
        <w:rPr>
          <w:rFonts w:ascii="Garamond" w:hAnsi="Garamond"/>
          <w:sz w:val="22"/>
          <w:szCs w:val="22"/>
        </w:rPr>
        <w:t>’</w:t>
      </w:r>
      <w:r w:rsidR="0003340B" w:rsidRPr="00F27FE1">
        <w:rPr>
          <w:rFonts w:ascii="Garamond" w:hAnsi="Garamond"/>
          <w:sz w:val="22"/>
          <w:szCs w:val="22"/>
        </w:rPr>
        <w:t>s risk premium and</w:t>
      </w:r>
      <w:r w:rsidR="00F516F0">
        <w:rPr>
          <w:rFonts w:ascii="Garamond" w:hAnsi="Garamond"/>
          <w:sz w:val="22"/>
          <w:szCs w:val="22"/>
        </w:rPr>
        <w:t xml:space="preserve"> may</w:t>
      </w:r>
      <w:r w:rsidR="0003340B" w:rsidRPr="00F27FE1">
        <w:rPr>
          <w:rFonts w:ascii="Garamond" w:hAnsi="Garamond"/>
          <w:sz w:val="22"/>
          <w:szCs w:val="22"/>
        </w:rPr>
        <w:t xml:space="preserve">, other </w:t>
      </w:r>
      <w:r w:rsidR="00C35186">
        <w:rPr>
          <w:rFonts w:ascii="Garamond" w:hAnsi="Garamond"/>
          <w:sz w:val="22"/>
          <w:szCs w:val="22"/>
        </w:rPr>
        <w:t>things equal</w:t>
      </w:r>
      <w:r w:rsidR="0003340B" w:rsidRPr="00F27FE1">
        <w:rPr>
          <w:rFonts w:ascii="Garamond" w:hAnsi="Garamond"/>
          <w:sz w:val="22"/>
          <w:szCs w:val="22"/>
        </w:rPr>
        <w:t xml:space="preserve">, </w:t>
      </w:r>
      <w:r w:rsidR="00F516F0">
        <w:rPr>
          <w:rFonts w:ascii="Garamond" w:hAnsi="Garamond"/>
          <w:sz w:val="22"/>
          <w:szCs w:val="22"/>
        </w:rPr>
        <w:t xml:space="preserve">create inflationary pressures through </w:t>
      </w:r>
      <w:r w:rsidR="0003340B" w:rsidRPr="00F27FE1">
        <w:rPr>
          <w:rFonts w:ascii="Garamond" w:hAnsi="Garamond"/>
          <w:sz w:val="22"/>
          <w:szCs w:val="22"/>
        </w:rPr>
        <w:t>exchange rate fluctuations.</w:t>
      </w:r>
    </w:p>
    <w:p w14:paraId="7FC79FED" w14:textId="77777777" w:rsidR="0003340B" w:rsidRPr="00240896" w:rsidRDefault="0003340B" w:rsidP="00240896">
      <w:pPr>
        <w:pStyle w:val="ListParagraph"/>
        <w:numPr>
          <w:ilvl w:val="0"/>
          <w:numId w:val="7"/>
        </w:numPr>
        <w:autoSpaceDE w:val="0"/>
        <w:autoSpaceDN w:val="0"/>
        <w:adjustRightInd w:val="0"/>
        <w:spacing w:after="120" w:line="360" w:lineRule="auto"/>
        <w:jc w:val="both"/>
        <w:rPr>
          <w:rFonts w:ascii="Garamond" w:hAnsi="Garamond"/>
          <w:sz w:val="22"/>
          <w:szCs w:val="22"/>
        </w:rPr>
      </w:pPr>
      <w:r w:rsidRPr="00240896">
        <w:rPr>
          <w:rFonts w:ascii="Garamond" w:hAnsi="Garamond"/>
          <w:sz w:val="22"/>
          <w:szCs w:val="22"/>
        </w:rPr>
        <w:t>Imp</w:t>
      </w:r>
      <w:r w:rsidR="00240896">
        <w:rPr>
          <w:rFonts w:ascii="Garamond" w:hAnsi="Garamond"/>
          <w:sz w:val="22"/>
          <w:szCs w:val="22"/>
        </w:rPr>
        <w:t xml:space="preserve">osing </w:t>
      </w:r>
      <w:r w:rsidR="00375570">
        <w:rPr>
          <w:rFonts w:ascii="Garamond" w:hAnsi="Garamond"/>
          <w:sz w:val="22"/>
          <w:szCs w:val="22"/>
        </w:rPr>
        <w:t xml:space="preserve">possibly </w:t>
      </w:r>
      <w:r w:rsidRPr="00240896">
        <w:rPr>
          <w:rFonts w:ascii="Garamond" w:hAnsi="Garamond"/>
          <w:sz w:val="22"/>
          <w:szCs w:val="22"/>
        </w:rPr>
        <w:t xml:space="preserve">new </w:t>
      </w:r>
      <w:r w:rsidR="00240896">
        <w:rPr>
          <w:rFonts w:ascii="Garamond" w:hAnsi="Garamond"/>
          <w:sz w:val="22"/>
          <w:szCs w:val="22"/>
        </w:rPr>
        <w:t>s</w:t>
      </w:r>
      <w:r w:rsidRPr="00240896">
        <w:rPr>
          <w:rFonts w:ascii="Garamond" w:hAnsi="Garamond"/>
          <w:sz w:val="22"/>
          <w:szCs w:val="22"/>
        </w:rPr>
        <w:t xml:space="preserve">anctions and trade restrictions </w:t>
      </w:r>
      <w:r w:rsidR="00240896">
        <w:rPr>
          <w:rFonts w:ascii="Garamond" w:hAnsi="Garamond"/>
          <w:sz w:val="22"/>
          <w:szCs w:val="22"/>
        </w:rPr>
        <w:t xml:space="preserve">by the USA </w:t>
      </w:r>
      <w:r w:rsidRPr="00240896">
        <w:rPr>
          <w:rFonts w:ascii="Garamond" w:hAnsi="Garamond"/>
          <w:sz w:val="22"/>
          <w:szCs w:val="22"/>
        </w:rPr>
        <w:t xml:space="preserve">on </w:t>
      </w:r>
      <w:r w:rsidR="00375570">
        <w:rPr>
          <w:rFonts w:ascii="Garamond" w:hAnsi="Garamond"/>
          <w:sz w:val="22"/>
          <w:szCs w:val="22"/>
        </w:rPr>
        <w:t xml:space="preserve">the regional partner countries, </w:t>
      </w:r>
      <w:r w:rsidRPr="00240896">
        <w:rPr>
          <w:rFonts w:ascii="Garamond" w:hAnsi="Garamond"/>
          <w:sz w:val="22"/>
          <w:szCs w:val="22"/>
        </w:rPr>
        <w:t xml:space="preserve">which may add </w:t>
      </w:r>
      <w:r w:rsidR="00375570">
        <w:rPr>
          <w:rFonts w:ascii="Garamond" w:hAnsi="Garamond"/>
          <w:sz w:val="22"/>
          <w:szCs w:val="22"/>
        </w:rPr>
        <w:t>to the</w:t>
      </w:r>
      <w:r w:rsidRPr="00240896">
        <w:rPr>
          <w:rFonts w:ascii="Garamond" w:hAnsi="Garamond"/>
          <w:sz w:val="22"/>
          <w:szCs w:val="22"/>
        </w:rPr>
        <w:t xml:space="preserve"> volatility </w:t>
      </w:r>
      <w:r w:rsidR="00375570">
        <w:rPr>
          <w:rFonts w:ascii="Garamond" w:hAnsi="Garamond"/>
          <w:sz w:val="22"/>
          <w:szCs w:val="22"/>
        </w:rPr>
        <w:t>in</w:t>
      </w:r>
      <w:r w:rsidRPr="00240896">
        <w:rPr>
          <w:rFonts w:ascii="Garamond" w:hAnsi="Garamond"/>
          <w:sz w:val="22"/>
          <w:szCs w:val="22"/>
        </w:rPr>
        <w:t xml:space="preserve"> currency markets in the region, particularly</w:t>
      </w:r>
      <w:r w:rsidR="00375570">
        <w:rPr>
          <w:rFonts w:ascii="Garamond" w:hAnsi="Garamond"/>
          <w:sz w:val="22"/>
          <w:szCs w:val="22"/>
        </w:rPr>
        <w:t>,</w:t>
      </w:r>
      <w:r w:rsidRPr="00240896">
        <w:rPr>
          <w:rFonts w:ascii="Garamond" w:hAnsi="Garamond"/>
          <w:sz w:val="22"/>
          <w:szCs w:val="22"/>
        </w:rPr>
        <w:t xml:space="preserve"> Russia</w:t>
      </w:r>
      <w:r w:rsidR="0029635E">
        <w:rPr>
          <w:rFonts w:ascii="Garamond" w:hAnsi="Garamond"/>
          <w:sz w:val="22"/>
          <w:szCs w:val="22"/>
        </w:rPr>
        <w:t>’s</w:t>
      </w:r>
      <w:r w:rsidRPr="00240896">
        <w:rPr>
          <w:rFonts w:ascii="Garamond" w:hAnsi="Garamond"/>
          <w:sz w:val="22"/>
          <w:szCs w:val="22"/>
        </w:rPr>
        <w:t>.</w:t>
      </w:r>
    </w:p>
    <w:p w14:paraId="284F456E" w14:textId="77777777" w:rsidR="0003340B" w:rsidRPr="0003340B" w:rsidRDefault="0077109B"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Overall, </w:t>
      </w:r>
      <w:r w:rsidRPr="00EE5F0F">
        <w:rPr>
          <w:rFonts w:ascii="Garamond" w:hAnsi="Garamond"/>
          <w:sz w:val="22"/>
          <w:szCs w:val="22"/>
        </w:rPr>
        <w:t xml:space="preserve">the risks to inflation </w:t>
      </w:r>
      <w:r w:rsidR="00AD732F">
        <w:rPr>
          <w:rFonts w:ascii="Garamond" w:hAnsi="Garamond"/>
          <w:sz w:val="22"/>
          <w:szCs w:val="22"/>
        </w:rPr>
        <w:t>i</w:t>
      </w:r>
      <w:r w:rsidR="00AD732F" w:rsidRPr="00EE5F0F">
        <w:rPr>
          <w:rFonts w:ascii="Garamond" w:hAnsi="Garamond"/>
          <w:sz w:val="22"/>
          <w:szCs w:val="22"/>
        </w:rPr>
        <w:t xml:space="preserve">n the medium run </w:t>
      </w:r>
      <w:r w:rsidRPr="00EE5F0F">
        <w:rPr>
          <w:rFonts w:ascii="Garamond" w:hAnsi="Garamond"/>
          <w:sz w:val="22"/>
          <w:szCs w:val="22"/>
        </w:rPr>
        <w:t xml:space="preserve">are assessed as balanced, </w:t>
      </w:r>
      <w:r w:rsidR="00AD732F">
        <w:rPr>
          <w:rFonts w:ascii="Garamond" w:hAnsi="Garamond"/>
          <w:sz w:val="22"/>
          <w:szCs w:val="22"/>
        </w:rPr>
        <w:t>and</w:t>
      </w:r>
      <w:r w:rsidRPr="00EE5F0F">
        <w:rPr>
          <w:rFonts w:ascii="Garamond" w:hAnsi="Garamond"/>
          <w:sz w:val="22"/>
          <w:szCs w:val="22"/>
        </w:rPr>
        <w:t xml:space="preserve"> the 12-month inflation rate is within the confidence band (see the Inflation Forecasts Probability Distribution Chart)</w:t>
      </w:r>
      <w:r w:rsidR="00AD732F">
        <w:rPr>
          <w:rFonts w:ascii="Garamond" w:hAnsi="Garamond"/>
          <w:sz w:val="22"/>
          <w:szCs w:val="22"/>
        </w:rPr>
        <w:t>.</w:t>
      </w:r>
    </w:p>
    <w:p w14:paraId="04274A08"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addition to the above inflation risks, there are </w:t>
      </w:r>
      <w:r w:rsidR="00AD732F">
        <w:rPr>
          <w:rFonts w:ascii="Garamond" w:hAnsi="Garamond"/>
          <w:sz w:val="22"/>
          <w:szCs w:val="22"/>
        </w:rPr>
        <w:t xml:space="preserve">some </w:t>
      </w:r>
      <w:r w:rsidRPr="0003340B">
        <w:rPr>
          <w:rFonts w:ascii="Garamond" w:hAnsi="Garamond"/>
          <w:sz w:val="22"/>
          <w:szCs w:val="22"/>
        </w:rPr>
        <w:t xml:space="preserve">mid-term risks </w:t>
      </w:r>
      <w:r w:rsidR="00AD732F">
        <w:rPr>
          <w:rFonts w:ascii="Garamond" w:hAnsi="Garamond"/>
          <w:sz w:val="22"/>
          <w:szCs w:val="22"/>
        </w:rPr>
        <w:t>to</w:t>
      </w:r>
      <w:r w:rsidRPr="0003340B">
        <w:rPr>
          <w:rFonts w:ascii="Garamond" w:hAnsi="Garamond"/>
          <w:sz w:val="22"/>
          <w:szCs w:val="22"/>
        </w:rPr>
        <w:t xml:space="preserve"> economic growth </w:t>
      </w:r>
      <w:r w:rsidR="00AD732F">
        <w:rPr>
          <w:rFonts w:ascii="Garamond" w:hAnsi="Garamond"/>
          <w:sz w:val="22"/>
          <w:szCs w:val="22"/>
        </w:rPr>
        <w:t xml:space="preserve">potential, which are dual-sided and </w:t>
      </w:r>
      <w:r w:rsidRPr="0003340B">
        <w:rPr>
          <w:rFonts w:ascii="Garamond" w:hAnsi="Garamond"/>
          <w:sz w:val="22"/>
          <w:szCs w:val="22"/>
        </w:rPr>
        <w:t xml:space="preserve">balanced. Risks, in particular, are </w:t>
      </w:r>
      <w:r w:rsidR="00E66AD8">
        <w:rPr>
          <w:rFonts w:ascii="Garamond" w:hAnsi="Garamond"/>
          <w:sz w:val="22"/>
          <w:szCs w:val="22"/>
        </w:rPr>
        <w:t>associated with</w:t>
      </w:r>
      <w:r w:rsidRPr="0003340B">
        <w:rPr>
          <w:rFonts w:ascii="Garamond" w:hAnsi="Garamond"/>
          <w:sz w:val="22"/>
          <w:szCs w:val="22"/>
        </w:rPr>
        <w:t>:</w:t>
      </w:r>
    </w:p>
    <w:p w14:paraId="724FC9CE" w14:textId="77777777" w:rsidR="0003340B" w:rsidRPr="00E66AD8"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lastRenderedPageBreak/>
        <w:t>Resolving the situation around the Amoulsar mine</w:t>
      </w:r>
      <w:r w:rsidR="00E66AD8">
        <w:rPr>
          <w:rStyle w:val="FootnoteReference"/>
          <w:rFonts w:ascii="Garamond" w:hAnsi="Garamond"/>
          <w:sz w:val="22"/>
          <w:szCs w:val="22"/>
        </w:rPr>
        <w:footnoteReference w:customMarkFollows="1" w:id="6"/>
        <w:t>7</w:t>
      </w:r>
      <w:r w:rsidRPr="00E66AD8">
        <w:rPr>
          <w:rFonts w:ascii="Garamond" w:hAnsi="Garamond"/>
          <w:sz w:val="22"/>
          <w:szCs w:val="22"/>
        </w:rPr>
        <w:t>.</w:t>
      </w:r>
    </w:p>
    <w:p w14:paraId="79FDC6D0" w14:textId="77777777" w:rsidR="0003340B" w:rsidRPr="00E66AD8"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 xml:space="preserve">In the context of long-term economic growth, the future course of structural reforms in the economy and </w:t>
      </w:r>
      <w:r w:rsidR="00164956">
        <w:rPr>
          <w:rFonts w:ascii="Garamond" w:hAnsi="Garamond"/>
          <w:sz w:val="22"/>
          <w:szCs w:val="22"/>
        </w:rPr>
        <w:t xml:space="preserve">to which extent </w:t>
      </w:r>
      <w:r w:rsidR="00164956" w:rsidRPr="00EE5F0F">
        <w:rPr>
          <w:rFonts w:ascii="Garamond" w:hAnsi="Garamond"/>
          <w:sz w:val="22"/>
          <w:szCs w:val="22"/>
        </w:rPr>
        <w:t>the</w:t>
      </w:r>
      <w:r w:rsidR="00164956">
        <w:rPr>
          <w:rFonts w:ascii="Garamond" w:hAnsi="Garamond"/>
          <w:sz w:val="22"/>
          <w:szCs w:val="22"/>
        </w:rPr>
        <w:t>y will affect the</w:t>
      </w:r>
      <w:r w:rsidRPr="00E66AD8">
        <w:rPr>
          <w:rFonts w:ascii="Garamond" w:hAnsi="Garamond"/>
          <w:sz w:val="22"/>
          <w:szCs w:val="22"/>
        </w:rPr>
        <w:t xml:space="preserve"> business environment and investment are important.</w:t>
      </w:r>
    </w:p>
    <w:p w14:paraId="17C117D2" w14:textId="77777777" w:rsidR="00565F75" w:rsidRDefault="00565F75" w:rsidP="00933B63">
      <w:pPr>
        <w:autoSpaceDE w:val="0"/>
        <w:autoSpaceDN w:val="0"/>
        <w:adjustRightInd w:val="0"/>
        <w:spacing w:after="120" w:line="360" w:lineRule="auto"/>
        <w:jc w:val="both"/>
        <w:rPr>
          <w:rFonts w:ascii="Garamond" w:hAnsi="Garamond"/>
          <w:b/>
          <w:color w:val="0070C0"/>
          <w:sz w:val="22"/>
          <w:szCs w:val="22"/>
        </w:rPr>
      </w:pPr>
    </w:p>
    <w:p w14:paraId="65BB894F"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A6694B">
        <w:rPr>
          <w:rFonts w:ascii="Garamond" w:hAnsi="Garamond"/>
          <w:b/>
          <w:color w:val="0070C0"/>
          <w:sz w:val="22"/>
          <w:szCs w:val="22"/>
        </w:rPr>
        <w:t>2</w:t>
      </w:r>
      <w:r w:rsidRPr="00EE5F0F">
        <w:rPr>
          <w:rFonts w:ascii="Garamond" w:hAnsi="Garamond"/>
          <w:b/>
          <w:color w:val="0070C0"/>
          <w:sz w:val="22"/>
          <w:szCs w:val="22"/>
        </w:rPr>
        <w:t>, 201</w:t>
      </w:r>
      <w:r w:rsidR="00872F1A" w:rsidRPr="00EE5F0F">
        <w:rPr>
          <w:rFonts w:ascii="Garamond" w:hAnsi="Garamond"/>
          <w:b/>
          <w:color w:val="0070C0"/>
          <w:sz w:val="22"/>
          <w:szCs w:val="22"/>
        </w:rPr>
        <w:t>8</w:t>
      </w:r>
    </w:p>
    <w:p w14:paraId="668F9A7A"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2E26210C"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07CEA453" w14:textId="77777777" w:rsidR="00146A2B" w:rsidRDefault="00A374BA" w:rsidP="00933B63">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For the previous</w:t>
      </w:r>
      <w:r w:rsidR="00530CFA" w:rsidRPr="00EE5F0F">
        <w:rPr>
          <w:rFonts w:ascii="Garamond" w:hAnsi="Garamond"/>
          <w:b/>
          <w:sz w:val="22"/>
          <w:szCs w:val="22"/>
        </w:rPr>
        <w:t xml:space="preserve"> one-year horizon, </w:t>
      </w:r>
      <w:r w:rsidR="00146A2B">
        <w:rPr>
          <w:rFonts w:ascii="Garamond" w:hAnsi="Garamond"/>
          <w:b/>
          <w:sz w:val="22"/>
          <w:szCs w:val="22"/>
        </w:rPr>
        <w:t>s</w:t>
      </w:r>
      <w:r w:rsidR="00A6694B">
        <w:rPr>
          <w:rFonts w:ascii="Garamond" w:hAnsi="Garamond"/>
          <w:b/>
          <w:sz w:val="22"/>
          <w:szCs w:val="22"/>
        </w:rPr>
        <w:t>pan</w:t>
      </w:r>
      <w:r w:rsidR="00146A2B">
        <w:rPr>
          <w:rFonts w:ascii="Garamond" w:hAnsi="Garamond"/>
          <w:b/>
          <w:sz w:val="22"/>
          <w:szCs w:val="22"/>
        </w:rPr>
        <w:t xml:space="preserve">ning </w:t>
      </w:r>
      <w:r w:rsidR="00957F0D" w:rsidRPr="00EE5F0F">
        <w:rPr>
          <w:rFonts w:ascii="Garamond" w:hAnsi="Garamond"/>
          <w:b/>
          <w:sz w:val="22"/>
          <w:szCs w:val="22"/>
        </w:rPr>
        <w:t xml:space="preserve">a period </w:t>
      </w:r>
      <w:r w:rsidR="000A5DFE" w:rsidRPr="00EE5F0F">
        <w:rPr>
          <w:rFonts w:ascii="Garamond" w:hAnsi="Garamond"/>
          <w:b/>
          <w:sz w:val="22"/>
          <w:szCs w:val="22"/>
        </w:rPr>
        <w:t xml:space="preserve">from </w:t>
      </w:r>
      <w:r w:rsidR="00A6694B">
        <w:rPr>
          <w:rFonts w:ascii="Garamond" w:hAnsi="Garamond"/>
          <w:b/>
          <w:sz w:val="22"/>
          <w:szCs w:val="22"/>
        </w:rPr>
        <w:t>Q3,</w:t>
      </w:r>
      <w:r w:rsidR="00957F0D" w:rsidRPr="00EE5F0F">
        <w:rPr>
          <w:rFonts w:ascii="Garamond" w:hAnsi="Garamond"/>
          <w:b/>
          <w:sz w:val="22"/>
          <w:szCs w:val="22"/>
        </w:rPr>
        <w:t xml:space="preserve"> </w:t>
      </w:r>
      <w:r w:rsidR="00872F1A" w:rsidRPr="00EE5F0F">
        <w:rPr>
          <w:rFonts w:ascii="Garamond" w:hAnsi="Garamond"/>
          <w:b/>
          <w:sz w:val="22"/>
          <w:szCs w:val="22"/>
        </w:rPr>
        <w:t xml:space="preserve">2017 to </w:t>
      </w:r>
      <w:r w:rsidR="00A6694B">
        <w:rPr>
          <w:rFonts w:ascii="Garamond" w:hAnsi="Garamond"/>
          <w:b/>
          <w:sz w:val="22"/>
          <w:szCs w:val="22"/>
        </w:rPr>
        <w:t xml:space="preserve">Q3, </w:t>
      </w:r>
      <w:r w:rsidR="000A5DFE" w:rsidRPr="00EE5F0F">
        <w:rPr>
          <w:rFonts w:ascii="Garamond" w:hAnsi="Garamond"/>
          <w:b/>
          <w:sz w:val="22"/>
          <w:szCs w:val="22"/>
        </w:rPr>
        <w:t>2018</w:t>
      </w:r>
      <w:r w:rsidR="00530CFA" w:rsidRPr="00EE5F0F">
        <w:rPr>
          <w:rFonts w:ascii="Garamond" w:hAnsi="Garamond"/>
          <w:b/>
          <w:sz w:val="22"/>
          <w:szCs w:val="22"/>
        </w:rPr>
        <w:t xml:space="preserve">, </w:t>
      </w:r>
      <w:r w:rsidR="00A6694B">
        <w:rPr>
          <w:rFonts w:ascii="Garamond" w:hAnsi="Garamond"/>
          <w:sz w:val="22"/>
          <w:szCs w:val="22"/>
        </w:rPr>
        <w:t xml:space="preserve">the </w:t>
      </w:r>
      <w:r w:rsidR="00146A2B" w:rsidRPr="00EE5F0F">
        <w:rPr>
          <w:rFonts w:ascii="Garamond" w:hAnsi="Garamond"/>
          <w:sz w:val="22"/>
          <w:szCs w:val="22"/>
        </w:rPr>
        <w:t xml:space="preserve">inflation environment would </w:t>
      </w:r>
      <w:r w:rsidR="00146A2B">
        <w:rPr>
          <w:rFonts w:ascii="Garamond" w:hAnsi="Garamond"/>
          <w:sz w:val="22"/>
          <w:szCs w:val="22"/>
        </w:rPr>
        <w:t>further be expanding in</w:t>
      </w:r>
      <w:r w:rsidR="00146A2B" w:rsidRPr="00EE5F0F">
        <w:rPr>
          <w:rFonts w:ascii="Garamond" w:hAnsi="Garamond"/>
          <w:sz w:val="22"/>
          <w:szCs w:val="22"/>
        </w:rPr>
        <w:t xml:space="preserve"> line with anticipated macroeconomic developments</w:t>
      </w:r>
      <w:r w:rsidR="00146A2B">
        <w:rPr>
          <w:rFonts w:ascii="Garamond" w:hAnsi="Garamond"/>
          <w:sz w:val="22"/>
          <w:szCs w:val="22"/>
        </w:rPr>
        <w:t xml:space="preserve"> and the 12-month inflation rate fluctuating within the confidence band later the year, according to Q3, 2017 </w:t>
      </w:r>
      <w:r w:rsidR="00957F0D" w:rsidRPr="00EE5F0F">
        <w:rPr>
          <w:rFonts w:ascii="Garamond" w:hAnsi="Garamond"/>
          <w:sz w:val="22"/>
          <w:szCs w:val="22"/>
        </w:rPr>
        <w:t xml:space="preserve">Monetary Policy Program. </w:t>
      </w:r>
      <w:r w:rsidR="00A22A52">
        <w:rPr>
          <w:rFonts w:ascii="Garamond" w:hAnsi="Garamond"/>
          <w:sz w:val="22"/>
          <w:szCs w:val="22"/>
        </w:rPr>
        <w:t xml:space="preserve">The inflation would have to recover </w:t>
      </w:r>
      <w:r w:rsidR="00AB546C">
        <w:rPr>
          <w:rFonts w:ascii="Garamond" w:hAnsi="Garamond"/>
          <w:sz w:val="22"/>
          <w:szCs w:val="22"/>
        </w:rPr>
        <w:t xml:space="preserve">amid expectation </w:t>
      </w:r>
      <w:r w:rsidR="00A22A52">
        <w:rPr>
          <w:rFonts w:ascii="Garamond" w:hAnsi="Garamond"/>
          <w:sz w:val="22"/>
          <w:szCs w:val="22"/>
        </w:rPr>
        <w:t>of p</w:t>
      </w:r>
      <w:r w:rsidR="00146A2B" w:rsidRPr="00146A2B">
        <w:rPr>
          <w:rFonts w:ascii="Garamond" w:hAnsi="Garamond"/>
          <w:sz w:val="22"/>
          <w:szCs w:val="22"/>
        </w:rPr>
        <w:t xml:space="preserve">ositive developments </w:t>
      </w:r>
      <w:r w:rsidR="00A22A52">
        <w:rPr>
          <w:rFonts w:ascii="Garamond" w:hAnsi="Garamond"/>
          <w:sz w:val="22"/>
          <w:szCs w:val="22"/>
        </w:rPr>
        <w:t xml:space="preserve">in the </w:t>
      </w:r>
      <w:r w:rsidR="00A22A52" w:rsidRPr="00146A2B">
        <w:rPr>
          <w:rFonts w:ascii="Garamond" w:hAnsi="Garamond"/>
          <w:sz w:val="22"/>
          <w:szCs w:val="22"/>
        </w:rPr>
        <w:t>macroeconomic environment</w:t>
      </w:r>
      <w:r w:rsidR="00A22A52">
        <w:rPr>
          <w:rFonts w:ascii="Garamond" w:hAnsi="Garamond"/>
          <w:sz w:val="22"/>
          <w:szCs w:val="22"/>
        </w:rPr>
        <w:t xml:space="preserve"> </w:t>
      </w:r>
      <w:r w:rsidR="00146A2B" w:rsidRPr="00146A2B">
        <w:rPr>
          <w:rFonts w:ascii="Garamond" w:hAnsi="Garamond"/>
          <w:sz w:val="22"/>
          <w:szCs w:val="22"/>
        </w:rPr>
        <w:t xml:space="preserve">in </w:t>
      </w:r>
      <w:r w:rsidR="00A22A52">
        <w:rPr>
          <w:rFonts w:ascii="Garamond" w:hAnsi="Garamond"/>
          <w:sz w:val="22"/>
          <w:szCs w:val="22"/>
        </w:rPr>
        <w:t xml:space="preserve">the </w:t>
      </w:r>
      <w:r w:rsidR="00146A2B" w:rsidRPr="00146A2B">
        <w:rPr>
          <w:rFonts w:ascii="Garamond" w:hAnsi="Garamond"/>
          <w:sz w:val="22"/>
          <w:szCs w:val="22"/>
        </w:rPr>
        <w:t>short</w:t>
      </w:r>
      <w:r w:rsidR="00A22A52">
        <w:rPr>
          <w:rFonts w:ascii="Garamond" w:hAnsi="Garamond"/>
          <w:sz w:val="22"/>
          <w:szCs w:val="22"/>
        </w:rPr>
        <w:t xml:space="preserve"> run thanks to </w:t>
      </w:r>
      <w:r w:rsidR="00146A2B" w:rsidRPr="00146A2B">
        <w:rPr>
          <w:rFonts w:ascii="Garamond" w:hAnsi="Garamond"/>
          <w:sz w:val="22"/>
          <w:szCs w:val="22"/>
        </w:rPr>
        <w:t xml:space="preserve">relatively </w:t>
      </w:r>
      <w:r w:rsidR="00A22A52">
        <w:rPr>
          <w:rFonts w:ascii="Garamond" w:hAnsi="Garamond"/>
          <w:sz w:val="22"/>
          <w:szCs w:val="22"/>
        </w:rPr>
        <w:t xml:space="preserve">high </w:t>
      </w:r>
      <w:r w:rsidR="00146A2B" w:rsidRPr="00146A2B">
        <w:rPr>
          <w:rFonts w:ascii="Garamond" w:hAnsi="Garamond"/>
          <w:sz w:val="22"/>
          <w:szCs w:val="22"/>
        </w:rPr>
        <w:t xml:space="preserve">activity </w:t>
      </w:r>
      <w:r w:rsidR="00A22A52">
        <w:rPr>
          <w:rFonts w:ascii="Garamond" w:hAnsi="Garamond"/>
          <w:sz w:val="22"/>
          <w:szCs w:val="22"/>
        </w:rPr>
        <w:t xml:space="preserve">observable </w:t>
      </w:r>
      <w:r w:rsidR="00146A2B" w:rsidRPr="00146A2B">
        <w:rPr>
          <w:rFonts w:ascii="Garamond" w:hAnsi="Garamond"/>
          <w:sz w:val="22"/>
          <w:szCs w:val="22"/>
        </w:rPr>
        <w:t xml:space="preserve">in </w:t>
      </w:r>
      <w:r w:rsidR="00A22A52">
        <w:rPr>
          <w:rFonts w:ascii="Garamond" w:hAnsi="Garamond"/>
          <w:sz w:val="22"/>
          <w:szCs w:val="22"/>
        </w:rPr>
        <w:t xml:space="preserve">external </w:t>
      </w:r>
      <w:r w:rsidR="00146A2B" w:rsidRPr="00146A2B">
        <w:rPr>
          <w:rFonts w:ascii="Garamond" w:hAnsi="Garamond"/>
          <w:sz w:val="22"/>
          <w:szCs w:val="22"/>
        </w:rPr>
        <w:t xml:space="preserve">and </w:t>
      </w:r>
      <w:r w:rsidR="00A22A52">
        <w:rPr>
          <w:rFonts w:ascii="Garamond" w:hAnsi="Garamond"/>
          <w:sz w:val="22"/>
          <w:szCs w:val="22"/>
        </w:rPr>
        <w:t xml:space="preserve">domestic </w:t>
      </w:r>
      <w:r w:rsidR="00146A2B" w:rsidRPr="00146A2B">
        <w:rPr>
          <w:rFonts w:ascii="Garamond" w:hAnsi="Garamond"/>
          <w:sz w:val="22"/>
          <w:szCs w:val="22"/>
        </w:rPr>
        <w:t>economies</w:t>
      </w:r>
      <w:r w:rsidR="00A22A52">
        <w:rPr>
          <w:rFonts w:ascii="Garamond" w:hAnsi="Garamond"/>
          <w:sz w:val="22"/>
          <w:szCs w:val="22"/>
        </w:rPr>
        <w:t xml:space="preserve"> at the start of the year and the expansionary </w:t>
      </w:r>
      <w:r w:rsidR="00A22A52" w:rsidRPr="00146A2B">
        <w:rPr>
          <w:rFonts w:ascii="Garamond" w:hAnsi="Garamond"/>
          <w:sz w:val="22"/>
          <w:szCs w:val="22"/>
        </w:rPr>
        <w:t>monetary policy</w:t>
      </w:r>
      <w:r w:rsidR="00A22A52">
        <w:rPr>
          <w:rFonts w:ascii="Garamond" w:hAnsi="Garamond"/>
          <w:sz w:val="22"/>
          <w:szCs w:val="22"/>
        </w:rPr>
        <w:t xml:space="preserve">’s lingered </w:t>
      </w:r>
      <w:r w:rsidR="00A22A52" w:rsidRPr="00146A2B">
        <w:rPr>
          <w:rFonts w:ascii="Garamond" w:hAnsi="Garamond"/>
          <w:sz w:val="22"/>
          <w:szCs w:val="22"/>
        </w:rPr>
        <w:t>impact o</w:t>
      </w:r>
      <w:r w:rsidR="00A22A52">
        <w:rPr>
          <w:rFonts w:ascii="Garamond" w:hAnsi="Garamond"/>
          <w:sz w:val="22"/>
          <w:szCs w:val="22"/>
        </w:rPr>
        <w:t xml:space="preserve">n </w:t>
      </w:r>
      <w:r w:rsidR="00A22A52" w:rsidRPr="00146A2B">
        <w:rPr>
          <w:rFonts w:ascii="Garamond" w:hAnsi="Garamond"/>
          <w:sz w:val="22"/>
          <w:szCs w:val="22"/>
        </w:rPr>
        <w:t>inflation</w:t>
      </w:r>
      <w:r w:rsidR="00146A2B" w:rsidRPr="00146A2B">
        <w:rPr>
          <w:rFonts w:ascii="Garamond" w:hAnsi="Garamond"/>
          <w:sz w:val="22"/>
          <w:szCs w:val="22"/>
        </w:rPr>
        <w:t>.</w:t>
      </w:r>
      <w:r w:rsidR="00CE3D9C">
        <w:rPr>
          <w:rFonts w:ascii="Garamond" w:hAnsi="Garamond"/>
          <w:sz w:val="22"/>
          <w:szCs w:val="22"/>
        </w:rPr>
        <w:t xml:space="preserve"> With</w:t>
      </w:r>
      <w:r w:rsidR="00CE3D9C" w:rsidRPr="00CE3D9C">
        <w:rPr>
          <w:rFonts w:ascii="Garamond" w:hAnsi="Garamond"/>
          <w:sz w:val="22"/>
          <w:szCs w:val="22"/>
        </w:rPr>
        <w:t xml:space="preserve"> </w:t>
      </w:r>
      <w:r w:rsidR="00CE3D9C">
        <w:rPr>
          <w:rFonts w:ascii="Garamond" w:hAnsi="Garamond"/>
          <w:sz w:val="22"/>
          <w:szCs w:val="22"/>
        </w:rPr>
        <w:t>such</w:t>
      </w:r>
      <w:r w:rsidR="00CE3D9C" w:rsidRPr="00CE3D9C">
        <w:rPr>
          <w:rFonts w:ascii="Garamond" w:hAnsi="Garamond"/>
          <w:sz w:val="22"/>
          <w:szCs w:val="22"/>
        </w:rPr>
        <w:t xml:space="preserve"> </w:t>
      </w:r>
      <w:r w:rsidR="00CE3D9C">
        <w:rPr>
          <w:rFonts w:ascii="Garamond" w:hAnsi="Garamond"/>
          <w:sz w:val="22"/>
          <w:szCs w:val="22"/>
        </w:rPr>
        <w:t xml:space="preserve">a </w:t>
      </w:r>
      <w:r w:rsidR="00CE3D9C" w:rsidRPr="00CE3D9C">
        <w:rPr>
          <w:rFonts w:ascii="Garamond" w:hAnsi="Garamond"/>
          <w:sz w:val="22"/>
          <w:szCs w:val="22"/>
        </w:rPr>
        <w:t xml:space="preserve">macroeconomic </w:t>
      </w:r>
      <w:r w:rsidR="00CE3D9C">
        <w:rPr>
          <w:rFonts w:ascii="Garamond" w:hAnsi="Garamond"/>
          <w:sz w:val="22"/>
          <w:szCs w:val="22"/>
        </w:rPr>
        <w:t xml:space="preserve">environment </w:t>
      </w:r>
      <w:r w:rsidR="00CE3D9C" w:rsidRPr="00CE3D9C">
        <w:rPr>
          <w:rFonts w:ascii="Garamond" w:hAnsi="Garamond"/>
          <w:sz w:val="22"/>
          <w:szCs w:val="22"/>
        </w:rPr>
        <w:t xml:space="preserve">and </w:t>
      </w:r>
      <w:r w:rsidR="00553CF2">
        <w:rPr>
          <w:rFonts w:ascii="Garamond" w:hAnsi="Garamond"/>
          <w:sz w:val="22"/>
          <w:szCs w:val="22"/>
        </w:rPr>
        <w:t>given that the</w:t>
      </w:r>
      <w:r w:rsidR="00CE3D9C">
        <w:rPr>
          <w:rFonts w:ascii="Garamond" w:hAnsi="Garamond"/>
          <w:sz w:val="22"/>
          <w:szCs w:val="22"/>
        </w:rPr>
        <w:t xml:space="preserve"> </w:t>
      </w:r>
      <w:r w:rsidR="00CE3D9C" w:rsidRPr="00CE3D9C">
        <w:rPr>
          <w:rFonts w:ascii="Garamond" w:hAnsi="Garamond"/>
          <w:sz w:val="22"/>
          <w:szCs w:val="22"/>
        </w:rPr>
        <w:t>developments</w:t>
      </w:r>
      <w:r w:rsidR="00CE3D9C">
        <w:rPr>
          <w:rFonts w:ascii="Garamond" w:hAnsi="Garamond"/>
          <w:sz w:val="22"/>
          <w:szCs w:val="22"/>
        </w:rPr>
        <w:t xml:space="preserve"> would unfold</w:t>
      </w:r>
      <w:r w:rsidR="00553CF2">
        <w:rPr>
          <w:rFonts w:ascii="Garamond" w:hAnsi="Garamond"/>
          <w:sz w:val="22"/>
          <w:szCs w:val="22"/>
        </w:rPr>
        <w:t xml:space="preserve"> as predicted</w:t>
      </w:r>
      <w:r w:rsidR="00CE3D9C" w:rsidRPr="00CE3D9C">
        <w:rPr>
          <w:rFonts w:ascii="Garamond" w:hAnsi="Garamond"/>
          <w:sz w:val="22"/>
          <w:szCs w:val="22"/>
        </w:rPr>
        <w:t xml:space="preserve">, </w:t>
      </w:r>
      <w:r w:rsidR="00CE3D9C">
        <w:rPr>
          <w:rFonts w:ascii="Garamond" w:hAnsi="Garamond"/>
          <w:sz w:val="22"/>
          <w:szCs w:val="22"/>
        </w:rPr>
        <w:t xml:space="preserve">the </w:t>
      </w:r>
      <w:r w:rsidR="00CE3D9C" w:rsidRPr="00CE3D9C">
        <w:rPr>
          <w:rFonts w:ascii="Garamond" w:hAnsi="Garamond"/>
          <w:sz w:val="22"/>
          <w:szCs w:val="22"/>
        </w:rPr>
        <w:t>monetary conditions w</w:t>
      </w:r>
      <w:r w:rsidR="00CE3D9C">
        <w:rPr>
          <w:rFonts w:ascii="Garamond" w:hAnsi="Garamond"/>
          <w:sz w:val="22"/>
          <w:szCs w:val="22"/>
        </w:rPr>
        <w:t xml:space="preserve">ould have to remain expansionary </w:t>
      </w:r>
      <w:r w:rsidR="00CE3D9C" w:rsidRPr="00CE3D9C">
        <w:rPr>
          <w:rFonts w:ascii="Garamond" w:hAnsi="Garamond"/>
          <w:sz w:val="22"/>
          <w:szCs w:val="22"/>
        </w:rPr>
        <w:t xml:space="preserve">in the </w:t>
      </w:r>
      <w:r w:rsidR="00F621B9">
        <w:rPr>
          <w:rFonts w:ascii="Garamond" w:hAnsi="Garamond"/>
          <w:sz w:val="22"/>
          <w:szCs w:val="22"/>
        </w:rPr>
        <w:t xml:space="preserve">near </w:t>
      </w:r>
      <w:r w:rsidR="00CE3D9C" w:rsidRPr="00CE3D9C">
        <w:rPr>
          <w:rFonts w:ascii="Garamond" w:hAnsi="Garamond"/>
          <w:sz w:val="22"/>
          <w:szCs w:val="22"/>
        </w:rPr>
        <w:t xml:space="preserve">future, </w:t>
      </w:r>
      <w:r w:rsidR="00F621B9">
        <w:rPr>
          <w:rFonts w:ascii="Garamond" w:hAnsi="Garamond"/>
          <w:sz w:val="22"/>
          <w:szCs w:val="22"/>
        </w:rPr>
        <w:t>facilitati</w:t>
      </w:r>
      <w:r w:rsidR="00553CF2">
        <w:rPr>
          <w:rFonts w:ascii="Garamond" w:hAnsi="Garamond"/>
          <w:sz w:val="22"/>
          <w:szCs w:val="22"/>
        </w:rPr>
        <w:t xml:space="preserve">ng </w:t>
      </w:r>
      <w:r w:rsidR="00F621B9">
        <w:rPr>
          <w:rFonts w:ascii="Garamond" w:hAnsi="Garamond"/>
          <w:sz w:val="22"/>
          <w:szCs w:val="22"/>
        </w:rPr>
        <w:t>the inflation to s</w:t>
      </w:r>
      <w:r w:rsidR="00CE3D9C" w:rsidRPr="00CE3D9C">
        <w:rPr>
          <w:rFonts w:ascii="Garamond" w:hAnsi="Garamond"/>
          <w:sz w:val="22"/>
          <w:szCs w:val="22"/>
        </w:rPr>
        <w:t>tabiliz</w:t>
      </w:r>
      <w:r w:rsidR="00F621B9">
        <w:rPr>
          <w:rFonts w:ascii="Garamond" w:hAnsi="Garamond"/>
          <w:sz w:val="22"/>
          <w:szCs w:val="22"/>
        </w:rPr>
        <w:t xml:space="preserve">e around the </w:t>
      </w:r>
      <w:r w:rsidR="00CE3D9C" w:rsidRPr="00CE3D9C">
        <w:rPr>
          <w:rFonts w:ascii="Garamond" w:hAnsi="Garamond"/>
          <w:sz w:val="22"/>
          <w:szCs w:val="22"/>
        </w:rPr>
        <w:t xml:space="preserve">target </w:t>
      </w:r>
      <w:r w:rsidR="00F621B9">
        <w:rPr>
          <w:rFonts w:ascii="Garamond" w:hAnsi="Garamond"/>
          <w:sz w:val="22"/>
          <w:szCs w:val="22"/>
        </w:rPr>
        <w:t>i</w:t>
      </w:r>
      <w:r w:rsidR="00CE3D9C" w:rsidRPr="00CE3D9C">
        <w:rPr>
          <w:rFonts w:ascii="Garamond" w:hAnsi="Garamond"/>
          <w:sz w:val="22"/>
          <w:szCs w:val="22"/>
        </w:rPr>
        <w:t>n the forecast horizon.</w:t>
      </w:r>
    </w:p>
    <w:p w14:paraId="1D82CB43" w14:textId="77777777" w:rsidR="00063CF8" w:rsidRDefault="003B4967"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Expected expanding of the inflation environment in the second half of 2017 </w:t>
      </w:r>
      <w:r w:rsidRPr="003B4967">
        <w:rPr>
          <w:rFonts w:ascii="Garamond" w:hAnsi="Garamond"/>
          <w:sz w:val="22"/>
          <w:szCs w:val="22"/>
        </w:rPr>
        <w:t>has s</w:t>
      </w:r>
      <w:r>
        <w:rPr>
          <w:rFonts w:ascii="Garamond" w:hAnsi="Garamond"/>
          <w:sz w:val="22"/>
          <w:szCs w:val="22"/>
        </w:rPr>
        <w:t>omehow deviated</w:t>
      </w:r>
      <w:r w:rsidRPr="003B4967">
        <w:rPr>
          <w:rFonts w:ascii="Garamond" w:hAnsi="Garamond"/>
          <w:sz w:val="22"/>
          <w:szCs w:val="22"/>
        </w:rPr>
        <w:t xml:space="preserve"> from the baseline scenario, as the 12-month growth rates </w:t>
      </w:r>
      <w:r w:rsidR="00C071B8">
        <w:rPr>
          <w:rFonts w:ascii="Garamond" w:hAnsi="Garamond"/>
          <w:sz w:val="22"/>
          <w:szCs w:val="22"/>
        </w:rPr>
        <w:t xml:space="preserve">in </w:t>
      </w:r>
      <w:r w:rsidRPr="003B4967">
        <w:rPr>
          <w:rFonts w:ascii="Garamond" w:hAnsi="Garamond"/>
          <w:sz w:val="22"/>
          <w:szCs w:val="22"/>
        </w:rPr>
        <w:t>seasonal agricultural product</w:t>
      </w:r>
      <w:r w:rsidR="00C071B8">
        <w:rPr>
          <w:rFonts w:ascii="Garamond" w:hAnsi="Garamond"/>
          <w:sz w:val="22"/>
          <w:szCs w:val="22"/>
        </w:rPr>
        <w:t xml:space="preserve"> prices </w:t>
      </w:r>
      <w:r w:rsidRPr="003B4967">
        <w:rPr>
          <w:rFonts w:ascii="Garamond" w:hAnsi="Garamond"/>
          <w:sz w:val="22"/>
          <w:szCs w:val="22"/>
        </w:rPr>
        <w:t xml:space="preserve">slowed down in the third quarter, </w:t>
      </w:r>
      <w:r w:rsidR="00C071B8">
        <w:rPr>
          <w:rFonts w:ascii="Garamond" w:hAnsi="Garamond"/>
          <w:sz w:val="22"/>
          <w:szCs w:val="22"/>
        </w:rPr>
        <w:t xml:space="preserve">leaving the growth </w:t>
      </w:r>
      <w:r w:rsidRPr="003B4967">
        <w:rPr>
          <w:rFonts w:ascii="Garamond" w:hAnsi="Garamond"/>
          <w:sz w:val="22"/>
          <w:szCs w:val="22"/>
        </w:rPr>
        <w:t>almost unchanged over the quarter</w:t>
      </w:r>
      <w:r w:rsidR="00C071B8">
        <w:rPr>
          <w:rFonts w:ascii="Garamond" w:hAnsi="Garamond"/>
          <w:sz w:val="22"/>
          <w:szCs w:val="22"/>
        </w:rPr>
        <w:t xml:space="preserve">, </w:t>
      </w:r>
      <w:r w:rsidRPr="003B4967">
        <w:rPr>
          <w:rFonts w:ascii="Garamond" w:hAnsi="Garamond"/>
          <w:sz w:val="22"/>
          <w:szCs w:val="22"/>
        </w:rPr>
        <w:t>fluctuat</w:t>
      </w:r>
      <w:r w:rsidR="00C071B8">
        <w:rPr>
          <w:rFonts w:ascii="Garamond" w:hAnsi="Garamond"/>
          <w:sz w:val="22"/>
          <w:szCs w:val="22"/>
        </w:rPr>
        <w:t>ing</w:t>
      </w:r>
      <w:r w:rsidRPr="003B4967">
        <w:rPr>
          <w:rFonts w:ascii="Garamond" w:hAnsi="Garamond"/>
          <w:sz w:val="22"/>
          <w:szCs w:val="22"/>
        </w:rPr>
        <w:t xml:space="preserve"> </w:t>
      </w:r>
      <w:r w:rsidR="00C071B8">
        <w:rPr>
          <w:rFonts w:ascii="Garamond" w:hAnsi="Garamond"/>
          <w:sz w:val="22"/>
          <w:szCs w:val="22"/>
        </w:rPr>
        <w:t>within</w:t>
      </w:r>
      <w:r w:rsidRPr="003B4967">
        <w:rPr>
          <w:rFonts w:ascii="Garamond" w:hAnsi="Garamond"/>
          <w:sz w:val="22"/>
          <w:szCs w:val="22"/>
        </w:rPr>
        <w:t xml:space="preserve"> 1.0% on average.</w:t>
      </w:r>
      <w:r>
        <w:rPr>
          <w:rFonts w:ascii="Garamond" w:hAnsi="Garamond"/>
          <w:sz w:val="22"/>
          <w:szCs w:val="22"/>
        </w:rPr>
        <w:t xml:space="preserve"> </w:t>
      </w:r>
      <w:r w:rsidR="00063CF8">
        <w:rPr>
          <w:rFonts w:ascii="Garamond" w:hAnsi="Garamond"/>
          <w:sz w:val="22"/>
          <w:szCs w:val="22"/>
        </w:rPr>
        <w:t xml:space="preserve">Moreover, the </w:t>
      </w:r>
      <w:r w:rsidR="00063CF8" w:rsidRPr="00C071B8">
        <w:rPr>
          <w:rFonts w:ascii="Garamond" w:hAnsi="Garamond"/>
          <w:sz w:val="22"/>
          <w:szCs w:val="22"/>
        </w:rPr>
        <w:t xml:space="preserve">prices for these products </w:t>
      </w:r>
      <w:r w:rsidR="00063CF8">
        <w:rPr>
          <w:rFonts w:ascii="Garamond" w:hAnsi="Garamond"/>
          <w:sz w:val="22"/>
          <w:szCs w:val="22"/>
        </w:rPr>
        <w:t xml:space="preserve">were expected to grow faster and </w:t>
      </w:r>
      <w:r w:rsidR="00063CF8" w:rsidRPr="00C071B8">
        <w:rPr>
          <w:rFonts w:ascii="Garamond" w:hAnsi="Garamond"/>
          <w:sz w:val="22"/>
          <w:szCs w:val="22"/>
        </w:rPr>
        <w:t>certain inflation risks</w:t>
      </w:r>
      <w:r w:rsidR="00063CF8">
        <w:rPr>
          <w:rFonts w:ascii="Garamond" w:hAnsi="Garamond"/>
          <w:sz w:val="22"/>
          <w:szCs w:val="22"/>
        </w:rPr>
        <w:t xml:space="preserve"> to accumulate b</w:t>
      </w:r>
      <w:r w:rsidR="00C071B8" w:rsidRPr="00C071B8">
        <w:rPr>
          <w:rFonts w:ascii="Garamond" w:hAnsi="Garamond"/>
          <w:sz w:val="22"/>
          <w:szCs w:val="22"/>
        </w:rPr>
        <w:t>y the end of the year</w:t>
      </w:r>
      <w:r w:rsidR="00063CF8">
        <w:rPr>
          <w:rFonts w:ascii="Garamond" w:hAnsi="Garamond"/>
          <w:sz w:val="22"/>
          <w:szCs w:val="22"/>
        </w:rPr>
        <w:t xml:space="preserve">. </w:t>
      </w:r>
      <w:r w:rsidR="00C071B8" w:rsidRPr="00C071B8">
        <w:rPr>
          <w:rFonts w:ascii="Garamond" w:hAnsi="Garamond"/>
          <w:sz w:val="22"/>
          <w:szCs w:val="22"/>
        </w:rPr>
        <w:t>The anticipated acceleration of inflation ma</w:t>
      </w:r>
      <w:r w:rsidR="000C4B46">
        <w:rPr>
          <w:rFonts w:ascii="Garamond" w:hAnsi="Garamond"/>
          <w:sz w:val="22"/>
          <w:szCs w:val="22"/>
        </w:rPr>
        <w:t xml:space="preserve">terialized </w:t>
      </w:r>
      <w:r w:rsidR="00C071B8" w:rsidRPr="00C071B8">
        <w:rPr>
          <w:rFonts w:ascii="Garamond" w:hAnsi="Garamond"/>
          <w:sz w:val="22"/>
          <w:szCs w:val="22"/>
        </w:rPr>
        <w:t xml:space="preserve">in the fourth quarter, when </w:t>
      </w:r>
      <w:r w:rsidR="000C4B46">
        <w:rPr>
          <w:rFonts w:ascii="Garamond" w:hAnsi="Garamond"/>
          <w:sz w:val="22"/>
          <w:szCs w:val="22"/>
        </w:rPr>
        <w:t xml:space="preserve">headline </w:t>
      </w:r>
      <w:r w:rsidR="00C071B8" w:rsidRPr="00C071B8">
        <w:rPr>
          <w:rFonts w:ascii="Garamond" w:hAnsi="Garamond"/>
          <w:sz w:val="22"/>
          <w:szCs w:val="22"/>
        </w:rPr>
        <w:t xml:space="preserve">inflation increased </w:t>
      </w:r>
      <w:r w:rsidR="000C4B46">
        <w:rPr>
          <w:rFonts w:ascii="Garamond" w:hAnsi="Garamond"/>
          <w:sz w:val="22"/>
          <w:szCs w:val="22"/>
        </w:rPr>
        <w:t xml:space="preserve">notably to </w:t>
      </w:r>
      <w:r w:rsidR="00C071B8" w:rsidRPr="00C071B8">
        <w:rPr>
          <w:rFonts w:ascii="Garamond" w:hAnsi="Garamond"/>
          <w:sz w:val="22"/>
          <w:szCs w:val="22"/>
        </w:rPr>
        <w:t>2.6% at the end of the year.</w:t>
      </w:r>
    </w:p>
    <w:p w14:paraId="3DBC8B47" w14:textId="77777777" w:rsidR="009B0DA8" w:rsidRDefault="000C4B46" w:rsidP="00933B63">
      <w:pPr>
        <w:autoSpaceDE w:val="0"/>
        <w:autoSpaceDN w:val="0"/>
        <w:adjustRightInd w:val="0"/>
        <w:spacing w:after="120" w:line="360" w:lineRule="auto"/>
        <w:jc w:val="both"/>
        <w:rPr>
          <w:rFonts w:ascii="Garamond" w:hAnsi="Garamond"/>
          <w:sz w:val="22"/>
          <w:szCs w:val="22"/>
        </w:rPr>
      </w:pPr>
      <w:r w:rsidRPr="000C4B46">
        <w:rPr>
          <w:rFonts w:ascii="Garamond" w:hAnsi="Garamond"/>
          <w:sz w:val="22"/>
          <w:szCs w:val="22"/>
        </w:rPr>
        <w:t xml:space="preserve">In the second half of </w:t>
      </w:r>
      <w:r w:rsidR="00AA4C0E">
        <w:rPr>
          <w:rFonts w:ascii="Garamond" w:hAnsi="Garamond"/>
          <w:sz w:val="22"/>
          <w:szCs w:val="22"/>
        </w:rPr>
        <w:t>2017</w:t>
      </w:r>
      <w:r w:rsidRPr="000C4B46">
        <w:rPr>
          <w:rFonts w:ascii="Garamond" w:hAnsi="Garamond"/>
          <w:sz w:val="22"/>
          <w:szCs w:val="22"/>
        </w:rPr>
        <w:t xml:space="preserve">, </w:t>
      </w:r>
      <w:r w:rsidR="00AA4C0E">
        <w:rPr>
          <w:rFonts w:ascii="Garamond" w:hAnsi="Garamond"/>
          <w:sz w:val="22"/>
          <w:szCs w:val="22"/>
        </w:rPr>
        <w:t>core</w:t>
      </w:r>
      <w:r w:rsidRPr="000C4B46">
        <w:rPr>
          <w:rFonts w:ascii="Garamond" w:hAnsi="Garamond"/>
          <w:sz w:val="22"/>
          <w:szCs w:val="22"/>
        </w:rPr>
        <w:t xml:space="preserve"> inflation has </w:t>
      </w:r>
      <w:r w:rsidR="00AA4C0E">
        <w:rPr>
          <w:rFonts w:ascii="Garamond" w:hAnsi="Garamond"/>
          <w:sz w:val="22"/>
          <w:szCs w:val="22"/>
        </w:rPr>
        <w:t xml:space="preserve">grown at a faster rate relative to headline </w:t>
      </w:r>
      <w:r w:rsidRPr="000C4B46">
        <w:rPr>
          <w:rFonts w:ascii="Garamond" w:hAnsi="Garamond"/>
          <w:sz w:val="22"/>
          <w:szCs w:val="22"/>
        </w:rPr>
        <w:t xml:space="preserve">inflation, </w:t>
      </w:r>
      <w:r w:rsidR="00AA4C0E">
        <w:rPr>
          <w:rFonts w:ascii="Garamond" w:hAnsi="Garamond"/>
          <w:sz w:val="22"/>
          <w:szCs w:val="22"/>
        </w:rPr>
        <w:t xml:space="preserve">incurring the impact of implemented expansionary </w:t>
      </w:r>
      <w:r w:rsidRPr="000C4B46">
        <w:rPr>
          <w:rFonts w:ascii="Garamond" w:hAnsi="Garamond"/>
          <w:sz w:val="22"/>
          <w:szCs w:val="22"/>
        </w:rPr>
        <w:t>monetary policy</w:t>
      </w:r>
      <w:r w:rsidR="00AA4C0E">
        <w:rPr>
          <w:rFonts w:ascii="Garamond" w:hAnsi="Garamond"/>
          <w:sz w:val="22"/>
          <w:szCs w:val="22"/>
        </w:rPr>
        <w:t xml:space="preserve"> and </w:t>
      </w:r>
      <w:r w:rsidRPr="000C4B46">
        <w:rPr>
          <w:rFonts w:ascii="Garamond" w:hAnsi="Garamond"/>
          <w:sz w:val="22"/>
          <w:szCs w:val="22"/>
        </w:rPr>
        <w:t xml:space="preserve">of </w:t>
      </w:r>
      <w:r w:rsidR="00AA4C0E">
        <w:rPr>
          <w:rFonts w:ascii="Garamond" w:hAnsi="Garamond"/>
          <w:sz w:val="22"/>
          <w:szCs w:val="22"/>
        </w:rPr>
        <w:t xml:space="preserve">the </w:t>
      </w:r>
      <w:r w:rsidR="007937A5">
        <w:rPr>
          <w:rFonts w:ascii="Garamond" w:hAnsi="Garamond"/>
          <w:sz w:val="22"/>
          <w:szCs w:val="22"/>
        </w:rPr>
        <w:t>c</w:t>
      </w:r>
      <w:r w:rsidRPr="000C4B46">
        <w:rPr>
          <w:rFonts w:ascii="Garamond" w:hAnsi="Garamond"/>
          <w:sz w:val="22"/>
          <w:szCs w:val="22"/>
        </w:rPr>
        <w:t xml:space="preserve">hange in the customs </w:t>
      </w:r>
      <w:r w:rsidR="00AA4C0E">
        <w:rPr>
          <w:rFonts w:ascii="Garamond" w:hAnsi="Garamond"/>
          <w:sz w:val="22"/>
          <w:szCs w:val="22"/>
        </w:rPr>
        <w:t xml:space="preserve">and excise duties </w:t>
      </w:r>
      <w:r w:rsidR="007937A5">
        <w:rPr>
          <w:rFonts w:ascii="Garamond" w:hAnsi="Garamond"/>
          <w:sz w:val="22"/>
          <w:szCs w:val="22"/>
        </w:rPr>
        <w:t xml:space="preserve">that was expected in </w:t>
      </w:r>
      <w:r w:rsidR="00AA4C0E">
        <w:rPr>
          <w:rFonts w:ascii="Garamond" w:hAnsi="Garamond"/>
          <w:sz w:val="22"/>
          <w:szCs w:val="22"/>
        </w:rPr>
        <w:t>early 2018.</w:t>
      </w:r>
      <w:r w:rsidR="003132C8">
        <w:rPr>
          <w:rFonts w:ascii="Garamond" w:hAnsi="Garamond"/>
          <w:sz w:val="22"/>
          <w:szCs w:val="22"/>
        </w:rPr>
        <w:t xml:space="preserve"> </w:t>
      </w:r>
      <w:r w:rsidR="003132C8" w:rsidRPr="003132C8">
        <w:rPr>
          <w:rFonts w:ascii="Garamond" w:hAnsi="Garamond"/>
          <w:sz w:val="22"/>
          <w:szCs w:val="22"/>
        </w:rPr>
        <w:t xml:space="preserve">As a result, the 12-month </w:t>
      </w:r>
      <w:r w:rsidR="003132C8">
        <w:rPr>
          <w:rFonts w:ascii="Garamond" w:hAnsi="Garamond"/>
          <w:sz w:val="22"/>
          <w:szCs w:val="22"/>
        </w:rPr>
        <w:t xml:space="preserve">core inflation rate </w:t>
      </w:r>
      <w:r w:rsidR="003132C8" w:rsidRPr="003132C8">
        <w:rPr>
          <w:rFonts w:ascii="Garamond" w:hAnsi="Garamond"/>
          <w:sz w:val="22"/>
          <w:szCs w:val="22"/>
        </w:rPr>
        <w:t xml:space="preserve">has </w:t>
      </w:r>
      <w:r w:rsidR="003132C8">
        <w:rPr>
          <w:rFonts w:ascii="Garamond" w:hAnsi="Garamond"/>
          <w:sz w:val="22"/>
          <w:szCs w:val="22"/>
        </w:rPr>
        <w:t xml:space="preserve">expanded </w:t>
      </w:r>
      <w:r w:rsidR="003132C8" w:rsidRPr="003132C8">
        <w:rPr>
          <w:rFonts w:ascii="Garamond" w:hAnsi="Garamond"/>
          <w:sz w:val="22"/>
          <w:szCs w:val="22"/>
        </w:rPr>
        <w:t>by 3.4 p</w:t>
      </w:r>
      <w:r w:rsidR="003132C8">
        <w:rPr>
          <w:rFonts w:ascii="Garamond" w:hAnsi="Garamond"/>
          <w:sz w:val="22"/>
          <w:szCs w:val="22"/>
        </w:rPr>
        <w:t>p over the</w:t>
      </w:r>
      <w:r w:rsidR="005B5D67">
        <w:rPr>
          <w:rFonts w:ascii="Garamond" w:hAnsi="Garamond"/>
          <w:sz w:val="22"/>
          <w:szCs w:val="22"/>
        </w:rPr>
        <w:t xml:space="preserve"> half-year</w:t>
      </w:r>
      <w:r w:rsidR="003132C8" w:rsidRPr="003132C8">
        <w:rPr>
          <w:rFonts w:ascii="Garamond" w:hAnsi="Garamond"/>
          <w:sz w:val="22"/>
          <w:szCs w:val="22"/>
        </w:rPr>
        <w:t xml:space="preserve"> </w:t>
      </w:r>
      <w:r w:rsidR="005B5D67">
        <w:rPr>
          <w:rFonts w:ascii="Garamond" w:hAnsi="Garamond"/>
          <w:sz w:val="22"/>
          <w:szCs w:val="22"/>
        </w:rPr>
        <w:t xml:space="preserve">and amounted </w:t>
      </w:r>
      <w:r w:rsidR="003132C8" w:rsidRPr="003132C8">
        <w:rPr>
          <w:rFonts w:ascii="Garamond" w:hAnsi="Garamond"/>
          <w:sz w:val="22"/>
          <w:szCs w:val="22"/>
        </w:rPr>
        <w:t xml:space="preserve">to 3.7% </w:t>
      </w:r>
      <w:r w:rsidR="005B5D67">
        <w:rPr>
          <w:rFonts w:ascii="Garamond" w:hAnsi="Garamond"/>
          <w:sz w:val="22"/>
          <w:szCs w:val="22"/>
        </w:rPr>
        <w:t>at</w:t>
      </w:r>
      <w:r w:rsidR="003132C8" w:rsidRPr="003132C8">
        <w:rPr>
          <w:rFonts w:ascii="Garamond" w:hAnsi="Garamond"/>
          <w:sz w:val="22"/>
          <w:szCs w:val="22"/>
        </w:rPr>
        <w:t xml:space="preserve"> the end of December.</w:t>
      </w:r>
      <w:r w:rsidR="009B0DA8">
        <w:rPr>
          <w:rFonts w:ascii="Garamond" w:hAnsi="Garamond"/>
          <w:sz w:val="22"/>
          <w:szCs w:val="22"/>
        </w:rPr>
        <w:t xml:space="preserve"> </w:t>
      </w:r>
      <w:r w:rsidR="008F7DEB" w:rsidRPr="00EE5F0F">
        <w:rPr>
          <w:rFonts w:ascii="Garamond" w:hAnsi="Garamond"/>
          <w:sz w:val="22"/>
          <w:szCs w:val="22"/>
        </w:rPr>
        <w:t xml:space="preserve">At the same time, </w:t>
      </w:r>
      <w:r w:rsidR="009B0DA8">
        <w:rPr>
          <w:rFonts w:ascii="Garamond" w:hAnsi="Garamond"/>
          <w:sz w:val="22"/>
          <w:szCs w:val="22"/>
        </w:rPr>
        <w:t xml:space="preserve">additional </w:t>
      </w:r>
      <w:r w:rsidR="009B0DA8" w:rsidRPr="00EE5F0F">
        <w:rPr>
          <w:rFonts w:ascii="Garamond" w:hAnsi="Garamond"/>
          <w:sz w:val="22"/>
          <w:szCs w:val="22"/>
        </w:rPr>
        <w:t xml:space="preserve">inflation expectations that were growing even faster </w:t>
      </w:r>
      <w:r w:rsidR="009B0DA8">
        <w:rPr>
          <w:rFonts w:ascii="Garamond" w:hAnsi="Garamond"/>
          <w:sz w:val="22"/>
          <w:szCs w:val="22"/>
        </w:rPr>
        <w:t xml:space="preserve">among households due to </w:t>
      </w:r>
      <w:r w:rsidR="009B0DA8" w:rsidRPr="00EE5F0F">
        <w:rPr>
          <w:rFonts w:ascii="Garamond" w:hAnsi="Garamond"/>
          <w:sz w:val="22"/>
          <w:szCs w:val="22"/>
        </w:rPr>
        <w:t>increased prices for some products in food markets in the world</w:t>
      </w:r>
      <w:r w:rsidR="009B0DA8">
        <w:rPr>
          <w:rFonts w:ascii="Garamond" w:hAnsi="Garamond"/>
          <w:sz w:val="22"/>
          <w:szCs w:val="22"/>
        </w:rPr>
        <w:t xml:space="preserve"> have largely contributed to the quarter’s </w:t>
      </w:r>
      <w:r w:rsidR="008F7DEB" w:rsidRPr="00EE5F0F">
        <w:rPr>
          <w:rFonts w:ascii="Garamond" w:hAnsi="Garamond"/>
          <w:sz w:val="22"/>
          <w:szCs w:val="22"/>
        </w:rPr>
        <w:t>high inflation</w:t>
      </w:r>
      <w:r w:rsidR="009B0DA8">
        <w:rPr>
          <w:rFonts w:ascii="Garamond" w:hAnsi="Garamond"/>
          <w:sz w:val="22"/>
          <w:szCs w:val="22"/>
        </w:rPr>
        <w:t>.</w:t>
      </w:r>
    </w:p>
    <w:p w14:paraId="0537F6A4" w14:textId="77777777" w:rsidR="00676DF1" w:rsidRPr="00EE5F0F"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first quarter of 2018, the 12-month inflation rate increased, in line with expectations, amounting to 3.7% at the end of March, primarily driven by the </w:t>
      </w:r>
      <w:r w:rsidR="00F57518">
        <w:rPr>
          <w:rFonts w:ascii="Garamond" w:hAnsi="Garamond"/>
          <w:sz w:val="22"/>
          <w:szCs w:val="22"/>
        </w:rPr>
        <w:t>aforementioned factors</w:t>
      </w:r>
      <w:r w:rsidRPr="00EE5F0F">
        <w:rPr>
          <w:rFonts w:ascii="Garamond" w:hAnsi="Garamond"/>
          <w:sz w:val="22"/>
          <w:szCs w:val="22"/>
        </w:rPr>
        <w:t xml:space="preserve">. </w:t>
      </w:r>
      <w:r w:rsidR="00F02511">
        <w:rPr>
          <w:rFonts w:ascii="Garamond" w:hAnsi="Garamond"/>
          <w:sz w:val="22"/>
          <w:szCs w:val="22"/>
        </w:rPr>
        <w:t>H</w:t>
      </w:r>
      <w:r w:rsidR="00F02511" w:rsidRPr="00F57518">
        <w:rPr>
          <w:rFonts w:ascii="Garamond" w:hAnsi="Garamond"/>
          <w:sz w:val="22"/>
          <w:szCs w:val="22"/>
        </w:rPr>
        <w:t>owever</w:t>
      </w:r>
      <w:r w:rsidR="00F02511">
        <w:rPr>
          <w:rFonts w:ascii="Garamond" w:hAnsi="Garamond"/>
          <w:sz w:val="22"/>
          <w:szCs w:val="22"/>
        </w:rPr>
        <w:t>, t</w:t>
      </w:r>
      <w:r w:rsidR="00F57518" w:rsidRPr="00F57518">
        <w:rPr>
          <w:rFonts w:ascii="Garamond" w:hAnsi="Garamond"/>
          <w:sz w:val="22"/>
          <w:szCs w:val="22"/>
        </w:rPr>
        <w:t xml:space="preserve">he second quarter </w:t>
      </w:r>
      <w:r w:rsidR="00F02511">
        <w:rPr>
          <w:rFonts w:ascii="Garamond" w:hAnsi="Garamond"/>
          <w:sz w:val="22"/>
          <w:szCs w:val="22"/>
        </w:rPr>
        <w:t xml:space="preserve">saw </w:t>
      </w:r>
      <w:r w:rsidR="00F02511">
        <w:rPr>
          <w:rFonts w:ascii="Garamond" w:hAnsi="Garamond"/>
          <w:sz w:val="22"/>
          <w:szCs w:val="22"/>
        </w:rPr>
        <w:lastRenderedPageBreak/>
        <w:t>the inflation d</w:t>
      </w:r>
      <w:r w:rsidR="00F57518" w:rsidRPr="00F57518">
        <w:rPr>
          <w:rFonts w:ascii="Garamond" w:hAnsi="Garamond"/>
          <w:sz w:val="22"/>
          <w:szCs w:val="22"/>
        </w:rPr>
        <w:t>eviat</w:t>
      </w:r>
      <w:r w:rsidR="00F02511">
        <w:rPr>
          <w:rFonts w:ascii="Garamond" w:hAnsi="Garamond"/>
          <w:sz w:val="22"/>
          <w:szCs w:val="22"/>
        </w:rPr>
        <w:t xml:space="preserve">e </w:t>
      </w:r>
      <w:r w:rsidR="00F57518" w:rsidRPr="00F57518">
        <w:rPr>
          <w:rFonts w:ascii="Garamond" w:hAnsi="Garamond"/>
          <w:sz w:val="22"/>
          <w:szCs w:val="22"/>
        </w:rPr>
        <w:t xml:space="preserve">from the baseline scenario </w:t>
      </w:r>
      <w:r w:rsidR="00F02511">
        <w:rPr>
          <w:rFonts w:ascii="Garamond" w:hAnsi="Garamond"/>
          <w:sz w:val="22"/>
          <w:szCs w:val="22"/>
        </w:rPr>
        <w:t xml:space="preserve">for </w:t>
      </w:r>
      <w:r w:rsidR="00F57518" w:rsidRPr="00F57518">
        <w:rPr>
          <w:rFonts w:ascii="Garamond" w:hAnsi="Garamond"/>
          <w:sz w:val="22"/>
          <w:szCs w:val="22"/>
        </w:rPr>
        <w:t>the previous quarter</w:t>
      </w:r>
      <w:r w:rsidR="00F02511">
        <w:rPr>
          <w:rFonts w:ascii="Garamond" w:hAnsi="Garamond"/>
          <w:sz w:val="22"/>
          <w:szCs w:val="22"/>
        </w:rPr>
        <w:t xml:space="preserve"> due to the falling of prices of </w:t>
      </w:r>
      <w:r w:rsidR="00F57518" w:rsidRPr="00F57518">
        <w:rPr>
          <w:rFonts w:ascii="Garamond" w:hAnsi="Garamond"/>
          <w:sz w:val="22"/>
          <w:szCs w:val="22"/>
        </w:rPr>
        <w:t xml:space="preserve">agricultural products </w:t>
      </w:r>
      <w:r w:rsidR="00F02511">
        <w:rPr>
          <w:rFonts w:ascii="Garamond" w:hAnsi="Garamond"/>
          <w:sz w:val="22"/>
          <w:szCs w:val="22"/>
        </w:rPr>
        <w:t xml:space="preserve">because of </w:t>
      </w:r>
      <w:r w:rsidR="00E159C8">
        <w:rPr>
          <w:rFonts w:ascii="Garamond" w:hAnsi="Garamond"/>
          <w:sz w:val="22"/>
          <w:szCs w:val="22"/>
        </w:rPr>
        <w:t xml:space="preserve">an </w:t>
      </w:r>
      <w:r w:rsidR="00F57518" w:rsidRPr="00F57518">
        <w:rPr>
          <w:rFonts w:ascii="Garamond" w:hAnsi="Garamond"/>
          <w:sz w:val="22"/>
          <w:szCs w:val="22"/>
        </w:rPr>
        <w:t xml:space="preserve">earlier </w:t>
      </w:r>
      <w:r w:rsidR="00E159C8">
        <w:rPr>
          <w:rFonts w:ascii="Garamond" w:hAnsi="Garamond"/>
          <w:sz w:val="22"/>
          <w:szCs w:val="22"/>
        </w:rPr>
        <w:t>s</w:t>
      </w:r>
      <w:r w:rsidR="00FC1AF6">
        <w:rPr>
          <w:rFonts w:ascii="Garamond" w:hAnsi="Garamond"/>
          <w:sz w:val="22"/>
          <w:szCs w:val="22"/>
        </w:rPr>
        <w:t xml:space="preserve">tart </w:t>
      </w:r>
      <w:r w:rsidR="00E159C8">
        <w:rPr>
          <w:rFonts w:ascii="Garamond" w:hAnsi="Garamond"/>
          <w:sz w:val="22"/>
          <w:szCs w:val="22"/>
        </w:rPr>
        <w:t>of seasonality: a</w:t>
      </w:r>
      <w:r w:rsidR="00F57518" w:rsidRPr="00F57518">
        <w:rPr>
          <w:rFonts w:ascii="Garamond" w:hAnsi="Garamond"/>
          <w:sz w:val="22"/>
          <w:szCs w:val="22"/>
        </w:rPr>
        <w:t xml:space="preserve">t the end of June the 12-month inflation </w:t>
      </w:r>
      <w:r w:rsidR="00E159C8">
        <w:rPr>
          <w:rFonts w:ascii="Garamond" w:hAnsi="Garamond"/>
          <w:sz w:val="22"/>
          <w:szCs w:val="22"/>
        </w:rPr>
        <w:t xml:space="preserve">rate </w:t>
      </w:r>
      <w:r w:rsidR="00F57518" w:rsidRPr="00F57518">
        <w:rPr>
          <w:rFonts w:ascii="Garamond" w:hAnsi="Garamond"/>
          <w:sz w:val="22"/>
          <w:szCs w:val="22"/>
        </w:rPr>
        <w:t xml:space="preserve">dropped to 0.9%. </w:t>
      </w:r>
      <w:r w:rsidR="00A22BA6">
        <w:rPr>
          <w:rFonts w:ascii="Garamond" w:hAnsi="Garamond"/>
          <w:sz w:val="22"/>
          <w:szCs w:val="22"/>
        </w:rPr>
        <w:t xml:space="preserve">The assumption on the back of this occurrence was </w:t>
      </w:r>
      <w:r w:rsidR="00F57518" w:rsidRPr="00F57518">
        <w:rPr>
          <w:rFonts w:ascii="Garamond" w:hAnsi="Garamond"/>
          <w:sz w:val="22"/>
          <w:szCs w:val="22"/>
        </w:rPr>
        <w:t>that the 12-month inflation would be restor</w:t>
      </w:r>
      <w:r w:rsidR="00A22BA6">
        <w:rPr>
          <w:rFonts w:ascii="Garamond" w:hAnsi="Garamond"/>
          <w:sz w:val="22"/>
          <w:szCs w:val="22"/>
        </w:rPr>
        <w:t>ing</w:t>
      </w:r>
      <w:r w:rsidR="00F57518" w:rsidRPr="00F57518">
        <w:rPr>
          <w:rFonts w:ascii="Garamond" w:hAnsi="Garamond"/>
          <w:sz w:val="22"/>
          <w:szCs w:val="22"/>
        </w:rPr>
        <w:t xml:space="preserve"> </w:t>
      </w:r>
      <w:r w:rsidR="00A22BA6">
        <w:rPr>
          <w:rFonts w:ascii="Garamond" w:hAnsi="Garamond"/>
          <w:sz w:val="22"/>
          <w:szCs w:val="22"/>
        </w:rPr>
        <w:t xml:space="preserve">over </w:t>
      </w:r>
      <w:r w:rsidR="00F57518" w:rsidRPr="00F57518">
        <w:rPr>
          <w:rFonts w:ascii="Garamond" w:hAnsi="Garamond"/>
          <w:sz w:val="22"/>
          <w:szCs w:val="22"/>
        </w:rPr>
        <w:t xml:space="preserve">the </w:t>
      </w:r>
      <w:r w:rsidR="00A22BA6">
        <w:rPr>
          <w:rFonts w:ascii="Garamond" w:hAnsi="Garamond"/>
          <w:sz w:val="22"/>
          <w:szCs w:val="22"/>
        </w:rPr>
        <w:t>up</w:t>
      </w:r>
      <w:r w:rsidR="00F57518" w:rsidRPr="00F57518">
        <w:rPr>
          <w:rFonts w:ascii="Garamond" w:hAnsi="Garamond"/>
          <w:sz w:val="22"/>
          <w:szCs w:val="22"/>
        </w:rPr>
        <w:t xml:space="preserve">coming quarters, </w:t>
      </w:r>
      <w:r w:rsidR="006067B4">
        <w:rPr>
          <w:rFonts w:ascii="Garamond" w:hAnsi="Garamond"/>
          <w:sz w:val="22"/>
          <w:szCs w:val="22"/>
        </w:rPr>
        <w:t>and it did so</w:t>
      </w:r>
      <w:r w:rsidR="0034737B">
        <w:rPr>
          <w:rFonts w:ascii="Garamond" w:hAnsi="Garamond"/>
          <w:sz w:val="22"/>
          <w:szCs w:val="22"/>
        </w:rPr>
        <w:t>,</w:t>
      </w:r>
      <w:r w:rsidR="006067B4">
        <w:rPr>
          <w:rFonts w:ascii="Garamond" w:hAnsi="Garamond"/>
          <w:sz w:val="22"/>
          <w:szCs w:val="22"/>
        </w:rPr>
        <w:t xml:space="preserve"> </w:t>
      </w:r>
      <w:r w:rsidR="0034737B">
        <w:rPr>
          <w:rFonts w:ascii="Garamond" w:hAnsi="Garamond"/>
          <w:sz w:val="22"/>
          <w:szCs w:val="22"/>
        </w:rPr>
        <w:t>when</w:t>
      </w:r>
      <w:r w:rsidR="00F57518" w:rsidRPr="00F57518">
        <w:rPr>
          <w:rFonts w:ascii="Garamond" w:hAnsi="Garamond"/>
          <w:sz w:val="22"/>
          <w:szCs w:val="22"/>
        </w:rPr>
        <w:t xml:space="preserve"> July inflation developments</w:t>
      </w:r>
      <w:r w:rsidR="006067B4">
        <w:rPr>
          <w:rFonts w:ascii="Garamond" w:hAnsi="Garamond"/>
          <w:sz w:val="22"/>
          <w:szCs w:val="22"/>
        </w:rPr>
        <w:t xml:space="preserve"> ended with deflation of </w:t>
      </w:r>
      <w:r w:rsidR="00F57518" w:rsidRPr="00F57518">
        <w:rPr>
          <w:rFonts w:ascii="Garamond" w:hAnsi="Garamond"/>
          <w:sz w:val="22"/>
          <w:szCs w:val="22"/>
        </w:rPr>
        <w:t xml:space="preserve">1.2% </w:t>
      </w:r>
      <w:r w:rsidR="0034737B">
        <w:rPr>
          <w:rFonts w:ascii="Garamond" w:hAnsi="Garamond"/>
          <w:sz w:val="22"/>
          <w:szCs w:val="22"/>
        </w:rPr>
        <w:t xml:space="preserve">against </w:t>
      </w:r>
      <w:r w:rsidR="006067B4">
        <w:rPr>
          <w:rFonts w:ascii="Garamond" w:hAnsi="Garamond"/>
          <w:sz w:val="22"/>
          <w:szCs w:val="22"/>
        </w:rPr>
        <w:t>that of</w:t>
      </w:r>
      <w:r w:rsidR="00F57518" w:rsidRPr="00F57518">
        <w:rPr>
          <w:rFonts w:ascii="Garamond" w:hAnsi="Garamond"/>
          <w:sz w:val="22"/>
          <w:szCs w:val="22"/>
        </w:rPr>
        <w:t xml:space="preserve"> 2.6% </w:t>
      </w:r>
      <w:r w:rsidR="006067B4">
        <w:rPr>
          <w:rFonts w:ascii="Garamond" w:hAnsi="Garamond"/>
          <w:sz w:val="22"/>
          <w:szCs w:val="22"/>
        </w:rPr>
        <w:t>reported in</w:t>
      </w:r>
      <w:r w:rsidR="00F57518" w:rsidRPr="00F57518">
        <w:rPr>
          <w:rFonts w:ascii="Garamond" w:hAnsi="Garamond"/>
          <w:sz w:val="22"/>
          <w:szCs w:val="22"/>
        </w:rPr>
        <w:t xml:space="preserve"> the same month </w:t>
      </w:r>
      <w:r w:rsidR="006067B4">
        <w:rPr>
          <w:rFonts w:ascii="Garamond" w:hAnsi="Garamond"/>
          <w:sz w:val="22"/>
          <w:szCs w:val="22"/>
        </w:rPr>
        <w:t>of</w:t>
      </w:r>
      <w:r w:rsidR="00F57518" w:rsidRPr="00F57518">
        <w:rPr>
          <w:rFonts w:ascii="Garamond" w:hAnsi="Garamond"/>
          <w:sz w:val="22"/>
          <w:szCs w:val="22"/>
        </w:rPr>
        <w:t xml:space="preserve"> the previous year, and the 12-month inflation rate </w:t>
      </w:r>
      <w:r w:rsidR="00AE0D38">
        <w:rPr>
          <w:rFonts w:ascii="Garamond" w:hAnsi="Garamond"/>
          <w:sz w:val="22"/>
          <w:szCs w:val="22"/>
        </w:rPr>
        <w:t xml:space="preserve">reached </w:t>
      </w:r>
      <w:r w:rsidR="00F57518" w:rsidRPr="00F57518">
        <w:rPr>
          <w:rFonts w:ascii="Garamond" w:hAnsi="Garamond"/>
          <w:sz w:val="22"/>
          <w:szCs w:val="22"/>
        </w:rPr>
        <w:t xml:space="preserve">2.3%, </w:t>
      </w:r>
      <w:r w:rsidR="00AE0D38">
        <w:rPr>
          <w:rFonts w:ascii="Garamond" w:hAnsi="Garamond"/>
          <w:sz w:val="22"/>
          <w:szCs w:val="22"/>
        </w:rPr>
        <w:t xml:space="preserve">fluctuating within the </w:t>
      </w:r>
      <w:r w:rsidR="00F57518" w:rsidRPr="00F57518">
        <w:rPr>
          <w:rFonts w:ascii="Garamond" w:hAnsi="Garamond"/>
          <w:sz w:val="22"/>
          <w:szCs w:val="22"/>
        </w:rPr>
        <w:t xml:space="preserve">lower </w:t>
      </w:r>
      <w:r w:rsidR="00AE0D38">
        <w:rPr>
          <w:rFonts w:ascii="Garamond" w:hAnsi="Garamond"/>
          <w:sz w:val="22"/>
          <w:szCs w:val="22"/>
        </w:rPr>
        <w:t>part of the confidence band</w:t>
      </w:r>
      <w:r w:rsidR="00F57518" w:rsidRPr="00F57518">
        <w:rPr>
          <w:rFonts w:ascii="Garamond" w:hAnsi="Garamond"/>
          <w:sz w:val="22"/>
          <w:szCs w:val="22"/>
        </w:rPr>
        <w:t>.</w:t>
      </w:r>
    </w:p>
    <w:p w14:paraId="4EFDAEDE" w14:textId="77777777" w:rsidR="009321C8" w:rsidRPr="00EE5F0F"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view of the macroeconomic situation and inflationary developments </w:t>
      </w:r>
      <w:r w:rsidR="004D2BAE">
        <w:rPr>
          <w:rFonts w:ascii="Garamond" w:hAnsi="Garamond"/>
          <w:sz w:val="22"/>
          <w:szCs w:val="22"/>
        </w:rPr>
        <w:t xml:space="preserve">described </w:t>
      </w:r>
      <w:r w:rsidRPr="00EE5F0F">
        <w:rPr>
          <w:rFonts w:ascii="Garamond" w:hAnsi="Garamond"/>
          <w:sz w:val="22"/>
          <w:szCs w:val="22"/>
        </w:rPr>
        <w:t>above, the Central Bank ha</w:t>
      </w:r>
      <w:r w:rsidR="00AF7719" w:rsidRPr="00EE5F0F">
        <w:rPr>
          <w:rFonts w:ascii="Garamond" w:hAnsi="Garamond"/>
          <w:sz w:val="22"/>
          <w:szCs w:val="22"/>
        </w:rPr>
        <w:t>d</w:t>
      </w:r>
      <w:r w:rsidRPr="00EE5F0F">
        <w:rPr>
          <w:rFonts w:ascii="Garamond" w:hAnsi="Garamond"/>
          <w:sz w:val="22"/>
          <w:szCs w:val="22"/>
        </w:rPr>
        <w:t xml:space="preserve"> left the monetary conditions unchanged for the previous </w:t>
      </w:r>
      <w:r w:rsidR="00AF7719" w:rsidRPr="00EE5F0F">
        <w:rPr>
          <w:rFonts w:ascii="Garamond" w:hAnsi="Garamond"/>
          <w:sz w:val="22"/>
          <w:szCs w:val="22"/>
        </w:rPr>
        <w:t>one-</w:t>
      </w:r>
      <w:r w:rsidRPr="00EE5F0F">
        <w:rPr>
          <w:rFonts w:ascii="Garamond" w:hAnsi="Garamond"/>
          <w:sz w:val="22"/>
          <w:szCs w:val="22"/>
        </w:rPr>
        <w:t>year</w:t>
      </w:r>
      <w:r w:rsidR="00AF7719" w:rsidRPr="00EE5F0F">
        <w:rPr>
          <w:rFonts w:ascii="Garamond" w:hAnsi="Garamond"/>
          <w:sz w:val="22"/>
          <w:szCs w:val="22"/>
        </w:rPr>
        <w:t xml:space="preserve"> period</w:t>
      </w:r>
      <w:r w:rsidRPr="00EE5F0F">
        <w:rPr>
          <w:rFonts w:ascii="Garamond" w:hAnsi="Garamond"/>
          <w:sz w:val="22"/>
          <w:szCs w:val="22"/>
        </w:rPr>
        <w:t xml:space="preserve">, </w:t>
      </w:r>
      <w:r w:rsidR="006A4D53">
        <w:rPr>
          <w:rFonts w:ascii="Garamond" w:hAnsi="Garamond"/>
          <w:b/>
          <w:sz w:val="22"/>
          <w:szCs w:val="22"/>
        </w:rPr>
        <w:t>leaving</w:t>
      </w:r>
      <w:r w:rsidRPr="00EE5F0F">
        <w:rPr>
          <w:rFonts w:ascii="Garamond" w:hAnsi="Garamond"/>
          <w:b/>
          <w:sz w:val="22"/>
          <w:szCs w:val="22"/>
        </w:rPr>
        <w:t xml:space="preserve"> the refinancing rate at 6%.</w:t>
      </w:r>
      <w:r w:rsidRPr="00EE5F0F">
        <w:rPr>
          <w:rFonts w:ascii="Garamond" w:hAnsi="Garamond"/>
          <w:sz w:val="22"/>
          <w:szCs w:val="22"/>
        </w:rPr>
        <w:t xml:space="preserve"> The </w:t>
      </w:r>
      <w:r w:rsidR="00AF7719" w:rsidRPr="00EE5F0F">
        <w:rPr>
          <w:rFonts w:ascii="Garamond" w:hAnsi="Garamond"/>
          <w:sz w:val="22"/>
          <w:szCs w:val="22"/>
        </w:rPr>
        <w:t>monetary policy conducted</w:t>
      </w:r>
      <w:r w:rsidRPr="00EE5F0F">
        <w:rPr>
          <w:rFonts w:ascii="Garamond" w:hAnsi="Garamond"/>
          <w:sz w:val="22"/>
          <w:szCs w:val="22"/>
        </w:rPr>
        <w:t xml:space="preserve"> previously</w:t>
      </w:r>
      <w:r w:rsidR="00AF7719" w:rsidRPr="00EE5F0F">
        <w:rPr>
          <w:rFonts w:ascii="Garamond" w:hAnsi="Garamond"/>
          <w:sz w:val="22"/>
          <w:szCs w:val="22"/>
        </w:rPr>
        <w:t>,</w:t>
      </w:r>
      <w:r w:rsidRPr="00EE5F0F">
        <w:rPr>
          <w:rFonts w:ascii="Garamond" w:hAnsi="Garamond"/>
          <w:sz w:val="22"/>
          <w:szCs w:val="22"/>
        </w:rPr>
        <w:t xml:space="preserve"> </w:t>
      </w:r>
      <w:r w:rsidR="00AF7719" w:rsidRPr="00EE5F0F">
        <w:rPr>
          <w:rFonts w:ascii="Garamond" w:hAnsi="Garamond"/>
          <w:sz w:val="22"/>
          <w:szCs w:val="22"/>
        </w:rPr>
        <w:t xml:space="preserve">the Central Bank reckoned, has </w:t>
      </w:r>
      <w:r w:rsidR="009321C8" w:rsidRPr="00EE5F0F">
        <w:rPr>
          <w:rFonts w:ascii="Garamond" w:hAnsi="Garamond"/>
          <w:sz w:val="22"/>
          <w:szCs w:val="22"/>
        </w:rPr>
        <w:t>proved rather expansionary for the inflation to recover</w:t>
      </w:r>
      <w:r w:rsidR="00DB79CE">
        <w:rPr>
          <w:rFonts w:ascii="Garamond" w:hAnsi="Garamond"/>
          <w:sz w:val="22"/>
          <w:szCs w:val="22"/>
        </w:rPr>
        <w:t>,</w:t>
      </w:r>
      <w:r w:rsidR="009321C8" w:rsidRPr="00EE5F0F">
        <w:rPr>
          <w:rFonts w:ascii="Garamond" w:hAnsi="Garamond"/>
          <w:sz w:val="22"/>
          <w:szCs w:val="22"/>
        </w:rPr>
        <w:t xml:space="preserve"> and </w:t>
      </w:r>
      <w:r w:rsidR="006A4D53">
        <w:rPr>
          <w:rFonts w:ascii="Garamond" w:hAnsi="Garamond"/>
          <w:sz w:val="22"/>
          <w:szCs w:val="22"/>
        </w:rPr>
        <w:t xml:space="preserve">such a policy would continue transmitting its </w:t>
      </w:r>
      <w:r w:rsidR="009321C8" w:rsidRPr="00EE5F0F">
        <w:rPr>
          <w:rFonts w:ascii="Garamond" w:hAnsi="Garamond"/>
          <w:sz w:val="22"/>
          <w:szCs w:val="22"/>
        </w:rPr>
        <w:t>impact</w:t>
      </w:r>
      <w:r w:rsidR="00AF7719" w:rsidRPr="00EE5F0F">
        <w:rPr>
          <w:rFonts w:ascii="Garamond" w:hAnsi="Garamond"/>
          <w:sz w:val="22"/>
          <w:szCs w:val="22"/>
        </w:rPr>
        <w:t>. Moreover</w:t>
      </w:r>
      <w:r w:rsidR="00DB79CE">
        <w:rPr>
          <w:rFonts w:ascii="Garamond" w:hAnsi="Garamond"/>
          <w:sz w:val="22"/>
          <w:szCs w:val="22"/>
        </w:rPr>
        <w:t xml:space="preserve">, </w:t>
      </w:r>
      <w:r w:rsidR="00E17834" w:rsidRPr="00EE5F0F">
        <w:rPr>
          <w:rFonts w:ascii="Garamond" w:hAnsi="Garamond"/>
          <w:sz w:val="22"/>
          <w:szCs w:val="22"/>
        </w:rPr>
        <w:t xml:space="preserve">as the inflation environment </w:t>
      </w:r>
      <w:r w:rsidR="00AF7719" w:rsidRPr="00EE5F0F">
        <w:rPr>
          <w:rFonts w:ascii="Garamond" w:hAnsi="Garamond"/>
          <w:sz w:val="22"/>
          <w:szCs w:val="22"/>
        </w:rPr>
        <w:t xml:space="preserve">somewhat </w:t>
      </w:r>
      <w:r w:rsidR="00E17834" w:rsidRPr="00EE5F0F">
        <w:rPr>
          <w:rFonts w:ascii="Garamond" w:hAnsi="Garamond"/>
          <w:sz w:val="22"/>
          <w:szCs w:val="22"/>
        </w:rPr>
        <w:t xml:space="preserve">expanded and inflation </w:t>
      </w:r>
      <w:r w:rsidR="009321C8" w:rsidRPr="00EE5F0F">
        <w:rPr>
          <w:rFonts w:ascii="Garamond" w:hAnsi="Garamond"/>
          <w:sz w:val="22"/>
          <w:szCs w:val="22"/>
        </w:rPr>
        <w:t>expectations</w:t>
      </w:r>
      <w:r w:rsidR="00E17834" w:rsidRPr="00EE5F0F">
        <w:rPr>
          <w:rFonts w:ascii="Garamond" w:hAnsi="Garamond"/>
          <w:sz w:val="22"/>
          <w:szCs w:val="22"/>
        </w:rPr>
        <w:t xml:space="preserve"> grew</w:t>
      </w:r>
      <w:r w:rsidR="00DB79CE">
        <w:rPr>
          <w:rFonts w:ascii="Garamond" w:hAnsi="Garamond"/>
          <w:sz w:val="22"/>
          <w:szCs w:val="22"/>
        </w:rPr>
        <w:t xml:space="preserve"> at the end of 2017</w:t>
      </w:r>
      <w:r w:rsidR="009321C8" w:rsidRPr="00EE5F0F">
        <w:rPr>
          <w:rFonts w:ascii="Garamond" w:hAnsi="Garamond"/>
          <w:sz w:val="22"/>
          <w:szCs w:val="22"/>
        </w:rPr>
        <w:t xml:space="preserve">, </w:t>
      </w:r>
      <w:r w:rsidR="00DB79CE">
        <w:rPr>
          <w:rFonts w:ascii="Garamond" w:hAnsi="Garamond"/>
          <w:sz w:val="22"/>
          <w:szCs w:val="22"/>
        </w:rPr>
        <w:t>keeping an expansionary monetary environment would</w:t>
      </w:r>
      <w:r w:rsidR="004D45BE" w:rsidRPr="00EE5F0F">
        <w:rPr>
          <w:rFonts w:ascii="Garamond" w:hAnsi="Garamond"/>
          <w:sz w:val="22"/>
          <w:szCs w:val="22"/>
        </w:rPr>
        <w:t xml:space="preserve"> </w:t>
      </w:r>
      <w:r w:rsidR="00DB79CE">
        <w:rPr>
          <w:rFonts w:ascii="Garamond" w:hAnsi="Garamond"/>
          <w:sz w:val="22"/>
          <w:szCs w:val="22"/>
        </w:rPr>
        <w:t xml:space="preserve">also </w:t>
      </w:r>
      <w:r w:rsidR="00977017" w:rsidRPr="00EE5F0F">
        <w:rPr>
          <w:rFonts w:ascii="Garamond" w:hAnsi="Garamond"/>
          <w:sz w:val="22"/>
          <w:szCs w:val="22"/>
        </w:rPr>
        <w:t>justif</w:t>
      </w:r>
      <w:r w:rsidR="00DB79CE">
        <w:rPr>
          <w:rFonts w:ascii="Garamond" w:hAnsi="Garamond"/>
          <w:sz w:val="22"/>
          <w:szCs w:val="22"/>
        </w:rPr>
        <w:t>y</w:t>
      </w:r>
      <w:r w:rsidR="00977017" w:rsidRPr="00EE5F0F">
        <w:rPr>
          <w:rFonts w:ascii="Garamond" w:hAnsi="Garamond"/>
          <w:sz w:val="22"/>
          <w:szCs w:val="22"/>
        </w:rPr>
        <w:t xml:space="preserve"> the need to ensure sustained recovery of demand</w:t>
      </w:r>
      <w:r w:rsidR="00AE7F86">
        <w:rPr>
          <w:rFonts w:ascii="Garamond" w:hAnsi="Garamond"/>
          <w:sz w:val="22"/>
          <w:szCs w:val="22"/>
        </w:rPr>
        <w:t xml:space="preserve"> and </w:t>
      </w:r>
      <w:r w:rsidR="006D6FA4">
        <w:rPr>
          <w:rFonts w:ascii="Garamond" w:hAnsi="Garamond"/>
          <w:sz w:val="22"/>
          <w:szCs w:val="22"/>
        </w:rPr>
        <w:t xml:space="preserve">implementation of a contractionary </w:t>
      </w:r>
      <w:r w:rsidR="006D6FA4" w:rsidRPr="006D6FA4">
        <w:rPr>
          <w:rFonts w:ascii="Garamond" w:hAnsi="Garamond"/>
          <w:sz w:val="22"/>
          <w:szCs w:val="22"/>
        </w:rPr>
        <w:t>fiscal policy</w:t>
      </w:r>
      <w:r w:rsidR="006D6FA4">
        <w:rPr>
          <w:rFonts w:ascii="Garamond" w:hAnsi="Garamond"/>
          <w:sz w:val="22"/>
          <w:szCs w:val="22"/>
        </w:rPr>
        <w:t>.</w:t>
      </w:r>
      <w:r w:rsidR="006D6FA4" w:rsidRPr="006D6FA4">
        <w:rPr>
          <w:rFonts w:ascii="Garamond" w:hAnsi="Garamond"/>
          <w:sz w:val="22"/>
          <w:szCs w:val="22"/>
        </w:rPr>
        <w:t xml:space="preserve"> </w:t>
      </w:r>
      <w:r w:rsidR="006D6FA4">
        <w:rPr>
          <w:rFonts w:ascii="Garamond" w:hAnsi="Garamond"/>
          <w:sz w:val="22"/>
          <w:szCs w:val="22"/>
        </w:rPr>
        <w:t xml:space="preserve">In view of these developments, </w:t>
      </w:r>
      <w:r w:rsidR="00324349">
        <w:rPr>
          <w:rFonts w:ascii="Garamond" w:hAnsi="Garamond"/>
          <w:sz w:val="22"/>
          <w:szCs w:val="22"/>
        </w:rPr>
        <w:t xml:space="preserve">in June of 2018 </w:t>
      </w:r>
      <w:r w:rsidR="00341374">
        <w:rPr>
          <w:rFonts w:ascii="Garamond" w:hAnsi="Garamond"/>
          <w:sz w:val="22"/>
          <w:szCs w:val="22"/>
        </w:rPr>
        <w:t xml:space="preserve">the Central Bank fine-tuned the impulse it had signaled to the financial market </w:t>
      </w:r>
      <w:r w:rsidR="00324349">
        <w:rPr>
          <w:rFonts w:ascii="Garamond" w:hAnsi="Garamond"/>
          <w:sz w:val="22"/>
          <w:szCs w:val="22"/>
        </w:rPr>
        <w:t xml:space="preserve">back </w:t>
      </w:r>
      <w:r w:rsidR="00341374">
        <w:rPr>
          <w:rFonts w:ascii="Garamond" w:hAnsi="Garamond"/>
          <w:sz w:val="22"/>
          <w:szCs w:val="22"/>
        </w:rPr>
        <w:t xml:space="preserve">in late June of 2017, maintaining that the </w:t>
      </w:r>
      <w:r w:rsidR="00341374" w:rsidRPr="00341374">
        <w:rPr>
          <w:rFonts w:ascii="Garamond" w:hAnsi="Garamond"/>
          <w:b/>
          <w:sz w:val="22"/>
          <w:szCs w:val="22"/>
        </w:rPr>
        <w:t>need for</w:t>
      </w:r>
      <w:r w:rsidR="00341374">
        <w:rPr>
          <w:rFonts w:ascii="Garamond" w:hAnsi="Garamond"/>
          <w:sz w:val="22"/>
          <w:szCs w:val="22"/>
        </w:rPr>
        <w:t xml:space="preserve"> </w:t>
      </w:r>
      <w:r w:rsidR="00C80994">
        <w:rPr>
          <w:rFonts w:ascii="Garamond" w:hAnsi="Garamond"/>
          <w:b/>
          <w:sz w:val="22"/>
          <w:szCs w:val="22"/>
        </w:rPr>
        <w:t xml:space="preserve">expansionary </w:t>
      </w:r>
      <w:r w:rsidR="00E17834" w:rsidRPr="00EE5F0F">
        <w:rPr>
          <w:rFonts w:ascii="Garamond" w:hAnsi="Garamond"/>
          <w:b/>
          <w:sz w:val="22"/>
          <w:szCs w:val="22"/>
        </w:rPr>
        <w:t xml:space="preserve">monetary conditions </w:t>
      </w:r>
      <w:r w:rsidR="00341374">
        <w:rPr>
          <w:rFonts w:ascii="Garamond" w:hAnsi="Garamond"/>
          <w:b/>
          <w:sz w:val="22"/>
          <w:szCs w:val="22"/>
        </w:rPr>
        <w:t>weaken</w:t>
      </w:r>
      <w:r w:rsidR="00324349">
        <w:rPr>
          <w:rFonts w:ascii="Garamond" w:hAnsi="Garamond"/>
          <w:b/>
          <w:sz w:val="22"/>
          <w:szCs w:val="22"/>
        </w:rPr>
        <w:t>ed</w:t>
      </w:r>
      <w:r w:rsidR="00341374">
        <w:rPr>
          <w:rFonts w:ascii="Garamond" w:hAnsi="Garamond"/>
          <w:b/>
          <w:sz w:val="22"/>
          <w:szCs w:val="22"/>
        </w:rPr>
        <w:t xml:space="preserve"> </w:t>
      </w:r>
      <w:r w:rsidR="00324349">
        <w:rPr>
          <w:rFonts w:ascii="Garamond" w:hAnsi="Garamond"/>
          <w:b/>
          <w:sz w:val="22"/>
          <w:szCs w:val="22"/>
        </w:rPr>
        <w:t xml:space="preserve">in the short run but persisted for the medium run. </w:t>
      </w:r>
      <w:r w:rsidR="00AF7719" w:rsidRPr="00EE5F0F">
        <w:rPr>
          <w:rFonts w:ascii="Garamond" w:hAnsi="Garamond"/>
          <w:sz w:val="22"/>
          <w:szCs w:val="22"/>
        </w:rPr>
        <w:t xml:space="preserve">Influenced by </w:t>
      </w:r>
      <w:r w:rsidR="00D1396A" w:rsidRPr="00EE5F0F">
        <w:rPr>
          <w:rFonts w:ascii="Garamond" w:hAnsi="Garamond"/>
          <w:sz w:val="22"/>
          <w:szCs w:val="22"/>
        </w:rPr>
        <w:t>such a monetary policy</w:t>
      </w:r>
      <w:r w:rsidR="009321C8" w:rsidRPr="00EE5F0F">
        <w:rPr>
          <w:rFonts w:ascii="Garamond" w:hAnsi="Garamond"/>
          <w:sz w:val="22"/>
          <w:szCs w:val="22"/>
        </w:rPr>
        <w:t xml:space="preserve">, </w:t>
      </w:r>
      <w:r w:rsidR="00AF7719" w:rsidRPr="00EE5F0F">
        <w:rPr>
          <w:rFonts w:ascii="Garamond" w:hAnsi="Garamond"/>
          <w:sz w:val="22"/>
          <w:szCs w:val="22"/>
        </w:rPr>
        <w:t xml:space="preserve">the 12-month inflation rate </w:t>
      </w:r>
      <w:r w:rsidR="00324349">
        <w:rPr>
          <w:rFonts w:ascii="Garamond" w:hAnsi="Garamond"/>
          <w:sz w:val="22"/>
          <w:szCs w:val="22"/>
        </w:rPr>
        <w:t xml:space="preserve">will </w:t>
      </w:r>
      <w:r w:rsidR="00184075" w:rsidRPr="00EE5F0F">
        <w:rPr>
          <w:rFonts w:ascii="Garamond" w:hAnsi="Garamond"/>
          <w:sz w:val="22"/>
          <w:szCs w:val="22"/>
        </w:rPr>
        <w:t xml:space="preserve">grow; in the forecast horizon it will be staying within the confidence band </w:t>
      </w:r>
      <w:r w:rsidR="00AF7719" w:rsidRPr="00EE5F0F">
        <w:rPr>
          <w:rFonts w:ascii="Garamond" w:hAnsi="Garamond"/>
          <w:sz w:val="22"/>
          <w:szCs w:val="22"/>
        </w:rPr>
        <w:t xml:space="preserve">and stabilizing </w:t>
      </w:r>
      <w:r w:rsidR="00184075" w:rsidRPr="00EE5F0F">
        <w:rPr>
          <w:rFonts w:ascii="Garamond" w:hAnsi="Garamond"/>
          <w:sz w:val="22"/>
          <w:szCs w:val="22"/>
        </w:rPr>
        <w:t xml:space="preserve">around </w:t>
      </w:r>
      <w:r w:rsidR="00AF7719" w:rsidRPr="00EE5F0F">
        <w:rPr>
          <w:rFonts w:ascii="Garamond" w:hAnsi="Garamond"/>
          <w:sz w:val="22"/>
          <w:szCs w:val="22"/>
        </w:rPr>
        <w:t>the target.</w:t>
      </w:r>
      <w:r w:rsidR="00184075" w:rsidRPr="00EE5F0F">
        <w:rPr>
          <w:rFonts w:ascii="Garamond" w:hAnsi="Garamond"/>
          <w:sz w:val="22"/>
          <w:szCs w:val="22"/>
        </w:rPr>
        <w:t xml:space="preserve"> </w:t>
      </w:r>
    </w:p>
    <w:p w14:paraId="752A6AD0"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p w14:paraId="7750AA8A"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There was </w:t>
      </w:r>
      <w:r w:rsidR="00F05874">
        <w:rPr>
          <w:rFonts w:ascii="Garamond" w:hAnsi="Garamond"/>
          <w:b/>
          <w:sz w:val="22"/>
          <w:szCs w:val="22"/>
        </w:rPr>
        <w:t>3</w:t>
      </w:r>
      <w:r w:rsidRPr="00EE5F0F">
        <w:rPr>
          <w:rFonts w:ascii="Garamond" w:hAnsi="Garamond"/>
          <w:b/>
          <w:sz w:val="22"/>
          <w:szCs w:val="22"/>
        </w:rPr>
        <w:t xml:space="preserve">% </w:t>
      </w:r>
      <w:r w:rsidR="00F05874">
        <w:rPr>
          <w:rFonts w:ascii="Garamond" w:hAnsi="Garamond"/>
          <w:b/>
          <w:sz w:val="22"/>
          <w:szCs w:val="22"/>
        </w:rPr>
        <w:t>de</w:t>
      </w:r>
      <w:r w:rsidRPr="00EE5F0F">
        <w:rPr>
          <w:rFonts w:ascii="Garamond" w:hAnsi="Garamond"/>
          <w:b/>
          <w:sz w:val="22"/>
          <w:szCs w:val="22"/>
        </w:rPr>
        <w:t>flation</w:t>
      </w:r>
      <w:r w:rsidRPr="00EE5F0F">
        <w:rPr>
          <w:rFonts w:ascii="Garamond" w:hAnsi="Garamond"/>
          <w:sz w:val="22"/>
          <w:szCs w:val="22"/>
        </w:rPr>
        <w:t xml:space="preserve"> recorded in the </w:t>
      </w:r>
      <w:r w:rsidR="00F05874">
        <w:rPr>
          <w:rFonts w:ascii="Garamond" w:hAnsi="Garamond"/>
          <w:sz w:val="22"/>
          <w:szCs w:val="22"/>
        </w:rPr>
        <w:t>second</w:t>
      </w:r>
      <w:r w:rsidRPr="00EE5F0F">
        <w:rPr>
          <w:rFonts w:ascii="Garamond" w:hAnsi="Garamond"/>
          <w:sz w:val="22"/>
          <w:szCs w:val="22"/>
        </w:rPr>
        <w:t xml:space="preserve"> quarter of 2018, </w:t>
      </w:r>
      <w:r w:rsidR="003720FB">
        <w:rPr>
          <w:rFonts w:ascii="Garamond" w:hAnsi="Garamond"/>
          <w:sz w:val="22"/>
          <w:szCs w:val="22"/>
        </w:rPr>
        <w:t xml:space="preserve">largely </w:t>
      </w:r>
      <w:r w:rsidRPr="00EE5F0F">
        <w:rPr>
          <w:rFonts w:ascii="Garamond" w:hAnsi="Garamond"/>
          <w:sz w:val="22"/>
          <w:szCs w:val="22"/>
        </w:rPr>
        <w:t xml:space="preserve">driven by </w:t>
      </w:r>
      <w:r w:rsidR="00F05874">
        <w:rPr>
          <w:rFonts w:ascii="Garamond" w:hAnsi="Garamond"/>
          <w:sz w:val="22"/>
          <w:szCs w:val="22"/>
        </w:rPr>
        <w:t>about 28</w:t>
      </w:r>
      <w:r w:rsidRPr="00EE5F0F">
        <w:rPr>
          <w:rFonts w:ascii="Garamond" w:hAnsi="Garamond"/>
          <w:sz w:val="22"/>
          <w:szCs w:val="22"/>
        </w:rPr>
        <w:t xml:space="preserve">% </w:t>
      </w:r>
      <w:r w:rsidR="00F05874">
        <w:rPr>
          <w:rFonts w:ascii="Garamond" w:hAnsi="Garamond"/>
          <w:sz w:val="22"/>
          <w:szCs w:val="22"/>
        </w:rPr>
        <w:t>de</w:t>
      </w:r>
      <w:r w:rsidRPr="00EE5F0F">
        <w:rPr>
          <w:rFonts w:ascii="Garamond" w:hAnsi="Garamond"/>
          <w:sz w:val="22"/>
          <w:szCs w:val="22"/>
        </w:rPr>
        <w:t xml:space="preserve">crease in seasonally-sensitive food prices, which has been mostly attributable to </w:t>
      </w:r>
      <w:r w:rsidR="00F05874">
        <w:rPr>
          <w:rFonts w:ascii="Garamond" w:hAnsi="Garamond"/>
          <w:sz w:val="22"/>
          <w:szCs w:val="22"/>
        </w:rPr>
        <w:t>as much as 41% price fall in the group</w:t>
      </w:r>
      <w:r w:rsidRPr="00EE5F0F">
        <w:rPr>
          <w:rFonts w:ascii="Garamond" w:hAnsi="Garamond"/>
          <w:sz w:val="22"/>
          <w:szCs w:val="22"/>
        </w:rPr>
        <w:t xml:space="preserve"> </w:t>
      </w:r>
      <w:r w:rsidR="00F05874">
        <w:rPr>
          <w:rFonts w:ascii="Garamond" w:hAnsi="Garamond"/>
          <w:b/>
          <w:sz w:val="22"/>
          <w:szCs w:val="22"/>
        </w:rPr>
        <w:t>Vegetable</w:t>
      </w:r>
      <w:r w:rsidRPr="00EE5F0F">
        <w:rPr>
          <w:rFonts w:ascii="Garamond" w:hAnsi="Garamond"/>
          <w:sz w:val="22"/>
          <w:szCs w:val="22"/>
        </w:rPr>
        <w:t xml:space="preserve">, with </w:t>
      </w:r>
      <w:r w:rsidR="00F05874">
        <w:rPr>
          <w:rFonts w:ascii="Garamond" w:hAnsi="Garamond"/>
          <w:sz w:val="22"/>
          <w:szCs w:val="22"/>
        </w:rPr>
        <w:t xml:space="preserve">nearly 2.3 pp </w:t>
      </w:r>
      <w:r w:rsidRPr="00EE5F0F">
        <w:rPr>
          <w:rFonts w:ascii="Garamond" w:hAnsi="Garamond"/>
          <w:sz w:val="22"/>
          <w:szCs w:val="22"/>
        </w:rPr>
        <w:t xml:space="preserve">contribution to the quarter’s inflation. </w:t>
      </w:r>
    </w:p>
    <w:p w14:paraId="6CAB6F6F"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Meanwhile, core inflation </w:t>
      </w:r>
      <w:r w:rsidR="008B4837">
        <w:rPr>
          <w:rFonts w:ascii="Garamond" w:hAnsi="Garamond"/>
          <w:sz w:val="22"/>
          <w:szCs w:val="22"/>
        </w:rPr>
        <w:t>decelerated to zero from t</w:t>
      </w:r>
      <w:r w:rsidRPr="00EE5F0F">
        <w:rPr>
          <w:rFonts w:ascii="Garamond" w:hAnsi="Garamond"/>
          <w:sz w:val="22"/>
          <w:szCs w:val="22"/>
        </w:rPr>
        <w:t>he previous quarter’s 1.</w:t>
      </w:r>
      <w:r w:rsidR="008B4837">
        <w:rPr>
          <w:rFonts w:ascii="Garamond" w:hAnsi="Garamond"/>
          <w:sz w:val="22"/>
          <w:szCs w:val="22"/>
        </w:rPr>
        <w:t>4</w:t>
      </w:r>
      <w:r w:rsidRPr="00EE5F0F">
        <w:rPr>
          <w:rFonts w:ascii="Garamond" w:hAnsi="Garamond"/>
          <w:sz w:val="22"/>
          <w:szCs w:val="22"/>
        </w:rPr>
        <w:t xml:space="preserve">%, driven by increased prices in groups </w:t>
      </w:r>
      <w:r w:rsidR="008B4837" w:rsidRPr="008B4837">
        <w:rPr>
          <w:rFonts w:ascii="Garamond" w:hAnsi="Garamond"/>
          <w:b/>
          <w:sz w:val="22"/>
          <w:szCs w:val="22"/>
        </w:rPr>
        <w:t>Air transport, Footwear,</w:t>
      </w:r>
      <w:r w:rsidR="008B4837">
        <w:rPr>
          <w:rFonts w:ascii="Garamond" w:hAnsi="Garamond"/>
          <w:sz w:val="22"/>
          <w:szCs w:val="22"/>
        </w:rPr>
        <w:t xml:space="preserve"> </w:t>
      </w:r>
      <w:r w:rsidR="008B4837" w:rsidRPr="00EE5F0F">
        <w:rPr>
          <w:rFonts w:ascii="Garamond" w:hAnsi="Garamond"/>
          <w:b/>
          <w:sz w:val="22"/>
          <w:szCs w:val="22"/>
        </w:rPr>
        <w:t>Medicine</w:t>
      </w:r>
      <w:r w:rsidR="008B4837">
        <w:rPr>
          <w:rFonts w:ascii="Garamond" w:hAnsi="Garamond"/>
          <w:b/>
          <w:sz w:val="22"/>
          <w:szCs w:val="22"/>
        </w:rPr>
        <w:t xml:space="preserve"> </w:t>
      </w:r>
      <w:r w:rsidR="008B4837" w:rsidRPr="008B4837">
        <w:rPr>
          <w:rFonts w:ascii="Garamond" w:hAnsi="Garamond"/>
          <w:sz w:val="22"/>
          <w:szCs w:val="22"/>
        </w:rPr>
        <w:t>and</w:t>
      </w:r>
      <w:r w:rsidR="008B4837">
        <w:rPr>
          <w:rFonts w:ascii="Garamond" w:hAnsi="Garamond"/>
          <w:b/>
          <w:sz w:val="22"/>
          <w:szCs w:val="22"/>
        </w:rPr>
        <w:t xml:space="preserve"> Tobacco</w:t>
      </w:r>
      <w:r w:rsidRPr="00EE5F0F">
        <w:rPr>
          <w:rFonts w:ascii="Garamond" w:hAnsi="Garamond"/>
          <w:sz w:val="22"/>
          <w:szCs w:val="22"/>
        </w:rPr>
        <w:t xml:space="preserve"> (combined contribution to the quarter’s inflation: about </w:t>
      </w:r>
      <w:r w:rsidR="008B4837">
        <w:rPr>
          <w:rFonts w:ascii="Garamond" w:hAnsi="Garamond"/>
          <w:sz w:val="22"/>
          <w:szCs w:val="22"/>
        </w:rPr>
        <w:t>0</w:t>
      </w:r>
      <w:r w:rsidRPr="00EE5F0F">
        <w:rPr>
          <w:rFonts w:ascii="Garamond" w:hAnsi="Garamond"/>
          <w:sz w:val="22"/>
          <w:szCs w:val="22"/>
        </w:rPr>
        <w:t>.</w:t>
      </w:r>
      <w:r w:rsidR="008B4837">
        <w:rPr>
          <w:rFonts w:ascii="Garamond" w:hAnsi="Garamond"/>
          <w:sz w:val="22"/>
          <w:szCs w:val="22"/>
        </w:rPr>
        <w:t>23</w:t>
      </w:r>
      <w:r w:rsidRPr="00EE5F0F">
        <w:rPr>
          <w:rFonts w:ascii="Garamond" w:hAnsi="Garamond"/>
          <w:sz w:val="22"/>
          <w:szCs w:val="22"/>
        </w:rPr>
        <w:t xml:space="preserve"> pp). On the </w:t>
      </w:r>
      <w:r w:rsidR="008B4837">
        <w:rPr>
          <w:rFonts w:ascii="Garamond" w:hAnsi="Garamond"/>
          <w:sz w:val="22"/>
          <w:szCs w:val="22"/>
        </w:rPr>
        <w:t xml:space="preserve">other hand, </w:t>
      </w:r>
      <w:r w:rsidRPr="00EE5F0F">
        <w:rPr>
          <w:rFonts w:ascii="Garamond" w:hAnsi="Garamond"/>
          <w:sz w:val="22"/>
          <w:szCs w:val="22"/>
        </w:rPr>
        <w:t>price</w:t>
      </w:r>
      <w:r w:rsidR="008B4837">
        <w:rPr>
          <w:rFonts w:ascii="Garamond" w:hAnsi="Garamond"/>
          <w:sz w:val="22"/>
          <w:szCs w:val="22"/>
        </w:rPr>
        <w:t xml:space="preserve">s have decreased </w:t>
      </w:r>
      <w:r w:rsidRPr="00EE5F0F">
        <w:rPr>
          <w:rFonts w:ascii="Garamond" w:hAnsi="Garamond"/>
          <w:sz w:val="22"/>
          <w:szCs w:val="22"/>
        </w:rPr>
        <w:t xml:space="preserve">in groups </w:t>
      </w:r>
      <w:r w:rsidRPr="00EE5F0F">
        <w:rPr>
          <w:rFonts w:ascii="Garamond" w:hAnsi="Garamond"/>
          <w:b/>
          <w:sz w:val="22"/>
          <w:szCs w:val="22"/>
        </w:rPr>
        <w:t>Clothes</w:t>
      </w:r>
      <w:r w:rsidR="008B4837">
        <w:rPr>
          <w:rFonts w:ascii="Garamond" w:hAnsi="Garamond"/>
          <w:b/>
          <w:sz w:val="22"/>
          <w:szCs w:val="22"/>
        </w:rPr>
        <w:t>, Fuel, Wheat, Meat product</w:t>
      </w:r>
      <w:r w:rsidR="008B5651">
        <w:rPr>
          <w:rFonts w:ascii="Garamond" w:hAnsi="Garamond"/>
          <w:b/>
          <w:sz w:val="22"/>
          <w:szCs w:val="22"/>
        </w:rPr>
        <w:t>s</w:t>
      </w:r>
      <w:r w:rsidR="008B4837">
        <w:rPr>
          <w:rFonts w:ascii="Garamond" w:hAnsi="Garamond"/>
          <w:b/>
          <w:sz w:val="22"/>
          <w:szCs w:val="22"/>
        </w:rPr>
        <w:t xml:space="preserve">, </w:t>
      </w:r>
      <w:r w:rsidR="008B4837" w:rsidRPr="008B4837">
        <w:rPr>
          <w:rFonts w:ascii="Garamond" w:hAnsi="Garamond"/>
          <w:b/>
          <w:sz w:val="22"/>
          <w:szCs w:val="22"/>
        </w:rPr>
        <w:t>Dair</w:t>
      </w:r>
      <w:r w:rsidR="008B5651">
        <w:rPr>
          <w:rFonts w:ascii="Garamond" w:hAnsi="Garamond"/>
          <w:b/>
          <w:sz w:val="22"/>
          <w:szCs w:val="22"/>
        </w:rPr>
        <w:t>y products</w:t>
      </w:r>
      <w:r w:rsidR="008B4837" w:rsidRPr="008B4837">
        <w:rPr>
          <w:rFonts w:ascii="Garamond" w:hAnsi="Garamond"/>
          <w:b/>
          <w:sz w:val="22"/>
          <w:szCs w:val="22"/>
        </w:rPr>
        <w:t xml:space="preserve">, Sugar </w:t>
      </w:r>
      <w:r w:rsidR="008B4837">
        <w:rPr>
          <w:rFonts w:ascii="Garamond" w:hAnsi="Garamond"/>
          <w:sz w:val="22"/>
          <w:szCs w:val="22"/>
        </w:rPr>
        <w:t xml:space="preserve">and </w:t>
      </w:r>
      <w:r w:rsidR="008B4837" w:rsidRPr="008B4837">
        <w:rPr>
          <w:rFonts w:ascii="Garamond" w:hAnsi="Garamond"/>
          <w:b/>
          <w:sz w:val="22"/>
          <w:szCs w:val="22"/>
        </w:rPr>
        <w:t>Confectionery</w:t>
      </w:r>
      <w:r w:rsidR="008B4837">
        <w:rPr>
          <w:rFonts w:ascii="Garamond" w:hAnsi="Garamond"/>
          <w:sz w:val="22"/>
          <w:szCs w:val="22"/>
        </w:rPr>
        <w:t>,</w:t>
      </w:r>
      <w:r w:rsidRPr="00EE5F0F">
        <w:rPr>
          <w:rFonts w:ascii="Garamond" w:hAnsi="Garamond"/>
          <w:sz w:val="22"/>
          <w:szCs w:val="22"/>
        </w:rPr>
        <w:t xml:space="preserve"> reducing the </w:t>
      </w:r>
      <w:r w:rsidR="008B5651">
        <w:rPr>
          <w:rFonts w:ascii="Garamond" w:hAnsi="Garamond"/>
          <w:sz w:val="22"/>
          <w:szCs w:val="22"/>
        </w:rPr>
        <w:t xml:space="preserve">headline inflation </w:t>
      </w:r>
      <w:r w:rsidRPr="00EE5F0F">
        <w:rPr>
          <w:rFonts w:ascii="Garamond" w:hAnsi="Garamond"/>
          <w:sz w:val="22"/>
          <w:szCs w:val="22"/>
        </w:rPr>
        <w:t xml:space="preserve">by </w:t>
      </w:r>
      <w:r w:rsidR="008B5651">
        <w:rPr>
          <w:rFonts w:ascii="Garamond" w:hAnsi="Garamond"/>
          <w:sz w:val="22"/>
          <w:szCs w:val="22"/>
        </w:rPr>
        <w:t xml:space="preserve">nearly </w:t>
      </w:r>
      <w:r w:rsidRPr="00EE5F0F">
        <w:rPr>
          <w:rFonts w:ascii="Garamond" w:hAnsi="Garamond"/>
          <w:sz w:val="22"/>
          <w:szCs w:val="22"/>
        </w:rPr>
        <w:t>0.</w:t>
      </w:r>
      <w:r w:rsidR="008B5651">
        <w:rPr>
          <w:rFonts w:ascii="Garamond" w:hAnsi="Garamond"/>
          <w:sz w:val="22"/>
          <w:szCs w:val="22"/>
        </w:rPr>
        <w:t>35</w:t>
      </w:r>
      <w:r w:rsidRPr="00EE5F0F">
        <w:rPr>
          <w:rFonts w:ascii="Garamond" w:hAnsi="Garamond"/>
          <w:sz w:val="22"/>
          <w:szCs w:val="22"/>
        </w:rPr>
        <w:t xml:space="preserve"> pp. </w:t>
      </w:r>
    </w:p>
    <w:p w14:paraId="07DEE68B"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With the developments mentioned above, the 12-month inflation rate amounted to </w:t>
      </w:r>
      <w:r w:rsidR="008B5651">
        <w:rPr>
          <w:rFonts w:ascii="Garamond" w:hAnsi="Garamond"/>
          <w:sz w:val="22"/>
          <w:szCs w:val="22"/>
        </w:rPr>
        <w:t>0</w:t>
      </w:r>
      <w:r w:rsidRPr="00EE5F0F">
        <w:rPr>
          <w:rFonts w:ascii="Garamond" w:hAnsi="Garamond"/>
          <w:sz w:val="22"/>
          <w:szCs w:val="22"/>
        </w:rPr>
        <w:t>.</w:t>
      </w:r>
      <w:r w:rsidR="008B5651">
        <w:rPr>
          <w:rFonts w:ascii="Garamond" w:hAnsi="Garamond"/>
          <w:sz w:val="22"/>
          <w:szCs w:val="22"/>
        </w:rPr>
        <w:t>9</w:t>
      </w:r>
      <w:r w:rsidRPr="00EE5F0F">
        <w:rPr>
          <w:rFonts w:ascii="Garamond" w:hAnsi="Garamond"/>
          <w:sz w:val="22"/>
          <w:szCs w:val="22"/>
        </w:rPr>
        <w:t xml:space="preserve">% in </w:t>
      </w:r>
      <w:r w:rsidR="008B5651">
        <w:rPr>
          <w:rFonts w:ascii="Garamond" w:hAnsi="Garamond"/>
          <w:sz w:val="22"/>
          <w:szCs w:val="22"/>
        </w:rPr>
        <w:t>June</w:t>
      </w:r>
      <w:r w:rsidRPr="00EE5F0F">
        <w:rPr>
          <w:rFonts w:ascii="Garamond" w:hAnsi="Garamond"/>
          <w:sz w:val="22"/>
          <w:szCs w:val="22"/>
        </w:rPr>
        <w:t xml:space="preserve"> of 2018 instead of </w:t>
      </w:r>
      <w:r w:rsidR="008B5651">
        <w:rPr>
          <w:rFonts w:ascii="Garamond" w:hAnsi="Garamond"/>
          <w:sz w:val="22"/>
          <w:szCs w:val="22"/>
        </w:rPr>
        <w:t xml:space="preserve">the </w:t>
      </w:r>
      <w:r w:rsidRPr="00EE5F0F">
        <w:rPr>
          <w:rFonts w:ascii="Garamond" w:hAnsi="Garamond"/>
          <w:sz w:val="22"/>
          <w:szCs w:val="22"/>
        </w:rPr>
        <w:t xml:space="preserve">predicted </w:t>
      </w:r>
      <w:r w:rsidR="008B5651">
        <w:rPr>
          <w:rFonts w:ascii="Garamond" w:hAnsi="Garamond"/>
          <w:sz w:val="22"/>
          <w:szCs w:val="22"/>
        </w:rPr>
        <w:t>value of 2</w:t>
      </w:r>
      <w:r w:rsidRPr="00EE5F0F">
        <w:rPr>
          <w:rFonts w:ascii="Garamond" w:hAnsi="Garamond"/>
          <w:sz w:val="22"/>
          <w:szCs w:val="22"/>
        </w:rPr>
        <w:t>.</w:t>
      </w:r>
      <w:r w:rsidR="008B5651">
        <w:rPr>
          <w:rFonts w:ascii="Garamond" w:hAnsi="Garamond"/>
          <w:sz w:val="22"/>
          <w:szCs w:val="22"/>
        </w:rPr>
        <w:t>7</w:t>
      </w:r>
      <w:r w:rsidRPr="00EE5F0F">
        <w:rPr>
          <w:rFonts w:ascii="Garamond" w:hAnsi="Garamond"/>
          <w:sz w:val="22"/>
          <w:szCs w:val="22"/>
        </w:rPr>
        <w:t>%.</w:t>
      </w:r>
    </w:p>
    <w:p w14:paraId="0D3F27A9" w14:textId="77777777" w:rsidR="008B5651" w:rsidRPr="008B5651" w:rsidRDefault="008B5651" w:rsidP="00781ACF">
      <w:pPr>
        <w:autoSpaceDE w:val="0"/>
        <w:autoSpaceDN w:val="0"/>
        <w:adjustRightInd w:val="0"/>
        <w:spacing w:after="120" w:line="360" w:lineRule="auto"/>
        <w:jc w:val="both"/>
        <w:rPr>
          <w:rFonts w:ascii="Garamond" w:hAnsi="Garamond"/>
          <w:b/>
          <w:color w:val="C00000"/>
          <w:sz w:val="22"/>
          <w:szCs w:val="22"/>
        </w:rPr>
      </w:pPr>
      <w:r w:rsidRPr="008B5651">
        <w:rPr>
          <w:rFonts w:ascii="Garamond" w:hAnsi="Garamond"/>
          <w:b/>
          <w:color w:val="C00000"/>
          <w:sz w:val="22"/>
          <w:szCs w:val="22"/>
        </w:rPr>
        <w:t>Table 4</w:t>
      </w:r>
      <w:r>
        <w:rPr>
          <w:rFonts w:ascii="Garamond" w:hAnsi="Garamond"/>
          <w:b/>
          <w:color w:val="C00000"/>
          <w:sz w:val="22"/>
          <w:szCs w:val="22"/>
        </w:rPr>
        <w:t>:</w:t>
      </w:r>
    </w:p>
    <w:p w14:paraId="4AE1249C"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the data issued by the National Statistics Service of Armenia, there was </w:t>
      </w:r>
      <w:r w:rsidR="00E240AE">
        <w:rPr>
          <w:rFonts w:ascii="Garamond" w:hAnsi="Garamond"/>
          <w:sz w:val="22"/>
          <w:szCs w:val="22"/>
        </w:rPr>
        <w:t>1</w:t>
      </w:r>
      <w:r w:rsidRPr="00EE5F0F">
        <w:rPr>
          <w:rFonts w:ascii="Garamond" w:hAnsi="Garamond"/>
          <w:sz w:val="22"/>
          <w:szCs w:val="22"/>
        </w:rPr>
        <w:t>.</w:t>
      </w:r>
      <w:r w:rsidR="00E240AE">
        <w:rPr>
          <w:rFonts w:ascii="Garamond" w:hAnsi="Garamond"/>
          <w:sz w:val="22"/>
          <w:szCs w:val="22"/>
        </w:rPr>
        <w:t>2</w:t>
      </w:r>
      <w:r w:rsidRPr="00EE5F0F">
        <w:rPr>
          <w:rFonts w:ascii="Garamond" w:hAnsi="Garamond"/>
          <w:sz w:val="22"/>
          <w:szCs w:val="22"/>
        </w:rPr>
        <w:t xml:space="preserve">% deflation in </w:t>
      </w:r>
      <w:r w:rsidR="00E240AE">
        <w:rPr>
          <w:rFonts w:ascii="Garamond" w:hAnsi="Garamond"/>
          <w:sz w:val="22"/>
          <w:szCs w:val="22"/>
        </w:rPr>
        <w:t>July</w:t>
      </w:r>
      <w:r w:rsidRPr="00EE5F0F">
        <w:rPr>
          <w:rFonts w:ascii="Garamond" w:hAnsi="Garamond"/>
          <w:sz w:val="22"/>
          <w:szCs w:val="22"/>
        </w:rPr>
        <w:t xml:space="preserve"> of 2018, mainly due to decreased prices in groups </w:t>
      </w:r>
      <w:r w:rsidR="00E240AE" w:rsidRPr="00E240AE">
        <w:rPr>
          <w:rFonts w:ascii="Garamond" w:hAnsi="Garamond"/>
          <w:b/>
          <w:sz w:val="22"/>
          <w:szCs w:val="22"/>
        </w:rPr>
        <w:t>Fruit</w:t>
      </w:r>
      <w:r w:rsidR="00E240AE">
        <w:rPr>
          <w:rFonts w:ascii="Garamond" w:hAnsi="Garamond"/>
          <w:b/>
          <w:sz w:val="22"/>
          <w:szCs w:val="22"/>
        </w:rPr>
        <w:t xml:space="preserve"> </w:t>
      </w:r>
      <w:r w:rsidR="00E240AE" w:rsidRPr="00E240AE">
        <w:rPr>
          <w:rFonts w:ascii="Garamond" w:hAnsi="Garamond"/>
          <w:sz w:val="22"/>
          <w:szCs w:val="22"/>
        </w:rPr>
        <w:t>(</w:t>
      </w:r>
      <w:r w:rsidR="00E240AE">
        <w:rPr>
          <w:rFonts w:ascii="Garamond" w:hAnsi="Garamond"/>
          <w:sz w:val="22"/>
          <w:szCs w:val="22"/>
        </w:rPr>
        <w:t>-16.6%</w:t>
      </w:r>
      <w:r w:rsidR="00E240AE" w:rsidRPr="00E240AE">
        <w:rPr>
          <w:rFonts w:ascii="Garamond" w:hAnsi="Garamond"/>
          <w:sz w:val="22"/>
          <w:szCs w:val="22"/>
        </w:rPr>
        <w:t>)</w:t>
      </w:r>
      <w:r w:rsidR="00E240AE">
        <w:rPr>
          <w:rFonts w:ascii="Garamond" w:hAnsi="Garamond"/>
          <w:sz w:val="22"/>
          <w:szCs w:val="22"/>
        </w:rPr>
        <w:t>,</w:t>
      </w:r>
      <w:r w:rsidR="00E240AE" w:rsidRPr="00E240AE">
        <w:rPr>
          <w:rFonts w:ascii="Garamond" w:hAnsi="Garamond"/>
          <w:b/>
          <w:sz w:val="22"/>
          <w:szCs w:val="22"/>
        </w:rPr>
        <w:t xml:space="preserve"> </w:t>
      </w:r>
      <w:r w:rsidRPr="00EE5F0F">
        <w:rPr>
          <w:rFonts w:ascii="Garamond" w:hAnsi="Garamond"/>
          <w:b/>
          <w:sz w:val="22"/>
          <w:szCs w:val="22"/>
        </w:rPr>
        <w:t>Vegetable</w:t>
      </w:r>
      <w:r w:rsidR="00E240AE">
        <w:rPr>
          <w:rFonts w:ascii="Garamond" w:hAnsi="Garamond"/>
          <w:b/>
          <w:sz w:val="22"/>
          <w:szCs w:val="22"/>
        </w:rPr>
        <w:t xml:space="preserve"> </w:t>
      </w:r>
      <w:r w:rsidR="00E240AE" w:rsidRPr="00E240AE">
        <w:rPr>
          <w:rFonts w:ascii="Garamond" w:hAnsi="Garamond"/>
          <w:sz w:val="22"/>
          <w:szCs w:val="22"/>
        </w:rPr>
        <w:t>(</w:t>
      </w:r>
      <w:r w:rsidR="00E240AE">
        <w:rPr>
          <w:rFonts w:ascii="Garamond" w:hAnsi="Garamond"/>
          <w:sz w:val="22"/>
          <w:szCs w:val="22"/>
        </w:rPr>
        <w:t>-11.8%</w:t>
      </w:r>
      <w:r w:rsidR="00E240AE" w:rsidRPr="00E240AE">
        <w:rPr>
          <w:rFonts w:ascii="Garamond" w:hAnsi="Garamond"/>
          <w:sz w:val="22"/>
          <w:szCs w:val="22"/>
        </w:rPr>
        <w:t>)</w:t>
      </w:r>
      <w:r w:rsidR="00E240AE">
        <w:rPr>
          <w:rFonts w:ascii="Garamond" w:hAnsi="Garamond"/>
          <w:sz w:val="22"/>
          <w:szCs w:val="22"/>
        </w:rPr>
        <w:t>,</w:t>
      </w:r>
      <w:r w:rsidR="00E240AE">
        <w:rPr>
          <w:rFonts w:ascii="Garamond" w:hAnsi="Garamond"/>
          <w:b/>
          <w:sz w:val="22"/>
          <w:szCs w:val="22"/>
        </w:rPr>
        <w:t xml:space="preserve"> Sugar </w:t>
      </w:r>
      <w:r w:rsidR="00E240AE" w:rsidRPr="00E240AE">
        <w:rPr>
          <w:rFonts w:ascii="Garamond" w:hAnsi="Garamond"/>
          <w:sz w:val="22"/>
          <w:szCs w:val="22"/>
        </w:rPr>
        <w:t>(</w:t>
      </w:r>
      <w:r w:rsidR="00E240AE">
        <w:rPr>
          <w:rFonts w:ascii="Garamond" w:hAnsi="Garamond"/>
          <w:sz w:val="22"/>
          <w:szCs w:val="22"/>
        </w:rPr>
        <w:t>-</w:t>
      </w:r>
      <w:r w:rsidR="00262F0E">
        <w:rPr>
          <w:rFonts w:ascii="Garamond" w:hAnsi="Garamond"/>
          <w:sz w:val="22"/>
          <w:szCs w:val="22"/>
        </w:rPr>
        <w:t>4</w:t>
      </w:r>
      <w:r w:rsidR="00E240AE">
        <w:rPr>
          <w:rFonts w:ascii="Garamond" w:hAnsi="Garamond"/>
          <w:sz w:val="22"/>
          <w:szCs w:val="22"/>
        </w:rPr>
        <w:t>.</w:t>
      </w:r>
      <w:r w:rsidR="00262F0E">
        <w:rPr>
          <w:rFonts w:ascii="Garamond" w:hAnsi="Garamond"/>
          <w:sz w:val="22"/>
          <w:szCs w:val="22"/>
        </w:rPr>
        <w:t>7</w:t>
      </w:r>
      <w:r w:rsidR="00E240AE">
        <w:rPr>
          <w:rFonts w:ascii="Garamond" w:hAnsi="Garamond"/>
          <w:sz w:val="22"/>
          <w:szCs w:val="22"/>
        </w:rPr>
        <w:t>6%</w:t>
      </w:r>
      <w:r w:rsidR="00E240AE" w:rsidRPr="00E240AE">
        <w:rPr>
          <w:rFonts w:ascii="Garamond" w:hAnsi="Garamond"/>
          <w:sz w:val="22"/>
          <w:szCs w:val="22"/>
        </w:rPr>
        <w:t>)</w:t>
      </w:r>
      <w:r w:rsidR="00262F0E">
        <w:rPr>
          <w:rFonts w:ascii="Garamond" w:hAnsi="Garamond"/>
          <w:sz w:val="22"/>
          <w:szCs w:val="22"/>
        </w:rPr>
        <w:t>,</w:t>
      </w:r>
      <w:r w:rsidR="00E240AE">
        <w:rPr>
          <w:rFonts w:ascii="Garamond" w:hAnsi="Garamond"/>
          <w:b/>
          <w:sz w:val="22"/>
          <w:szCs w:val="22"/>
        </w:rPr>
        <w:t xml:space="preserve"> Meat products</w:t>
      </w:r>
      <w:r w:rsidR="00262F0E">
        <w:rPr>
          <w:rFonts w:ascii="Garamond" w:hAnsi="Garamond"/>
          <w:b/>
          <w:sz w:val="22"/>
          <w:szCs w:val="22"/>
        </w:rPr>
        <w:t xml:space="preserve"> </w:t>
      </w:r>
      <w:r w:rsidR="00262F0E" w:rsidRPr="00E240AE">
        <w:rPr>
          <w:rFonts w:ascii="Garamond" w:hAnsi="Garamond"/>
          <w:sz w:val="22"/>
          <w:szCs w:val="22"/>
        </w:rPr>
        <w:t>(</w:t>
      </w:r>
      <w:r w:rsidR="00262F0E">
        <w:rPr>
          <w:rFonts w:ascii="Garamond" w:hAnsi="Garamond"/>
          <w:sz w:val="22"/>
          <w:szCs w:val="22"/>
        </w:rPr>
        <w:t>-0.25%</w:t>
      </w:r>
      <w:r w:rsidR="00262F0E" w:rsidRPr="00E240AE">
        <w:rPr>
          <w:rFonts w:ascii="Garamond" w:hAnsi="Garamond"/>
          <w:sz w:val="22"/>
          <w:szCs w:val="22"/>
        </w:rPr>
        <w:t>)</w:t>
      </w:r>
      <w:r w:rsidR="00262F0E">
        <w:rPr>
          <w:rFonts w:ascii="Garamond" w:hAnsi="Garamond"/>
          <w:sz w:val="22"/>
          <w:szCs w:val="22"/>
        </w:rPr>
        <w:t>,</w:t>
      </w:r>
      <w:r w:rsidRPr="00EE5F0F">
        <w:rPr>
          <w:rFonts w:ascii="Garamond" w:hAnsi="Garamond"/>
          <w:b/>
          <w:sz w:val="22"/>
          <w:szCs w:val="22"/>
        </w:rPr>
        <w:t xml:space="preserve"> </w:t>
      </w:r>
      <w:r w:rsidR="00E240AE">
        <w:rPr>
          <w:rFonts w:ascii="Garamond" w:hAnsi="Garamond"/>
          <w:b/>
          <w:sz w:val="22"/>
          <w:szCs w:val="22"/>
        </w:rPr>
        <w:t>Dairy products</w:t>
      </w:r>
      <w:r w:rsidR="00262F0E">
        <w:rPr>
          <w:rFonts w:ascii="Garamond" w:hAnsi="Garamond"/>
          <w:b/>
          <w:sz w:val="22"/>
          <w:szCs w:val="22"/>
        </w:rPr>
        <w:t xml:space="preserve"> </w:t>
      </w:r>
      <w:r w:rsidR="00262F0E" w:rsidRPr="00E240AE">
        <w:rPr>
          <w:rFonts w:ascii="Garamond" w:hAnsi="Garamond"/>
          <w:sz w:val="22"/>
          <w:szCs w:val="22"/>
        </w:rPr>
        <w:t>(</w:t>
      </w:r>
      <w:r w:rsidR="00262F0E">
        <w:rPr>
          <w:rFonts w:ascii="Garamond" w:hAnsi="Garamond"/>
          <w:sz w:val="22"/>
          <w:szCs w:val="22"/>
        </w:rPr>
        <w:t>-0.51%</w:t>
      </w:r>
      <w:r w:rsidR="00262F0E" w:rsidRPr="00E240AE">
        <w:rPr>
          <w:rFonts w:ascii="Garamond" w:hAnsi="Garamond"/>
          <w:sz w:val="22"/>
          <w:szCs w:val="22"/>
        </w:rPr>
        <w:t>)</w:t>
      </w:r>
      <w:r w:rsidR="00262F0E">
        <w:rPr>
          <w:rFonts w:ascii="Garamond" w:hAnsi="Garamond"/>
          <w:sz w:val="22"/>
          <w:szCs w:val="22"/>
        </w:rPr>
        <w:t>,</w:t>
      </w:r>
      <w:r w:rsidR="00E240AE">
        <w:rPr>
          <w:rFonts w:ascii="Garamond" w:hAnsi="Garamond"/>
          <w:b/>
          <w:sz w:val="22"/>
          <w:szCs w:val="22"/>
        </w:rPr>
        <w:t xml:space="preserve"> Clothes </w:t>
      </w:r>
      <w:r w:rsidR="00262F0E" w:rsidRPr="00E240AE">
        <w:rPr>
          <w:rFonts w:ascii="Garamond" w:hAnsi="Garamond"/>
          <w:sz w:val="22"/>
          <w:szCs w:val="22"/>
        </w:rPr>
        <w:t>(</w:t>
      </w:r>
      <w:r w:rsidR="00262F0E">
        <w:rPr>
          <w:rFonts w:ascii="Garamond" w:hAnsi="Garamond"/>
          <w:sz w:val="22"/>
          <w:szCs w:val="22"/>
        </w:rPr>
        <w:t>-3.66%</w:t>
      </w:r>
      <w:r w:rsidR="00262F0E" w:rsidRPr="00E240AE">
        <w:rPr>
          <w:rFonts w:ascii="Garamond" w:hAnsi="Garamond"/>
          <w:sz w:val="22"/>
          <w:szCs w:val="22"/>
        </w:rPr>
        <w:t>)</w:t>
      </w:r>
      <w:r w:rsidR="00262F0E">
        <w:rPr>
          <w:rFonts w:ascii="Garamond" w:hAnsi="Garamond"/>
          <w:sz w:val="22"/>
          <w:szCs w:val="22"/>
        </w:rPr>
        <w:t xml:space="preserve">, </w:t>
      </w:r>
      <w:r w:rsidRPr="00EE5F0F">
        <w:rPr>
          <w:rFonts w:ascii="Garamond" w:hAnsi="Garamond"/>
          <w:sz w:val="22"/>
          <w:szCs w:val="22"/>
        </w:rPr>
        <w:t>and</w:t>
      </w:r>
      <w:r w:rsidRPr="00EE5F0F">
        <w:rPr>
          <w:rFonts w:ascii="Garamond" w:hAnsi="Garamond"/>
          <w:b/>
          <w:sz w:val="22"/>
          <w:szCs w:val="22"/>
        </w:rPr>
        <w:t xml:space="preserve"> </w:t>
      </w:r>
      <w:r w:rsidR="00E240AE">
        <w:rPr>
          <w:rFonts w:ascii="Garamond" w:hAnsi="Garamond"/>
          <w:b/>
          <w:sz w:val="22"/>
          <w:szCs w:val="22"/>
        </w:rPr>
        <w:t>Footwear</w:t>
      </w:r>
      <w:r w:rsidR="00262F0E">
        <w:rPr>
          <w:rFonts w:ascii="Garamond" w:hAnsi="Garamond"/>
          <w:b/>
          <w:sz w:val="22"/>
          <w:szCs w:val="22"/>
        </w:rPr>
        <w:t xml:space="preserve"> </w:t>
      </w:r>
      <w:r w:rsidR="00262F0E" w:rsidRPr="00E240AE">
        <w:rPr>
          <w:rFonts w:ascii="Garamond" w:hAnsi="Garamond"/>
          <w:sz w:val="22"/>
          <w:szCs w:val="22"/>
        </w:rPr>
        <w:t>(</w:t>
      </w:r>
      <w:r w:rsidR="00262F0E">
        <w:rPr>
          <w:rFonts w:ascii="Garamond" w:hAnsi="Garamond"/>
          <w:sz w:val="22"/>
          <w:szCs w:val="22"/>
        </w:rPr>
        <w:t>-2.92%</w:t>
      </w:r>
      <w:r w:rsidR="00262F0E" w:rsidRPr="00E240AE">
        <w:rPr>
          <w:rFonts w:ascii="Garamond" w:hAnsi="Garamond"/>
          <w:sz w:val="22"/>
          <w:szCs w:val="22"/>
        </w:rPr>
        <w:t>)</w:t>
      </w:r>
      <w:r w:rsidRPr="00EE5F0F">
        <w:rPr>
          <w:rFonts w:ascii="Garamond" w:hAnsi="Garamond"/>
          <w:sz w:val="22"/>
          <w:szCs w:val="22"/>
        </w:rPr>
        <w:t xml:space="preserve">, with their combined contribution </w:t>
      </w:r>
      <w:r w:rsidR="00E240AE">
        <w:rPr>
          <w:rFonts w:ascii="Garamond" w:hAnsi="Garamond"/>
          <w:sz w:val="22"/>
          <w:szCs w:val="22"/>
        </w:rPr>
        <w:t xml:space="preserve">of -1.33 pp </w:t>
      </w:r>
      <w:r w:rsidRPr="00EE5F0F">
        <w:rPr>
          <w:rFonts w:ascii="Garamond" w:hAnsi="Garamond"/>
          <w:sz w:val="22"/>
          <w:szCs w:val="22"/>
        </w:rPr>
        <w:t xml:space="preserve">to inflation. </w:t>
      </w:r>
    </w:p>
    <w:p w14:paraId="3A464093"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lastRenderedPageBreak/>
        <w:t>Import prices:</w:t>
      </w:r>
      <w:r w:rsidRPr="00EE5F0F">
        <w:rPr>
          <w:rFonts w:ascii="Garamond" w:hAnsi="Garamond"/>
          <w:sz w:val="22"/>
          <w:szCs w:val="22"/>
        </w:rPr>
        <w:t xml:space="preserve"> The dollar prices of import of goods and services to Armenia </w:t>
      </w:r>
      <w:r w:rsidR="00B66EAB">
        <w:rPr>
          <w:rFonts w:ascii="Garamond" w:hAnsi="Garamond"/>
          <w:sz w:val="22"/>
          <w:szCs w:val="22"/>
        </w:rPr>
        <w:t xml:space="preserve">reduced by 1.6% q/q on average </w:t>
      </w:r>
      <w:r w:rsidRPr="00EE5F0F">
        <w:rPr>
          <w:rFonts w:ascii="Garamond" w:hAnsi="Garamond"/>
          <w:sz w:val="22"/>
          <w:szCs w:val="22"/>
        </w:rPr>
        <w:t xml:space="preserve">during the </w:t>
      </w:r>
      <w:r w:rsidR="00B66EAB">
        <w:rPr>
          <w:rFonts w:ascii="Garamond" w:hAnsi="Garamond"/>
          <w:sz w:val="22"/>
          <w:szCs w:val="22"/>
        </w:rPr>
        <w:t>second</w:t>
      </w:r>
      <w:r w:rsidRPr="00EE5F0F">
        <w:rPr>
          <w:rFonts w:ascii="Garamond" w:hAnsi="Garamond"/>
          <w:sz w:val="22"/>
          <w:szCs w:val="22"/>
        </w:rPr>
        <w:t xml:space="preserve"> quarter of 2018, </w:t>
      </w:r>
      <w:r w:rsidR="00B66EAB">
        <w:rPr>
          <w:rFonts w:ascii="Garamond" w:hAnsi="Garamond"/>
          <w:sz w:val="22"/>
          <w:szCs w:val="22"/>
        </w:rPr>
        <w:t xml:space="preserve">with </w:t>
      </w:r>
      <w:r w:rsidRPr="00EE5F0F">
        <w:rPr>
          <w:rFonts w:ascii="Garamond" w:hAnsi="Garamond"/>
          <w:sz w:val="22"/>
          <w:szCs w:val="22"/>
        </w:rPr>
        <w:t>the</w:t>
      </w:r>
      <w:r w:rsidR="00B66EAB">
        <w:rPr>
          <w:rFonts w:ascii="Garamond" w:hAnsi="Garamond"/>
          <w:sz w:val="22"/>
          <w:szCs w:val="22"/>
        </w:rPr>
        <w:t>ir</w:t>
      </w:r>
      <w:r w:rsidRPr="00EE5F0F">
        <w:rPr>
          <w:rFonts w:ascii="Garamond" w:hAnsi="Garamond"/>
          <w:sz w:val="22"/>
          <w:szCs w:val="22"/>
        </w:rPr>
        <w:t xml:space="preserve"> growth </w:t>
      </w:r>
      <w:r w:rsidR="0089520E" w:rsidRPr="00EE5F0F">
        <w:rPr>
          <w:rFonts w:ascii="Garamond" w:hAnsi="Garamond"/>
          <w:sz w:val="22"/>
          <w:szCs w:val="22"/>
        </w:rPr>
        <w:t>amount</w:t>
      </w:r>
      <w:r w:rsidR="0089520E">
        <w:rPr>
          <w:rFonts w:ascii="Garamond" w:hAnsi="Garamond"/>
          <w:sz w:val="22"/>
          <w:szCs w:val="22"/>
        </w:rPr>
        <w:t xml:space="preserve">ing </w:t>
      </w:r>
      <w:r w:rsidR="0089520E" w:rsidRPr="00EE5F0F">
        <w:rPr>
          <w:rFonts w:ascii="Garamond" w:hAnsi="Garamond"/>
          <w:sz w:val="22"/>
          <w:szCs w:val="22"/>
        </w:rPr>
        <w:t xml:space="preserve">to </w:t>
      </w:r>
      <w:r w:rsidR="0089520E">
        <w:rPr>
          <w:rFonts w:ascii="Garamond" w:hAnsi="Garamond"/>
          <w:sz w:val="22"/>
          <w:szCs w:val="22"/>
        </w:rPr>
        <w:t>5</w:t>
      </w:r>
      <w:r w:rsidR="0089520E" w:rsidRPr="00EE5F0F">
        <w:rPr>
          <w:rFonts w:ascii="Garamond" w:hAnsi="Garamond"/>
          <w:sz w:val="22"/>
          <w:szCs w:val="22"/>
        </w:rPr>
        <w:t>.</w:t>
      </w:r>
      <w:r w:rsidR="0089520E">
        <w:rPr>
          <w:rFonts w:ascii="Garamond" w:hAnsi="Garamond"/>
          <w:sz w:val="22"/>
          <w:szCs w:val="22"/>
        </w:rPr>
        <w:t>5</w:t>
      </w:r>
      <w:r w:rsidR="0089520E" w:rsidRPr="00EE5F0F">
        <w:rPr>
          <w:rFonts w:ascii="Garamond" w:hAnsi="Garamond"/>
          <w:sz w:val="22"/>
          <w:szCs w:val="22"/>
        </w:rPr>
        <w:t>%</w:t>
      </w:r>
      <w:r w:rsidR="0089520E">
        <w:rPr>
          <w:rFonts w:ascii="Garamond" w:hAnsi="Garamond"/>
          <w:sz w:val="22"/>
          <w:szCs w:val="22"/>
        </w:rPr>
        <w:t xml:space="preserve"> </w:t>
      </w:r>
      <w:r w:rsidRPr="00EE5F0F">
        <w:rPr>
          <w:rFonts w:ascii="Garamond" w:hAnsi="Garamond"/>
          <w:sz w:val="22"/>
          <w:szCs w:val="22"/>
        </w:rPr>
        <w:t xml:space="preserve">against the same quarter of the previous year. </w:t>
      </w:r>
      <w:r w:rsidR="007D3E20">
        <w:rPr>
          <w:rFonts w:ascii="Garamond" w:hAnsi="Garamond"/>
          <w:sz w:val="22"/>
          <w:szCs w:val="22"/>
        </w:rPr>
        <w:t>T</w:t>
      </w:r>
      <w:r w:rsidR="007D3E20" w:rsidRPr="007D3E20">
        <w:rPr>
          <w:rFonts w:ascii="Garamond" w:hAnsi="Garamond"/>
          <w:sz w:val="22"/>
          <w:szCs w:val="22"/>
        </w:rPr>
        <w:t>he decline</w:t>
      </w:r>
      <w:r w:rsidR="007D3E20">
        <w:rPr>
          <w:rFonts w:ascii="Garamond" w:hAnsi="Garamond"/>
          <w:sz w:val="22"/>
          <w:szCs w:val="22"/>
        </w:rPr>
        <w:t xml:space="preserve">d dollar prices of import </w:t>
      </w:r>
      <w:r w:rsidR="007D3E20" w:rsidRPr="007D3E20">
        <w:rPr>
          <w:rFonts w:ascii="Garamond" w:hAnsi="Garamond"/>
          <w:sz w:val="22"/>
          <w:szCs w:val="22"/>
        </w:rPr>
        <w:t xml:space="preserve">was </w:t>
      </w:r>
      <w:r w:rsidR="00B34389">
        <w:rPr>
          <w:rFonts w:ascii="Garamond" w:hAnsi="Garamond"/>
          <w:sz w:val="22"/>
          <w:szCs w:val="22"/>
        </w:rPr>
        <w:t xml:space="preserve">attributable to considerable depreciation of </w:t>
      </w:r>
      <w:r w:rsidR="007D3E20" w:rsidRPr="007D3E20">
        <w:rPr>
          <w:rFonts w:ascii="Garamond" w:hAnsi="Garamond"/>
          <w:sz w:val="22"/>
          <w:szCs w:val="22"/>
        </w:rPr>
        <w:t xml:space="preserve">exchange rates in </w:t>
      </w:r>
      <w:r w:rsidR="00B34389">
        <w:rPr>
          <w:rFonts w:ascii="Garamond" w:hAnsi="Garamond"/>
          <w:sz w:val="22"/>
          <w:szCs w:val="22"/>
        </w:rPr>
        <w:t xml:space="preserve">the </w:t>
      </w:r>
      <w:r w:rsidR="007D3E20" w:rsidRPr="007D3E20">
        <w:rPr>
          <w:rFonts w:ascii="Garamond" w:hAnsi="Garamond"/>
          <w:sz w:val="22"/>
          <w:szCs w:val="22"/>
        </w:rPr>
        <w:t>ma</w:t>
      </w:r>
      <w:r w:rsidR="00B34389">
        <w:rPr>
          <w:rFonts w:ascii="Garamond" w:hAnsi="Garamond"/>
          <w:sz w:val="22"/>
          <w:szCs w:val="22"/>
        </w:rPr>
        <w:t xml:space="preserve">in </w:t>
      </w:r>
      <w:r w:rsidR="007D3E20" w:rsidRPr="007D3E20">
        <w:rPr>
          <w:rFonts w:ascii="Garamond" w:hAnsi="Garamond"/>
          <w:sz w:val="22"/>
          <w:szCs w:val="22"/>
        </w:rPr>
        <w:t xml:space="preserve">partner countries, </w:t>
      </w:r>
      <w:r w:rsidR="00B34389">
        <w:rPr>
          <w:rFonts w:ascii="Garamond" w:hAnsi="Garamond"/>
          <w:sz w:val="22"/>
          <w:szCs w:val="22"/>
        </w:rPr>
        <w:t>and this</w:t>
      </w:r>
      <w:r w:rsidR="007D3E20" w:rsidRPr="007D3E20">
        <w:rPr>
          <w:rFonts w:ascii="Garamond" w:hAnsi="Garamond"/>
          <w:sz w:val="22"/>
          <w:szCs w:val="22"/>
        </w:rPr>
        <w:t xml:space="preserve"> </w:t>
      </w:r>
      <w:r w:rsidR="00B34389">
        <w:rPr>
          <w:rFonts w:ascii="Garamond" w:hAnsi="Garamond"/>
          <w:sz w:val="22"/>
          <w:szCs w:val="22"/>
        </w:rPr>
        <w:t xml:space="preserve">has </w:t>
      </w:r>
      <w:r w:rsidR="007D3E20" w:rsidRPr="007D3E20">
        <w:rPr>
          <w:rFonts w:ascii="Garamond" w:hAnsi="Garamond"/>
          <w:sz w:val="22"/>
          <w:szCs w:val="22"/>
        </w:rPr>
        <w:t>already partly reflected on the prices of goods and services imported from these countries.</w:t>
      </w:r>
      <w:r w:rsidR="00B34389">
        <w:rPr>
          <w:rFonts w:ascii="Garamond" w:hAnsi="Garamond"/>
          <w:sz w:val="22"/>
          <w:szCs w:val="22"/>
        </w:rPr>
        <w:t xml:space="preserve"> </w:t>
      </w:r>
    </w:p>
    <w:p w14:paraId="34282151" w14:textId="77777777" w:rsidR="001E0112" w:rsidRDefault="001E0112" w:rsidP="00781ACF">
      <w:pPr>
        <w:autoSpaceDE w:val="0"/>
        <w:autoSpaceDN w:val="0"/>
        <w:adjustRightInd w:val="0"/>
        <w:spacing w:after="120" w:line="360" w:lineRule="auto"/>
        <w:jc w:val="both"/>
        <w:rPr>
          <w:rFonts w:ascii="Garamond" w:hAnsi="Garamond"/>
          <w:b/>
          <w:color w:val="0070C0"/>
          <w:sz w:val="22"/>
          <w:szCs w:val="22"/>
        </w:rPr>
      </w:pPr>
    </w:p>
    <w:p w14:paraId="0292F912"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5B69D671"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p w14:paraId="0654A205" w14:textId="1548DE0F"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In the period under review, the </w:t>
      </w:r>
      <w:r w:rsidR="00E157AB" w:rsidRPr="00EE5F0F">
        <w:rPr>
          <w:rFonts w:ascii="Garamond" w:hAnsi="Garamond"/>
          <w:b/>
          <w:sz w:val="22"/>
          <w:szCs w:val="22"/>
        </w:rPr>
        <w:t xml:space="preserve">GDP </w:t>
      </w:r>
      <w:r w:rsidR="00E157AB">
        <w:rPr>
          <w:rFonts w:ascii="Garamond" w:hAnsi="Garamond"/>
          <w:b/>
          <w:sz w:val="22"/>
          <w:szCs w:val="22"/>
        </w:rPr>
        <w:t xml:space="preserve">gap </w:t>
      </w:r>
      <w:r w:rsidR="001E0112">
        <w:rPr>
          <w:rFonts w:ascii="Garamond" w:hAnsi="Garamond"/>
          <w:b/>
          <w:sz w:val="22"/>
          <w:szCs w:val="22"/>
        </w:rPr>
        <w:t xml:space="preserve">was </w:t>
      </w:r>
      <w:r w:rsidRPr="00EE5F0F">
        <w:rPr>
          <w:rFonts w:ascii="Garamond" w:hAnsi="Garamond"/>
          <w:b/>
          <w:sz w:val="22"/>
          <w:szCs w:val="22"/>
        </w:rPr>
        <w:t>estimat</w:t>
      </w:r>
      <w:r w:rsidR="001E0112">
        <w:rPr>
          <w:rFonts w:ascii="Garamond" w:hAnsi="Garamond"/>
          <w:b/>
          <w:sz w:val="22"/>
          <w:szCs w:val="22"/>
        </w:rPr>
        <w:t>ed to have neared zero</w:t>
      </w:r>
      <w:r w:rsidRPr="00EE5F0F">
        <w:rPr>
          <w:rFonts w:ascii="Garamond" w:hAnsi="Garamond"/>
          <w:b/>
          <w:sz w:val="22"/>
          <w:szCs w:val="22"/>
        </w:rPr>
        <w:t xml:space="preserve">. </w:t>
      </w:r>
      <w:r w:rsidRPr="00EE5F0F">
        <w:rPr>
          <w:rFonts w:ascii="Garamond" w:hAnsi="Garamond"/>
          <w:sz w:val="22"/>
          <w:szCs w:val="22"/>
        </w:rPr>
        <w:t xml:space="preserve">The expansionary monetary policy the Central Bank has been implementing since 2016, the growth in external demand, money transfers and lending all have contributed to the notable </w:t>
      </w:r>
      <w:r w:rsidR="00B9113E">
        <w:rPr>
          <w:rFonts w:ascii="Garamond" w:hAnsi="Garamond"/>
          <w:sz w:val="22"/>
          <w:szCs w:val="22"/>
        </w:rPr>
        <w:t>contraction of</w:t>
      </w:r>
      <w:r w:rsidRPr="00EE5F0F">
        <w:rPr>
          <w:rFonts w:ascii="Garamond" w:hAnsi="Garamond"/>
          <w:sz w:val="22"/>
          <w:szCs w:val="22"/>
        </w:rPr>
        <w:t xml:space="preserve"> the GDP gap</w:t>
      </w:r>
      <w:r w:rsidR="00B9113E">
        <w:rPr>
          <w:rFonts w:ascii="Garamond" w:hAnsi="Garamond"/>
          <w:sz w:val="22"/>
          <w:szCs w:val="22"/>
        </w:rPr>
        <w:t xml:space="preserve">. </w:t>
      </w:r>
      <w:r w:rsidR="00220202">
        <w:rPr>
          <w:rFonts w:ascii="Garamond" w:hAnsi="Garamond"/>
          <w:sz w:val="22"/>
          <w:szCs w:val="22"/>
        </w:rPr>
        <w:t>S</w:t>
      </w:r>
      <w:r w:rsidRPr="00EE5F0F">
        <w:rPr>
          <w:rFonts w:ascii="Garamond" w:hAnsi="Garamond"/>
          <w:sz w:val="22"/>
          <w:szCs w:val="22"/>
        </w:rPr>
        <w:t xml:space="preserve">tarting from end-2017, </w:t>
      </w:r>
      <w:r w:rsidR="00F53C79">
        <w:rPr>
          <w:rFonts w:ascii="Garamond" w:hAnsi="Garamond"/>
          <w:sz w:val="22"/>
          <w:szCs w:val="22"/>
        </w:rPr>
        <w:t xml:space="preserve">considerable </w:t>
      </w:r>
      <w:r w:rsidR="00220202" w:rsidRPr="00220202">
        <w:rPr>
          <w:rFonts w:ascii="Garamond" w:hAnsi="Garamond"/>
          <w:sz w:val="22"/>
          <w:szCs w:val="22"/>
        </w:rPr>
        <w:t xml:space="preserve">growth of investment has </w:t>
      </w:r>
      <w:r w:rsidR="00F53C79" w:rsidRPr="00EE5F0F">
        <w:rPr>
          <w:rFonts w:ascii="Garamond" w:hAnsi="Garamond"/>
          <w:sz w:val="22"/>
          <w:szCs w:val="22"/>
        </w:rPr>
        <w:t xml:space="preserve">facilitated the shaping of </w:t>
      </w:r>
      <w:r w:rsidR="00F53C79">
        <w:rPr>
          <w:rFonts w:ascii="Garamond" w:hAnsi="Garamond"/>
          <w:sz w:val="22"/>
          <w:szCs w:val="22"/>
        </w:rPr>
        <w:t>a</w:t>
      </w:r>
      <w:r w:rsidR="00220202" w:rsidRPr="00220202">
        <w:rPr>
          <w:rFonts w:ascii="Garamond" w:hAnsi="Garamond"/>
          <w:sz w:val="22"/>
          <w:szCs w:val="22"/>
        </w:rPr>
        <w:t xml:space="preserve"> positive GDP gap, which, as </w:t>
      </w:r>
      <w:r w:rsidR="00F53C79">
        <w:rPr>
          <w:rFonts w:ascii="Garamond" w:hAnsi="Garamond"/>
          <w:sz w:val="22"/>
          <w:szCs w:val="22"/>
        </w:rPr>
        <w:t xml:space="preserve">was </w:t>
      </w:r>
      <w:r w:rsidR="00220202" w:rsidRPr="00220202">
        <w:rPr>
          <w:rFonts w:ascii="Garamond" w:hAnsi="Garamond"/>
          <w:sz w:val="22"/>
          <w:szCs w:val="22"/>
        </w:rPr>
        <w:t xml:space="preserve">expected, will have a short-term impact on the GDP cycle component and create prerequisites for increasing the </w:t>
      </w:r>
      <w:r w:rsidR="001D1101">
        <w:rPr>
          <w:rFonts w:ascii="Garamond" w:hAnsi="Garamond"/>
          <w:sz w:val="22"/>
          <w:szCs w:val="22"/>
        </w:rPr>
        <w:t xml:space="preserve">economy`s </w:t>
      </w:r>
      <w:r w:rsidR="00F53C79">
        <w:rPr>
          <w:rFonts w:ascii="Garamond" w:hAnsi="Garamond"/>
          <w:sz w:val="22"/>
          <w:szCs w:val="22"/>
        </w:rPr>
        <w:t>productive c</w:t>
      </w:r>
      <w:r w:rsidR="00220202" w:rsidRPr="00220202">
        <w:rPr>
          <w:rFonts w:ascii="Garamond" w:hAnsi="Garamond"/>
          <w:sz w:val="22"/>
          <w:szCs w:val="22"/>
        </w:rPr>
        <w:t>apacity in the medium term.</w:t>
      </w:r>
      <w:r w:rsidR="00F53C79">
        <w:rPr>
          <w:rFonts w:ascii="Garamond" w:hAnsi="Garamond"/>
          <w:sz w:val="22"/>
          <w:szCs w:val="22"/>
        </w:rPr>
        <w:t xml:space="preserve"> </w:t>
      </w:r>
      <w:r w:rsidR="00DD11A7" w:rsidRPr="00DD11A7">
        <w:rPr>
          <w:rFonts w:ascii="Garamond" w:hAnsi="Garamond"/>
          <w:sz w:val="22"/>
          <w:szCs w:val="22"/>
        </w:rPr>
        <w:t xml:space="preserve">As a result, the positive GDP gap </w:t>
      </w:r>
      <w:r w:rsidR="006A290D">
        <w:rPr>
          <w:rFonts w:ascii="Garamond" w:hAnsi="Garamond"/>
          <w:sz w:val="22"/>
          <w:szCs w:val="22"/>
        </w:rPr>
        <w:t xml:space="preserve">which persisted over two quarters </w:t>
      </w:r>
      <w:r w:rsidR="00DD11A7" w:rsidRPr="00DD11A7">
        <w:rPr>
          <w:rFonts w:ascii="Garamond" w:hAnsi="Garamond"/>
          <w:sz w:val="22"/>
          <w:szCs w:val="22"/>
        </w:rPr>
        <w:t xml:space="preserve">is </w:t>
      </w:r>
      <w:r w:rsidR="00F24E0C">
        <w:rPr>
          <w:rFonts w:ascii="Garamond" w:hAnsi="Garamond"/>
          <w:sz w:val="22"/>
          <w:szCs w:val="22"/>
        </w:rPr>
        <w:t xml:space="preserve">estimated </w:t>
      </w:r>
      <w:r w:rsidR="00DD11A7" w:rsidRPr="00DD11A7">
        <w:rPr>
          <w:rFonts w:ascii="Garamond" w:hAnsi="Garamond"/>
          <w:sz w:val="22"/>
          <w:szCs w:val="22"/>
        </w:rPr>
        <w:t>close to zero in the second quarter of 2018, with the impact o</w:t>
      </w:r>
      <w:r w:rsidR="002574A2">
        <w:rPr>
          <w:rFonts w:ascii="Garamond" w:hAnsi="Garamond"/>
          <w:sz w:val="22"/>
          <w:szCs w:val="22"/>
        </w:rPr>
        <w:t>n</w:t>
      </w:r>
      <w:r w:rsidR="00DD11A7" w:rsidRPr="00DD11A7">
        <w:rPr>
          <w:rFonts w:ascii="Garamond" w:hAnsi="Garamond"/>
          <w:sz w:val="22"/>
          <w:szCs w:val="22"/>
        </w:rPr>
        <w:t xml:space="preserve"> inflation being neutral.</w:t>
      </w:r>
      <w:r w:rsidR="002574A2">
        <w:rPr>
          <w:rFonts w:ascii="Garamond" w:hAnsi="Garamond"/>
          <w:sz w:val="22"/>
          <w:szCs w:val="22"/>
        </w:rPr>
        <w:t xml:space="preserve"> </w:t>
      </w:r>
      <w:r w:rsidR="00F24E0C" w:rsidRPr="00F24E0C">
        <w:rPr>
          <w:rFonts w:ascii="Garamond" w:hAnsi="Garamond"/>
          <w:sz w:val="22"/>
          <w:szCs w:val="22"/>
        </w:rPr>
        <w:t xml:space="preserve">Thus, the </w:t>
      </w:r>
      <w:r w:rsidR="00F24E0C">
        <w:rPr>
          <w:rFonts w:ascii="Garamond" w:hAnsi="Garamond"/>
          <w:sz w:val="22"/>
          <w:szCs w:val="22"/>
        </w:rPr>
        <w:t xml:space="preserve">contracted </w:t>
      </w:r>
      <w:r w:rsidR="00F24E0C" w:rsidRPr="00F24E0C">
        <w:rPr>
          <w:rFonts w:ascii="Garamond" w:hAnsi="Garamond"/>
          <w:sz w:val="22"/>
          <w:szCs w:val="22"/>
        </w:rPr>
        <w:t xml:space="preserve">GDP </w:t>
      </w:r>
      <w:r w:rsidR="00F24E0C">
        <w:rPr>
          <w:rFonts w:ascii="Garamond" w:hAnsi="Garamond"/>
          <w:sz w:val="22"/>
          <w:szCs w:val="22"/>
        </w:rPr>
        <w:t xml:space="preserve">gap mostly owed to </w:t>
      </w:r>
      <w:r w:rsidR="00F24E0C" w:rsidRPr="00F24E0C">
        <w:rPr>
          <w:rFonts w:ascii="Garamond" w:hAnsi="Garamond"/>
          <w:sz w:val="22"/>
          <w:szCs w:val="22"/>
        </w:rPr>
        <w:t>the slow</w:t>
      </w:r>
      <w:r w:rsidR="00F24E0C">
        <w:rPr>
          <w:rFonts w:ascii="Garamond" w:hAnsi="Garamond"/>
          <w:sz w:val="22"/>
          <w:szCs w:val="22"/>
        </w:rPr>
        <w:t xml:space="preserve">ing in the growth of </w:t>
      </w:r>
      <w:r w:rsidR="00F24E0C" w:rsidRPr="00F24E0C">
        <w:rPr>
          <w:rFonts w:ascii="Garamond" w:hAnsi="Garamond"/>
          <w:sz w:val="22"/>
          <w:szCs w:val="22"/>
        </w:rPr>
        <w:t xml:space="preserve">domestic demand (see </w:t>
      </w:r>
      <w:r w:rsidR="00F24E0C">
        <w:rPr>
          <w:rFonts w:ascii="Garamond" w:hAnsi="Garamond"/>
          <w:sz w:val="22"/>
          <w:szCs w:val="22"/>
        </w:rPr>
        <w:t>sub</w:t>
      </w:r>
      <w:r w:rsidR="00F24E0C" w:rsidRPr="00F24E0C">
        <w:rPr>
          <w:rFonts w:ascii="Garamond" w:hAnsi="Garamond"/>
          <w:sz w:val="22"/>
          <w:szCs w:val="22"/>
        </w:rPr>
        <w:t xml:space="preserve">section 3.2.2), </w:t>
      </w:r>
      <w:r w:rsidR="00F24E0C">
        <w:rPr>
          <w:rFonts w:ascii="Garamond" w:hAnsi="Garamond"/>
          <w:sz w:val="22"/>
          <w:szCs w:val="22"/>
        </w:rPr>
        <w:t xml:space="preserve">pointing also to </w:t>
      </w:r>
      <w:r w:rsidR="003616E9">
        <w:rPr>
          <w:rFonts w:ascii="Garamond" w:hAnsi="Garamond"/>
          <w:sz w:val="22"/>
          <w:szCs w:val="22"/>
        </w:rPr>
        <w:t>the decelerated core i</w:t>
      </w:r>
      <w:r w:rsidR="00F24E0C" w:rsidRPr="00F24E0C">
        <w:rPr>
          <w:rFonts w:ascii="Garamond" w:hAnsi="Garamond"/>
          <w:sz w:val="22"/>
          <w:szCs w:val="22"/>
        </w:rPr>
        <w:t xml:space="preserve">nflation </w:t>
      </w:r>
      <w:r w:rsidR="003616E9">
        <w:rPr>
          <w:rFonts w:ascii="Garamond" w:hAnsi="Garamond"/>
          <w:sz w:val="22"/>
          <w:szCs w:val="22"/>
        </w:rPr>
        <w:t xml:space="preserve">rate </w:t>
      </w:r>
      <w:r w:rsidR="00F24E0C" w:rsidRPr="00F24E0C">
        <w:rPr>
          <w:rFonts w:ascii="Garamond" w:hAnsi="Garamond"/>
          <w:sz w:val="22"/>
          <w:szCs w:val="22"/>
        </w:rPr>
        <w:t xml:space="preserve">in the </w:t>
      </w:r>
      <w:r w:rsidR="003616E9">
        <w:rPr>
          <w:rFonts w:ascii="Garamond" w:hAnsi="Garamond"/>
          <w:sz w:val="22"/>
          <w:szCs w:val="22"/>
        </w:rPr>
        <w:t>period under review</w:t>
      </w:r>
      <w:r w:rsidR="00F24E0C" w:rsidRPr="00F24E0C">
        <w:rPr>
          <w:rFonts w:ascii="Garamond" w:hAnsi="Garamond"/>
          <w:sz w:val="22"/>
          <w:szCs w:val="22"/>
        </w:rPr>
        <w:t xml:space="preserve"> (see </w:t>
      </w:r>
      <w:r w:rsidR="003616E9">
        <w:rPr>
          <w:rFonts w:ascii="Garamond" w:hAnsi="Garamond"/>
          <w:sz w:val="22"/>
          <w:szCs w:val="22"/>
        </w:rPr>
        <w:t>sub</w:t>
      </w:r>
      <w:r w:rsidR="00F24E0C" w:rsidRPr="00F24E0C">
        <w:rPr>
          <w:rFonts w:ascii="Garamond" w:hAnsi="Garamond"/>
          <w:sz w:val="22"/>
          <w:szCs w:val="22"/>
        </w:rPr>
        <w:t>section 2.2.1).</w:t>
      </w:r>
    </w:p>
    <w:p w14:paraId="77D852AF"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p w14:paraId="40E8FE9B" w14:textId="77777777" w:rsidR="00781ACF" w:rsidRPr="00EE5F0F" w:rsidRDefault="00E21DBB"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EE5F0F">
        <w:rPr>
          <w:rFonts w:ascii="Garamond" w:hAnsi="Garamond"/>
          <w:sz w:val="22"/>
          <w:szCs w:val="22"/>
        </w:rPr>
        <w:t xml:space="preserve">he growth rate of </w:t>
      </w:r>
      <w:r>
        <w:rPr>
          <w:rFonts w:ascii="Garamond" w:hAnsi="Garamond"/>
          <w:sz w:val="22"/>
          <w:szCs w:val="22"/>
        </w:rPr>
        <w:t xml:space="preserve">private </w:t>
      </w:r>
      <w:r w:rsidRPr="00EE5F0F">
        <w:rPr>
          <w:rFonts w:ascii="Garamond" w:hAnsi="Garamond"/>
          <w:sz w:val="22"/>
          <w:szCs w:val="22"/>
        </w:rPr>
        <w:t xml:space="preserve">demand </w:t>
      </w:r>
      <w:r>
        <w:rPr>
          <w:rFonts w:ascii="Garamond" w:hAnsi="Garamond"/>
          <w:sz w:val="22"/>
          <w:szCs w:val="22"/>
        </w:rPr>
        <w:t xml:space="preserve">was still high </w:t>
      </w:r>
      <w:r w:rsidR="00781ACF" w:rsidRPr="00EE5F0F">
        <w:rPr>
          <w:rFonts w:ascii="Garamond" w:hAnsi="Garamond"/>
          <w:sz w:val="22"/>
          <w:szCs w:val="22"/>
        </w:rPr>
        <w:t xml:space="preserve">in the </w:t>
      </w:r>
      <w:r>
        <w:rPr>
          <w:rFonts w:ascii="Garamond" w:hAnsi="Garamond"/>
          <w:sz w:val="22"/>
          <w:szCs w:val="22"/>
        </w:rPr>
        <w:t>second</w:t>
      </w:r>
      <w:r w:rsidR="00781ACF" w:rsidRPr="00EE5F0F">
        <w:rPr>
          <w:rFonts w:ascii="Garamond" w:hAnsi="Garamond"/>
          <w:sz w:val="22"/>
          <w:szCs w:val="22"/>
        </w:rPr>
        <w:t xml:space="preserve"> quarter of 2018</w:t>
      </w:r>
      <w:r>
        <w:rPr>
          <w:rFonts w:ascii="Garamond" w:hAnsi="Garamond"/>
          <w:sz w:val="22"/>
          <w:szCs w:val="22"/>
        </w:rPr>
        <w:t>.</w:t>
      </w:r>
      <w:r w:rsidR="00781ACF" w:rsidRPr="00EE5F0F">
        <w:rPr>
          <w:rFonts w:ascii="Garamond" w:hAnsi="Garamond"/>
          <w:sz w:val="22"/>
          <w:szCs w:val="22"/>
        </w:rPr>
        <w:t xml:space="preserve"> With an anticipated </w:t>
      </w:r>
      <w:r>
        <w:rPr>
          <w:rFonts w:ascii="Garamond" w:hAnsi="Garamond"/>
          <w:sz w:val="22"/>
          <w:szCs w:val="22"/>
        </w:rPr>
        <w:t>5</w:t>
      </w:r>
      <w:r w:rsidR="00781ACF" w:rsidRPr="00EE5F0F">
        <w:rPr>
          <w:rFonts w:ascii="Garamond" w:hAnsi="Garamond"/>
          <w:sz w:val="22"/>
          <w:szCs w:val="22"/>
        </w:rPr>
        <w:t>.</w:t>
      </w:r>
      <w:r>
        <w:rPr>
          <w:rFonts w:ascii="Garamond" w:hAnsi="Garamond"/>
          <w:sz w:val="22"/>
          <w:szCs w:val="22"/>
        </w:rPr>
        <w:t>8</w:t>
      </w:r>
      <w:r w:rsidR="00781ACF" w:rsidRPr="00EE5F0F">
        <w:rPr>
          <w:rFonts w:ascii="Garamond" w:hAnsi="Garamond"/>
          <w:sz w:val="22"/>
          <w:szCs w:val="22"/>
        </w:rPr>
        <w:t xml:space="preserve">% economic growth, </w:t>
      </w:r>
      <w:r>
        <w:rPr>
          <w:rFonts w:ascii="Garamond" w:hAnsi="Garamond"/>
          <w:sz w:val="22"/>
          <w:szCs w:val="22"/>
        </w:rPr>
        <w:t xml:space="preserve">the growth of </w:t>
      </w:r>
      <w:r w:rsidR="00781ACF" w:rsidRPr="00EE5F0F">
        <w:rPr>
          <w:rFonts w:ascii="Garamond" w:hAnsi="Garamond"/>
          <w:sz w:val="22"/>
          <w:szCs w:val="22"/>
        </w:rPr>
        <w:t xml:space="preserve">private spending </w:t>
      </w:r>
      <w:r>
        <w:rPr>
          <w:rFonts w:ascii="Garamond" w:hAnsi="Garamond"/>
          <w:sz w:val="22"/>
          <w:szCs w:val="22"/>
        </w:rPr>
        <w:t>will amount to 11</w:t>
      </w:r>
      <w:r w:rsidR="00781ACF" w:rsidRPr="00EE5F0F">
        <w:rPr>
          <w:rFonts w:ascii="Garamond" w:hAnsi="Garamond"/>
          <w:sz w:val="22"/>
          <w:szCs w:val="22"/>
        </w:rPr>
        <w:t>.</w:t>
      </w:r>
      <w:r>
        <w:rPr>
          <w:rFonts w:ascii="Garamond" w:hAnsi="Garamond"/>
          <w:sz w:val="22"/>
          <w:szCs w:val="22"/>
        </w:rPr>
        <w:t>5</w:t>
      </w:r>
      <w:r w:rsidR="00781ACF" w:rsidRPr="00EE5F0F">
        <w:rPr>
          <w:rFonts w:ascii="Garamond" w:hAnsi="Garamond"/>
          <w:sz w:val="22"/>
          <w:szCs w:val="22"/>
        </w:rPr>
        <w:t xml:space="preserve">%, which is </w:t>
      </w:r>
      <w:r>
        <w:rPr>
          <w:rFonts w:ascii="Garamond" w:hAnsi="Garamond"/>
          <w:sz w:val="22"/>
          <w:szCs w:val="22"/>
        </w:rPr>
        <w:t xml:space="preserve">notably above the </w:t>
      </w:r>
      <w:r w:rsidR="00781ACF" w:rsidRPr="00EE5F0F">
        <w:rPr>
          <w:rFonts w:ascii="Garamond" w:hAnsi="Garamond"/>
          <w:sz w:val="22"/>
          <w:szCs w:val="22"/>
        </w:rPr>
        <w:t xml:space="preserve">previous </w:t>
      </w:r>
      <w:r>
        <w:rPr>
          <w:rFonts w:ascii="Garamond" w:hAnsi="Garamond"/>
          <w:sz w:val="22"/>
          <w:szCs w:val="22"/>
        </w:rPr>
        <w:t>forecast value</w:t>
      </w:r>
      <w:r w:rsidR="00D95E41">
        <w:rPr>
          <w:rFonts w:ascii="Garamond" w:hAnsi="Garamond"/>
          <w:sz w:val="22"/>
          <w:szCs w:val="22"/>
        </w:rPr>
        <w:t xml:space="preserve"> driven by the higher-than-</w:t>
      </w:r>
      <w:r w:rsidR="00D95E41" w:rsidRPr="00D95E41">
        <w:rPr>
          <w:rFonts w:ascii="Garamond" w:hAnsi="Garamond"/>
          <w:sz w:val="22"/>
          <w:szCs w:val="22"/>
        </w:rPr>
        <w:t>expected</w:t>
      </w:r>
      <w:r w:rsidR="00D95E41">
        <w:rPr>
          <w:rFonts w:ascii="Garamond" w:hAnsi="Garamond"/>
          <w:sz w:val="22"/>
          <w:szCs w:val="22"/>
        </w:rPr>
        <w:t xml:space="preserve"> growth of investment</w:t>
      </w:r>
      <w:r w:rsidR="00D95E41" w:rsidRPr="00D95E41">
        <w:rPr>
          <w:rFonts w:ascii="Garamond" w:hAnsi="Garamond"/>
          <w:sz w:val="22"/>
          <w:szCs w:val="22"/>
        </w:rPr>
        <w:t>. The growth rate of private spending in the second quarter slowed down compared to the first quarter of 2018.</w:t>
      </w:r>
      <w:r w:rsidR="00781ACF" w:rsidRPr="00EE5F0F">
        <w:rPr>
          <w:rFonts w:ascii="Garamond" w:hAnsi="Garamond"/>
          <w:sz w:val="22"/>
          <w:szCs w:val="22"/>
        </w:rPr>
        <w:t xml:space="preserve">  </w:t>
      </w:r>
    </w:p>
    <w:p w14:paraId="457C640A" w14:textId="77777777" w:rsidR="00D44F48"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w:t>
      </w:r>
      <w:r w:rsidR="00D95E41">
        <w:rPr>
          <w:rFonts w:ascii="Garamond" w:hAnsi="Garamond"/>
          <w:sz w:val="22"/>
          <w:szCs w:val="22"/>
        </w:rPr>
        <w:t>11</w:t>
      </w:r>
      <w:r w:rsidRPr="00EE5F0F">
        <w:rPr>
          <w:rFonts w:ascii="Garamond" w:hAnsi="Garamond"/>
          <w:sz w:val="22"/>
          <w:szCs w:val="22"/>
        </w:rPr>
        <w:t>.</w:t>
      </w:r>
      <w:r w:rsidR="00D95E41">
        <w:rPr>
          <w:rFonts w:ascii="Garamond" w:hAnsi="Garamond"/>
          <w:sz w:val="22"/>
          <w:szCs w:val="22"/>
        </w:rPr>
        <w:t>5</w:t>
      </w:r>
      <w:r w:rsidRPr="00EE5F0F">
        <w:rPr>
          <w:rFonts w:ascii="Garamond" w:hAnsi="Garamond"/>
          <w:sz w:val="22"/>
          <w:szCs w:val="22"/>
        </w:rPr>
        <w:t xml:space="preserve">% growth of private spending in the </w:t>
      </w:r>
      <w:r w:rsidR="00D95E41">
        <w:rPr>
          <w:rFonts w:ascii="Garamond" w:hAnsi="Garamond"/>
          <w:sz w:val="22"/>
          <w:szCs w:val="22"/>
        </w:rPr>
        <w:t>second</w:t>
      </w:r>
      <w:r w:rsidRPr="00EE5F0F">
        <w:rPr>
          <w:rFonts w:ascii="Garamond" w:hAnsi="Garamond"/>
          <w:sz w:val="22"/>
          <w:szCs w:val="22"/>
        </w:rPr>
        <w:t xml:space="preserve"> quarter of 2018 is a result of increased private consumption (</w:t>
      </w:r>
      <w:r w:rsidR="00B35683">
        <w:rPr>
          <w:rFonts w:ascii="Garamond" w:hAnsi="Garamond"/>
          <w:sz w:val="22"/>
          <w:szCs w:val="22"/>
        </w:rPr>
        <w:t>1</w:t>
      </w:r>
      <w:r w:rsidRPr="00EE5F0F">
        <w:rPr>
          <w:rFonts w:ascii="Garamond" w:hAnsi="Garamond"/>
          <w:sz w:val="22"/>
          <w:szCs w:val="22"/>
        </w:rPr>
        <w:t>.</w:t>
      </w:r>
      <w:r w:rsidR="00B35683">
        <w:rPr>
          <w:rFonts w:ascii="Garamond" w:hAnsi="Garamond"/>
          <w:sz w:val="22"/>
          <w:szCs w:val="22"/>
        </w:rPr>
        <w:t>6</w:t>
      </w:r>
      <w:r w:rsidRPr="00EE5F0F">
        <w:rPr>
          <w:rFonts w:ascii="Garamond" w:hAnsi="Garamond"/>
          <w:sz w:val="22"/>
          <w:szCs w:val="22"/>
        </w:rPr>
        <w:t>%) and private investment (</w:t>
      </w:r>
      <w:r w:rsidR="00B35683">
        <w:rPr>
          <w:rFonts w:ascii="Garamond" w:hAnsi="Garamond"/>
          <w:sz w:val="22"/>
          <w:szCs w:val="22"/>
        </w:rPr>
        <w:t>about 70</w:t>
      </w:r>
      <w:r w:rsidRPr="00EE5F0F">
        <w:rPr>
          <w:rFonts w:ascii="Garamond" w:hAnsi="Garamond"/>
          <w:sz w:val="22"/>
          <w:szCs w:val="22"/>
        </w:rPr>
        <w:t xml:space="preserve">%). </w:t>
      </w:r>
      <w:r w:rsidR="00B35683">
        <w:rPr>
          <w:rFonts w:ascii="Garamond" w:hAnsi="Garamond"/>
          <w:sz w:val="22"/>
          <w:szCs w:val="22"/>
        </w:rPr>
        <w:t>The private consumption growth rate is still low, a</w:t>
      </w:r>
      <w:r w:rsidR="00B35683" w:rsidRPr="00B35683">
        <w:rPr>
          <w:rFonts w:ascii="Garamond" w:hAnsi="Garamond"/>
          <w:sz w:val="22"/>
          <w:szCs w:val="22"/>
        </w:rPr>
        <w:t xml:space="preserve">s was </w:t>
      </w:r>
      <w:r w:rsidR="00B35683">
        <w:rPr>
          <w:rFonts w:ascii="Garamond" w:hAnsi="Garamond"/>
          <w:sz w:val="22"/>
          <w:szCs w:val="22"/>
        </w:rPr>
        <w:t xml:space="preserve">anticipated. </w:t>
      </w:r>
      <w:r w:rsidR="006925C3" w:rsidRPr="006925C3">
        <w:rPr>
          <w:rFonts w:ascii="Garamond" w:hAnsi="Garamond"/>
          <w:sz w:val="22"/>
          <w:szCs w:val="22"/>
        </w:rPr>
        <w:t xml:space="preserve">The </w:t>
      </w:r>
      <w:r w:rsidR="006925C3">
        <w:rPr>
          <w:rFonts w:ascii="Garamond" w:hAnsi="Garamond"/>
          <w:sz w:val="22"/>
          <w:szCs w:val="22"/>
        </w:rPr>
        <w:t xml:space="preserve">shrinkage </w:t>
      </w:r>
      <w:r w:rsidR="006925C3" w:rsidRPr="006925C3">
        <w:rPr>
          <w:rFonts w:ascii="Garamond" w:hAnsi="Garamond"/>
          <w:sz w:val="22"/>
          <w:szCs w:val="22"/>
        </w:rPr>
        <w:t xml:space="preserve">in retail trade turnover </w:t>
      </w:r>
      <w:r w:rsidR="006925C3">
        <w:rPr>
          <w:rFonts w:ascii="Garamond" w:hAnsi="Garamond"/>
          <w:sz w:val="22"/>
          <w:szCs w:val="22"/>
        </w:rPr>
        <w:t xml:space="preserve">points to </w:t>
      </w:r>
      <w:r w:rsidR="00EC636E">
        <w:rPr>
          <w:rFonts w:ascii="Garamond" w:hAnsi="Garamond"/>
          <w:sz w:val="22"/>
          <w:szCs w:val="22"/>
        </w:rPr>
        <w:t>a sluggish activity in</w:t>
      </w:r>
      <w:r w:rsidR="006925C3" w:rsidRPr="006925C3">
        <w:rPr>
          <w:rFonts w:ascii="Garamond" w:hAnsi="Garamond"/>
          <w:sz w:val="22"/>
          <w:szCs w:val="22"/>
        </w:rPr>
        <w:t xml:space="preserve"> the consumer market in the second quarter.</w:t>
      </w:r>
      <w:r w:rsidR="00EC636E">
        <w:rPr>
          <w:rFonts w:ascii="Garamond" w:hAnsi="Garamond"/>
          <w:sz w:val="22"/>
          <w:szCs w:val="22"/>
        </w:rPr>
        <w:t xml:space="preserve"> </w:t>
      </w:r>
      <w:r w:rsidR="00A95B7F">
        <w:rPr>
          <w:rFonts w:ascii="Garamond" w:hAnsi="Garamond"/>
          <w:sz w:val="22"/>
          <w:szCs w:val="22"/>
        </w:rPr>
        <w:t xml:space="preserve">A substantial part of strong </w:t>
      </w:r>
      <w:r w:rsidR="00EC636E" w:rsidRPr="00EC636E">
        <w:rPr>
          <w:rFonts w:ascii="Garamond" w:hAnsi="Garamond"/>
          <w:sz w:val="22"/>
          <w:szCs w:val="22"/>
        </w:rPr>
        <w:t xml:space="preserve">investment </w:t>
      </w:r>
      <w:r w:rsidR="00A95B7F">
        <w:rPr>
          <w:rFonts w:ascii="Garamond" w:hAnsi="Garamond"/>
          <w:sz w:val="22"/>
          <w:szCs w:val="22"/>
        </w:rPr>
        <w:t xml:space="preserve">growth </w:t>
      </w:r>
      <w:r w:rsidR="00C766D6">
        <w:rPr>
          <w:rFonts w:ascii="Garamond" w:hAnsi="Garamond"/>
          <w:sz w:val="22"/>
          <w:szCs w:val="22"/>
        </w:rPr>
        <w:t xml:space="preserve">owed to the increased working capital inventories </w:t>
      </w:r>
      <w:r w:rsidR="00EC636E" w:rsidRPr="00EC636E">
        <w:rPr>
          <w:rFonts w:ascii="Garamond" w:hAnsi="Garamond"/>
          <w:sz w:val="22"/>
          <w:szCs w:val="22"/>
        </w:rPr>
        <w:t xml:space="preserve">as well as </w:t>
      </w:r>
      <w:r w:rsidR="00C766D6">
        <w:rPr>
          <w:rFonts w:ascii="Garamond" w:hAnsi="Garamond"/>
          <w:sz w:val="22"/>
          <w:szCs w:val="22"/>
        </w:rPr>
        <w:t xml:space="preserve">reported </w:t>
      </w:r>
      <w:r w:rsidR="00EC636E" w:rsidRPr="00EC636E">
        <w:rPr>
          <w:rFonts w:ascii="Garamond" w:hAnsi="Garamond"/>
          <w:sz w:val="22"/>
          <w:szCs w:val="22"/>
        </w:rPr>
        <w:t>high growth in the construction sector and a</w:t>
      </w:r>
      <w:r w:rsidR="00C766D6">
        <w:rPr>
          <w:rFonts w:ascii="Garamond" w:hAnsi="Garamond"/>
          <w:sz w:val="22"/>
          <w:szCs w:val="22"/>
        </w:rPr>
        <w:t>round</w:t>
      </w:r>
      <w:r w:rsidR="00EC636E" w:rsidRPr="00EC636E">
        <w:rPr>
          <w:rFonts w:ascii="Garamond" w:hAnsi="Garamond"/>
          <w:sz w:val="22"/>
          <w:szCs w:val="22"/>
        </w:rPr>
        <w:t xml:space="preserve"> 70% </w:t>
      </w:r>
      <w:r w:rsidR="00C766D6">
        <w:rPr>
          <w:rFonts w:ascii="Garamond" w:hAnsi="Garamond"/>
          <w:sz w:val="22"/>
          <w:szCs w:val="22"/>
        </w:rPr>
        <w:t xml:space="preserve">growth </w:t>
      </w:r>
      <w:r w:rsidR="00EC636E" w:rsidRPr="00EC636E">
        <w:rPr>
          <w:rFonts w:ascii="Garamond" w:hAnsi="Garamond"/>
          <w:sz w:val="22"/>
          <w:szCs w:val="22"/>
        </w:rPr>
        <w:t>in import</w:t>
      </w:r>
      <w:r w:rsidR="00C766D6">
        <w:rPr>
          <w:rFonts w:ascii="Garamond" w:hAnsi="Garamond"/>
          <w:sz w:val="22"/>
          <w:szCs w:val="22"/>
        </w:rPr>
        <w:t xml:space="preserve"> of</w:t>
      </w:r>
      <w:r w:rsidR="00EC636E" w:rsidRPr="00EC636E">
        <w:rPr>
          <w:rFonts w:ascii="Garamond" w:hAnsi="Garamond"/>
          <w:sz w:val="22"/>
          <w:szCs w:val="22"/>
        </w:rPr>
        <w:t xml:space="preserve"> </w:t>
      </w:r>
      <w:r w:rsidR="00C766D6">
        <w:rPr>
          <w:rFonts w:ascii="Garamond" w:hAnsi="Garamond"/>
          <w:sz w:val="22"/>
          <w:szCs w:val="22"/>
        </w:rPr>
        <w:t>intermediate g</w:t>
      </w:r>
      <w:r w:rsidR="00EC636E" w:rsidRPr="00EC636E">
        <w:rPr>
          <w:rFonts w:ascii="Garamond" w:hAnsi="Garamond"/>
          <w:sz w:val="22"/>
          <w:szCs w:val="22"/>
        </w:rPr>
        <w:t>oods.</w:t>
      </w:r>
      <w:r w:rsidR="00C766D6">
        <w:rPr>
          <w:rFonts w:ascii="Garamond" w:hAnsi="Garamond"/>
          <w:sz w:val="22"/>
          <w:szCs w:val="22"/>
        </w:rPr>
        <w:t xml:space="preserve"> </w:t>
      </w:r>
    </w:p>
    <w:p w14:paraId="5016A468"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p>
    <w:p w14:paraId="0FADFC48"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pace of growth of private spending </w:t>
      </w:r>
      <w:r w:rsidR="00D44F48">
        <w:rPr>
          <w:rFonts w:ascii="Garamond" w:hAnsi="Garamond"/>
          <w:sz w:val="22"/>
          <w:szCs w:val="22"/>
        </w:rPr>
        <w:t xml:space="preserve">observable since 2017 and persisted over </w:t>
      </w:r>
      <w:r w:rsidRPr="00EE5F0F">
        <w:rPr>
          <w:rFonts w:ascii="Garamond" w:hAnsi="Garamond"/>
          <w:sz w:val="22"/>
          <w:szCs w:val="22"/>
        </w:rPr>
        <w:t xml:space="preserve">the first </w:t>
      </w:r>
      <w:r w:rsidR="00D44F48">
        <w:rPr>
          <w:rFonts w:ascii="Garamond" w:hAnsi="Garamond"/>
          <w:sz w:val="22"/>
          <w:szCs w:val="22"/>
        </w:rPr>
        <w:t>half of 2018 wa</w:t>
      </w:r>
      <w:r w:rsidRPr="00EE5F0F">
        <w:rPr>
          <w:rFonts w:ascii="Garamond" w:hAnsi="Garamond"/>
          <w:sz w:val="22"/>
          <w:szCs w:val="22"/>
        </w:rPr>
        <w:t xml:space="preserve">s still above its equilibrium, </w:t>
      </w:r>
      <w:r w:rsidR="00D44F48" w:rsidRPr="00D44F48">
        <w:rPr>
          <w:rFonts w:ascii="Garamond" w:hAnsi="Garamond"/>
          <w:sz w:val="22"/>
          <w:szCs w:val="22"/>
        </w:rPr>
        <w:t xml:space="preserve">although it </w:t>
      </w:r>
      <w:r w:rsidR="00D44F48">
        <w:rPr>
          <w:rFonts w:ascii="Garamond" w:hAnsi="Garamond"/>
          <w:sz w:val="22"/>
          <w:szCs w:val="22"/>
        </w:rPr>
        <w:t xml:space="preserve">decelerated </w:t>
      </w:r>
      <w:r w:rsidR="00D44F48" w:rsidRPr="00D44F48">
        <w:rPr>
          <w:rFonts w:ascii="Garamond" w:hAnsi="Garamond"/>
          <w:sz w:val="22"/>
          <w:szCs w:val="22"/>
        </w:rPr>
        <w:t>in the second quarter compared to the first quarter.</w:t>
      </w:r>
      <w:r w:rsidR="00D44F48">
        <w:rPr>
          <w:rFonts w:ascii="Garamond" w:hAnsi="Garamond"/>
          <w:sz w:val="22"/>
          <w:szCs w:val="22"/>
        </w:rPr>
        <w:t xml:space="preserve"> </w:t>
      </w:r>
      <w:r w:rsidRPr="00EE5F0F">
        <w:rPr>
          <w:rFonts w:ascii="Garamond" w:hAnsi="Garamond"/>
          <w:sz w:val="22"/>
          <w:szCs w:val="22"/>
        </w:rPr>
        <w:t xml:space="preserve">As a </w:t>
      </w:r>
      <w:r w:rsidRPr="00EE5F0F">
        <w:rPr>
          <w:rFonts w:ascii="Garamond" w:hAnsi="Garamond"/>
          <w:sz w:val="22"/>
          <w:szCs w:val="22"/>
        </w:rPr>
        <w:lastRenderedPageBreak/>
        <w:t xml:space="preserve">result, the gap in private spending has narrowed </w:t>
      </w:r>
      <w:r w:rsidR="00D44F48">
        <w:rPr>
          <w:rFonts w:ascii="Garamond" w:hAnsi="Garamond"/>
          <w:sz w:val="22"/>
          <w:szCs w:val="22"/>
        </w:rPr>
        <w:t>in the period under review</w:t>
      </w:r>
      <w:r w:rsidRPr="00EE5F0F">
        <w:rPr>
          <w:rFonts w:ascii="Garamond" w:hAnsi="Garamond"/>
          <w:sz w:val="22"/>
          <w:szCs w:val="22"/>
        </w:rPr>
        <w:t xml:space="preserve">, </w:t>
      </w:r>
      <w:r w:rsidR="004F4131">
        <w:rPr>
          <w:rFonts w:ascii="Garamond" w:hAnsi="Garamond"/>
          <w:sz w:val="22"/>
          <w:szCs w:val="22"/>
        </w:rPr>
        <w:t xml:space="preserve">yet </w:t>
      </w:r>
      <w:r w:rsidRPr="00EE5F0F">
        <w:rPr>
          <w:rFonts w:ascii="Garamond" w:hAnsi="Garamond"/>
          <w:sz w:val="22"/>
          <w:szCs w:val="22"/>
        </w:rPr>
        <w:t xml:space="preserve">it is </w:t>
      </w:r>
      <w:r w:rsidR="004F4131">
        <w:rPr>
          <w:rFonts w:ascii="Garamond" w:hAnsi="Garamond"/>
          <w:sz w:val="22"/>
          <w:szCs w:val="22"/>
        </w:rPr>
        <w:t xml:space="preserve">estimated </w:t>
      </w:r>
      <w:r w:rsidR="004F4131" w:rsidRPr="004F4131">
        <w:rPr>
          <w:rFonts w:ascii="Garamond" w:hAnsi="Garamond"/>
          <w:sz w:val="22"/>
          <w:szCs w:val="22"/>
        </w:rPr>
        <w:t>slightly positive,</w:t>
      </w:r>
      <w:r w:rsidR="004F4131">
        <w:rPr>
          <w:rFonts w:ascii="Garamond" w:hAnsi="Garamond"/>
          <w:sz w:val="22"/>
          <w:szCs w:val="22"/>
        </w:rPr>
        <w:t xml:space="preserve"> with no considerable impact on inflation in</w:t>
      </w:r>
      <w:r w:rsidRPr="00EE5F0F">
        <w:rPr>
          <w:rFonts w:ascii="Garamond" w:hAnsi="Garamond"/>
          <w:sz w:val="22"/>
          <w:szCs w:val="22"/>
        </w:rPr>
        <w:t xml:space="preserve"> the </w:t>
      </w:r>
      <w:r w:rsidR="004F4131">
        <w:rPr>
          <w:rFonts w:ascii="Garamond" w:hAnsi="Garamond"/>
          <w:sz w:val="22"/>
          <w:szCs w:val="22"/>
        </w:rPr>
        <w:t xml:space="preserve">second </w:t>
      </w:r>
      <w:r w:rsidRPr="00EE5F0F">
        <w:rPr>
          <w:rFonts w:ascii="Garamond" w:hAnsi="Garamond"/>
          <w:sz w:val="22"/>
          <w:szCs w:val="22"/>
        </w:rPr>
        <w:t>quarter.</w:t>
      </w:r>
    </w:p>
    <w:p w14:paraId="20B4091C" w14:textId="4F35C4C6"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934879">
        <w:rPr>
          <w:rFonts w:ascii="Garamond" w:hAnsi="Garamond"/>
          <w:sz w:val="22"/>
          <w:szCs w:val="22"/>
        </w:rPr>
        <w:t>second</w:t>
      </w:r>
      <w:r w:rsidRPr="00EE5F0F">
        <w:rPr>
          <w:rFonts w:ascii="Garamond" w:hAnsi="Garamond"/>
          <w:sz w:val="22"/>
          <w:szCs w:val="22"/>
        </w:rPr>
        <w:t xml:space="preserve"> quarter of 2018, according to the Central Bank estimates, net real export affected the GDP growth negatively as a result of faster growth of real import </w:t>
      </w:r>
      <w:r w:rsidR="00E01179">
        <w:rPr>
          <w:rFonts w:ascii="Garamond" w:hAnsi="Garamond"/>
          <w:sz w:val="22"/>
          <w:szCs w:val="22"/>
        </w:rPr>
        <w:t xml:space="preserve">of goods and services </w:t>
      </w:r>
      <w:r w:rsidRPr="00EE5F0F">
        <w:rPr>
          <w:rFonts w:ascii="Garamond" w:hAnsi="Garamond"/>
          <w:sz w:val="22"/>
          <w:szCs w:val="22"/>
        </w:rPr>
        <w:t xml:space="preserve">over </w:t>
      </w:r>
      <w:r w:rsidR="00E01179">
        <w:rPr>
          <w:rFonts w:ascii="Garamond" w:hAnsi="Garamond"/>
          <w:sz w:val="22"/>
          <w:szCs w:val="22"/>
        </w:rPr>
        <w:t xml:space="preserve">those of </w:t>
      </w:r>
      <w:r w:rsidRPr="00EE5F0F">
        <w:rPr>
          <w:rFonts w:ascii="Garamond" w:hAnsi="Garamond"/>
          <w:sz w:val="22"/>
          <w:szCs w:val="22"/>
        </w:rPr>
        <w:t>export</w:t>
      </w:r>
      <w:r w:rsidR="003E765B">
        <w:rPr>
          <w:rFonts w:ascii="Garamond" w:hAnsi="Garamond"/>
          <w:sz w:val="22"/>
          <w:szCs w:val="22"/>
        </w:rPr>
        <w:t>,</w:t>
      </w:r>
      <w:r w:rsidR="00E01179">
        <w:rPr>
          <w:rFonts w:ascii="Garamond" w:hAnsi="Garamond"/>
          <w:sz w:val="22"/>
          <w:szCs w:val="22"/>
        </w:rPr>
        <w:t xml:space="preserve"> </w:t>
      </w:r>
      <w:r w:rsidR="003E765B">
        <w:rPr>
          <w:rFonts w:ascii="Garamond" w:hAnsi="Garamond"/>
          <w:sz w:val="22"/>
          <w:szCs w:val="22"/>
        </w:rPr>
        <w:t xml:space="preserve">since </w:t>
      </w:r>
      <w:r w:rsidR="003E765B" w:rsidRPr="003E765B">
        <w:rPr>
          <w:rFonts w:ascii="Garamond" w:hAnsi="Garamond"/>
          <w:sz w:val="22"/>
          <w:szCs w:val="22"/>
        </w:rPr>
        <w:t>domestic demand</w:t>
      </w:r>
      <w:r w:rsidR="003E765B">
        <w:rPr>
          <w:rFonts w:ascii="Garamond" w:hAnsi="Garamond"/>
          <w:sz w:val="22"/>
          <w:szCs w:val="22"/>
        </w:rPr>
        <w:t xml:space="preserve"> has posted a growth higher than anticipated. Thus,</w:t>
      </w:r>
      <w:r w:rsidRPr="00EE5F0F">
        <w:rPr>
          <w:rFonts w:ascii="Garamond" w:hAnsi="Garamond"/>
          <w:sz w:val="22"/>
          <w:szCs w:val="22"/>
        </w:rPr>
        <w:t xml:space="preserve"> while the real growth of export of goods and services reached 7.0%, the real growth of import exceeded the expectations, amounting to </w:t>
      </w:r>
      <w:r w:rsidR="003E765B">
        <w:rPr>
          <w:rFonts w:ascii="Garamond" w:hAnsi="Garamond"/>
          <w:sz w:val="22"/>
          <w:szCs w:val="22"/>
        </w:rPr>
        <w:t>1</w:t>
      </w:r>
      <w:r w:rsidRPr="00EE5F0F">
        <w:rPr>
          <w:rFonts w:ascii="Garamond" w:hAnsi="Garamond"/>
          <w:sz w:val="22"/>
          <w:szCs w:val="22"/>
        </w:rPr>
        <w:t>1.</w:t>
      </w:r>
      <w:r w:rsidR="003E765B">
        <w:rPr>
          <w:rFonts w:ascii="Garamond" w:hAnsi="Garamond"/>
          <w:sz w:val="22"/>
          <w:szCs w:val="22"/>
        </w:rPr>
        <w:t>3</w:t>
      </w:r>
      <w:r w:rsidRPr="00EE5F0F">
        <w:rPr>
          <w:rFonts w:ascii="Garamond" w:hAnsi="Garamond"/>
          <w:sz w:val="22"/>
          <w:szCs w:val="22"/>
        </w:rPr>
        <w:t>%</w:t>
      </w:r>
      <w:r w:rsidR="003E765B">
        <w:rPr>
          <w:rStyle w:val="FootnoteReference"/>
          <w:rFonts w:ascii="Garamond" w:hAnsi="Garamond"/>
          <w:sz w:val="22"/>
          <w:szCs w:val="22"/>
        </w:rPr>
        <w:footnoteReference w:customMarkFollows="1" w:id="7"/>
        <w:t>9</w:t>
      </w:r>
      <w:r w:rsidRPr="00EE5F0F">
        <w:rPr>
          <w:rFonts w:ascii="Garamond" w:hAnsi="Garamond"/>
          <w:sz w:val="22"/>
          <w:szCs w:val="22"/>
        </w:rPr>
        <w:t xml:space="preserve"> over the quarter.</w:t>
      </w:r>
      <w:r w:rsidR="003E765B">
        <w:rPr>
          <w:rFonts w:ascii="Garamond" w:hAnsi="Garamond"/>
          <w:sz w:val="22"/>
          <w:szCs w:val="22"/>
        </w:rPr>
        <w:t xml:space="preserve"> </w:t>
      </w:r>
      <w:r w:rsidR="00137E90">
        <w:rPr>
          <w:rFonts w:ascii="Garamond" w:hAnsi="Garamond"/>
          <w:sz w:val="22"/>
          <w:szCs w:val="22"/>
        </w:rPr>
        <w:t>The growth</w:t>
      </w:r>
      <w:r w:rsidR="003E765B" w:rsidRPr="003E765B">
        <w:rPr>
          <w:rFonts w:ascii="Garamond" w:hAnsi="Garamond"/>
          <w:sz w:val="22"/>
          <w:szCs w:val="22"/>
        </w:rPr>
        <w:t xml:space="preserve"> </w:t>
      </w:r>
      <w:r w:rsidR="00137E90">
        <w:rPr>
          <w:rFonts w:ascii="Garamond" w:hAnsi="Garamond"/>
          <w:sz w:val="22"/>
          <w:szCs w:val="22"/>
        </w:rPr>
        <w:t>of</w:t>
      </w:r>
      <w:r w:rsidR="003E765B" w:rsidRPr="003E765B">
        <w:rPr>
          <w:rFonts w:ascii="Garamond" w:hAnsi="Garamond"/>
          <w:sz w:val="22"/>
          <w:szCs w:val="22"/>
        </w:rPr>
        <w:t xml:space="preserve"> domestic demand is </w:t>
      </w:r>
      <w:r w:rsidR="00540F7F">
        <w:rPr>
          <w:rFonts w:ascii="Sylfaen" w:hAnsi="Sylfaen"/>
          <w:sz w:val="22"/>
          <w:szCs w:val="22"/>
        </w:rPr>
        <w:t>reflected with</w:t>
      </w:r>
      <w:r w:rsidR="00137E90">
        <w:rPr>
          <w:rFonts w:ascii="Garamond" w:hAnsi="Garamond"/>
          <w:sz w:val="22"/>
          <w:szCs w:val="22"/>
        </w:rPr>
        <w:t xml:space="preserve"> </w:t>
      </w:r>
      <w:r w:rsidR="00540F7F">
        <w:rPr>
          <w:rFonts w:ascii="Garamond" w:hAnsi="Garamond"/>
          <w:sz w:val="22"/>
          <w:szCs w:val="22"/>
        </w:rPr>
        <w:t xml:space="preserve">continued </w:t>
      </w:r>
      <w:r w:rsidR="00137E90">
        <w:rPr>
          <w:rFonts w:ascii="Garamond" w:hAnsi="Garamond"/>
          <w:sz w:val="22"/>
          <w:szCs w:val="22"/>
        </w:rPr>
        <w:t xml:space="preserve">high </w:t>
      </w:r>
      <w:r w:rsidR="003E765B" w:rsidRPr="003E765B">
        <w:rPr>
          <w:rFonts w:ascii="Garamond" w:hAnsi="Garamond"/>
          <w:sz w:val="22"/>
          <w:szCs w:val="22"/>
        </w:rPr>
        <w:t xml:space="preserve">growth </w:t>
      </w:r>
      <w:r w:rsidR="00137E90">
        <w:rPr>
          <w:rFonts w:ascii="Garamond" w:hAnsi="Garamond"/>
          <w:sz w:val="22"/>
          <w:szCs w:val="22"/>
        </w:rPr>
        <w:t xml:space="preserve">in the </w:t>
      </w:r>
      <w:r w:rsidR="003E765B" w:rsidRPr="003E765B">
        <w:rPr>
          <w:rFonts w:ascii="Garamond" w:hAnsi="Garamond"/>
          <w:sz w:val="22"/>
          <w:szCs w:val="22"/>
        </w:rPr>
        <w:t>import</w:t>
      </w:r>
      <w:r w:rsidR="00137E90">
        <w:rPr>
          <w:rFonts w:ascii="Garamond" w:hAnsi="Garamond"/>
          <w:sz w:val="22"/>
          <w:szCs w:val="22"/>
        </w:rPr>
        <w:t xml:space="preserve"> of intermediate goods</w:t>
      </w:r>
      <w:r w:rsidR="003E765B" w:rsidRPr="003E765B">
        <w:rPr>
          <w:rFonts w:ascii="Garamond" w:hAnsi="Garamond"/>
          <w:sz w:val="22"/>
          <w:szCs w:val="22"/>
        </w:rPr>
        <w:t>.</w:t>
      </w:r>
    </w:p>
    <w:p w14:paraId="35CE3E6E" w14:textId="77777777"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137E90">
        <w:rPr>
          <w:rFonts w:ascii="Garamond" w:hAnsi="Garamond"/>
          <w:sz w:val="22"/>
          <w:szCs w:val="22"/>
        </w:rPr>
        <w:t>second</w:t>
      </w:r>
      <w:r w:rsidRPr="00EE5F0F">
        <w:rPr>
          <w:rFonts w:ascii="Garamond" w:hAnsi="Garamond"/>
          <w:sz w:val="22"/>
          <w:szCs w:val="22"/>
        </w:rPr>
        <w:t xml:space="preserve"> quarter of 2018, the growth rates in dollar value of net remittances of individuals (seasonal workers’ income and personal transfers inclusive) </w:t>
      </w:r>
      <w:r w:rsidR="00E90953">
        <w:rPr>
          <w:rFonts w:ascii="Garamond" w:hAnsi="Garamond"/>
          <w:sz w:val="22"/>
          <w:szCs w:val="22"/>
        </w:rPr>
        <w:t xml:space="preserve">slowed down </w:t>
      </w:r>
      <w:r w:rsidRPr="00EE5F0F">
        <w:rPr>
          <w:rFonts w:ascii="Garamond" w:hAnsi="Garamond"/>
          <w:sz w:val="22"/>
          <w:szCs w:val="22"/>
        </w:rPr>
        <w:t xml:space="preserve">to an estimated </w:t>
      </w:r>
      <w:r w:rsidR="00E90953">
        <w:rPr>
          <w:rFonts w:ascii="Garamond" w:hAnsi="Garamond"/>
          <w:sz w:val="22"/>
          <w:szCs w:val="22"/>
        </w:rPr>
        <w:t>7</w:t>
      </w:r>
      <w:r w:rsidRPr="00EE5F0F">
        <w:rPr>
          <w:rFonts w:ascii="Garamond" w:hAnsi="Garamond"/>
          <w:sz w:val="22"/>
          <w:szCs w:val="22"/>
        </w:rPr>
        <w:t xml:space="preserve">.3% y/y, as the ruble exchange rate </w:t>
      </w:r>
      <w:r w:rsidR="00E90953">
        <w:rPr>
          <w:rFonts w:ascii="Garamond" w:hAnsi="Garamond"/>
          <w:sz w:val="22"/>
          <w:szCs w:val="22"/>
        </w:rPr>
        <w:t>de</w:t>
      </w:r>
      <w:r w:rsidRPr="00EE5F0F">
        <w:rPr>
          <w:rFonts w:ascii="Garamond" w:hAnsi="Garamond"/>
          <w:sz w:val="22"/>
          <w:szCs w:val="22"/>
        </w:rPr>
        <w:t>preciated versus the US dollar.</w:t>
      </w:r>
    </w:p>
    <w:p w14:paraId="443DD1D6" w14:textId="67E6B081" w:rsidR="00E90953" w:rsidRPr="00EE5F0F" w:rsidRDefault="00057E52"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C</w:t>
      </w:r>
      <w:r w:rsidR="00E90953" w:rsidRPr="00EE5F0F">
        <w:rPr>
          <w:rFonts w:ascii="Garamond" w:hAnsi="Garamond"/>
          <w:sz w:val="22"/>
          <w:szCs w:val="22"/>
        </w:rPr>
        <w:t xml:space="preserve">urrent account deficit-to-GDP ratio rose in the </w:t>
      </w:r>
      <w:r w:rsidR="00E90953">
        <w:rPr>
          <w:rFonts w:ascii="Garamond" w:hAnsi="Garamond"/>
          <w:sz w:val="22"/>
          <w:szCs w:val="22"/>
        </w:rPr>
        <w:t>second</w:t>
      </w:r>
      <w:r w:rsidR="00E90953" w:rsidRPr="00EE5F0F">
        <w:rPr>
          <w:rFonts w:ascii="Garamond" w:hAnsi="Garamond"/>
          <w:sz w:val="22"/>
          <w:szCs w:val="22"/>
        </w:rPr>
        <w:t xml:space="preserve"> quarter of 2018</w:t>
      </w:r>
      <w:r w:rsidR="008455F5">
        <w:rPr>
          <w:rFonts w:ascii="Garamond" w:hAnsi="Garamond"/>
          <w:sz w:val="22"/>
          <w:szCs w:val="22"/>
        </w:rPr>
        <w:t xml:space="preserve"> </w:t>
      </w:r>
      <w:r w:rsidR="00E90953" w:rsidRPr="00EE5F0F">
        <w:rPr>
          <w:rFonts w:ascii="Garamond" w:hAnsi="Garamond"/>
          <w:sz w:val="22"/>
          <w:szCs w:val="22"/>
        </w:rPr>
        <w:t xml:space="preserve">by about 4 pp as a result of </w:t>
      </w:r>
      <w:r w:rsidR="008455F5">
        <w:rPr>
          <w:rFonts w:ascii="Garamond" w:hAnsi="Garamond"/>
          <w:sz w:val="22"/>
          <w:szCs w:val="22"/>
        </w:rPr>
        <w:t xml:space="preserve">widened </w:t>
      </w:r>
      <w:r w:rsidR="00E90953" w:rsidRPr="00EE5F0F">
        <w:rPr>
          <w:rFonts w:ascii="Garamond" w:hAnsi="Garamond"/>
          <w:sz w:val="22"/>
          <w:szCs w:val="22"/>
        </w:rPr>
        <w:t>trade balance deficit</w:t>
      </w:r>
      <w:r>
        <w:rPr>
          <w:rFonts w:ascii="Garamond" w:hAnsi="Garamond"/>
          <w:sz w:val="22"/>
          <w:szCs w:val="22"/>
        </w:rPr>
        <w:t>, notwithstanding the increase of remittances</w:t>
      </w:r>
      <w:r w:rsidR="00E90953" w:rsidRPr="00EE5F0F">
        <w:rPr>
          <w:rFonts w:ascii="Garamond" w:hAnsi="Garamond"/>
          <w:sz w:val="22"/>
          <w:szCs w:val="22"/>
        </w:rPr>
        <w:t>.</w:t>
      </w:r>
    </w:p>
    <w:p w14:paraId="12A7CA59" w14:textId="77777777" w:rsidR="00F40F99" w:rsidRPr="000B4A00"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8455F5">
        <w:rPr>
          <w:rStyle w:val="FootnoteReference"/>
          <w:rFonts w:ascii="Garamond" w:hAnsi="Garamond"/>
          <w:b/>
          <w:sz w:val="22"/>
          <w:szCs w:val="22"/>
        </w:rPr>
        <w:footnoteReference w:customMarkFollows="1" w:id="8"/>
        <w:t>10</w:t>
      </w:r>
      <w:r w:rsidRPr="00EE5F0F">
        <w:rPr>
          <w:rFonts w:ascii="Garamond" w:hAnsi="Garamond"/>
          <w:b/>
          <w:sz w:val="22"/>
          <w:szCs w:val="22"/>
        </w:rPr>
        <w:t xml:space="preserve">: </w:t>
      </w:r>
      <w:r w:rsidRPr="00EE5F0F">
        <w:rPr>
          <w:rFonts w:ascii="Garamond" w:hAnsi="Garamond"/>
          <w:sz w:val="22"/>
          <w:szCs w:val="22"/>
        </w:rPr>
        <w:t xml:space="preserve">In the </w:t>
      </w:r>
      <w:r w:rsidR="008455F5">
        <w:rPr>
          <w:rFonts w:ascii="Garamond" w:hAnsi="Garamond"/>
          <w:sz w:val="22"/>
          <w:szCs w:val="22"/>
        </w:rPr>
        <w:t>second</w:t>
      </w:r>
      <w:r w:rsidRPr="00EE5F0F">
        <w:rPr>
          <w:rFonts w:ascii="Garamond" w:hAnsi="Garamond"/>
          <w:sz w:val="22"/>
          <w:szCs w:val="22"/>
        </w:rPr>
        <w:t xml:space="preserve"> quarter of 2018, the State Budget was performed with actual expenditures and revenues deviated from the Central Bank’s projections</w:t>
      </w:r>
      <w:r w:rsidR="008455F5">
        <w:rPr>
          <w:rStyle w:val="FootnoteReference"/>
          <w:rFonts w:ascii="Garamond" w:hAnsi="Garamond"/>
          <w:sz w:val="22"/>
          <w:szCs w:val="22"/>
        </w:rPr>
        <w:footnoteReference w:customMarkFollows="1" w:id="9"/>
        <w:t>11</w:t>
      </w:r>
      <w:r w:rsidRPr="00EE5F0F">
        <w:rPr>
          <w:rFonts w:ascii="Garamond" w:hAnsi="Garamond"/>
          <w:sz w:val="22"/>
          <w:szCs w:val="22"/>
        </w:rPr>
        <w:t xml:space="preserve">. </w:t>
      </w:r>
      <w:r w:rsidR="00271A46" w:rsidRPr="00271A46">
        <w:rPr>
          <w:rFonts w:ascii="Garamond" w:hAnsi="Garamond"/>
          <w:sz w:val="22"/>
          <w:szCs w:val="22"/>
        </w:rPr>
        <w:t xml:space="preserve">As </w:t>
      </w:r>
      <w:r w:rsidR="00271A46">
        <w:rPr>
          <w:rFonts w:ascii="Garamond" w:hAnsi="Garamond"/>
          <w:sz w:val="22"/>
          <w:szCs w:val="22"/>
        </w:rPr>
        <w:t xml:space="preserve">was outlined </w:t>
      </w:r>
      <w:r w:rsidR="00271A46" w:rsidRPr="00271A46">
        <w:rPr>
          <w:rFonts w:ascii="Garamond" w:hAnsi="Garamond"/>
          <w:sz w:val="22"/>
          <w:szCs w:val="22"/>
        </w:rPr>
        <w:t xml:space="preserve">in the previous </w:t>
      </w:r>
      <w:r w:rsidR="00271A46">
        <w:rPr>
          <w:rFonts w:ascii="Garamond" w:hAnsi="Garamond"/>
          <w:sz w:val="22"/>
          <w:szCs w:val="22"/>
        </w:rPr>
        <w:t xml:space="preserve">MP </w:t>
      </w:r>
      <w:r w:rsidR="00271A46" w:rsidRPr="00271A46">
        <w:rPr>
          <w:rFonts w:ascii="Garamond" w:hAnsi="Garamond"/>
          <w:sz w:val="22"/>
          <w:szCs w:val="22"/>
        </w:rPr>
        <w:t xml:space="preserve">program, there were risks to </w:t>
      </w:r>
      <w:r w:rsidR="00271A46">
        <w:rPr>
          <w:rFonts w:ascii="Garamond" w:hAnsi="Garamond"/>
          <w:sz w:val="22"/>
          <w:szCs w:val="22"/>
        </w:rPr>
        <w:t xml:space="preserve">the </w:t>
      </w:r>
      <w:r w:rsidR="00271A46" w:rsidRPr="00271A46">
        <w:rPr>
          <w:rFonts w:ascii="Garamond" w:hAnsi="Garamond"/>
          <w:sz w:val="22"/>
          <w:szCs w:val="22"/>
        </w:rPr>
        <w:t xml:space="preserve">fiscal policy </w:t>
      </w:r>
      <w:r w:rsidR="00271A46">
        <w:rPr>
          <w:rFonts w:ascii="Garamond" w:hAnsi="Garamond"/>
          <w:sz w:val="22"/>
          <w:szCs w:val="22"/>
        </w:rPr>
        <w:t xml:space="preserve">in connection with collecting of </w:t>
      </w:r>
      <w:r w:rsidR="00271A46" w:rsidRPr="00271A46">
        <w:rPr>
          <w:rFonts w:ascii="Garamond" w:hAnsi="Garamond"/>
          <w:sz w:val="22"/>
          <w:szCs w:val="22"/>
        </w:rPr>
        <w:t>revenue</w:t>
      </w:r>
      <w:r w:rsidR="00271A46">
        <w:rPr>
          <w:rFonts w:ascii="Garamond" w:hAnsi="Garamond"/>
          <w:sz w:val="22"/>
          <w:szCs w:val="22"/>
        </w:rPr>
        <w:t xml:space="preserve"> </w:t>
      </w:r>
      <w:r w:rsidR="00271A46" w:rsidRPr="00271A46">
        <w:rPr>
          <w:rFonts w:ascii="Garamond" w:hAnsi="Garamond"/>
          <w:sz w:val="22"/>
          <w:szCs w:val="22"/>
        </w:rPr>
        <w:t xml:space="preserve">and </w:t>
      </w:r>
      <w:r w:rsidR="00271A46">
        <w:rPr>
          <w:rFonts w:ascii="Garamond" w:hAnsi="Garamond"/>
          <w:sz w:val="22"/>
          <w:szCs w:val="22"/>
        </w:rPr>
        <w:t xml:space="preserve">making of expenditures. </w:t>
      </w:r>
      <w:r w:rsidR="000B4A00">
        <w:rPr>
          <w:rFonts w:ascii="Garamond" w:hAnsi="Garamond"/>
          <w:sz w:val="22"/>
          <w:szCs w:val="22"/>
        </w:rPr>
        <w:t>T</w:t>
      </w:r>
      <w:r w:rsidR="002D3047">
        <w:rPr>
          <w:rFonts w:ascii="Garamond" w:hAnsi="Garamond"/>
          <w:sz w:val="22"/>
          <w:szCs w:val="22"/>
        </w:rPr>
        <w:t xml:space="preserve">he quarter </w:t>
      </w:r>
      <w:r w:rsidR="000B4A00">
        <w:rPr>
          <w:rFonts w:ascii="Garamond" w:hAnsi="Garamond"/>
          <w:sz w:val="22"/>
          <w:szCs w:val="22"/>
        </w:rPr>
        <w:t>saw</w:t>
      </w:r>
      <w:r w:rsidR="002D3047">
        <w:rPr>
          <w:rFonts w:ascii="Garamond" w:hAnsi="Garamond"/>
          <w:sz w:val="22"/>
          <w:szCs w:val="22"/>
        </w:rPr>
        <w:t xml:space="preserve"> over-performed revenue</w:t>
      </w:r>
      <w:r w:rsidR="000B4A00">
        <w:rPr>
          <w:rFonts w:ascii="Garamond" w:hAnsi="Garamond"/>
          <w:sz w:val="22"/>
          <w:szCs w:val="22"/>
        </w:rPr>
        <w:t>s</w:t>
      </w:r>
      <w:r w:rsidR="002D3047">
        <w:rPr>
          <w:rFonts w:ascii="Garamond" w:hAnsi="Garamond"/>
          <w:sz w:val="22"/>
          <w:szCs w:val="22"/>
        </w:rPr>
        <w:t xml:space="preserve"> and low performance of expenditures</w:t>
      </w:r>
      <w:r w:rsidR="00271A46" w:rsidRPr="00271A46">
        <w:rPr>
          <w:rFonts w:ascii="Garamond" w:hAnsi="Garamond"/>
          <w:sz w:val="22"/>
          <w:szCs w:val="22"/>
        </w:rPr>
        <w:t>.</w:t>
      </w:r>
      <w:r w:rsidR="000B4A00">
        <w:rPr>
          <w:rFonts w:ascii="Garamond" w:hAnsi="Garamond"/>
          <w:sz w:val="22"/>
          <w:szCs w:val="22"/>
        </w:rPr>
        <w:t xml:space="preserve"> In the outcome, t</w:t>
      </w:r>
      <w:r w:rsidRPr="00EE5F0F">
        <w:rPr>
          <w:rFonts w:ascii="Garamond" w:hAnsi="Garamond"/>
          <w:sz w:val="22"/>
          <w:szCs w:val="22"/>
        </w:rPr>
        <w:t xml:space="preserve">he fiscal policy impulse on aggregate demand </w:t>
      </w:r>
      <w:r w:rsidR="000B4A00">
        <w:rPr>
          <w:rFonts w:ascii="Garamond" w:hAnsi="Garamond"/>
          <w:sz w:val="22"/>
          <w:szCs w:val="22"/>
        </w:rPr>
        <w:t>i</w:t>
      </w:r>
      <w:r w:rsidRPr="00EE5F0F">
        <w:rPr>
          <w:rFonts w:ascii="Garamond" w:hAnsi="Garamond"/>
          <w:sz w:val="22"/>
          <w:szCs w:val="22"/>
        </w:rPr>
        <w:t xml:space="preserve">s an estimated </w:t>
      </w:r>
      <w:r w:rsidR="000B4A00">
        <w:rPr>
          <w:rFonts w:ascii="Garamond" w:hAnsi="Garamond"/>
          <w:sz w:val="22"/>
          <w:szCs w:val="22"/>
        </w:rPr>
        <w:t>2</w:t>
      </w:r>
      <w:r w:rsidRPr="00EE5F0F">
        <w:rPr>
          <w:rFonts w:ascii="Garamond" w:hAnsi="Garamond"/>
          <w:sz w:val="22"/>
          <w:szCs w:val="22"/>
        </w:rPr>
        <w:t>.</w:t>
      </w:r>
      <w:r w:rsidR="000B4A00">
        <w:rPr>
          <w:rFonts w:ascii="Garamond" w:hAnsi="Garamond"/>
          <w:sz w:val="22"/>
          <w:szCs w:val="22"/>
        </w:rPr>
        <w:t>9</w:t>
      </w:r>
      <w:r w:rsidRPr="00EE5F0F">
        <w:rPr>
          <w:rFonts w:ascii="Garamond" w:hAnsi="Garamond"/>
          <w:sz w:val="22"/>
          <w:szCs w:val="22"/>
        </w:rPr>
        <w:t xml:space="preserve"> pp contractionary instead of the predicted 2.</w:t>
      </w:r>
      <w:r w:rsidR="000B4A00">
        <w:rPr>
          <w:rFonts w:ascii="Garamond" w:hAnsi="Garamond"/>
          <w:sz w:val="22"/>
          <w:szCs w:val="22"/>
        </w:rPr>
        <w:t>7</w:t>
      </w:r>
      <w:r w:rsidRPr="00EE5F0F">
        <w:rPr>
          <w:rFonts w:ascii="Garamond" w:hAnsi="Garamond"/>
          <w:sz w:val="22"/>
          <w:szCs w:val="22"/>
        </w:rPr>
        <w:t xml:space="preserve"> pp expansionary</w:t>
      </w:r>
      <w:r w:rsidR="000B4A00">
        <w:rPr>
          <w:rFonts w:ascii="Garamond" w:hAnsi="Garamond"/>
          <w:sz w:val="22"/>
          <w:szCs w:val="22"/>
        </w:rPr>
        <w:t xml:space="preserve">, </w:t>
      </w:r>
      <w:r w:rsidR="000B4A00" w:rsidRPr="00EE5F0F">
        <w:rPr>
          <w:rFonts w:ascii="Garamond" w:hAnsi="Garamond"/>
          <w:sz w:val="22"/>
          <w:szCs w:val="22"/>
        </w:rPr>
        <w:t xml:space="preserve">for the </w:t>
      </w:r>
      <w:r w:rsidR="000B4A00">
        <w:rPr>
          <w:rFonts w:ascii="Garamond" w:hAnsi="Garamond"/>
          <w:sz w:val="22"/>
          <w:szCs w:val="22"/>
        </w:rPr>
        <w:t>second quarter</w:t>
      </w:r>
      <w:r w:rsidRPr="00EE5F0F">
        <w:rPr>
          <w:rFonts w:ascii="Garamond" w:hAnsi="Garamond"/>
          <w:sz w:val="22"/>
          <w:szCs w:val="22"/>
        </w:rPr>
        <w:t>.</w:t>
      </w:r>
    </w:p>
    <w:p w14:paraId="4A0A765F"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D8091F">
        <w:rPr>
          <w:rFonts w:ascii="Garamond" w:hAnsi="Garamond"/>
          <w:color w:val="000000"/>
          <w:sz w:val="22"/>
          <w:szCs w:val="22"/>
        </w:rPr>
        <w:t>second</w:t>
      </w:r>
      <w:r w:rsidRPr="00EE5F0F">
        <w:rPr>
          <w:rFonts w:ascii="Garamond" w:hAnsi="Garamond"/>
          <w:color w:val="000000"/>
          <w:sz w:val="22"/>
          <w:szCs w:val="22"/>
        </w:rPr>
        <w:t xml:space="preserve"> quarter of 2018, budget revenues </w:t>
      </w:r>
      <w:r w:rsidR="00501718">
        <w:rPr>
          <w:rFonts w:ascii="Garamond" w:hAnsi="Garamond"/>
          <w:color w:val="000000"/>
          <w:sz w:val="22"/>
          <w:szCs w:val="22"/>
        </w:rPr>
        <w:t>made up 103.9</w:t>
      </w:r>
      <w:r w:rsidRPr="00EE5F0F">
        <w:rPr>
          <w:rFonts w:ascii="Garamond" w:hAnsi="Garamond"/>
          <w:color w:val="000000"/>
          <w:sz w:val="22"/>
          <w:szCs w:val="22"/>
        </w:rPr>
        <w:t xml:space="preserve">% </w:t>
      </w:r>
      <w:r w:rsidR="00501718">
        <w:rPr>
          <w:rFonts w:ascii="Garamond" w:hAnsi="Garamond"/>
          <w:color w:val="000000"/>
          <w:sz w:val="22"/>
          <w:szCs w:val="22"/>
        </w:rPr>
        <w:t>and tax revenues, 10</w:t>
      </w:r>
      <w:r w:rsidRPr="00EE5F0F">
        <w:rPr>
          <w:rFonts w:ascii="Garamond" w:hAnsi="Garamond"/>
          <w:color w:val="000000"/>
          <w:sz w:val="22"/>
          <w:szCs w:val="22"/>
        </w:rPr>
        <w:t>3.</w:t>
      </w:r>
      <w:r w:rsidR="00501718">
        <w:rPr>
          <w:rFonts w:ascii="Garamond" w:hAnsi="Garamond"/>
          <w:color w:val="000000"/>
          <w:sz w:val="22"/>
          <w:szCs w:val="22"/>
        </w:rPr>
        <w:t>6</w:t>
      </w:r>
      <w:r w:rsidRPr="00EE5F0F">
        <w:rPr>
          <w:rFonts w:ascii="Garamond" w:hAnsi="Garamond"/>
          <w:color w:val="000000"/>
          <w:sz w:val="22"/>
          <w:szCs w:val="22"/>
        </w:rPr>
        <w:t>%</w:t>
      </w:r>
      <w:r w:rsidR="00501718">
        <w:rPr>
          <w:rFonts w:ascii="Garamond" w:hAnsi="Garamond"/>
          <w:color w:val="000000"/>
          <w:sz w:val="22"/>
          <w:szCs w:val="22"/>
        </w:rPr>
        <w:t>,</w:t>
      </w:r>
      <w:r w:rsidRPr="00EE5F0F">
        <w:rPr>
          <w:rFonts w:ascii="Garamond" w:hAnsi="Garamond"/>
          <w:color w:val="000000"/>
          <w:sz w:val="22"/>
          <w:szCs w:val="22"/>
        </w:rPr>
        <w:t xml:space="preserve"> of the p</w:t>
      </w:r>
      <w:r w:rsidR="00501718">
        <w:rPr>
          <w:rFonts w:ascii="Garamond" w:hAnsi="Garamond"/>
          <w:color w:val="000000"/>
          <w:sz w:val="22"/>
          <w:szCs w:val="22"/>
        </w:rPr>
        <w:t xml:space="preserve">rojection. </w:t>
      </w:r>
      <w:r w:rsidRPr="00EE5F0F">
        <w:rPr>
          <w:rFonts w:ascii="Garamond" w:hAnsi="Garamond"/>
          <w:color w:val="000000"/>
          <w:sz w:val="22"/>
          <w:szCs w:val="22"/>
        </w:rPr>
        <w:t xml:space="preserve">The revenue impulse </w:t>
      </w:r>
      <w:r w:rsidR="00501718">
        <w:rPr>
          <w:rFonts w:ascii="Garamond" w:hAnsi="Garamond"/>
          <w:color w:val="000000"/>
          <w:sz w:val="22"/>
          <w:szCs w:val="22"/>
        </w:rPr>
        <w:t>was 0</w:t>
      </w:r>
      <w:r w:rsidRPr="00EE5F0F">
        <w:rPr>
          <w:rFonts w:ascii="Garamond" w:hAnsi="Garamond"/>
          <w:color w:val="000000"/>
          <w:sz w:val="22"/>
          <w:szCs w:val="22"/>
        </w:rPr>
        <w:t>.</w:t>
      </w:r>
      <w:r w:rsidR="00501718">
        <w:rPr>
          <w:rFonts w:ascii="Garamond" w:hAnsi="Garamond"/>
          <w:color w:val="000000"/>
          <w:sz w:val="22"/>
          <w:szCs w:val="22"/>
        </w:rPr>
        <w:t>3</w:t>
      </w:r>
      <w:r w:rsidRPr="00EE5F0F">
        <w:rPr>
          <w:rFonts w:ascii="Garamond" w:hAnsi="Garamond"/>
          <w:color w:val="000000"/>
          <w:sz w:val="22"/>
          <w:szCs w:val="22"/>
        </w:rPr>
        <w:t xml:space="preserve"> pp </w:t>
      </w:r>
      <w:r w:rsidR="00501718">
        <w:rPr>
          <w:rFonts w:ascii="Garamond" w:hAnsi="Garamond"/>
          <w:color w:val="000000"/>
          <w:sz w:val="22"/>
          <w:szCs w:val="22"/>
        </w:rPr>
        <w:t xml:space="preserve">contractionary </w:t>
      </w:r>
      <w:r w:rsidRPr="00EE5F0F">
        <w:rPr>
          <w:rFonts w:ascii="Garamond" w:hAnsi="Garamond"/>
          <w:color w:val="000000"/>
          <w:sz w:val="22"/>
          <w:szCs w:val="22"/>
        </w:rPr>
        <w:t xml:space="preserve">instead of the forecast </w:t>
      </w:r>
      <w:r w:rsidR="00501718">
        <w:rPr>
          <w:rFonts w:ascii="Garamond" w:hAnsi="Garamond"/>
          <w:color w:val="000000"/>
          <w:sz w:val="22"/>
          <w:szCs w:val="22"/>
        </w:rPr>
        <w:t>1</w:t>
      </w:r>
      <w:r w:rsidRPr="00EE5F0F">
        <w:rPr>
          <w:rFonts w:ascii="Garamond" w:hAnsi="Garamond"/>
          <w:color w:val="000000"/>
          <w:sz w:val="22"/>
          <w:szCs w:val="22"/>
        </w:rPr>
        <w:t>.</w:t>
      </w:r>
      <w:r w:rsidR="00501718">
        <w:rPr>
          <w:rFonts w:ascii="Garamond" w:hAnsi="Garamond"/>
          <w:color w:val="000000"/>
          <w:sz w:val="22"/>
          <w:szCs w:val="22"/>
        </w:rPr>
        <w:t>5</w:t>
      </w:r>
      <w:r w:rsidRPr="00EE5F0F">
        <w:rPr>
          <w:rFonts w:ascii="Garamond" w:hAnsi="Garamond"/>
          <w:color w:val="000000"/>
          <w:sz w:val="22"/>
          <w:szCs w:val="22"/>
        </w:rPr>
        <w:t xml:space="preserve"> pp </w:t>
      </w:r>
      <w:r w:rsidR="00501718">
        <w:rPr>
          <w:rFonts w:ascii="Garamond" w:hAnsi="Garamond"/>
          <w:color w:val="000000"/>
          <w:sz w:val="22"/>
          <w:szCs w:val="22"/>
        </w:rPr>
        <w:t>expansionary</w:t>
      </w:r>
      <w:r w:rsidRPr="00EE5F0F">
        <w:rPr>
          <w:rFonts w:ascii="Garamond" w:hAnsi="Garamond"/>
          <w:color w:val="000000"/>
          <w:sz w:val="22"/>
          <w:szCs w:val="22"/>
        </w:rPr>
        <w:t xml:space="preserve">, </w:t>
      </w:r>
      <w:r w:rsidR="0042326B">
        <w:rPr>
          <w:rFonts w:ascii="Garamond" w:hAnsi="Garamond"/>
          <w:color w:val="000000"/>
          <w:sz w:val="22"/>
          <w:szCs w:val="22"/>
        </w:rPr>
        <w:t xml:space="preserve">which is attributable to the revenue </w:t>
      </w:r>
      <w:r w:rsidR="00501718">
        <w:rPr>
          <w:rFonts w:ascii="Garamond" w:hAnsi="Garamond"/>
          <w:color w:val="000000"/>
          <w:sz w:val="22"/>
          <w:szCs w:val="22"/>
        </w:rPr>
        <w:t xml:space="preserve">actually more collected </w:t>
      </w:r>
      <w:r w:rsidR="0042326B">
        <w:rPr>
          <w:rFonts w:ascii="Garamond" w:hAnsi="Garamond"/>
          <w:color w:val="000000"/>
          <w:sz w:val="22"/>
          <w:szCs w:val="22"/>
        </w:rPr>
        <w:t xml:space="preserve">than </w:t>
      </w:r>
      <w:r w:rsidR="00501718">
        <w:rPr>
          <w:rFonts w:ascii="Garamond" w:hAnsi="Garamond"/>
          <w:color w:val="000000"/>
          <w:sz w:val="22"/>
          <w:szCs w:val="22"/>
        </w:rPr>
        <w:t xml:space="preserve">the projection. </w:t>
      </w:r>
    </w:p>
    <w:p w14:paraId="0E6C03A4"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sz w:val="22"/>
          <w:szCs w:val="22"/>
        </w:rPr>
        <w:t>The state budget expenditures constituted 9</w:t>
      </w:r>
      <w:r w:rsidR="0042326B">
        <w:rPr>
          <w:rFonts w:ascii="Garamond" w:hAnsi="Garamond"/>
          <w:sz w:val="22"/>
          <w:szCs w:val="22"/>
        </w:rPr>
        <w:t>1</w:t>
      </w:r>
      <w:r w:rsidRPr="00EE5F0F">
        <w:rPr>
          <w:rFonts w:ascii="Garamond" w:hAnsi="Garamond"/>
          <w:sz w:val="22"/>
          <w:szCs w:val="22"/>
        </w:rPr>
        <w:t>.</w:t>
      </w:r>
      <w:r w:rsidR="0042326B">
        <w:rPr>
          <w:rFonts w:ascii="Garamond" w:hAnsi="Garamond"/>
          <w:sz w:val="22"/>
          <w:szCs w:val="22"/>
        </w:rPr>
        <w:t>2</w:t>
      </w:r>
      <w:r w:rsidRPr="00EE5F0F">
        <w:rPr>
          <w:rFonts w:ascii="Garamond" w:hAnsi="Garamond"/>
          <w:sz w:val="22"/>
          <w:szCs w:val="22"/>
        </w:rPr>
        <w:t>% of the projection by the Central Bank.</w:t>
      </w:r>
    </w:p>
    <w:p w14:paraId="60D457FC"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color w:val="000000"/>
          <w:sz w:val="22"/>
          <w:szCs w:val="22"/>
        </w:rPr>
        <w:t xml:space="preserve">In the expenditures structure in the </w:t>
      </w:r>
      <w:r w:rsidR="003D59B0">
        <w:rPr>
          <w:rFonts w:ascii="Garamond" w:hAnsi="Garamond"/>
          <w:color w:val="000000"/>
          <w:sz w:val="22"/>
          <w:szCs w:val="22"/>
        </w:rPr>
        <w:t>second</w:t>
      </w:r>
      <w:r w:rsidRPr="00EE5F0F">
        <w:rPr>
          <w:rFonts w:ascii="Garamond" w:hAnsi="Garamond"/>
          <w:sz w:val="22"/>
          <w:szCs w:val="22"/>
        </w:rPr>
        <w:t xml:space="preserve"> quarter of 2018, </w:t>
      </w:r>
      <w:r w:rsidRPr="00EE5F0F">
        <w:rPr>
          <w:rFonts w:ascii="Garamond" w:hAnsi="Garamond"/>
          <w:b/>
          <w:sz w:val="22"/>
          <w:szCs w:val="22"/>
        </w:rPr>
        <w:t>government consumption</w:t>
      </w:r>
      <w:r w:rsidRPr="00EE5F0F">
        <w:rPr>
          <w:rFonts w:ascii="Garamond" w:hAnsi="Garamond"/>
          <w:sz w:val="22"/>
          <w:szCs w:val="22"/>
        </w:rPr>
        <w:t xml:space="preserve"> was below the predicted figure by </w:t>
      </w:r>
      <w:r w:rsidR="003D59B0">
        <w:rPr>
          <w:rFonts w:ascii="Garamond" w:hAnsi="Garamond"/>
          <w:sz w:val="22"/>
          <w:szCs w:val="22"/>
        </w:rPr>
        <w:t>14</w:t>
      </w:r>
      <w:r w:rsidRPr="00EE5F0F">
        <w:rPr>
          <w:rFonts w:ascii="Garamond" w:hAnsi="Garamond"/>
          <w:sz w:val="22"/>
          <w:szCs w:val="22"/>
        </w:rPr>
        <w:t>%</w:t>
      </w:r>
      <w:r w:rsidR="003D59B0">
        <w:rPr>
          <w:rFonts w:ascii="Garamond" w:hAnsi="Garamond"/>
          <w:sz w:val="22"/>
          <w:szCs w:val="22"/>
        </w:rPr>
        <w:t xml:space="preserve">. The </w:t>
      </w:r>
      <w:r w:rsidRPr="00EE5F0F">
        <w:rPr>
          <w:rFonts w:ascii="Garamond" w:hAnsi="Garamond"/>
          <w:sz w:val="22"/>
          <w:szCs w:val="22"/>
        </w:rPr>
        <w:t xml:space="preserve">expenditures on item </w:t>
      </w:r>
      <w:r w:rsidRPr="00EE5F0F">
        <w:rPr>
          <w:rFonts w:ascii="Garamond" w:hAnsi="Garamond"/>
          <w:b/>
          <w:sz w:val="22"/>
          <w:szCs w:val="22"/>
        </w:rPr>
        <w:t>“Transactions with non-financial assets”</w:t>
      </w:r>
      <w:r w:rsidRPr="00EE5F0F">
        <w:rPr>
          <w:rFonts w:ascii="Garamond" w:hAnsi="Garamond"/>
          <w:sz w:val="22"/>
          <w:szCs w:val="22"/>
        </w:rPr>
        <w:t xml:space="preserve"> </w:t>
      </w:r>
      <w:r w:rsidR="003D59B0">
        <w:rPr>
          <w:rFonts w:ascii="Garamond" w:hAnsi="Garamond"/>
          <w:sz w:val="22"/>
          <w:szCs w:val="22"/>
        </w:rPr>
        <w:t>amounted to 53% of the</w:t>
      </w:r>
      <w:r w:rsidRPr="00EE5F0F">
        <w:rPr>
          <w:rFonts w:ascii="Garamond" w:hAnsi="Garamond"/>
          <w:sz w:val="22"/>
          <w:szCs w:val="22"/>
        </w:rPr>
        <w:t xml:space="preserve"> project</w:t>
      </w:r>
      <w:r w:rsidR="003D59B0">
        <w:rPr>
          <w:rFonts w:ascii="Garamond" w:hAnsi="Garamond"/>
          <w:sz w:val="22"/>
          <w:szCs w:val="22"/>
        </w:rPr>
        <w:t xml:space="preserve">ed value, which is explained by </w:t>
      </w:r>
      <w:r w:rsidR="003D59B0" w:rsidRPr="003D59B0">
        <w:rPr>
          <w:rFonts w:ascii="Garamond" w:hAnsi="Garamond"/>
          <w:sz w:val="22"/>
          <w:szCs w:val="22"/>
        </w:rPr>
        <w:t xml:space="preserve">low performance of </w:t>
      </w:r>
      <w:r w:rsidR="003D59B0">
        <w:rPr>
          <w:rFonts w:ascii="Garamond" w:hAnsi="Garamond"/>
          <w:sz w:val="22"/>
          <w:szCs w:val="22"/>
        </w:rPr>
        <w:t xml:space="preserve">the programs implemented both on the </w:t>
      </w:r>
      <w:r w:rsidR="003D59B0" w:rsidRPr="003D59B0">
        <w:rPr>
          <w:rFonts w:ascii="Garamond" w:hAnsi="Garamond"/>
          <w:sz w:val="22"/>
          <w:szCs w:val="22"/>
        </w:rPr>
        <w:t>domestic funding and external assistance</w:t>
      </w:r>
      <w:r w:rsidR="003D59B0">
        <w:rPr>
          <w:rFonts w:ascii="Garamond" w:hAnsi="Garamond"/>
          <w:sz w:val="22"/>
          <w:szCs w:val="22"/>
        </w:rPr>
        <w:t>.</w:t>
      </w:r>
      <w:r w:rsidRPr="00EE5F0F">
        <w:rPr>
          <w:rFonts w:ascii="Garamond" w:hAnsi="Garamond"/>
          <w:sz w:val="22"/>
          <w:szCs w:val="22"/>
        </w:rPr>
        <w:t xml:space="preserve"> For the quarter, </w:t>
      </w:r>
      <w:r w:rsidR="001A3C0A">
        <w:rPr>
          <w:rFonts w:ascii="Garamond" w:hAnsi="Garamond"/>
          <w:sz w:val="22"/>
          <w:szCs w:val="22"/>
        </w:rPr>
        <w:t>the expenditures impulse was 2.6</w:t>
      </w:r>
      <w:r w:rsidRPr="00EE5F0F">
        <w:rPr>
          <w:rFonts w:ascii="Garamond" w:hAnsi="Garamond"/>
          <w:sz w:val="22"/>
          <w:szCs w:val="22"/>
        </w:rPr>
        <w:t xml:space="preserve"> pp </w:t>
      </w:r>
      <w:r w:rsidRPr="00EE5F0F">
        <w:rPr>
          <w:rFonts w:ascii="Garamond" w:hAnsi="Garamond"/>
          <w:sz w:val="22"/>
          <w:szCs w:val="22"/>
        </w:rPr>
        <w:lastRenderedPageBreak/>
        <w:t xml:space="preserve">contractionary instead of the forecast </w:t>
      </w:r>
      <w:r w:rsidR="001A3C0A">
        <w:rPr>
          <w:rFonts w:ascii="Garamond" w:hAnsi="Garamond"/>
          <w:sz w:val="22"/>
          <w:szCs w:val="22"/>
        </w:rPr>
        <w:t>1</w:t>
      </w:r>
      <w:r w:rsidRPr="00EE5F0F">
        <w:rPr>
          <w:rFonts w:ascii="Garamond" w:hAnsi="Garamond"/>
          <w:sz w:val="22"/>
          <w:szCs w:val="22"/>
        </w:rPr>
        <w:t>.</w:t>
      </w:r>
      <w:r w:rsidR="001A3C0A">
        <w:rPr>
          <w:rFonts w:ascii="Garamond" w:hAnsi="Garamond"/>
          <w:sz w:val="22"/>
          <w:szCs w:val="22"/>
        </w:rPr>
        <w:t>2</w:t>
      </w:r>
      <w:r w:rsidRPr="00EE5F0F">
        <w:rPr>
          <w:rFonts w:ascii="Garamond" w:hAnsi="Garamond"/>
          <w:sz w:val="22"/>
          <w:szCs w:val="22"/>
        </w:rPr>
        <w:t xml:space="preserve"> pp </w:t>
      </w:r>
      <w:r w:rsidR="001A3C0A">
        <w:rPr>
          <w:rFonts w:ascii="Garamond" w:hAnsi="Garamond"/>
          <w:sz w:val="22"/>
          <w:szCs w:val="22"/>
        </w:rPr>
        <w:t>expansi</w:t>
      </w:r>
      <w:r w:rsidRPr="00EE5F0F">
        <w:rPr>
          <w:rFonts w:ascii="Garamond" w:hAnsi="Garamond"/>
          <w:sz w:val="22"/>
          <w:szCs w:val="22"/>
        </w:rPr>
        <w:t xml:space="preserve">onary. The deviation owed to </w:t>
      </w:r>
      <w:r w:rsidR="007059B1">
        <w:rPr>
          <w:rFonts w:ascii="Garamond" w:hAnsi="Garamond"/>
          <w:sz w:val="22"/>
          <w:szCs w:val="22"/>
        </w:rPr>
        <w:t xml:space="preserve">a low expenditures performance, on the one hand, and </w:t>
      </w:r>
      <w:r w:rsidRPr="00EE5F0F">
        <w:rPr>
          <w:rFonts w:ascii="Garamond" w:hAnsi="Garamond"/>
          <w:sz w:val="22"/>
          <w:szCs w:val="22"/>
        </w:rPr>
        <w:t>net lending</w:t>
      </w:r>
      <w:r w:rsidR="007059B1">
        <w:rPr>
          <w:rFonts w:ascii="Garamond" w:hAnsi="Garamond"/>
          <w:sz w:val="22"/>
          <w:szCs w:val="22"/>
        </w:rPr>
        <w:t xml:space="preserve"> (a</w:t>
      </w:r>
      <w:r w:rsidR="007059B1" w:rsidRPr="007059B1">
        <w:rPr>
          <w:rFonts w:ascii="Garamond" w:hAnsi="Garamond"/>
          <w:sz w:val="22"/>
          <w:szCs w:val="22"/>
        </w:rPr>
        <w:t xml:space="preserve">bout 7.5% of the planned </w:t>
      </w:r>
      <w:r w:rsidR="007059B1">
        <w:rPr>
          <w:rFonts w:ascii="Garamond" w:hAnsi="Garamond"/>
          <w:sz w:val="22"/>
          <w:szCs w:val="22"/>
        </w:rPr>
        <w:t xml:space="preserve">lending </w:t>
      </w:r>
      <w:r w:rsidR="007059B1" w:rsidRPr="007059B1">
        <w:rPr>
          <w:rFonts w:ascii="Garamond" w:hAnsi="Garamond"/>
          <w:sz w:val="22"/>
          <w:szCs w:val="22"/>
        </w:rPr>
        <w:t xml:space="preserve">was provided </w:t>
      </w:r>
      <w:r w:rsidR="007059B1">
        <w:rPr>
          <w:rFonts w:ascii="Garamond" w:hAnsi="Garamond"/>
          <w:sz w:val="22"/>
          <w:szCs w:val="22"/>
        </w:rPr>
        <w:t>based on the quarterly results), on the other.</w:t>
      </w:r>
      <w:r w:rsidRPr="00EE5F0F">
        <w:rPr>
          <w:rFonts w:ascii="Garamond" w:hAnsi="Garamond"/>
          <w:sz w:val="22"/>
          <w:szCs w:val="22"/>
        </w:rPr>
        <w:t xml:space="preserve"> </w:t>
      </w:r>
    </w:p>
    <w:p w14:paraId="4D403B3C" w14:textId="77777777" w:rsidR="00242EA6" w:rsidRPr="00EE5F0F"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 xml:space="preserve">revenues and expenditures performance described above, the state budget generated a </w:t>
      </w:r>
      <w:r w:rsidR="007059B1">
        <w:rPr>
          <w:rFonts w:ascii="Garamond" w:hAnsi="Garamond"/>
          <w:bCs/>
          <w:iCs/>
          <w:color w:val="000000"/>
          <w:sz w:val="22"/>
          <w:szCs w:val="22"/>
        </w:rPr>
        <w:t xml:space="preserve">surplus </w:t>
      </w:r>
      <w:r w:rsidRPr="00EE5F0F">
        <w:rPr>
          <w:rFonts w:ascii="Garamond" w:hAnsi="Garamond"/>
          <w:bCs/>
          <w:iCs/>
          <w:color w:val="000000"/>
          <w:sz w:val="22"/>
          <w:szCs w:val="22"/>
        </w:rPr>
        <w:t>of AMD 2</w:t>
      </w:r>
      <w:r w:rsidR="007059B1">
        <w:rPr>
          <w:rFonts w:ascii="Garamond" w:hAnsi="Garamond"/>
          <w:bCs/>
          <w:iCs/>
          <w:color w:val="000000"/>
          <w:sz w:val="22"/>
          <w:szCs w:val="22"/>
        </w:rPr>
        <w:t>1</w:t>
      </w:r>
      <w:r w:rsidRPr="00EE5F0F">
        <w:rPr>
          <w:rFonts w:ascii="Garamond" w:hAnsi="Garamond"/>
          <w:bCs/>
          <w:iCs/>
          <w:color w:val="000000"/>
          <w:sz w:val="22"/>
          <w:szCs w:val="22"/>
        </w:rPr>
        <w:t>.</w:t>
      </w:r>
      <w:r w:rsidR="007059B1">
        <w:rPr>
          <w:rFonts w:ascii="Garamond" w:hAnsi="Garamond"/>
          <w:bCs/>
          <w:iCs/>
          <w:color w:val="000000"/>
          <w:sz w:val="22"/>
          <w:szCs w:val="22"/>
        </w:rPr>
        <w:t>5</w:t>
      </w:r>
      <w:r w:rsidRPr="00EE5F0F">
        <w:rPr>
          <w:rFonts w:ascii="Garamond" w:hAnsi="Garamond"/>
          <w:bCs/>
          <w:iCs/>
          <w:color w:val="000000"/>
          <w:sz w:val="22"/>
          <w:szCs w:val="22"/>
        </w:rPr>
        <w:t xml:space="preserve"> billion in the </w:t>
      </w:r>
      <w:r w:rsidR="007059B1">
        <w:rPr>
          <w:rFonts w:ascii="Garamond" w:hAnsi="Garamond"/>
          <w:bCs/>
          <w:iCs/>
          <w:color w:val="000000"/>
          <w:sz w:val="22"/>
          <w:szCs w:val="22"/>
        </w:rPr>
        <w:t>second</w:t>
      </w:r>
      <w:r w:rsidRPr="00EE5F0F">
        <w:rPr>
          <w:rFonts w:ascii="Garamond" w:hAnsi="Garamond"/>
          <w:bCs/>
          <w:iCs/>
          <w:color w:val="000000"/>
          <w:sz w:val="22"/>
          <w:szCs w:val="22"/>
        </w:rPr>
        <w:t xml:space="preserve"> quarter of 2018</w:t>
      </w:r>
      <w:r w:rsidR="00AC5C9B">
        <w:rPr>
          <w:rFonts w:ascii="Garamond" w:hAnsi="Garamond"/>
          <w:bCs/>
          <w:iCs/>
          <w:color w:val="000000"/>
          <w:sz w:val="22"/>
          <w:szCs w:val="22"/>
        </w:rPr>
        <w:t xml:space="preserve">, instead of </w:t>
      </w:r>
      <w:r w:rsidR="00AC5C9B" w:rsidRPr="00AC5C9B">
        <w:rPr>
          <w:rFonts w:ascii="Garamond" w:hAnsi="Garamond"/>
          <w:bCs/>
          <w:iCs/>
          <w:color w:val="000000"/>
          <w:sz w:val="22"/>
          <w:szCs w:val="22"/>
        </w:rPr>
        <w:t>the p</w:t>
      </w:r>
      <w:r w:rsidR="00AC5C9B">
        <w:rPr>
          <w:rFonts w:ascii="Garamond" w:hAnsi="Garamond"/>
          <w:bCs/>
          <w:iCs/>
          <w:color w:val="000000"/>
          <w:sz w:val="22"/>
          <w:szCs w:val="22"/>
        </w:rPr>
        <w:t xml:space="preserve">rojected AMD </w:t>
      </w:r>
      <w:r w:rsidR="00AC5C9B" w:rsidRPr="00AC5C9B">
        <w:rPr>
          <w:rFonts w:ascii="Garamond" w:hAnsi="Garamond"/>
          <w:bCs/>
          <w:iCs/>
          <w:color w:val="000000"/>
          <w:sz w:val="22"/>
          <w:szCs w:val="22"/>
        </w:rPr>
        <w:t xml:space="preserve">35.0 billion deficit. As a result, </w:t>
      </w:r>
      <w:r w:rsidR="00AC5C9B">
        <w:rPr>
          <w:rFonts w:ascii="Garamond" w:hAnsi="Garamond"/>
          <w:bCs/>
          <w:iCs/>
          <w:color w:val="000000"/>
          <w:sz w:val="22"/>
          <w:szCs w:val="22"/>
        </w:rPr>
        <w:t xml:space="preserve">the second quarter </w:t>
      </w:r>
      <w:r w:rsidR="00E66763">
        <w:rPr>
          <w:rFonts w:ascii="Garamond" w:hAnsi="Garamond"/>
          <w:bCs/>
          <w:iCs/>
          <w:color w:val="000000"/>
          <w:sz w:val="22"/>
          <w:szCs w:val="22"/>
        </w:rPr>
        <w:t xml:space="preserve">reported </w:t>
      </w:r>
      <w:r w:rsidR="00AC5C9B" w:rsidRPr="00AC5C9B">
        <w:rPr>
          <w:rFonts w:ascii="Garamond" w:hAnsi="Garamond"/>
          <w:bCs/>
          <w:iCs/>
          <w:color w:val="000000"/>
          <w:sz w:val="22"/>
          <w:szCs w:val="22"/>
        </w:rPr>
        <w:t>public debt indicators</w:t>
      </w:r>
      <w:r w:rsidR="00AC5C9B">
        <w:rPr>
          <w:rFonts w:ascii="Garamond" w:hAnsi="Garamond"/>
          <w:bCs/>
          <w:iCs/>
          <w:color w:val="000000"/>
          <w:sz w:val="22"/>
          <w:szCs w:val="22"/>
        </w:rPr>
        <w:t xml:space="preserve"> </w:t>
      </w:r>
      <w:r w:rsidR="00E66763">
        <w:rPr>
          <w:rFonts w:ascii="Garamond" w:hAnsi="Garamond"/>
          <w:bCs/>
          <w:iCs/>
          <w:color w:val="000000"/>
          <w:sz w:val="22"/>
          <w:szCs w:val="22"/>
        </w:rPr>
        <w:t xml:space="preserve">lower than </w:t>
      </w:r>
      <w:r w:rsidR="00AC5C9B">
        <w:rPr>
          <w:rFonts w:ascii="Garamond" w:hAnsi="Garamond"/>
          <w:bCs/>
          <w:iCs/>
          <w:color w:val="000000"/>
          <w:sz w:val="22"/>
          <w:szCs w:val="22"/>
        </w:rPr>
        <w:t>the projected value</w:t>
      </w:r>
      <w:r w:rsidRPr="00EE5F0F">
        <w:rPr>
          <w:rFonts w:ascii="Garamond" w:hAnsi="Garamond"/>
          <w:bCs/>
          <w:iCs/>
          <w:color w:val="000000"/>
          <w:sz w:val="22"/>
          <w:szCs w:val="22"/>
        </w:rPr>
        <w:t>.</w:t>
      </w:r>
    </w:p>
    <w:p w14:paraId="342D3AB9" w14:textId="77777777" w:rsidR="00242EA6" w:rsidRPr="00EE5F0F" w:rsidRDefault="00242EA6" w:rsidP="00242EA6">
      <w:pPr>
        <w:autoSpaceDE w:val="0"/>
        <w:autoSpaceDN w:val="0"/>
        <w:adjustRightInd w:val="0"/>
        <w:spacing w:after="120" w:line="360" w:lineRule="auto"/>
        <w:jc w:val="both"/>
        <w:rPr>
          <w:rFonts w:ascii="Garamond" w:hAnsi="Garamond"/>
          <w:b/>
          <w:bCs/>
          <w:iCs/>
          <w:color w:val="0070C0"/>
          <w:sz w:val="22"/>
          <w:szCs w:val="22"/>
        </w:rPr>
      </w:pPr>
    </w:p>
    <w:p w14:paraId="4632A173"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1F68953E" w14:textId="2AF8785B" w:rsidR="00242EA6" w:rsidRPr="00EE5F0F" w:rsidRDefault="00410C3A"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00E66763" w:rsidRPr="00E66763">
        <w:rPr>
          <w:rFonts w:ascii="Garamond" w:hAnsi="Garamond"/>
          <w:sz w:val="22"/>
          <w:szCs w:val="22"/>
        </w:rPr>
        <w:t xml:space="preserve">economic activity </w:t>
      </w:r>
      <w:r w:rsidR="00E66763">
        <w:rPr>
          <w:rFonts w:ascii="Garamond" w:hAnsi="Garamond"/>
          <w:sz w:val="22"/>
          <w:szCs w:val="22"/>
        </w:rPr>
        <w:t xml:space="preserve">has somewhat </w:t>
      </w:r>
      <w:r w:rsidR="00E66763" w:rsidRPr="00E66763">
        <w:rPr>
          <w:rFonts w:ascii="Garamond" w:hAnsi="Garamond"/>
          <w:sz w:val="22"/>
          <w:szCs w:val="22"/>
        </w:rPr>
        <w:t xml:space="preserve">slowed down </w:t>
      </w:r>
      <w:r w:rsidR="00E66763">
        <w:rPr>
          <w:rFonts w:ascii="Garamond" w:hAnsi="Garamond"/>
          <w:sz w:val="22"/>
          <w:szCs w:val="22"/>
        </w:rPr>
        <w:t>i</w:t>
      </w:r>
      <w:r w:rsidR="00E66763" w:rsidRPr="00E66763">
        <w:rPr>
          <w:rFonts w:ascii="Garamond" w:hAnsi="Garamond"/>
          <w:sz w:val="22"/>
          <w:szCs w:val="22"/>
        </w:rPr>
        <w:t>n April-May 2018</w:t>
      </w:r>
      <w:r w:rsidR="00526D06">
        <w:rPr>
          <w:rFonts w:ascii="Garamond" w:hAnsi="Garamond"/>
          <w:sz w:val="22"/>
          <w:szCs w:val="22"/>
        </w:rPr>
        <w:t xml:space="preserve"> and partly rebounded in June</w:t>
      </w:r>
      <w:r w:rsidR="00E66763" w:rsidRPr="00E66763">
        <w:rPr>
          <w:rFonts w:ascii="Garamond" w:hAnsi="Garamond"/>
          <w:sz w:val="22"/>
          <w:szCs w:val="22"/>
        </w:rPr>
        <w:t xml:space="preserve">, as </w:t>
      </w:r>
      <w:r w:rsidR="00E66763">
        <w:rPr>
          <w:rFonts w:ascii="Garamond" w:hAnsi="Garamond"/>
          <w:sz w:val="22"/>
          <w:szCs w:val="22"/>
        </w:rPr>
        <w:t xml:space="preserve">was expected. </w:t>
      </w:r>
      <w:r>
        <w:rPr>
          <w:rFonts w:ascii="Garamond" w:hAnsi="Garamond"/>
          <w:sz w:val="22"/>
          <w:szCs w:val="22"/>
        </w:rPr>
        <w:t>Although</w:t>
      </w:r>
      <w:r w:rsidR="00E66763" w:rsidRPr="00E66763">
        <w:rPr>
          <w:rFonts w:ascii="Garamond" w:hAnsi="Garamond"/>
          <w:sz w:val="22"/>
          <w:szCs w:val="22"/>
        </w:rPr>
        <w:t xml:space="preserve">, the economic activity </w:t>
      </w:r>
      <w:r>
        <w:rPr>
          <w:rFonts w:ascii="Garamond" w:hAnsi="Garamond"/>
          <w:sz w:val="22"/>
          <w:szCs w:val="22"/>
        </w:rPr>
        <w:t xml:space="preserve">has been generally </w:t>
      </w:r>
      <w:r w:rsidR="00E66763" w:rsidRPr="00E66763">
        <w:rPr>
          <w:rFonts w:ascii="Garamond" w:hAnsi="Garamond"/>
          <w:sz w:val="22"/>
          <w:szCs w:val="22"/>
        </w:rPr>
        <w:t xml:space="preserve">higher </w:t>
      </w:r>
      <w:r>
        <w:rPr>
          <w:rFonts w:ascii="Garamond" w:hAnsi="Garamond"/>
          <w:sz w:val="22"/>
          <w:szCs w:val="22"/>
        </w:rPr>
        <w:t xml:space="preserve">over the second quarter from previous Central Bank </w:t>
      </w:r>
      <w:r w:rsidR="001C7315">
        <w:rPr>
          <w:rFonts w:ascii="Garamond" w:hAnsi="Garamond"/>
          <w:sz w:val="22"/>
          <w:szCs w:val="22"/>
        </w:rPr>
        <w:t>forecasts</w:t>
      </w:r>
      <w:r>
        <w:rPr>
          <w:rFonts w:ascii="Garamond" w:hAnsi="Garamond"/>
          <w:sz w:val="22"/>
          <w:szCs w:val="22"/>
        </w:rPr>
        <w:t>: the GDP growth wa</w:t>
      </w:r>
      <w:r w:rsidR="00E66763" w:rsidRPr="00E66763">
        <w:rPr>
          <w:rFonts w:ascii="Garamond" w:hAnsi="Garamond"/>
          <w:sz w:val="22"/>
          <w:szCs w:val="22"/>
        </w:rPr>
        <w:t xml:space="preserve">s </w:t>
      </w:r>
      <w:r>
        <w:rPr>
          <w:rFonts w:ascii="Garamond" w:hAnsi="Garamond"/>
          <w:sz w:val="22"/>
          <w:szCs w:val="22"/>
        </w:rPr>
        <w:t xml:space="preserve">an </w:t>
      </w:r>
      <w:r w:rsidR="00E66763" w:rsidRPr="00E66763">
        <w:rPr>
          <w:rFonts w:ascii="Garamond" w:hAnsi="Garamond"/>
          <w:sz w:val="22"/>
          <w:szCs w:val="22"/>
        </w:rPr>
        <w:t>estimated 5.8% instead of the projected 4.6%.</w:t>
      </w:r>
      <w:r w:rsidR="00242EA6" w:rsidRPr="00EE5F0F">
        <w:rPr>
          <w:rFonts w:ascii="Garamond" w:hAnsi="Garamond"/>
          <w:sz w:val="22"/>
          <w:szCs w:val="22"/>
        </w:rPr>
        <w:t xml:space="preserve"> </w:t>
      </w:r>
    </w:p>
    <w:p w14:paraId="0A32248C"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period under review, the</w:t>
      </w:r>
      <w:r w:rsidR="001C7315">
        <w:rPr>
          <w:rFonts w:ascii="Garamond" w:hAnsi="Garamond"/>
          <w:sz w:val="22"/>
          <w:szCs w:val="22"/>
        </w:rPr>
        <w:t xml:space="preserve">re has been an upside revision in the </w:t>
      </w:r>
      <w:r w:rsidRPr="00EE5F0F">
        <w:rPr>
          <w:rFonts w:ascii="Garamond" w:hAnsi="Garamond"/>
          <w:sz w:val="22"/>
          <w:szCs w:val="22"/>
        </w:rPr>
        <w:t xml:space="preserve">forecast growth of all sectors of the economy, except the </w:t>
      </w:r>
      <w:r w:rsidR="00410C3A">
        <w:rPr>
          <w:rFonts w:ascii="Garamond" w:hAnsi="Garamond"/>
          <w:sz w:val="22"/>
          <w:szCs w:val="22"/>
        </w:rPr>
        <w:t xml:space="preserve">industry </w:t>
      </w:r>
      <w:r w:rsidRPr="00EE5F0F">
        <w:rPr>
          <w:rFonts w:ascii="Garamond" w:hAnsi="Garamond"/>
          <w:sz w:val="22"/>
          <w:szCs w:val="22"/>
        </w:rPr>
        <w:t xml:space="preserve">sector. </w:t>
      </w:r>
      <w:r w:rsidR="001C7315">
        <w:rPr>
          <w:rFonts w:ascii="Garamond" w:hAnsi="Garamond"/>
          <w:sz w:val="22"/>
          <w:szCs w:val="22"/>
        </w:rPr>
        <w:t>Particularly, i</w:t>
      </w:r>
      <w:r w:rsidRPr="00EE5F0F">
        <w:rPr>
          <w:rFonts w:ascii="Garamond" w:hAnsi="Garamond"/>
          <w:sz w:val="22"/>
          <w:szCs w:val="22"/>
        </w:rPr>
        <w:t xml:space="preserve">n </w:t>
      </w:r>
      <w:r w:rsidR="001C7315">
        <w:rPr>
          <w:rFonts w:ascii="Garamond" w:hAnsi="Garamond"/>
          <w:sz w:val="22"/>
          <w:szCs w:val="22"/>
        </w:rPr>
        <w:t xml:space="preserve">the second quarter of 2018 </w:t>
      </w:r>
      <w:r w:rsidRPr="00EE5F0F">
        <w:rPr>
          <w:rFonts w:ascii="Garamond" w:hAnsi="Garamond"/>
          <w:sz w:val="22"/>
          <w:szCs w:val="22"/>
        </w:rPr>
        <w:t xml:space="preserve">the </w:t>
      </w:r>
      <w:r w:rsidR="001C7315">
        <w:rPr>
          <w:rFonts w:ascii="Garamond" w:hAnsi="Garamond"/>
          <w:sz w:val="22"/>
          <w:szCs w:val="22"/>
        </w:rPr>
        <w:t>growth in construction wa</w:t>
      </w:r>
      <w:r w:rsidRPr="00EE5F0F">
        <w:rPr>
          <w:rFonts w:ascii="Garamond" w:hAnsi="Garamond"/>
          <w:sz w:val="22"/>
          <w:szCs w:val="22"/>
        </w:rPr>
        <w:t xml:space="preserve">s </w:t>
      </w:r>
      <w:r w:rsidR="001C7315">
        <w:rPr>
          <w:rFonts w:ascii="Garamond" w:hAnsi="Garamond"/>
          <w:sz w:val="22"/>
          <w:szCs w:val="22"/>
        </w:rPr>
        <w:t xml:space="preserve">an </w:t>
      </w:r>
      <w:r w:rsidRPr="00EE5F0F">
        <w:rPr>
          <w:rFonts w:ascii="Garamond" w:hAnsi="Garamond"/>
          <w:sz w:val="22"/>
          <w:szCs w:val="22"/>
        </w:rPr>
        <w:t>estimated 6.</w:t>
      </w:r>
      <w:r w:rsidR="001C7315">
        <w:rPr>
          <w:rFonts w:ascii="Garamond" w:hAnsi="Garamond"/>
          <w:sz w:val="22"/>
          <w:szCs w:val="22"/>
        </w:rPr>
        <w:t>4</w:t>
      </w:r>
      <w:r w:rsidRPr="00EE5F0F">
        <w:rPr>
          <w:rFonts w:ascii="Garamond" w:hAnsi="Garamond"/>
          <w:sz w:val="22"/>
          <w:szCs w:val="22"/>
        </w:rPr>
        <w:t xml:space="preserve">% thanks to invigorated investment activity that time, the </w:t>
      </w:r>
      <w:r w:rsidR="001C7315">
        <w:rPr>
          <w:rFonts w:ascii="Garamond" w:hAnsi="Garamond"/>
          <w:sz w:val="22"/>
          <w:szCs w:val="22"/>
        </w:rPr>
        <w:t xml:space="preserve">services sector reported 6.1% growth while growth in the agriculture </w:t>
      </w:r>
      <w:r w:rsidRPr="00EE5F0F">
        <w:rPr>
          <w:rFonts w:ascii="Garamond" w:hAnsi="Garamond"/>
          <w:sz w:val="22"/>
          <w:szCs w:val="22"/>
        </w:rPr>
        <w:t>sector</w:t>
      </w:r>
      <w:r w:rsidR="001C7315">
        <w:rPr>
          <w:rFonts w:ascii="Garamond" w:hAnsi="Garamond"/>
          <w:sz w:val="22"/>
          <w:szCs w:val="22"/>
        </w:rPr>
        <w:t xml:space="preserve"> amounted to 3</w:t>
      </w:r>
      <w:r w:rsidRPr="00EE5F0F">
        <w:rPr>
          <w:rFonts w:ascii="Garamond" w:hAnsi="Garamond"/>
          <w:sz w:val="22"/>
          <w:szCs w:val="22"/>
        </w:rPr>
        <w:t>.</w:t>
      </w:r>
      <w:r w:rsidR="001C7315">
        <w:rPr>
          <w:rFonts w:ascii="Garamond" w:hAnsi="Garamond"/>
          <w:sz w:val="22"/>
          <w:szCs w:val="22"/>
        </w:rPr>
        <w:t>3</w:t>
      </w:r>
      <w:r w:rsidRPr="00EE5F0F">
        <w:rPr>
          <w:rFonts w:ascii="Garamond" w:hAnsi="Garamond"/>
          <w:sz w:val="22"/>
          <w:szCs w:val="22"/>
        </w:rPr>
        <w:t>%</w:t>
      </w:r>
      <w:r w:rsidR="001C7315">
        <w:rPr>
          <w:rFonts w:ascii="Garamond" w:hAnsi="Garamond"/>
          <w:sz w:val="22"/>
          <w:szCs w:val="22"/>
        </w:rPr>
        <w:t xml:space="preserve"> on the back of favorable developments in plant growing. </w:t>
      </w:r>
    </w:p>
    <w:p w14:paraId="40B0CB1A" w14:textId="77777777" w:rsidR="00242EA6" w:rsidRPr="00EE5F0F" w:rsidRDefault="00F06053"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The industry sector will only anticipate a</w:t>
      </w:r>
      <w:r w:rsidR="00267A97">
        <w:rPr>
          <w:rFonts w:ascii="Garamond" w:hAnsi="Garamond"/>
          <w:sz w:val="22"/>
          <w:szCs w:val="22"/>
        </w:rPr>
        <w:t xml:space="preserve"> </w:t>
      </w:r>
      <w:r w:rsidR="00242EA6" w:rsidRPr="00EE5F0F">
        <w:rPr>
          <w:rFonts w:ascii="Garamond" w:hAnsi="Garamond"/>
          <w:sz w:val="22"/>
          <w:szCs w:val="22"/>
        </w:rPr>
        <w:t xml:space="preserve">moderate </w:t>
      </w:r>
      <w:r>
        <w:rPr>
          <w:rFonts w:ascii="Garamond" w:hAnsi="Garamond"/>
          <w:sz w:val="22"/>
          <w:szCs w:val="22"/>
        </w:rPr>
        <w:t>0.3% growth</w:t>
      </w:r>
      <w:r w:rsidR="00242EA6" w:rsidRPr="00EE5F0F">
        <w:rPr>
          <w:rFonts w:ascii="Garamond" w:hAnsi="Garamond"/>
          <w:sz w:val="22"/>
          <w:szCs w:val="22"/>
        </w:rPr>
        <w:t>,</w:t>
      </w:r>
      <w:r>
        <w:rPr>
          <w:rFonts w:ascii="Garamond" w:hAnsi="Garamond"/>
          <w:sz w:val="22"/>
          <w:szCs w:val="22"/>
        </w:rPr>
        <w:t xml:space="preserve"> amid a</w:t>
      </w:r>
      <w:r w:rsidRPr="00F06053">
        <w:rPr>
          <w:rFonts w:ascii="Garamond" w:hAnsi="Garamond"/>
          <w:sz w:val="22"/>
          <w:szCs w:val="22"/>
        </w:rPr>
        <w:t xml:space="preserve"> decline in the mining industry and </w:t>
      </w:r>
      <w:r>
        <w:rPr>
          <w:rFonts w:ascii="Garamond" w:hAnsi="Garamond"/>
          <w:sz w:val="22"/>
          <w:szCs w:val="22"/>
        </w:rPr>
        <w:t xml:space="preserve">sluggish </w:t>
      </w:r>
      <w:r w:rsidRPr="00F06053">
        <w:rPr>
          <w:rFonts w:ascii="Garamond" w:hAnsi="Garamond"/>
          <w:sz w:val="22"/>
          <w:szCs w:val="22"/>
        </w:rPr>
        <w:t>activity in the processing industry.</w:t>
      </w:r>
      <w:r>
        <w:rPr>
          <w:rFonts w:ascii="Garamond" w:hAnsi="Garamond"/>
          <w:sz w:val="22"/>
          <w:szCs w:val="22"/>
        </w:rPr>
        <w:t xml:space="preserve"> </w:t>
      </w:r>
    </w:p>
    <w:p w14:paraId="596C7FC8" w14:textId="24ECBEE3" w:rsidR="00242EA6" w:rsidRPr="00EE5F0F" w:rsidRDefault="00F06053"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Following </w:t>
      </w:r>
      <w:r w:rsidRPr="00EE5F0F">
        <w:rPr>
          <w:rFonts w:ascii="Garamond" w:hAnsi="Garamond"/>
          <w:sz w:val="22"/>
          <w:szCs w:val="22"/>
        </w:rPr>
        <w:t xml:space="preserve">strong growth rates </w:t>
      </w:r>
      <w:r>
        <w:rPr>
          <w:rFonts w:ascii="Garamond" w:hAnsi="Garamond"/>
          <w:sz w:val="22"/>
          <w:szCs w:val="22"/>
        </w:rPr>
        <w:t xml:space="preserve">observable </w:t>
      </w:r>
      <w:r w:rsidRPr="00EE5F0F">
        <w:rPr>
          <w:rFonts w:ascii="Garamond" w:hAnsi="Garamond"/>
          <w:sz w:val="22"/>
          <w:szCs w:val="22"/>
        </w:rPr>
        <w:t xml:space="preserve">since the </w:t>
      </w:r>
      <w:r w:rsidR="002F6593">
        <w:rPr>
          <w:rFonts w:ascii="Garamond" w:hAnsi="Garamond"/>
          <w:sz w:val="22"/>
          <w:szCs w:val="22"/>
        </w:rPr>
        <w:t xml:space="preserve">beginning </w:t>
      </w:r>
      <w:r w:rsidRPr="00EE5F0F">
        <w:rPr>
          <w:rFonts w:ascii="Garamond" w:hAnsi="Garamond"/>
          <w:sz w:val="22"/>
          <w:szCs w:val="22"/>
        </w:rPr>
        <w:t>of 2017</w:t>
      </w:r>
      <w:r>
        <w:rPr>
          <w:rFonts w:ascii="Garamond" w:hAnsi="Garamond"/>
          <w:sz w:val="22"/>
          <w:szCs w:val="22"/>
        </w:rPr>
        <w:t>, t</w:t>
      </w:r>
      <w:r w:rsidR="00242EA6" w:rsidRPr="00EE5F0F">
        <w:rPr>
          <w:rFonts w:ascii="Garamond" w:hAnsi="Garamond"/>
          <w:sz w:val="22"/>
          <w:szCs w:val="22"/>
        </w:rPr>
        <w:t xml:space="preserve">he productivity, calculated as real </w:t>
      </w:r>
      <w:r w:rsidR="002F6593">
        <w:rPr>
          <w:rFonts w:ascii="Garamond" w:hAnsi="Garamond"/>
          <w:sz w:val="22"/>
          <w:szCs w:val="22"/>
        </w:rPr>
        <w:t xml:space="preserve">value added </w:t>
      </w:r>
      <w:r w:rsidR="00242EA6" w:rsidRPr="00EE5F0F">
        <w:rPr>
          <w:rFonts w:ascii="Garamond" w:hAnsi="Garamond"/>
          <w:sz w:val="22"/>
          <w:szCs w:val="22"/>
        </w:rPr>
        <w:t>per hour</w:t>
      </w:r>
      <w:r w:rsidR="00526D06">
        <w:rPr>
          <w:rFonts w:ascii="Garamond" w:hAnsi="Garamond"/>
          <w:sz w:val="22"/>
          <w:szCs w:val="22"/>
        </w:rPr>
        <w:t xml:space="preserve"> worked</w:t>
      </w:r>
      <w:r w:rsidR="00242EA6" w:rsidRPr="00EE5F0F">
        <w:rPr>
          <w:rFonts w:ascii="Garamond" w:hAnsi="Garamond"/>
          <w:sz w:val="22"/>
          <w:szCs w:val="22"/>
        </w:rPr>
        <w:t xml:space="preserve">, </w:t>
      </w:r>
      <w:r w:rsidR="002F6593">
        <w:rPr>
          <w:rFonts w:ascii="Garamond" w:hAnsi="Garamond"/>
          <w:sz w:val="22"/>
          <w:szCs w:val="22"/>
        </w:rPr>
        <w:t>has slowed down starting the first quarter of 2018. A</w:t>
      </w:r>
      <w:r w:rsidR="002F6593" w:rsidRPr="00EE5F0F">
        <w:rPr>
          <w:rFonts w:ascii="Garamond" w:hAnsi="Garamond"/>
          <w:sz w:val="22"/>
          <w:szCs w:val="22"/>
        </w:rPr>
        <w:t>ccording to the Central Bank estimates</w:t>
      </w:r>
      <w:r w:rsidR="002F6593">
        <w:rPr>
          <w:rFonts w:ascii="Garamond" w:hAnsi="Garamond"/>
          <w:sz w:val="22"/>
          <w:szCs w:val="22"/>
        </w:rPr>
        <w:t>,</w:t>
      </w:r>
      <w:r w:rsidR="002F6593" w:rsidRPr="00EE5F0F">
        <w:rPr>
          <w:rFonts w:ascii="Garamond" w:hAnsi="Garamond"/>
          <w:sz w:val="22"/>
          <w:szCs w:val="22"/>
        </w:rPr>
        <w:t xml:space="preserve"> </w:t>
      </w:r>
      <w:r w:rsidR="002F6593">
        <w:rPr>
          <w:rFonts w:ascii="Garamond" w:hAnsi="Garamond"/>
          <w:sz w:val="22"/>
          <w:szCs w:val="22"/>
        </w:rPr>
        <w:t>t</w:t>
      </w:r>
      <w:r w:rsidR="00242EA6" w:rsidRPr="00EE5F0F">
        <w:rPr>
          <w:rFonts w:ascii="Garamond" w:hAnsi="Garamond"/>
          <w:sz w:val="22"/>
          <w:szCs w:val="22"/>
        </w:rPr>
        <w:t xml:space="preserve">he productivity growth rate reached </w:t>
      </w:r>
      <w:r w:rsidR="002F6593">
        <w:rPr>
          <w:rFonts w:ascii="Garamond" w:hAnsi="Garamond"/>
          <w:sz w:val="22"/>
          <w:szCs w:val="22"/>
        </w:rPr>
        <w:t>2.2</w:t>
      </w:r>
      <w:r w:rsidR="00242EA6" w:rsidRPr="00EE5F0F">
        <w:rPr>
          <w:rFonts w:ascii="Garamond" w:hAnsi="Garamond"/>
          <w:sz w:val="22"/>
          <w:szCs w:val="22"/>
        </w:rPr>
        <w:t xml:space="preserve">% in the </w:t>
      </w:r>
      <w:r w:rsidR="002F6593">
        <w:rPr>
          <w:rFonts w:ascii="Garamond" w:hAnsi="Garamond"/>
          <w:sz w:val="22"/>
          <w:szCs w:val="22"/>
        </w:rPr>
        <w:t>second</w:t>
      </w:r>
      <w:r w:rsidR="00242EA6" w:rsidRPr="00EE5F0F">
        <w:rPr>
          <w:rFonts w:ascii="Garamond" w:hAnsi="Garamond"/>
          <w:sz w:val="22"/>
          <w:szCs w:val="22"/>
        </w:rPr>
        <w:t xml:space="preserve"> quarter</w:t>
      </w:r>
      <w:r w:rsidR="002F6593">
        <w:rPr>
          <w:rFonts w:ascii="Garamond" w:hAnsi="Garamond"/>
          <w:sz w:val="22"/>
          <w:szCs w:val="22"/>
        </w:rPr>
        <w:t>,</w:t>
      </w:r>
      <w:r w:rsidR="00242EA6" w:rsidRPr="00EE5F0F">
        <w:rPr>
          <w:rFonts w:ascii="Garamond" w:hAnsi="Garamond"/>
          <w:sz w:val="22"/>
          <w:szCs w:val="22"/>
        </w:rPr>
        <w:t xml:space="preserve"> and this </w:t>
      </w:r>
      <w:r w:rsidR="002F6593">
        <w:rPr>
          <w:rFonts w:ascii="Garamond" w:hAnsi="Garamond"/>
          <w:sz w:val="22"/>
          <w:szCs w:val="22"/>
        </w:rPr>
        <w:t xml:space="preserve">determines part of </w:t>
      </w:r>
      <w:r w:rsidR="00242EA6" w:rsidRPr="00EE5F0F">
        <w:rPr>
          <w:rFonts w:ascii="Garamond" w:hAnsi="Garamond"/>
          <w:sz w:val="22"/>
          <w:szCs w:val="22"/>
        </w:rPr>
        <w:t xml:space="preserve">the economic growth in the </w:t>
      </w:r>
      <w:r w:rsidR="002F6593">
        <w:rPr>
          <w:rFonts w:ascii="Garamond" w:hAnsi="Garamond"/>
          <w:sz w:val="22"/>
          <w:szCs w:val="22"/>
        </w:rPr>
        <w:t>reporting quarter</w:t>
      </w:r>
      <w:r w:rsidR="00242EA6" w:rsidRPr="00EE5F0F">
        <w:rPr>
          <w:rFonts w:ascii="Garamond" w:hAnsi="Garamond"/>
          <w:sz w:val="22"/>
          <w:szCs w:val="22"/>
        </w:rPr>
        <w:t>.</w:t>
      </w:r>
    </w:p>
    <w:p w14:paraId="326F059B"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002F6593">
        <w:rPr>
          <w:rStyle w:val="FootnoteReference"/>
          <w:rFonts w:ascii="Garamond" w:hAnsi="Garamond"/>
          <w:b/>
          <w:color w:val="0070C0"/>
          <w:sz w:val="22"/>
          <w:szCs w:val="22"/>
        </w:rPr>
        <w:footnoteReference w:customMarkFollows="1" w:id="10"/>
        <w:t>12</w:t>
      </w:r>
    </w:p>
    <w:p w14:paraId="6836DF00"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1C5652">
        <w:rPr>
          <w:rFonts w:ascii="Garamond" w:hAnsi="Garamond"/>
          <w:sz w:val="22"/>
          <w:szCs w:val="22"/>
        </w:rPr>
        <w:t>second</w:t>
      </w:r>
      <w:r w:rsidRPr="00EE5F0F">
        <w:rPr>
          <w:rFonts w:ascii="Garamond" w:hAnsi="Garamond"/>
          <w:sz w:val="22"/>
          <w:szCs w:val="22"/>
        </w:rPr>
        <w:t xml:space="preserve"> quarter of 2018, the private sector nominal wage growth rate amounted to 6.</w:t>
      </w:r>
      <w:r w:rsidR="001C5652">
        <w:rPr>
          <w:rFonts w:ascii="Garamond" w:hAnsi="Garamond"/>
          <w:sz w:val="22"/>
          <w:szCs w:val="22"/>
        </w:rPr>
        <w:t>4</w:t>
      </w:r>
      <w:r w:rsidRPr="00EE5F0F">
        <w:rPr>
          <w:rFonts w:ascii="Garamond" w:hAnsi="Garamond"/>
          <w:sz w:val="22"/>
          <w:szCs w:val="22"/>
        </w:rPr>
        <w:t xml:space="preserve">%, which is </w:t>
      </w:r>
      <w:r w:rsidR="001C5652">
        <w:rPr>
          <w:rFonts w:ascii="Garamond" w:hAnsi="Garamond"/>
          <w:sz w:val="22"/>
          <w:szCs w:val="22"/>
        </w:rPr>
        <w:t>close to pre</w:t>
      </w:r>
      <w:r w:rsidRPr="00EE5F0F">
        <w:rPr>
          <w:rFonts w:ascii="Garamond" w:hAnsi="Garamond"/>
          <w:sz w:val="22"/>
          <w:szCs w:val="22"/>
        </w:rPr>
        <w:t>vious forecasts by the Central Bank</w:t>
      </w:r>
      <w:r w:rsidR="002B094A">
        <w:rPr>
          <w:rFonts w:ascii="Garamond" w:hAnsi="Garamond"/>
          <w:sz w:val="22"/>
          <w:szCs w:val="22"/>
        </w:rPr>
        <w:t>, and t</w:t>
      </w:r>
      <w:r w:rsidRPr="00EE5F0F">
        <w:rPr>
          <w:rFonts w:ascii="Garamond" w:hAnsi="Garamond"/>
          <w:sz w:val="22"/>
          <w:szCs w:val="22"/>
        </w:rPr>
        <w:t xml:space="preserve">he </w:t>
      </w:r>
      <w:r w:rsidR="002B094A" w:rsidRPr="00EE5F0F">
        <w:rPr>
          <w:rFonts w:ascii="Garamond" w:hAnsi="Garamond"/>
          <w:sz w:val="22"/>
          <w:szCs w:val="22"/>
        </w:rPr>
        <w:t xml:space="preserve">private sector </w:t>
      </w:r>
      <w:r w:rsidR="002B094A">
        <w:rPr>
          <w:rFonts w:ascii="Garamond" w:hAnsi="Garamond"/>
          <w:sz w:val="22"/>
          <w:szCs w:val="22"/>
        </w:rPr>
        <w:t>real</w:t>
      </w:r>
      <w:r w:rsidR="002B094A" w:rsidRPr="00EE5F0F">
        <w:rPr>
          <w:rFonts w:ascii="Garamond" w:hAnsi="Garamond"/>
          <w:sz w:val="22"/>
          <w:szCs w:val="22"/>
        </w:rPr>
        <w:t xml:space="preserve"> wage growth rate</w:t>
      </w:r>
      <w:r w:rsidR="002B094A">
        <w:rPr>
          <w:rFonts w:ascii="Garamond" w:hAnsi="Garamond"/>
          <w:sz w:val="22"/>
          <w:szCs w:val="22"/>
        </w:rPr>
        <w:t xml:space="preserve"> reached 4.5%, which is consistent with the economic growth outlook. In the period under review, the </w:t>
      </w:r>
      <w:r w:rsidR="002B094A" w:rsidRPr="002B094A">
        <w:rPr>
          <w:rFonts w:ascii="Garamond" w:hAnsi="Garamond"/>
          <w:sz w:val="22"/>
          <w:szCs w:val="22"/>
        </w:rPr>
        <w:t xml:space="preserve">productivity </w:t>
      </w:r>
      <w:r w:rsidR="002B094A">
        <w:rPr>
          <w:rFonts w:ascii="Garamond" w:hAnsi="Garamond"/>
          <w:sz w:val="22"/>
          <w:szCs w:val="22"/>
        </w:rPr>
        <w:t xml:space="preserve">has grown </w:t>
      </w:r>
      <w:r w:rsidR="002B094A" w:rsidRPr="002B094A">
        <w:rPr>
          <w:rFonts w:ascii="Garamond" w:hAnsi="Garamond"/>
          <w:sz w:val="22"/>
          <w:szCs w:val="22"/>
        </w:rPr>
        <w:t>by 3.7%</w:t>
      </w:r>
      <w:r w:rsidR="000B65AC">
        <w:rPr>
          <w:rStyle w:val="FootnoteReference"/>
          <w:rFonts w:ascii="Garamond" w:hAnsi="Garamond"/>
          <w:sz w:val="22"/>
          <w:szCs w:val="22"/>
        </w:rPr>
        <w:footnoteReference w:customMarkFollows="1" w:id="11"/>
        <w:t>13</w:t>
      </w:r>
      <w:r w:rsidR="002B094A" w:rsidRPr="002B094A">
        <w:rPr>
          <w:rFonts w:ascii="Garamond" w:hAnsi="Garamond"/>
          <w:sz w:val="22"/>
          <w:szCs w:val="22"/>
        </w:rPr>
        <w:t xml:space="preserve">, which is lower than the real wage </w:t>
      </w:r>
      <w:r w:rsidR="000B65AC">
        <w:rPr>
          <w:rFonts w:ascii="Garamond" w:hAnsi="Garamond"/>
          <w:sz w:val="22"/>
          <w:szCs w:val="22"/>
        </w:rPr>
        <w:t xml:space="preserve">growth </w:t>
      </w:r>
      <w:r w:rsidR="002B094A" w:rsidRPr="002B094A">
        <w:rPr>
          <w:rFonts w:ascii="Garamond" w:hAnsi="Garamond"/>
          <w:sz w:val="22"/>
          <w:szCs w:val="22"/>
        </w:rPr>
        <w:t xml:space="preserve">rate. </w:t>
      </w:r>
      <w:r w:rsidR="008E1204">
        <w:rPr>
          <w:rFonts w:ascii="Garamond" w:hAnsi="Garamond"/>
          <w:sz w:val="22"/>
          <w:szCs w:val="22"/>
        </w:rPr>
        <w:t>I</w:t>
      </w:r>
      <w:r w:rsidR="008E1204" w:rsidRPr="002B094A">
        <w:rPr>
          <w:rFonts w:ascii="Garamond" w:hAnsi="Garamond"/>
          <w:sz w:val="22"/>
          <w:szCs w:val="22"/>
        </w:rPr>
        <w:t>n the second quarter of 2018</w:t>
      </w:r>
      <w:r w:rsidR="008E1204">
        <w:rPr>
          <w:rFonts w:ascii="Garamond" w:hAnsi="Garamond"/>
          <w:sz w:val="22"/>
          <w:szCs w:val="22"/>
        </w:rPr>
        <w:t xml:space="preserve">, </w:t>
      </w:r>
      <w:r w:rsidR="008E1204" w:rsidRPr="002B094A">
        <w:rPr>
          <w:rFonts w:ascii="Garamond" w:hAnsi="Garamond"/>
          <w:sz w:val="22"/>
          <w:szCs w:val="22"/>
        </w:rPr>
        <w:t xml:space="preserve">the labor market </w:t>
      </w:r>
      <w:r w:rsidR="008E1204">
        <w:rPr>
          <w:rFonts w:ascii="Garamond" w:hAnsi="Garamond"/>
          <w:sz w:val="22"/>
          <w:szCs w:val="22"/>
        </w:rPr>
        <w:t xml:space="preserve">created </w:t>
      </w:r>
      <w:r w:rsidR="002B094A" w:rsidRPr="002B094A">
        <w:rPr>
          <w:rFonts w:ascii="Garamond" w:hAnsi="Garamond"/>
          <w:sz w:val="22"/>
          <w:szCs w:val="22"/>
        </w:rPr>
        <w:t>weaker inflationary pressures</w:t>
      </w:r>
      <w:r w:rsidR="008E1204">
        <w:rPr>
          <w:rFonts w:ascii="Garamond" w:hAnsi="Garamond"/>
          <w:sz w:val="22"/>
          <w:szCs w:val="22"/>
        </w:rPr>
        <w:t xml:space="preserve">, as a result. </w:t>
      </w:r>
    </w:p>
    <w:p w14:paraId="1C15FF15"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The unemployment rate is an estimated 1</w:t>
      </w:r>
      <w:r w:rsidR="008E1204">
        <w:rPr>
          <w:rFonts w:ascii="Garamond" w:hAnsi="Garamond"/>
          <w:sz w:val="22"/>
          <w:szCs w:val="22"/>
        </w:rPr>
        <w:t>6</w:t>
      </w:r>
      <w:r w:rsidRPr="00EE5F0F">
        <w:rPr>
          <w:rFonts w:ascii="Garamond" w:hAnsi="Garamond"/>
          <w:sz w:val="22"/>
          <w:szCs w:val="22"/>
        </w:rPr>
        <w:t>.</w:t>
      </w:r>
      <w:r w:rsidR="008E1204">
        <w:rPr>
          <w:rFonts w:ascii="Garamond" w:hAnsi="Garamond"/>
          <w:sz w:val="22"/>
          <w:szCs w:val="22"/>
        </w:rPr>
        <w:t>7</w:t>
      </w:r>
      <w:r w:rsidRPr="00EE5F0F">
        <w:rPr>
          <w:rFonts w:ascii="Garamond" w:hAnsi="Garamond"/>
          <w:sz w:val="22"/>
          <w:szCs w:val="22"/>
        </w:rPr>
        <w:t xml:space="preserve">% </w:t>
      </w:r>
      <w:r w:rsidR="008E1204">
        <w:rPr>
          <w:rFonts w:ascii="Garamond" w:hAnsi="Garamond"/>
          <w:sz w:val="22"/>
          <w:szCs w:val="22"/>
        </w:rPr>
        <w:t>for</w:t>
      </w:r>
      <w:r w:rsidRPr="00EE5F0F">
        <w:rPr>
          <w:rFonts w:ascii="Garamond" w:hAnsi="Garamond"/>
          <w:sz w:val="22"/>
          <w:szCs w:val="22"/>
        </w:rPr>
        <w:t xml:space="preserve"> the </w:t>
      </w:r>
      <w:r w:rsidR="008E1204">
        <w:rPr>
          <w:rFonts w:ascii="Garamond" w:hAnsi="Garamond"/>
          <w:sz w:val="22"/>
          <w:szCs w:val="22"/>
        </w:rPr>
        <w:t>second</w:t>
      </w:r>
      <w:r w:rsidRPr="00EE5F0F">
        <w:rPr>
          <w:rFonts w:ascii="Garamond" w:hAnsi="Garamond"/>
          <w:sz w:val="22"/>
          <w:szCs w:val="22"/>
        </w:rPr>
        <w:t xml:space="preserve"> quarter of 2018, which is </w:t>
      </w:r>
      <w:r w:rsidR="008E1204">
        <w:rPr>
          <w:rFonts w:ascii="Garamond" w:hAnsi="Garamond"/>
          <w:sz w:val="22"/>
          <w:szCs w:val="22"/>
        </w:rPr>
        <w:t xml:space="preserve">slightly below the </w:t>
      </w:r>
      <w:r w:rsidRPr="00EE5F0F">
        <w:rPr>
          <w:rFonts w:ascii="Garamond" w:hAnsi="Garamond"/>
          <w:sz w:val="22"/>
          <w:szCs w:val="22"/>
        </w:rPr>
        <w:t>previous forecast</w:t>
      </w:r>
      <w:r w:rsidR="00CC70D3">
        <w:rPr>
          <w:rFonts w:ascii="Garamond" w:hAnsi="Garamond"/>
          <w:sz w:val="22"/>
          <w:szCs w:val="22"/>
        </w:rPr>
        <w:t>s.</w:t>
      </w:r>
      <w:r w:rsidRPr="00EE5F0F">
        <w:rPr>
          <w:rFonts w:ascii="Garamond" w:hAnsi="Garamond"/>
          <w:sz w:val="22"/>
          <w:szCs w:val="22"/>
        </w:rPr>
        <w:t xml:space="preserve"> This is due to the fact that the </w:t>
      </w:r>
      <w:r w:rsidR="00742EBE" w:rsidRPr="00EE5F0F">
        <w:rPr>
          <w:rFonts w:ascii="Garamond" w:hAnsi="Garamond"/>
          <w:sz w:val="22"/>
          <w:szCs w:val="22"/>
        </w:rPr>
        <w:t xml:space="preserve">productivity </w:t>
      </w:r>
      <w:r w:rsidR="00742EBE">
        <w:rPr>
          <w:rFonts w:ascii="Garamond" w:hAnsi="Garamond"/>
          <w:sz w:val="22"/>
          <w:szCs w:val="22"/>
        </w:rPr>
        <w:t xml:space="preserve">growth rate has been slower than expected by the Central Bank, and a considerable part of </w:t>
      </w:r>
      <w:r w:rsidRPr="00EE5F0F">
        <w:rPr>
          <w:rFonts w:ascii="Garamond" w:hAnsi="Garamond"/>
          <w:sz w:val="22"/>
          <w:szCs w:val="22"/>
        </w:rPr>
        <w:t xml:space="preserve">economic growth has been </w:t>
      </w:r>
      <w:r w:rsidR="00742EBE">
        <w:rPr>
          <w:rFonts w:ascii="Garamond" w:hAnsi="Garamond"/>
          <w:sz w:val="22"/>
          <w:szCs w:val="22"/>
        </w:rPr>
        <w:t xml:space="preserve">fuelled by grown employment. </w:t>
      </w:r>
      <w:r w:rsidRPr="00EE5F0F">
        <w:rPr>
          <w:rFonts w:ascii="Garamond" w:hAnsi="Garamond"/>
          <w:sz w:val="22"/>
          <w:szCs w:val="22"/>
        </w:rPr>
        <w:t xml:space="preserve">Relative to the same reference period </w:t>
      </w:r>
      <w:r w:rsidR="00742EBE">
        <w:rPr>
          <w:rFonts w:ascii="Garamond" w:hAnsi="Garamond"/>
          <w:sz w:val="22"/>
          <w:szCs w:val="22"/>
        </w:rPr>
        <w:t>of 2017</w:t>
      </w:r>
      <w:r w:rsidRPr="00EE5F0F">
        <w:rPr>
          <w:rFonts w:ascii="Garamond" w:hAnsi="Garamond"/>
          <w:sz w:val="22"/>
          <w:szCs w:val="22"/>
        </w:rPr>
        <w:t>, the unemployment</w:t>
      </w:r>
      <w:r w:rsidR="00526D06">
        <w:rPr>
          <w:rFonts w:ascii="Garamond" w:hAnsi="Garamond"/>
          <w:sz w:val="22"/>
          <w:szCs w:val="22"/>
        </w:rPr>
        <w:t xml:space="preserve"> rate</w:t>
      </w:r>
      <w:r w:rsidRPr="00EE5F0F">
        <w:rPr>
          <w:rFonts w:ascii="Garamond" w:hAnsi="Garamond"/>
          <w:sz w:val="22"/>
          <w:szCs w:val="22"/>
        </w:rPr>
        <w:t xml:space="preserve"> has d</w:t>
      </w:r>
      <w:r w:rsidR="005F6455">
        <w:rPr>
          <w:rFonts w:ascii="Garamond" w:hAnsi="Garamond"/>
          <w:sz w:val="22"/>
          <w:szCs w:val="22"/>
        </w:rPr>
        <w:t xml:space="preserve">eclined </w:t>
      </w:r>
      <w:r w:rsidRPr="00EE5F0F">
        <w:rPr>
          <w:rFonts w:ascii="Garamond" w:hAnsi="Garamond"/>
          <w:sz w:val="22"/>
          <w:szCs w:val="22"/>
        </w:rPr>
        <w:t xml:space="preserve">by </w:t>
      </w:r>
      <w:r w:rsidR="005F6455">
        <w:rPr>
          <w:rFonts w:ascii="Garamond" w:hAnsi="Garamond"/>
          <w:sz w:val="22"/>
          <w:szCs w:val="22"/>
        </w:rPr>
        <w:t>1</w:t>
      </w:r>
      <w:r w:rsidRPr="00EE5F0F">
        <w:rPr>
          <w:rFonts w:ascii="Garamond" w:hAnsi="Garamond"/>
          <w:sz w:val="22"/>
          <w:szCs w:val="22"/>
        </w:rPr>
        <w:t>.</w:t>
      </w:r>
      <w:r w:rsidR="005F6455">
        <w:rPr>
          <w:rFonts w:ascii="Garamond" w:hAnsi="Garamond"/>
          <w:sz w:val="22"/>
          <w:szCs w:val="22"/>
        </w:rPr>
        <w:t>1</w:t>
      </w:r>
      <w:r w:rsidRPr="00EE5F0F">
        <w:rPr>
          <w:rFonts w:ascii="Garamond" w:hAnsi="Garamond"/>
          <w:sz w:val="22"/>
          <w:szCs w:val="22"/>
        </w:rPr>
        <w:t xml:space="preserve"> pp.</w:t>
      </w:r>
    </w:p>
    <w:p w14:paraId="12E79AAE"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period under review, unit labor costs of the firms have </w:t>
      </w:r>
      <w:r w:rsidR="005F6455">
        <w:rPr>
          <w:rFonts w:ascii="Garamond" w:hAnsi="Garamond"/>
          <w:sz w:val="22"/>
          <w:szCs w:val="22"/>
        </w:rPr>
        <w:t>grown by 2.7</w:t>
      </w:r>
      <w:r w:rsidRPr="00EE5F0F">
        <w:rPr>
          <w:rFonts w:ascii="Garamond" w:hAnsi="Garamond"/>
          <w:sz w:val="22"/>
          <w:szCs w:val="22"/>
        </w:rPr>
        <w:t xml:space="preserve">%, reflecting the </w:t>
      </w:r>
      <w:r w:rsidR="009D336B">
        <w:rPr>
          <w:rFonts w:ascii="Garamond" w:hAnsi="Garamond"/>
          <w:sz w:val="22"/>
          <w:szCs w:val="22"/>
        </w:rPr>
        <w:t>dec</w:t>
      </w:r>
      <w:r w:rsidRPr="00EE5F0F">
        <w:rPr>
          <w:rFonts w:ascii="Garamond" w:hAnsi="Garamond"/>
          <w:sz w:val="22"/>
          <w:szCs w:val="22"/>
        </w:rPr>
        <w:t>eleration of output growth rate per unit of labor in relation to private sector wage growth.</w:t>
      </w:r>
    </w:p>
    <w:p w14:paraId="5A25B4B7"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7392B076"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5D8892DB" w14:textId="77777777" w:rsidR="00242EA6" w:rsidRDefault="00242EA6" w:rsidP="00242EA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t>
      </w:r>
      <w:r w:rsidR="009D336B">
        <w:rPr>
          <w:rFonts w:ascii="Garamond" w:hAnsi="Garamond"/>
          <w:b/>
          <w:sz w:val="22"/>
          <w:szCs w:val="22"/>
        </w:rPr>
        <w:t>second</w:t>
      </w:r>
      <w:r w:rsidRPr="00EE5F0F">
        <w:rPr>
          <w:rFonts w:ascii="Garamond" w:hAnsi="Garamond"/>
          <w:b/>
          <w:sz w:val="22"/>
          <w:szCs w:val="22"/>
        </w:rPr>
        <w:t xml:space="preserve"> quarter of 2018, the Board of the Central Bank decided to leave the refinancing rate unchanged, at a 6% level.</w:t>
      </w:r>
    </w:p>
    <w:tbl>
      <w:tblPr>
        <w:tblStyle w:val="TableGrid"/>
        <w:tblW w:w="0" w:type="auto"/>
        <w:tblLook w:val="04A0" w:firstRow="1" w:lastRow="0" w:firstColumn="1" w:lastColumn="0" w:noHBand="0" w:noVBand="1"/>
      </w:tblPr>
      <w:tblGrid>
        <w:gridCol w:w="6204"/>
      </w:tblGrid>
      <w:tr w:rsidR="009D336B" w:rsidRPr="00AB24C1" w14:paraId="75224FD3" w14:textId="77777777" w:rsidTr="00196427">
        <w:tc>
          <w:tcPr>
            <w:tcW w:w="6204" w:type="dxa"/>
          </w:tcPr>
          <w:p w14:paraId="5B76BC4A" w14:textId="77777777" w:rsidR="009D336B" w:rsidRPr="00BC3332" w:rsidRDefault="009D336B" w:rsidP="009D336B">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w:t>
            </w:r>
            <w:r>
              <w:rPr>
                <w:rFonts w:ascii="Garamond" w:hAnsi="Garamond"/>
                <w:color w:val="0070C0"/>
                <w:sz w:val="20"/>
                <w:szCs w:val="20"/>
              </w:rPr>
              <w:t xml:space="preserve">refinancing rate was 6% in the second quarter of 2018, as the Board decided to again leave it unchanged. </w:t>
            </w:r>
          </w:p>
        </w:tc>
      </w:tr>
    </w:tbl>
    <w:p w14:paraId="405D55E7" w14:textId="77777777" w:rsidR="009D336B" w:rsidRPr="00EE5F0F" w:rsidRDefault="009D336B" w:rsidP="00242EA6">
      <w:pPr>
        <w:autoSpaceDE w:val="0"/>
        <w:autoSpaceDN w:val="0"/>
        <w:adjustRightInd w:val="0"/>
        <w:spacing w:after="120" w:line="360" w:lineRule="auto"/>
        <w:jc w:val="both"/>
        <w:rPr>
          <w:rFonts w:ascii="Garamond" w:hAnsi="Garamond"/>
          <w:b/>
          <w:sz w:val="22"/>
          <w:szCs w:val="22"/>
        </w:rPr>
      </w:pPr>
    </w:p>
    <w:p w14:paraId="57B54952" w14:textId="77777777" w:rsidR="00242EA6" w:rsidRDefault="006C281A"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Small </w:t>
      </w:r>
      <w:r w:rsidR="00493561" w:rsidRPr="00493561">
        <w:rPr>
          <w:rFonts w:ascii="Garamond" w:hAnsi="Garamond"/>
          <w:sz w:val="22"/>
          <w:szCs w:val="22"/>
        </w:rPr>
        <w:t>inflation expectation</w:t>
      </w:r>
      <w:r>
        <w:rPr>
          <w:rFonts w:ascii="Garamond" w:hAnsi="Garamond"/>
          <w:sz w:val="22"/>
          <w:szCs w:val="22"/>
        </w:rPr>
        <w:t>s</w:t>
      </w:r>
      <w:r w:rsidR="00493561" w:rsidRPr="00493561">
        <w:rPr>
          <w:rFonts w:ascii="Garamond" w:hAnsi="Garamond"/>
          <w:sz w:val="22"/>
          <w:szCs w:val="22"/>
        </w:rPr>
        <w:t xml:space="preserve"> and </w:t>
      </w:r>
      <w:r>
        <w:rPr>
          <w:rFonts w:ascii="Garamond" w:hAnsi="Garamond"/>
          <w:sz w:val="22"/>
          <w:szCs w:val="22"/>
        </w:rPr>
        <w:t>some</w:t>
      </w:r>
      <w:r w:rsidR="00493561" w:rsidRPr="00493561">
        <w:rPr>
          <w:rFonts w:ascii="Garamond" w:hAnsi="Garamond"/>
          <w:sz w:val="22"/>
          <w:szCs w:val="22"/>
        </w:rPr>
        <w:t xml:space="preserve"> slow</w:t>
      </w:r>
      <w:r>
        <w:rPr>
          <w:rFonts w:ascii="Garamond" w:hAnsi="Garamond"/>
          <w:sz w:val="22"/>
          <w:szCs w:val="22"/>
        </w:rPr>
        <w:t xml:space="preserve">ing </w:t>
      </w:r>
      <w:r w:rsidR="00493561" w:rsidRPr="00493561">
        <w:rPr>
          <w:rFonts w:ascii="Garamond" w:hAnsi="Garamond"/>
          <w:sz w:val="22"/>
          <w:szCs w:val="22"/>
        </w:rPr>
        <w:t xml:space="preserve">in the </w:t>
      </w:r>
      <w:r>
        <w:rPr>
          <w:rFonts w:ascii="Garamond" w:hAnsi="Garamond"/>
          <w:sz w:val="22"/>
          <w:szCs w:val="22"/>
        </w:rPr>
        <w:t xml:space="preserve">growth of </w:t>
      </w:r>
      <w:r w:rsidR="00493561" w:rsidRPr="00493561">
        <w:rPr>
          <w:rFonts w:ascii="Garamond" w:hAnsi="Garamond"/>
          <w:sz w:val="22"/>
          <w:szCs w:val="22"/>
        </w:rPr>
        <w:t xml:space="preserve">domestic demand </w:t>
      </w:r>
      <w:r>
        <w:rPr>
          <w:rFonts w:ascii="Garamond" w:hAnsi="Garamond"/>
          <w:sz w:val="22"/>
          <w:szCs w:val="22"/>
        </w:rPr>
        <w:t>were the primary factors prompting t</w:t>
      </w:r>
      <w:r w:rsidR="00493561" w:rsidRPr="00493561">
        <w:rPr>
          <w:rFonts w:ascii="Garamond" w:hAnsi="Garamond"/>
          <w:sz w:val="22"/>
          <w:szCs w:val="22"/>
        </w:rPr>
        <w:t xml:space="preserve">he </w:t>
      </w:r>
      <w:r>
        <w:rPr>
          <w:rFonts w:ascii="Garamond" w:hAnsi="Garamond"/>
          <w:sz w:val="22"/>
          <w:szCs w:val="22"/>
        </w:rPr>
        <w:t xml:space="preserve">Board of the </w:t>
      </w:r>
      <w:r w:rsidR="00493561" w:rsidRPr="00493561">
        <w:rPr>
          <w:rFonts w:ascii="Garamond" w:hAnsi="Garamond"/>
          <w:sz w:val="22"/>
          <w:szCs w:val="22"/>
        </w:rPr>
        <w:t xml:space="preserve">Central Bank </w:t>
      </w:r>
      <w:r>
        <w:rPr>
          <w:rFonts w:ascii="Garamond" w:hAnsi="Garamond"/>
          <w:sz w:val="22"/>
          <w:szCs w:val="22"/>
        </w:rPr>
        <w:t xml:space="preserve">to decide on </w:t>
      </w:r>
      <w:r w:rsidR="00493561" w:rsidRPr="00493561">
        <w:rPr>
          <w:rFonts w:ascii="Garamond" w:hAnsi="Garamond"/>
          <w:sz w:val="22"/>
          <w:szCs w:val="22"/>
        </w:rPr>
        <w:t>leav</w:t>
      </w:r>
      <w:r>
        <w:rPr>
          <w:rFonts w:ascii="Garamond" w:hAnsi="Garamond"/>
          <w:sz w:val="22"/>
          <w:szCs w:val="22"/>
        </w:rPr>
        <w:t>ing</w:t>
      </w:r>
      <w:r w:rsidR="00493561" w:rsidRPr="00493561">
        <w:rPr>
          <w:rFonts w:ascii="Garamond" w:hAnsi="Garamond"/>
          <w:sz w:val="22"/>
          <w:szCs w:val="22"/>
        </w:rPr>
        <w:t xml:space="preserve"> the policy rate unchanged</w:t>
      </w:r>
      <w:r>
        <w:rPr>
          <w:rFonts w:ascii="Garamond" w:hAnsi="Garamond"/>
          <w:sz w:val="22"/>
          <w:szCs w:val="22"/>
        </w:rPr>
        <w:t>.</w:t>
      </w:r>
      <w:r w:rsidR="00493561" w:rsidRPr="00493561">
        <w:rPr>
          <w:rFonts w:ascii="Garamond" w:hAnsi="Garamond"/>
          <w:sz w:val="22"/>
          <w:szCs w:val="22"/>
        </w:rPr>
        <w:t xml:space="preserve"> </w:t>
      </w:r>
      <w:r w:rsidR="00242EA6" w:rsidRPr="00EE5F0F">
        <w:rPr>
          <w:rFonts w:ascii="Garamond" w:hAnsi="Garamond"/>
          <w:sz w:val="22"/>
          <w:szCs w:val="22"/>
        </w:rPr>
        <w:t xml:space="preserve">At the same time, the Board reiterated the possibility </w:t>
      </w:r>
      <w:r>
        <w:rPr>
          <w:rFonts w:ascii="Garamond" w:hAnsi="Garamond"/>
          <w:sz w:val="22"/>
          <w:szCs w:val="22"/>
        </w:rPr>
        <w:t xml:space="preserve">that </w:t>
      </w:r>
      <w:r w:rsidR="00242EA6" w:rsidRPr="00EE5F0F">
        <w:rPr>
          <w:rFonts w:ascii="Garamond" w:hAnsi="Garamond"/>
          <w:sz w:val="22"/>
          <w:szCs w:val="22"/>
        </w:rPr>
        <w:t xml:space="preserve">expansionary monetary conditions </w:t>
      </w:r>
      <w:r>
        <w:rPr>
          <w:rFonts w:ascii="Garamond" w:hAnsi="Garamond"/>
          <w:sz w:val="22"/>
          <w:szCs w:val="22"/>
        </w:rPr>
        <w:t xml:space="preserve">may </w:t>
      </w:r>
      <w:r w:rsidR="00242EA6" w:rsidRPr="00EE5F0F">
        <w:rPr>
          <w:rFonts w:ascii="Garamond" w:hAnsi="Garamond"/>
          <w:sz w:val="22"/>
          <w:szCs w:val="22"/>
        </w:rPr>
        <w:t xml:space="preserve">phase out </w:t>
      </w:r>
      <w:r>
        <w:rPr>
          <w:rFonts w:ascii="Garamond" w:hAnsi="Garamond"/>
          <w:sz w:val="22"/>
          <w:szCs w:val="22"/>
        </w:rPr>
        <w:t xml:space="preserve">gradually </w:t>
      </w:r>
      <w:r w:rsidR="00194EA3">
        <w:rPr>
          <w:rFonts w:ascii="Garamond" w:hAnsi="Garamond"/>
          <w:sz w:val="22"/>
          <w:szCs w:val="22"/>
        </w:rPr>
        <w:t xml:space="preserve">in future, </w:t>
      </w:r>
      <w:r>
        <w:rPr>
          <w:rFonts w:ascii="Garamond" w:hAnsi="Garamond"/>
          <w:sz w:val="22"/>
          <w:szCs w:val="22"/>
        </w:rPr>
        <w:t xml:space="preserve">if the </w:t>
      </w:r>
      <w:r w:rsidR="00242EA6" w:rsidRPr="00EE5F0F">
        <w:rPr>
          <w:rFonts w:ascii="Garamond" w:hAnsi="Garamond"/>
          <w:sz w:val="22"/>
          <w:szCs w:val="22"/>
        </w:rPr>
        <w:t xml:space="preserve">predicted developments </w:t>
      </w:r>
      <w:r>
        <w:rPr>
          <w:rFonts w:ascii="Garamond" w:hAnsi="Garamond"/>
          <w:sz w:val="22"/>
          <w:szCs w:val="22"/>
        </w:rPr>
        <w:t xml:space="preserve">unfold and the outlined risks materialize </w:t>
      </w:r>
      <w:r w:rsidR="00194EA3">
        <w:rPr>
          <w:rFonts w:ascii="Garamond" w:hAnsi="Garamond"/>
          <w:sz w:val="22"/>
          <w:szCs w:val="22"/>
        </w:rPr>
        <w:t>accordingly</w:t>
      </w:r>
      <w:r w:rsidR="00242EA6" w:rsidRPr="00EE5F0F">
        <w:rPr>
          <w:rFonts w:ascii="Garamond" w:hAnsi="Garamond"/>
          <w:sz w:val="22"/>
          <w:szCs w:val="22"/>
        </w:rPr>
        <w:t xml:space="preserve">, </w:t>
      </w:r>
      <w:r w:rsidR="00194EA3">
        <w:rPr>
          <w:rFonts w:ascii="Garamond" w:hAnsi="Garamond"/>
          <w:sz w:val="22"/>
          <w:szCs w:val="22"/>
        </w:rPr>
        <w:t>anticipating that inflation will stabilize around the target in the medium term</w:t>
      </w:r>
      <w:r w:rsidR="00242EA6" w:rsidRPr="00EE5F0F">
        <w:rPr>
          <w:rFonts w:ascii="Garamond" w:hAnsi="Garamond"/>
          <w:sz w:val="22"/>
          <w:szCs w:val="22"/>
        </w:rPr>
        <w:t xml:space="preserve">. </w:t>
      </w:r>
    </w:p>
    <w:p w14:paraId="60CAB6CA" w14:textId="77777777" w:rsidR="00194EA3" w:rsidRPr="00EE5F0F" w:rsidRDefault="00194EA3"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t>Table 5:</w:t>
      </w:r>
    </w:p>
    <w:p w14:paraId="5BD341B7" w14:textId="77777777" w:rsidR="0083205A" w:rsidRDefault="004E2292" w:rsidP="00242EA6">
      <w:pPr>
        <w:autoSpaceDE w:val="0"/>
        <w:autoSpaceDN w:val="0"/>
        <w:adjustRightInd w:val="0"/>
        <w:spacing w:after="120" w:line="360" w:lineRule="auto"/>
        <w:jc w:val="both"/>
        <w:rPr>
          <w:rFonts w:ascii="Garamond" w:hAnsi="Garamond"/>
          <w:sz w:val="22"/>
          <w:szCs w:val="22"/>
        </w:rPr>
      </w:pPr>
      <w:r w:rsidRPr="004E2292">
        <w:rPr>
          <w:rFonts w:ascii="Garamond" w:hAnsi="Garamond"/>
          <w:sz w:val="22"/>
          <w:szCs w:val="22"/>
        </w:rPr>
        <w:t xml:space="preserve">The impact of political events in the country in April-May </w:t>
      </w:r>
      <w:r>
        <w:rPr>
          <w:rFonts w:ascii="Garamond" w:hAnsi="Garamond"/>
          <w:sz w:val="22"/>
          <w:szCs w:val="22"/>
        </w:rPr>
        <w:t xml:space="preserve">2018 </w:t>
      </w:r>
      <w:r w:rsidRPr="004E2292">
        <w:rPr>
          <w:rFonts w:ascii="Garamond" w:hAnsi="Garamond"/>
          <w:sz w:val="22"/>
          <w:szCs w:val="22"/>
        </w:rPr>
        <w:t>on market rates</w:t>
      </w:r>
      <w:r>
        <w:rPr>
          <w:rFonts w:ascii="Garamond" w:hAnsi="Garamond"/>
          <w:sz w:val="22"/>
          <w:szCs w:val="22"/>
        </w:rPr>
        <w:t xml:space="preserve"> was not significant</w:t>
      </w:r>
      <w:r w:rsidRPr="004E2292">
        <w:rPr>
          <w:rFonts w:ascii="Garamond" w:hAnsi="Garamond"/>
          <w:sz w:val="22"/>
          <w:szCs w:val="22"/>
        </w:rPr>
        <w:t xml:space="preserve">, </w:t>
      </w:r>
      <w:r>
        <w:rPr>
          <w:rFonts w:ascii="Garamond" w:hAnsi="Garamond"/>
          <w:sz w:val="22"/>
          <w:szCs w:val="22"/>
        </w:rPr>
        <w:t xml:space="preserve">as it owed to </w:t>
      </w:r>
      <w:r w:rsidR="00A057D2">
        <w:rPr>
          <w:rFonts w:ascii="Garamond" w:hAnsi="Garamond"/>
          <w:sz w:val="22"/>
          <w:szCs w:val="22"/>
        </w:rPr>
        <w:t>strong</w:t>
      </w:r>
      <w:r w:rsidRPr="004E2292">
        <w:rPr>
          <w:rFonts w:ascii="Garamond" w:hAnsi="Garamond"/>
          <w:sz w:val="22"/>
          <w:szCs w:val="22"/>
        </w:rPr>
        <w:t xml:space="preserve"> confidence </w:t>
      </w:r>
      <w:r w:rsidR="00A057D2">
        <w:rPr>
          <w:rFonts w:ascii="Garamond" w:hAnsi="Garamond"/>
          <w:sz w:val="22"/>
          <w:szCs w:val="22"/>
        </w:rPr>
        <w:t xml:space="preserve">of </w:t>
      </w:r>
      <w:r w:rsidRPr="004E2292">
        <w:rPr>
          <w:rFonts w:ascii="Garamond" w:hAnsi="Garamond"/>
          <w:sz w:val="22"/>
          <w:szCs w:val="22"/>
        </w:rPr>
        <w:t>market participants in the tool</w:t>
      </w:r>
      <w:r w:rsidR="00A057D2">
        <w:rPr>
          <w:rFonts w:ascii="Garamond" w:hAnsi="Garamond"/>
          <w:sz w:val="22"/>
          <w:szCs w:val="22"/>
        </w:rPr>
        <w:t>kit</w:t>
      </w:r>
      <w:r w:rsidRPr="004E2292">
        <w:rPr>
          <w:rFonts w:ascii="Garamond" w:hAnsi="Garamond"/>
          <w:sz w:val="22"/>
          <w:szCs w:val="22"/>
        </w:rPr>
        <w:t xml:space="preserve"> and policies implemented by the C</w:t>
      </w:r>
      <w:r w:rsidR="00A057D2">
        <w:rPr>
          <w:rFonts w:ascii="Garamond" w:hAnsi="Garamond"/>
          <w:sz w:val="22"/>
          <w:szCs w:val="22"/>
        </w:rPr>
        <w:t xml:space="preserve">entral </w:t>
      </w:r>
      <w:r w:rsidRPr="004E2292">
        <w:rPr>
          <w:rFonts w:ascii="Garamond" w:hAnsi="Garamond"/>
          <w:sz w:val="22"/>
          <w:szCs w:val="22"/>
        </w:rPr>
        <w:t>B</w:t>
      </w:r>
      <w:r w:rsidR="00A057D2">
        <w:rPr>
          <w:rFonts w:ascii="Garamond" w:hAnsi="Garamond"/>
          <w:sz w:val="22"/>
          <w:szCs w:val="22"/>
        </w:rPr>
        <w:t>ank</w:t>
      </w:r>
      <w:r w:rsidR="001B2965">
        <w:rPr>
          <w:rFonts w:ascii="Garamond" w:hAnsi="Garamond"/>
          <w:sz w:val="22"/>
          <w:szCs w:val="22"/>
        </w:rPr>
        <w:t xml:space="preserve"> to respond to the situation adequately</w:t>
      </w:r>
      <w:r w:rsidRPr="004E2292">
        <w:rPr>
          <w:rFonts w:ascii="Garamond" w:hAnsi="Garamond"/>
          <w:sz w:val="22"/>
          <w:szCs w:val="22"/>
        </w:rPr>
        <w:t>.</w:t>
      </w:r>
      <w:r w:rsidR="00A057D2">
        <w:rPr>
          <w:rFonts w:ascii="Garamond" w:hAnsi="Garamond"/>
          <w:sz w:val="22"/>
          <w:szCs w:val="22"/>
        </w:rPr>
        <w:t xml:space="preserve"> </w:t>
      </w:r>
      <w:r w:rsidR="001B2965">
        <w:rPr>
          <w:rFonts w:ascii="Garamond" w:hAnsi="Garamond"/>
          <w:sz w:val="22"/>
          <w:szCs w:val="22"/>
        </w:rPr>
        <w:t>Notwithstanding</w:t>
      </w:r>
      <w:r w:rsidR="001B2965" w:rsidRPr="001B2965">
        <w:rPr>
          <w:rFonts w:ascii="Garamond" w:hAnsi="Garamond"/>
          <w:sz w:val="22"/>
          <w:szCs w:val="22"/>
        </w:rPr>
        <w:t xml:space="preserve"> a certain increase</w:t>
      </w:r>
      <w:r w:rsidR="001B2965">
        <w:rPr>
          <w:rFonts w:ascii="Garamond" w:hAnsi="Garamond"/>
          <w:sz w:val="22"/>
          <w:szCs w:val="22"/>
        </w:rPr>
        <w:t xml:space="preserve">, </w:t>
      </w:r>
      <w:r w:rsidR="001B2965" w:rsidRPr="001B2965">
        <w:rPr>
          <w:rFonts w:ascii="Garamond" w:hAnsi="Garamond"/>
          <w:sz w:val="22"/>
          <w:szCs w:val="22"/>
        </w:rPr>
        <w:t>short-term interest rates</w:t>
      </w:r>
      <w:r w:rsidR="001B2965">
        <w:rPr>
          <w:rFonts w:ascii="Garamond" w:hAnsi="Garamond"/>
          <w:sz w:val="22"/>
          <w:szCs w:val="22"/>
        </w:rPr>
        <w:t xml:space="preserve">, however, </w:t>
      </w:r>
      <w:r w:rsidR="001B2965" w:rsidRPr="001B2965">
        <w:rPr>
          <w:rFonts w:ascii="Garamond" w:hAnsi="Garamond"/>
          <w:sz w:val="22"/>
          <w:szCs w:val="22"/>
        </w:rPr>
        <w:t>continued shap</w:t>
      </w:r>
      <w:r w:rsidR="001B2965">
        <w:rPr>
          <w:rFonts w:ascii="Garamond" w:hAnsi="Garamond"/>
          <w:sz w:val="22"/>
          <w:szCs w:val="22"/>
        </w:rPr>
        <w:t xml:space="preserve">ing around </w:t>
      </w:r>
      <w:r w:rsidR="001B2965" w:rsidRPr="001B2965">
        <w:rPr>
          <w:rFonts w:ascii="Garamond" w:hAnsi="Garamond"/>
          <w:sz w:val="22"/>
          <w:szCs w:val="22"/>
        </w:rPr>
        <w:t>the policy rate</w:t>
      </w:r>
      <w:r w:rsidR="001B2965">
        <w:rPr>
          <w:rFonts w:ascii="Garamond" w:hAnsi="Garamond"/>
          <w:sz w:val="22"/>
          <w:szCs w:val="22"/>
        </w:rPr>
        <w:t xml:space="preserve"> of the Central Bank. </w:t>
      </w:r>
      <w:r w:rsidR="0048763B">
        <w:rPr>
          <w:rFonts w:ascii="Garamond" w:hAnsi="Garamond"/>
          <w:sz w:val="22"/>
          <w:szCs w:val="22"/>
        </w:rPr>
        <w:t xml:space="preserve">Thus, </w:t>
      </w:r>
      <w:r w:rsidR="0048763B" w:rsidRPr="00EE5F0F">
        <w:rPr>
          <w:rFonts w:ascii="Garamond" w:hAnsi="Garamond"/>
          <w:sz w:val="22"/>
          <w:szCs w:val="22"/>
        </w:rPr>
        <w:t xml:space="preserve">the interbank repo </w:t>
      </w:r>
      <w:r w:rsidR="0048763B">
        <w:rPr>
          <w:rFonts w:ascii="Garamond" w:hAnsi="Garamond"/>
          <w:sz w:val="22"/>
          <w:szCs w:val="22"/>
        </w:rPr>
        <w:t xml:space="preserve">(up to 7-day) </w:t>
      </w:r>
      <w:r w:rsidR="0048763B" w:rsidRPr="00EE5F0F">
        <w:rPr>
          <w:rFonts w:ascii="Garamond" w:hAnsi="Garamond"/>
          <w:sz w:val="22"/>
          <w:szCs w:val="22"/>
        </w:rPr>
        <w:t>rate has increased by 0.</w:t>
      </w:r>
      <w:r w:rsidR="0048763B">
        <w:rPr>
          <w:rFonts w:ascii="Garamond" w:hAnsi="Garamond"/>
          <w:sz w:val="22"/>
          <w:szCs w:val="22"/>
        </w:rPr>
        <w:t>15</w:t>
      </w:r>
      <w:r w:rsidR="0048763B" w:rsidRPr="00EE5F0F">
        <w:rPr>
          <w:rFonts w:ascii="Garamond" w:hAnsi="Garamond"/>
          <w:sz w:val="22"/>
          <w:szCs w:val="22"/>
        </w:rPr>
        <w:t xml:space="preserve"> pp against the previous quarter to </w:t>
      </w:r>
      <w:r w:rsidR="0048763B">
        <w:rPr>
          <w:rFonts w:ascii="Garamond" w:hAnsi="Garamond"/>
          <w:sz w:val="22"/>
          <w:szCs w:val="22"/>
        </w:rPr>
        <w:t>6</w:t>
      </w:r>
      <w:r w:rsidR="0048763B" w:rsidRPr="00EE5F0F">
        <w:rPr>
          <w:rFonts w:ascii="Garamond" w:hAnsi="Garamond"/>
          <w:sz w:val="22"/>
          <w:szCs w:val="22"/>
        </w:rPr>
        <w:t>.</w:t>
      </w:r>
      <w:r w:rsidR="0048763B">
        <w:rPr>
          <w:rFonts w:ascii="Garamond" w:hAnsi="Garamond"/>
          <w:sz w:val="22"/>
          <w:szCs w:val="22"/>
        </w:rPr>
        <w:t>09</w:t>
      </w:r>
      <w:r w:rsidR="0048763B" w:rsidRPr="00EE5F0F">
        <w:rPr>
          <w:rFonts w:ascii="Garamond" w:hAnsi="Garamond"/>
          <w:sz w:val="22"/>
          <w:szCs w:val="22"/>
        </w:rPr>
        <w:t>%; the a</w:t>
      </w:r>
      <w:r w:rsidR="0048763B">
        <w:rPr>
          <w:rFonts w:ascii="Garamond" w:hAnsi="Garamond"/>
          <w:sz w:val="22"/>
          <w:szCs w:val="22"/>
        </w:rPr>
        <w:t>verage monthly repo rate in June</w:t>
      </w:r>
      <w:r w:rsidR="0048763B" w:rsidRPr="00EE5F0F">
        <w:rPr>
          <w:rFonts w:ascii="Garamond" w:hAnsi="Garamond"/>
          <w:sz w:val="22"/>
          <w:szCs w:val="22"/>
        </w:rPr>
        <w:t xml:space="preserve"> was </w:t>
      </w:r>
      <w:r w:rsidR="0048763B">
        <w:rPr>
          <w:rFonts w:ascii="Garamond" w:hAnsi="Garamond"/>
          <w:sz w:val="22"/>
          <w:szCs w:val="22"/>
        </w:rPr>
        <w:t>6</w:t>
      </w:r>
      <w:r w:rsidR="0048763B" w:rsidRPr="00EE5F0F">
        <w:rPr>
          <w:rFonts w:ascii="Garamond" w:hAnsi="Garamond"/>
          <w:sz w:val="22"/>
          <w:szCs w:val="22"/>
        </w:rPr>
        <w:t>.</w:t>
      </w:r>
      <w:r w:rsidR="0048763B">
        <w:rPr>
          <w:rFonts w:ascii="Garamond" w:hAnsi="Garamond"/>
          <w:sz w:val="22"/>
          <w:szCs w:val="22"/>
        </w:rPr>
        <w:t>11</w:t>
      </w:r>
      <w:r w:rsidR="0048763B" w:rsidRPr="00EE5F0F">
        <w:rPr>
          <w:rFonts w:ascii="Garamond" w:hAnsi="Garamond"/>
          <w:sz w:val="22"/>
          <w:szCs w:val="22"/>
        </w:rPr>
        <w:t xml:space="preserve">%, having </w:t>
      </w:r>
      <w:r w:rsidR="0083205A">
        <w:rPr>
          <w:rFonts w:ascii="Garamond" w:hAnsi="Garamond"/>
          <w:sz w:val="22"/>
          <w:szCs w:val="22"/>
        </w:rPr>
        <w:t xml:space="preserve">grown </w:t>
      </w:r>
      <w:r w:rsidR="0048763B" w:rsidRPr="00EE5F0F">
        <w:rPr>
          <w:rFonts w:ascii="Garamond" w:hAnsi="Garamond"/>
          <w:sz w:val="22"/>
          <w:szCs w:val="22"/>
        </w:rPr>
        <w:t>by 0.1</w:t>
      </w:r>
      <w:r w:rsidR="0083205A">
        <w:rPr>
          <w:rFonts w:ascii="Garamond" w:hAnsi="Garamond"/>
          <w:sz w:val="22"/>
          <w:szCs w:val="22"/>
        </w:rPr>
        <w:t>8</w:t>
      </w:r>
      <w:r w:rsidR="0048763B" w:rsidRPr="00EE5F0F">
        <w:rPr>
          <w:rFonts w:ascii="Garamond" w:hAnsi="Garamond"/>
          <w:sz w:val="22"/>
          <w:szCs w:val="22"/>
        </w:rPr>
        <w:t xml:space="preserve"> pp against </w:t>
      </w:r>
      <w:r w:rsidR="0083205A">
        <w:rPr>
          <w:rFonts w:ascii="Garamond" w:hAnsi="Garamond"/>
          <w:sz w:val="22"/>
          <w:szCs w:val="22"/>
        </w:rPr>
        <w:t>March</w:t>
      </w:r>
      <w:r w:rsidR="0048763B" w:rsidRPr="00EE5F0F">
        <w:rPr>
          <w:rFonts w:ascii="Garamond" w:hAnsi="Garamond"/>
          <w:sz w:val="22"/>
          <w:szCs w:val="22"/>
        </w:rPr>
        <w:t>.</w:t>
      </w:r>
      <w:r w:rsidR="001B2965">
        <w:rPr>
          <w:rFonts w:ascii="Garamond" w:hAnsi="Garamond"/>
          <w:sz w:val="22"/>
          <w:szCs w:val="22"/>
        </w:rPr>
        <w:t xml:space="preserve"> </w:t>
      </w:r>
    </w:p>
    <w:tbl>
      <w:tblPr>
        <w:tblStyle w:val="TableGrid"/>
        <w:tblW w:w="0" w:type="auto"/>
        <w:tblLook w:val="04A0" w:firstRow="1" w:lastRow="0" w:firstColumn="1" w:lastColumn="0" w:noHBand="0" w:noVBand="1"/>
      </w:tblPr>
      <w:tblGrid>
        <w:gridCol w:w="9350"/>
      </w:tblGrid>
      <w:tr w:rsidR="00A64428" w:rsidRPr="00EE5F0F" w14:paraId="58AC5C14" w14:textId="77777777" w:rsidTr="00A64428">
        <w:tc>
          <w:tcPr>
            <w:tcW w:w="9350" w:type="dxa"/>
          </w:tcPr>
          <w:p w14:paraId="528CFD9E" w14:textId="77777777" w:rsidR="00242EA6" w:rsidRPr="00CF2C97" w:rsidRDefault="0083205A" w:rsidP="00242EA6">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Box 3</w:t>
            </w:r>
            <w:r w:rsidR="00242EA6" w:rsidRPr="00CF2C97">
              <w:rPr>
                <w:rFonts w:ascii="Garamond" w:hAnsi="Garamond"/>
                <w:b/>
                <w:color w:val="0070C0"/>
                <w:sz w:val="21"/>
                <w:szCs w:val="21"/>
              </w:rPr>
              <w:t>:</w:t>
            </w:r>
          </w:p>
          <w:p w14:paraId="05EA8512" w14:textId="77777777" w:rsidR="00242EA6" w:rsidRPr="00CF2C97" w:rsidRDefault="0083205A" w:rsidP="00242EA6">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cs="Sylfaen"/>
                <w:b/>
                <w:bCs/>
                <w:color w:val="0070C0"/>
                <w:sz w:val="21"/>
                <w:szCs w:val="21"/>
              </w:rPr>
              <w:t>The impact of the political events in the second quarter on the Armenian financial market, and the Central Bank action</w:t>
            </w:r>
            <w:r w:rsidR="00242EA6" w:rsidRPr="00CF2C97">
              <w:rPr>
                <w:rFonts w:ascii="Garamond" w:hAnsi="Garamond"/>
                <w:b/>
                <w:color w:val="0070C0"/>
                <w:sz w:val="21"/>
                <w:szCs w:val="21"/>
              </w:rPr>
              <w:t xml:space="preserve"> </w:t>
            </w:r>
          </w:p>
          <w:p w14:paraId="10FFC1E2" w14:textId="77777777" w:rsidR="00CF2C97" w:rsidRPr="00CF2C97" w:rsidRDefault="00CF2C97" w:rsidP="00CF2C97">
            <w:pPr>
              <w:autoSpaceDE w:val="0"/>
              <w:autoSpaceDN w:val="0"/>
              <w:adjustRightInd w:val="0"/>
              <w:spacing w:after="120" w:line="360" w:lineRule="auto"/>
              <w:jc w:val="both"/>
              <w:rPr>
                <w:rFonts w:ascii="Garamond" w:hAnsi="Garamond"/>
                <w:sz w:val="21"/>
                <w:szCs w:val="21"/>
              </w:rPr>
            </w:pPr>
            <w:r>
              <w:rPr>
                <w:rFonts w:ascii="Garamond" w:hAnsi="Garamond"/>
                <w:sz w:val="21"/>
                <w:szCs w:val="21"/>
              </w:rPr>
              <w:t>T</w:t>
            </w:r>
            <w:r w:rsidRPr="00CF2C97">
              <w:rPr>
                <w:rFonts w:ascii="Garamond" w:hAnsi="Garamond"/>
                <w:sz w:val="21"/>
                <w:szCs w:val="21"/>
              </w:rPr>
              <w:t xml:space="preserve">he developments in the financial market </w:t>
            </w:r>
            <w:r>
              <w:rPr>
                <w:rFonts w:ascii="Garamond" w:hAnsi="Garamond"/>
                <w:sz w:val="21"/>
                <w:szCs w:val="21"/>
              </w:rPr>
              <w:t xml:space="preserve">could not remain intact as </w:t>
            </w:r>
            <w:r w:rsidR="00DB5980">
              <w:rPr>
                <w:rFonts w:ascii="Garamond" w:hAnsi="Garamond"/>
                <w:sz w:val="21"/>
                <w:szCs w:val="21"/>
              </w:rPr>
              <w:t xml:space="preserve">the </w:t>
            </w:r>
            <w:r w:rsidRPr="00CF2C97">
              <w:rPr>
                <w:rFonts w:ascii="Garamond" w:hAnsi="Garamond"/>
                <w:sz w:val="21"/>
                <w:szCs w:val="21"/>
              </w:rPr>
              <w:t>political events</w:t>
            </w:r>
            <w:r w:rsidR="00DB5980">
              <w:rPr>
                <w:rFonts w:ascii="Garamond" w:hAnsi="Garamond"/>
                <w:sz w:val="21"/>
                <w:szCs w:val="21"/>
              </w:rPr>
              <w:t xml:space="preserve"> </w:t>
            </w:r>
            <w:r>
              <w:rPr>
                <w:rFonts w:ascii="Garamond" w:hAnsi="Garamond"/>
                <w:sz w:val="21"/>
                <w:szCs w:val="21"/>
              </w:rPr>
              <w:t>in the second quarter of 2018 (</w:t>
            </w:r>
            <w:r w:rsidRPr="00CF2C97">
              <w:rPr>
                <w:rFonts w:ascii="Garamond" w:hAnsi="Garamond"/>
                <w:sz w:val="21"/>
                <w:szCs w:val="21"/>
              </w:rPr>
              <w:t>April-May</w:t>
            </w:r>
            <w:r>
              <w:rPr>
                <w:rFonts w:ascii="Garamond" w:hAnsi="Garamond"/>
                <w:sz w:val="21"/>
                <w:szCs w:val="21"/>
              </w:rPr>
              <w:t>)</w:t>
            </w:r>
            <w:r w:rsidRPr="00CF2C97">
              <w:rPr>
                <w:rFonts w:ascii="Garamond" w:hAnsi="Garamond"/>
                <w:sz w:val="21"/>
                <w:szCs w:val="21"/>
              </w:rPr>
              <w:t xml:space="preserve"> </w:t>
            </w:r>
            <w:r>
              <w:rPr>
                <w:rFonts w:ascii="Garamond" w:hAnsi="Garamond"/>
                <w:sz w:val="21"/>
                <w:szCs w:val="21"/>
              </w:rPr>
              <w:t xml:space="preserve">gripped </w:t>
            </w:r>
            <w:r w:rsidRPr="00CF2C97">
              <w:rPr>
                <w:rFonts w:ascii="Garamond" w:hAnsi="Garamond"/>
                <w:sz w:val="21"/>
                <w:szCs w:val="21"/>
              </w:rPr>
              <w:t>the country</w:t>
            </w:r>
            <w:r>
              <w:rPr>
                <w:rFonts w:ascii="Garamond" w:hAnsi="Garamond"/>
                <w:sz w:val="21"/>
                <w:szCs w:val="21"/>
              </w:rPr>
              <w:t>.</w:t>
            </w:r>
            <w:r w:rsidRPr="00CF2C97">
              <w:rPr>
                <w:rFonts w:ascii="Garamond" w:hAnsi="Garamond"/>
                <w:sz w:val="21"/>
                <w:szCs w:val="21"/>
              </w:rPr>
              <w:t xml:space="preserve"> These events were accompanied by a short-term deposit</w:t>
            </w:r>
            <w:r w:rsidR="00DB5980">
              <w:rPr>
                <w:rFonts w:ascii="Garamond" w:hAnsi="Garamond"/>
                <w:sz w:val="21"/>
                <w:szCs w:val="21"/>
              </w:rPr>
              <w:t xml:space="preserve"> runoff</w:t>
            </w:r>
            <w:r w:rsidRPr="00CF2C97">
              <w:rPr>
                <w:rFonts w:ascii="Garamond" w:hAnsi="Garamond"/>
                <w:sz w:val="21"/>
                <w:szCs w:val="21"/>
              </w:rPr>
              <w:t xml:space="preserve"> in the </w:t>
            </w:r>
            <w:r w:rsidR="00DB5980">
              <w:rPr>
                <w:rFonts w:ascii="Garamond" w:hAnsi="Garamond"/>
                <w:sz w:val="21"/>
                <w:szCs w:val="21"/>
              </w:rPr>
              <w:t xml:space="preserve">domestic </w:t>
            </w:r>
            <w:r w:rsidRPr="00CF2C97">
              <w:rPr>
                <w:rFonts w:ascii="Garamond" w:hAnsi="Garamond"/>
                <w:sz w:val="21"/>
                <w:szCs w:val="21"/>
              </w:rPr>
              <w:t xml:space="preserve">banking system, which </w:t>
            </w:r>
            <w:r w:rsidR="004A12BA">
              <w:rPr>
                <w:rFonts w:ascii="Garamond" w:hAnsi="Garamond"/>
                <w:sz w:val="21"/>
                <w:szCs w:val="21"/>
              </w:rPr>
              <w:t xml:space="preserve">resulted in </w:t>
            </w:r>
            <w:r w:rsidR="00DB5980">
              <w:rPr>
                <w:rFonts w:ascii="Garamond" w:hAnsi="Garamond"/>
                <w:sz w:val="21"/>
                <w:szCs w:val="21"/>
              </w:rPr>
              <w:t xml:space="preserve">a </w:t>
            </w:r>
            <w:r w:rsidRPr="00CF2C97">
              <w:rPr>
                <w:rFonts w:ascii="Garamond" w:hAnsi="Garamond"/>
                <w:sz w:val="21"/>
                <w:szCs w:val="21"/>
              </w:rPr>
              <w:t xml:space="preserve">certain </w:t>
            </w:r>
            <w:r w:rsidR="00DB5980">
              <w:rPr>
                <w:rFonts w:ascii="Garamond" w:hAnsi="Garamond"/>
                <w:sz w:val="21"/>
                <w:szCs w:val="21"/>
              </w:rPr>
              <w:t xml:space="preserve">urge </w:t>
            </w:r>
            <w:r w:rsidRPr="00CF2C97">
              <w:rPr>
                <w:rFonts w:ascii="Garamond" w:hAnsi="Garamond"/>
                <w:sz w:val="21"/>
                <w:szCs w:val="21"/>
              </w:rPr>
              <w:t xml:space="preserve">for </w:t>
            </w:r>
            <w:r w:rsidR="00DB5980">
              <w:rPr>
                <w:rFonts w:ascii="Garamond" w:hAnsi="Garamond"/>
                <w:sz w:val="21"/>
                <w:szCs w:val="21"/>
              </w:rPr>
              <w:t xml:space="preserve">local and </w:t>
            </w:r>
            <w:r w:rsidRPr="00CF2C97">
              <w:rPr>
                <w:rFonts w:ascii="Garamond" w:hAnsi="Garamond"/>
                <w:sz w:val="21"/>
                <w:szCs w:val="21"/>
              </w:rPr>
              <w:t xml:space="preserve">foreign currency </w:t>
            </w:r>
            <w:r w:rsidR="00DB5980">
              <w:rPr>
                <w:rFonts w:ascii="Garamond" w:hAnsi="Garamond"/>
                <w:sz w:val="21"/>
                <w:szCs w:val="21"/>
              </w:rPr>
              <w:t>l</w:t>
            </w:r>
            <w:r w:rsidRPr="00CF2C97">
              <w:rPr>
                <w:rFonts w:ascii="Garamond" w:hAnsi="Garamond"/>
                <w:sz w:val="21"/>
                <w:szCs w:val="21"/>
              </w:rPr>
              <w:t xml:space="preserve">iquidity </w:t>
            </w:r>
            <w:r w:rsidR="00DB5980">
              <w:rPr>
                <w:rFonts w:ascii="Garamond" w:hAnsi="Garamond"/>
                <w:sz w:val="21"/>
                <w:szCs w:val="21"/>
              </w:rPr>
              <w:t xml:space="preserve">with </w:t>
            </w:r>
            <w:r w:rsidRPr="00CF2C97">
              <w:rPr>
                <w:rFonts w:ascii="Garamond" w:hAnsi="Garamond"/>
                <w:sz w:val="21"/>
                <w:szCs w:val="21"/>
              </w:rPr>
              <w:t xml:space="preserve">banks. </w:t>
            </w:r>
            <w:r w:rsidR="00DB5980">
              <w:rPr>
                <w:rFonts w:ascii="Garamond" w:hAnsi="Garamond"/>
                <w:sz w:val="21"/>
                <w:szCs w:val="21"/>
              </w:rPr>
              <w:lastRenderedPageBreak/>
              <w:t>While</w:t>
            </w:r>
            <w:r w:rsidR="0049097F">
              <w:rPr>
                <w:rFonts w:ascii="Garamond" w:hAnsi="Garamond"/>
                <w:sz w:val="21"/>
                <w:szCs w:val="21"/>
              </w:rPr>
              <w:t xml:space="preserve">, in April, the Central Bank was set to use tools to absorb excess liquidity </w:t>
            </w:r>
            <w:r w:rsidRPr="00CF2C97">
              <w:rPr>
                <w:rFonts w:ascii="Garamond" w:hAnsi="Garamond"/>
                <w:sz w:val="21"/>
                <w:szCs w:val="21"/>
              </w:rPr>
              <w:t xml:space="preserve">in order to </w:t>
            </w:r>
            <w:r w:rsidR="0049097F">
              <w:rPr>
                <w:rFonts w:ascii="Garamond" w:hAnsi="Garamond"/>
                <w:sz w:val="21"/>
                <w:szCs w:val="21"/>
              </w:rPr>
              <w:t xml:space="preserve">bring </w:t>
            </w:r>
            <w:r w:rsidRPr="00CF2C97">
              <w:rPr>
                <w:rFonts w:ascii="Garamond" w:hAnsi="Garamond"/>
                <w:sz w:val="21"/>
                <w:szCs w:val="21"/>
              </w:rPr>
              <w:t xml:space="preserve">short-term interest rates </w:t>
            </w:r>
            <w:r w:rsidR="0049097F">
              <w:rPr>
                <w:rFonts w:ascii="Garamond" w:hAnsi="Garamond"/>
                <w:sz w:val="21"/>
                <w:szCs w:val="21"/>
              </w:rPr>
              <w:t xml:space="preserve">around the </w:t>
            </w:r>
            <w:r w:rsidRPr="00CF2C97">
              <w:rPr>
                <w:rFonts w:ascii="Garamond" w:hAnsi="Garamond"/>
                <w:sz w:val="21"/>
                <w:szCs w:val="21"/>
              </w:rPr>
              <w:t xml:space="preserve">policy rate, in </w:t>
            </w:r>
            <w:r w:rsidR="0049097F">
              <w:rPr>
                <w:rFonts w:ascii="Garamond" w:hAnsi="Garamond"/>
                <w:sz w:val="21"/>
                <w:szCs w:val="21"/>
              </w:rPr>
              <w:t xml:space="preserve">late </w:t>
            </w:r>
            <w:r w:rsidRPr="00CF2C97">
              <w:rPr>
                <w:rFonts w:ascii="Garamond" w:hAnsi="Garamond"/>
                <w:sz w:val="21"/>
                <w:szCs w:val="21"/>
              </w:rPr>
              <w:t xml:space="preserve">April and </w:t>
            </w:r>
            <w:r w:rsidR="0049097F">
              <w:rPr>
                <w:rFonts w:ascii="Garamond" w:hAnsi="Garamond"/>
                <w:sz w:val="21"/>
                <w:szCs w:val="21"/>
              </w:rPr>
              <w:t xml:space="preserve">throughout </w:t>
            </w:r>
            <w:r w:rsidRPr="00CF2C97">
              <w:rPr>
                <w:rFonts w:ascii="Garamond" w:hAnsi="Garamond"/>
                <w:sz w:val="21"/>
                <w:szCs w:val="21"/>
              </w:rPr>
              <w:t>May</w:t>
            </w:r>
            <w:r w:rsidR="0049097F">
              <w:rPr>
                <w:rFonts w:ascii="Garamond" w:hAnsi="Garamond"/>
                <w:sz w:val="21"/>
                <w:szCs w:val="21"/>
              </w:rPr>
              <w:t xml:space="preserve"> </w:t>
            </w:r>
            <w:r w:rsidR="00B85C7C">
              <w:rPr>
                <w:rFonts w:ascii="Garamond" w:hAnsi="Garamond"/>
                <w:sz w:val="21"/>
                <w:szCs w:val="21"/>
              </w:rPr>
              <w:t xml:space="preserve">it </w:t>
            </w:r>
            <w:r w:rsidR="0049097F">
              <w:rPr>
                <w:rFonts w:ascii="Garamond" w:hAnsi="Garamond"/>
                <w:sz w:val="21"/>
                <w:szCs w:val="21"/>
              </w:rPr>
              <w:t xml:space="preserve">started injecting </w:t>
            </w:r>
            <w:r w:rsidR="00B85C7C">
              <w:rPr>
                <w:rFonts w:ascii="Garamond" w:hAnsi="Garamond"/>
                <w:sz w:val="21"/>
                <w:szCs w:val="21"/>
              </w:rPr>
              <w:t xml:space="preserve">a required amount of </w:t>
            </w:r>
            <w:r w:rsidR="0049097F">
              <w:rPr>
                <w:rFonts w:ascii="Garamond" w:hAnsi="Garamond"/>
                <w:sz w:val="21"/>
                <w:szCs w:val="21"/>
              </w:rPr>
              <w:t>liquidity i</w:t>
            </w:r>
            <w:r w:rsidRPr="00CF2C97">
              <w:rPr>
                <w:rFonts w:ascii="Garamond" w:hAnsi="Garamond"/>
                <w:sz w:val="21"/>
                <w:szCs w:val="21"/>
              </w:rPr>
              <w:t xml:space="preserve">n order to </w:t>
            </w:r>
            <w:r w:rsidR="0049097F">
              <w:rPr>
                <w:rFonts w:ascii="Garamond" w:hAnsi="Garamond"/>
                <w:sz w:val="21"/>
                <w:szCs w:val="21"/>
              </w:rPr>
              <w:t xml:space="preserve">soften </w:t>
            </w:r>
            <w:r w:rsidRPr="00CF2C97">
              <w:rPr>
                <w:rFonts w:ascii="Garamond" w:hAnsi="Garamond"/>
                <w:sz w:val="21"/>
                <w:szCs w:val="21"/>
              </w:rPr>
              <w:t>the t</w:t>
            </w:r>
            <w:r w:rsidR="0049097F">
              <w:rPr>
                <w:rFonts w:ascii="Garamond" w:hAnsi="Garamond"/>
                <w:sz w:val="21"/>
                <w:szCs w:val="21"/>
              </w:rPr>
              <w:t xml:space="preserve">ightness </w:t>
            </w:r>
            <w:r w:rsidR="00B85C7C" w:rsidRPr="00CF2C97">
              <w:rPr>
                <w:rFonts w:ascii="Garamond" w:hAnsi="Garamond"/>
                <w:sz w:val="21"/>
                <w:szCs w:val="21"/>
              </w:rPr>
              <w:t xml:space="preserve">the financial market </w:t>
            </w:r>
            <w:r w:rsidR="00B85C7C">
              <w:rPr>
                <w:rFonts w:ascii="Garamond" w:hAnsi="Garamond"/>
                <w:sz w:val="21"/>
                <w:szCs w:val="21"/>
              </w:rPr>
              <w:t xml:space="preserve">experienced that time </w:t>
            </w:r>
            <w:r w:rsidRPr="00CF2C97">
              <w:rPr>
                <w:rFonts w:ascii="Garamond" w:hAnsi="Garamond"/>
                <w:sz w:val="21"/>
                <w:szCs w:val="21"/>
              </w:rPr>
              <w:t xml:space="preserve">in different </w:t>
            </w:r>
            <w:r w:rsidR="0049097F">
              <w:rPr>
                <w:rFonts w:ascii="Garamond" w:hAnsi="Garamond"/>
                <w:sz w:val="21"/>
                <w:szCs w:val="21"/>
              </w:rPr>
              <w:t>segments</w:t>
            </w:r>
            <w:r w:rsidRPr="00CF2C97">
              <w:rPr>
                <w:rFonts w:ascii="Garamond" w:hAnsi="Garamond"/>
                <w:sz w:val="21"/>
                <w:szCs w:val="21"/>
              </w:rPr>
              <w:t xml:space="preserve">. </w:t>
            </w:r>
            <w:r w:rsidR="00B85C7C">
              <w:rPr>
                <w:rFonts w:ascii="Garamond" w:hAnsi="Garamond"/>
                <w:sz w:val="21"/>
                <w:szCs w:val="21"/>
              </w:rPr>
              <w:t xml:space="preserve">In the meantime, </w:t>
            </w:r>
            <w:r w:rsidR="004A12BA">
              <w:rPr>
                <w:rFonts w:ascii="Garamond" w:hAnsi="Garamond"/>
                <w:sz w:val="21"/>
                <w:szCs w:val="21"/>
              </w:rPr>
              <w:t xml:space="preserve">in view of </w:t>
            </w:r>
            <w:r w:rsidRPr="00CF2C97">
              <w:rPr>
                <w:rFonts w:ascii="Garamond" w:hAnsi="Garamond"/>
                <w:sz w:val="21"/>
                <w:szCs w:val="21"/>
              </w:rPr>
              <w:t xml:space="preserve">the temporary nature of demand for foreign currency liquidity, </w:t>
            </w:r>
            <w:r w:rsidR="00B85C7C" w:rsidRPr="00CF2C97">
              <w:rPr>
                <w:rFonts w:ascii="Garamond" w:hAnsi="Garamond"/>
                <w:sz w:val="21"/>
                <w:szCs w:val="21"/>
              </w:rPr>
              <w:t>the C</w:t>
            </w:r>
            <w:r w:rsidR="00B85C7C">
              <w:rPr>
                <w:rFonts w:ascii="Garamond" w:hAnsi="Garamond"/>
                <w:sz w:val="21"/>
                <w:szCs w:val="21"/>
              </w:rPr>
              <w:t xml:space="preserve">entral Bank </w:t>
            </w:r>
            <w:r w:rsidRPr="00CF2C97">
              <w:rPr>
                <w:rFonts w:ascii="Garamond" w:hAnsi="Garamond"/>
                <w:sz w:val="21"/>
                <w:szCs w:val="21"/>
              </w:rPr>
              <w:t xml:space="preserve">found it appropriate to satisfy it mainly through short-term foreign currency swap </w:t>
            </w:r>
            <w:r w:rsidR="004A12BA">
              <w:rPr>
                <w:rFonts w:ascii="Garamond" w:hAnsi="Garamond"/>
                <w:sz w:val="21"/>
                <w:szCs w:val="21"/>
              </w:rPr>
              <w:t>transactions</w:t>
            </w:r>
            <w:r w:rsidRPr="00CF2C97">
              <w:rPr>
                <w:rFonts w:ascii="Garamond" w:hAnsi="Garamond"/>
                <w:sz w:val="21"/>
                <w:szCs w:val="21"/>
              </w:rPr>
              <w:t xml:space="preserve">, which </w:t>
            </w:r>
            <w:r w:rsidR="004A12BA">
              <w:rPr>
                <w:rFonts w:ascii="Garamond" w:hAnsi="Garamond"/>
                <w:sz w:val="21"/>
                <w:szCs w:val="21"/>
              </w:rPr>
              <w:t>have now been completed</w:t>
            </w:r>
            <w:r w:rsidRPr="00CF2C97">
              <w:rPr>
                <w:rFonts w:ascii="Garamond" w:hAnsi="Garamond"/>
                <w:sz w:val="21"/>
                <w:szCs w:val="21"/>
              </w:rPr>
              <w:t>.</w:t>
            </w:r>
          </w:p>
          <w:p w14:paraId="3EBDB360" w14:textId="77777777" w:rsidR="00CF2C97" w:rsidRPr="00CF2C97" w:rsidRDefault="001E04DF" w:rsidP="00CF2C97">
            <w:pPr>
              <w:autoSpaceDE w:val="0"/>
              <w:autoSpaceDN w:val="0"/>
              <w:adjustRightInd w:val="0"/>
              <w:spacing w:after="120" w:line="360" w:lineRule="auto"/>
              <w:jc w:val="both"/>
              <w:rPr>
                <w:rFonts w:ascii="Garamond" w:hAnsi="Garamond"/>
                <w:sz w:val="21"/>
                <w:szCs w:val="21"/>
              </w:rPr>
            </w:pPr>
            <w:r>
              <w:rPr>
                <w:rFonts w:ascii="Garamond" w:hAnsi="Garamond"/>
                <w:sz w:val="21"/>
                <w:szCs w:val="21"/>
              </w:rPr>
              <w:t>T</w:t>
            </w:r>
            <w:r w:rsidRPr="00CF2C97">
              <w:rPr>
                <w:rFonts w:ascii="Garamond" w:hAnsi="Garamond"/>
                <w:sz w:val="21"/>
                <w:szCs w:val="21"/>
              </w:rPr>
              <w:t>he C</w:t>
            </w:r>
            <w:r>
              <w:rPr>
                <w:rFonts w:ascii="Garamond" w:hAnsi="Garamond"/>
                <w:sz w:val="21"/>
                <w:szCs w:val="21"/>
              </w:rPr>
              <w:t xml:space="preserve">entral </w:t>
            </w:r>
            <w:r w:rsidRPr="00CF2C97">
              <w:rPr>
                <w:rFonts w:ascii="Garamond" w:hAnsi="Garamond"/>
                <w:sz w:val="21"/>
                <w:szCs w:val="21"/>
              </w:rPr>
              <w:t>B</w:t>
            </w:r>
            <w:r>
              <w:rPr>
                <w:rFonts w:ascii="Garamond" w:hAnsi="Garamond"/>
                <w:sz w:val="21"/>
                <w:szCs w:val="21"/>
              </w:rPr>
              <w:t>ank statements as well as tools used</w:t>
            </w:r>
            <w:r w:rsidRPr="00CF2C97">
              <w:rPr>
                <w:rFonts w:ascii="Garamond" w:hAnsi="Garamond"/>
                <w:sz w:val="21"/>
                <w:szCs w:val="21"/>
              </w:rPr>
              <w:t xml:space="preserve"> </w:t>
            </w:r>
            <w:r>
              <w:rPr>
                <w:rFonts w:ascii="Garamond" w:hAnsi="Garamond"/>
                <w:sz w:val="21"/>
                <w:szCs w:val="21"/>
              </w:rPr>
              <w:t xml:space="preserve">have not led to </w:t>
            </w:r>
            <w:r w:rsidR="004A12BA" w:rsidRPr="00CF2C97">
              <w:rPr>
                <w:rFonts w:ascii="Garamond" w:hAnsi="Garamond"/>
                <w:sz w:val="21"/>
                <w:szCs w:val="21"/>
              </w:rPr>
              <w:t xml:space="preserve">significant fluctuations in the </w:t>
            </w:r>
            <w:r>
              <w:rPr>
                <w:rFonts w:ascii="Garamond" w:hAnsi="Garamond"/>
                <w:sz w:val="21"/>
                <w:szCs w:val="21"/>
              </w:rPr>
              <w:t xml:space="preserve">dram </w:t>
            </w:r>
            <w:r w:rsidR="004A12BA" w:rsidRPr="00CF2C97">
              <w:rPr>
                <w:rFonts w:ascii="Garamond" w:hAnsi="Garamond"/>
                <w:sz w:val="21"/>
                <w:szCs w:val="21"/>
              </w:rPr>
              <w:t>exchange rate and interest rates</w:t>
            </w:r>
            <w:r>
              <w:rPr>
                <w:rFonts w:ascii="Garamond" w:hAnsi="Garamond"/>
                <w:sz w:val="21"/>
                <w:szCs w:val="21"/>
              </w:rPr>
              <w:t xml:space="preserve"> in the market a</w:t>
            </w:r>
            <w:r w:rsidR="004A12BA" w:rsidRPr="00CF2C97">
              <w:rPr>
                <w:rFonts w:ascii="Garamond" w:hAnsi="Garamond"/>
                <w:sz w:val="21"/>
                <w:szCs w:val="21"/>
              </w:rPr>
              <w:t>t that time</w:t>
            </w:r>
            <w:r>
              <w:rPr>
                <w:rFonts w:ascii="Garamond" w:hAnsi="Garamond"/>
                <w:sz w:val="21"/>
                <w:szCs w:val="21"/>
              </w:rPr>
              <w:t xml:space="preserve">, which points to a </w:t>
            </w:r>
            <w:r w:rsidR="00CF2C97" w:rsidRPr="00CF2C97">
              <w:rPr>
                <w:rFonts w:ascii="Garamond" w:hAnsi="Garamond"/>
                <w:sz w:val="21"/>
                <w:szCs w:val="21"/>
              </w:rPr>
              <w:t xml:space="preserve">high level of confidence of market participants to the </w:t>
            </w:r>
            <w:r>
              <w:rPr>
                <w:rFonts w:ascii="Garamond" w:hAnsi="Garamond"/>
                <w:sz w:val="21"/>
                <w:szCs w:val="21"/>
              </w:rPr>
              <w:t xml:space="preserve">policy conducted by the </w:t>
            </w:r>
            <w:r w:rsidR="00CF2C97" w:rsidRPr="00CF2C97">
              <w:rPr>
                <w:rFonts w:ascii="Garamond" w:hAnsi="Garamond"/>
                <w:sz w:val="21"/>
                <w:szCs w:val="21"/>
              </w:rPr>
              <w:t>Central Bank.</w:t>
            </w:r>
          </w:p>
          <w:p w14:paraId="0E972D2A" w14:textId="77777777" w:rsidR="00A64428" w:rsidRPr="00CF2C97" w:rsidRDefault="00CF2C97" w:rsidP="003D5827">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However, </w:t>
            </w:r>
            <w:r w:rsidR="00C902AE">
              <w:rPr>
                <w:rFonts w:ascii="Garamond" w:hAnsi="Garamond"/>
                <w:sz w:val="21"/>
                <w:szCs w:val="21"/>
              </w:rPr>
              <w:t>a</w:t>
            </w:r>
            <w:r w:rsidRPr="00CF2C97">
              <w:rPr>
                <w:rFonts w:ascii="Garamond" w:hAnsi="Garamond"/>
                <w:sz w:val="21"/>
                <w:szCs w:val="21"/>
              </w:rPr>
              <w:t xml:space="preserve"> sharp decline in the volumes of transactions in the </w:t>
            </w:r>
            <w:r w:rsidR="00C902AE">
              <w:rPr>
                <w:rFonts w:ascii="Garamond" w:hAnsi="Garamond"/>
                <w:sz w:val="21"/>
                <w:szCs w:val="21"/>
              </w:rPr>
              <w:t xml:space="preserve">interbank </w:t>
            </w:r>
            <w:r w:rsidRPr="00CF2C97">
              <w:rPr>
                <w:rFonts w:ascii="Garamond" w:hAnsi="Garamond"/>
                <w:sz w:val="21"/>
                <w:szCs w:val="21"/>
              </w:rPr>
              <w:t xml:space="preserve">foreign </w:t>
            </w:r>
            <w:r w:rsidR="00C902AE">
              <w:rPr>
                <w:rFonts w:ascii="Garamond" w:hAnsi="Garamond"/>
                <w:sz w:val="21"/>
                <w:szCs w:val="21"/>
              </w:rPr>
              <w:t xml:space="preserve">exchange </w:t>
            </w:r>
            <w:r w:rsidRPr="00CF2C97">
              <w:rPr>
                <w:rFonts w:ascii="Garamond" w:hAnsi="Garamond"/>
                <w:sz w:val="21"/>
                <w:szCs w:val="21"/>
              </w:rPr>
              <w:t xml:space="preserve">market </w:t>
            </w:r>
            <w:r w:rsidR="00C902AE">
              <w:rPr>
                <w:rFonts w:ascii="Garamond" w:hAnsi="Garamond"/>
                <w:sz w:val="21"/>
                <w:szCs w:val="21"/>
              </w:rPr>
              <w:t xml:space="preserve">because of </w:t>
            </w:r>
            <w:r w:rsidR="00C902AE" w:rsidRPr="00CF2C97">
              <w:rPr>
                <w:rFonts w:ascii="Garamond" w:hAnsi="Garamond"/>
                <w:sz w:val="21"/>
                <w:szCs w:val="21"/>
              </w:rPr>
              <w:t xml:space="preserve">uncertainties </w:t>
            </w:r>
            <w:r w:rsidR="00C902AE">
              <w:rPr>
                <w:rFonts w:ascii="Garamond" w:hAnsi="Garamond"/>
                <w:sz w:val="21"/>
                <w:szCs w:val="21"/>
              </w:rPr>
              <w:t xml:space="preserve">reduced the efficiency for functioning of the </w:t>
            </w:r>
            <w:r w:rsidRPr="00CF2C97">
              <w:rPr>
                <w:rFonts w:ascii="Garamond" w:hAnsi="Garamond"/>
                <w:sz w:val="21"/>
                <w:szCs w:val="21"/>
              </w:rPr>
              <w:t xml:space="preserve">market. </w:t>
            </w:r>
            <w:r w:rsidR="00C902AE">
              <w:rPr>
                <w:rFonts w:ascii="Garamond" w:hAnsi="Garamond"/>
                <w:sz w:val="21"/>
                <w:szCs w:val="21"/>
              </w:rPr>
              <w:t>T</w:t>
            </w:r>
            <w:r w:rsidRPr="00CF2C97">
              <w:rPr>
                <w:rFonts w:ascii="Garamond" w:hAnsi="Garamond"/>
                <w:sz w:val="21"/>
                <w:szCs w:val="21"/>
              </w:rPr>
              <w:t xml:space="preserve">o re-launch the market mechanism and </w:t>
            </w:r>
            <w:r w:rsidR="00485142">
              <w:rPr>
                <w:rFonts w:ascii="Garamond" w:hAnsi="Garamond"/>
                <w:sz w:val="21"/>
                <w:szCs w:val="21"/>
              </w:rPr>
              <w:t xml:space="preserve">identify </w:t>
            </w:r>
            <w:r w:rsidRPr="00CF2C97">
              <w:rPr>
                <w:rFonts w:ascii="Garamond" w:hAnsi="Garamond"/>
                <w:sz w:val="21"/>
                <w:szCs w:val="21"/>
              </w:rPr>
              <w:t xml:space="preserve">the market price of foreign currency, the Central Bank decided to sell a small amount of foreign currency, which </w:t>
            </w:r>
            <w:r w:rsidR="00485142">
              <w:rPr>
                <w:rFonts w:ascii="Garamond" w:hAnsi="Garamond"/>
                <w:sz w:val="21"/>
                <w:szCs w:val="21"/>
              </w:rPr>
              <w:t xml:space="preserve">helped the market to refresh and </w:t>
            </w:r>
            <w:r w:rsidRPr="00CF2C97">
              <w:rPr>
                <w:rFonts w:ascii="Garamond" w:hAnsi="Garamond"/>
                <w:sz w:val="21"/>
                <w:szCs w:val="21"/>
              </w:rPr>
              <w:t>re</w:t>
            </w:r>
            <w:r w:rsidR="00485142">
              <w:rPr>
                <w:rFonts w:ascii="Garamond" w:hAnsi="Garamond"/>
                <w:sz w:val="21"/>
                <w:szCs w:val="21"/>
              </w:rPr>
              <w:t xml:space="preserve">cover to a </w:t>
            </w:r>
            <w:r w:rsidRPr="00CF2C97">
              <w:rPr>
                <w:rFonts w:ascii="Garamond" w:hAnsi="Garamond"/>
                <w:sz w:val="21"/>
                <w:szCs w:val="21"/>
              </w:rPr>
              <w:t>normal functioning.</w:t>
            </w:r>
          </w:p>
        </w:tc>
      </w:tr>
    </w:tbl>
    <w:p w14:paraId="67555177" w14:textId="77777777" w:rsidR="00A64428" w:rsidRPr="00EE5F0F" w:rsidRDefault="00A64428" w:rsidP="00A64428">
      <w:pPr>
        <w:spacing w:line="360" w:lineRule="auto"/>
        <w:jc w:val="both"/>
        <w:rPr>
          <w:rFonts w:ascii="Garamond" w:hAnsi="Garamond"/>
          <w:b/>
          <w:sz w:val="22"/>
          <w:szCs w:val="22"/>
        </w:rPr>
      </w:pPr>
    </w:p>
    <w:p w14:paraId="4F233924" w14:textId="77777777" w:rsidR="00A64428" w:rsidRPr="00EE5F0F" w:rsidRDefault="00196427"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 </w:t>
      </w:r>
      <w:r w:rsidR="003D5827" w:rsidRPr="003D5827">
        <w:rPr>
          <w:rFonts w:ascii="Garamond" w:hAnsi="Garamond"/>
          <w:sz w:val="22"/>
          <w:szCs w:val="22"/>
        </w:rPr>
        <w:t xml:space="preserve">the quarter, yields of government short-term bonds </w:t>
      </w:r>
      <w:r>
        <w:rPr>
          <w:rFonts w:ascii="Garamond" w:hAnsi="Garamond"/>
          <w:sz w:val="22"/>
          <w:szCs w:val="22"/>
        </w:rPr>
        <w:t xml:space="preserve">have </w:t>
      </w:r>
      <w:r w:rsidR="003D5827" w:rsidRPr="003D5827">
        <w:rPr>
          <w:rFonts w:ascii="Garamond" w:hAnsi="Garamond"/>
          <w:sz w:val="22"/>
          <w:szCs w:val="22"/>
        </w:rPr>
        <w:t xml:space="preserve">demonstrated </w:t>
      </w:r>
      <w:r w:rsidR="003D5827">
        <w:rPr>
          <w:rFonts w:ascii="Garamond" w:hAnsi="Garamond"/>
          <w:sz w:val="22"/>
          <w:szCs w:val="22"/>
        </w:rPr>
        <w:t xml:space="preserve">patterns </w:t>
      </w:r>
      <w:r w:rsidR="003D5827" w:rsidRPr="003D5827">
        <w:rPr>
          <w:rFonts w:ascii="Garamond" w:hAnsi="Garamond"/>
          <w:sz w:val="22"/>
          <w:szCs w:val="22"/>
        </w:rPr>
        <w:t xml:space="preserve">typical of money market rates. </w:t>
      </w:r>
      <w:r>
        <w:rPr>
          <w:rFonts w:ascii="Garamond" w:hAnsi="Garamond"/>
          <w:sz w:val="22"/>
          <w:szCs w:val="22"/>
        </w:rPr>
        <w:t>Culminating at the end of the quarter, t</w:t>
      </w:r>
      <w:r w:rsidR="003D5827" w:rsidRPr="003D5827">
        <w:rPr>
          <w:rFonts w:ascii="Garamond" w:hAnsi="Garamond"/>
          <w:sz w:val="22"/>
          <w:szCs w:val="22"/>
        </w:rPr>
        <w:t>he</w:t>
      </w:r>
      <w:r>
        <w:rPr>
          <w:rFonts w:ascii="Garamond" w:hAnsi="Garamond"/>
          <w:sz w:val="22"/>
          <w:szCs w:val="22"/>
        </w:rPr>
        <w:t>se</w:t>
      </w:r>
      <w:r w:rsidR="003D5827" w:rsidRPr="003D5827">
        <w:rPr>
          <w:rFonts w:ascii="Garamond" w:hAnsi="Garamond"/>
          <w:sz w:val="22"/>
          <w:szCs w:val="22"/>
        </w:rPr>
        <w:t xml:space="preserve"> yield</w:t>
      </w:r>
      <w:r>
        <w:rPr>
          <w:rFonts w:ascii="Garamond" w:hAnsi="Garamond"/>
          <w:sz w:val="22"/>
          <w:szCs w:val="22"/>
        </w:rPr>
        <w:t>s</w:t>
      </w:r>
      <w:r w:rsidR="003D5827" w:rsidRPr="003D5827">
        <w:rPr>
          <w:rFonts w:ascii="Garamond" w:hAnsi="Garamond"/>
          <w:sz w:val="22"/>
          <w:szCs w:val="22"/>
        </w:rPr>
        <w:t xml:space="preserve"> </w:t>
      </w:r>
      <w:r>
        <w:rPr>
          <w:rFonts w:ascii="Garamond" w:hAnsi="Garamond"/>
          <w:sz w:val="22"/>
          <w:szCs w:val="22"/>
        </w:rPr>
        <w:t xml:space="preserve">settled on </w:t>
      </w:r>
      <w:r w:rsidR="003D5827" w:rsidRPr="003D5827">
        <w:rPr>
          <w:rFonts w:ascii="Garamond" w:hAnsi="Garamond"/>
          <w:sz w:val="22"/>
          <w:szCs w:val="22"/>
        </w:rPr>
        <w:t xml:space="preserve">a slightly higher </w:t>
      </w:r>
      <w:r>
        <w:rPr>
          <w:rFonts w:ascii="Garamond" w:hAnsi="Garamond"/>
          <w:sz w:val="22"/>
          <w:szCs w:val="22"/>
        </w:rPr>
        <w:t xml:space="preserve">level than </w:t>
      </w:r>
      <w:r w:rsidR="003D5827" w:rsidRPr="003D5827">
        <w:rPr>
          <w:rFonts w:ascii="Garamond" w:hAnsi="Garamond"/>
          <w:sz w:val="22"/>
          <w:szCs w:val="22"/>
        </w:rPr>
        <w:t xml:space="preserve">the </w:t>
      </w:r>
      <w:r>
        <w:rPr>
          <w:rFonts w:ascii="Garamond" w:hAnsi="Garamond"/>
          <w:sz w:val="22"/>
          <w:szCs w:val="22"/>
        </w:rPr>
        <w:t>policy rate of the Central Bank</w:t>
      </w:r>
      <w:r w:rsidR="003D5827" w:rsidRPr="003D5827">
        <w:rPr>
          <w:rFonts w:ascii="Garamond" w:hAnsi="Garamond"/>
          <w:sz w:val="22"/>
          <w:szCs w:val="22"/>
        </w:rPr>
        <w:t xml:space="preserve">. </w:t>
      </w:r>
      <w:r>
        <w:rPr>
          <w:rFonts w:ascii="Garamond" w:hAnsi="Garamond"/>
          <w:sz w:val="22"/>
          <w:szCs w:val="22"/>
        </w:rPr>
        <w:t>Overall</w:t>
      </w:r>
      <w:r w:rsidR="003D5827" w:rsidRPr="003D5827">
        <w:rPr>
          <w:rFonts w:ascii="Garamond" w:hAnsi="Garamond"/>
          <w:sz w:val="22"/>
          <w:szCs w:val="22"/>
        </w:rPr>
        <w:t>, yield</w:t>
      </w:r>
      <w:r>
        <w:rPr>
          <w:rFonts w:ascii="Garamond" w:hAnsi="Garamond"/>
          <w:sz w:val="22"/>
          <w:szCs w:val="22"/>
        </w:rPr>
        <w:t>s have only negligibly increased in</w:t>
      </w:r>
      <w:r w:rsidR="003D5827" w:rsidRPr="003D5827">
        <w:rPr>
          <w:rFonts w:ascii="Garamond" w:hAnsi="Garamond"/>
          <w:sz w:val="22"/>
          <w:szCs w:val="22"/>
        </w:rPr>
        <w:t xml:space="preserve"> the </w:t>
      </w:r>
      <w:r>
        <w:rPr>
          <w:rFonts w:ascii="Garamond" w:hAnsi="Garamond"/>
          <w:sz w:val="22"/>
          <w:szCs w:val="22"/>
        </w:rPr>
        <w:t xml:space="preserve">government securities market – </w:t>
      </w:r>
      <w:r w:rsidR="005B2473">
        <w:rPr>
          <w:rFonts w:ascii="Garamond" w:hAnsi="Garamond"/>
          <w:sz w:val="22"/>
          <w:szCs w:val="22"/>
        </w:rPr>
        <w:t>in</w:t>
      </w:r>
      <w:r w:rsidR="005B2473" w:rsidRPr="00EE5F0F">
        <w:rPr>
          <w:rFonts w:ascii="Garamond" w:hAnsi="Garamond"/>
          <w:sz w:val="22"/>
          <w:szCs w:val="22"/>
        </w:rPr>
        <w:t xml:space="preserve"> </w:t>
      </w:r>
      <w:r w:rsidR="005B2473">
        <w:rPr>
          <w:rFonts w:ascii="Garamond" w:hAnsi="Garamond"/>
          <w:sz w:val="22"/>
          <w:szCs w:val="22"/>
        </w:rPr>
        <w:t>June</w:t>
      </w:r>
      <w:r w:rsidR="005B2473" w:rsidRPr="00EE5F0F">
        <w:rPr>
          <w:rFonts w:ascii="Garamond" w:hAnsi="Garamond"/>
          <w:sz w:val="22"/>
          <w:szCs w:val="22"/>
        </w:rPr>
        <w:t xml:space="preserve">, </w:t>
      </w:r>
      <w:r w:rsidR="005B2473">
        <w:rPr>
          <w:rFonts w:ascii="Garamond" w:hAnsi="Garamond"/>
          <w:sz w:val="22"/>
          <w:szCs w:val="22"/>
        </w:rPr>
        <w:t xml:space="preserve">relative to March, </w:t>
      </w:r>
      <w:r w:rsidR="005B2473" w:rsidRPr="00EE5F0F">
        <w:rPr>
          <w:rFonts w:ascii="Garamond" w:hAnsi="Garamond"/>
          <w:sz w:val="22"/>
          <w:szCs w:val="22"/>
        </w:rPr>
        <w:t xml:space="preserve">the average quarterly </w:t>
      </w:r>
      <w:r w:rsidR="005B2473">
        <w:rPr>
          <w:rFonts w:ascii="Garamond" w:hAnsi="Garamond"/>
          <w:sz w:val="22"/>
          <w:szCs w:val="22"/>
        </w:rPr>
        <w:t>increase along the yield curve has been 0</w:t>
      </w:r>
      <w:r w:rsidR="005B2473" w:rsidRPr="00EE5F0F">
        <w:rPr>
          <w:rFonts w:ascii="Garamond" w:hAnsi="Garamond"/>
          <w:sz w:val="22"/>
          <w:szCs w:val="22"/>
        </w:rPr>
        <w:t>.</w:t>
      </w:r>
      <w:r w:rsidR="005B2473">
        <w:rPr>
          <w:rFonts w:ascii="Garamond" w:hAnsi="Garamond"/>
          <w:sz w:val="22"/>
          <w:szCs w:val="22"/>
        </w:rPr>
        <w:t>1</w:t>
      </w:r>
      <w:r w:rsidR="005B2473" w:rsidRPr="00EE5F0F">
        <w:rPr>
          <w:rFonts w:ascii="Garamond" w:hAnsi="Garamond"/>
          <w:sz w:val="22"/>
          <w:szCs w:val="22"/>
        </w:rPr>
        <w:t>5</w:t>
      </w:r>
      <w:r w:rsidR="005B2473">
        <w:rPr>
          <w:rFonts w:ascii="Garamond" w:hAnsi="Garamond"/>
          <w:sz w:val="22"/>
          <w:szCs w:val="22"/>
        </w:rPr>
        <w:t xml:space="preserve"> pp</w:t>
      </w:r>
      <w:r w:rsidR="005B2473" w:rsidRPr="00EE5F0F">
        <w:rPr>
          <w:rFonts w:ascii="Garamond" w:hAnsi="Garamond"/>
          <w:sz w:val="22"/>
          <w:szCs w:val="22"/>
        </w:rPr>
        <w:t>.</w:t>
      </w:r>
    </w:p>
    <w:p w14:paraId="1553FE09" w14:textId="77777777" w:rsidR="002A38BF" w:rsidRPr="00EE5F0F" w:rsidRDefault="005B2473" w:rsidP="00B178C0">
      <w:pPr>
        <w:autoSpaceDE w:val="0"/>
        <w:autoSpaceDN w:val="0"/>
        <w:adjustRightInd w:val="0"/>
        <w:spacing w:after="120" w:line="360" w:lineRule="auto"/>
        <w:jc w:val="both"/>
        <w:rPr>
          <w:rFonts w:ascii="Garamond" w:hAnsi="Garamond"/>
          <w:sz w:val="22"/>
          <w:szCs w:val="22"/>
        </w:rPr>
      </w:pPr>
      <w:r w:rsidRPr="005B2473">
        <w:rPr>
          <w:rFonts w:ascii="Garamond" w:hAnsi="Garamond"/>
          <w:sz w:val="22"/>
          <w:szCs w:val="22"/>
        </w:rPr>
        <w:t xml:space="preserve">The </w:t>
      </w:r>
      <w:r>
        <w:rPr>
          <w:rFonts w:ascii="Garamond" w:hAnsi="Garamond"/>
          <w:sz w:val="22"/>
          <w:szCs w:val="22"/>
        </w:rPr>
        <w:t xml:space="preserve">expansionary </w:t>
      </w:r>
      <w:r w:rsidRPr="005B2473">
        <w:rPr>
          <w:rFonts w:ascii="Garamond" w:hAnsi="Garamond"/>
          <w:sz w:val="22"/>
          <w:szCs w:val="22"/>
        </w:rPr>
        <w:t>monetary policy pursued by the C</w:t>
      </w:r>
      <w:r>
        <w:rPr>
          <w:rFonts w:ascii="Garamond" w:hAnsi="Garamond"/>
          <w:sz w:val="22"/>
          <w:szCs w:val="22"/>
        </w:rPr>
        <w:t xml:space="preserve">entral </w:t>
      </w:r>
      <w:r w:rsidRPr="005B2473">
        <w:rPr>
          <w:rFonts w:ascii="Garamond" w:hAnsi="Garamond"/>
          <w:sz w:val="22"/>
          <w:szCs w:val="22"/>
        </w:rPr>
        <w:t>B</w:t>
      </w:r>
      <w:r>
        <w:rPr>
          <w:rFonts w:ascii="Garamond" w:hAnsi="Garamond"/>
          <w:sz w:val="22"/>
          <w:szCs w:val="22"/>
        </w:rPr>
        <w:t>ank as well as</w:t>
      </w:r>
      <w:r w:rsidRPr="005B2473">
        <w:rPr>
          <w:rFonts w:ascii="Garamond" w:hAnsi="Garamond"/>
          <w:sz w:val="22"/>
          <w:szCs w:val="22"/>
        </w:rPr>
        <w:t xml:space="preserve"> </w:t>
      </w:r>
      <w:r>
        <w:rPr>
          <w:rFonts w:ascii="Garamond" w:hAnsi="Garamond"/>
          <w:sz w:val="22"/>
          <w:szCs w:val="22"/>
        </w:rPr>
        <w:t xml:space="preserve">strong </w:t>
      </w:r>
      <w:r w:rsidRPr="005B2473">
        <w:rPr>
          <w:rFonts w:ascii="Garamond" w:hAnsi="Garamond"/>
          <w:sz w:val="22"/>
          <w:szCs w:val="22"/>
        </w:rPr>
        <w:t xml:space="preserve">capitalization of the banking system in </w:t>
      </w:r>
      <w:r>
        <w:rPr>
          <w:rFonts w:ascii="Garamond" w:hAnsi="Garamond"/>
          <w:sz w:val="22"/>
          <w:szCs w:val="22"/>
        </w:rPr>
        <w:t xml:space="preserve">the second quarter of </w:t>
      </w:r>
      <w:r w:rsidRPr="005B2473">
        <w:rPr>
          <w:rFonts w:ascii="Garamond" w:hAnsi="Garamond"/>
          <w:sz w:val="22"/>
          <w:szCs w:val="22"/>
        </w:rPr>
        <w:t xml:space="preserve">2018 </w:t>
      </w:r>
      <w:r>
        <w:rPr>
          <w:rFonts w:ascii="Garamond" w:hAnsi="Garamond"/>
          <w:sz w:val="22"/>
          <w:szCs w:val="22"/>
        </w:rPr>
        <w:t xml:space="preserve">further </w:t>
      </w:r>
      <w:r w:rsidRPr="005B2473">
        <w:rPr>
          <w:rFonts w:ascii="Garamond" w:hAnsi="Garamond"/>
          <w:sz w:val="22"/>
          <w:szCs w:val="22"/>
        </w:rPr>
        <w:t>contribut</w:t>
      </w:r>
      <w:r>
        <w:rPr>
          <w:rFonts w:ascii="Garamond" w:hAnsi="Garamond"/>
          <w:sz w:val="22"/>
          <w:szCs w:val="22"/>
        </w:rPr>
        <w:t>ed</w:t>
      </w:r>
      <w:r w:rsidRPr="005B2473">
        <w:rPr>
          <w:rFonts w:ascii="Garamond" w:hAnsi="Garamond"/>
          <w:sz w:val="22"/>
          <w:szCs w:val="22"/>
        </w:rPr>
        <w:t xml:space="preserve"> to the growth of </w:t>
      </w:r>
      <w:r w:rsidR="00FE0B89">
        <w:rPr>
          <w:rFonts w:ascii="Garamond" w:hAnsi="Garamond"/>
          <w:sz w:val="22"/>
          <w:szCs w:val="22"/>
        </w:rPr>
        <w:t xml:space="preserve">assets allocated by </w:t>
      </w:r>
      <w:r w:rsidRPr="005B2473">
        <w:rPr>
          <w:rFonts w:ascii="Garamond" w:hAnsi="Garamond"/>
          <w:sz w:val="22"/>
          <w:szCs w:val="22"/>
        </w:rPr>
        <w:t xml:space="preserve">commercial banks </w:t>
      </w:r>
      <w:r w:rsidR="00FE0B89">
        <w:rPr>
          <w:rFonts w:ascii="Garamond" w:hAnsi="Garamond"/>
          <w:sz w:val="22"/>
          <w:szCs w:val="22"/>
        </w:rPr>
        <w:t xml:space="preserve">while pushing </w:t>
      </w:r>
      <w:r w:rsidRPr="005B2473">
        <w:rPr>
          <w:rFonts w:ascii="Garamond" w:hAnsi="Garamond"/>
          <w:sz w:val="22"/>
          <w:szCs w:val="22"/>
        </w:rPr>
        <w:t>interest rates</w:t>
      </w:r>
      <w:r w:rsidR="00FE0B89">
        <w:rPr>
          <w:rFonts w:ascii="Garamond" w:hAnsi="Garamond"/>
          <w:sz w:val="22"/>
          <w:szCs w:val="22"/>
        </w:rPr>
        <w:t xml:space="preserve"> down</w:t>
      </w:r>
      <w:r w:rsidRPr="005B2473">
        <w:rPr>
          <w:rFonts w:ascii="Garamond" w:hAnsi="Garamond"/>
          <w:sz w:val="22"/>
          <w:szCs w:val="22"/>
        </w:rPr>
        <w:t>.</w:t>
      </w:r>
      <w:r w:rsidR="00FE0B89">
        <w:rPr>
          <w:rFonts w:ascii="Garamond" w:hAnsi="Garamond"/>
          <w:sz w:val="22"/>
          <w:szCs w:val="22"/>
        </w:rPr>
        <w:t xml:space="preserve"> </w:t>
      </w:r>
      <w:r w:rsidR="002A38BF" w:rsidRPr="00EE5F0F">
        <w:rPr>
          <w:rFonts w:ascii="Garamond" w:hAnsi="Garamond"/>
          <w:sz w:val="22"/>
          <w:szCs w:val="22"/>
        </w:rPr>
        <w:t xml:space="preserve">The growth of lending </w:t>
      </w:r>
      <w:r w:rsidR="00FE0B89">
        <w:rPr>
          <w:rFonts w:ascii="Garamond" w:hAnsi="Garamond"/>
          <w:sz w:val="22"/>
          <w:szCs w:val="22"/>
        </w:rPr>
        <w:t>over the quarter amounted to 5.7%</w:t>
      </w:r>
      <w:r w:rsidR="002A38BF" w:rsidRPr="00EE5F0F">
        <w:rPr>
          <w:rFonts w:ascii="Garamond" w:hAnsi="Garamond"/>
          <w:sz w:val="22"/>
          <w:szCs w:val="22"/>
        </w:rPr>
        <w:t xml:space="preserve">. </w:t>
      </w:r>
      <w:r w:rsidR="005E5095" w:rsidRPr="00EE5F0F">
        <w:rPr>
          <w:rFonts w:ascii="Garamond" w:hAnsi="Garamond"/>
          <w:sz w:val="22"/>
          <w:szCs w:val="22"/>
        </w:rPr>
        <w:t>In particular</w:t>
      </w:r>
      <w:r w:rsidR="002A38BF" w:rsidRPr="00EE5F0F">
        <w:rPr>
          <w:rFonts w:ascii="Garamond" w:hAnsi="Garamond"/>
          <w:sz w:val="22"/>
          <w:szCs w:val="22"/>
        </w:rPr>
        <w:t xml:space="preserve">, dram loans have grown by </w:t>
      </w:r>
      <w:r w:rsidR="00FE0B89">
        <w:rPr>
          <w:rFonts w:ascii="Garamond" w:hAnsi="Garamond"/>
          <w:sz w:val="22"/>
          <w:szCs w:val="22"/>
        </w:rPr>
        <w:t>8</w:t>
      </w:r>
      <w:r w:rsidR="002A38BF" w:rsidRPr="00EE5F0F">
        <w:rPr>
          <w:rFonts w:ascii="Garamond" w:hAnsi="Garamond"/>
          <w:sz w:val="22"/>
          <w:szCs w:val="22"/>
        </w:rPr>
        <w:t>.</w:t>
      </w:r>
      <w:r w:rsidR="00FE0B89">
        <w:rPr>
          <w:rFonts w:ascii="Garamond" w:hAnsi="Garamond"/>
          <w:sz w:val="22"/>
          <w:szCs w:val="22"/>
        </w:rPr>
        <w:t>3</w:t>
      </w:r>
      <w:r w:rsidR="002A38BF" w:rsidRPr="00EE5F0F">
        <w:rPr>
          <w:rFonts w:ascii="Garamond" w:hAnsi="Garamond"/>
          <w:sz w:val="22"/>
          <w:szCs w:val="22"/>
        </w:rPr>
        <w:t xml:space="preserve">% and foreign currency loans, by </w:t>
      </w:r>
      <w:r w:rsidR="00FE0B89">
        <w:rPr>
          <w:rFonts w:ascii="Garamond" w:hAnsi="Garamond"/>
          <w:sz w:val="22"/>
          <w:szCs w:val="22"/>
        </w:rPr>
        <w:t>3</w:t>
      </w:r>
      <w:r w:rsidR="002A38BF" w:rsidRPr="00EE5F0F">
        <w:rPr>
          <w:rFonts w:ascii="Garamond" w:hAnsi="Garamond"/>
          <w:sz w:val="22"/>
          <w:szCs w:val="22"/>
        </w:rPr>
        <w:t>.</w:t>
      </w:r>
      <w:r w:rsidR="00FE0B89">
        <w:rPr>
          <w:rFonts w:ascii="Garamond" w:hAnsi="Garamond"/>
          <w:sz w:val="22"/>
          <w:szCs w:val="22"/>
        </w:rPr>
        <w:t>6</w:t>
      </w:r>
      <w:r w:rsidR="002A38BF" w:rsidRPr="00EE5F0F">
        <w:rPr>
          <w:rFonts w:ascii="Garamond" w:hAnsi="Garamond"/>
          <w:sz w:val="22"/>
          <w:szCs w:val="22"/>
        </w:rPr>
        <w:t xml:space="preserve">%. The 12-month growth of total lending to the economy in </w:t>
      </w:r>
      <w:r w:rsidR="006D3F04">
        <w:rPr>
          <w:rFonts w:ascii="Garamond" w:hAnsi="Garamond"/>
          <w:sz w:val="22"/>
          <w:szCs w:val="22"/>
        </w:rPr>
        <w:t>June</w:t>
      </w:r>
      <w:r w:rsidR="002A38BF" w:rsidRPr="00EE5F0F">
        <w:rPr>
          <w:rFonts w:ascii="Garamond" w:hAnsi="Garamond"/>
          <w:sz w:val="22"/>
          <w:szCs w:val="22"/>
        </w:rPr>
        <w:t xml:space="preserve"> 201</w:t>
      </w:r>
      <w:r w:rsidR="005E5095" w:rsidRPr="00EE5F0F">
        <w:rPr>
          <w:rFonts w:ascii="Garamond" w:hAnsi="Garamond"/>
          <w:sz w:val="22"/>
          <w:szCs w:val="22"/>
        </w:rPr>
        <w:t>8</w:t>
      </w:r>
      <w:r w:rsidR="002A38BF" w:rsidRPr="00EE5F0F">
        <w:rPr>
          <w:rFonts w:ascii="Garamond" w:hAnsi="Garamond"/>
          <w:sz w:val="22"/>
          <w:szCs w:val="22"/>
        </w:rPr>
        <w:t xml:space="preserve"> </w:t>
      </w:r>
      <w:r w:rsidR="005E5095" w:rsidRPr="00EE5F0F">
        <w:rPr>
          <w:rFonts w:ascii="Garamond" w:hAnsi="Garamond"/>
          <w:sz w:val="22"/>
          <w:szCs w:val="22"/>
        </w:rPr>
        <w:t>reached</w:t>
      </w:r>
      <w:r w:rsidR="002A38BF" w:rsidRPr="00EE5F0F">
        <w:rPr>
          <w:rFonts w:ascii="Garamond" w:hAnsi="Garamond"/>
          <w:sz w:val="22"/>
          <w:szCs w:val="22"/>
        </w:rPr>
        <w:t xml:space="preserve"> </w:t>
      </w:r>
      <w:r w:rsidR="005E5095" w:rsidRPr="00EE5F0F">
        <w:rPr>
          <w:rFonts w:ascii="Garamond" w:hAnsi="Garamond"/>
          <w:sz w:val="22"/>
          <w:szCs w:val="22"/>
        </w:rPr>
        <w:t>2</w:t>
      </w:r>
      <w:r w:rsidR="006D3F04">
        <w:rPr>
          <w:rFonts w:ascii="Garamond" w:hAnsi="Garamond"/>
          <w:sz w:val="22"/>
          <w:szCs w:val="22"/>
        </w:rPr>
        <w:t>2</w:t>
      </w:r>
      <w:r w:rsidR="002A38BF" w:rsidRPr="00EE5F0F">
        <w:rPr>
          <w:rFonts w:ascii="Garamond" w:hAnsi="Garamond"/>
          <w:sz w:val="22"/>
          <w:szCs w:val="22"/>
        </w:rPr>
        <w:t>.</w:t>
      </w:r>
      <w:r w:rsidR="006D3F04">
        <w:rPr>
          <w:rFonts w:ascii="Garamond" w:hAnsi="Garamond"/>
          <w:sz w:val="22"/>
          <w:szCs w:val="22"/>
        </w:rPr>
        <w:t>4</w:t>
      </w:r>
      <w:r w:rsidR="002A38BF" w:rsidRPr="00EE5F0F">
        <w:rPr>
          <w:rFonts w:ascii="Garamond" w:hAnsi="Garamond"/>
          <w:sz w:val="22"/>
          <w:szCs w:val="22"/>
        </w:rPr>
        <w:t>%</w:t>
      </w:r>
      <w:r w:rsidR="0013609E">
        <w:rPr>
          <w:rFonts w:ascii="Garamond" w:hAnsi="Garamond"/>
          <w:sz w:val="22"/>
          <w:szCs w:val="22"/>
        </w:rPr>
        <w:t>. The lending gr</w:t>
      </w:r>
      <w:r w:rsidR="00AC2B31">
        <w:rPr>
          <w:rFonts w:ascii="Garamond" w:hAnsi="Garamond"/>
          <w:sz w:val="22"/>
          <w:szCs w:val="22"/>
        </w:rPr>
        <w:t xml:space="preserve">owth was concurrent with reducing </w:t>
      </w:r>
      <w:r w:rsidR="0013609E">
        <w:rPr>
          <w:rFonts w:ascii="Garamond" w:hAnsi="Garamond"/>
          <w:sz w:val="22"/>
          <w:szCs w:val="22"/>
        </w:rPr>
        <w:t>interest rates,</w:t>
      </w:r>
      <w:r w:rsidR="00CF3EAA">
        <w:rPr>
          <w:rFonts w:ascii="Garamond" w:hAnsi="Garamond"/>
          <w:sz w:val="22"/>
          <w:szCs w:val="22"/>
        </w:rPr>
        <w:t xml:space="preserve"> and this </w:t>
      </w:r>
      <w:r w:rsidR="006D3F04">
        <w:rPr>
          <w:rFonts w:ascii="Garamond" w:hAnsi="Garamond"/>
          <w:sz w:val="22"/>
          <w:szCs w:val="22"/>
        </w:rPr>
        <w:t>was m</w:t>
      </w:r>
      <w:r w:rsidR="00CF3EAA">
        <w:rPr>
          <w:rFonts w:ascii="Garamond" w:hAnsi="Garamond"/>
          <w:sz w:val="22"/>
          <w:szCs w:val="22"/>
        </w:rPr>
        <w:t>o</w:t>
      </w:r>
      <w:r w:rsidR="002B107B">
        <w:rPr>
          <w:rFonts w:ascii="Garamond" w:hAnsi="Garamond"/>
          <w:sz w:val="22"/>
          <w:szCs w:val="22"/>
        </w:rPr>
        <w:t>re</w:t>
      </w:r>
      <w:r w:rsidR="00CF3EAA">
        <w:rPr>
          <w:rFonts w:ascii="Garamond" w:hAnsi="Garamond"/>
          <w:sz w:val="22"/>
          <w:szCs w:val="22"/>
        </w:rPr>
        <w:t xml:space="preserve"> expressly demonstrated in </w:t>
      </w:r>
      <w:r w:rsidR="006D3F04">
        <w:rPr>
          <w:rFonts w:ascii="Garamond" w:hAnsi="Garamond"/>
          <w:sz w:val="22"/>
          <w:szCs w:val="22"/>
        </w:rPr>
        <w:t xml:space="preserve">dram </w:t>
      </w:r>
      <w:r w:rsidR="006D3F04" w:rsidRPr="006D3F04">
        <w:rPr>
          <w:rFonts w:ascii="Garamond" w:hAnsi="Garamond"/>
          <w:sz w:val="22"/>
          <w:szCs w:val="22"/>
        </w:rPr>
        <w:t xml:space="preserve">loans </w:t>
      </w:r>
      <w:r w:rsidR="006D3F04">
        <w:rPr>
          <w:rFonts w:ascii="Garamond" w:hAnsi="Garamond"/>
          <w:sz w:val="22"/>
          <w:szCs w:val="22"/>
        </w:rPr>
        <w:t xml:space="preserve">provided </w:t>
      </w:r>
      <w:r w:rsidR="006D3F04" w:rsidRPr="006D3F04">
        <w:rPr>
          <w:rFonts w:ascii="Garamond" w:hAnsi="Garamond"/>
          <w:sz w:val="22"/>
          <w:szCs w:val="22"/>
        </w:rPr>
        <w:t>to individuals</w:t>
      </w:r>
      <w:r w:rsidR="002A38BF" w:rsidRPr="00EE5F0F">
        <w:rPr>
          <w:rFonts w:ascii="Garamond" w:hAnsi="Garamond"/>
          <w:sz w:val="22"/>
          <w:szCs w:val="22"/>
        </w:rPr>
        <w:t>.</w:t>
      </w:r>
    </w:p>
    <w:p w14:paraId="52455E95" w14:textId="77777777" w:rsidR="00ED1126" w:rsidRPr="00EE5F0F" w:rsidRDefault="00ED1126" w:rsidP="00F40F99">
      <w:pPr>
        <w:spacing w:line="360" w:lineRule="auto"/>
        <w:jc w:val="both"/>
        <w:rPr>
          <w:rFonts w:ascii="Garamond" w:hAnsi="Garamond"/>
          <w:b/>
          <w:sz w:val="22"/>
          <w:szCs w:val="22"/>
        </w:rPr>
      </w:pPr>
    </w:p>
    <w:p w14:paraId="4A4A66A0" w14:textId="77777777" w:rsidR="00ED1126" w:rsidRPr="00EE5F0F" w:rsidRDefault="00ED1126" w:rsidP="00F40F99">
      <w:pPr>
        <w:spacing w:line="360" w:lineRule="auto"/>
        <w:jc w:val="both"/>
        <w:rPr>
          <w:rFonts w:ascii="Garamond" w:hAnsi="Garamond"/>
          <w:b/>
          <w:sz w:val="22"/>
          <w:szCs w:val="22"/>
        </w:rPr>
      </w:pPr>
    </w:p>
    <w:p w14:paraId="234FE291" w14:textId="77777777" w:rsidR="00ED1126" w:rsidRPr="00EE5F0F" w:rsidRDefault="00ED1126" w:rsidP="00F40F99">
      <w:pPr>
        <w:spacing w:line="360" w:lineRule="auto"/>
        <w:jc w:val="both"/>
        <w:rPr>
          <w:rFonts w:ascii="Garamond" w:hAnsi="Garamond"/>
          <w:b/>
          <w:sz w:val="22"/>
          <w:szCs w:val="22"/>
        </w:rPr>
      </w:pPr>
    </w:p>
    <w:p w14:paraId="4AB3915E" w14:textId="77777777" w:rsidR="00ED1126" w:rsidRPr="00EE5F0F" w:rsidRDefault="00ED1126" w:rsidP="00F40F99">
      <w:pPr>
        <w:spacing w:line="360" w:lineRule="auto"/>
        <w:jc w:val="both"/>
        <w:rPr>
          <w:rFonts w:ascii="Garamond" w:hAnsi="Garamond"/>
          <w:b/>
          <w:sz w:val="22"/>
          <w:szCs w:val="22"/>
        </w:rPr>
      </w:pPr>
    </w:p>
    <w:p w14:paraId="65DCA1EE" w14:textId="77777777" w:rsidR="00ED1126" w:rsidRPr="00EE5F0F" w:rsidRDefault="00ED1126" w:rsidP="00F40F99">
      <w:pPr>
        <w:spacing w:line="360" w:lineRule="auto"/>
        <w:jc w:val="both"/>
        <w:rPr>
          <w:rFonts w:ascii="Garamond" w:hAnsi="Garamond"/>
          <w:b/>
          <w:sz w:val="22"/>
          <w:szCs w:val="22"/>
        </w:rPr>
      </w:pPr>
    </w:p>
    <w:p w14:paraId="5C3D1F0C" w14:textId="77777777" w:rsidR="00ED1126" w:rsidRPr="00EE5F0F" w:rsidRDefault="00ED1126" w:rsidP="00F40F99">
      <w:pPr>
        <w:spacing w:line="360" w:lineRule="auto"/>
        <w:jc w:val="both"/>
        <w:rPr>
          <w:rFonts w:ascii="Garamond" w:hAnsi="Garamond"/>
          <w:b/>
          <w:sz w:val="22"/>
          <w:szCs w:val="22"/>
        </w:rPr>
      </w:pPr>
    </w:p>
    <w:p w14:paraId="2FDCE54E" w14:textId="77777777" w:rsidR="00AE3B5F" w:rsidRPr="00EE5F0F" w:rsidRDefault="00AE3B5F" w:rsidP="00AE3B5F">
      <w:pPr>
        <w:spacing w:line="360" w:lineRule="auto"/>
        <w:jc w:val="center"/>
        <w:rPr>
          <w:rFonts w:ascii="Garamond" w:hAnsi="Garamond"/>
          <w:b/>
          <w:bCs/>
          <w:color w:val="0070C0"/>
          <w:sz w:val="22"/>
          <w:szCs w:val="22"/>
        </w:rPr>
      </w:pPr>
      <w:r w:rsidRPr="00EE5F0F">
        <w:rPr>
          <w:rFonts w:ascii="Garamond" w:hAnsi="Garamond"/>
          <w:b/>
          <w:bCs/>
          <w:color w:val="0070C0"/>
          <w:sz w:val="22"/>
          <w:szCs w:val="22"/>
        </w:rPr>
        <w:t>BOARD OF THE CBA</w:t>
      </w:r>
    </w:p>
    <w:p w14:paraId="4855A1ED" w14:textId="77777777" w:rsidR="00AE3B5F" w:rsidRPr="00EE5F0F" w:rsidRDefault="00AE3B5F" w:rsidP="00AE3B5F">
      <w:pPr>
        <w:spacing w:line="360" w:lineRule="auto"/>
        <w:jc w:val="center"/>
        <w:rPr>
          <w:rFonts w:ascii="Garamond" w:hAnsi="Garamond"/>
          <w:b/>
          <w:bCs/>
          <w:color w:val="0070C0"/>
          <w:sz w:val="22"/>
          <w:szCs w:val="22"/>
        </w:rPr>
      </w:pPr>
    </w:p>
    <w:p w14:paraId="1831CA9B" w14:textId="77777777" w:rsidR="00AE3B5F" w:rsidRPr="00EE5F0F" w:rsidRDefault="00AE3B5F" w:rsidP="00AE3B5F">
      <w:pPr>
        <w:spacing w:line="360" w:lineRule="auto"/>
        <w:jc w:val="center"/>
        <w:rPr>
          <w:rFonts w:ascii="Garamond" w:hAnsi="Garamond"/>
          <w:b/>
          <w:bCs/>
          <w:color w:val="0070C0"/>
          <w:sz w:val="22"/>
          <w:szCs w:val="22"/>
        </w:rPr>
      </w:pPr>
      <w:r w:rsidRPr="00EE5F0F">
        <w:rPr>
          <w:rFonts w:ascii="Garamond" w:hAnsi="Garamond"/>
          <w:b/>
          <w:bCs/>
          <w:color w:val="0070C0"/>
          <w:sz w:val="22"/>
          <w:szCs w:val="22"/>
        </w:rPr>
        <w:t>MINUTES</w:t>
      </w:r>
    </w:p>
    <w:p w14:paraId="4936570D" w14:textId="77777777" w:rsidR="00AE3B5F" w:rsidRPr="00EE5F0F" w:rsidRDefault="00AE3B5F" w:rsidP="00AE3B5F">
      <w:pPr>
        <w:spacing w:line="360" w:lineRule="auto"/>
        <w:jc w:val="center"/>
        <w:rPr>
          <w:rFonts w:ascii="Garamond" w:hAnsi="Garamond"/>
          <w:b/>
          <w:bCs/>
          <w:sz w:val="22"/>
          <w:szCs w:val="22"/>
        </w:rPr>
      </w:pPr>
      <w:r w:rsidRPr="00EE5F0F">
        <w:rPr>
          <w:rFonts w:ascii="Garamond" w:hAnsi="Garamond"/>
          <w:b/>
          <w:bCs/>
          <w:color w:val="0070C0"/>
          <w:sz w:val="22"/>
          <w:szCs w:val="22"/>
        </w:rPr>
        <w:t>(1</w:t>
      </w:r>
      <w:r w:rsidR="00C13311">
        <w:rPr>
          <w:rFonts w:ascii="Garamond" w:hAnsi="Garamond"/>
          <w:b/>
          <w:bCs/>
          <w:color w:val="0070C0"/>
          <w:sz w:val="22"/>
          <w:szCs w:val="22"/>
        </w:rPr>
        <w:t>4</w:t>
      </w:r>
      <w:r w:rsidRPr="00EE5F0F">
        <w:rPr>
          <w:rFonts w:ascii="Garamond" w:hAnsi="Garamond"/>
          <w:b/>
          <w:bCs/>
          <w:color w:val="0070C0"/>
          <w:sz w:val="22"/>
          <w:szCs w:val="22"/>
        </w:rPr>
        <w:t>.0</w:t>
      </w:r>
      <w:r w:rsidR="00C13311">
        <w:rPr>
          <w:rFonts w:ascii="Garamond" w:hAnsi="Garamond"/>
          <w:b/>
          <w:bCs/>
          <w:color w:val="0070C0"/>
          <w:sz w:val="22"/>
          <w:szCs w:val="22"/>
        </w:rPr>
        <w:t>8</w:t>
      </w:r>
      <w:r w:rsidRPr="00EE5F0F">
        <w:rPr>
          <w:rFonts w:ascii="Garamond" w:hAnsi="Garamond"/>
          <w:b/>
          <w:bCs/>
          <w:color w:val="0070C0"/>
          <w:sz w:val="22"/>
          <w:szCs w:val="22"/>
        </w:rPr>
        <w:t>.2018)</w:t>
      </w:r>
    </w:p>
    <w:p w14:paraId="44B67726" w14:textId="77777777" w:rsidR="00AE3B5F" w:rsidRPr="00EE5F0F" w:rsidRDefault="00AE3B5F" w:rsidP="00AE3B5F">
      <w:pPr>
        <w:spacing w:line="360" w:lineRule="auto"/>
        <w:jc w:val="center"/>
        <w:rPr>
          <w:rFonts w:ascii="Garamond" w:hAnsi="Garamond"/>
          <w:b/>
          <w:bCs/>
          <w:sz w:val="22"/>
          <w:szCs w:val="22"/>
        </w:rPr>
      </w:pPr>
    </w:p>
    <w:p w14:paraId="2705B616" w14:textId="77777777" w:rsidR="00AE3B5F" w:rsidRPr="00EE5F0F" w:rsidRDefault="00B0020C" w:rsidP="00AE3B5F">
      <w:pPr>
        <w:spacing w:line="360" w:lineRule="auto"/>
        <w:jc w:val="center"/>
        <w:rPr>
          <w:rFonts w:ascii="Garamond" w:hAnsi="Garamond"/>
          <w:color w:val="0070C0"/>
          <w:sz w:val="22"/>
          <w:szCs w:val="22"/>
        </w:rPr>
      </w:pPr>
      <w:r w:rsidRPr="00EE5F0F">
        <w:rPr>
          <w:rFonts w:ascii="Garamond" w:hAnsi="Garamond"/>
          <w:b/>
          <w:bCs/>
          <w:color w:val="0070C0"/>
          <w:sz w:val="22"/>
          <w:szCs w:val="22"/>
        </w:rPr>
        <w:t xml:space="preserve">The </w:t>
      </w:r>
      <w:r w:rsidR="00AE3B5F" w:rsidRPr="00EE5F0F">
        <w:rPr>
          <w:rFonts w:ascii="Garamond" w:hAnsi="Garamond"/>
          <w:b/>
          <w:bCs/>
          <w:color w:val="0070C0"/>
          <w:sz w:val="22"/>
          <w:szCs w:val="22"/>
        </w:rPr>
        <w:t>Refinancing Rate</w:t>
      </w:r>
    </w:p>
    <w:p w14:paraId="21273632" w14:textId="77777777" w:rsidR="00AE3B5F" w:rsidRPr="00EE5F0F" w:rsidRDefault="00AE3B5F" w:rsidP="00AE3B5F">
      <w:pPr>
        <w:spacing w:line="360" w:lineRule="auto"/>
        <w:jc w:val="center"/>
        <w:rPr>
          <w:rFonts w:ascii="Garamond" w:hAnsi="Garamond"/>
          <w:sz w:val="22"/>
          <w:szCs w:val="22"/>
        </w:rPr>
      </w:pPr>
    </w:p>
    <w:p w14:paraId="7856EB96" w14:textId="77777777" w:rsidR="00AC2B31" w:rsidRPr="00163C85" w:rsidRDefault="00AC2B31" w:rsidP="00AC2B31">
      <w:pPr>
        <w:pStyle w:val="BodyText"/>
        <w:spacing w:line="360" w:lineRule="auto"/>
        <w:jc w:val="center"/>
        <w:rPr>
          <w:rFonts w:ascii="Garamond" w:hAnsi="Garamond"/>
          <w:b/>
        </w:rPr>
      </w:pPr>
      <w:r w:rsidRPr="00163C85">
        <w:rPr>
          <w:rFonts w:ascii="Garamond" w:hAnsi="Garamond"/>
          <w:b/>
        </w:rPr>
        <w:t>The CBA Board Meeting of August</w:t>
      </w:r>
      <w:r w:rsidRPr="00163C85">
        <w:rPr>
          <w:rFonts w:ascii="Garamond" w:hAnsi="Garamond"/>
          <w:b/>
          <w:bCs/>
        </w:rPr>
        <w:t xml:space="preserve"> 14, 2018</w:t>
      </w:r>
      <w:r w:rsidRPr="00163C85">
        <w:rPr>
          <w:rFonts w:ascii="Garamond" w:hAnsi="Garamond"/>
          <w:b/>
        </w:rPr>
        <w:t xml:space="preserve"> attended by Chairman Arthur Javadyan, Deputy Chairman Nerses Yeritsyan, and Board Members Ashot Mkrtchyan, Arthur Stepanyan, Armenak Darbinyan and Oleg Aghasyan</w:t>
      </w:r>
    </w:p>
    <w:p w14:paraId="3998C803" w14:textId="77777777" w:rsidR="00AC2B31" w:rsidRPr="00163C85" w:rsidRDefault="00AC2B31" w:rsidP="00AC2B31">
      <w:pPr>
        <w:spacing w:line="360" w:lineRule="auto"/>
        <w:jc w:val="both"/>
        <w:rPr>
          <w:rFonts w:ascii="Garamond" w:hAnsi="Garamond"/>
          <w:sz w:val="22"/>
          <w:szCs w:val="22"/>
        </w:rPr>
      </w:pPr>
    </w:p>
    <w:p w14:paraId="353DF1EF"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The Board meeting opened with presentation of the Situation Report as of August 14</w:t>
      </w:r>
      <w:r w:rsidRPr="00163C85">
        <w:rPr>
          <w:rFonts w:ascii="Garamond" w:hAnsi="Garamond"/>
          <w:bCs/>
          <w:sz w:val="22"/>
          <w:szCs w:val="22"/>
        </w:rPr>
        <w:t>, 2018</w:t>
      </w:r>
      <w:r w:rsidRPr="00163C85">
        <w:rPr>
          <w:rFonts w:ascii="Garamond" w:hAnsi="Garamond"/>
          <w:sz w:val="22"/>
          <w:szCs w:val="22"/>
        </w:rPr>
        <w:t xml:space="preserve">. It addressed current developments on inflation, external environment and real, fiscal and monetary sectors of the economy. </w:t>
      </w:r>
    </w:p>
    <w:p w14:paraId="2477254F" w14:textId="77777777" w:rsidR="00AC2B31" w:rsidRPr="00163C85" w:rsidRDefault="00AC2B31" w:rsidP="00AC2B31">
      <w:pPr>
        <w:spacing w:line="360" w:lineRule="auto"/>
        <w:jc w:val="both"/>
        <w:rPr>
          <w:rFonts w:ascii="Garamond" w:hAnsi="Garamond"/>
          <w:sz w:val="22"/>
          <w:szCs w:val="22"/>
        </w:rPr>
      </w:pPr>
    </w:p>
    <w:p w14:paraId="09DF061E"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 xml:space="preserve">It was recorded that the 12-month inflation increased sharply in July 2018 after the reduction in May-June, amounting to 2.3% at the end of the month. The inflation behaved this way largely due to the change in prices of agricultural products, which, in turn, is explained by earlier </w:t>
      </w:r>
      <w:r>
        <w:rPr>
          <w:rFonts w:ascii="Garamond" w:hAnsi="Garamond"/>
          <w:sz w:val="22"/>
          <w:szCs w:val="22"/>
        </w:rPr>
        <w:t xml:space="preserve">demonstrated </w:t>
      </w:r>
      <w:r w:rsidRPr="00163C85">
        <w:rPr>
          <w:rFonts w:ascii="Garamond" w:hAnsi="Garamond"/>
          <w:sz w:val="22"/>
          <w:szCs w:val="22"/>
        </w:rPr>
        <w:t xml:space="preserve">seasonality for harvest. In other words, as the prices in the groups “Fruit” and “Vegetable” reduced more than expected, the 12-month inflation rate has dropped in May-June by about 1.3 pp from its expected value, which was totally restored </w:t>
      </w:r>
      <w:r>
        <w:rPr>
          <w:rFonts w:ascii="Garamond" w:hAnsi="Garamond"/>
          <w:sz w:val="22"/>
          <w:szCs w:val="22"/>
        </w:rPr>
        <w:t xml:space="preserve">in the course of </w:t>
      </w:r>
      <w:r w:rsidRPr="00163C85">
        <w:rPr>
          <w:rFonts w:ascii="Garamond" w:hAnsi="Garamond"/>
          <w:sz w:val="22"/>
          <w:szCs w:val="22"/>
        </w:rPr>
        <w:t xml:space="preserve">July. It should be noted that over that period, core inflation has gradually decreased, but it still remains at a relatively high level. </w:t>
      </w:r>
    </w:p>
    <w:p w14:paraId="4BFA6C23" w14:textId="77777777" w:rsidR="00AC2B31" w:rsidRPr="00163C85" w:rsidRDefault="00AC2B31" w:rsidP="00AC2B31">
      <w:pPr>
        <w:spacing w:line="360" w:lineRule="auto"/>
        <w:jc w:val="both"/>
        <w:rPr>
          <w:rFonts w:ascii="Garamond" w:hAnsi="Garamond"/>
          <w:sz w:val="22"/>
          <w:szCs w:val="22"/>
        </w:rPr>
      </w:pPr>
    </w:p>
    <w:p w14:paraId="6113603E"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 xml:space="preserve">Addressing the economic situation, the Board stated that economic activity in the second quarter of 2018 was rather strong </w:t>
      </w:r>
      <w:r>
        <w:rPr>
          <w:rFonts w:ascii="Garamond" w:hAnsi="Garamond"/>
          <w:sz w:val="22"/>
          <w:szCs w:val="22"/>
        </w:rPr>
        <w:t>as well,</w:t>
      </w:r>
      <w:r w:rsidRPr="00163C85">
        <w:rPr>
          <w:rFonts w:ascii="Garamond" w:hAnsi="Garamond"/>
          <w:sz w:val="22"/>
          <w:szCs w:val="22"/>
        </w:rPr>
        <w:t xml:space="preserve"> although a certain weakening was observed in the meanwhile as the industry growth rates slowed down; in the last month of the quarter however, the economic activity rebounded owing to reported high growth in the processing industry and agriculture sectors. In view of these developments, the Central Bank revised both the second quarter and the end-year forecasts upside. The domestic demand persisted at a relatively high level in the second quarter too, driven largely by unprecedented high growth in private investment, while private consumption growth rates slowed down slightly, incurring the impact of a contractionary fiscal policy. The Board estimates that the latter will persist over the upcoming months, which, coupled with some slowing in high private investment growth rates, will diminish the impact on the domestic demand and prices. </w:t>
      </w:r>
    </w:p>
    <w:p w14:paraId="3F600915" w14:textId="77777777" w:rsidR="00AC2B31" w:rsidRPr="00163C85" w:rsidRDefault="00AC2B31" w:rsidP="00AC2B31">
      <w:pPr>
        <w:spacing w:line="360" w:lineRule="auto"/>
        <w:jc w:val="both"/>
        <w:rPr>
          <w:rFonts w:ascii="Garamond" w:hAnsi="Garamond"/>
          <w:sz w:val="22"/>
          <w:szCs w:val="22"/>
        </w:rPr>
      </w:pPr>
    </w:p>
    <w:p w14:paraId="62494D4F"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 xml:space="preserve">The external sector developments were also addressed at the Board meeting: the global economic growth and the patterns in the world’s major commodity markets continued trending up. Under these conditions, the central banks of the main partner countries keep on tightening their monetary conditions. At the same time, some countries of the region are seeing increased volatilities in the financial markets under trade restrictions </w:t>
      </w:r>
      <w:r w:rsidRPr="00163C85">
        <w:rPr>
          <w:rFonts w:ascii="Garamond" w:hAnsi="Garamond"/>
          <w:sz w:val="22"/>
          <w:szCs w:val="22"/>
        </w:rPr>
        <w:lastRenderedPageBreak/>
        <w:t>and sanctions imposed by the United States. Nevertheless, the Board considers that it does not contain considerable risks to the Armenian financial market at present</w:t>
      </w:r>
      <w:r>
        <w:rPr>
          <w:rFonts w:ascii="Garamond" w:hAnsi="Garamond"/>
          <w:sz w:val="22"/>
          <w:szCs w:val="22"/>
        </w:rPr>
        <w:t>; however</w:t>
      </w:r>
      <w:r w:rsidRPr="00163C85">
        <w:rPr>
          <w:rFonts w:ascii="Garamond" w:hAnsi="Garamond"/>
          <w:sz w:val="22"/>
          <w:szCs w:val="22"/>
        </w:rPr>
        <w:t xml:space="preserve">, if such risks show up, the Central Bank will react accordingly. </w:t>
      </w:r>
    </w:p>
    <w:p w14:paraId="3127B202" w14:textId="77777777" w:rsidR="00AC2B31" w:rsidRPr="00163C85" w:rsidRDefault="00AC2B31" w:rsidP="00AC2B31">
      <w:pPr>
        <w:spacing w:line="360" w:lineRule="auto"/>
        <w:jc w:val="both"/>
        <w:rPr>
          <w:rFonts w:ascii="Garamond" w:hAnsi="Garamond"/>
          <w:sz w:val="22"/>
          <w:szCs w:val="22"/>
        </w:rPr>
      </w:pPr>
    </w:p>
    <w:p w14:paraId="5AE4B631"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 xml:space="preserve">The Board referred to the developments in the domestic financial market: it stated that in the second quarter of the year short-term interest rates shaped primarily around the policy rate of the Central Bank, reflecting also the sustainability of the yields in the government bond market. </w:t>
      </w:r>
    </w:p>
    <w:p w14:paraId="132E49E0" w14:textId="77777777" w:rsidR="00AC2B31" w:rsidRPr="00163C85" w:rsidRDefault="00AC2B31" w:rsidP="00AC2B31">
      <w:pPr>
        <w:spacing w:line="360" w:lineRule="auto"/>
        <w:jc w:val="both"/>
        <w:rPr>
          <w:rFonts w:ascii="Garamond" w:hAnsi="Garamond"/>
          <w:sz w:val="22"/>
          <w:szCs w:val="22"/>
        </w:rPr>
      </w:pPr>
    </w:p>
    <w:p w14:paraId="71D4C235" w14:textId="77777777" w:rsidR="00AC2B31" w:rsidRPr="00163C85" w:rsidRDefault="00AC2B31" w:rsidP="00AC2B31">
      <w:pPr>
        <w:spacing w:line="360" w:lineRule="auto"/>
        <w:jc w:val="both"/>
        <w:rPr>
          <w:rFonts w:ascii="Garamond" w:hAnsi="Garamond"/>
          <w:sz w:val="22"/>
          <w:szCs w:val="22"/>
        </w:rPr>
      </w:pPr>
      <w:r w:rsidRPr="00163C85">
        <w:rPr>
          <w:rFonts w:ascii="Garamond" w:hAnsi="Garamond"/>
          <w:sz w:val="22"/>
          <w:szCs w:val="22"/>
        </w:rPr>
        <w:t>Following presentation of the Situation Report and the developments in external and domestic macroeconomic environments, the Board began addressing the monetary policy directions and making a decision on the interest rate. The Board considered only one option for setting the refinancing rate, and in expectation of a weak inflationary effect from the external sector in the near future and a non-inflationary (gradually slowing private demand and even a more contractionary fiscal policy) influence which prevails in the Armenian economy, the Board of the Central Bank decided to leave the refinancing rate unchanged, maintaining that the monetary policy should remain expansionary for the time being. In the event predicted macroeconomic developments</w:t>
      </w:r>
      <w:r>
        <w:rPr>
          <w:rFonts w:ascii="Garamond" w:hAnsi="Garamond"/>
          <w:sz w:val="22"/>
          <w:szCs w:val="22"/>
        </w:rPr>
        <w:t xml:space="preserve"> </w:t>
      </w:r>
      <w:r w:rsidRPr="00163C85">
        <w:rPr>
          <w:rFonts w:ascii="Garamond" w:hAnsi="Garamond"/>
          <w:sz w:val="22"/>
          <w:szCs w:val="22"/>
        </w:rPr>
        <w:t xml:space="preserve">unfold and existing risks are not materialized, the Board estimates that the expansionary monetary policy will be maintained </w:t>
      </w:r>
      <w:r w:rsidRPr="00163C85">
        <w:rPr>
          <w:rFonts w:ascii="Garamond" w:hAnsi="Garamond"/>
          <w:b/>
          <w:sz w:val="22"/>
          <w:szCs w:val="22"/>
        </w:rPr>
        <w:t>in the near future</w:t>
      </w:r>
      <w:r w:rsidRPr="00163C85">
        <w:rPr>
          <w:rFonts w:ascii="Garamond" w:hAnsi="Garamond"/>
          <w:sz w:val="22"/>
          <w:szCs w:val="22"/>
        </w:rPr>
        <w:t xml:space="preserve"> while making sure it will gradually phase out in the medium run. As a result, </w:t>
      </w:r>
      <w:r w:rsidRPr="00163C85">
        <w:rPr>
          <w:rFonts w:ascii="Garamond" w:hAnsi="Garamond"/>
          <w:b/>
          <w:sz w:val="22"/>
          <w:szCs w:val="22"/>
        </w:rPr>
        <w:t>the 12-month inflation rate will fl</w:t>
      </w:r>
      <w:r>
        <w:rPr>
          <w:rFonts w:ascii="Garamond" w:hAnsi="Garamond"/>
          <w:b/>
          <w:sz w:val="22"/>
          <w:szCs w:val="22"/>
        </w:rPr>
        <w:t xml:space="preserve">uctuate </w:t>
      </w:r>
      <w:r w:rsidRPr="00163C85">
        <w:rPr>
          <w:rFonts w:ascii="Garamond" w:hAnsi="Garamond"/>
          <w:b/>
          <w:sz w:val="22"/>
          <w:szCs w:val="22"/>
        </w:rPr>
        <w:t>within the lower part of the confidence band in the upcoming period and will stabilize around the target in the medium run.</w:t>
      </w:r>
      <w:r w:rsidRPr="00163C85">
        <w:rPr>
          <w:rFonts w:ascii="Garamond" w:hAnsi="Garamond"/>
          <w:sz w:val="22"/>
          <w:szCs w:val="22"/>
        </w:rPr>
        <w:t xml:space="preserve">           </w:t>
      </w:r>
    </w:p>
    <w:p w14:paraId="0A2B4F10" w14:textId="77777777" w:rsidR="00AC2B31" w:rsidRPr="00163C85" w:rsidRDefault="00AC2B31" w:rsidP="00AC2B31">
      <w:pPr>
        <w:spacing w:line="360" w:lineRule="auto"/>
        <w:jc w:val="both"/>
        <w:rPr>
          <w:rFonts w:ascii="Garamond" w:hAnsi="Garamond"/>
          <w:sz w:val="22"/>
          <w:szCs w:val="22"/>
        </w:rPr>
      </w:pPr>
    </w:p>
    <w:p w14:paraId="3A84CA31" w14:textId="77777777" w:rsidR="00AE3B5F" w:rsidRPr="00EE5F0F" w:rsidRDefault="00AC2B31" w:rsidP="00AC2B31">
      <w:pPr>
        <w:spacing w:line="360" w:lineRule="auto"/>
        <w:jc w:val="both"/>
        <w:rPr>
          <w:rFonts w:ascii="Garamond" w:hAnsi="Garamond"/>
          <w:sz w:val="22"/>
          <w:szCs w:val="22"/>
        </w:rPr>
      </w:pPr>
      <w:r w:rsidRPr="00163C85">
        <w:rPr>
          <w:rFonts w:ascii="Garamond" w:hAnsi="Garamond"/>
          <w:sz w:val="22"/>
          <w:szCs w:val="22"/>
        </w:rPr>
        <w:t>The Board approved the decision on interest rates of monetary instruments of the Central Bank and the proposed press release, which are attached hereto.</w:t>
      </w:r>
    </w:p>
    <w:p w14:paraId="134D882E" w14:textId="77777777" w:rsidR="00AE3B5F" w:rsidRPr="00EE5F0F" w:rsidRDefault="00AE3B5F" w:rsidP="00AE3B5F">
      <w:pPr>
        <w:spacing w:line="360" w:lineRule="auto"/>
        <w:jc w:val="center"/>
        <w:rPr>
          <w:rFonts w:ascii="Garamond" w:hAnsi="Garamond"/>
          <w:b/>
          <w:sz w:val="22"/>
          <w:szCs w:val="22"/>
        </w:rPr>
      </w:pPr>
    </w:p>
    <w:p w14:paraId="206E000A" w14:textId="77777777" w:rsidR="00AE3B5F" w:rsidRPr="00EE5F0F" w:rsidRDefault="00AE3B5F" w:rsidP="00AE3B5F">
      <w:pPr>
        <w:spacing w:line="360" w:lineRule="auto"/>
        <w:jc w:val="center"/>
        <w:rPr>
          <w:rFonts w:ascii="Garamond" w:hAnsi="Garamond"/>
          <w:b/>
          <w:sz w:val="22"/>
          <w:szCs w:val="22"/>
        </w:rPr>
      </w:pPr>
    </w:p>
    <w:p w14:paraId="3704435E" w14:textId="77777777" w:rsidR="00AE3B5F" w:rsidRPr="00EE5F0F" w:rsidRDefault="00AE3B5F" w:rsidP="00AE3B5F">
      <w:pPr>
        <w:spacing w:line="360" w:lineRule="auto"/>
        <w:jc w:val="center"/>
        <w:rPr>
          <w:rFonts w:ascii="Garamond" w:hAnsi="Garamond"/>
          <w:b/>
          <w:sz w:val="22"/>
          <w:szCs w:val="22"/>
        </w:rPr>
      </w:pPr>
    </w:p>
    <w:p w14:paraId="39994EC8" w14:textId="77777777" w:rsidR="00ED11A9" w:rsidRPr="00EE5F0F" w:rsidRDefault="00ED11A9" w:rsidP="00AE3B5F">
      <w:pPr>
        <w:spacing w:line="360" w:lineRule="auto"/>
        <w:jc w:val="center"/>
        <w:rPr>
          <w:rFonts w:ascii="Garamond" w:hAnsi="Garamond"/>
          <w:b/>
          <w:color w:val="0070C0"/>
          <w:sz w:val="22"/>
          <w:szCs w:val="22"/>
        </w:rPr>
      </w:pPr>
    </w:p>
    <w:p w14:paraId="49701C22" w14:textId="77777777" w:rsidR="00ED11A9" w:rsidRPr="00EE5F0F" w:rsidRDefault="00ED11A9" w:rsidP="00AE3B5F">
      <w:pPr>
        <w:spacing w:line="360" w:lineRule="auto"/>
        <w:jc w:val="center"/>
        <w:rPr>
          <w:rFonts w:ascii="Garamond" w:hAnsi="Garamond"/>
          <w:b/>
          <w:color w:val="0070C0"/>
          <w:sz w:val="22"/>
          <w:szCs w:val="22"/>
        </w:rPr>
      </w:pPr>
    </w:p>
    <w:p w14:paraId="6CF41725" w14:textId="77777777" w:rsidR="00ED11A9" w:rsidRPr="00EE5F0F" w:rsidRDefault="00ED11A9" w:rsidP="00AE3B5F">
      <w:pPr>
        <w:spacing w:line="360" w:lineRule="auto"/>
        <w:jc w:val="center"/>
        <w:rPr>
          <w:rFonts w:ascii="Garamond" w:hAnsi="Garamond"/>
          <w:b/>
          <w:color w:val="0070C0"/>
          <w:sz w:val="22"/>
          <w:szCs w:val="22"/>
        </w:rPr>
      </w:pPr>
    </w:p>
    <w:p w14:paraId="6B28DBA0" w14:textId="77777777" w:rsidR="00ED11A9" w:rsidRPr="00EE5F0F" w:rsidRDefault="00ED11A9" w:rsidP="00AE3B5F">
      <w:pPr>
        <w:spacing w:line="360" w:lineRule="auto"/>
        <w:jc w:val="center"/>
        <w:rPr>
          <w:rFonts w:ascii="Garamond" w:hAnsi="Garamond"/>
          <w:b/>
          <w:color w:val="0070C0"/>
          <w:sz w:val="22"/>
          <w:szCs w:val="22"/>
        </w:rPr>
      </w:pPr>
    </w:p>
    <w:p w14:paraId="197E8CA0" w14:textId="77777777" w:rsidR="00AC2B31" w:rsidRDefault="00AC2B31" w:rsidP="00AE3B5F">
      <w:pPr>
        <w:spacing w:line="360" w:lineRule="auto"/>
        <w:jc w:val="center"/>
        <w:rPr>
          <w:rFonts w:ascii="Garamond" w:hAnsi="Garamond"/>
          <w:b/>
          <w:color w:val="0070C0"/>
          <w:sz w:val="22"/>
          <w:szCs w:val="22"/>
        </w:rPr>
      </w:pPr>
    </w:p>
    <w:p w14:paraId="26E5A793" w14:textId="77777777" w:rsidR="00AC2B31" w:rsidRDefault="00AC2B31" w:rsidP="00AE3B5F">
      <w:pPr>
        <w:spacing w:line="360" w:lineRule="auto"/>
        <w:jc w:val="center"/>
        <w:rPr>
          <w:rFonts w:ascii="Garamond" w:hAnsi="Garamond"/>
          <w:b/>
          <w:color w:val="0070C0"/>
          <w:sz w:val="22"/>
          <w:szCs w:val="22"/>
        </w:rPr>
      </w:pPr>
    </w:p>
    <w:p w14:paraId="535A76E3" w14:textId="77777777" w:rsidR="00AE3B5F" w:rsidRPr="00EE5F0F" w:rsidRDefault="00AE3B5F" w:rsidP="00AE3B5F">
      <w:pPr>
        <w:spacing w:line="360" w:lineRule="auto"/>
        <w:jc w:val="center"/>
        <w:rPr>
          <w:rFonts w:ascii="Garamond" w:hAnsi="Garamond"/>
          <w:b/>
          <w:color w:val="0070C0"/>
          <w:sz w:val="22"/>
          <w:szCs w:val="22"/>
        </w:rPr>
      </w:pPr>
      <w:r w:rsidRPr="00EE5F0F">
        <w:rPr>
          <w:rFonts w:ascii="Garamond" w:hAnsi="Garamond"/>
          <w:b/>
          <w:color w:val="0070C0"/>
          <w:sz w:val="22"/>
          <w:szCs w:val="22"/>
        </w:rPr>
        <w:t>THE CENTRAL BANK OF THE REPUBLIC OF ARMENIA</w:t>
      </w:r>
    </w:p>
    <w:p w14:paraId="508FBD0D" w14:textId="77777777" w:rsidR="00AE3B5F" w:rsidRPr="00EE5F0F" w:rsidRDefault="00AE3B5F" w:rsidP="00AE3B5F">
      <w:pPr>
        <w:spacing w:line="360" w:lineRule="auto"/>
        <w:jc w:val="center"/>
        <w:rPr>
          <w:rFonts w:ascii="Garamond" w:hAnsi="Garamond"/>
          <w:b/>
          <w:sz w:val="22"/>
          <w:szCs w:val="22"/>
        </w:rPr>
      </w:pPr>
      <w:r w:rsidRPr="00EE5F0F">
        <w:rPr>
          <w:rFonts w:ascii="Garamond" w:hAnsi="Garamond"/>
          <w:b/>
          <w:color w:val="0070C0"/>
          <w:sz w:val="22"/>
          <w:szCs w:val="22"/>
        </w:rPr>
        <w:t xml:space="preserve">BOARD </w:t>
      </w:r>
      <w:r w:rsidR="00B53341" w:rsidRPr="00EE5F0F">
        <w:rPr>
          <w:rFonts w:ascii="Garamond" w:hAnsi="Garamond"/>
          <w:b/>
          <w:color w:val="0070C0"/>
          <w:sz w:val="22"/>
          <w:szCs w:val="22"/>
        </w:rPr>
        <w:t>DECISION</w:t>
      </w:r>
    </w:p>
    <w:p w14:paraId="35548CB7" w14:textId="77777777" w:rsidR="00AE3B5F" w:rsidRPr="00EE5F0F" w:rsidRDefault="00AE3B5F" w:rsidP="00AE3B5F">
      <w:pPr>
        <w:spacing w:line="360" w:lineRule="auto"/>
        <w:jc w:val="center"/>
        <w:rPr>
          <w:rFonts w:ascii="Garamond" w:hAnsi="Garamond"/>
          <w:b/>
          <w:sz w:val="22"/>
          <w:szCs w:val="22"/>
        </w:rPr>
      </w:pPr>
    </w:p>
    <w:p w14:paraId="07A71F07" w14:textId="77777777" w:rsidR="00AE3B5F" w:rsidRPr="00EE5F0F" w:rsidRDefault="00AE3B5F" w:rsidP="00AE3B5F">
      <w:pPr>
        <w:spacing w:line="360" w:lineRule="auto"/>
        <w:jc w:val="center"/>
        <w:rPr>
          <w:rFonts w:ascii="Garamond" w:hAnsi="Garamond"/>
          <w:b/>
          <w:color w:val="0070C0"/>
          <w:sz w:val="22"/>
          <w:szCs w:val="22"/>
        </w:rPr>
      </w:pPr>
      <w:r w:rsidRPr="00EE5F0F">
        <w:rPr>
          <w:rFonts w:ascii="Garamond" w:hAnsi="Garamond"/>
          <w:b/>
          <w:color w:val="0070C0"/>
          <w:sz w:val="22"/>
          <w:szCs w:val="22"/>
        </w:rPr>
        <w:t xml:space="preserve">Interest rates of operations by the Central Bank in the financial market </w:t>
      </w:r>
    </w:p>
    <w:p w14:paraId="315DFB27" w14:textId="77777777" w:rsidR="00AE3B5F" w:rsidRPr="00EE5F0F" w:rsidRDefault="00AE3B5F" w:rsidP="00AE3B5F">
      <w:pPr>
        <w:spacing w:line="360" w:lineRule="auto"/>
        <w:jc w:val="center"/>
        <w:rPr>
          <w:rFonts w:ascii="Garamond" w:hAnsi="Garamond"/>
          <w:sz w:val="22"/>
          <w:szCs w:val="22"/>
        </w:rPr>
      </w:pPr>
    </w:p>
    <w:p w14:paraId="7D78D610"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 xml:space="preserve">By virtue of Article 20 (c) of the Republic of Armenia Law on the Central Bank, the Board of the Central Bank of the Republic of Armenia </w:t>
      </w:r>
      <w:r w:rsidRPr="00EE5F0F">
        <w:rPr>
          <w:rFonts w:ascii="Garamond" w:hAnsi="Garamond"/>
          <w:b/>
          <w:sz w:val="22"/>
          <w:szCs w:val="22"/>
        </w:rPr>
        <w:t>enacts:</w:t>
      </w:r>
    </w:p>
    <w:p w14:paraId="1FB92E48"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1.</w:t>
      </w:r>
      <w:r w:rsidRPr="00EE5F0F">
        <w:rPr>
          <w:rFonts w:ascii="Garamond" w:hAnsi="Garamond"/>
          <w:sz w:val="22"/>
          <w:szCs w:val="22"/>
        </w:rPr>
        <w:tab/>
        <w:t>Leave the refinancing rate of the Central Bank of the Republic of Armenia unchanged, at 6.0%.</w:t>
      </w:r>
    </w:p>
    <w:p w14:paraId="1E314D69"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w:t>
      </w:r>
      <w:r w:rsidRPr="00EE5F0F">
        <w:rPr>
          <w:rFonts w:ascii="Garamond" w:hAnsi="Garamond"/>
          <w:sz w:val="22"/>
          <w:szCs w:val="22"/>
        </w:rPr>
        <w:tab/>
        <w:t xml:space="preserve">To the Financial Department of the Central Bank of the Republic of Armenia to carry out operations in the financial market of the Republic of Armenia, using the </w:t>
      </w:r>
      <w:r w:rsidR="00EE5F0F" w:rsidRPr="00EE5F0F">
        <w:rPr>
          <w:rFonts w:ascii="Garamond" w:hAnsi="Garamond"/>
          <w:sz w:val="22"/>
          <w:szCs w:val="22"/>
        </w:rPr>
        <w:t xml:space="preserve">following </w:t>
      </w:r>
      <w:r w:rsidRPr="00EE5F0F">
        <w:rPr>
          <w:rFonts w:ascii="Garamond" w:hAnsi="Garamond"/>
          <w:sz w:val="22"/>
          <w:szCs w:val="22"/>
        </w:rPr>
        <w:t>interest rates:</w:t>
      </w:r>
    </w:p>
    <w:p w14:paraId="64737309"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2.1</w:t>
      </w:r>
      <w:r w:rsidRPr="00EE5F0F">
        <w:rPr>
          <w:rFonts w:ascii="Garamond" w:hAnsi="Garamond"/>
          <w:sz w:val="22"/>
          <w:szCs w:val="22"/>
        </w:rPr>
        <w:tab/>
        <w:t>Lombard facility rate offered by the Central Bank to be 7.5%.</w:t>
      </w:r>
    </w:p>
    <w:p w14:paraId="3C10FB75"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2.2.</w:t>
      </w:r>
      <w:r w:rsidRPr="00EE5F0F">
        <w:rPr>
          <w:rFonts w:ascii="Garamond" w:hAnsi="Garamond"/>
          <w:sz w:val="22"/>
          <w:szCs w:val="22"/>
        </w:rPr>
        <w:tab/>
        <w:t>Deposit facility rate offered by the Central Bank to be 4.5%.</w:t>
      </w:r>
    </w:p>
    <w:p w14:paraId="728B9383"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3.</w:t>
      </w:r>
      <w:r w:rsidRPr="00EE5F0F">
        <w:rPr>
          <w:rFonts w:ascii="Garamond" w:hAnsi="Garamond"/>
          <w:sz w:val="22"/>
          <w:szCs w:val="22"/>
        </w:rPr>
        <w:tab/>
        <w:t xml:space="preserve">This </w:t>
      </w:r>
      <w:r w:rsidR="00EE5F0F" w:rsidRPr="00EE5F0F">
        <w:rPr>
          <w:rFonts w:ascii="Garamond" w:hAnsi="Garamond"/>
          <w:sz w:val="22"/>
          <w:szCs w:val="22"/>
        </w:rPr>
        <w:t>decision</w:t>
      </w:r>
      <w:r w:rsidRPr="00EE5F0F">
        <w:rPr>
          <w:rFonts w:ascii="Garamond" w:hAnsi="Garamond"/>
          <w:sz w:val="22"/>
          <w:szCs w:val="22"/>
        </w:rPr>
        <w:t xml:space="preserve"> shall take force on the day following the adoption thereof.</w:t>
      </w:r>
    </w:p>
    <w:p w14:paraId="6FA70AE3" w14:textId="77777777" w:rsidR="00AE3B5F" w:rsidRPr="00EE5F0F" w:rsidRDefault="00AE3B5F" w:rsidP="00AE3B5F">
      <w:pPr>
        <w:spacing w:line="360" w:lineRule="auto"/>
        <w:jc w:val="both"/>
        <w:rPr>
          <w:rFonts w:ascii="Garamond" w:hAnsi="Garamond"/>
          <w:sz w:val="22"/>
          <w:szCs w:val="22"/>
        </w:rPr>
      </w:pPr>
    </w:p>
    <w:p w14:paraId="7659A1DE" w14:textId="77777777" w:rsidR="00AE3B5F" w:rsidRPr="00EE5F0F" w:rsidRDefault="00AE3B5F" w:rsidP="00AE3B5F">
      <w:pPr>
        <w:spacing w:line="360" w:lineRule="auto"/>
        <w:jc w:val="both"/>
        <w:rPr>
          <w:rFonts w:ascii="Garamond" w:hAnsi="Garamond"/>
          <w:b/>
          <w:sz w:val="22"/>
          <w:szCs w:val="22"/>
        </w:rPr>
      </w:pPr>
      <w:r w:rsidRPr="00EE5F0F">
        <w:rPr>
          <w:rFonts w:ascii="Garamond" w:hAnsi="Garamond"/>
          <w:b/>
          <w:sz w:val="22"/>
          <w:szCs w:val="22"/>
        </w:rPr>
        <w:t>Arthur Javadyan,</w:t>
      </w:r>
    </w:p>
    <w:p w14:paraId="67A3C825" w14:textId="77777777" w:rsidR="00AE3B5F" w:rsidRPr="00EE5F0F" w:rsidRDefault="00AE3B5F" w:rsidP="00AE3B5F">
      <w:pPr>
        <w:spacing w:line="360" w:lineRule="auto"/>
        <w:jc w:val="both"/>
        <w:rPr>
          <w:rFonts w:ascii="Garamond" w:hAnsi="Garamond"/>
          <w:b/>
          <w:sz w:val="22"/>
          <w:szCs w:val="22"/>
        </w:rPr>
      </w:pPr>
      <w:r w:rsidRPr="00EE5F0F">
        <w:rPr>
          <w:rFonts w:ascii="Garamond" w:hAnsi="Garamond"/>
          <w:b/>
          <w:sz w:val="22"/>
          <w:szCs w:val="22"/>
        </w:rPr>
        <w:t>Chairman of the C</w:t>
      </w:r>
      <w:r w:rsidR="00AC2B31">
        <w:rPr>
          <w:rFonts w:ascii="Garamond" w:hAnsi="Garamond"/>
          <w:b/>
          <w:sz w:val="22"/>
          <w:szCs w:val="22"/>
        </w:rPr>
        <w:t xml:space="preserve">entral </w:t>
      </w:r>
      <w:r w:rsidRPr="00EE5F0F">
        <w:rPr>
          <w:rFonts w:ascii="Garamond" w:hAnsi="Garamond"/>
          <w:b/>
          <w:sz w:val="22"/>
          <w:szCs w:val="22"/>
        </w:rPr>
        <w:t>B</w:t>
      </w:r>
      <w:r w:rsidR="00AC2B31">
        <w:rPr>
          <w:rFonts w:ascii="Garamond" w:hAnsi="Garamond"/>
          <w:b/>
          <w:sz w:val="22"/>
          <w:szCs w:val="22"/>
        </w:rPr>
        <w:t>ank</w:t>
      </w:r>
    </w:p>
    <w:p w14:paraId="11420F15" w14:textId="77777777" w:rsidR="00AE3B5F" w:rsidRPr="00EE5F0F" w:rsidRDefault="00AE3B5F" w:rsidP="00AE3B5F">
      <w:pPr>
        <w:spacing w:line="360" w:lineRule="auto"/>
        <w:jc w:val="both"/>
        <w:rPr>
          <w:rFonts w:ascii="Garamond" w:hAnsi="Garamond"/>
          <w:b/>
          <w:sz w:val="22"/>
          <w:szCs w:val="22"/>
        </w:rPr>
      </w:pPr>
    </w:p>
    <w:p w14:paraId="2E4951BA" w14:textId="77777777" w:rsidR="00AE3B5F" w:rsidRPr="00EE5F0F" w:rsidRDefault="00AC2B31" w:rsidP="00AE3B5F">
      <w:pPr>
        <w:spacing w:line="360" w:lineRule="auto"/>
        <w:jc w:val="both"/>
        <w:rPr>
          <w:rFonts w:ascii="Garamond" w:hAnsi="Garamond"/>
          <w:sz w:val="22"/>
          <w:szCs w:val="22"/>
        </w:rPr>
      </w:pPr>
      <w:r>
        <w:rPr>
          <w:rFonts w:ascii="Garamond" w:hAnsi="Garamond"/>
          <w:b/>
          <w:sz w:val="22"/>
          <w:szCs w:val="22"/>
        </w:rPr>
        <w:t xml:space="preserve">August </w:t>
      </w:r>
      <w:r w:rsidR="00AE3B5F" w:rsidRPr="00EE5F0F">
        <w:rPr>
          <w:rFonts w:ascii="Garamond" w:hAnsi="Garamond"/>
          <w:b/>
          <w:sz w:val="22"/>
          <w:szCs w:val="22"/>
        </w:rPr>
        <w:t>1</w:t>
      </w:r>
      <w:r>
        <w:rPr>
          <w:rFonts w:ascii="Garamond" w:hAnsi="Garamond"/>
          <w:b/>
          <w:sz w:val="22"/>
          <w:szCs w:val="22"/>
        </w:rPr>
        <w:t>4</w:t>
      </w:r>
      <w:r w:rsidR="00AE3B5F" w:rsidRPr="00EE5F0F">
        <w:rPr>
          <w:rFonts w:ascii="Garamond" w:hAnsi="Garamond"/>
          <w:b/>
          <w:sz w:val="22"/>
          <w:szCs w:val="22"/>
        </w:rPr>
        <w:t>, 2018</w:t>
      </w:r>
    </w:p>
    <w:p w14:paraId="4DD10FC8" w14:textId="77777777" w:rsidR="00AE3B5F" w:rsidRPr="00EE5F0F" w:rsidRDefault="00AE3B5F" w:rsidP="00AE3B5F">
      <w:pPr>
        <w:spacing w:line="360" w:lineRule="auto"/>
        <w:jc w:val="both"/>
        <w:rPr>
          <w:rFonts w:ascii="Garamond" w:hAnsi="Garamond"/>
          <w:sz w:val="22"/>
          <w:szCs w:val="22"/>
        </w:rPr>
      </w:pPr>
    </w:p>
    <w:p w14:paraId="685742DF" w14:textId="77777777" w:rsidR="00AE3B5F" w:rsidRPr="00EE5F0F" w:rsidRDefault="00AE3B5F" w:rsidP="00AE3B5F">
      <w:pPr>
        <w:spacing w:line="360" w:lineRule="auto"/>
        <w:jc w:val="center"/>
        <w:rPr>
          <w:rFonts w:ascii="Garamond" w:hAnsi="Garamond"/>
          <w:b/>
          <w:color w:val="0070C0"/>
          <w:sz w:val="22"/>
          <w:szCs w:val="22"/>
        </w:rPr>
      </w:pPr>
    </w:p>
    <w:p w14:paraId="76AD4F55" w14:textId="77777777" w:rsidR="00AE3B5F" w:rsidRPr="00EE5F0F" w:rsidRDefault="00AE3B5F" w:rsidP="00AE3B5F">
      <w:pPr>
        <w:spacing w:line="360" w:lineRule="auto"/>
        <w:jc w:val="center"/>
        <w:rPr>
          <w:rFonts w:ascii="Garamond" w:hAnsi="Garamond"/>
          <w:b/>
          <w:color w:val="0070C0"/>
          <w:sz w:val="22"/>
          <w:szCs w:val="22"/>
        </w:rPr>
      </w:pPr>
    </w:p>
    <w:p w14:paraId="71C9666A" w14:textId="77777777" w:rsidR="00AE3B5F" w:rsidRPr="00EE5F0F" w:rsidRDefault="00AE3B5F" w:rsidP="00AE3B5F">
      <w:pPr>
        <w:spacing w:line="360" w:lineRule="auto"/>
        <w:jc w:val="center"/>
        <w:rPr>
          <w:rFonts w:ascii="Garamond" w:hAnsi="Garamond"/>
          <w:b/>
          <w:color w:val="0070C0"/>
          <w:sz w:val="22"/>
          <w:szCs w:val="22"/>
        </w:rPr>
      </w:pPr>
    </w:p>
    <w:p w14:paraId="566AD822" w14:textId="77777777" w:rsidR="00AC2B31" w:rsidRPr="00AC2B31" w:rsidRDefault="00AC2B31" w:rsidP="00AC2B31">
      <w:pPr>
        <w:jc w:val="center"/>
        <w:rPr>
          <w:rFonts w:ascii="Garamond" w:hAnsi="Garamond"/>
          <w:b/>
          <w:color w:val="0070C0"/>
          <w:sz w:val="22"/>
          <w:szCs w:val="22"/>
        </w:rPr>
      </w:pPr>
      <w:r w:rsidRPr="00AC2B31">
        <w:rPr>
          <w:rFonts w:ascii="Garamond" w:hAnsi="Garamond"/>
          <w:b/>
          <w:color w:val="0070C0"/>
          <w:sz w:val="22"/>
          <w:szCs w:val="22"/>
        </w:rPr>
        <w:t>PRESS RELEASE</w:t>
      </w:r>
    </w:p>
    <w:p w14:paraId="5BF27248" w14:textId="77777777" w:rsidR="00AC2B31" w:rsidRPr="00AC2B31" w:rsidRDefault="00AC2B31" w:rsidP="00AC2B31">
      <w:pPr>
        <w:jc w:val="center"/>
        <w:rPr>
          <w:rFonts w:ascii="Garamond" w:hAnsi="Garamond"/>
          <w:sz w:val="22"/>
          <w:szCs w:val="22"/>
        </w:rPr>
      </w:pPr>
      <w:r w:rsidRPr="00AC2B31">
        <w:rPr>
          <w:rFonts w:ascii="Garamond" w:hAnsi="Garamond"/>
          <w:b/>
          <w:color w:val="0070C0"/>
          <w:sz w:val="22"/>
          <w:szCs w:val="22"/>
        </w:rPr>
        <w:t>14.08.2018</w:t>
      </w:r>
    </w:p>
    <w:p w14:paraId="7F171D80" w14:textId="77777777" w:rsidR="00AC2B31" w:rsidRPr="00AC2B31" w:rsidRDefault="00AC2B31" w:rsidP="00AC2B31">
      <w:pPr>
        <w:jc w:val="both"/>
        <w:rPr>
          <w:rFonts w:ascii="Garamond" w:hAnsi="Garamond"/>
          <w:sz w:val="22"/>
          <w:szCs w:val="22"/>
        </w:rPr>
      </w:pPr>
    </w:p>
    <w:p w14:paraId="34D3C68A" w14:textId="77777777" w:rsidR="00AC2B31" w:rsidRPr="00AC2B31" w:rsidRDefault="00AC2B31" w:rsidP="00AC2B31">
      <w:pPr>
        <w:jc w:val="both"/>
        <w:rPr>
          <w:rFonts w:ascii="Garamond" w:hAnsi="Garamond"/>
          <w:sz w:val="22"/>
          <w:szCs w:val="22"/>
        </w:rPr>
      </w:pPr>
      <w:r w:rsidRPr="00AC2B31">
        <w:rPr>
          <w:rFonts w:ascii="Garamond" w:hAnsi="Garamond"/>
          <w:sz w:val="22"/>
          <w:szCs w:val="22"/>
        </w:rPr>
        <w:t>At the August 14th of 2018 meeting, the Board of the Central Bank of Armenia (the CBA) decided to leave the refinancing rate unchanged, at the level of 6.0%.</w:t>
      </w:r>
    </w:p>
    <w:p w14:paraId="3B746C88" w14:textId="77777777" w:rsidR="00AC2B31" w:rsidRPr="00AC2B31" w:rsidRDefault="00AC2B31" w:rsidP="00AC2B31">
      <w:pPr>
        <w:jc w:val="both"/>
        <w:rPr>
          <w:rFonts w:ascii="Garamond" w:hAnsi="Garamond"/>
          <w:sz w:val="22"/>
          <w:szCs w:val="22"/>
        </w:rPr>
      </w:pPr>
    </w:p>
    <w:p w14:paraId="7C74736C" w14:textId="77777777" w:rsidR="00AC2B31" w:rsidRPr="00AC2B31" w:rsidRDefault="00AC2B31" w:rsidP="00AC2B31">
      <w:pPr>
        <w:jc w:val="both"/>
        <w:rPr>
          <w:rFonts w:ascii="Garamond" w:hAnsi="Garamond"/>
          <w:sz w:val="22"/>
          <w:szCs w:val="22"/>
        </w:rPr>
      </w:pPr>
      <w:r w:rsidRPr="00AC2B31">
        <w:rPr>
          <w:rFonts w:ascii="Garamond" w:hAnsi="Garamond"/>
          <w:sz w:val="22"/>
          <w:szCs w:val="22"/>
        </w:rPr>
        <w:t xml:space="preserve">There was 1.2% deflation in July of 2018 against that of 2.6% reported in the same month of the previous year, and the 12-month inflation rate somewhat increased, amounting to 2.3% at the end of the month. At the same time, core inflation reduced to some extent in July, still persisting at a relatively high level. The Board of the CBA considers that the 12-month inflation rate will approach the target in the upcoming months, fluctuating within the lower part of the confidence band. </w:t>
      </w:r>
    </w:p>
    <w:p w14:paraId="1A7CE428" w14:textId="77777777" w:rsidR="00AC2B31" w:rsidRPr="00AC2B31" w:rsidRDefault="00AC2B31" w:rsidP="00AC2B31">
      <w:pPr>
        <w:jc w:val="both"/>
        <w:rPr>
          <w:rFonts w:ascii="Garamond" w:hAnsi="Garamond"/>
          <w:sz w:val="22"/>
          <w:szCs w:val="22"/>
        </w:rPr>
      </w:pPr>
    </w:p>
    <w:p w14:paraId="444997FD" w14:textId="77777777" w:rsidR="00AC2B31" w:rsidRPr="00AC2B31" w:rsidRDefault="00AC2B31" w:rsidP="00AC2B31">
      <w:pPr>
        <w:jc w:val="both"/>
        <w:rPr>
          <w:rFonts w:ascii="Garamond" w:hAnsi="Garamond"/>
          <w:sz w:val="22"/>
          <w:szCs w:val="22"/>
        </w:rPr>
      </w:pPr>
      <w:r w:rsidRPr="00AC2B31">
        <w:rPr>
          <w:rFonts w:ascii="Garamond" w:hAnsi="Garamond"/>
          <w:sz w:val="22"/>
          <w:szCs w:val="22"/>
        </w:rPr>
        <w:t>In the external sector, trends for improving global economic growth continued and inflationary developments in international commodity markets are in line with such developments. As the Board of the CBA estimates, there has been an increase in financial market volatilities in a number of countries of the region amid the imposed US trade restrictions and sanctions, which currently does not contain significant risks for Armenia’s financial markets; yet in the emergence of any risk, the CBA will react adequately.</w:t>
      </w:r>
    </w:p>
    <w:p w14:paraId="5658AD5C" w14:textId="77777777" w:rsidR="00AC2B31" w:rsidRPr="00AC2B31" w:rsidRDefault="00AC2B31" w:rsidP="00AC2B31">
      <w:pPr>
        <w:jc w:val="both"/>
        <w:rPr>
          <w:rFonts w:ascii="Garamond" w:hAnsi="Garamond"/>
          <w:sz w:val="22"/>
          <w:szCs w:val="22"/>
        </w:rPr>
      </w:pPr>
    </w:p>
    <w:p w14:paraId="22FF8435" w14:textId="77777777" w:rsidR="00AC2B31" w:rsidRPr="00AC2B31" w:rsidRDefault="00AC2B31" w:rsidP="00AC2B31">
      <w:pPr>
        <w:jc w:val="both"/>
        <w:rPr>
          <w:rFonts w:ascii="Garamond" w:hAnsi="Garamond"/>
          <w:sz w:val="22"/>
          <w:szCs w:val="22"/>
        </w:rPr>
      </w:pPr>
      <w:r w:rsidRPr="00AC2B31">
        <w:rPr>
          <w:rFonts w:ascii="Garamond" w:hAnsi="Garamond"/>
          <w:sz w:val="22"/>
          <w:szCs w:val="22"/>
        </w:rPr>
        <w:t>The Board notes that economic activity in June of 2018 recovered owing to the accelerating growth in the processing industry and agriculture, following the slowdown at the beginning of the second quarter. The Board estimates that aggregate supply will gradually weaken due to the contractionary pace of fiscal policy, which is reflected in the considerable cost savings in relation to the planned ones.</w:t>
      </w:r>
    </w:p>
    <w:p w14:paraId="3F7F9A4E" w14:textId="77777777" w:rsidR="00AC2B31" w:rsidRPr="00AC2B31" w:rsidRDefault="00AC2B31" w:rsidP="00AC2B31">
      <w:pPr>
        <w:jc w:val="both"/>
        <w:rPr>
          <w:rFonts w:ascii="Garamond" w:hAnsi="Garamond"/>
          <w:sz w:val="22"/>
          <w:szCs w:val="22"/>
        </w:rPr>
      </w:pPr>
    </w:p>
    <w:p w14:paraId="1D4F6CE4" w14:textId="77777777" w:rsidR="00AC2B31" w:rsidRPr="00AC2B31" w:rsidRDefault="00AC2B31" w:rsidP="00AC2B31">
      <w:pPr>
        <w:jc w:val="both"/>
        <w:rPr>
          <w:rFonts w:ascii="Garamond" w:hAnsi="Garamond"/>
          <w:sz w:val="22"/>
          <w:szCs w:val="22"/>
        </w:rPr>
      </w:pPr>
      <w:r w:rsidRPr="00AC2B31">
        <w:rPr>
          <w:rFonts w:ascii="Garamond" w:hAnsi="Garamond"/>
          <w:sz w:val="22"/>
          <w:szCs w:val="22"/>
        </w:rPr>
        <w:t xml:space="preserve">Taking into account the expected developments – a slowdown in domestic demand and weak inflation environment in the outside world – the CBA finds it appropriate to maintain expansionary monetary </w:t>
      </w:r>
      <w:r w:rsidRPr="00AC2B31">
        <w:rPr>
          <w:rFonts w:ascii="Garamond" w:hAnsi="Garamond"/>
          <w:sz w:val="22"/>
          <w:szCs w:val="22"/>
        </w:rPr>
        <w:lastRenderedPageBreak/>
        <w:t xml:space="preserve">conditions by leaving the refinancing rate at the current level. At the same time, in view of the anticipated macroeconomic developments and the absence of such risks, keeping the monetary environment expansionary in the forthcoming period too is important in terms of fulfillment of the inflation target, on condition that it gradually eliminates in the medium run. As a result, the expectation is that inflation will remain within the lower part of the confidence band, stabilizing around the 4% target at the end of the forecast horizon.      </w:t>
      </w:r>
    </w:p>
    <w:p w14:paraId="0B113668" w14:textId="77777777" w:rsidR="00AC2B31" w:rsidRPr="00AC2B31" w:rsidRDefault="00AC2B31" w:rsidP="00AC2B31">
      <w:pPr>
        <w:jc w:val="both"/>
        <w:rPr>
          <w:rFonts w:ascii="Garamond" w:hAnsi="Garamond"/>
          <w:sz w:val="22"/>
          <w:szCs w:val="22"/>
        </w:rPr>
      </w:pPr>
    </w:p>
    <w:p w14:paraId="2E60E383" w14:textId="77777777" w:rsidR="00AC2B31" w:rsidRPr="00AC2B31" w:rsidRDefault="00AC2B31" w:rsidP="00AC2B31">
      <w:pPr>
        <w:jc w:val="both"/>
        <w:rPr>
          <w:rFonts w:ascii="Garamond" w:hAnsi="Garamond"/>
          <w:b/>
          <w:sz w:val="22"/>
          <w:szCs w:val="22"/>
        </w:rPr>
      </w:pPr>
      <w:r w:rsidRPr="00AC2B31">
        <w:rPr>
          <w:rFonts w:ascii="Garamond" w:hAnsi="Garamond"/>
          <w:b/>
          <w:sz w:val="22"/>
          <w:szCs w:val="22"/>
        </w:rPr>
        <w:t>Should there be risks to economic growth outlook and to the inflation deviating from its recovery path, the CBA will adjust the monetary policy directions accordingly, while ensuring the price stability.</w:t>
      </w:r>
    </w:p>
    <w:p w14:paraId="5604E71D" w14:textId="77777777" w:rsidR="00AC2B31" w:rsidRPr="00AC2B31" w:rsidRDefault="00AC2B31" w:rsidP="00AC2B31">
      <w:pPr>
        <w:jc w:val="both"/>
        <w:rPr>
          <w:rFonts w:ascii="Garamond" w:hAnsi="Garamond"/>
          <w:b/>
          <w:sz w:val="22"/>
          <w:szCs w:val="22"/>
        </w:rPr>
      </w:pPr>
    </w:p>
    <w:p w14:paraId="15232B2A" w14:textId="77777777" w:rsidR="00AC2B31" w:rsidRPr="00AC2B31" w:rsidRDefault="00AC2B31" w:rsidP="00AC2B31">
      <w:pPr>
        <w:jc w:val="both"/>
        <w:rPr>
          <w:rFonts w:ascii="Garamond" w:hAnsi="Garamond"/>
          <w:color w:val="C00000"/>
          <w:sz w:val="22"/>
          <w:szCs w:val="22"/>
        </w:rPr>
      </w:pPr>
      <w:r w:rsidRPr="00AC2B31">
        <w:rPr>
          <w:rFonts w:ascii="Garamond" w:hAnsi="Garamond"/>
          <w:color w:val="C00000"/>
          <w:sz w:val="22"/>
          <w:szCs w:val="22"/>
        </w:rPr>
        <w:t>………………………………………………………………………</w:t>
      </w:r>
      <w:r>
        <w:rPr>
          <w:rFonts w:ascii="Garamond" w:hAnsi="Garamond"/>
          <w:color w:val="C00000"/>
          <w:sz w:val="22"/>
          <w:szCs w:val="22"/>
        </w:rPr>
        <w:t>……….</w:t>
      </w:r>
      <w:r w:rsidRPr="00AC2B31">
        <w:rPr>
          <w:rFonts w:ascii="Garamond" w:hAnsi="Garamond"/>
          <w:color w:val="C00000"/>
          <w:sz w:val="22"/>
          <w:szCs w:val="22"/>
        </w:rPr>
        <w:t>…………………………..….</w:t>
      </w:r>
    </w:p>
    <w:p w14:paraId="013BA5C1" w14:textId="77777777" w:rsidR="00EE5F0F" w:rsidRDefault="00AC2B31" w:rsidP="00AC2B31">
      <w:pPr>
        <w:jc w:val="both"/>
        <w:rPr>
          <w:rFonts w:ascii="Garamond" w:hAnsi="Garamond"/>
          <w:sz w:val="22"/>
          <w:szCs w:val="22"/>
        </w:rPr>
      </w:pPr>
      <w:r w:rsidRPr="00AC2B31">
        <w:rPr>
          <w:rFonts w:ascii="Garamond" w:hAnsi="Garamond"/>
          <w:sz w:val="22"/>
          <w:szCs w:val="22"/>
        </w:rPr>
        <w:t>Press Service of the Central Bank of Armenia</w:t>
      </w:r>
    </w:p>
    <w:p w14:paraId="68529921" w14:textId="77777777" w:rsidR="00FA549B" w:rsidRDefault="00FA549B" w:rsidP="00AC2B31">
      <w:pPr>
        <w:jc w:val="both"/>
        <w:rPr>
          <w:rFonts w:ascii="Garamond" w:hAnsi="Garamond"/>
          <w:sz w:val="22"/>
          <w:szCs w:val="22"/>
        </w:rPr>
      </w:pPr>
    </w:p>
    <w:p w14:paraId="43C973C9" w14:textId="77777777" w:rsidR="00FA549B" w:rsidRDefault="00FA549B" w:rsidP="00AC2B31">
      <w:pPr>
        <w:jc w:val="both"/>
        <w:rPr>
          <w:rFonts w:ascii="Garamond" w:hAnsi="Garamond"/>
          <w:sz w:val="22"/>
          <w:szCs w:val="22"/>
        </w:rPr>
      </w:pPr>
    </w:p>
    <w:p w14:paraId="226BC16F" w14:textId="77777777" w:rsidR="00FA549B" w:rsidRPr="00EE5F0F" w:rsidRDefault="00FA549B" w:rsidP="00AC2B31">
      <w:pPr>
        <w:jc w:val="both"/>
        <w:rPr>
          <w:rFonts w:ascii="Garamond" w:hAnsi="Garamond"/>
          <w:sz w:val="22"/>
          <w:szCs w:val="22"/>
        </w:rPr>
      </w:pPr>
    </w:p>
    <w:sectPr w:rsidR="00FA549B"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1D34" w14:textId="77777777" w:rsidR="00D86066" w:rsidRDefault="00D86066" w:rsidP="00EE619D">
      <w:r>
        <w:separator/>
      </w:r>
    </w:p>
  </w:endnote>
  <w:endnote w:type="continuationSeparator" w:id="0">
    <w:p w14:paraId="5788A7B2" w14:textId="77777777" w:rsidR="00D86066" w:rsidRDefault="00D86066"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47FA" w14:textId="77777777" w:rsidR="00D86066" w:rsidRDefault="00D86066" w:rsidP="00EE619D">
      <w:r>
        <w:separator/>
      </w:r>
    </w:p>
  </w:footnote>
  <w:footnote w:type="continuationSeparator" w:id="0">
    <w:p w14:paraId="54CAE78A" w14:textId="77777777" w:rsidR="00D86066" w:rsidRDefault="00D86066" w:rsidP="00EE619D">
      <w:r>
        <w:continuationSeparator/>
      </w:r>
    </w:p>
  </w:footnote>
  <w:footnote w:id="1">
    <w:p w14:paraId="3C2B7E2D" w14:textId="77777777" w:rsidR="00196427" w:rsidRPr="000D0801" w:rsidRDefault="00196427" w:rsidP="000D0801">
      <w:pPr>
        <w:pStyle w:val="FootnoteText"/>
        <w:jc w:val="both"/>
        <w:rPr>
          <w:rFonts w:ascii="Garamond" w:hAnsi="Garamond"/>
        </w:rPr>
      </w:pPr>
      <w:r w:rsidRPr="000D0801">
        <w:rPr>
          <w:rStyle w:val="FootnoteReference"/>
          <w:rFonts w:ascii="Garamond" w:hAnsi="Garamond"/>
        </w:rPr>
        <w:t>2</w:t>
      </w:r>
      <w:r w:rsidRPr="000D0801">
        <w:rPr>
          <w:rFonts w:ascii="Garamond" w:hAnsi="Garamond"/>
        </w:rPr>
        <w:t xml:space="preserve"> For example, the </w:t>
      </w:r>
      <w:r>
        <w:rPr>
          <w:rFonts w:ascii="Garamond" w:hAnsi="Garamond"/>
        </w:rPr>
        <w:t xml:space="preserve">influence </w:t>
      </w:r>
      <w:r w:rsidRPr="000D0801">
        <w:rPr>
          <w:rFonts w:ascii="Garamond" w:hAnsi="Garamond"/>
        </w:rPr>
        <w:t xml:space="preserve">of </w:t>
      </w:r>
      <w:r>
        <w:rPr>
          <w:rFonts w:ascii="Garamond" w:hAnsi="Garamond"/>
        </w:rPr>
        <w:t>c</w:t>
      </w:r>
      <w:r w:rsidRPr="000D0801">
        <w:rPr>
          <w:rFonts w:ascii="Garamond" w:hAnsi="Garamond"/>
        </w:rPr>
        <w:t>urrenc</w:t>
      </w:r>
      <w:r>
        <w:rPr>
          <w:rFonts w:ascii="Garamond" w:hAnsi="Garamond"/>
        </w:rPr>
        <w:t xml:space="preserve">y depreciation in the economies of trade </w:t>
      </w:r>
      <w:r w:rsidRPr="000D0801">
        <w:rPr>
          <w:rFonts w:ascii="Garamond" w:hAnsi="Garamond"/>
        </w:rPr>
        <w:t>partner</w:t>
      </w:r>
      <w:r>
        <w:rPr>
          <w:rFonts w:ascii="Garamond" w:hAnsi="Garamond"/>
        </w:rPr>
        <w:t xml:space="preserve">s to Armenia, of a change in </w:t>
      </w:r>
      <w:r w:rsidRPr="000D0801">
        <w:rPr>
          <w:rFonts w:ascii="Garamond" w:hAnsi="Garamond"/>
        </w:rPr>
        <w:t xml:space="preserve">competitive </w:t>
      </w:r>
      <w:r>
        <w:rPr>
          <w:rFonts w:ascii="Garamond" w:hAnsi="Garamond"/>
        </w:rPr>
        <w:t xml:space="preserve">prices </w:t>
      </w:r>
      <w:r w:rsidRPr="000D0801">
        <w:rPr>
          <w:rFonts w:ascii="Garamond" w:hAnsi="Garamond"/>
        </w:rPr>
        <w:t xml:space="preserve">and </w:t>
      </w:r>
      <w:r>
        <w:rPr>
          <w:rFonts w:ascii="Garamond" w:hAnsi="Garamond"/>
        </w:rPr>
        <w:t>markup prices</w:t>
      </w:r>
      <w:r w:rsidRPr="000D0801">
        <w:rPr>
          <w:rFonts w:ascii="Garamond" w:hAnsi="Garamond"/>
        </w:rPr>
        <w:t xml:space="preserve"> in </w:t>
      </w:r>
      <w:r>
        <w:rPr>
          <w:rFonts w:ascii="Garamond" w:hAnsi="Garamond"/>
        </w:rPr>
        <w:t xml:space="preserve">certain </w:t>
      </w:r>
      <w:r w:rsidRPr="000D0801">
        <w:rPr>
          <w:rFonts w:ascii="Garamond" w:hAnsi="Garamond"/>
        </w:rPr>
        <w:t>commodity markets. For more details</w:t>
      </w:r>
      <w:r>
        <w:rPr>
          <w:rFonts w:ascii="Garamond" w:hAnsi="Garamond"/>
        </w:rPr>
        <w:t>,</w:t>
      </w:r>
      <w:r w:rsidRPr="000D0801">
        <w:rPr>
          <w:rFonts w:ascii="Garamond" w:hAnsi="Garamond"/>
        </w:rPr>
        <w:t xml:space="preserve"> see </w:t>
      </w:r>
      <w:r>
        <w:rPr>
          <w:rFonts w:ascii="Garamond" w:hAnsi="Garamond"/>
        </w:rPr>
        <w:t xml:space="preserve">subsection </w:t>
      </w:r>
      <w:r w:rsidRPr="000D0801">
        <w:rPr>
          <w:rFonts w:ascii="Garamond" w:hAnsi="Garamond"/>
        </w:rPr>
        <w:t xml:space="preserve">2.2.4 </w:t>
      </w:r>
      <w:r>
        <w:rPr>
          <w:rFonts w:ascii="Garamond" w:hAnsi="Garamond"/>
        </w:rPr>
        <w:t xml:space="preserve">“Main assumptions and </w:t>
      </w:r>
      <w:r w:rsidRPr="000D0801">
        <w:rPr>
          <w:rFonts w:ascii="Garamond" w:hAnsi="Garamond"/>
        </w:rPr>
        <w:t>risks</w:t>
      </w:r>
      <w:r>
        <w:rPr>
          <w:rFonts w:ascii="Garamond" w:hAnsi="Garamond"/>
        </w:rPr>
        <w:t>”</w:t>
      </w:r>
      <w:r w:rsidRPr="000D0801">
        <w:rPr>
          <w:rFonts w:ascii="Garamond" w:hAnsi="Garamond"/>
        </w:rPr>
        <w:t>.</w:t>
      </w:r>
    </w:p>
  </w:footnote>
  <w:footnote w:id="2">
    <w:p w14:paraId="6B9448FB" w14:textId="77777777" w:rsidR="00196427" w:rsidRPr="0074684B" w:rsidRDefault="00196427" w:rsidP="00EE619D">
      <w:pPr>
        <w:pStyle w:val="FootnoteText"/>
        <w:jc w:val="both"/>
        <w:rPr>
          <w:rFonts w:ascii="Garamond" w:hAnsi="Garamond"/>
        </w:rPr>
      </w:pPr>
      <w:r>
        <w:rPr>
          <w:rStyle w:val="FootnoteReference"/>
        </w:rPr>
        <w:t>3</w:t>
      </w:r>
      <w:r w:rsidRPr="0074684B">
        <w:rPr>
          <w:rFonts w:ascii="Garamond" w:hAnsi="Garamond"/>
        </w:rPr>
        <w:t xml:space="preserve"> For a detailed account of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18, table 2</w:t>
      </w:r>
      <w:r w:rsidRPr="0074684B">
        <w:rPr>
          <w:rFonts w:ascii="Garamond" w:hAnsi="Garamond"/>
        </w:rPr>
        <w:t>.</w:t>
      </w:r>
    </w:p>
  </w:footnote>
  <w:footnote w:id="3">
    <w:p w14:paraId="32C0ADB6" w14:textId="77777777" w:rsidR="00196427" w:rsidRPr="00AF7DDF" w:rsidRDefault="00196427" w:rsidP="00D60B77">
      <w:pPr>
        <w:pStyle w:val="FootnoteText"/>
        <w:jc w:val="both"/>
        <w:rPr>
          <w:rFonts w:ascii="Garamond" w:hAnsi="Garamond"/>
        </w:rPr>
      </w:pPr>
      <w:r w:rsidRPr="00425F29">
        <w:rPr>
          <w:rStyle w:val="FootnoteReference"/>
          <w:rFonts w:ascii="Garamond" w:hAnsi="Garamond"/>
        </w:rPr>
        <w:t>4</w:t>
      </w:r>
      <w:r w:rsidRPr="00425F29">
        <w:rPr>
          <w:rFonts w:ascii="Garamond" w:hAnsi="Garamond"/>
        </w:rPr>
        <w:t xml:space="preserve"> </w:t>
      </w:r>
      <w:r>
        <w:rPr>
          <w:rFonts w:ascii="Garamond" w:hAnsi="Garamond"/>
        </w:rPr>
        <w:t xml:space="preserve">The indicators set out in the </w:t>
      </w:r>
      <w:r w:rsidRPr="00425F29">
        <w:rPr>
          <w:rFonts w:ascii="Garamond" w:hAnsi="Garamond"/>
        </w:rPr>
        <w:t>R</w:t>
      </w:r>
      <w:r>
        <w:rPr>
          <w:rFonts w:ascii="Garamond" w:hAnsi="Garamond"/>
        </w:rPr>
        <w:t xml:space="preserve">epublic of </w:t>
      </w:r>
      <w:r w:rsidRPr="00425F29">
        <w:rPr>
          <w:rFonts w:ascii="Garamond" w:hAnsi="Garamond"/>
        </w:rPr>
        <w:t>A</w:t>
      </w:r>
      <w:r>
        <w:rPr>
          <w:rFonts w:ascii="Garamond" w:hAnsi="Garamond"/>
        </w:rPr>
        <w:t>rmenia laws</w:t>
      </w:r>
      <w:r w:rsidRPr="00425F29">
        <w:rPr>
          <w:rFonts w:ascii="Garamond" w:hAnsi="Garamond"/>
        </w:rPr>
        <w:t xml:space="preserve"> </w:t>
      </w:r>
      <w:r>
        <w:rPr>
          <w:rFonts w:ascii="Garamond" w:hAnsi="Garamond"/>
        </w:rPr>
        <w:t>on the s</w:t>
      </w:r>
      <w:r w:rsidRPr="00425F29">
        <w:rPr>
          <w:rFonts w:ascii="Garamond" w:hAnsi="Garamond"/>
        </w:rPr>
        <w:t xml:space="preserve">tate </w:t>
      </w:r>
      <w:r>
        <w:rPr>
          <w:rFonts w:ascii="Garamond" w:hAnsi="Garamond"/>
        </w:rPr>
        <w:t>b</w:t>
      </w:r>
      <w:r w:rsidRPr="00425F29">
        <w:rPr>
          <w:rFonts w:ascii="Garamond" w:hAnsi="Garamond"/>
        </w:rPr>
        <w:t xml:space="preserve">udget </w:t>
      </w:r>
      <w:r>
        <w:rPr>
          <w:rFonts w:ascii="Garamond" w:hAnsi="Garamond"/>
        </w:rPr>
        <w:t xml:space="preserve">have to be adjusted under </w:t>
      </w:r>
      <w:r w:rsidRPr="00425F29">
        <w:rPr>
          <w:rFonts w:ascii="Garamond" w:hAnsi="Garamond"/>
        </w:rPr>
        <w:t xml:space="preserve">separate Government </w:t>
      </w:r>
      <w:r>
        <w:rPr>
          <w:rFonts w:ascii="Garamond" w:hAnsi="Garamond"/>
        </w:rPr>
        <w:t xml:space="preserve">of Armenia </w:t>
      </w:r>
      <w:r w:rsidRPr="00425F29">
        <w:rPr>
          <w:rFonts w:ascii="Garamond" w:hAnsi="Garamond"/>
        </w:rPr>
        <w:t xml:space="preserve">resolutions </w:t>
      </w:r>
      <w:r>
        <w:rPr>
          <w:rFonts w:ascii="Garamond" w:hAnsi="Garamond"/>
        </w:rPr>
        <w:t xml:space="preserve">during the year, for which the Government of Armenia has a relevant mandate; these resolutions are </w:t>
      </w:r>
      <w:r w:rsidRPr="00AF7DDF">
        <w:rPr>
          <w:rFonts w:ascii="Garamond" w:hAnsi="Garamond"/>
        </w:rPr>
        <w:t>p</w:t>
      </w:r>
      <w:r>
        <w:rPr>
          <w:rFonts w:ascii="Garamond" w:hAnsi="Garamond"/>
        </w:rPr>
        <w:t>ublished</w:t>
      </w:r>
      <w:r w:rsidRPr="00AF7DDF">
        <w:rPr>
          <w:rFonts w:ascii="Garamond" w:hAnsi="Garamond"/>
        </w:rPr>
        <w:t xml:space="preserve"> on </w:t>
      </w:r>
      <w:hyperlink r:id="rId1" w:history="1">
        <w:r w:rsidRPr="00AF7DDF">
          <w:rPr>
            <w:rFonts w:ascii="Garamond" w:hAnsi="Garamond" w:cs="Sylfaen"/>
            <w:iCs/>
            <w:lang w:val="es-AR"/>
          </w:rPr>
          <w:t>https://www.e-gov.am</w:t>
        </w:r>
      </w:hyperlink>
      <w:r>
        <w:rPr>
          <w:rFonts w:ascii="Garamond" w:hAnsi="Garamond"/>
        </w:rPr>
        <w:t>.</w:t>
      </w:r>
    </w:p>
  </w:footnote>
  <w:footnote w:id="4">
    <w:p w14:paraId="24D4E195" w14:textId="77777777" w:rsidR="00196427" w:rsidRPr="00331DDB" w:rsidRDefault="00196427" w:rsidP="007C4FF5">
      <w:pPr>
        <w:pStyle w:val="FootnoteText"/>
        <w:jc w:val="both"/>
        <w:rPr>
          <w:rFonts w:ascii="Garamond" w:hAnsi="Garamond"/>
        </w:rPr>
      </w:pPr>
      <w:r>
        <w:rPr>
          <w:rStyle w:val="FootnoteReference"/>
        </w:rPr>
        <w:t>5</w:t>
      </w:r>
      <w:r w:rsidRPr="00331DDB">
        <w:rPr>
          <w:rFonts w:ascii="Garamond" w:hAnsi="Garamond"/>
        </w:rPr>
        <w:t xml:space="preserve"> The labor market data for 201</w:t>
      </w:r>
      <w:r>
        <w:rPr>
          <w:rFonts w:ascii="Garamond" w:hAnsi="Garamond"/>
        </w:rPr>
        <w:t>8</w:t>
      </w:r>
      <w:r w:rsidRPr="00331DDB">
        <w:rPr>
          <w:rFonts w:ascii="Garamond" w:hAnsi="Garamond"/>
        </w:rPr>
        <w:t>-202</w:t>
      </w:r>
      <w:r>
        <w:rPr>
          <w:rFonts w:ascii="Garamond" w:hAnsi="Garamond"/>
        </w:rPr>
        <w:t>1</w:t>
      </w:r>
      <w:r w:rsidRPr="00331DDB">
        <w:rPr>
          <w:rFonts w:ascii="Garamond" w:hAnsi="Garamond"/>
        </w:rPr>
        <w:t xml:space="preserve"> are the Central Bank projections which are based on the </w:t>
      </w:r>
      <w:r>
        <w:rPr>
          <w:rFonts w:ascii="Garamond" w:hAnsi="Garamond"/>
        </w:rPr>
        <w:t xml:space="preserve">first </w:t>
      </w:r>
      <w:r w:rsidRPr="00331DDB">
        <w:rPr>
          <w:rFonts w:ascii="Garamond" w:hAnsi="Garamond"/>
        </w:rPr>
        <w:t>quarter of 201</w:t>
      </w:r>
      <w:r>
        <w:rPr>
          <w:rFonts w:ascii="Garamond" w:hAnsi="Garamond"/>
        </w:rPr>
        <w:t>8</w:t>
      </w:r>
      <w:r w:rsidRPr="00331DDB">
        <w:rPr>
          <w:rFonts w:ascii="Garamond" w:hAnsi="Garamond"/>
        </w:rPr>
        <w:t xml:space="preserve"> data and actual January-</w:t>
      </w:r>
      <w:r>
        <w:rPr>
          <w:rFonts w:ascii="Garamond" w:hAnsi="Garamond"/>
        </w:rPr>
        <w:t>May</w:t>
      </w:r>
      <w:r w:rsidRPr="00331DDB">
        <w:rPr>
          <w:rFonts w:ascii="Garamond" w:hAnsi="Garamond"/>
        </w:rPr>
        <w:t xml:space="preserve"> 201</w:t>
      </w:r>
      <w:r>
        <w:rPr>
          <w:rFonts w:ascii="Garamond" w:hAnsi="Garamond"/>
        </w:rPr>
        <w:t>8</w:t>
      </w:r>
      <w:r w:rsidRPr="00331DDB">
        <w:rPr>
          <w:rFonts w:ascii="Garamond" w:hAnsi="Garamond"/>
        </w:rPr>
        <w:t xml:space="preserve"> figures. The growth indicators presented in this sub-section are relative to the same reference period last year, unless otherwise specified.</w:t>
      </w:r>
    </w:p>
  </w:footnote>
  <w:footnote w:id="5">
    <w:p w14:paraId="15DEC907" w14:textId="77777777" w:rsidR="00196427" w:rsidRPr="007C4FF5" w:rsidRDefault="00196427" w:rsidP="00BB15DC">
      <w:pPr>
        <w:pStyle w:val="FootnoteText"/>
        <w:jc w:val="both"/>
        <w:rPr>
          <w:rFonts w:ascii="Garamond" w:hAnsi="Garamond"/>
        </w:rPr>
      </w:pPr>
      <w:r w:rsidRPr="007C4FF5">
        <w:rPr>
          <w:rStyle w:val="FootnoteReference"/>
          <w:rFonts w:ascii="Garamond" w:hAnsi="Garamond"/>
        </w:rPr>
        <w:t>6</w:t>
      </w:r>
      <w:r w:rsidRPr="007C4FF5">
        <w:rPr>
          <w:rFonts w:ascii="Garamond" w:hAnsi="Garamond"/>
        </w:rPr>
        <w:t xml:space="preserve"> Starting from January 2018, the N</w:t>
      </w:r>
      <w:r>
        <w:rPr>
          <w:rFonts w:ascii="Garamond" w:hAnsi="Garamond"/>
        </w:rPr>
        <w:t xml:space="preserve">ational </w:t>
      </w:r>
      <w:r w:rsidRPr="007C4FF5">
        <w:rPr>
          <w:rFonts w:ascii="Garamond" w:hAnsi="Garamond"/>
        </w:rPr>
        <w:t>S</w:t>
      </w:r>
      <w:r>
        <w:rPr>
          <w:rFonts w:ascii="Garamond" w:hAnsi="Garamond"/>
        </w:rPr>
        <w:t xml:space="preserve">tatistics </w:t>
      </w:r>
      <w:r w:rsidRPr="007C4FF5">
        <w:rPr>
          <w:rFonts w:ascii="Garamond" w:hAnsi="Garamond"/>
        </w:rPr>
        <w:t>S</w:t>
      </w:r>
      <w:r>
        <w:rPr>
          <w:rFonts w:ascii="Garamond" w:hAnsi="Garamond"/>
        </w:rPr>
        <w:t>ervice</w:t>
      </w:r>
      <w:r w:rsidRPr="007C4FF5">
        <w:rPr>
          <w:rFonts w:ascii="Garamond" w:hAnsi="Garamond"/>
        </w:rPr>
        <w:t xml:space="preserve"> </w:t>
      </w:r>
      <w:r>
        <w:rPr>
          <w:rFonts w:ascii="Garamond" w:hAnsi="Garamond"/>
        </w:rPr>
        <w:t xml:space="preserve">of Armenia began </w:t>
      </w:r>
      <w:r w:rsidRPr="007C4FF5">
        <w:rPr>
          <w:rFonts w:ascii="Garamond" w:hAnsi="Garamond"/>
        </w:rPr>
        <w:t>publish</w:t>
      </w:r>
      <w:r>
        <w:rPr>
          <w:rFonts w:ascii="Garamond" w:hAnsi="Garamond"/>
        </w:rPr>
        <w:t>ing</w:t>
      </w:r>
      <w:r w:rsidRPr="007C4FF5">
        <w:rPr>
          <w:rFonts w:ascii="Garamond" w:hAnsi="Garamond"/>
        </w:rPr>
        <w:t xml:space="preserve"> the nominal wage</w:t>
      </w:r>
      <w:r>
        <w:rPr>
          <w:rFonts w:ascii="Garamond" w:hAnsi="Garamond"/>
        </w:rPr>
        <w:t xml:space="preserve">, using </w:t>
      </w:r>
      <w:r w:rsidRPr="007C4FF5">
        <w:rPr>
          <w:rFonts w:ascii="Garamond" w:hAnsi="Garamond"/>
        </w:rPr>
        <w:t xml:space="preserve">data of </w:t>
      </w:r>
      <w:r>
        <w:rPr>
          <w:rFonts w:ascii="Garamond" w:hAnsi="Garamond"/>
        </w:rPr>
        <w:t xml:space="preserve">commercial undertakings </w:t>
      </w:r>
      <w:r w:rsidRPr="007C4FF5">
        <w:rPr>
          <w:rFonts w:ascii="Garamond" w:hAnsi="Garamond"/>
        </w:rPr>
        <w:t xml:space="preserve">with 1 or more employees. Previously, </w:t>
      </w:r>
      <w:r>
        <w:rPr>
          <w:rFonts w:ascii="Garamond" w:hAnsi="Garamond"/>
        </w:rPr>
        <w:t xml:space="preserve">the NSSA published </w:t>
      </w:r>
      <w:r w:rsidRPr="007C4FF5">
        <w:rPr>
          <w:rFonts w:ascii="Garamond" w:hAnsi="Garamond"/>
        </w:rPr>
        <w:t>data o</w:t>
      </w:r>
      <w:r>
        <w:rPr>
          <w:rFonts w:ascii="Garamond" w:hAnsi="Garamond"/>
        </w:rPr>
        <w:t>f</w:t>
      </w:r>
      <w:r w:rsidRPr="007C4FF5">
        <w:rPr>
          <w:rFonts w:ascii="Garamond" w:hAnsi="Garamond"/>
        </w:rPr>
        <w:t xml:space="preserve"> </w:t>
      </w:r>
      <w:r>
        <w:rPr>
          <w:rFonts w:ascii="Garamond" w:hAnsi="Garamond"/>
        </w:rPr>
        <w:t>commercial undertakings</w:t>
      </w:r>
      <w:r w:rsidRPr="007C4FF5">
        <w:rPr>
          <w:rFonts w:ascii="Garamond" w:hAnsi="Garamond"/>
        </w:rPr>
        <w:t xml:space="preserve"> with more than 50 employees. </w:t>
      </w:r>
      <w:r>
        <w:rPr>
          <w:rFonts w:ascii="Garamond" w:hAnsi="Garamond"/>
        </w:rPr>
        <w:t xml:space="preserve">Because the 2017 figures on </w:t>
      </w:r>
      <w:r w:rsidRPr="007C4FF5">
        <w:rPr>
          <w:rFonts w:ascii="Garamond" w:hAnsi="Garamond"/>
        </w:rPr>
        <w:t xml:space="preserve">average monthly wage </w:t>
      </w:r>
      <w:r>
        <w:rPr>
          <w:rFonts w:ascii="Garamond" w:hAnsi="Garamond"/>
        </w:rPr>
        <w:t>of</w:t>
      </w:r>
      <w:r w:rsidRPr="007C4FF5">
        <w:rPr>
          <w:rFonts w:ascii="Garamond" w:hAnsi="Garamond"/>
        </w:rPr>
        <w:t xml:space="preserve"> </w:t>
      </w:r>
      <w:r>
        <w:rPr>
          <w:rFonts w:ascii="Garamond" w:hAnsi="Garamond"/>
        </w:rPr>
        <w:t>commercial undertakings</w:t>
      </w:r>
      <w:r w:rsidRPr="007C4FF5">
        <w:rPr>
          <w:rFonts w:ascii="Garamond" w:hAnsi="Garamond"/>
        </w:rPr>
        <w:t xml:space="preserve"> with 1 or more employees</w:t>
      </w:r>
      <w:r>
        <w:rPr>
          <w:rFonts w:ascii="Garamond" w:hAnsi="Garamond"/>
        </w:rPr>
        <w:t xml:space="preserve"> are not available for now, the </w:t>
      </w:r>
      <w:r w:rsidRPr="007C4FF5">
        <w:rPr>
          <w:rFonts w:ascii="Garamond" w:hAnsi="Garamond"/>
        </w:rPr>
        <w:t>C</w:t>
      </w:r>
      <w:r>
        <w:rPr>
          <w:rFonts w:ascii="Garamond" w:hAnsi="Garamond"/>
        </w:rPr>
        <w:t xml:space="preserve">entral </w:t>
      </w:r>
      <w:r w:rsidRPr="007C4FF5">
        <w:rPr>
          <w:rFonts w:ascii="Garamond" w:hAnsi="Garamond"/>
        </w:rPr>
        <w:t>B</w:t>
      </w:r>
      <w:r>
        <w:rPr>
          <w:rFonts w:ascii="Garamond" w:hAnsi="Garamond"/>
        </w:rPr>
        <w:t xml:space="preserve">ank will, for its predictions, look to </w:t>
      </w:r>
      <w:r w:rsidRPr="007C4FF5">
        <w:rPr>
          <w:rFonts w:ascii="Garamond" w:hAnsi="Garamond"/>
        </w:rPr>
        <w:t>previous methodology</w:t>
      </w:r>
      <w:r>
        <w:rPr>
          <w:rFonts w:ascii="Garamond" w:hAnsi="Garamond"/>
        </w:rPr>
        <w:t xml:space="preserve"> of calculating </w:t>
      </w:r>
      <w:r w:rsidRPr="007C4FF5">
        <w:rPr>
          <w:rFonts w:ascii="Garamond" w:hAnsi="Garamond"/>
        </w:rPr>
        <w:t>the average salary</w:t>
      </w:r>
      <w:r>
        <w:rPr>
          <w:rFonts w:ascii="Garamond" w:hAnsi="Garamond"/>
        </w:rPr>
        <w:t>, in order to maintain c</w:t>
      </w:r>
      <w:r w:rsidRPr="007E7FD6">
        <w:rPr>
          <w:rFonts w:ascii="Garamond" w:hAnsi="Garamond"/>
        </w:rPr>
        <w:t>omparability</w:t>
      </w:r>
      <w:r>
        <w:rPr>
          <w:rFonts w:ascii="Garamond" w:hAnsi="Garamond"/>
        </w:rPr>
        <w:t xml:space="preserve">. </w:t>
      </w:r>
      <w:r w:rsidRPr="007C4FF5">
        <w:rPr>
          <w:rFonts w:ascii="Garamond" w:hAnsi="Garamond"/>
        </w:rPr>
        <w:t>Starting from 2019, the C</w:t>
      </w:r>
      <w:r>
        <w:rPr>
          <w:rFonts w:ascii="Garamond" w:hAnsi="Garamond"/>
        </w:rPr>
        <w:t xml:space="preserve">entral </w:t>
      </w:r>
      <w:r w:rsidRPr="007C4FF5">
        <w:rPr>
          <w:rFonts w:ascii="Garamond" w:hAnsi="Garamond"/>
        </w:rPr>
        <w:t>B</w:t>
      </w:r>
      <w:r>
        <w:rPr>
          <w:rFonts w:ascii="Garamond" w:hAnsi="Garamond"/>
        </w:rPr>
        <w:t xml:space="preserve">ank </w:t>
      </w:r>
      <w:r w:rsidRPr="007C4FF5">
        <w:rPr>
          <w:rFonts w:ascii="Garamond" w:hAnsi="Garamond"/>
        </w:rPr>
        <w:t xml:space="preserve">will forecast the average nominal wage of </w:t>
      </w:r>
      <w:r>
        <w:rPr>
          <w:rFonts w:ascii="Garamond" w:hAnsi="Garamond"/>
        </w:rPr>
        <w:t xml:space="preserve">commercial undertakings </w:t>
      </w:r>
      <w:r w:rsidRPr="007C4FF5">
        <w:rPr>
          <w:rFonts w:ascii="Garamond" w:hAnsi="Garamond"/>
        </w:rPr>
        <w:t>with 1 or more employees</w:t>
      </w:r>
      <w:r>
        <w:rPr>
          <w:rFonts w:ascii="Garamond" w:hAnsi="Garamond"/>
        </w:rPr>
        <w:t xml:space="preserve"> in </w:t>
      </w:r>
      <w:r w:rsidRPr="007C4FF5">
        <w:rPr>
          <w:rFonts w:ascii="Garamond" w:hAnsi="Garamond"/>
        </w:rPr>
        <w:t>the private sector.</w:t>
      </w:r>
    </w:p>
  </w:footnote>
  <w:footnote w:id="6">
    <w:p w14:paraId="1ED2D85A" w14:textId="77777777" w:rsidR="00196427" w:rsidRPr="00E66AD8" w:rsidRDefault="00196427" w:rsidP="00E66AD8">
      <w:pPr>
        <w:pStyle w:val="FootnoteText"/>
        <w:jc w:val="both"/>
        <w:rPr>
          <w:rFonts w:ascii="Garamond" w:hAnsi="Garamond"/>
        </w:rPr>
      </w:pPr>
      <w:r w:rsidRPr="00E66AD8">
        <w:rPr>
          <w:rStyle w:val="FootnoteReference"/>
          <w:rFonts w:ascii="Garamond" w:hAnsi="Garamond"/>
        </w:rPr>
        <w:t>7</w:t>
      </w:r>
      <w:r w:rsidRPr="00E66AD8">
        <w:rPr>
          <w:rFonts w:ascii="Garamond" w:hAnsi="Garamond"/>
        </w:rPr>
        <w:t xml:space="preserve"> </w:t>
      </w:r>
      <w:r>
        <w:rPr>
          <w:rFonts w:ascii="Garamond" w:hAnsi="Garamond"/>
        </w:rPr>
        <w:t xml:space="preserve">The </w:t>
      </w:r>
      <w:r w:rsidRPr="00E66AD8">
        <w:rPr>
          <w:rFonts w:ascii="Garamond" w:hAnsi="Garamond"/>
        </w:rPr>
        <w:t xml:space="preserve">Monetary </w:t>
      </w:r>
      <w:r>
        <w:rPr>
          <w:rFonts w:ascii="Garamond" w:hAnsi="Garamond"/>
        </w:rPr>
        <w:t>P</w:t>
      </w:r>
      <w:r w:rsidRPr="00E66AD8">
        <w:rPr>
          <w:rFonts w:ascii="Garamond" w:hAnsi="Garamond"/>
        </w:rPr>
        <w:t>olicy</w:t>
      </w:r>
      <w:r>
        <w:rPr>
          <w:rFonts w:ascii="Garamond" w:hAnsi="Garamond"/>
        </w:rPr>
        <w:t xml:space="preserve"> scenario ha</w:t>
      </w:r>
      <w:r w:rsidRPr="00E66AD8">
        <w:rPr>
          <w:rFonts w:ascii="Garamond" w:hAnsi="Garamond"/>
        </w:rPr>
        <w:t xml:space="preserve">s </w:t>
      </w:r>
      <w:r>
        <w:rPr>
          <w:rFonts w:ascii="Garamond" w:hAnsi="Garamond"/>
        </w:rPr>
        <w:t xml:space="preserve">been </w:t>
      </w:r>
      <w:r w:rsidRPr="00E66AD8">
        <w:rPr>
          <w:rFonts w:ascii="Garamond" w:hAnsi="Garamond"/>
        </w:rPr>
        <w:t xml:space="preserve">calculated </w:t>
      </w:r>
      <w:r>
        <w:rPr>
          <w:rFonts w:ascii="Garamond" w:hAnsi="Garamond"/>
        </w:rPr>
        <w:t>exclusive of the Amoulsar’</w:t>
      </w:r>
      <w:r w:rsidRPr="00E66AD8">
        <w:rPr>
          <w:rFonts w:ascii="Garamond" w:hAnsi="Garamond"/>
        </w:rPr>
        <w:t>s activity.</w:t>
      </w:r>
    </w:p>
  </w:footnote>
  <w:footnote w:id="7">
    <w:p w14:paraId="19C2C120" w14:textId="77777777" w:rsidR="00196427" w:rsidRDefault="00196427" w:rsidP="00781ACF">
      <w:pPr>
        <w:pStyle w:val="FootnoteText"/>
        <w:jc w:val="both"/>
        <w:rPr>
          <w:rFonts w:ascii="Garamond" w:hAnsi="Garamond"/>
        </w:rPr>
      </w:pPr>
      <w:r>
        <w:rPr>
          <w:rStyle w:val="FootnoteReference"/>
        </w:rPr>
        <w:t>9</w:t>
      </w:r>
      <w:r>
        <w:rPr>
          <w:rFonts w:ascii="Garamond" w:hAnsi="Garamond"/>
        </w:rPr>
        <w:t xml:space="preserve"> </w:t>
      </w:r>
      <w:r>
        <w:rPr>
          <w:rFonts w:ascii="Garamond" w:hAnsi="Garamond"/>
          <w:lang w:val="pt-BR"/>
        </w:rPr>
        <w:t>The real export and import growth indicators are the Central Bank estimates</w:t>
      </w:r>
      <w:r>
        <w:rPr>
          <w:rFonts w:ascii="Garamond" w:hAnsi="Garamond"/>
          <w:color w:val="000000"/>
        </w:rPr>
        <w:t>.</w:t>
      </w:r>
    </w:p>
  </w:footnote>
  <w:footnote w:id="8">
    <w:p w14:paraId="5F77A697" w14:textId="77777777" w:rsidR="00196427" w:rsidRDefault="00196427" w:rsidP="00781ACF">
      <w:pPr>
        <w:pStyle w:val="FootnoteText"/>
        <w:jc w:val="both"/>
        <w:rPr>
          <w:rFonts w:ascii="Garamond" w:hAnsi="Garamond"/>
        </w:rPr>
      </w:pPr>
      <w:r>
        <w:rPr>
          <w:rStyle w:val="FootnoteReference"/>
        </w:rPr>
        <w:t>10</w:t>
      </w:r>
      <w:r>
        <w:rPr>
          <w:rFonts w:ascii="Garamond" w:hAnsi="Garamond"/>
        </w:rPr>
        <w:t xml:space="preserve"> </w:t>
      </w:r>
      <w:r>
        <w:rPr>
          <w:rFonts w:ascii="Garamond" w:hAnsi="Garamond"/>
          <w:iCs/>
        </w:rPr>
        <w:t>The review of the fiscal sector was done using preliminary actual consolidated budget indicators (local budgets as an estimate) prepared on the basis of preliminary actual indicators of the second quarter of 2018, excluding off-budgetary funds. The impact of revenues was calculated in respect of the nominal GDP indicator while the impact of expenditures, in respect of an estimated economic potential.</w:t>
      </w:r>
    </w:p>
  </w:footnote>
  <w:footnote w:id="9">
    <w:p w14:paraId="0C3ED104" w14:textId="77777777" w:rsidR="00196427" w:rsidRDefault="00196427" w:rsidP="00781ACF">
      <w:pPr>
        <w:pStyle w:val="FootnoteText"/>
        <w:jc w:val="both"/>
        <w:rPr>
          <w:rFonts w:ascii="Garamond" w:hAnsi="Garamond"/>
        </w:rPr>
      </w:pPr>
      <w:r>
        <w:rPr>
          <w:rStyle w:val="FootnoteReference"/>
        </w:rPr>
        <w:t>11</w:t>
      </w:r>
      <w:r>
        <w:rPr>
          <w:rFonts w:ascii="Garamond" w:hAnsi="Garamond"/>
        </w:rPr>
        <w:t xml:space="preserve"> The Q2, 2018 state budget proportion has been viewed as </w:t>
      </w:r>
      <w:r w:rsidRPr="008455F5">
        <w:rPr>
          <w:rFonts w:ascii="Garamond" w:hAnsi="Garamond"/>
        </w:rPr>
        <w:t xml:space="preserve">the revenue </w:t>
      </w:r>
      <w:r>
        <w:rPr>
          <w:rFonts w:ascii="Garamond" w:hAnsi="Garamond"/>
        </w:rPr>
        <w:t xml:space="preserve">plan; the </w:t>
      </w:r>
      <w:r w:rsidRPr="008455F5">
        <w:rPr>
          <w:rFonts w:ascii="Garamond" w:hAnsi="Garamond"/>
        </w:rPr>
        <w:t xml:space="preserve">expenditure </w:t>
      </w:r>
      <w:r>
        <w:rPr>
          <w:rFonts w:ascii="Garamond" w:hAnsi="Garamond"/>
        </w:rPr>
        <w:t xml:space="preserve">forecast is the Central Bank estimate. </w:t>
      </w:r>
    </w:p>
  </w:footnote>
  <w:footnote w:id="10">
    <w:p w14:paraId="60E537FB" w14:textId="77777777" w:rsidR="00196427" w:rsidRDefault="00196427" w:rsidP="00242EA6">
      <w:pPr>
        <w:pStyle w:val="FootnoteText"/>
        <w:jc w:val="both"/>
        <w:rPr>
          <w:rFonts w:ascii="Garamond" w:hAnsi="Garamond"/>
        </w:rPr>
      </w:pPr>
      <w:r>
        <w:rPr>
          <w:rStyle w:val="FootnoteReference"/>
        </w:rPr>
        <w:t>12</w:t>
      </w:r>
      <w:r>
        <w:rPr>
          <w:rFonts w:ascii="Garamond" w:hAnsi="Garamond"/>
        </w:rPr>
        <w:t xml:space="preserve"> The labor market data for the second quarter of 2018 are the Central Bank estimates which are based on the first quarter 2018 data and actual April-May 2018 figures. The growth indicators provided in this subsection are relative to the same reference period last year, unless otherwise specified.</w:t>
      </w:r>
    </w:p>
  </w:footnote>
  <w:footnote w:id="11">
    <w:p w14:paraId="54A1747F" w14:textId="77777777" w:rsidR="00196427" w:rsidRPr="000B65AC" w:rsidRDefault="00196427" w:rsidP="000B65AC">
      <w:pPr>
        <w:pStyle w:val="FootnoteText"/>
        <w:jc w:val="both"/>
        <w:rPr>
          <w:rFonts w:ascii="Garamond" w:hAnsi="Garamond"/>
        </w:rPr>
      </w:pPr>
      <w:r w:rsidRPr="000B65AC">
        <w:rPr>
          <w:rStyle w:val="FootnoteReference"/>
          <w:rFonts w:ascii="Garamond" w:hAnsi="Garamond"/>
        </w:rPr>
        <w:t>13</w:t>
      </w:r>
      <w:r w:rsidRPr="000B65AC">
        <w:rPr>
          <w:rFonts w:ascii="Garamond" w:hAnsi="Garamond"/>
        </w:rPr>
        <w:t xml:space="preserve"> As a productivity indicator, </w:t>
      </w:r>
      <w:r>
        <w:rPr>
          <w:rFonts w:ascii="Garamond" w:hAnsi="Garamond"/>
        </w:rPr>
        <w:t xml:space="preserve">aggregate </w:t>
      </w:r>
      <w:r w:rsidRPr="00EE5F0F">
        <w:rPr>
          <w:rFonts w:ascii="Garamond" w:hAnsi="Garamond"/>
          <w:sz w:val="22"/>
          <w:szCs w:val="22"/>
        </w:rPr>
        <w:t xml:space="preserve">real </w:t>
      </w:r>
      <w:r>
        <w:rPr>
          <w:rFonts w:ascii="Garamond" w:hAnsi="Garamond"/>
          <w:sz w:val="22"/>
          <w:szCs w:val="22"/>
        </w:rPr>
        <w:t xml:space="preserve">value added output </w:t>
      </w:r>
      <w:r w:rsidRPr="00EE5F0F">
        <w:rPr>
          <w:rFonts w:ascii="Garamond" w:hAnsi="Garamond"/>
          <w:sz w:val="22"/>
          <w:szCs w:val="22"/>
        </w:rPr>
        <w:t xml:space="preserve">per </w:t>
      </w:r>
      <w:r>
        <w:rPr>
          <w:rFonts w:ascii="Garamond" w:hAnsi="Garamond"/>
          <w:sz w:val="22"/>
          <w:szCs w:val="22"/>
        </w:rPr>
        <w:t xml:space="preserve">employed </w:t>
      </w:r>
      <w:r w:rsidRPr="000B65AC">
        <w:rPr>
          <w:rFonts w:ascii="Garamond" w:hAnsi="Garamond"/>
        </w:rPr>
        <w:t xml:space="preserve">was </w:t>
      </w:r>
      <w:r>
        <w:rPr>
          <w:rFonts w:ascii="Garamond" w:hAnsi="Garamond"/>
        </w:rPr>
        <w:t>considered</w:t>
      </w:r>
      <w:r w:rsidRPr="000B65AC">
        <w:rPr>
          <w:rFonts w:ascii="Garamond" w:hAnsi="Garamond"/>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007DB"/>
    <w:rsid w:val="00001A3F"/>
    <w:rsid w:val="000029F4"/>
    <w:rsid w:val="00004D9D"/>
    <w:rsid w:val="00010BFD"/>
    <w:rsid w:val="00010FBE"/>
    <w:rsid w:val="000115CE"/>
    <w:rsid w:val="00011616"/>
    <w:rsid w:val="00012292"/>
    <w:rsid w:val="00012E6D"/>
    <w:rsid w:val="000142B6"/>
    <w:rsid w:val="00015947"/>
    <w:rsid w:val="00015A40"/>
    <w:rsid w:val="000241AE"/>
    <w:rsid w:val="00030DCD"/>
    <w:rsid w:val="0003340B"/>
    <w:rsid w:val="00033894"/>
    <w:rsid w:val="000351D6"/>
    <w:rsid w:val="00035CE5"/>
    <w:rsid w:val="00037E61"/>
    <w:rsid w:val="0004189E"/>
    <w:rsid w:val="0004339D"/>
    <w:rsid w:val="00044BC5"/>
    <w:rsid w:val="00053D3C"/>
    <w:rsid w:val="00055AF4"/>
    <w:rsid w:val="00057E52"/>
    <w:rsid w:val="00063CF8"/>
    <w:rsid w:val="00065C25"/>
    <w:rsid w:val="00066D12"/>
    <w:rsid w:val="0007024C"/>
    <w:rsid w:val="00071D45"/>
    <w:rsid w:val="00072E34"/>
    <w:rsid w:val="00073A22"/>
    <w:rsid w:val="00076DC3"/>
    <w:rsid w:val="00077C44"/>
    <w:rsid w:val="0008330C"/>
    <w:rsid w:val="00086DC8"/>
    <w:rsid w:val="00097822"/>
    <w:rsid w:val="000A0192"/>
    <w:rsid w:val="000A2CFF"/>
    <w:rsid w:val="000A53F3"/>
    <w:rsid w:val="000A5C6B"/>
    <w:rsid w:val="000A5DFE"/>
    <w:rsid w:val="000B13F5"/>
    <w:rsid w:val="000B14DC"/>
    <w:rsid w:val="000B1E3D"/>
    <w:rsid w:val="000B214F"/>
    <w:rsid w:val="000B2925"/>
    <w:rsid w:val="000B2CE6"/>
    <w:rsid w:val="000B40B9"/>
    <w:rsid w:val="000B4A00"/>
    <w:rsid w:val="000B65AC"/>
    <w:rsid w:val="000B67CD"/>
    <w:rsid w:val="000C0B9F"/>
    <w:rsid w:val="000C0E3A"/>
    <w:rsid w:val="000C26AF"/>
    <w:rsid w:val="000C4B46"/>
    <w:rsid w:val="000C72B9"/>
    <w:rsid w:val="000D0801"/>
    <w:rsid w:val="000D2BCD"/>
    <w:rsid w:val="000D42F3"/>
    <w:rsid w:val="000D5A49"/>
    <w:rsid w:val="000E1F26"/>
    <w:rsid w:val="000E2CA7"/>
    <w:rsid w:val="000F59C5"/>
    <w:rsid w:val="000F7F64"/>
    <w:rsid w:val="0010487A"/>
    <w:rsid w:val="00105DDF"/>
    <w:rsid w:val="001065FE"/>
    <w:rsid w:val="00115D65"/>
    <w:rsid w:val="00117E84"/>
    <w:rsid w:val="00120B61"/>
    <w:rsid w:val="00124332"/>
    <w:rsid w:val="00124D9C"/>
    <w:rsid w:val="0012686B"/>
    <w:rsid w:val="00130386"/>
    <w:rsid w:val="0013157E"/>
    <w:rsid w:val="00131D86"/>
    <w:rsid w:val="00132A02"/>
    <w:rsid w:val="00132E83"/>
    <w:rsid w:val="00134A51"/>
    <w:rsid w:val="00134F6D"/>
    <w:rsid w:val="00135108"/>
    <w:rsid w:val="00136095"/>
    <w:rsid w:val="0013609E"/>
    <w:rsid w:val="00137E90"/>
    <w:rsid w:val="001454E4"/>
    <w:rsid w:val="00146A2B"/>
    <w:rsid w:val="001516E5"/>
    <w:rsid w:val="0015196D"/>
    <w:rsid w:val="00151ABD"/>
    <w:rsid w:val="00151C36"/>
    <w:rsid w:val="001547FD"/>
    <w:rsid w:val="001574F6"/>
    <w:rsid w:val="00161D3D"/>
    <w:rsid w:val="0016228B"/>
    <w:rsid w:val="00164956"/>
    <w:rsid w:val="00166AE0"/>
    <w:rsid w:val="00167660"/>
    <w:rsid w:val="001747A0"/>
    <w:rsid w:val="001748AA"/>
    <w:rsid w:val="001761F4"/>
    <w:rsid w:val="001815BE"/>
    <w:rsid w:val="001830A1"/>
    <w:rsid w:val="00184075"/>
    <w:rsid w:val="00191370"/>
    <w:rsid w:val="00194EA3"/>
    <w:rsid w:val="001950CC"/>
    <w:rsid w:val="00196427"/>
    <w:rsid w:val="001A180F"/>
    <w:rsid w:val="001A33F8"/>
    <w:rsid w:val="001A3C0A"/>
    <w:rsid w:val="001A456E"/>
    <w:rsid w:val="001B0A66"/>
    <w:rsid w:val="001B2700"/>
    <w:rsid w:val="001B2965"/>
    <w:rsid w:val="001B7F81"/>
    <w:rsid w:val="001C1968"/>
    <w:rsid w:val="001C2483"/>
    <w:rsid w:val="001C2D10"/>
    <w:rsid w:val="001C5652"/>
    <w:rsid w:val="001C5977"/>
    <w:rsid w:val="001C7315"/>
    <w:rsid w:val="001D0B7E"/>
    <w:rsid w:val="001D0FDA"/>
    <w:rsid w:val="001D1101"/>
    <w:rsid w:val="001D4E73"/>
    <w:rsid w:val="001D5226"/>
    <w:rsid w:val="001D5FB4"/>
    <w:rsid w:val="001E0112"/>
    <w:rsid w:val="001E04DF"/>
    <w:rsid w:val="001E301B"/>
    <w:rsid w:val="001F384B"/>
    <w:rsid w:val="001F524F"/>
    <w:rsid w:val="001F67CE"/>
    <w:rsid w:val="001F7681"/>
    <w:rsid w:val="00200ECA"/>
    <w:rsid w:val="002021DA"/>
    <w:rsid w:val="0020630B"/>
    <w:rsid w:val="00206E6A"/>
    <w:rsid w:val="00207D49"/>
    <w:rsid w:val="002129C7"/>
    <w:rsid w:val="002139DF"/>
    <w:rsid w:val="002140DE"/>
    <w:rsid w:val="00214908"/>
    <w:rsid w:val="00216163"/>
    <w:rsid w:val="00220202"/>
    <w:rsid w:val="002254DB"/>
    <w:rsid w:val="00225D1F"/>
    <w:rsid w:val="00225FA5"/>
    <w:rsid w:val="002265CD"/>
    <w:rsid w:val="002276FE"/>
    <w:rsid w:val="00233922"/>
    <w:rsid w:val="0023452F"/>
    <w:rsid w:val="00234BE9"/>
    <w:rsid w:val="00240895"/>
    <w:rsid w:val="00240896"/>
    <w:rsid w:val="00241C68"/>
    <w:rsid w:val="00242DB9"/>
    <w:rsid w:val="00242EA6"/>
    <w:rsid w:val="0024318B"/>
    <w:rsid w:val="00250973"/>
    <w:rsid w:val="00251DCE"/>
    <w:rsid w:val="00252F40"/>
    <w:rsid w:val="00254051"/>
    <w:rsid w:val="002574A2"/>
    <w:rsid w:val="00260739"/>
    <w:rsid w:val="00261149"/>
    <w:rsid w:val="00262DF4"/>
    <w:rsid w:val="00262F0E"/>
    <w:rsid w:val="00263C12"/>
    <w:rsid w:val="002647E8"/>
    <w:rsid w:val="00264CEB"/>
    <w:rsid w:val="00265345"/>
    <w:rsid w:val="00266CD8"/>
    <w:rsid w:val="00267A97"/>
    <w:rsid w:val="00271A46"/>
    <w:rsid w:val="00272DD8"/>
    <w:rsid w:val="002731EB"/>
    <w:rsid w:val="0027519B"/>
    <w:rsid w:val="00276564"/>
    <w:rsid w:val="00281E1F"/>
    <w:rsid w:val="00292E52"/>
    <w:rsid w:val="00293A3F"/>
    <w:rsid w:val="00293D56"/>
    <w:rsid w:val="0029635E"/>
    <w:rsid w:val="00296451"/>
    <w:rsid w:val="00296C8A"/>
    <w:rsid w:val="002976FB"/>
    <w:rsid w:val="002A0418"/>
    <w:rsid w:val="002A0889"/>
    <w:rsid w:val="002A0B5B"/>
    <w:rsid w:val="002A27EA"/>
    <w:rsid w:val="002A38BF"/>
    <w:rsid w:val="002A3A33"/>
    <w:rsid w:val="002A59D1"/>
    <w:rsid w:val="002A5B11"/>
    <w:rsid w:val="002A7A3F"/>
    <w:rsid w:val="002B094A"/>
    <w:rsid w:val="002B107B"/>
    <w:rsid w:val="002B1502"/>
    <w:rsid w:val="002B1812"/>
    <w:rsid w:val="002B3C4F"/>
    <w:rsid w:val="002B3F46"/>
    <w:rsid w:val="002B44D9"/>
    <w:rsid w:val="002B746A"/>
    <w:rsid w:val="002C086C"/>
    <w:rsid w:val="002C0CFB"/>
    <w:rsid w:val="002C108E"/>
    <w:rsid w:val="002C20CF"/>
    <w:rsid w:val="002C3539"/>
    <w:rsid w:val="002C4561"/>
    <w:rsid w:val="002D0F71"/>
    <w:rsid w:val="002D15E1"/>
    <w:rsid w:val="002D15EE"/>
    <w:rsid w:val="002D1638"/>
    <w:rsid w:val="002D3047"/>
    <w:rsid w:val="002D541D"/>
    <w:rsid w:val="002E4BC0"/>
    <w:rsid w:val="002E4FD8"/>
    <w:rsid w:val="002E7DF3"/>
    <w:rsid w:val="002F6593"/>
    <w:rsid w:val="00306152"/>
    <w:rsid w:val="00307627"/>
    <w:rsid w:val="00312FE7"/>
    <w:rsid w:val="003132C8"/>
    <w:rsid w:val="00313C67"/>
    <w:rsid w:val="00314E55"/>
    <w:rsid w:val="00315BD7"/>
    <w:rsid w:val="00317122"/>
    <w:rsid w:val="00317ECB"/>
    <w:rsid w:val="003210F7"/>
    <w:rsid w:val="003219DC"/>
    <w:rsid w:val="00324349"/>
    <w:rsid w:val="003316A8"/>
    <w:rsid w:val="00331DDB"/>
    <w:rsid w:val="00332132"/>
    <w:rsid w:val="00332C46"/>
    <w:rsid w:val="00337C52"/>
    <w:rsid w:val="00341374"/>
    <w:rsid w:val="003417FE"/>
    <w:rsid w:val="00343456"/>
    <w:rsid w:val="00343A25"/>
    <w:rsid w:val="00344BAB"/>
    <w:rsid w:val="0034737B"/>
    <w:rsid w:val="00350306"/>
    <w:rsid w:val="00352C8E"/>
    <w:rsid w:val="00353DFF"/>
    <w:rsid w:val="0035481F"/>
    <w:rsid w:val="00356A47"/>
    <w:rsid w:val="003570A3"/>
    <w:rsid w:val="00360173"/>
    <w:rsid w:val="0036083E"/>
    <w:rsid w:val="003616E9"/>
    <w:rsid w:val="0036344E"/>
    <w:rsid w:val="003645F2"/>
    <w:rsid w:val="003720FB"/>
    <w:rsid w:val="00374C48"/>
    <w:rsid w:val="00375570"/>
    <w:rsid w:val="00375699"/>
    <w:rsid w:val="0038012B"/>
    <w:rsid w:val="00380306"/>
    <w:rsid w:val="00380380"/>
    <w:rsid w:val="00383D4D"/>
    <w:rsid w:val="00384065"/>
    <w:rsid w:val="003864AA"/>
    <w:rsid w:val="00386779"/>
    <w:rsid w:val="00390B78"/>
    <w:rsid w:val="00390F3E"/>
    <w:rsid w:val="00396B2C"/>
    <w:rsid w:val="00397003"/>
    <w:rsid w:val="00397BFD"/>
    <w:rsid w:val="003A06CC"/>
    <w:rsid w:val="003A2DCC"/>
    <w:rsid w:val="003A3A84"/>
    <w:rsid w:val="003A3D31"/>
    <w:rsid w:val="003A6BEB"/>
    <w:rsid w:val="003A741A"/>
    <w:rsid w:val="003B0B41"/>
    <w:rsid w:val="003B18EA"/>
    <w:rsid w:val="003B213B"/>
    <w:rsid w:val="003B2697"/>
    <w:rsid w:val="003B4967"/>
    <w:rsid w:val="003B4B24"/>
    <w:rsid w:val="003B630F"/>
    <w:rsid w:val="003B6FDA"/>
    <w:rsid w:val="003C1471"/>
    <w:rsid w:val="003C7B52"/>
    <w:rsid w:val="003D1442"/>
    <w:rsid w:val="003D2B35"/>
    <w:rsid w:val="003D2CD2"/>
    <w:rsid w:val="003D5827"/>
    <w:rsid w:val="003D59B0"/>
    <w:rsid w:val="003D6063"/>
    <w:rsid w:val="003D6368"/>
    <w:rsid w:val="003E01F9"/>
    <w:rsid w:val="003E020C"/>
    <w:rsid w:val="003E32BF"/>
    <w:rsid w:val="003E35C5"/>
    <w:rsid w:val="003E765B"/>
    <w:rsid w:val="003F24E4"/>
    <w:rsid w:val="003F5450"/>
    <w:rsid w:val="003F621C"/>
    <w:rsid w:val="003F6D4A"/>
    <w:rsid w:val="003F7BD8"/>
    <w:rsid w:val="00404293"/>
    <w:rsid w:val="00410C3A"/>
    <w:rsid w:val="00410D16"/>
    <w:rsid w:val="0042326B"/>
    <w:rsid w:val="004246F6"/>
    <w:rsid w:val="00425F29"/>
    <w:rsid w:val="004301D7"/>
    <w:rsid w:val="0043638B"/>
    <w:rsid w:val="00443063"/>
    <w:rsid w:val="00452657"/>
    <w:rsid w:val="004529A5"/>
    <w:rsid w:val="00452A1B"/>
    <w:rsid w:val="00463534"/>
    <w:rsid w:val="00463624"/>
    <w:rsid w:val="00464EBD"/>
    <w:rsid w:val="00467C2C"/>
    <w:rsid w:val="004712E9"/>
    <w:rsid w:val="0047223E"/>
    <w:rsid w:val="00473C6C"/>
    <w:rsid w:val="00480548"/>
    <w:rsid w:val="004806AB"/>
    <w:rsid w:val="00481E7A"/>
    <w:rsid w:val="0048286A"/>
    <w:rsid w:val="00485142"/>
    <w:rsid w:val="0048763B"/>
    <w:rsid w:val="0049097F"/>
    <w:rsid w:val="00491B9C"/>
    <w:rsid w:val="004928D0"/>
    <w:rsid w:val="00492E20"/>
    <w:rsid w:val="00493561"/>
    <w:rsid w:val="004A0FD4"/>
    <w:rsid w:val="004A12BA"/>
    <w:rsid w:val="004A1E73"/>
    <w:rsid w:val="004A2C47"/>
    <w:rsid w:val="004A45D1"/>
    <w:rsid w:val="004A7BD1"/>
    <w:rsid w:val="004B330E"/>
    <w:rsid w:val="004B3D61"/>
    <w:rsid w:val="004B4262"/>
    <w:rsid w:val="004B4D01"/>
    <w:rsid w:val="004B5112"/>
    <w:rsid w:val="004C2F59"/>
    <w:rsid w:val="004C31B2"/>
    <w:rsid w:val="004C4C65"/>
    <w:rsid w:val="004C5244"/>
    <w:rsid w:val="004C5641"/>
    <w:rsid w:val="004C5E94"/>
    <w:rsid w:val="004C71ED"/>
    <w:rsid w:val="004C7884"/>
    <w:rsid w:val="004D2BAE"/>
    <w:rsid w:val="004D3414"/>
    <w:rsid w:val="004D45BE"/>
    <w:rsid w:val="004D4A0F"/>
    <w:rsid w:val="004D5BD5"/>
    <w:rsid w:val="004E0889"/>
    <w:rsid w:val="004E2292"/>
    <w:rsid w:val="004E3D01"/>
    <w:rsid w:val="004E6219"/>
    <w:rsid w:val="004F13D9"/>
    <w:rsid w:val="004F233A"/>
    <w:rsid w:val="004F284A"/>
    <w:rsid w:val="004F4131"/>
    <w:rsid w:val="004F7566"/>
    <w:rsid w:val="00500167"/>
    <w:rsid w:val="00501718"/>
    <w:rsid w:val="00506EA5"/>
    <w:rsid w:val="00510D9C"/>
    <w:rsid w:val="00510E69"/>
    <w:rsid w:val="00511F0C"/>
    <w:rsid w:val="00517352"/>
    <w:rsid w:val="00517B10"/>
    <w:rsid w:val="00520816"/>
    <w:rsid w:val="00521F06"/>
    <w:rsid w:val="00522147"/>
    <w:rsid w:val="00522F8F"/>
    <w:rsid w:val="00524539"/>
    <w:rsid w:val="00525AE5"/>
    <w:rsid w:val="005260C0"/>
    <w:rsid w:val="00526D06"/>
    <w:rsid w:val="00530CFA"/>
    <w:rsid w:val="00533644"/>
    <w:rsid w:val="0053486E"/>
    <w:rsid w:val="0054021A"/>
    <w:rsid w:val="00540986"/>
    <w:rsid w:val="00540F7F"/>
    <w:rsid w:val="005419F0"/>
    <w:rsid w:val="00543464"/>
    <w:rsid w:val="00545DBA"/>
    <w:rsid w:val="00551F7E"/>
    <w:rsid w:val="0055355B"/>
    <w:rsid w:val="00553CF2"/>
    <w:rsid w:val="0055418A"/>
    <w:rsid w:val="00560595"/>
    <w:rsid w:val="00565F75"/>
    <w:rsid w:val="00566D4F"/>
    <w:rsid w:val="00571689"/>
    <w:rsid w:val="005747F6"/>
    <w:rsid w:val="005776E9"/>
    <w:rsid w:val="00583C36"/>
    <w:rsid w:val="00590C2B"/>
    <w:rsid w:val="00592760"/>
    <w:rsid w:val="0059448F"/>
    <w:rsid w:val="005A3523"/>
    <w:rsid w:val="005A6FF7"/>
    <w:rsid w:val="005B015A"/>
    <w:rsid w:val="005B1A98"/>
    <w:rsid w:val="005B2473"/>
    <w:rsid w:val="005B4859"/>
    <w:rsid w:val="005B5D67"/>
    <w:rsid w:val="005C122C"/>
    <w:rsid w:val="005C6027"/>
    <w:rsid w:val="005C6536"/>
    <w:rsid w:val="005C689C"/>
    <w:rsid w:val="005C78E9"/>
    <w:rsid w:val="005D2BEC"/>
    <w:rsid w:val="005D4071"/>
    <w:rsid w:val="005D4276"/>
    <w:rsid w:val="005D6B14"/>
    <w:rsid w:val="005D6EF3"/>
    <w:rsid w:val="005E176B"/>
    <w:rsid w:val="005E2710"/>
    <w:rsid w:val="005E3189"/>
    <w:rsid w:val="005E5095"/>
    <w:rsid w:val="005E5244"/>
    <w:rsid w:val="005F6455"/>
    <w:rsid w:val="005F748E"/>
    <w:rsid w:val="00600EDF"/>
    <w:rsid w:val="00605E77"/>
    <w:rsid w:val="006067B4"/>
    <w:rsid w:val="00612C14"/>
    <w:rsid w:val="00612C30"/>
    <w:rsid w:val="00613557"/>
    <w:rsid w:val="006150AC"/>
    <w:rsid w:val="00620DA0"/>
    <w:rsid w:val="0062136B"/>
    <w:rsid w:val="00621499"/>
    <w:rsid w:val="00626606"/>
    <w:rsid w:val="00626752"/>
    <w:rsid w:val="00627013"/>
    <w:rsid w:val="00632D07"/>
    <w:rsid w:val="00634424"/>
    <w:rsid w:val="006355AE"/>
    <w:rsid w:val="006366B1"/>
    <w:rsid w:val="00636ECE"/>
    <w:rsid w:val="0063768C"/>
    <w:rsid w:val="00637B52"/>
    <w:rsid w:val="00640EC9"/>
    <w:rsid w:val="00642C67"/>
    <w:rsid w:val="006437AF"/>
    <w:rsid w:val="00644C5D"/>
    <w:rsid w:val="00644E22"/>
    <w:rsid w:val="006573EF"/>
    <w:rsid w:val="006575D7"/>
    <w:rsid w:val="00657A11"/>
    <w:rsid w:val="00660AE6"/>
    <w:rsid w:val="006629EC"/>
    <w:rsid w:val="00662B23"/>
    <w:rsid w:val="00665458"/>
    <w:rsid w:val="00671CE7"/>
    <w:rsid w:val="00675279"/>
    <w:rsid w:val="00676C2C"/>
    <w:rsid w:val="00676DF1"/>
    <w:rsid w:val="00677E52"/>
    <w:rsid w:val="00680C82"/>
    <w:rsid w:val="006817DA"/>
    <w:rsid w:val="006848CE"/>
    <w:rsid w:val="00686FDC"/>
    <w:rsid w:val="006909DE"/>
    <w:rsid w:val="006925C3"/>
    <w:rsid w:val="00695216"/>
    <w:rsid w:val="006966A5"/>
    <w:rsid w:val="00696D1A"/>
    <w:rsid w:val="00697941"/>
    <w:rsid w:val="006A290D"/>
    <w:rsid w:val="006A4D53"/>
    <w:rsid w:val="006A541E"/>
    <w:rsid w:val="006A54E5"/>
    <w:rsid w:val="006B09B3"/>
    <w:rsid w:val="006B1B30"/>
    <w:rsid w:val="006B2BCD"/>
    <w:rsid w:val="006B5C7F"/>
    <w:rsid w:val="006B7FBD"/>
    <w:rsid w:val="006C281A"/>
    <w:rsid w:val="006C36B7"/>
    <w:rsid w:val="006C6A27"/>
    <w:rsid w:val="006D0D59"/>
    <w:rsid w:val="006D3F04"/>
    <w:rsid w:val="006D59F1"/>
    <w:rsid w:val="006D6FA4"/>
    <w:rsid w:val="006E31BD"/>
    <w:rsid w:val="006E62E8"/>
    <w:rsid w:val="006E7201"/>
    <w:rsid w:val="006E7B5A"/>
    <w:rsid w:val="006F41B0"/>
    <w:rsid w:val="006F710F"/>
    <w:rsid w:val="007011C3"/>
    <w:rsid w:val="0070332C"/>
    <w:rsid w:val="00703FA4"/>
    <w:rsid w:val="007059B1"/>
    <w:rsid w:val="00706446"/>
    <w:rsid w:val="00710622"/>
    <w:rsid w:val="00723A78"/>
    <w:rsid w:val="007241F1"/>
    <w:rsid w:val="0072461A"/>
    <w:rsid w:val="00725034"/>
    <w:rsid w:val="00727198"/>
    <w:rsid w:val="0073509B"/>
    <w:rsid w:val="00735EED"/>
    <w:rsid w:val="00736EBD"/>
    <w:rsid w:val="0073763B"/>
    <w:rsid w:val="0074142E"/>
    <w:rsid w:val="00742158"/>
    <w:rsid w:val="00742EBE"/>
    <w:rsid w:val="00744899"/>
    <w:rsid w:val="00745929"/>
    <w:rsid w:val="0074684B"/>
    <w:rsid w:val="00746EFB"/>
    <w:rsid w:val="00750108"/>
    <w:rsid w:val="007542DE"/>
    <w:rsid w:val="007567E6"/>
    <w:rsid w:val="00757744"/>
    <w:rsid w:val="007609A9"/>
    <w:rsid w:val="007611DB"/>
    <w:rsid w:val="00762760"/>
    <w:rsid w:val="007630D0"/>
    <w:rsid w:val="007634D1"/>
    <w:rsid w:val="00765248"/>
    <w:rsid w:val="00767171"/>
    <w:rsid w:val="00767E0A"/>
    <w:rsid w:val="00770142"/>
    <w:rsid w:val="0077109B"/>
    <w:rsid w:val="00771FA4"/>
    <w:rsid w:val="00774197"/>
    <w:rsid w:val="00774E83"/>
    <w:rsid w:val="00775BC3"/>
    <w:rsid w:val="00776296"/>
    <w:rsid w:val="007814FC"/>
    <w:rsid w:val="00781ACF"/>
    <w:rsid w:val="0078431B"/>
    <w:rsid w:val="007849D7"/>
    <w:rsid w:val="00785B36"/>
    <w:rsid w:val="007877D2"/>
    <w:rsid w:val="007877D5"/>
    <w:rsid w:val="007908C9"/>
    <w:rsid w:val="00791959"/>
    <w:rsid w:val="007937A5"/>
    <w:rsid w:val="0079789B"/>
    <w:rsid w:val="0079790B"/>
    <w:rsid w:val="007A1381"/>
    <w:rsid w:val="007A597B"/>
    <w:rsid w:val="007A7ABB"/>
    <w:rsid w:val="007B1049"/>
    <w:rsid w:val="007B1215"/>
    <w:rsid w:val="007B1D1B"/>
    <w:rsid w:val="007B7C08"/>
    <w:rsid w:val="007C2B74"/>
    <w:rsid w:val="007C43D1"/>
    <w:rsid w:val="007C4FF5"/>
    <w:rsid w:val="007D01C1"/>
    <w:rsid w:val="007D055F"/>
    <w:rsid w:val="007D1BC6"/>
    <w:rsid w:val="007D3AA3"/>
    <w:rsid w:val="007D3E20"/>
    <w:rsid w:val="007D415F"/>
    <w:rsid w:val="007D5578"/>
    <w:rsid w:val="007D6ECD"/>
    <w:rsid w:val="007E371D"/>
    <w:rsid w:val="007E524F"/>
    <w:rsid w:val="007E61AF"/>
    <w:rsid w:val="007E6636"/>
    <w:rsid w:val="007E77B6"/>
    <w:rsid w:val="007E7FD6"/>
    <w:rsid w:val="007F3C2A"/>
    <w:rsid w:val="007F4F2D"/>
    <w:rsid w:val="007F5B7D"/>
    <w:rsid w:val="007F6C6D"/>
    <w:rsid w:val="00801BFF"/>
    <w:rsid w:val="00803722"/>
    <w:rsid w:val="00803DE3"/>
    <w:rsid w:val="00806C2B"/>
    <w:rsid w:val="008104A3"/>
    <w:rsid w:val="008106B8"/>
    <w:rsid w:val="00811961"/>
    <w:rsid w:val="00815906"/>
    <w:rsid w:val="00827912"/>
    <w:rsid w:val="00827B52"/>
    <w:rsid w:val="0083040B"/>
    <w:rsid w:val="0083205A"/>
    <w:rsid w:val="00832140"/>
    <w:rsid w:val="00836F28"/>
    <w:rsid w:val="008371E8"/>
    <w:rsid w:val="00837F88"/>
    <w:rsid w:val="0084157B"/>
    <w:rsid w:val="008450E8"/>
    <w:rsid w:val="008455F5"/>
    <w:rsid w:val="00845EE0"/>
    <w:rsid w:val="00846B8F"/>
    <w:rsid w:val="008473CE"/>
    <w:rsid w:val="00853145"/>
    <w:rsid w:val="00853CC1"/>
    <w:rsid w:val="008551A6"/>
    <w:rsid w:val="00855D3A"/>
    <w:rsid w:val="00857BEC"/>
    <w:rsid w:val="00860787"/>
    <w:rsid w:val="00861BFA"/>
    <w:rsid w:val="00862B97"/>
    <w:rsid w:val="00866663"/>
    <w:rsid w:val="00866F65"/>
    <w:rsid w:val="00872DDC"/>
    <w:rsid w:val="00872F1A"/>
    <w:rsid w:val="00873A0D"/>
    <w:rsid w:val="008742A3"/>
    <w:rsid w:val="00876964"/>
    <w:rsid w:val="00877E58"/>
    <w:rsid w:val="008802DC"/>
    <w:rsid w:val="0088496C"/>
    <w:rsid w:val="00886B29"/>
    <w:rsid w:val="008901DA"/>
    <w:rsid w:val="00894AA6"/>
    <w:rsid w:val="0089520E"/>
    <w:rsid w:val="008A13CF"/>
    <w:rsid w:val="008A151D"/>
    <w:rsid w:val="008A380E"/>
    <w:rsid w:val="008A49F8"/>
    <w:rsid w:val="008B4837"/>
    <w:rsid w:val="008B5651"/>
    <w:rsid w:val="008B632C"/>
    <w:rsid w:val="008B7BEE"/>
    <w:rsid w:val="008C05C0"/>
    <w:rsid w:val="008C1060"/>
    <w:rsid w:val="008C1568"/>
    <w:rsid w:val="008C15E2"/>
    <w:rsid w:val="008D29B5"/>
    <w:rsid w:val="008D51E4"/>
    <w:rsid w:val="008D6262"/>
    <w:rsid w:val="008E1204"/>
    <w:rsid w:val="008E1E4F"/>
    <w:rsid w:val="008F2A0D"/>
    <w:rsid w:val="008F3217"/>
    <w:rsid w:val="008F3FFF"/>
    <w:rsid w:val="008F407D"/>
    <w:rsid w:val="008F7DEB"/>
    <w:rsid w:val="008F7E04"/>
    <w:rsid w:val="0090456D"/>
    <w:rsid w:val="00907EF9"/>
    <w:rsid w:val="009152D3"/>
    <w:rsid w:val="00917531"/>
    <w:rsid w:val="00917905"/>
    <w:rsid w:val="009250E6"/>
    <w:rsid w:val="00926289"/>
    <w:rsid w:val="0092736C"/>
    <w:rsid w:val="00930DCE"/>
    <w:rsid w:val="009318F7"/>
    <w:rsid w:val="009321C8"/>
    <w:rsid w:val="009324A0"/>
    <w:rsid w:val="00933B63"/>
    <w:rsid w:val="00934823"/>
    <w:rsid w:val="00934879"/>
    <w:rsid w:val="0094191B"/>
    <w:rsid w:val="00942E03"/>
    <w:rsid w:val="00943A96"/>
    <w:rsid w:val="00943F4D"/>
    <w:rsid w:val="00944055"/>
    <w:rsid w:val="0094484A"/>
    <w:rsid w:val="00951313"/>
    <w:rsid w:val="00951BC7"/>
    <w:rsid w:val="00954241"/>
    <w:rsid w:val="00954CC5"/>
    <w:rsid w:val="00954D2F"/>
    <w:rsid w:val="00955528"/>
    <w:rsid w:val="009559B2"/>
    <w:rsid w:val="00957F0D"/>
    <w:rsid w:val="009612DF"/>
    <w:rsid w:val="0096204A"/>
    <w:rsid w:val="00964076"/>
    <w:rsid w:val="009652E7"/>
    <w:rsid w:val="00966AB0"/>
    <w:rsid w:val="00966C30"/>
    <w:rsid w:val="00967B45"/>
    <w:rsid w:val="00970B9C"/>
    <w:rsid w:val="00970BB9"/>
    <w:rsid w:val="00970D7A"/>
    <w:rsid w:val="00971311"/>
    <w:rsid w:val="00971605"/>
    <w:rsid w:val="00972A2E"/>
    <w:rsid w:val="00972FD6"/>
    <w:rsid w:val="00974358"/>
    <w:rsid w:val="00977017"/>
    <w:rsid w:val="00977D47"/>
    <w:rsid w:val="00990C29"/>
    <w:rsid w:val="00994D66"/>
    <w:rsid w:val="0099686E"/>
    <w:rsid w:val="009A460A"/>
    <w:rsid w:val="009A5297"/>
    <w:rsid w:val="009A6F46"/>
    <w:rsid w:val="009B0DA8"/>
    <w:rsid w:val="009B112E"/>
    <w:rsid w:val="009B30B3"/>
    <w:rsid w:val="009C3795"/>
    <w:rsid w:val="009D03A7"/>
    <w:rsid w:val="009D06A5"/>
    <w:rsid w:val="009D1D99"/>
    <w:rsid w:val="009D336B"/>
    <w:rsid w:val="009D50E7"/>
    <w:rsid w:val="009E0240"/>
    <w:rsid w:val="009E055B"/>
    <w:rsid w:val="009E1B90"/>
    <w:rsid w:val="009E1F75"/>
    <w:rsid w:val="009E33CB"/>
    <w:rsid w:val="009E656B"/>
    <w:rsid w:val="009E6F4B"/>
    <w:rsid w:val="009E75D5"/>
    <w:rsid w:val="009F0F8F"/>
    <w:rsid w:val="009F1154"/>
    <w:rsid w:val="009F2880"/>
    <w:rsid w:val="009F51E8"/>
    <w:rsid w:val="009F526A"/>
    <w:rsid w:val="009F698D"/>
    <w:rsid w:val="009F6F95"/>
    <w:rsid w:val="009F710C"/>
    <w:rsid w:val="00A01041"/>
    <w:rsid w:val="00A03652"/>
    <w:rsid w:val="00A04E80"/>
    <w:rsid w:val="00A057D2"/>
    <w:rsid w:val="00A1282D"/>
    <w:rsid w:val="00A17C16"/>
    <w:rsid w:val="00A22A52"/>
    <w:rsid w:val="00A22BA6"/>
    <w:rsid w:val="00A241EA"/>
    <w:rsid w:val="00A249F2"/>
    <w:rsid w:val="00A26171"/>
    <w:rsid w:val="00A30E98"/>
    <w:rsid w:val="00A30FBE"/>
    <w:rsid w:val="00A374BA"/>
    <w:rsid w:val="00A40048"/>
    <w:rsid w:val="00A41BFD"/>
    <w:rsid w:val="00A41E0A"/>
    <w:rsid w:val="00A447B1"/>
    <w:rsid w:val="00A4603B"/>
    <w:rsid w:val="00A46B1C"/>
    <w:rsid w:val="00A47648"/>
    <w:rsid w:val="00A5263E"/>
    <w:rsid w:val="00A5588A"/>
    <w:rsid w:val="00A56FC9"/>
    <w:rsid w:val="00A640EA"/>
    <w:rsid w:val="00A64428"/>
    <w:rsid w:val="00A6694B"/>
    <w:rsid w:val="00A704F1"/>
    <w:rsid w:val="00A7058D"/>
    <w:rsid w:val="00A7658C"/>
    <w:rsid w:val="00A76F96"/>
    <w:rsid w:val="00A81B1A"/>
    <w:rsid w:val="00A926B6"/>
    <w:rsid w:val="00A940E4"/>
    <w:rsid w:val="00A95B7F"/>
    <w:rsid w:val="00AA14B9"/>
    <w:rsid w:val="00AA16AD"/>
    <w:rsid w:val="00AA4C0E"/>
    <w:rsid w:val="00AA547B"/>
    <w:rsid w:val="00AA70CA"/>
    <w:rsid w:val="00AA75EC"/>
    <w:rsid w:val="00AB0A0E"/>
    <w:rsid w:val="00AB24C1"/>
    <w:rsid w:val="00AB53C9"/>
    <w:rsid w:val="00AB546C"/>
    <w:rsid w:val="00AB5B81"/>
    <w:rsid w:val="00AB7448"/>
    <w:rsid w:val="00AC01D8"/>
    <w:rsid w:val="00AC2B31"/>
    <w:rsid w:val="00AC5C9B"/>
    <w:rsid w:val="00AC660B"/>
    <w:rsid w:val="00AD2697"/>
    <w:rsid w:val="00AD3792"/>
    <w:rsid w:val="00AD3EC5"/>
    <w:rsid w:val="00AD4CB0"/>
    <w:rsid w:val="00AD732F"/>
    <w:rsid w:val="00AE09C8"/>
    <w:rsid w:val="00AE0D38"/>
    <w:rsid w:val="00AE1D75"/>
    <w:rsid w:val="00AE27BC"/>
    <w:rsid w:val="00AE3B5F"/>
    <w:rsid w:val="00AE7F86"/>
    <w:rsid w:val="00AF0A95"/>
    <w:rsid w:val="00AF41DC"/>
    <w:rsid w:val="00AF4555"/>
    <w:rsid w:val="00AF7719"/>
    <w:rsid w:val="00AF7B80"/>
    <w:rsid w:val="00AF7DDF"/>
    <w:rsid w:val="00AF7EA6"/>
    <w:rsid w:val="00B0020C"/>
    <w:rsid w:val="00B01B53"/>
    <w:rsid w:val="00B07A86"/>
    <w:rsid w:val="00B11DDD"/>
    <w:rsid w:val="00B14F11"/>
    <w:rsid w:val="00B14F4F"/>
    <w:rsid w:val="00B15CCA"/>
    <w:rsid w:val="00B178C0"/>
    <w:rsid w:val="00B2100B"/>
    <w:rsid w:val="00B21567"/>
    <w:rsid w:val="00B2219D"/>
    <w:rsid w:val="00B234E2"/>
    <w:rsid w:val="00B34389"/>
    <w:rsid w:val="00B35683"/>
    <w:rsid w:val="00B36A0F"/>
    <w:rsid w:val="00B43D6F"/>
    <w:rsid w:val="00B45804"/>
    <w:rsid w:val="00B461A2"/>
    <w:rsid w:val="00B51037"/>
    <w:rsid w:val="00B53341"/>
    <w:rsid w:val="00B5344D"/>
    <w:rsid w:val="00B53794"/>
    <w:rsid w:val="00B607BF"/>
    <w:rsid w:val="00B62E2B"/>
    <w:rsid w:val="00B66EAB"/>
    <w:rsid w:val="00B6766D"/>
    <w:rsid w:val="00B67B97"/>
    <w:rsid w:val="00B711FC"/>
    <w:rsid w:val="00B716F4"/>
    <w:rsid w:val="00B7187F"/>
    <w:rsid w:val="00B72834"/>
    <w:rsid w:val="00B75270"/>
    <w:rsid w:val="00B77A00"/>
    <w:rsid w:val="00B845EF"/>
    <w:rsid w:val="00B8549D"/>
    <w:rsid w:val="00B85C7C"/>
    <w:rsid w:val="00B86157"/>
    <w:rsid w:val="00B9113E"/>
    <w:rsid w:val="00B93B04"/>
    <w:rsid w:val="00B93B98"/>
    <w:rsid w:val="00B95881"/>
    <w:rsid w:val="00BA117B"/>
    <w:rsid w:val="00BA1F4A"/>
    <w:rsid w:val="00BA2C88"/>
    <w:rsid w:val="00BA3D0E"/>
    <w:rsid w:val="00BB15DC"/>
    <w:rsid w:val="00BB5C37"/>
    <w:rsid w:val="00BC0F0B"/>
    <w:rsid w:val="00BC1CA0"/>
    <w:rsid w:val="00BC2FD6"/>
    <w:rsid w:val="00BC3332"/>
    <w:rsid w:val="00BC374F"/>
    <w:rsid w:val="00BC5861"/>
    <w:rsid w:val="00BC5BF1"/>
    <w:rsid w:val="00BC5F0A"/>
    <w:rsid w:val="00BC687A"/>
    <w:rsid w:val="00BC7B0D"/>
    <w:rsid w:val="00BC7D84"/>
    <w:rsid w:val="00BD0430"/>
    <w:rsid w:val="00BD2D01"/>
    <w:rsid w:val="00BD5B1C"/>
    <w:rsid w:val="00BD6307"/>
    <w:rsid w:val="00BE10FA"/>
    <w:rsid w:val="00BE2F2E"/>
    <w:rsid w:val="00BE69EE"/>
    <w:rsid w:val="00BF11F1"/>
    <w:rsid w:val="00BF40F8"/>
    <w:rsid w:val="00BF4394"/>
    <w:rsid w:val="00BF6445"/>
    <w:rsid w:val="00BF7602"/>
    <w:rsid w:val="00C0093B"/>
    <w:rsid w:val="00C00B89"/>
    <w:rsid w:val="00C0520F"/>
    <w:rsid w:val="00C06522"/>
    <w:rsid w:val="00C071B8"/>
    <w:rsid w:val="00C107CC"/>
    <w:rsid w:val="00C11820"/>
    <w:rsid w:val="00C1309E"/>
    <w:rsid w:val="00C13311"/>
    <w:rsid w:val="00C17073"/>
    <w:rsid w:val="00C17211"/>
    <w:rsid w:val="00C20022"/>
    <w:rsid w:val="00C20830"/>
    <w:rsid w:val="00C21775"/>
    <w:rsid w:val="00C23DF5"/>
    <w:rsid w:val="00C339DE"/>
    <w:rsid w:val="00C34BCA"/>
    <w:rsid w:val="00C35186"/>
    <w:rsid w:val="00C41D92"/>
    <w:rsid w:val="00C4368F"/>
    <w:rsid w:val="00C44F94"/>
    <w:rsid w:val="00C52117"/>
    <w:rsid w:val="00C57674"/>
    <w:rsid w:val="00C62873"/>
    <w:rsid w:val="00C63B3D"/>
    <w:rsid w:val="00C65814"/>
    <w:rsid w:val="00C67AF4"/>
    <w:rsid w:val="00C70148"/>
    <w:rsid w:val="00C71404"/>
    <w:rsid w:val="00C7198F"/>
    <w:rsid w:val="00C766D6"/>
    <w:rsid w:val="00C80994"/>
    <w:rsid w:val="00C81C79"/>
    <w:rsid w:val="00C8410C"/>
    <w:rsid w:val="00C86872"/>
    <w:rsid w:val="00C9021D"/>
    <w:rsid w:val="00C902AE"/>
    <w:rsid w:val="00C90711"/>
    <w:rsid w:val="00C95BEF"/>
    <w:rsid w:val="00C95F66"/>
    <w:rsid w:val="00C97938"/>
    <w:rsid w:val="00CA1277"/>
    <w:rsid w:val="00CA1749"/>
    <w:rsid w:val="00CA4B4E"/>
    <w:rsid w:val="00CA5004"/>
    <w:rsid w:val="00CA70BE"/>
    <w:rsid w:val="00CB06C1"/>
    <w:rsid w:val="00CB204B"/>
    <w:rsid w:val="00CB5322"/>
    <w:rsid w:val="00CB7189"/>
    <w:rsid w:val="00CC1A09"/>
    <w:rsid w:val="00CC20C2"/>
    <w:rsid w:val="00CC4FF9"/>
    <w:rsid w:val="00CC59D6"/>
    <w:rsid w:val="00CC70D3"/>
    <w:rsid w:val="00CC79E9"/>
    <w:rsid w:val="00CD437B"/>
    <w:rsid w:val="00CD529B"/>
    <w:rsid w:val="00CD7A87"/>
    <w:rsid w:val="00CE22CD"/>
    <w:rsid w:val="00CE30C9"/>
    <w:rsid w:val="00CE3BB4"/>
    <w:rsid w:val="00CE3D9C"/>
    <w:rsid w:val="00CE7257"/>
    <w:rsid w:val="00CF08C9"/>
    <w:rsid w:val="00CF2C97"/>
    <w:rsid w:val="00CF3EAA"/>
    <w:rsid w:val="00D03763"/>
    <w:rsid w:val="00D03CDA"/>
    <w:rsid w:val="00D05552"/>
    <w:rsid w:val="00D1396A"/>
    <w:rsid w:val="00D142E0"/>
    <w:rsid w:val="00D14C7C"/>
    <w:rsid w:val="00D16B8C"/>
    <w:rsid w:val="00D16E1D"/>
    <w:rsid w:val="00D202EF"/>
    <w:rsid w:val="00D21F21"/>
    <w:rsid w:val="00D250C5"/>
    <w:rsid w:val="00D3394E"/>
    <w:rsid w:val="00D34FCC"/>
    <w:rsid w:val="00D414EB"/>
    <w:rsid w:val="00D42518"/>
    <w:rsid w:val="00D4305A"/>
    <w:rsid w:val="00D442AC"/>
    <w:rsid w:val="00D44F48"/>
    <w:rsid w:val="00D46A64"/>
    <w:rsid w:val="00D54AB5"/>
    <w:rsid w:val="00D5768B"/>
    <w:rsid w:val="00D576E2"/>
    <w:rsid w:val="00D60B77"/>
    <w:rsid w:val="00D63200"/>
    <w:rsid w:val="00D64A61"/>
    <w:rsid w:val="00D6615F"/>
    <w:rsid w:val="00D71A97"/>
    <w:rsid w:val="00D8091F"/>
    <w:rsid w:val="00D81DFA"/>
    <w:rsid w:val="00D86066"/>
    <w:rsid w:val="00D9067D"/>
    <w:rsid w:val="00D91261"/>
    <w:rsid w:val="00D922F8"/>
    <w:rsid w:val="00D92372"/>
    <w:rsid w:val="00D92ED6"/>
    <w:rsid w:val="00D93023"/>
    <w:rsid w:val="00D95E41"/>
    <w:rsid w:val="00D96A1C"/>
    <w:rsid w:val="00DA0465"/>
    <w:rsid w:val="00DA09A3"/>
    <w:rsid w:val="00DA0E4F"/>
    <w:rsid w:val="00DA46AC"/>
    <w:rsid w:val="00DA553E"/>
    <w:rsid w:val="00DA5925"/>
    <w:rsid w:val="00DA6F93"/>
    <w:rsid w:val="00DA7005"/>
    <w:rsid w:val="00DA7BC5"/>
    <w:rsid w:val="00DB15C8"/>
    <w:rsid w:val="00DB3039"/>
    <w:rsid w:val="00DB3282"/>
    <w:rsid w:val="00DB32D0"/>
    <w:rsid w:val="00DB360B"/>
    <w:rsid w:val="00DB5980"/>
    <w:rsid w:val="00DB79CE"/>
    <w:rsid w:val="00DC18DE"/>
    <w:rsid w:val="00DC3B98"/>
    <w:rsid w:val="00DC4209"/>
    <w:rsid w:val="00DD11A7"/>
    <w:rsid w:val="00DD2190"/>
    <w:rsid w:val="00DD31DE"/>
    <w:rsid w:val="00DD6EF9"/>
    <w:rsid w:val="00DE3A23"/>
    <w:rsid w:val="00DE414B"/>
    <w:rsid w:val="00DE4A0D"/>
    <w:rsid w:val="00DF16EE"/>
    <w:rsid w:val="00DF1F2C"/>
    <w:rsid w:val="00DF2AC4"/>
    <w:rsid w:val="00DF346D"/>
    <w:rsid w:val="00DF606B"/>
    <w:rsid w:val="00DF60F5"/>
    <w:rsid w:val="00E010A9"/>
    <w:rsid w:val="00E01179"/>
    <w:rsid w:val="00E0653F"/>
    <w:rsid w:val="00E0670F"/>
    <w:rsid w:val="00E073FF"/>
    <w:rsid w:val="00E11C2C"/>
    <w:rsid w:val="00E157AB"/>
    <w:rsid w:val="00E159C8"/>
    <w:rsid w:val="00E160F4"/>
    <w:rsid w:val="00E17834"/>
    <w:rsid w:val="00E218FC"/>
    <w:rsid w:val="00E21DBB"/>
    <w:rsid w:val="00E228B8"/>
    <w:rsid w:val="00E240AE"/>
    <w:rsid w:val="00E2589A"/>
    <w:rsid w:val="00E25E15"/>
    <w:rsid w:val="00E26F64"/>
    <w:rsid w:val="00E31B2F"/>
    <w:rsid w:val="00E3294E"/>
    <w:rsid w:val="00E3738D"/>
    <w:rsid w:val="00E40394"/>
    <w:rsid w:val="00E40B88"/>
    <w:rsid w:val="00E40BA8"/>
    <w:rsid w:val="00E4359B"/>
    <w:rsid w:val="00E45D05"/>
    <w:rsid w:val="00E475A6"/>
    <w:rsid w:val="00E54071"/>
    <w:rsid w:val="00E5485C"/>
    <w:rsid w:val="00E55635"/>
    <w:rsid w:val="00E56598"/>
    <w:rsid w:val="00E66763"/>
    <w:rsid w:val="00E66AD8"/>
    <w:rsid w:val="00E67005"/>
    <w:rsid w:val="00E67952"/>
    <w:rsid w:val="00E705D0"/>
    <w:rsid w:val="00E713AF"/>
    <w:rsid w:val="00E716D6"/>
    <w:rsid w:val="00E72006"/>
    <w:rsid w:val="00E73EC9"/>
    <w:rsid w:val="00E76EEB"/>
    <w:rsid w:val="00E817E8"/>
    <w:rsid w:val="00E81CF8"/>
    <w:rsid w:val="00E8299B"/>
    <w:rsid w:val="00E8514A"/>
    <w:rsid w:val="00E87583"/>
    <w:rsid w:val="00E87D02"/>
    <w:rsid w:val="00E90953"/>
    <w:rsid w:val="00E91D8D"/>
    <w:rsid w:val="00E9389F"/>
    <w:rsid w:val="00E97DD5"/>
    <w:rsid w:val="00EA6FA3"/>
    <w:rsid w:val="00EB2B40"/>
    <w:rsid w:val="00EB5FCA"/>
    <w:rsid w:val="00EC046D"/>
    <w:rsid w:val="00EC636E"/>
    <w:rsid w:val="00EC6A16"/>
    <w:rsid w:val="00EC759F"/>
    <w:rsid w:val="00ED1126"/>
    <w:rsid w:val="00ED11A9"/>
    <w:rsid w:val="00ED1BC2"/>
    <w:rsid w:val="00ED2E1C"/>
    <w:rsid w:val="00ED4268"/>
    <w:rsid w:val="00ED77C3"/>
    <w:rsid w:val="00EE00FC"/>
    <w:rsid w:val="00EE3BD3"/>
    <w:rsid w:val="00EE5F0F"/>
    <w:rsid w:val="00EE619D"/>
    <w:rsid w:val="00EF1F68"/>
    <w:rsid w:val="00EF53B6"/>
    <w:rsid w:val="00EF63CF"/>
    <w:rsid w:val="00EF749F"/>
    <w:rsid w:val="00EF74AD"/>
    <w:rsid w:val="00EF7E9D"/>
    <w:rsid w:val="00F005E1"/>
    <w:rsid w:val="00F0148D"/>
    <w:rsid w:val="00F02511"/>
    <w:rsid w:val="00F05874"/>
    <w:rsid w:val="00F06053"/>
    <w:rsid w:val="00F074C3"/>
    <w:rsid w:val="00F10ED8"/>
    <w:rsid w:val="00F16B50"/>
    <w:rsid w:val="00F23148"/>
    <w:rsid w:val="00F235A7"/>
    <w:rsid w:val="00F24E0C"/>
    <w:rsid w:val="00F254B6"/>
    <w:rsid w:val="00F25D87"/>
    <w:rsid w:val="00F27945"/>
    <w:rsid w:val="00F27FE1"/>
    <w:rsid w:val="00F3060D"/>
    <w:rsid w:val="00F31EEB"/>
    <w:rsid w:val="00F357AB"/>
    <w:rsid w:val="00F40B63"/>
    <w:rsid w:val="00F40F99"/>
    <w:rsid w:val="00F41ADC"/>
    <w:rsid w:val="00F464AE"/>
    <w:rsid w:val="00F516F0"/>
    <w:rsid w:val="00F51CC3"/>
    <w:rsid w:val="00F53C79"/>
    <w:rsid w:val="00F56F4B"/>
    <w:rsid w:val="00F57518"/>
    <w:rsid w:val="00F61EDD"/>
    <w:rsid w:val="00F621B9"/>
    <w:rsid w:val="00F63631"/>
    <w:rsid w:val="00F636AD"/>
    <w:rsid w:val="00F7005B"/>
    <w:rsid w:val="00F71D52"/>
    <w:rsid w:val="00F72D24"/>
    <w:rsid w:val="00F8317E"/>
    <w:rsid w:val="00F844C2"/>
    <w:rsid w:val="00F858D9"/>
    <w:rsid w:val="00F86991"/>
    <w:rsid w:val="00F86EED"/>
    <w:rsid w:val="00F92F39"/>
    <w:rsid w:val="00F93A0F"/>
    <w:rsid w:val="00F97651"/>
    <w:rsid w:val="00FA03A5"/>
    <w:rsid w:val="00FA0C20"/>
    <w:rsid w:val="00FA3444"/>
    <w:rsid w:val="00FA46F4"/>
    <w:rsid w:val="00FA549B"/>
    <w:rsid w:val="00FA5F64"/>
    <w:rsid w:val="00FB5BB0"/>
    <w:rsid w:val="00FB603D"/>
    <w:rsid w:val="00FC0769"/>
    <w:rsid w:val="00FC1AF6"/>
    <w:rsid w:val="00FC26C8"/>
    <w:rsid w:val="00FC67ED"/>
    <w:rsid w:val="00FD0721"/>
    <w:rsid w:val="00FD37C4"/>
    <w:rsid w:val="00FD5EC1"/>
    <w:rsid w:val="00FD667F"/>
    <w:rsid w:val="00FE0B89"/>
    <w:rsid w:val="00FE4EC4"/>
    <w:rsid w:val="00FE565D"/>
    <w:rsid w:val="00FE6C0F"/>
    <w:rsid w:val="00FE6E39"/>
    <w:rsid w:val="00FF0E29"/>
    <w:rsid w:val="00FF441A"/>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CFED"/>
  <w15:docId w15:val="{C8FAA8F4-C7BB-44DC-9F01-D55D057B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semiHidden/>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semiHidden/>
    <w:rsid w:val="00C00B89"/>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AF41DC"/>
    <w:pPr>
      <w:spacing w:after="0" w:line="240" w:lineRule="auto"/>
    </w:pPr>
    <w:rPr>
      <w:rFonts w:ascii="Times LatArm" w:eastAsia="Times New Roman" w:hAnsi="Times LatArm" w:cs="Times New Roman"/>
      <w:sz w:val="24"/>
      <w:szCs w:val="24"/>
    </w:rPr>
  </w:style>
  <w:style w:type="paragraph" w:styleId="BalloonText">
    <w:name w:val="Balloon Text"/>
    <w:basedOn w:val="Normal"/>
    <w:link w:val="BalloonTextChar"/>
    <w:uiPriority w:val="99"/>
    <w:semiHidden/>
    <w:unhideWhenUsed/>
    <w:rsid w:val="00AF41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1DC"/>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8F3FFF"/>
    <w:rPr>
      <w:sz w:val="16"/>
      <w:szCs w:val="16"/>
    </w:rPr>
  </w:style>
  <w:style w:type="paragraph" w:styleId="CommentText">
    <w:name w:val="annotation text"/>
    <w:basedOn w:val="Normal"/>
    <w:link w:val="CommentTextChar"/>
    <w:uiPriority w:val="99"/>
    <w:semiHidden/>
    <w:unhideWhenUsed/>
    <w:rsid w:val="008F3FFF"/>
    <w:rPr>
      <w:sz w:val="20"/>
      <w:szCs w:val="20"/>
    </w:rPr>
  </w:style>
  <w:style w:type="character" w:customStyle="1" w:styleId="CommentTextChar">
    <w:name w:val="Comment Text Char"/>
    <w:basedOn w:val="DefaultParagraphFont"/>
    <w:link w:val="CommentText"/>
    <w:uiPriority w:val="99"/>
    <w:semiHidden/>
    <w:rsid w:val="008F3FFF"/>
    <w:rPr>
      <w:rFonts w:ascii="Times LatArm" w:eastAsia="Times New Roman" w:hAnsi="Times LatArm" w:cs="Times New Roman"/>
      <w:sz w:val="20"/>
      <w:szCs w:val="20"/>
    </w:rPr>
  </w:style>
  <w:style w:type="paragraph" w:styleId="CommentSubject">
    <w:name w:val="annotation subject"/>
    <w:basedOn w:val="CommentText"/>
    <w:next w:val="CommentText"/>
    <w:link w:val="CommentSubjectChar"/>
    <w:uiPriority w:val="99"/>
    <w:semiHidden/>
    <w:unhideWhenUsed/>
    <w:rsid w:val="008F3FFF"/>
    <w:rPr>
      <w:b/>
      <w:bCs/>
    </w:rPr>
  </w:style>
  <w:style w:type="character" w:customStyle="1" w:styleId="CommentSubjectChar">
    <w:name w:val="Comment Subject Char"/>
    <w:basedOn w:val="CommentTextChar"/>
    <w:link w:val="CommentSubject"/>
    <w:uiPriority w:val="99"/>
    <w:semiHidden/>
    <w:rsid w:val="008F3FFF"/>
    <w:rPr>
      <w:rFonts w:ascii="Times LatArm" w:eastAsia="Times New Roman" w:hAnsi="Times LatArm"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gov.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0938C-95AF-436C-887C-F3D76FF5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26</Pages>
  <Words>9588</Words>
  <Characters>54653</Characters>
  <Application>Microsoft Office Word</Application>
  <DocSecurity>0</DocSecurity>
  <Lines>455</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10</cp:revision>
  <dcterms:created xsi:type="dcterms:W3CDTF">2018-09-12T06:36:00Z</dcterms:created>
  <dcterms:modified xsi:type="dcterms:W3CDTF">2024-02-02T13:35:00Z</dcterms:modified>
</cp:coreProperties>
</file>