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A180E" w14:textId="77777777" w:rsidR="00C00B89" w:rsidRPr="00565F75" w:rsidRDefault="00C00B89" w:rsidP="00C00B89">
      <w:pPr>
        <w:pStyle w:val="Heading1"/>
        <w:spacing w:line="312" w:lineRule="auto"/>
        <w:ind w:right="-3969" w:firstLine="4536"/>
        <w:jc w:val="right"/>
        <w:rPr>
          <w:rFonts w:ascii="Garamond" w:hAnsi="Garamond" w:cs="Sylfaen"/>
          <w:color w:val="1F497D" w:themeColor="text2"/>
          <w:spacing w:val="20"/>
          <w:w w:val="110"/>
          <w:sz w:val="24"/>
          <w:szCs w:val="22"/>
          <w:u w:val="none"/>
          <w:lang w:val="en-US"/>
        </w:rPr>
      </w:pPr>
      <w:r w:rsidRPr="00565F75">
        <w:rPr>
          <w:rFonts w:ascii="Garamond" w:hAnsi="Garamond" w:cs="Sylfaen"/>
          <w:color w:val="1F497D" w:themeColor="text2"/>
          <w:spacing w:val="20"/>
          <w:w w:val="110"/>
          <w:sz w:val="24"/>
          <w:szCs w:val="22"/>
          <w:u w:val="none"/>
          <w:lang w:val="en-US"/>
        </w:rPr>
        <w:t xml:space="preserve"> CENTRAL BANK </w:t>
      </w:r>
    </w:p>
    <w:p w14:paraId="1B39A54F" w14:textId="77777777" w:rsidR="003D1442" w:rsidRPr="00565F75" w:rsidRDefault="009C5100" w:rsidP="00C00B89">
      <w:pPr>
        <w:autoSpaceDE w:val="0"/>
        <w:autoSpaceDN w:val="0"/>
        <w:adjustRightInd w:val="0"/>
        <w:spacing w:after="120" w:line="360" w:lineRule="auto"/>
        <w:jc w:val="right"/>
        <w:rPr>
          <w:rFonts w:ascii="Garamond" w:hAnsi="Garamond" w:cs="Sylfaen"/>
          <w:b/>
          <w:color w:val="1F497D" w:themeColor="text2"/>
          <w:spacing w:val="20"/>
          <w:w w:val="110"/>
          <w:szCs w:val="22"/>
        </w:rPr>
      </w:pPr>
      <w:r>
        <w:rPr>
          <w:rFonts w:ascii="Garamond" w:hAnsi="Garamond" w:cs="Sylfaen"/>
          <w:b/>
          <w:color w:val="1F497D" w:themeColor="text2"/>
          <w:spacing w:val="20"/>
          <w:w w:val="110"/>
          <w:szCs w:val="22"/>
        </w:rPr>
        <w:t>T</w:t>
      </w:r>
      <w:r w:rsidR="00C00B89" w:rsidRPr="00565F75">
        <w:rPr>
          <w:rFonts w:ascii="Garamond" w:hAnsi="Garamond" w:cs="Sylfaen"/>
          <w:b/>
          <w:color w:val="1F497D" w:themeColor="text2"/>
          <w:spacing w:val="20"/>
          <w:w w:val="110"/>
          <w:szCs w:val="22"/>
        </w:rPr>
        <w:t>HE CENTRAL BANK OF THE REPUBLIC OF ARMENIA</w:t>
      </w:r>
    </w:p>
    <w:p w14:paraId="0D878179" w14:textId="77777777" w:rsidR="00AE73E6" w:rsidRDefault="00C00B89" w:rsidP="00C00B89">
      <w:pPr>
        <w:autoSpaceDE w:val="0"/>
        <w:autoSpaceDN w:val="0"/>
        <w:adjustRightInd w:val="0"/>
        <w:spacing w:after="120" w:line="360" w:lineRule="auto"/>
        <w:jc w:val="right"/>
        <w:rPr>
          <w:rFonts w:ascii="Garamond" w:hAnsi="Garamond" w:cs="Sylfaen"/>
          <w:b/>
          <w:i/>
          <w:color w:val="002060"/>
          <w:spacing w:val="4"/>
          <w:w w:val="110"/>
          <w:szCs w:val="22"/>
        </w:rPr>
      </w:pPr>
      <w:r w:rsidRPr="00565F75">
        <w:rPr>
          <w:rFonts w:ascii="Garamond" w:hAnsi="Garamond" w:cs="Sylfaen"/>
          <w:b/>
          <w:i/>
          <w:color w:val="002060"/>
          <w:spacing w:val="4"/>
          <w:w w:val="110"/>
          <w:szCs w:val="22"/>
        </w:rPr>
        <w:t xml:space="preserve">Approved under the Central Bank Board </w:t>
      </w:r>
    </w:p>
    <w:p w14:paraId="227EB429" w14:textId="77777777" w:rsidR="00C00B89" w:rsidRPr="00565F75" w:rsidRDefault="00C00B89" w:rsidP="00C00B89">
      <w:pPr>
        <w:autoSpaceDE w:val="0"/>
        <w:autoSpaceDN w:val="0"/>
        <w:adjustRightInd w:val="0"/>
        <w:spacing w:after="120" w:line="360" w:lineRule="auto"/>
        <w:jc w:val="right"/>
        <w:rPr>
          <w:rFonts w:ascii="Garamond" w:hAnsi="Garamond"/>
          <w:b/>
          <w:color w:val="0070C0"/>
          <w:szCs w:val="22"/>
        </w:rPr>
      </w:pPr>
      <w:r w:rsidRPr="00565F75">
        <w:rPr>
          <w:rFonts w:ascii="Garamond" w:hAnsi="Garamond" w:cs="Sylfaen"/>
          <w:b/>
          <w:i/>
          <w:color w:val="002060"/>
          <w:spacing w:val="4"/>
          <w:w w:val="110"/>
          <w:szCs w:val="22"/>
        </w:rPr>
        <w:t xml:space="preserve">Resolution No. </w:t>
      </w:r>
      <w:r w:rsidR="00AE73E6">
        <w:rPr>
          <w:rFonts w:ascii="Garamond" w:hAnsi="Garamond" w:cs="Sylfaen"/>
          <w:b/>
          <w:i/>
          <w:color w:val="002060"/>
          <w:spacing w:val="4"/>
          <w:w w:val="110"/>
          <w:szCs w:val="22"/>
        </w:rPr>
        <w:t>3</w:t>
      </w:r>
      <w:r w:rsidR="00276D6F">
        <w:rPr>
          <w:rFonts w:ascii="Garamond" w:hAnsi="Garamond" w:cs="Sylfaen"/>
          <w:b/>
          <w:i/>
          <w:color w:val="002060"/>
          <w:spacing w:val="4"/>
          <w:w w:val="110"/>
          <w:szCs w:val="22"/>
        </w:rPr>
        <w:t>6</w:t>
      </w:r>
      <w:r w:rsidRPr="00565F75">
        <w:rPr>
          <w:rFonts w:ascii="Garamond" w:hAnsi="Garamond" w:cs="Sylfaen"/>
          <w:b/>
          <w:i/>
          <w:color w:val="002060"/>
          <w:spacing w:val="4"/>
          <w:w w:val="110"/>
          <w:szCs w:val="22"/>
        </w:rPr>
        <w:t xml:space="preserve">A, dated </w:t>
      </w:r>
      <w:r w:rsidR="00276D6F">
        <w:rPr>
          <w:rFonts w:ascii="Garamond" w:hAnsi="Garamond" w:cs="Sylfaen"/>
          <w:b/>
          <w:i/>
          <w:color w:val="002060"/>
          <w:spacing w:val="4"/>
          <w:w w:val="110"/>
          <w:szCs w:val="22"/>
        </w:rPr>
        <w:t>March</w:t>
      </w:r>
      <w:r w:rsidRPr="00565F75">
        <w:rPr>
          <w:rFonts w:ascii="Garamond" w:hAnsi="Garamond" w:cs="Sylfaen"/>
          <w:b/>
          <w:i/>
          <w:color w:val="002060"/>
          <w:spacing w:val="4"/>
          <w:w w:val="110"/>
          <w:szCs w:val="22"/>
        </w:rPr>
        <w:t xml:space="preserve"> 2</w:t>
      </w:r>
      <w:r w:rsidR="00276D6F">
        <w:rPr>
          <w:rFonts w:ascii="Garamond" w:hAnsi="Garamond" w:cs="Sylfaen"/>
          <w:b/>
          <w:i/>
          <w:color w:val="002060"/>
          <w:spacing w:val="4"/>
          <w:w w:val="110"/>
          <w:szCs w:val="22"/>
        </w:rPr>
        <w:t>6</w:t>
      </w:r>
      <w:r w:rsidRPr="00565F75">
        <w:rPr>
          <w:rFonts w:ascii="Garamond" w:hAnsi="Garamond" w:cs="Sylfaen"/>
          <w:b/>
          <w:i/>
          <w:color w:val="002060"/>
          <w:spacing w:val="4"/>
          <w:w w:val="110"/>
          <w:szCs w:val="22"/>
        </w:rPr>
        <w:t>, 201</w:t>
      </w:r>
      <w:r w:rsidR="00276D6F">
        <w:rPr>
          <w:rFonts w:ascii="Garamond" w:hAnsi="Garamond" w:cs="Sylfaen"/>
          <w:b/>
          <w:i/>
          <w:color w:val="002060"/>
          <w:spacing w:val="4"/>
          <w:w w:val="110"/>
          <w:szCs w:val="22"/>
        </w:rPr>
        <w:t>9</w:t>
      </w:r>
    </w:p>
    <w:p w14:paraId="71D23B05" w14:textId="77777777" w:rsidR="00C00B89" w:rsidRPr="00565F75" w:rsidRDefault="00C00B89" w:rsidP="00EE619D">
      <w:pPr>
        <w:autoSpaceDE w:val="0"/>
        <w:autoSpaceDN w:val="0"/>
        <w:adjustRightInd w:val="0"/>
        <w:spacing w:after="120" w:line="360" w:lineRule="auto"/>
        <w:jc w:val="both"/>
        <w:rPr>
          <w:rFonts w:ascii="Garamond" w:hAnsi="Garamond"/>
          <w:b/>
          <w:color w:val="0070C0"/>
          <w:szCs w:val="22"/>
        </w:rPr>
      </w:pPr>
    </w:p>
    <w:p w14:paraId="292F1C83" w14:textId="77777777" w:rsidR="00C00B89" w:rsidRPr="00565F75" w:rsidRDefault="00C00B89" w:rsidP="00C00B89">
      <w:pPr>
        <w:autoSpaceDE w:val="0"/>
        <w:autoSpaceDN w:val="0"/>
        <w:adjustRightInd w:val="0"/>
        <w:spacing w:after="120" w:line="360" w:lineRule="auto"/>
        <w:jc w:val="right"/>
        <w:rPr>
          <w:rFonts w:ascii="Garamond" w:hAnsi="Garamond"/>
          <w:b/>
          <w:color w:val="1F497D" w:themeColor="text2"/>
          <w:spacing w:val="40"/>
          <w:w w:val="110"/>
          <w:szCs w:val="22"/>
        </w:rPr>
      </w:pPr>
      <w:r w:rsidRPr="00565F75">
        <w:rPr>
          <w:rFonts w:ascii="Garamond" w:hAnsi="Garamond"/>
          <w:b/>
          <w:color w:val="1F497D" w:themeColor="text2"/>
          <w:spacing w:val="40"/>
          <w:w w:val="110"/>
          <w:szCs w:val="22"/>
        </w:rPr>
        <w:t>Inflation Report</w:t>
      </w:r>
    </w:p>
    <w:p w14:paraId="0F65A46F" w14:textId="77777777" w:rsidR="00C00B89" w:rsidRPr="00565F75" w:rsidRDefault="00C00B89" w:rsidP="00EE619D">
      <w:pPr>
        <w:autoSpaceDE w:val="0"/>
        <w:autoSpaceDN w:val="0"/>
        <w:adjustRightInd w:val="0"/>
        <w:spacing w:after="120" w:line="360" w:lineRule="auto"/>
        <w:jc w:val="both"/>
        <w:rPr>
          <w:rFonts w:ascii="Garamond" w:hAnsi="Garamond"/>
          <w:b/>
          <w:color w:val="1F497D" w:themeColor="text2"/>
          <w:spacing w:val="40"/>
          <w:w w:val="110"/>
          <w:szCs w:val="22"/>
        </w:rPr>
      </w:pPr>
    </w:p>
    <w:p w14:paraId="4961FDCE" w14:textId="77777777" w:rsidR="00C00B89" w:rsidRPr="00565F75" w:rsidRDefault="00C00B89" w:rsidP="00C00B89">
      <w:pPr>
        <w:autoSpaceDE w:val="0"/>
        <w:autoSpaceDN w:val="0"/>
        <w:adjustRightInd w:val="0"/>
        <w:spacing w:after="120" w:line="360" w:lineRule="auto"/>
        <w:jc w:val="right"/>
        <w:rPr>
          <w:rFonts w:ascii="Garamond" w:hAnsi="Garamond"/>
          <w:b/>
          <w:color w:val="1F497D" w:themeColor="text2"/>
          <w:szCs w:val="22"/>
        </w:rPr>
      </w:pPr>
      <w:r w:rsidRPr="00565F75">
        <w:rPr>
          <w:rFonts w:ascii="Garamond" w:hAnsi="Garamond"/>
          <w:b/>
          <w:color w:val="1F497D" w:themeColor="text2"/>
          <w:szCs w:val="22"/>
        </w:rPr>
        <w:t>Monetary Policy Program, Q</w:t>
      </w:r>
      <w:r w:rsidR="00276D6F">
        <w:rPr>
          <w:rFonts w:ascii="Garamond" w:hAnsi="Garamond"/>
          <w:b/>
          <w:color w:val="1F497D" w:themeColor="text2"/>
          <w:szCs w:val="22"/>
        </w:rPr>
        <w:t>1</w:t>
      </w:r>
      <w:r w:rsidRPr="00565F75">
        <w:rPr>
          <w:rFonts w:ascii="Garamond" w:hAnsi="Garamond"/>
          <w:b/>
          <w:color w:val="1F497D" w:themeColor="text2"/>
          <w:szCs w:val="22"/>
        </w:rPr>
        <w:t>, 201</w:t>
      </w:r>
      <w:r w:rsidR="00276D6F">
        <w:rPr>
          <w:rFonts w:ascii="Garamond" w:hAnsi="Garamond"/>
          <w:b/>
          <w:color w:val="1F497D" w:themeColor="text2"/>
          <w:szCs w:val="22"/>
        </w:rPr>
        <w:t>9</w:t>
      </w:r>
    </w:p>
    <w:p w14:paraId="4F52AC9D" w14:textId="77777777" w:rsidR="00C00B89" w:rsidRPr="00565F75" w:rsidRDefault="00C00B89" w:rsidP="00C00B89">
      <w:pPr>
        <w:autoSpaceDE w:val="0"/>
        <w:autoSpaceDN w:val="0"/>
        <w:adjustRightInd w:val="0"/>
        <w:spacing w:after="120" w:line="360" w:lineRule="auto"/>
        <w:jc w:val="right"/>
        <w:rPr>
          <w:rFonts w:ascii="Garamond" w:hAnsi="Garamond" w:cs="Sylfaen"/>
          <w:b/>
          <w:color w:val="1F497D" w:themeColor="text2"/>
          <w:szCs w:val="22"/>
        </w:rPr>
      </w:pPr>
      <w:r w:rsidRPr="00565F75">
        <w:rPr>
          <w:rFonts w:ascii="Garamond" w:hAnsi="Garamond" w:cs="Sylfaen"/>
          <w:b/>
          <w:color w:val="1F497D" w:themeColor="text2"/>
          <w:szCs w:val="22"/>
          <w:lang w:val="hy-AM"/>
        </w:rPr>
        <w:sym w:font="Wingdings 2" w:char="F0E7"/>
      </w:r>
    </w:p>
    <w:p w14:paraId="31B4E8A4" w14:textId="77777777" w:rsidR="00C00B89" w:rsidRPr="00565F75" w:rsidRDefault="00C00B89" w:rsidP="00C00B89">
      <w:pPr>
        <w:autoSpaceDE w:val="0"/>
        <w:autoSpaceDN w:val="0"/>
        <w:adjustRightInd w:val="0"/>
        <w:spacing w:after="120" w:line="360" w:lineRule="auto"/>
        <w:jc w:val="right"/>
        <w:rPr>
          <w:rFonts w:ascii="Garamond" w:hAnsi="Garamond"/>
          <w:b/>
          <w:color w:val="0070C0"/>
          <w:szCs w:val="22"/>
        </w:rPr>
      </w:pPr>
      <w:r w:rsidRPr="00565F75">
        <w:rPr>
          <w:rFonts w:ascii="Garamond" w:hAnsi="Garamond"/>
          <w:b/>
          <w:color w:val="1F497D" w:themeColor="text2"/>
          <w:szCs w:val="22"/>
        </w:rPr>
        <w:t>Status Report on Implementation of the Monetary Policy Program, Q</w:t>
      </w:r>
      <w:r w:rsidR="00276D6F">
        <w:rPr>
          <w:rFonts w:ascii="Garamond" w:hAnsi="Garamond"/>
          <w:b/>
          <w:color w:val="1F497D" w:themeColor="text2"/>
          <w:szCs w:val="22"/>
        </w:rPr>
        <w:t>4</w:t>
      </w:r>
      <w:r w:rsidRPr="00565F75">
        <w:rPr>
          <w:rFonts w:ascii="Garamond" w:hAnsi="Garamond"/>
          <w:b/>
          <w:color w:val="1F497D" w:themeColor="text2"/>
          <w:szCs w:val="22"/>
        </w:rPr>
        <w:t>, 2018</w:t>
      </w:r>
    </w:p>
    <w:p w14:paraId="044D9ABF" w14:textId="77777777" w:rsidR="00C00B89" w:rsidRPr="00EE5F0F" w:rsidRDefault="00C00B89" w:rsidP="00EE619D">
      <w:pPr>
        <w:autoSpaceDE w:val="0"/>
        <w:autoSpaceDN w:val="0"/>
        <w:adjustRightInd w:val="0"/>
        <w:spacing w:after="120" w:line="360" w:lineRule="auto"/>
        <w:jc w:val="both"/>
        <w:rPr>
          <w:rFonts w:ascii="Garamond" w:hAnsi="Garamond"/>
          <w:b/>
          <w:color w:val="0070C0"/>
          <w:sz w:val="22"/>
          <w:szCs w:val="22"/>
        </w:rPr>
      </w:pPr>
    </w:p>
    <w:p w14:paraId="30364996"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The inflation targeting strategy of the Central Bank of Armenia highlights the importance of communicating of the Bank to the general public by publishing, inter alia, quarterly inflation reports.</w:t>
      </w:r>
    </w:p>
    <w:p w14:paraId="2DB1BBD0"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The first section of the inflation report includes the Monetary Policy Program that provides main directions of the monetary policy in the forecast horizon as well as forecasts of inflation and other macroeconomic indicators. These forecasts are based on the Bank’s assessment of the current situation and future assumptions by the Bank, which also include the impact of the Bank operations.</w:t>
      </w:r>
    </w:p>
    <w:p w14:paraId="167ED682"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The second section includes status report on implementation of the monetary policy program of the previous quarter, which presents the results of monetary policy implementation and covers the actual developments in the domestic economy.</w:t>
      </w:r>
    </w:p>
    <w:p w14:paraId="1AF7F8B2"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Publishing of inflation forecast and assumptions underlying it makes the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 cost reduction.</w:t>
      </w:r>
    </w:p>
    <w:p w14:paraId="360C725F"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According to the rule of monetary policy, the policy is aimed at minimizing the deviations between the 4% target and the inflation forecasts. The path to inflation rate shaped as a result of projected policy directions is published as a forecast probability distribution chart for the 12-quarter time horizon.</w:t>
      </w:r>
    </w:p>
    <w:p w14:paraId="168C78B6"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 xml:space="preserve">Projections in this report are based on the actual information available by </w:t>
      </w:r>
      <w:r w:rsidR="00276D6F">
        <w:rPr>
          <w:rFonts w:ascii="Garamond" w:hAnsi="Garamond" w:cs="Sylfaen"/>
          <w:i/>
          <w:sz w:val="22"/>
          <w:szCs w:val="22"/>
        </w:rPr>
        <w:t>March</w:t>
      </w:r>
      <w:r w:rsidRPr="00EE5F0F">
        <w:rPr>
          <w:rFonts w:ascii="Garamond" w:hAnsi="Garamond" w:cs="Sylfaen"/>
          <w:i/>
          <w:sz w:val="22"/>
          <w:szCs w:val="22"/>
          <w:lang w:val="hy-AM"/>
        </w:rPr>
        <w:t xml:space="preserve"> 1</w:t>
      </w:r>
      <w:r w:rsidR="00276D6F">
        <w:rPr>
          <w:rFonts w:ascii="Garamond" w:hAnsi="Garamond" w:cs="Sylfaen"/>
          <w:i/>
          <w:sz w:val="22"/>
          <w:szCs w:val="22"/>
        </w:rPr>
        <w:t>2</w:t>
      </w:r>
      <w:r w:rsidRPr="00EE5F0F">
        <w:rPr>
          <w:rFonts w:ascii="Garamond" w:hAnsi="Garamond" w:cs="Sylfaen"/>
          <w:i/>
          <w:sz w:val="22"/>
          <w:szCs w:val="22"/>
          <w:lang w:val="hy-AM"/>
        </w:rPr>
        <w:t>, 201</w:t>
      </w:r>
      <w:r w:rsidR="00276D6F">
        <w:rPr>
          <w:rFonts w:ascii="Garamond" w:hAnsi="Garamond" w:cs="Sylfaen"/>
          <w:i/>
          <w:sz w:val="22"/>
          <w:szCs w:val="22"/>
        </w:rPr>
        <w:t>9</w:t>
      </w:r>
      <w:r w:rsidRPr="00EE5F0F">
        <w:rPr>
          <w:rFonts w:ascii="Garamond" w:hAnsi="Garamond" w:cs="Sylfaen"/>
          <w:i/>
          <w:sz w:val="22"/>
          <w:szCs w:val="22"/>
          <w:lang w:val="hy-AM"/>
        </w:rPr>
        <w:t>, i.e. the day on which the refinancing rate was set, the results of a survey conducted by the Bank and the judgment made pursuant to the information on future developments of the macroeconomic environment.</w:t>
      </w:r>
    </w:p>
    <w:p w14:paraId="25FF9B8F" w14:textId="77777777" w:rsidR="00C00B89" w:rsidRPr="00EE5F0F" w:rsidRDefault="00C00B89" w:rsidP="00565F75">
      <w:pPr>
        <w:autoSpaceDE w:val="0"/>
        <w:autoSpaceDN w:val="0"/>
        <w:adjustRightInd w:val="0"/>
        <w:spacing w:after="120" w:line="360" w:lineRule="auto"/>
        <w:jc w:val="center"/>
        <w:rPr>
          <w:rFonts w:ascii="Garamond" w:hAnsi="Garamond"/>
          <w:b/>
          <w:color w:val="0070C0"/>
          <w:sz w:val="22"/>
          <w:szCs w:val="22"/>
        </w:rPr>
      </w:pPr>
      <w:r w:rsidRPr="00EE5F0F">
        <w:rPr>
          <w:rFonts w:ascii="Garamond" w:hAnsi="Garamond" w:cs="Sylfaen"/>
          <w:i/>
          <w:sz w:val="22"/>
          <w:szCs w:val="22"/>
          <w:lang w:val="hy-AM"/>
        </w:rPr>
        <w:t>All inflation reports which have been published to date are available on the Bank’s website which also contains all press-releases and other monetary policy-related publications.</w:t>
      </w:r>
    </w:p>
    <w:p w14:paraId="59FF94B0" w14:textId="77777777" w:rsidR="00C00B89" w:rsidRDefault="00C00B89" w:rsidP="00EE619D">
      <w:pPr>
        <w:autoSpaceDE w:val="0"/>
        <w:autoSpaceDN w:val="0"/>
        <w:adjustRightInd w:val="0"/>
        <w:spacing w:after="120" w:line="360" w:lineRule="auto"/>
        <w:jc w:val="both"/>
        <w:rPr>
          <w:rFonts w:ascii="Garamond" w:hAnsi="Garamond"/>
          <w:b/>
          <w:color w:val="0070C0"/>
          <w:sz w:val="22"/>
          <w:szCs w:val="22"/>
        </w:rPr>
      </w:pPr>
    </w:p>
    <w:p w14:paraId="3CF818AD" w14:textId="77777777" w:rsidR="006629EC" w:rsidRDefault="006629EC" w:rsidP="00EE619D">
      <w:pPr>
        <w:autoSpaceDE w:val="0"/>
        <w:autoSpaceDN w:val="0"/>
        <w:adjustRightInd w:val="0"/>
        <w:spacing w:after="120" w:line="360" w:lineRule="auto"/>
        <w:jc w:val="both"/>
        <w:rPr>
          <w:rFonts w:ascii="Garamond" w:hAnsi="Garamond"/>
          <w:b/>
          <w:color w:val="0070C0"/>
          <w:sz w:val="22"/>
          <w:szCs w:val="22"/>
        </w:rPr>
      </w:pPr>
    </w:p>
    <w:p w14:paraId="14D77E8A" w14:textId="77777777" w:rsidR="006629EC" w:rsidRPr="00EE5F0F" w:rsidRDefault="006629EC" w:rsidP="00EE619D">
      <w:pPr>
        <w:autoSpaceDE w:val="0"/>
        <w:autoSpaceDN w:val="0"/>
        <w:adjustRightInd w:val="0"/>
        <w:spacing w:after="120" w:line="360" w:lineRule="auto"/>
        <w:jc w:val="both"/>
        <w:rPr>
          <w:rFonts w:ascii="Garamond" w:hAnsi="Garamond"/>
          <w:b/>
          <w:color w:val="0070C0"/>
          <w:sz w:val="22"/>
          <w:szCs w:val="22"/>
        </w:rPr>
      </w:pP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6345"/>
      </w:tblGrid>
      <w:tr w:rsidR="007B1D1B" w:rsidRPr="00565F75" w14:paraId="64522147" w14:textId="77777777" w:rsidTr="00525AE5">
        <w:tc>
          <w:tcPr>
            <w:tcW w:w="6345" w:type="dxa"/>
            <w:shd w:val="clear" w:color="auto" w:fill="D9D9D9"/>
          </w:tcPr>
          <w:p w14:paraId="2A1E37DF" w14:textId="77777777" w:rsidR="007B1D1B" w:rsidRPr="00565F75" w:rsidRDefault="007B1D1B" w:rsidP="00525AE5">
            <w:pPr>
              <w:pStyle w:val="Heading1"/>
              <w:spacing w:before="60" w:after="60" w:line="240" w:lineRule="atLeast"/>
              <w:jc w:val="center"/>
              <w:rPr>
                <w:rFonts w:ascii="Garamond" w:hAnsi="Garamond"/>
                <w:bCs/>
                <w:color w:val="auto"/>
                <w:spacing w:val="40"/>
                <w:w w:val="150"/>
                <w:kern w:val="22"/>
                <w:sz w:val="20"/>
                <w:szCs w:val="20"/>
                <w:u w:val="none"/>
              </w:rPr>
            </w:pPr>
            <w:r w:rsidRPr="00565F75">
              <w:rPr>
                <w:rFonts w:ascii="Garamond" w:hAnsi="Garamond"/>
                <w:bCs/>
                <w:color w:val="1F497D" w:themeColor="text2"/>
                <w:spacing w:val="40"/>
                <w:w w:val="150"/>
                <w:kern w:val="22"/>
                <w:sz w:val="20"/>
                <w:szCs w:val="20"/>
                <w:u w:val="none"/>
                <w:lang w:val="en-US"/>
              </w:rPr>
              <w:t>Table of Contents</w:t>
            </w:r>
          </w:p>
        </w:tc>
      </w:tr>
    </w:tbl>
    <w:p w14:paraId="3DD394A2" w14:textId="77777777" w:rsidR="007B1D1B" w:rsidRPr="00565F75" w:rsidRDefault="007B1D1B" w:rsidP="007B1D1B">
      <w:pPr>
        <w:pStyle w:val="Header"/>
        <w:autoSpaceDE w:val="0"/>
        <w:autoSpaceDN w:val="0"/>
        <w:rPr>
          <w:rFonts w:ascii="Garamond" w:hAnsi="Garamond"/>
          <w:color w:val="FF0000"/>
          <w:sz w:val="20"/>
          <w:szCs w:val="20"/>
        </w:rPr>
      </w:pPr>
      <w:r w:rsidRPr="00565F75">
        <w:rPr>
          <w:rFonts w:ascii="Garamond" w:hAnsi="Garamond"/>
          <w:noProof/>
          <w:color w:val="FF0000"/>
          <w:sz w:val="20"/>
          <w:szCs w:val="20"/>
        </w:rPr>
        <mc:AlternateContent>
          <mc:Choice Requires="wps">
            <w:drawing>
              <wp:anchor distT="0" distB="0" distL="114300" distR="114300" simplePos="0" relativeHeight="251661312" behindDoc="0" locked="0" layoutInCell="1" allowOverlap="1" wp14:anchorId="65F3541D" wp14:editId="42EECA88">
                <wp:simplePos x="0" y="0"/>
                <wp:positionH relativeFrom="column">
                  <wp:posOffset>3548431</wp:posOffset>
                </wp:positionH>
                <wp:positionV relativeFrom="paragraph">
                  <wp:posOffset>8609965</wp:posOffset>
                </wp:positionV>
                <wp:extent cx="747395" cy="359994"/>
                <wp:effectExtent l="0" t="0" r="0" b="2540"/>
                <wp:wrapNone/>
                <wp:docPr id="4134" name="Text Box 3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359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535E84" w14:textId="77777777" w:rsidR="001C08CC" w:rsidRDefault="001C08CC" w:rsidP="007B1D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3541D" id="_x0000_t202" coordsize="21600,21600" o:spt="202" path="m,l,21600r21600,l21600,xe">
                <v:stroke joinstyle="miter"/>
                <v:path gradientshapeok="t" o:connecttype="rect"/>
              </v:shapetype>
              <v:shape id="Text Box 3592" o:spid="_x0000_s1026" type="#_x0000_t202" style="position:absolute;margin-left:279.4pt;margin-top:677.95pt;width:58.85pt;height:2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" stroked="f">
                <v:textbox>
                  <w:txbxContent>
                    <w:p w14:paraId="6E535E84" w14:textId="77777777" w:rsidR="001C08CC" w:rsidRDefault="001C08CC" w:rsidP="007B1D1B"/>
                  </w:txbxContent>
                </v:textbox>
              </v:shape>
            </w:pict>
          </mc:Fallback>
        </mc:AlternateContent>
      </w: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5877"/>
        <w:gridCol w:w="468"/>
      </w:tblGrid>
      <w:tr w:rsidR="007B1D1B" w:rsidRPr="00565F75" w14:paraId="6713E71F" w14:textId="77777777" w:rsidTr="00525AE5">
        <w:tc>
          <w:tcPr>
            <w:tcW w:w="5877" w:type="dxa"/>
            <w:shd w:val="pct20" w:color="000000" w:fill="FFFFFF"/>
          </w:tcPr>
          <w:p w14:paraId="78F9DDA5" w14:textId="77777777" w:rsidR="007B1D1B" w:rsidRPr="00565F75" w:rsidRDefault="007B1D1B" w:rsidP="00525AE5">
            <w:pPr>
              <w:spacing w:before="50" w:after="50"/>
              <w:ind w:left="284" w:right="-113" w:hanging="284"/>
              <w:rPr>
                <w:rFonts w:ascii="Garamond" w:hAnsi="Garamond"/>
                <w:b/>
                <w:color w:val="1F497D" w:themeColor="text2"/>
                <w:sz w:val="20"/>
                <w:szCs w:val="20"/>
              </w:rPr>
            </w:pPr>
            <w:r w:rsidRPr="00565F75">
              <w:rPr>
                <w:rFonts w:ascii="Garamond" w:hAnsi="Garamond"/>
                <w:b/>
                <w:color w:val="1F497D" w:themeColor="text2"/>
                <w:sz w:val="20"/>
                <w:szCs w:val="20"/>
              </w:rPr>
              <w:t>1. Executive summary</w:t>
            </w:r>
            <w:r w:rsidRPr="00565F75">
              <w:rPr>
                <w:rFonts w:ascii="Garamond" w:hAnsi="Garamond"/>
                <w:bCs/>
                <w:color w:val="1F497D" w:themeColor="text2"/>
                <w:sz w:val="20"/>
                <w:szCs w:val="20"/>
              </w:rPr>
              <w:t>...............................................................................</w:t>
            </w:r>
          </w:p>
        </w:tc>
        <w:tc>
          <w:tcPr>
            <w:tcW w:w="468" w:type="dxa"/>
            <w:shd w:val="pct20" w:color="000000" w:fill="FFFFFF"/>
            <w:vAlign w:val="bottom"/>
          </w:tcPr>
          <w:p w14:paraId="24B8F822" w14:textId="77777777" w:rsidR="007B1D1B" w:rsidRPr="00565F75" w:rsidRDefault="007B1D1B" w:rsidP="00525AE5">
            <w:pPr>
              <w:spacing w:before="50" w:after="50"/>
              <w:jc w:val="right"/>
              <w:rPr>
                <w:rFonts w:ascii="Garamond" w:hAnsi="Garamond"/>
                <w:b/>
                <w:bCs/>
                <w:color w:val="1F497D" w:themeColor="text2"/>
                <w:sz w:val="20"/>
                <w:szCs w:val="20"/>
              </w:rPr>
            </w:pPr>
          </w:p>
        </w:tc>
      </w:tr>
      <w:tr w:rsidR="007B1D1B" w:rsidRPr="00565F75" w14:paraId="2C6817AA" w14:textId="77777777" w:rsidTr="00525AE5">
        <w:tc>
          <w:tcPr>
            <w:tcW w:w="5877" w:type="dxa"/>
            <w:shd w:val="pct5" w:color="000000" w:fill="FFFFFF"/>
          </w:tcPr>
          <w:p w14:paraId="01968800" w14:textId="77777777" w:rsidR="007B1D1B" w:rsidRPr="00565F75" w:rsidRDefault="007B1D1B" w:rsidP="00525AE5">
            <w:pPr>
              <w:spacing w:before="50" w:after="50"/>
              <w:ind w:right="-151"/>
              <w:rPr>
                <w:rFonts w:ascii="Garamond" w:hAnsi="Garamond"/>
                <w:b/>
                <w:color w:val="1F497D" w:themeColor="text2"/>
                <w:sz w:val="20"/>
                <w:szCs w:val="20"/>
              </w:rPr>
            </w:pPr>
            <w:r w:rsidRPr="00565F75">
              <w:rPr>
                <w:rFonts w:ascii="Garamond" w:hAnsi="Garamond" w:cs="Sylfaen"/>
                <w:b/>
                <w:color w:val="1F497D" w:themeColor="text2"/>
                <w:sz w:val="20"/>
                <w:szCs w:val="20"/>
              </w:rPr>
              <w:t>2. Forecast, forecast changes and risks</w:t>
            </w:r>
            <w:r w:rsidRPr="00565F75">
              <w:rPr>
                <w:rFonts w:ascii="Garamond" w:hAnsi="Garamond" w:cs="Sylfaen"/>
                <w:color w:val="1F497D" w:themeColor="text2"/>
                <w:sz w:val="20"/>
                <w:szCs w:val="20"/>
              </w:rPr>
              <w:t>..................................................</w:t>
            </w:r>
          </w:p>
        </w:tc>
        <w:tc>
          <w:tcPr>
            <w:tcW w:w="468" w:type="dxa"/>
            <w:shd w:val="pct5" w:color="000000" w:fill="FFFFFF"/>
            <w:vAlign w:val="bottom"/>
          </w:tcPr>
          <w:p w14:paraId="06EC2585"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79CE0CF5" w14:textId="77777777" w:rsidTr="00525AE5">
        <w:tc>
          <w:tcPr>
            <w:tcW w:w="5877" w:type="dxa"/>
            <w:shd w:val="pct20" w:color="000000" w:fill="FFFFFF"/>
          </w:tcPr>
          <w:p w14:paraId="3060AA84" w14:textId="77777777" w:rsidR="007B1D1B" w:rsidRPr="00565F75" w:rsidRDefault="007B1D1B" w:rsidP="00525AE5">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2.1. External environment</w:t>
            </w:r>
            <w:r w:rsidRPr="00565F75">
              <w:rPr>
                <w:rFonts w:ascii="Garamond" w:hAnsi="Garamond"/>
                <w:bCs/>
                <w:color w:val="1F497D" w:themeColor="text2"/>
                <w:sz w:val="20"/>
                <w:szCs w:val="20"/>
              </w:rPr>
              <w:t>......................................................................</w:t>
            </w:r>
          </w:p>
        </w:tc>
        <w:tc>
          <w:tcPr>
            <w:tcW w:w="468" w:type="dxa"/>
            <w:shd w:val="pct20" w:color="000000" w:fill="FFFFFF"/>
            <w:vAlign w:val="bottom"/>
          </w:tcPr>
          <w:p w14:paraId="077A4C4E"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42502642" w14:textId="77777777" w:rsidTr="00525AE5">
        <w:tc>
          <w:tcPr>
            <w:tcW w:w="5877" w:type="dxa"/>
            <w:shd w:val="pct20" w:color="000000" w:fill="FFFFFF"/>
          </w:tcPr>
          <w:p w14:paraId="70D41989" w14:textId="77777777" w:rsidR="007B1D1B" w:rsidRPr="00565F75" w:rsidRDefault="007B1D1B" w:rsidP="00525AE5">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2.2. Forecasts</w:t>
            </w:r>
            <w:r w:rsidRPr="00565F75">
              <w:rPr>
                <w:rFonts w:ascii="Garamond" w:hAnsi="Garamond"/>
                <w:bCs/>
                <w:color w:val="1F497D" w:themeColor="text2"/>
                <w:sz w:val="20"/>
                <w:szCs w:val="20"/>
              </w:rPr>
              <w:t>..........................................................................................</w:t>
            </w:r>
          </w:p>
        </w:tc>
        <w:tc>
          <w:tcPr>
            <w:tcW w:w="468" w:type="dxa"/>
            <w:shd w:val="pct20" w:color="000000" w:fill="FFFFFF"/>
            <w:vAlign w:val="bottom"/>
          </w:tcPr>
          <w:p w14:paraId="13E48F0A"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7F307A8D" w14:textId="77777777" w:rsidTr="00525AE5">
        <w:tc>
          <w:tcPr>
            <w:tcW w:w="5877" w:type="dxa"/>
            <w:shd w:val="pct5" w:color="000000" w:fill="FFFFFF"/>
          </w:tcPr>
          <w:p w14:paraId="17D89196"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2.2.1. Inflation and monetary policy</w:t>
            </w:r>
            <w:r w:rsidRPr="00565F75">
              <w:rPr>
                <w:rFonts w:ascii="Garamond" w:hAnsi="Garamond"/>
                <w:bCs/>
                <w:color w:val="1F497D" w:themeColor="text2"/>
                <w:sz w:val="20"/>
                <w:szCs w:val="20"/>
              </w:rPr>
              <w:t>.....................................................</w:t>
            </w:r>
          </w:p>
        </w:tc>
        <w:tc>
          <w:tcPr>
            <w:tcW w:w="468" w:type="dxa"/>
            <w:shd w:val="pct5" w:color="000000" w:fill="FFFFFF"/>
            <w:vAlign w:val="bottom"/>
          </w:tcPr>
          <w:p w14:paraId="6A55F8A3"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5755E129" w14:textId="77777777" w:rsidTr="00525AE5">
        <w:tc>
          <w:tcPr>
            <w:tcW w:w="5877" w:type="dxa"/>
            <w:shd w:val="pct20" w:color="000000" w:fill="FFFFFF"/>
          </w:tcPr>
          <w:p w14:paraId="01DA5E4D"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2.2.2. Economic activity</w:t>
            </w:r>
            <w:r w:rsidRPr="00565F75">
              <w:rPr>
                <w:rFonts w:ascii="Garamond" w:hAnsi="Garamond"/>
                <w:bCs/>
                <w:color w:val="1F497D" w:themeColor="text2"/>
                <w:sz w:val="20"/>
                <w:szCs w:val="20"/>
              </w:rPr>
              <w:t>........................................................................</w:t>
            </w:r>
          </w:p>
        </w:tc>
        <w:tc>
          <w:tcPr>
            <w:tcW w:w="468" w:type="dxa"/>
            <w:shd w:val="pct20" w:color="000000" w:fill="FFFFFF"/>
            <w:vAlign w:val="bottom"/>
          </w:tcPr>
          <w:p w14:paraId="316052D1"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26DEFD1A" w14:textId="77777777" w:rsidTr="00525AE5">
        <w:tc>
          <w:tcPr>
            <w:tcW w:w="5877" w:type="dxa"/>
            <w:shd w:val="pct5" w:color="000000" w:fill="FFFFFF"/>
          </w:tcPr>
          <w:p w14:paraId="14ABCC72" w14:textId="77777777" w:rsidR="007B1D1B" w:rsidRPr="00565F75" w:rsidRDefault="00CE6E47" w:rsidP="009F526A">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2.2.3. Comparison with the previous forecast</w:t>
            </w:r>
            <w:r w:rsidRPr="00565F75">
              <w:rPr>
                <w:rFonts w:ascii="Garamond" w:hAnsi="Garamond"/>
                <w:bCs/>
                <w:color w:val="1F497D" w:themeColor="text2"/>
                <w:sz w:val="20"/>
                <w:szCs w:val="20"/>
              </w:rPr>
              <w:t>.......................................</w:t>
            </w:r>
          </w:p>
        </w:tc>
        <w:tc>
          <w:tcPr>
            <w:tcW w:w="468" w:type="dxa"/>
            <w:shd w:val="pct5" w:color="000000" w:fill="FFFFFF"/>
            <w:vAlign w:val="bottom"/>
          </w:tcPr>
          <w:p w14:paraId="1DCEF022"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05131A31" w14:textId="77777777" w:rsidTr="00525AE5">
        <w:tc>
          <w:tcPr>
            <w:tcW w:w="5877" w:type="dxa"/>
            <w:shd w:val="pct20" w:color="000000" w:fill="FFFFFF"/>
          </w:tcPr>
          <w:p w14:paraId="53A0A37D" w14:textId="77777777" w:rsidR="007B1D1B" w:rsidRPr="00565F75" w:rsidRDefault="00CE6E47"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2.2.4. Main assumptions and risks</w:t>
            </w:r>
            <w:r w:rsidRPr="00565F75">
              <w:rPr>
                <w:rFonts w:ascii="Garamond" w:hAnsi="Garamond"/>
                <w:bCs/>
                <w:color w:val="1F497D" w:themeColor="text2"/>
                <w:sz w:val="20"/>
                <w:szCs w:val="20"/>
              </w:rPr>
              <w:t>........................................................</w:t>
            </w:r>
          </w:p>
        </w:tc>
        <w:tc>
          <w:tcPr>
            <w:tcW w:w="468" w:type="dxa"/>
            <w:shd w:val="pct20" w:color="000000" w:fill="FFFFFF"/>
            <w:vAlign w:val="bottom"/>
          </w:tcPr>
          <w:p w14:paraId="54ACD278"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15BAA294" w14:textId="77777777" w:rsidTr="00525AE5">
        <w:tc>
          <w:tcPr>
            <w:tcW w:w="5877" w:type="dxa"/>
            <w:shd w:val="pct20" w:color="000000" w:fill="FFFFFF"/>
          </w:tcPr>
          <w:p w14:paraId="48E0800C" w14:textId="77777777" w:rsidR="007B1D1B" w:rsidRPr="003D300F" w:rsidRDefault="00CE6E47" w:rsidP="003D300F">
            <w:pPr>
              <w:pStyle w:val="Heading5"/>
              <w:spacing w:before="50" w:after="50"/>
              <w:ind w:left="1204" w:right="-113" w:hanging="920"/>
              <w:rPr>
                <w:rFonts w:ascii="Garamond" w:hAnsi="Garamond" w:cs="Sylfaen"/>
                <w:i/>
                <w:color w:val="1F497D" w:themeColor="text2"/>
                <w:sz w:val="20"/>
                <w:szCs w:val="20"/>
              </w:rPr>
            </w:pPr>
            <w:r w:rsidRPr="00565F75">
              <w:rPr>
                <w:rFonts w:ascii="Garamond" w:hAnsi="Garamond" w:cs="Sylfaen"/>
                <w:i/>
                <w:color w:val="1F497D" w:themeColor="text2"/>
                <w:sz w:val="20"/>
                <w:szCs w:val="20"/>
              </w:rPr>
              <w:t xml:space="preserve">Box </w:t>
            </w:r>
            <w:r>
              <w:rPr>
                <w:rFonts w:ascii="Garamond" w:hAnsi="Garamond" w:cs="Sylfaen"/>
                <w:i/>
                <w:color w:val="1F497D" w:themeColor="text2"/>
                <w:sz w:val="20"/>
                <w:szCs w:val="20"/>
              </w:rPr>
              <w:t>1</w:t>
            </w:r>
            <w:r w:rsidRPr="00565F75">
              <w:rPr>
                <w:rFonts w:ascii="Garamond" w:hAnsi="Garamond" w:cs="Sylfaen"/>
                <w:i/>
                <w:color w:val="1F497D" w:themeColor="text2"/>
                <w:sz w:val="20"/>
                <w:szCs w:val="20"/>
              </w:rPr>
              <w:t>: The results of survey on the expecta</w:t>
            </w:r>
            <w:r w:rsidR="003D300F">
              <w:rPr>
                <w:rFonts w:ascii="Garamond" w:hAnsi="Garamond" w:cs="Sylfaen"/>
                <w:i/>
                <w:color w:val="1F497D" w:themeColor="text2"/>
                <w:sz w:val="20"/>
                <w:szCs w:val="20"/>
              </w:rPr>
              <w:t xml:space="preserve">tions by the households and the </w:t>
            </w:r>
            <w:r w:rsidRPr="00565F75">
              <w:rPr>
                <w:rFonts w:ascii="Garamond" w:hAnsi="Garamond" w:cs="Sylfaen"/>
                <w:i/>
                <w:color w:val="1F497D" w:themeColor="text2"/>
                <w:sz w:val="20"/>
                <w:szCs w:val="20"/>
              </w:rPr>
              <w:t>financial system</w:t>
            </w:r>
            <w:r w:rsidRPr="00565F75">
              <w:rPr>
                <w:rFonts w:ascii="Garamond" w:hAnsi="Garamond" w:cs="Sylfaen"/>
                <w:color w:val="1F497D" w:themeColor="text2"/>
                <w:sz w:val="20"/>
                <w:szCs w:val="20"/>
              </w:rPr>
              <w:t>.....................................................</w:t>
            </w:r>
          </w:p>
        </w:tc>
        <w:tc>
          <w:tcPr>
            <w:tcW w:w="468" w:type="dxa"/>
            <w:shd w:val="pct20" w:color="000000" w:fill="FFFFFF"/>
            <w:vAlign w:val="bottom"/>
          </w:tcPr>
          <w:p w14:paraId="679D39AD"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5539BF46" w14:textId="77777777" w:rsidTr="00525AE5">
        <w:tc>
          <w:tcPr>
            <w:tcW w:w="5877" w:type="dxa"/>
            <w:shd w:val="pct5" w:color="000000" w:fill="FFFFFF"/>
          </w:tcPr>
          <w:p w14:paraId="33FBBD7E" w14:textId="77777777" w:rsidR="007B1D1B" w:rsidRPr="00565F75" w:rsidRDefault="00CE6E47" w:rsidP="00276D6F">
            <w:pPr>
              <w:spacing w:before="50" w:after="50"/>
              <w:ind w:left="284" w:right="-113" w:hanging="284"/>
              <w:rPr>
                <w:rFonts w:ascii="Garamond" w:hAnsi="Garamond"/>
                <w:b/>
                <w:color w:val="1F497D" w:themeColor="text2"/>
                <w:sz w:val="20"/>
                <w:szCs w:val="20"/>
              </w:rPr>
            </w:pPr>
            <w:r>
              <w:rPr>
                <w:rFonts w:ascii="Garamond" w:hAnsi="Garamond"/>
                <w:b/>
                <w:color w:val="1F497D" w:themeColor="text2"/>
                <w:sz w:val="20"/>
                <w:szCs w:val="20"/>
              </w:rPr>
              <w:t xml:space="preserve">   </w:t>
            </w:r>
            <w:r w:rsidRPr="00565F75">
              <w:rPr>
                <w:rFonts w:ascii="Garamond" w:hAnsi="Garamond"/>
                <w:b/>
                <w:color w:val="1F497D" w:themeColor="text2"/>
                <w:sz w:val="20"/>
                <w:szCs w:val="20"/>
              </w:rPr>
              <w:t>3. Actual developments in Q</w:t>
            </w:r>
            <w:r w:rsidR="00276D6F">
              <w:rPr>
                <w:rFonts w:ascii="Garamond" w:hAnsi="Garamond"/>
                <w:b/>
                <w:color w:val="1F497D" w:themeColor="text2"/>
                <w:sz w:val="20"/>
                <w:szCs w:val="20"/>
              </w:rPr>
              <w:t>4</w:t>
            </w:r>
            <w:r w:rsidRPr="00565F75">
              <w:rPr>
                <w:rFonts w:ascii="Garamond" w:hAnsi="Garamond"/>
                <w:b/>
                <w:color w:val="1F497D" w:themeColor="text2"/>
                <w:sz w:val="20"/>
                <w:szCs w:val="20"/>
              </w:rPr>
              <w:t>, 2018</w:t>
            </w:r>
            <w:r w:rsidRPr="00565F75">
              <w:rPr>
                <w:rFonts w:ascii="Garamond" w:hAnsi="Garamond"/>
                <w:bCs/>
                <w:color w:val="1F497D" w:themeColor="text2"/>
                <w:sz w:val="20"/>
                <w:szCs w:val="20"/>
              </w:rPr>
              <w:t>........................................................</w:t>
            </w:r>
          </w:p>
        </w:tc>
        <w:tc>
          <w:tcPr>
            <w:tcW w:w="468" w:type="dxa"/>
            <w:shd w:val="pct5" w:color="000000" w:fill="FFFFFF"/>
            <w:vAlign w:val="bottom"/>
          </w:tcPr>
          <w:p w14:paraId="5BA14750"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3D300F" w:rsidRPr="00565F75" w14:paraId="5909AC98" w14:textId="77777777" w:rsidTr="00525AE5">
        <w:tc>
          <w:tcPr>
            <w:tcW w:w="5877" w:type="dxa"/>
            <w:shd w:val="clear" w:color="auto" w:fill="CCCCCC"/>
          </w:tcPr>
          <w:p w14:paraId="236BB9E5" w14:textId="77777777" w:rsidR="003D300F" w:rsidRPr="00565F75" w:rsidRDefault="003D300F" w:rsidP="003D300F">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3.1. Inflation</w:t>
            </w:r>
            <w:r w:rsidRPr="00565F75">
              <w:rPr>
                <w:rFonts w:ascii="Garamond" w:hAnsi="Garamond"/>
                <w:bCs/>
                <w:color w:val="1F497D" w:themeColor="text2"/>
                <w:sz w:val="20"/>
                <w:szCs w:val="20"/>
              </w:rPr>
              <w:t>..........................................................................................</w:t>
            </w:r>
          </w:p>
        </w:tc>
        <w:tc>
          <w:tcPr>
            <w:tcW w:w="468" w:type="dxa"/>
            <w:shd w:val="pct20" w:color="000000" w:fill="FFFFFF"/>
            <w:vAlign w:val="bottom"/>
          </w:tcPr>
          <w:p w14:paraId="76C75B62"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7AC8C459" w14:textId="77777777" w:rsidTr="00525AE5">
        <w:tc>
          <w:tcPr>
            <w:tcW w:w="5877" w:type="dxa"/>
            <w:shd w:val="pct5" w:color="000000" w:fill="FFFFFF"/>
          </w:tcPr>
          <w:p w14:paraId="632F35EF"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3.1.1. Fulfilment of the inflation target</w:t>
            </w:r>
            <w:r w:rsidRPr="00565F75">
              <w:rPr>
                <w:rFonts w:ascii="Garamond" w:hAnsi="Garamond"/>
                <w:bCs/>
                <w:color w:val="1F497D" w:themeColor="text2"/>
                <w:sz w:val="20"/>
                <w:szCs w:val="20"/>
              </w:rPr>
              <w:t>.................................................</w:t>
            </w:r>
          </w:p>
        </w:tc>
        <w:tc>
          <w:tcPr>
            <w:tcW w:w="468" w:type="dxa"/>
            <w:shd w:val="pct5" w:color="000000" w:fill="FFFFFF"/>
            <w:vAlign w:val="bottom"/>
          </w:tcPr>
          <w:p w14:paraId="2534EF30"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3D21A4D5" w14:textId="77777777" w:rsidTr="00525AE5">
        <w:tc>
          <w:tcPr>
            <w:tcW w:w="5877" w:type="dxa"/>
            <w:shd w:val="clear" w:color="auto" w:fill="CCCCCC"/>
          </w:tcPr>
          <w:p w14:paraId="03218837"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3.1.2. Prices</w:t>
            </w:r>
            <w:r w:rsidRPr="00565F75">
              <w:rPr>
                <w:rFonts w:ascii="Garamond" w:hAnsi="Garamond"/>
                <w:bCs/>
                <w:color w:val="1F497D" w:themeColor="text2"/>
                <w:sz w:val="20"/>
                <w:szCs w:val="20"/>
              </w:rPr>
              <w:t>.........................................................................................</w:t>
            </w:r>
          </w:p>
        </w:tc>
        <w:tc>
          <w:tcPr>
            <w:tcW w:w="468" w:type="dxa"/>
            <w:shd w:val="pct20" w:color="000000" w:fill="FFFFFF"/>
            <w:vAlign w:val="bottom"/>
          </w:tcPr>
          <w:p w14:paraId="38735F74"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5152B42B" w14:textId="77777777" w:rsidTr="00525AE5">
        <w:tc>
          <w:tcPr>
            <w:tcW w:w="5877" w:type="dxa"/>
            <w:shd w:val="pct20" w:color="000000" w:fill="FFFFFF"/>
          </w:tcPr>
          <w:p w14:paraId="4EBD58FE"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b/>
                <w:i/>
                <w:color w:val="1F497D" w:themeColor="text2"/>
                <w:sz w:val="20"/>
                <w:szCs w:val="20"/>
              </w:rPr>
              <w:t>3.2. Economic developments</w:t>
            </w:r>
            <w:r w:rsidRPr="00565F75">
              <w:rPr>
                <w:rFonts w:ascii="Garamond" w:hAnsi="Garamond"/>
                <w:bCs/>
                <w:color w:val="1F497D" w:themeColor="text2"/>
                <w:sz w:val="20"/>
                <w:szCs w:val="20"/>
              </w:rPr>
              <w:t>.................................................................</w:t>
            </w:r>
          </w:p>
        </w:tc>
        <w:tc>
          <w:tcPr>
            <w:tcW w:w="468" w:type="dxa"/>
            <w:shd w:val="pct20" w:color="000000" w:fill="FFFFFF"/>
            <w:vAlign w:val="bottom"/>
          </w:tcPr>
          <w:p w14:paraId="510BEB67"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5309E521" w14:textId="77777777" w:rsidTr="00525AE5">
        <w:tc>
          <w:tcPr>
            <w:tcW w:w="5877" w:type="dxa"/>
            <w:shd w:val="pct5" w:color="000000" w:fill="FFFFFF"/>
          </w:tcPr>
          <w:p w14:paraId="6CD6C915" w14:textId="77777777" w:rsidR="003D300F" w:rsidRPr="00565F75" w:rsidRDefault="003D300F" w:rsidP="003D300F">
            <w:pPr>
              <w:spacing w:before="50" w:after="50"/>
              <w:ind w:left="431" w:right="-113" w:hanging="318"/>
              <w:rPr>
                <w:rFonts w:ascii="Garamond" w:hAnsi="Garamond"/>
                <w:color w:val="1F497D" w:themeColor="text2"/>
                <w:sz w:val="20"/>
                <w:szCs w:val="20"/>
              </w:rPr>
            </w:pPr>
            <w:r>
              <w:rPr>
                <w:rFonts w:ascii="Garamond" w:hAnsi="Garamond" w:cs="Sylfaen"/>
                <w:bCs/>
                <w:i/>
                <w:color w:val="1F497D" w:themeColor="text2"/>
                <w:sz w:val="20"/>
                <w:szCs w:val="20"/>
              </w:rPr>
              <w:t xml:space="preserve">   </w:t>
            </w:r>
            <w:r w:rsidRPr="00565F75">
              <w:rPr>
                <w:rFonts w:ascii="Garamond" w:hAnsi="Garamond" w:cs="Sylfaen"/>
                <w:i/>
                <w:color w:val="1F497D" w:themeColor="text2"/>
                <w:sz w:val="20"/>
                <w:szCs w:val="20"/>
              </w:rPr>
              <w:t>3.2.1. Economy position</w:t>
            </w:r>
            <w:r w:rsidRPr="00565F75">
              <w:rPr>
                <w:rFonts w:ascii="Garamond" w:hAnsi="Garamond"/>
                <w:bCs/>
                <w:color w:val="1F497D" w:themeColor="text2"/>
                <w:sz w:val="20"/>
                <w:szCs w:val="20"/>
              </w:rPr>
              <w:t>........................................................................</w:t>
            </w:r>
          </w:p>
        </w:tc>
        <w:tc>
          <w:tcPr>
            <w:tcW w:w="468" w:type="dxa"/>
            <w:shd w:val="pct5" w:color="000000" w:fill="FFFFFF"/>
            <w:vAlign w:val="bottom"/>
          </w:tcPr>
          <w:p w14:paraId="06ED2750"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39C86F40" w14:textId="77777777" w:rsidTr="00525AE5">
        <w:tc>
          <w:tcPr>
            <w:tcW w:w="5877" w:type="dxa"/>
            <w:shd w:val="pct5" w:color="000000" w:fill="FFFFFF"/>
          </w:tcPr>
          <w:p w14:paraId="3DA7FE40"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 xml:space="preserve">3.2.2. The expenditures aspect of the economy </w:t>
            </w:r>
            <w:r w:rsidRPr="00565F75">
              <w:rPr>
                <w:rFonts w:ascii="Garamond" w:hAnsi="Garamond"/>
                <w:bCs/>
                <w:color w:val="1F497D" w:themeColor="text2"/>
                <w:sz w:val="20"/>
                <w:szCs w:val="20"/>
              </w:rPr>
              <w:t>..................................</w:t>
            </w:r>
            <w:r>
              <w:rPr>
                <w:rFonts w:ascii="Garamond" w:hAnsi="Garamond"/>
                <w:bCs/>
                <w:color w:val="1F497D" w:themeColor="text2"/>
                <w:sz w:val="20"/>
                <w:szCs w:val="20"/>
              </w:rPr>
              <w:t>...........</w:t>
            </w:r>
            <w:r w:rsidRPr="00565F75">
              <w:rPr>
                <w:rFonts w:ascii="Garamond" w:hAnsi="Garamond"/>
                <w:bCs/>
                <w:color w:val="1F497D" w:themeColor="text2"/>
                <w:sz w:val="20"/>
                <w:szCs w:val="20"/>
              </w:rPr>
              <w:t>.</w:t>
            </w:r>
          </w:p>
        </w:tc>
        <w:tc>
          <w:tcPr>
            <w:tcW w:w="468" w:type="dxa"/>
            <w:shd w:val="pct5" w:color="000000" w:fill="FFFFFF"/>
            <w:vAlign w:val="bottom"/>
          </w:tcPr>
          <w:p w14:paraId="70D1C03A"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5B3BAC7E" w14:textId="77777777" w:rsidTr="00525AE5">
        <w:tc>
          <w:tcPr>
            <w:tcW w:w="5877" w:type="dxa"/>
            <w:shd w:val="pct20" w:color="000000" w:fill="FFFFFF"/>
          </w:tcPr>
          <w:p w14:paraId="5960BF98"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3.2.3. The production aspect of the economy</w:t>
            </w:r>
            <w:r w:rsidRPr="00565F75">
              <w:rPr>
                <w:rFonts w:ascii="Garamond" w:hAnsi="Garamond"/>
                <w:bCs/>
                <w:color w:val="1F497D" w:themeColor="text2"/>
                <w:sz w:val="20"/>
                <w:szCs w:val="20"/>
              </w:rPr>
              <w:t>.......................................</w:t>
            </w:r>
          </w:p>
        </w:tc>
        <w:tc>
          <w:tcPr>
            <w:tcW w:w="468" w:type="dxa"/>
            <w:shd w:val="pct20" w:color="000000" w:fill="FFFFFF"/>
            <w:vAlign w:val="bottom"/>
          </w:tcPr>
          <w:p w14:paraId="6FA2FFC9"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40E31DCD" w14:textId="77777777" w:rsidTr="00525AE5">
        <w:tc>
          <w:tcPr>
            <w:tcW w:w="5877" w:type="dxa"/>
            <w:shd w:val="pct5" w:color="000000" w:fill="FFFFFF"/>
          </w:tcPr>
          <w:p w14:paraId="1B553BF6"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3.2.4. Labor market</w:t>
            </w:r>
            <w:r w:rsidRPr="00565F75">
              <w:rPr>
                <w:rFonts w:ascii="Garamond" w:hAnsi="Garamond"/>
                <w:bCs/>
                <w:color w:val="1F497D" w:themeColor="text2"/>
                <w:sz w:val="20"/>
                <w:szCs w:val="20"/>
              </w:rPr>
              <w:t>…..........................................................................</w:t>
            </w:r>
          </w:p>
        </w:tc>
        <w:tc>
          <w:tcPr>
            <w:tcW w:w="468" w:type="dxa"/>
            <w:shd w:val="pct5" w:color="000000" w:fill="FFFFFF"/>
            <w:vAlign w:val="bottom"/>
          </w:tcPr>
          <w:p w14:paraId="2FEA0C35"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50F8E5ED" w14:textId="77777777" w:rsidTr="00525AE5">
        <w:tc>
          <w:tcPr>
            <w:tcW w:w="5877" w:type="dxa"/>
            <w:shd w:val="pct20" w:color="000000" w:fill="FFFFFF"/>
          </w:tcPr>
          <w:p w14:paraId="63FB256D" w14:textId="77777777" w:rsidR="003D300F" w:rsidRPr="00565F75" w:rsidRDefault="003D300F" w:rsidP="003D300F">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3.3. Financial market developments</w:t>
            </w:r>
            <w:r w:rsidRPr="00565F75">
              <w:rPr>
                <w:rFonts w:ascii="Garamond" w:hAnsi="Garamond"/>
                <w:bCs/>
                <w:color w:val="1F497D" w:themeColor="text2"/>
                <w:sz w:val="20"/>
                <w:szCs w:val="20"/>
              </w:rPr>
              <w:t>.....................................................</w:t>
            </w:r>
          </w:p>
        </w:tc>
        <w:tc>
          <w:tcPr>
            <w:tcW w:w="468" w:type="dxa"/>
            <w:shd w:val="pct20" w:color="000000" w:fill="FFFFFF"/>
            <w:vAlign w:val="bottom"/>
          </w:tcPr>
          <w:p w14:paraId="34D7AC47"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63304696" w14:textId="77777777" w:rsidTr="00525AE5">
        <w:tc>
          <w:tcPr>
            <w:tcW w:w="5877" w:type="dxa"/>
            <w:shd w:val="pct20" w:color="000000" w:fill="FFFFFF"/>
          </w:tcPr>
          <w:p w14:paraId="77998F88" w14:textId="77777777" w:rsidR="003D300F" w:rsidRPr="00565F75" w:rsidRDefault="003D300F" w:rsidP="003D300F">
            <w:pPr>
              <w:spacing w:before="50" w:after="50"/>
              <w:ind w:right="-113"/>
              <w:rPr>
                <w:rFonts w:ascii="Garamond" w:hAnsi="Garamond"/>
                <w:b/>
                <w:color w:val="1F497D" w:themeColor="text2"/>
                <w:sz w:val="20"/>
                <w:szCs w:val="20"/>
              </w:rPr>
            </w:pPr>
            <w:r>
              <w:rPr>
                <w:rFonts w:ascii="Garamond" w:hAnsi="Garamond"/>
                <w:b/>
                <w:color w:val="1F497D" w:themeColor="text2"/>
                <w:sz w:val="20"/>
                <w:szCs w:val="20"/>
              </w:rPr>
              <w:t xml:space="preserve">    </w:t>
            </w:r>
            <w:r w:rsidRPr="00565F75">
              <w:rPr>
                <w:rFonts w:ascii="Garamond" w:hAnsi="Garamond"/>
                <w:b/>
                <w:color w:val="1F497D" w:themeColor="text2"/>
                <w:sz w:val="20"/>
                <w:szCs w:val="20"/>
              </w:rPr>
              <w:t>Annex</w:t>
            </w:r>
          </w:p>
        </w:tc>
        <w:tc>
          <w:tcPr>
            <w:tcW w:w="468" w:type="dxa"/>
            <w:shd w:val="pct20" w:color="000000" w:fill="FFFFFF"/>
            <w:vAlign w:val="bottom"/>
          </w:tcPr>
          <w:p w14:paraId="59245DD3"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3C6840DA" w14:textId="77777777" w:rsidTr="00525AE5">
        <w:tc>
          <w:tcPr>
            <w:tcW w:w="5877" w:type="dxa"/>
            <w:shd w:val="pct5" w:color="000000" w:fill="FFFFFF"/>
          </w:tcPr>
          <w:p w14:paraId="4E10C7A7"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Minutes</w:t>
            </w:r>
            <w:r w:rsidRPr="00565F75">
              <w:rPr>
                <w:rFonts w:ascii="Garamond" w:hAnsi="Garamond"/>
                <w:bCs/>
                <w:i/>
                <w:color w:val="1F497D" w:themeColor="text2"/>
                <w:sz w:val="20"/>
                <w:szCs w:val="20"/>
              </w:rPr>
              <w:t>...................................................................................................</w:t>
            </w:r>
          </w:p>
        </w:tc>
        <w:tc>
          <w:tcPr>
            <w:tcW w:w="468" w:type="dxa"/>
            <w:shd w:val="pct5" w:color="000000" w:fill="FFFFFF"/>
            <w:vAlign w:val="bottom"/>
          </w:tcPr>
          <w:p w14:paraId="74C81F5E"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30B8D80E" w14:textId="77777777" w:rsidTr="00525AE5">
        <w:tc>
          <w:tcPr>
            <w:tcW w:w="5877" w:type="dxa"/>
            <w:shd w:val="pct20" w:color="000000" w:fill="FFFFFF"/>
          </w:tcPr>
          <w:p w14:paraId="068CADA9"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The CBA Board Decision on interest rates</w:t>
            </w:r>
            <w:r w:rsidRPr="00565F75">
              <w:rPr>
                <w:rFonts w:ascii="Garamond" w:hAnsi="Garamond"/>
                <w:bCs/>
                <w:i/>
                <w:color w:val="1F497D" w:themeColor="text2"/>
                <w:sz w:val="20"/>
                <w:szCs w:val="20"/>
              </w:rPr>
              <w:t>.......................................</w:t>
            </w:r>
          </w:p>
        </w:tc>
        <w:tc>
          <w:tcPr>
            <w:tcW w:w="468" w:type="dxa"/>
            <w:shd w:val="pct20" w:color="000000" w:fill="FFFFFF"/>
            <w:vAlign w:val="bottom"/>
          </w:tcPr>
          <w:p w14:paraId="5DEEE44A"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46DD6F87" w14:textId="77777777" w:rsidTr="00525AE5">
        <w:tc>
          <w:tcPr>
            <w:tcW w:w="5877" w:type="dxa"/>
            <w:shd w:val="pct5" w:color="000000" w:fill="FFFFFF"/>
          </w:tcPr>
          <w:p w14:paraId="3E455D83"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Press release</w:t>
            </w:r>
            <w:r w:rsidRPr="00565F75">
              <w:rPr>
                <w:rFonts w:ascii="Garamond" w:hAnsi="Garamond"/>
                <w:bCs/>
                <w:i/>
                <w:color w:val="1F497D" w:themeColor="text2"/>
                <w:sz w:val="20"/>
                <w:szCs w:val="20"/>
              </w:rPr>
              <w:t>..........................................................................................</w:t>
            </w:r>
          </w:p>
        </w:tc>
        <w:tc>
          <w:tcPr>
            <w:tcW w:w="468" w:type="dxa"/>
            <w:shd w:val="pct5" w:color="000000" w:fill="FFFFFF"/>
            <w:vAlign w:val="bottom"/>
          </w:tcPr>
          <w:p w14:paraId="06214EEC"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38BB362A" w14:textId="77777777" w:rsidTr="00525AE5">
        <w:tc>
          <w:tcPr>
            <w:tcW w:w="5877" w:type="dxa"/>
            <w:shd w:val="pct20" w:color="000000" w:fill="FFFFFF"/>
          </w:tcPr>
          <w:p w14:paraId="380C65EF"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Main macroeconomic indicators</w:t>
            </w:r>
            <w:r w:rsidRPr="00565F75">
              <w:rPr>
                <w:rFonts w:ascii="Garamond" w:hAnsi="Garamond"/>
                <w:bCs/>
                <w:i/>
                <w:color w:val="1F497D" w:themeColor="text2"/>
                <w:sz w:val="20"/>
                <w:szCs w:val="20"/>
              </w:rPr>
              <w:t>..........................................................</w:t>
            </w:r>
          </w:p>
        </w:tc>
        <w:tc>
          <w:tcPr>
            <w:tcW w:w="468" w:type="dxa"/>
            <w:shd w:val="pct20" w:color="000000" w:fill="FFFFFF"/>
            <w:vAlign w:val="bottom"/>
          </w:tcPr>
          <w:p w14:paraId="4EAF5E23"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005B4DAB" w14:textId="77777777" w:rsidTr="00525AE5">
        <w:tc>
          <w:tcPr>
            <w:tcW w:w="5877" w:type="dxa"/>
            <w:shd w:val="pct5" w:color="000000" w:fill="FFFFFF"/>
          </w:tcPr>
          <w:p w14:paraId="0119ADBF"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Charts</w:t>
            </w:r>
            <w:r w:rsidRPr="00565F75">
              <w:rPr>
                <w:rFonts w:ascii="Garamond" w:hAnsi="Garamond"/>
                <w:bCs/>
                <w:i/>
                <w:color w:val="1F497D" w:themeColor="text2"/>
                <w:sz w:val="20"/>
                <w:szCs w:val="20"/>
              </w:rPr>
              <w:t>.....................................................................................................</w:t>
            </w:r>
          </w:p>
        </w:tc>
        <w:tc>
          <w:tcPr>
            <w:tcW w:w="468" w:type="dxa"/>
            <w:shd w:val="pct5" w:color="000000" w:fill="FFFFFF"/>
            <w:vAlign w:val="bottom"/>
          </w:tcPr>
          <w:p w14:paraId="512B2C9C"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0FB6CA79" w14:textId="77777777" w:rsidTr="00525AE5">
        <w:tc>
          <w:tcPr>
            <w:tcW w:w="5877" w:type="dxa"/>
            <w:shd w:val="pct20" w:color="000000" w:fill="FFFFFF"/>
          </w:tcPr>
          <w:p w14:paraId="49BF54C4"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Pr>
                <w:rFonts w:ascii="Garamond" w:hAnsi="Garamond"/>
                <w:b/>
                <w:i/>
                <w:color w:val="1F497D" w:themeColor="text2"/>
                <w:sz w:val="20"/>
                <w:szCs w:val="20"/>
              </w:rPr>
              <w:t>Tables</w:t>
            </w:r>
            <w:r w:rsidRPr="00565F75">
              <w:rPr>
                <w:rFonts w:ascii="Garamond" w:hAnsi="Garamond"/>
                <w:bCs/>
                <w:i/>
                <w:color w:val="1F497D" w:themeColor="text2"/>
                <w:sz w:val="20"/>
                <w:szCs w:val="20"/>
              </w:rPr>
              <w:t>.....................................................................................................</w:t>
            </w:r>
          </w:p>
        </w:tc>
        <w:tc>
          <w:tcPr>
            <w:tcW w:w="468" w:type="dxa"/>
            <w:shd w:val="pct20" w:color="000000" w:fill="FFFFFF"/>
            <w:vAlign w:val="bottom"/>
          </w:tcPr>
          <w:p w14:paraId="4C23AD29"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bl>
    <w:p w14:paraId="72824FDB" w14:textId="77777777" w:rsidR="007B1D1B" w:rsidRPr="00EE5F0F" w:rsidRDefault="007B1D1B" w:rsidP="00EE619D">
      <w:pPr>
        <w:autoSpaceDE w:val="0"/>
        <w:autoSpaceDN w:val="0"/>
        <w:adjustRightInd w:val="0"/>
        <w:spacing w:after="120" w:line="360" w:lineRule="auto"/>
        <w:jc w:val="both"/>
        <w:rPr>
          <w:rFonts w:ascii="Garamond" w:hAnsi="Garamond"/>
          <w:b/>
          <w:color w:val="0070C0"/>
          <w:sz w:val="22"/>
          <w:szCs w:val="22"/>
        </w:rPr>
      </w:pPr>
    </w:p>
    <w:p w14:paraId="0C3E84D7" w14:textId="77777777" w:rsidR="005F748E" w:rsidRPr="00EE5F0F" w:rsidRDefault="005F748E" w:rsidP="00EE619D">
      <w:pPr>
        <w:autoSpaceDE w:val="0"/>
        <w:autoSpaceDN w:val="0"/>
        <w:adjustRightInd w:val="0"/>
        <w:spacing w:after="120" w:line="360" w:lineRule="auto"/>
        <w:jc w:val="both"/>
        <w:rPr>
          <w:rFonts w:ascii="Garamond" w:hAnsi="Garamond"/>
          <w:b/>
          <w:color w:val="0070C0"/>
          <w:sz w:val="22"/>
          <w:szCs w:val="22"/>
        </w:rPr>
      </w:pPr>
    </w:p>
    <w:p w14:paraId="557ADE62" w14:textId="77777777" w:rsidR="00565F75" w:rsidRDefault="00565F75" w:rsidP="00EE619D">
      <w:pPr>
        <w:autoSpaceDE w:val="0"/>
        <w:autoSpaceDN w:val="0"/>
        <w:adjustRightInd w:val="0"/>
        <w:spacing w:after="120" w:line="360" w:lineRule="auto"/>
        <w:jc w:val="both"/>
        <w:rPr>
          <w:rFonts w:ascii="Garamond" w:hAnsi="Garamond"/>
          <w:b/>
          <w:color w:val="0070C0"/>
          <w:sz w:val="22"/>
          <w:szCs w:val="22"/>
        </w:rPr>
      </w:pPr>
    </w:p>
    <w:p w14:paraId="65B22ADE" w14:textId="77777777" w:rsidR="00276D6F" w:rsidRDefault="00276D6F" w:rsidP="00EE619D">
      <w:pPr>
        <w:autoSpaceDE w:val="0"/>
        <w:autoSpaceDN w:val="0"/>
        <w:adjustRightInd w:val="0"/>
        <w:spacing w:after="120" w:line="360" w:lineRule="auto"/>
        <w:jc w:val="both"/>
        <w:rPr>
          <w:rFonts w:ascii="Garamond" w:hAnsi="Garamond"/>
          <w:b/>
          <w:color w:val="0070C0"/>
          <w:sz w:val="22"/>
          <w:szCs w:val="22"/>
        </w:rPr>
      </w:pPr>
    </w:p>
    <w:p w14:paraId="7F237B9C"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lastRenderedPageBreak/>
        <w:t>1. EXECUTIVE SUMMARY</w:t>
      </w:r>
    </w:p>
    <w:p w14:paraId="0F49FE45" w14:textId="77777777" w:rsidR="00FE5DCF" w:rsidRDefault="00012FB1"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In the forecast horizon, the inflation will shape around the target, according to the Central Bank’</w:t>
      </w:r>
      <w:r w:rsidR="00FE5DCF" w:rsidRPr="00FE5DCF">
        <w:rPr>
          <w:rFonts w:ascii="Garamond" w:hAnsi="Garamond"/>
          <w:b/>
          <w:sz w:val="22"/>
          <w:szCs w:val="22"/>
        </w:rPr>
        <w:t>s Monetary Policy Program</w:t>
      </w:r>
      <w:r>
        <w:rPr>
          <w:rFonts w:ascii="Garamond" w:hAnsi="Garamond"/>
          <w:b/>
          <w:sz w:val="22"/>
          <w:szCs w:val="22"/>
        </w:rPr>
        <w:t>, Q1,</w:t>
      </w:r>
      <w:r w:rsidR="00FE5DCF" w:rsidRPr="00FE5DCF">
        <w:rPr>
          <w:rFonts w:ascii="Garamond" w:hAnsi="Garamond"/>
          <w:b/>
          <w:sz w:val="22"/>
          <w:szCs w:val="22"/>
        </w:rPr>
        <w:t xml:space="preserve"> 2019.</w:t>
      </w:r>
    </w:p>
    <w:p w14:paraId="24AC5471" w14:textId="77777777" w:rsidR="00012FB1" w:rsidRDefault="00012FB1" w:rsidP="00EE619D">
      <w:pPr>
        <w:autoSpaceDE w:val="0"/>
        <w:autoSpaceDN w:val="0"/>
        <w:adjustRightInd w:val="0"/>
        <w:spacing w:after="120" w:line="360" w:lineRule="auto"/>
        <w:jc w:val="both"/>
        <w:rPr>
          <w:rFonts w:ascii="Garamond" w:hAnsi="Garamond"/>
          <w:b/>
          <w:sz w:val="22"/>
          <w:szCs w:val="22"/>
        </w:rPr>
      </w:pPr>
      <w:r w:rsidRPr="00012FB1">
        <w:rPr>
          <w:rFonts w:ascii="Garamond" w:hAnsi="Garamond"/>
          <w:sz w:val="22"/>
          <w:szCs w:val="22"/>
        </w:rPr>
        <w:t>The l</w:t>
      </w:r>
      <w:r w:rsidR="00276D6F" w:rsidRPr="00012FB1">
        <w:rPr>
          <w:rFonts w:ascii="Garamond" w:hAnsi="Garamond"/>
          <w:sz w:val="22"/>
          <w:szCs w:val="22"/>
        </w:rPr>
        <w:t>ow inflation</w:t>
      </w:r>
      <w:r w:rsidRPr="00012FB1">
        <w:rPr>
          <w:rFonts w:ascii="Garamond" w:hAnsi="Garamond"/>
          <w:sz w:val="22"/>
          <w:szCs w:val="22"/>
        </w:rPr>
        <w:t xml:space="preserve">ary environment </w:t>
      </w:r>
      <w:r w:rsidR="00276D6F" w:rsidRPr="00012FB1">
        <w:rPr>
          <w:rFonts w:ascii="Garamond" w:hAnsi="Garamond"/>
          <w:sz w:val="22"/>
          <w:szCs w:val="22"/>
        </w:rPr>
        <w:t xml:space="preserve">of 2018 </w:t>
      </w:r>
      <w:r w:rsidR="00220A90">
        <w:rPr>
          <w:rFonts w:ascii="Garamond" w:hAnsi="Garamond"/>
          <w:sz w:val="22"/>
          <w:szCs w:val="22"/>
        </w:rPr>
        <w:t xml:space="preserve">is </w:t>
      </w:r>
      <w:r w:rsidR="00276D6F" w:rsidRPr="00012FB1">
        <w:rPr>
          <w:rFonts w:ascii="Garamond" w:hAnsi="Garamond"/>
          <w:sz w:val="22"/>
          <w:szCs w:val="22"/>
        </w:rPr>
        <w:t>persist</w:t>
      </w:r>
      <w:r w:rsidR="00220A90">
        <w:rPr>
          <w:rFonts w:ascii="Garamond" w:hAnsi="Garamond"/>
          <w:sz w:val="22"/>
          <w:szCs w:val="22"/>
        </w:rPr>
        <w:t>ing i</w:t>
      </w:r>
      <w:r w:rsidRPr="00012FB1">
        <w:rPr>
          <w:rFonts w:ascii="Garamond" w:hAnsi="Garamond"/>
          <w:sz w:val="22"/>
          <w:szCs w:val="22"/>
        </w:rPr>
        <w:t xml:space="preserve">n </w:t>
      </w:r>
      <w:r w:rsidR="00220A90">
        <w:rPr>
          <w:rFonts w:ascii="Garamond" w:hAnsi="Garamond"/>
          <w:sz w:val="22"/>
          <w:szCs w:val="22"/>
        </w:rPr>
        <w:t xml:space="preserve">early </w:t>
      </w:r>
      <w:r w:rsidR="00276D6F" w:rsidRPr="00012FB1">
        <w:rPr>
          <w:rFonts w:ascii="Garamond" w:hAnsi="Garamond"/>
          <w:sz w:val="22"/>
          <w:szCs w:val="22"/>
        </w:rPr>
        <w:t xml:space="preserve">2019, </w:t>
      </w:r>
      <w:r w:rsidRPr="00012FB1">
        <w:rPr>
          <w:rFonts w:ascii="Garamond" w:hAnsi="Garamond"/>
          <w:sz w:val="22"/>
          <w:szCs w:val="22"/>
        </w:rPr>
        <w:t>and the Central Bank continues to pursue an expansionary monetary policy, under which, as aggregate demand recovers, inflation will stabilize around the 4% target in the medium term.</w:t>
      </w:r>
      <w:r>
        <w:rPr>
          <w:rFonts w:ascii="Garamond" w:hAnsi="Garamond"/>
          <w:b/>
          <w:sz w:val="22"/>
          <w:szCs w:val="22"/>
        </w:rPr>
        <w:t xml:space="preserve"> </w:t>
      </w:r>
      <w:r w:rsidRPr="00012FB1">
        <w:rPr>
          <w:rFonts w:ascii="Garamond" w:hAnsi="Garamond"/>
          <w:b/>
          <w:sz w:val="22"/>
          <w:szCs w:val="22"/>
        </w:rPr>
        <w:t xml:space="preserve"> </w:t>
      </w:r>
    </w:p>
    <w:p w14:paraId="02302F72" w14:textId="77777777" w:rsidR="00C819B8" w:rsidRDefault="00C819B8"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the light of monetary policy implementation and expected economic developments, the </w:t>
      </w:r>
      <w:r w:rsidRPr="00C819B8">
        <w:rPr>
          <w:rFonts w:ascii="Garamond" w:hAnsi="Garamond"/>
          <w:sz w:val="22"/>
          <w:szCs w:val="22"/>
        </w:rPr>
        <w:t xml:space="preserve">12-month inflation </w:t>
      </w:r>
      <w:r>
        <w:rPr>
          <w:rFonts w:ascii="Garamond" w:hAnsi="Garamond"/>
          <w:sz w:val="22"/>
          <w:szCs w:val="22"/>
        </w:rPr>
        <w:t xml:space="preserve">will remain low in the forthcoming period, as in this situation the Central Bank opts for inflation to recover gradually and estimates that at present the </w:t>
      </w:r>
      <w:r w:rsidRPr="00C819B8">
        <w:rPr>
          <w:rFonts w:ascii="Garamond" w:hAnsi="Garamond"/>
          <w:sz w:val="22"/>
          <w:szCs w:val="22"/>
        </w:rPr>
        <w:t>low inflation contributes to anchoring long-term inflation expectations and maintaining the purchasing power of income.</w:t>
      </w:r>
      <w:r>
        <w:rPr>
          <w:rFonts w:ascii="Garamond" w:hAnsi="Garamond"/>
          <w:sz w:val="22"/>
          <w:szCs w:val="22"/>
        </w:rPr>
        <w:t xml:space="preserve"> </w:t>
      </w:r>
    </w:p>
    <w:tbl>
      <w:tblPr>
        <w:tblStyle w:val="TableGrid"/>
        <w:tblW w:w="0" w:type="auto"/>
        <w:tblLook w:val="04A0" w:firstRow="1" w:lastRow="0" w:firstColumn="1" w:lastColumn="0" w:noHBand="0" w:noVBand="1"/>
      </w:tblPr>
      <w:tblGrid>
        <w:gridCol w:w="6036"/>
      </w:tblGrid>
      <w:tr w:rsidR="00AB24C1" w:rsidRPr="00AB24C1" w14:paraId="3E88B0DD" w14:textId="77777777" w:rsidTr="0031200A">
        <w:trPr>
          <w:trHeight w:val="1103"/>
        </w:trPr>
        <w:tc>
          <w:tcPr>
            <w:tcW w:w="6036" w:type="dxa"/>
          </w:tcPr>
          <w:p w14:paraId="0D98EB54" w14:textId="77777777" w:rsidR="000A0192" w:rsidRPr="0031200A" w:rsidRDefault="005945BE" w:rsidP="007F3F81">
            <w:pPr>
              <w:autoSpaceDE w:val="0"/>
              <w:autoSpaceDN w:val="0"/>
              <w:adjustRightInd w:val="0"/>
              <w:spacing w:after="120" w:line="360" w:lineRule="auto"/>
              <w:jc w:val="both"/>
              <w:rPr>
                <w:rFonts w:ascii="Garamond" w:hAnsi="Garamond"/>
                <w:color w:val="0070C0"/>
                <w:sz w:val="20"/>
                <w:szCs w:val="20"/>
              </w:rPr>
            </w:pPr>
            <w:r w:rsidRPr="0031200A">
              <w:rPr>
                <w:rFonts w:ascii="Garamond" w:hAnsi="Garamond"/>
                <w:color w:val="0070C0"/>
                <w:sz w:val="20"/>
                <w:szCs w:val="20"/>
              </w:rPr>
              <w:t xml:space="preserve">At present, </w:t>
            </w:r>
            <w:r w:rsidR="00170F18" w:rsidRPr="0031200A">
              <w:rPr>
                <w:rFonts w:ascii="Garamond" w:hAnsi="Garamond"/>
                <w:color w:val="0070C0"/>
                <w:sz w:val="20"/>
                <w:szCs w:val="20"/>
              </w:rPr>
              <w:t xml:space="preserve">the Central Bank </w:t>
            </w:r>
            <w:r w:rsidRPr="0031200A">
              <w:rPr>
                <w:rFonts w:ascii="Garamond" w:hAnsi="Garamond"/>
                <w:color w:val="0070C0"/>
                <w:sz w:val="20"/>
                <w:szCs w:val="20"/>
              </w:rPr>
              <w:t>favors the gradual recovery of inflation</w:t>
            </w:r>
            <w:r w:rsidR="007F3F81" w:rsidRPr="0031200A">
              <w:rPr>
                <w:rFonts w:ascii="Garamond" w:hAnsi="Garamond"/>
                <w:color w:val="0070C0"/>
                <w:sz w:val="20"/>
                <w:szCs w:val="20"/>
              </w:rPr>
              <w:t xml:space="preserve">, estimating that low inflation contributes to anchoring long-term inflation expectations and maintaining the purchasing power of income. </w:t>
            </w:r>
          </w:p>
        </w:tc>
      </w:tr>
    </w:tbl>
    <w:p w14:paraId="1CF5D35F" w14:textId="77777777" w:rsidR="00012C1C" w:rsidRDefault="00012C1C" w:rsidP="00EE619D">
      <w:pPr>
        <w:autoSpaceDE w:val="0"/>
        <w:autoSpaceDN w:val="0"/>
        <w:adjustRightInd w:val="0"/>
        <w:spacing w:after="120" w:line="360" w:lineRule="auto"/>
        <w:jc w:val="both"/>
        <w:rPr>
          <w:rFonts w:ascii="Garamond" w:hAnsi="Garamond"/>
          <w:sz w:val="22"/>
          <w:szCs w:val="22"/>
        </w:rPr>
      </w:pPr>
    </w:p>
    <w:p w14:paraId="1DBAA91F" w14:textId="77777777" w:rsidR="007F3F81" w:rsidRDefault="007F3F81"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terms of ensuring the predicted </w:t>
      </w:r>
      <w:r w:rsidRPr="007F3F81">
        <w:rPr>
          <w:rFonts w:ascii="Garamond" w:hAnsi="Garamond"/>
          <w:sz w:val="22"/>
          <w:szCs w:val="22"/>
        </w:rPr>
        <w:t>inflation</w:t>
      </w:r>
      <w:r>
        <w:rPr>
          <w:rFonts w:ascii="Garamond" w:hAnsi="Garamond"/>
          <w:sz w:val="22"/>
          <w:szCs w:val="22"/>
        </w:rPr>
        <w:t xml:space="preserve"> path</w:t>
      </w:r>
      <w:r w:rsidRPr="007F3F81">
        <w:rPr>
          <w:rFonts w:ascii="Garamond" w:hAnsi="Garamond"/>
          <w:sz w:val="22"/>
          <w:szCs w:val="22"/>
        </w:rPr>
        <w:t xml:space="preserve">, the current </w:t>
      </w:r>
      <w:r>
        <w:rPr>
          <w:rFonts w:ascii="Garamond" w:hAnsi="Garamond"/>
          <w:sz w:val="22"/>
          <w:szCs w:val="22"/>
        </w:rPr>
        <w:t xml:space="preserve">policy </w:t>
      </w:r>
      <w:r w:rsidRPr="007F3F81">
        <w:rPr>
          <w:rFonts w:ascii="Garamond" w:hAnsi="Garamond"/>
          <w:sz w:val="22"/>
          <w:szCs w:val="22"/>
        </w:rPr>
        <w:t xml:space="preserve">rate is estimated to be </w:t>
      </w:r>
      <w:r>
        <w:rPr>
          <w:rFonts w:ascii="Garamond" w:hAnsi="Garamond"/>
          <w:sz w:val="22"/>
          <w:szCs w:val="22"/>
        </w:rPr>
        <w:t>expansionary enough, commensurate with</w:t>
      </w:r>
      <w:r w:rsidRPr="007F3F81">
        <w:rPr>
          <w:rFonts w:ascii="Garamond" w:hAnsi="Garamond"/>
          <w:sz w:val="22"/>
          <w:szCs w:val="22"/>
        </w:rPr>
        <w:t xml:space="preserve"> the </w:t>
      </w:r>
      <w:r w:rsidR="00225C60">
        <w:rPr>
          <w:rFonts w:ascii="Garamond" w:hAnsi="Garamond"/>
          <w:sz w:val="22"/>
          <w:szCs w:val="22"/>
        </w:rPr>
        <w:t xml:space="preserve">negative </w:t>
      </w:r>
      <w:r w:rsidRPr="007F3F81">
        <w:rPr>
          <w:rFonts w:ascii="Garamond" w:hAnsi="Garamond"/>
          <w:sz w:val="22"/>
          <w:szCs w:val="22"/>
        </w:rPr>
        <w:t>GDP gap, so the C</w:t>
      </w:r>
      <w:r w:rsidR="00225C60">
        <w:rPr>
          <w:rFonts w:ascii="Garamond" w:hAnsi="Garamond"/>
          <w:sz w:val="22"/>
          <w:szCs w:val="22"/>
        </w:rPr>
        <w:t xml:space="preserve">entral </w:t>
      </w:r>
      <w:r w:rsidRPr="007F3F81">
        <w:rPr>
          <w:rFonts w:ascii="Garamond" w:hAnsi="Garamond"/>
          <w:sz w:val="22"/>
          <w:szCs w:val="22"/>
        </w:rPr>
        <w:t>B</w:t>
      </w:r>
      <w:r w:rsidR="00225C60">
        <w:rPr>
          <w:rFonts w:ascii="Garamond" w:hAnsi="Garamond"/>
          <w:sz w:val="22"/>
          <w:szCs w:val="22"/>
        </w:rPr>
        <w:t>ank</w:t>
      </w:r>
      <w:r w:rsidRPr="007F3F81">
        <w:rPr>
          <w:rFonts w:ascii="Garamond" w:hAnsi="Garamond"/>
          <w:sz w:val="22"/>
          <w:szCs w:val="22"/>
        </w:rPr>
        <w:t xml:space="preserve"> finds it </w:t>
      </w:r>
      <w:r w:rsidR="00225C60">
        <w:rPr>
          <w:rFonts w:ascii="Garamond" w:hAnsi="Garamond"/>
          <w:sz w:val="22"/>
          <w:szCs w:val="22"/>
        </w:rPr>
        <w:t xml:space="preserve">reasonable </w:t>
      </w:r>
      <w:r w:rsidRPr="007F3F81">
        <w:rPr>
          <w:rFonts w:ascii="Garamond" w:hAnsi="Garamond"/>
          <w:sz w:val="22"/>
          <w:szCs w:val="22"/>
        </w:rPr>
        <w:t>to leave the refinancing rate unchanged</w:t>
      </w:r>
      <w:r w:rsidR="00225C60">
        <w:rPr>
          <w:rFonts w:ascii="Garamond" w:hAnsi="Garamond"/>
          <w:sz w:val="22"/>
          <w:szCs w:val="22"/>
        </w:rPr>
        <w:t xml:space="preserve"> for the time being; for fulfilment of the inflation target in the medium run the monetary conditions will remain expansionary </w:t>
      </w:r>
      <w:r w:rsidR="00817F99">
        <w:rPr>
          <w:rFonts w:ascii="Garamond" w:hAnsi="Garamond"/>
          <w:sz w:val="22"/>
          <w:szCs w:val="22"/>
        </w:rPr>
        <w:t xml:space="preserve">for a period </w:t>
      </w:r>
      <w:r w:rsidR="00225C60">
        <w:rPr>
          <w:rFonts w:ascii="Garamond" w:hAnsi="Garamond"/>
          <w:sz w:val="22"/>
          <w:szCs w:val="22"/>
        </w:rPr>
        <w:t>as long</w:t>
      </w:r>
      <w:r w:rsidR="00817F99">
        <w:rPr>
          <w:rFonts w:ascii="Garamond" w:hAnsi="Garamond"/>
          <w:sz w:val="22"/>
          <w:szCs w:val="22"/>
        </w:rPr>
        <w:t xml:space="preserve">er </w:t>
      </w:r>
      <w:r w:rsidR="00225C60">
        <w:rPr>
          <w:rFonts w:ascii="Garamond" w:hAnsi="Garamond"/>
          <w:sz w:val="22"/>
          <w:szCs w:val="22"/>
        </w:rPr>
        <w:t xml:space="preserve">as required, if </w:t>
      </w:r>
      <w:r w:rsidRPr="007F3F81">
        <w:rPr>
          <w:rFonts w:ascii="Garamond" w:hAnsi="Garamond"/>
          <w:sz w:val="22"/>
          <w:szCs w:val="22"/>
        </w:rPr>
        <w:t xml:space="preserve">macroeconomic developments </w:t>
      </w:r>
      <w:r w:rsidR="00225C60">
        <w:rPr>
          <w:rFonts w:ascii="Garamond" w:hAnsi="Garamond"/>
          <w:sz w:val="22"/>
          <w:szCs w:val="22"/>
        </w:rPr>
        <w:t xml:space="preserve">unfold according to the </w:t>
      </w:r>
      <w:r w:rsidRPr="007F3F81">
        <w:rPr>
          <w:rFonts w:ascii="Garamond" w:hAnsi="Garamond"/>
          <w:sz w:val="22"/>
          <w:szCs w:val="22"/>
        </w:rPr>
        <w:t>base</w:t>
      </w:r>
      <w:r w:rsidR="00225C60">
        <w:rPr>
          <w:rFonts w:ascii="Garamond" w:hAnsi="Garamond"/>
          <w:sz w:val="22"/>
          <w:szCs w:val="22"/>
        </w:rPr>
        <w:t>line</w:t>
      </w:r>
      <w:r w:rsidRPr="007F3F81">
        <w:rPr>
          <w:rFonts w:ascii="Garamond" w:hAnsi="Garamond"/>
          <w:sz w:val="22"/>
          <w:szCs w:val="22"/>
        </w:rPr>
        <w:t xml:space="preserve"> scenario.</w:t>
      </w:r>
    </w:p>
    <w:p w14:paraId="1CF6DA4A" w14:textId="77777777" w:rsidR="00225C60" w:rsidRDefault="00225C60" w:rsidP="00EE619D">
      <w:pPr>
        <w:autoSpaceDE w:val="0"/>
        <w:autoSpaceDN w:val="0"/>
        <w:adjustRightInd w:val="0"/>
        <w:spacing w:after="120" w:line="360" w:lineRule="auto"/>
        <w:jc w:val="both"/>
        <w:rPr>
          <w:rFonts w:ascii="Garamond" w:hAnsi="Garamond"/>
          <w:b/>
          <w:sz w:val="22"/>
          <w:szCs w:val="22"/>
        </w:rPr>
      </w:pPr>
      <w:r w:rsidRPr="00225C60">
        <w:rPr>
          <w:rFonts w:ascii="Garamond" w:hAnsi="Garamond"/>
          <w:b/>
          <w:sz w:val="22"/>
          <w:szCs w:val="22"/>
        </w:rPr>
        <w:t>According to Central Bank’s short-term forecasts, the 2019 economic growth will be between 4.6-6.1% and will reach its long-term equilibrium in the medium run.</w:t>
      </w:r>
    </w:p>
    <w:tbl>
      <w:tblPr>
        <w:tblStyle w:val="TableGrid"/>
        <w:tblW w:w="0" w:type="auto"/>
        <w:tblLook w:val="04A0" w:firstRow="1" w:lastRow="0" w:firstColumn="1" w:lastColumn="0" w:noHBand="0" w:noVBand="1"/>
      </w:tblPr>
      <w:tblGrid>
        <w:gridCol w:w="6048"/>
      </w:tblGrid>
      <w:tr w:rsidR="00225C60" w14:paraId="1D72A79D" w14:textId="77777777" w:rsidTr="00DF2943">
        <w:tc>
          <w:tcPr>
            <w:tcW w:w="6048" w:type="dxa"/>
          </w:tcPr>
          <w:p w14:paraId="4520FC0F" w14:textId="77777777" w:rsidR="00225C60" w:rsidRPr="0031200A" w:rsidRDefault="0031200A" w:rsidP="00EE619D">
            <w:pPr>
              <w:autoSpaceDE w:val="0"/>
              <w:autoSpaceDN w:val="0"/>
              <w:adjustRightInd w:val="0"/>
              <w:spacing w:after="120" w:line="360" w:lineRule="auto"/>
              <w:jc w:val="both"/>
              <w:rPr>
                <w:rFonts w:ascii="Garamond" w:hAnsi="Garamond"/>
                <w:color w:val="0070C0"/>
                <w:sz w:val="20"/>
                <w:szCs w:val="20"/>
              </w:rPr>
            </w:pPr>
            <w:r w:rsidRPr="0031200A">
              <w:rPr>
                <w:rFonts w:ascii="Garamond" w:hAnsi="Garamond"/>
                <w:color w:val="0070C0"/>
                <w:sz w:val="20"/>
                <w:szCs w:val="20"/>
              </w:rPr>
              <w:t xml:space="preserve">Economic growth in 2019 will be between 4.6-6.1%, according to Central Bank’s short-term forecasts. </w:t>
            </w:r>
          </w:p>
        </w:tc>
      </w:tr>
    </w:tbl>
    <w:p w14:paraId="5294F58B" w14:textId="77777777" w:rsidR="0031200A" w:rsidRDefault="0031200A" w:rsidP="00EE619D">
      <w:pPr>
        <w:autoSpaceDE w:val="0"/>
        <w:autoSpaceDN w:val="0"/>
        <w:adjustRightInd w:val="0"/>
        <w:spacing w:after="120" w:line="360" w:lineRule="auto"/>
        <w:jc w:val="both"/>
        <w:rPr>
          <w:rFonts w:ascii="Garamond" w:hAnsi="Garamond"/>
          <w:sz w:val="22"/>
          <w:szCs w:val="22"/>
        </w:rPr>
      </w:pPr>
    </w:p>
    <w:p w14:paraId="379CC896" w14:textId="20410AEF" w:rsidR="00E53450" w:rsidRPr="00EE5F0F" w:rsidRDefault="00E53450" w:rsidP="00E53450">
      <w:pPr>
        <w:autoSpaceDE w:val="0"/>
        <w:autoSpaceDN w:val="0"/>
        <w:adjustRightInd w:val="0"/>
        <w:spacing w:after="120" w:line="360" w:lineRule="auto"/>
        <w:jc w:val="both"/>
        <w:rPr>
          <w:rFonts w:ascii="Garamond" w:hAnsi="Garamond"/>
          <w:b/>
          <w:sz w:val="22"/>
          <w:szCs w:val="22"/>
        </w:rPr>
      </w:pPr>
      <w:r w:rsidRPr="00EE5F0F">
        <w:rPr>
          <w:rFonts w:ascii="Garamond" w:hAnsi="Garamond"/>
          <w:sz w:val="22"/>
          <w:szCs w:val="22"/>
        </w:rPr>
        <w:t xml:space="preserve">According to the baseline scenario, </w:t>
      </w:r>
      <w:r w:rsidR="0031200A">
        <w:rPr>
          <w:rFonts w:ascii="Garamond" w:hAnsi="Garamond"/>
          <w:sz w:val="22"/>
          <w:szCs w:val="22"/>
        </w:rPr>
        <w:t xml:space="preserve">the 2019 economic growth will mostly be </w:t>
      </w:r>
      <w:r w:rsidR="00035D97">
        <w:rPr>
          <w:rFonts w:ascii="Garamond" w:hAnsi="Garamond"/>
          <w:sz w:val="22"/>
          <w:szCs w:val="22"/>
        </w:rPr>
        <w:t>contributed</w:t>
      </w:r>
      <w:r w:rsidR="0031200A">
        <w:rPr>
          <w:rFonts w:ascii="Garamond" w:hAnsi="Garamond"/>
          <w:sz w:val="22"/>
          <w:szCs w:val="22"/>
        </w:rPr>
        <w:t xml:space="preserve"> by private spending. M</w:t>
      </w:r>
      <w:r w:rsidRPr="00EE5F0F">
        <w:rPr>
          <w:rFonts w:ascii="Garamond" w:hAnsi="Garamond"/>
          <w:sz w:val="22"/>
          <w:szCs w:val="22"/>
        </w:rPr>
        <w:t xml:space="preserve">id-term economic growth </w:t>
      </w:r>
      <w:r>
        <w:rPr>
          <w:rFonts w:ascii="Garamond" w:hAnsi="Garamond"/>
          <w:sz w:val="22"/>
          <w:szCs w:val="22"/>
        </w:rPr>
        <w:t xml:space="preserve">will </w:t>
      </w:r>
      <w:r w:rsidRPr="00EE5F0F">
        <w:rPr>
          <w:rFonts w:ascii="Garamond" w:hAnsi="Garamond"/>
          <w:sz w:val="22"/>
          <w:szCs w:val="22"/>
        </w:rPr>
        <w:t xml:space="preserve">largely </w:t>
      </w:r>
      <w:r w:rsidR="0031200A">
        <w:rPr>
          <w:rFonts w:ascii="Garamond" w:hAnsi="Garamond"/>
          <w:sz w:val="22"/>
          <w:szCs w:val="22"/>
        </w:rPr>
        <w:t>owe to</w:t>
      </w:r>
      <w:r>
        <w:rPr>
          <w:rFonts w:ascii="Garamond" w:hAnsi="Garamond"/>
          <w:sz w:val="22"/>
          <w:szCs w:val="22"/>
        </w:rPr>
        <w:t xml:space="preserve"> </w:t>
      </w:r>
      <w:r w:rsidR="0031200A">
        <w:rPr>
          <w:rFonts w:ascii="Garamond" w:hAnsi="Garamond"/>
          <w:sz w:val="22"/>
          <w:szCs w:val="22"/>
        </w:rPr>
        <w:t xml:space="preserve">the </w:t>
      </w:r>
      <w:r>
        <w:rPr>
          <w:rFonts w:ascii="Garamond" w:hAnsi="Garamond"/>
          <w:sz w:val="22"/>
          <w:szCs w:val="22"/>
        </w:rPr>
        <w:t xml:space="preserve">expanding of </w:t>
      </w:r>
      <w:r w:rsidRPr="00265345">
        <w:rPr>
          <w:rFonts w:ascii="Garamond" w:hAnsi="Garamond"/>
          <w:sz w:val="22"/>
          <w:szCs w:val="22"/>
        </w:rPr>
        <w:t>production capacities</w:t>
      </w:r>
      <w:r w:rsidR="0031200A">
        <w:rPr>
          <w:rFonts w:ascii="Garamond" w:hAnsi="Garamond"/>
          <w:sz w:val="22"/>
          <w:szCs w:val="22"/>
        </w:rPr>
        <w:t>,</w:t>
      </w:r>
      <w:r w:rsidR="00454F87">
        <w:rPr>
          <w:rFonts w:ascii="Garamond" w:hAnsi="Garamond"/>
          <w:sz w:val="22"/>
          <w:szCs w:val="22"/>
        </w:rPr>
        <w:t xml:space="preserve"> the pace at which the</w:t>
      </w:r>
      <w:r w:rsidRPr="00EE5F0F">
        <w:rPr>
          <w:rFonts w:ascii="Garamond" w:hAnsi="Garamond"/>
          <w:sz w:val="22"/>
          <w:szCs w:val="22"/>
        </w:rPr>
        <w:t xml:space="preserve"> Government</w:t>
      </w:r>
      <w:r w:rsidR="00454F87">
        <w:rPr>
          <w:rFonts w:ascii="Garamond" w:hAnsi="Garamond"/>
          <w:sz w:val="22"/>
          <w:szCs w:val="22"/>
        </w:rPr>
        <w:t xml:space="preserve"> will push forward the </w:t>
      </w:r>
      <w:r w:rsidRPr="00EE5F0F">
        <w:rPr>
          <w:rFonts w:ascii="Garamond" w:hAnsi="Garamond"/>
          <w:sz w:val="22"/>
          <w:szCs w:val="22"/>
        </w:rPr>
        <w:t xml:space="preserve">structural reforms and </w:t>
      </w:r>
      <w:r w:rsidR="00454F87">
        <w:rPr>
          <w:rFonts w:ascii="Garamond" w:hAnsi="Garamond"/>
          <w:sz w:val="22"/>
          <w:szCs w:val="22"/>
        </w:rPr>
        <w:t xml:space="preserve">what </w:t>
      </w:r>
      <w:r w:rsidRPr="00EE5F0F">
        <w:rPr>
          <w:rFonts w:ascii="Garamond" w:hAnsi="Garamond"/>
          <w:sz w:val="22"/>
          <w:szCs w:val="22"/>
        </w:rPr>
        <w:t xml:space="preserve">economic growth </w:t>
      </w:r>
      <w:r w:rsidR="0089793B">
        <w:rPr>
          <w:rFonts w:ascii="Garamond" w:hAnsi="Garamond"/>
          <w:sz w:val="22"/>
          <w:szCs w:val="22"/>
        </w:rPr>
        <w:t xml:space="preserve">potential can be expected </w:t>
      </w:r>
      <w:r w:rsidRPr="00EE5F0F">
        <w:rPr>
          <w:rFonts w:ascii="Garamond" w:hAnsi="Garamond"/>
          <w:sz w:val="22"/>
          <w:szCs w:val="22"/>
        </w:rPr>
        <w:t xml:space="preserve">in partner countries. </w:t>
      </w:r>
    </w:p>
    <w:p w14:paraId="14C7FC56" w14:textId="77777777" w:rsidR="00E53450" w:rsidRPr="00EE5F0F" w:rsidRDefault="00BA4E3D" w:rsidP="00E53450">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the forecast horizon, </w:t>
      </w:r>
      <w:r w:rsidRPr="00BA4E3D">
        <w:rPr>
          <w:rFonts w:ascii="Garamond" w:hAnsi="Garamond"/>
          <w:b/>
          <w:sz w:val="22"/>
          <w:szCs w:val="22"/>
        </w:rPr>
        <w:t xml:space="preserve">downside risks to inflation and </w:t>
      </w:r>
      <w:r w:rsidR="00E53450" w:rsidRPr="00BA4E3D">
        <w:rPr>
          <w:rFonts w:ascii="Garamond" w:hAnsi="Garamond"/>
          <w:b/>
          <w:sz w:val="22"/>
          <w:szCs w:val="22"/>
        </w:rPr>
        <w:t xml:space="preserve">economic growth outlook </w:t>
      </w:r>
      <w:r w:rsidRPr="00BA4E3D">
        <w:rPr>
          <w:rFonts w:ascii="Garamond" w:hAnsi="Garamond"/>
          <w:b/>
          <w:sz w:val="22"/>
          <w:szCs w:val="22"/>
        </w:rPr>
        <w:t>are still prevailing at present</w:t>
      </w:r>
      <w:r>
        <w:rPr>
          <w:rFonts w:ascii="Garamond" w:hAnsi="Garamond"/>
          <w:sz w:val="22"/>
          <w:szCs w:val="22"/>
        </w:rPr>
        <w:t xml:space="preserve"> and depend on both external and domestic factors</w:t>
      </w:r>
      <w:r w:rsidR="00E53450">
        <w:rPr>
          <w:rFonts w:ascii="Garamond" w:hAnsi="Garamond"/>
          <w:sz w:val="22"/>
          <w:szCs w:val="22"/>
        </w:rPr>
        <w:t xml:space="preserve"> (see subsection 2.2.4 “Main assumptions and risks”)</w:t>
      </w:r>
      <w:r w:rsidR="00E53450" w:rsidRPr="00EE5F0F">
        <w:rPr>
          <w:rFonts w:ascii="Garamond" w:hAnsi="Garamond"/>
          <w:sz w:val="22"/>
          <w:szCs w:val="22"/>
        </w:rPr>
        <w:t xml:space="preserve">. </w:t>
      </w:r>
      <w:r w:rsidRPr="000453EF">
        <w:rPr>
          <w:rFonts w:ascii="Garamond" w:hAnsi="Garamond"/>
          <w:sz w:val="22"/>
          <w:szCs w:val="22"/>
        </w:rPr>
        <w:t>I</w:t>
      </w:r>
      <w:r>
        <w:rPr>
          <w:rFonts w:ascii="Garamond" w:hAnsi="Garamond"/>
          <w:sz w:val="22"/>
          <w:szCs w:val="22"/>
        </w:rPr>
        <w:t xml:space="preserve">n the event </w:t>
      </w:r>
      <w:r w:rsidRPr="000453EF">
        <w:rPr>
          <w:rFonts w:ascii="Garamond" w:hAnsi="Garamond"/>
          <w:sz w:val="22"/>
          <w:szCs w:val="22"/>
        </w:rPr>
        <w:t>these risks</w:t>
      </w:r>
      <w:r>
        <w:rPr>
          <w:rFonts w:ascii="Garamond" w:hAnsi="Garamond"/>
          <w:sz w:val="22"/>
          <w:szCs w:val="22"/>
        </w:rPr>
        <w:t xml:space="preserve"> materialize</w:t>
      </w:r>
      <w:r w:rsidRPr="000453EF">
        <w:rPr>
          <w:rFonts w:ascii="Garamond" w:hAnsi="Garamond"/>
          <w:sz w:val="22"/>
          <w:szCs w:val="22"/>
        </w:rPr>
        <w:t xml:space="preserve">, </w:t>
      </w:r>
      <w:r>
        <w:rPr>
          <w:rFonts w:ascii="Garamond" w:hAnsi="Garamond"/>
          <w:sz w:val="22"/>
          <w:szCs w:val="22"/>
        </w:rPr>
        <w:t xml:space="preserve">an appropriate </w:t>
      </w:r>
      <w:r w:rsidRPr="000453EF">
        <w:rPr>
          <w:rFonts w:ascii="Garamond" w:hAnsi="Garamond"/>
          <w:sz w:val="22"/>
          <w:szCs w:val="22"/>
        </w:rPr>
        <w:t xml:space="preserve">monetary policy </w:t>
      </w:r>
      <w:r>
        <w:rPr>
          <w:rFonts w:ascii="Garamond" w:hAnsi="Garamond"/>
          <w:sz w:val="22"/>
          <w:szCs w:val="22"/>
        </w:rPr>
        <w:t xml:space="preserve">response will be needed for </w:t>
      </w:r>
      <w:r w:rsidRPr="000453EF">
        <w:rPr>
          <w:rFonts w:ascii="Garamond" w:hAnsi="Garamond"/>
          <w:sz w:val="22"/>
          <w:szCs w:val="22"/>
        </w:rPr>
        <w:t>ensur</w:t>
      </w:r>
      <w:r>
        <w:rPr>
          <w:rFonts w:ascii="Garamond" w:hAnsi="Garamond"/>
          <w:sz w:val="22"/>
          <w:szCs w:val="22"/>
        </w:rPr>
        <w:t xml:space="preserve">ing </w:t>
      </w:r>
      <w:r w:rsidRPr="000453EF">
        <w:rPr>
          <w:rFonts w:ascii="Garamond" w:hAnsi="Garamond"/>
          <w:sz w:val="22"/>
          <w:szCs w:val="22"/>
        </w:rPr>
        <w:t>price stability</w:t>
      </w:r>
      <w:r>
        <w:rPr>
          <w:rFonts w:ascii="Garamond" w:hAnsi="Garamond"/>
          <w:sz w:val="22"/>
          <w:szCs w:val="22"/>
        </w:rPr>
        <w:t xml:space="preserve"> in the medium-term perspective</w:t>
      </w:r>
      <w:r w:rsidRPr="000453EF">
        <w:rPr>
          <w:rFonts w:ascii="Garamond" w:hAnsi="Garamond"/>
          <w:sz w:val="22"/>
          <w:szCs w:val="22"/>
        </w:rPr>
        <w:t>.</w:t>
      </w:r>
    </w:p>
    <w:tbl>
      <w:tblPr>
        <w:tblStyle w:val="TableGrid"/>
        <w:tblW w:w="0" w:type="auto"/>
        <w:tblLook w:val="04A0" w:firstRow="1" w:lastRow="0" w:firstColumn="1" w:lastColumn="0" w:noHBand="0" w:noVBand="1"/>
      </w:tblPr>
      <w:tblGrid>
        <w:gridCol w:w="9350"/>
      </w:tblGrid>
      <w:tr w:rsidR="00265345" w:rsidRPr="003720FB" w14:paraId="388F6C9D" w14:textId="77777777" w:rsidTr="003417FE">
        <w:trPr>
          <w:trHeight w:val="335"/>
        </w:trPr>
        <w:tc>
          <w:tcPr>
            <w:tcW w:w="9576" w:type="dxa"/>
          </w:tcPr>
          <w:p w14:paraId="57281A8D" w14:textId="77777777" w:rsidR="00265345" w:rsidRPr="003720FB" w:rsidRDefault="00265345" w:rsidP="003417FE">
            <w:pPr>
              <w:autoSpaceDE w:val="0"/>
              <w:autoSpaceDN w:val="0"/>
              <w:adjustRightInd w:val="0"/>
              <w:spacing w:after="120" w:line="360" w:lineRule="auto"/>
              <w:jc w:val="both"/>
              <w:rPr>
                <w:rFonts w:ascii="Garamond" w:hAnsi="Garamond"/>
                <w:b/>
                <w:color w:val="FF0000"/>
                <w:sz w:val="18"/>
                <w:szCs w:val="18"/>
              </w:rPr>
            </w:pPr>
            <w:r w:rsidRPr="003720FB">
              <w:rPr>
                <w:rFonts w:ascii="Garamond" w:hAnsi="Garamond"/>
                <w:b/>
                <w:color w:val="FF0000"/>
                <w:sz w:val="18"/>
                <w:szCs w:val="18"/>
              </w:rPr>
              <w:lastRenderedPageBreak/>
              <w:t xml:space="preserve">Footnote 1. </w:t>
            </w:r>
            <w:r w:rsidRPr="00DD0E48">
              <w:rPr>
                <w:rFonts w:ascii="Garamond" w:hAnsi="Garamond"/>
                <w:sz w:val="18"/>
                <w:szCs w:val="18"/>
              </w:rPr>
              <w:t>The growth rate of each quarter is calculated as the cumulative growth rate for the last four quarters.</w:t>
            </w:r>
          </w:p>
        </w:tc>
      </w:tr>
    </w:tbl>
    <w:p w14:paraId="71469142" w14:textId="77777777" w:rsidR="00265345" w:rsidRPr="00EE5F0F" w:rsidRDefault="00265345" w:rsidP="00265345">
      <w:pPr>
        <w:autoSpaceDE w:val="0"/>
        <w:autoSpaceDN w:val="0"/>
        <w:adjustRightInd w:val="0"/>
        <w:spacing w:after="120" w:line="360" w:lineRule="auto"/>
        <w:jc w:val="both"/>
        <w:rPr>
          <w:rFonts w:ascii="Garamond" w:hAnsi="Garamond"/>
          <w:b/>
          <w:sz w:val="22"/>
          <w:szCs w:val="22"/>
        </w:rPr>
      </w:pPr>
    </w:p>
    <w:p w14:paraId="3B3F8318"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 FORECAST, FORECAST CHANGES AND RISKS</w:t>
      </w:r>
    </w:p>
    <w:p w14:paraId="0E94FBC6"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2.1. External environment</w:t>
      </w:r>
    </w:p>
    <w:p w14:paraId="048B9C6C" w14:textId="77777777" w:rsidR="00EE619D" w:rsidRDefault="001E63BC"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T</w:t>
      </w:r>
      <w:r w:rsidR="00DF2AC4" w:rsidRPr="00EE5F0F">
        <w:rPr>
          <w:rFonts w:ascii="Garamond" w:hAnsi="Garamond"/>
          <w:b/>
          <w:sz w:val="22"/>
          <w:szCs w:val="22"/>
        </w:rPr>
        <w:t xml:space="preserve">he </w:t>
      </w:r>
      <w:r w:rsidR="001E1BA3">
        <w:rPr>
          <w:rFonts w:ascii="Garamond" w:hAnsi="Garamond"/>
          <w:b/>
          <w:sz w:val="22"/>
          <w:szCs w:val="22"/>
        </w:rPr>
        <w:t xml:space="preserve">world </w:t>
      </w:r>
      <w:r>
        <w:rPr>
          <w:rFonts w:ascii="Garamond" w:hAnsi="Garamond"/>
          <w:b/>
          <w:sz w:val="22"/>
          <w:szCs w:val="22"/>
        </w:rPr>
        <w:t>econom</w:t>
      </w:r>
      <w:r w:rsidR="00DF2943">
        <w:rPr>
          <w:rFonts w:ascii="Garamond" w:hAnsi="Garamond"/>
          <w:b/>
          <w:sz w:val="22"/>
          <w:szCs w:val="22"/>
        </w:rPr>
        <w:t xml:space="preserve">ic growth slowed down </w:t>
      </w:r>
      <w:r>
        <w:rPr>
          <w:rFonts w:ascii="Garamond" w:hAnsi="Garamond"/>
          <w:b/>
          <w:sz w:val="22"/>
          <w:szCs w:val="22"/>
        </w:rPr>
        <w:t xml:space="preserve">in </w:t>
      </w:r>
      <w:r w:rsidR="00992FC8">
        <w:rPr>
          <w:rFonts w:ascii="Garamond" w:hAnsi="Garamond"/>
          <w:b/>
          <w:sz w:val="22"/>
          <w:szCs w:val="22"/>
        </w:rPr>
        <w:t xml:space="preserve">the </w:t>
      </w:r>
      <w:r>
        <w:rPr>
          <w:rFonts w:ascii="Garamond" w:hAnsi="Garamond"/>
          <w:b/>
          <w:sz w:val="22"/>
          <w:szCs w:val="22"/>
        </w:rPr>
        <w:t>lat</w:t>
      </w:r>
      <w:r w:rsidR="00066454">
        <w:rPr>
          <w:rFonts w:ascii="Garamond" w:hAnsi="Garamond"/>
          <w:b/>
          <w:sz w:val="22"/>
          <w:szCs w:val="22"/>
        </w:rPr>
        <w:t>t</w:t>
      </w:r>
      <w:r>
        <w:rPr>
          <w:rFonts w:ascii="Garamond" w:hAnsi="Garamond"/>
          <w:b/>
          <w:sz w:val="22"/>
          <w:szCs w:val="22"/>
        </w:rPr>
        <w:t>e</w:t>
      </w:r>
      <w:r w:rsidR="00066454">
        <w:rPr>
          <w:rFonts w:ascii="Garamond" w:hAnsi="Garamond"/>
          <w:b/>
          <w:sz w:val="22"/>
          <w:szCs w:val="22"/>
        </w:rPr>
        <w:t>r part of</w:t>
      </w:r>
      <w:r>
        <w:rPr>
          <w:rFonts w:ascii="Garamond" w:hAnsi="Garamond"/>
          <w:b/>
          <w:sz w:val="22"/>
          <w:szCs w:val="22"/>
        </w:rPr>
        <w:t xml:space="preserve"> 2018 </w:t>
      </w:r>
      <w:r w:rsidR="00DF2943">
        <w:rPr>
          <w:rFonts w:ascii="Garamond" w:hAnsi="Garamond"/>
          <w:b/>
          <w:sz w:val="22"/>
          <w:szCs w:val="22"/>
        </w:rPr>
        <w:t>and</w:t>
      </w:r>
      <w:r>
        <w:rPr>
          <w:rFonts w:ascii="Garamond" w:hAnsi="Garamond"/>
          <w:b/>
          <w:sz w:val="22"/>
          <w:szCs w:val="22"/>
        </w:rPr>
        <w:t xml:space="preserve"> </w:t>
      </w:r>
      <w:r w:rsidR="00D66145" w:rsidRPr="00D66145">
        <w:rPr>
          <w:rFonts w:ascii="Garamond" w:hAnsi="Garamond"/>
          <w:b/>
          <w:sz w:val="22"/>
          <w:szCs w:val="22"/>
        </w:rPr>
        <w:t xml:space="preserve">this tendency </w:t>
      </w:r>
      <w:r w:rsidR="00D66145">
        <w:rPr>
          <w:rFonts w:ascii="Garamond" w:hAnsi="Garamond"/>
          <w:b/>
          <w:sz w:val="22"/>
          <w:szCs w:val="22"/>
        </w:rPr>
        <w:t xml:space="preserve">is foreseen to persist over this year and the </w:t>
      </w:r>
      <w:r w:rsidR="00D66145" w:rsidRPr="00D66145">
        <w:rPr>
          <w:rFonts w:ascii="Garamond" w:hAnsi="Garamond"/>
          <w:b/>
          <w:sz w:val="22"/>
          <w:szCs w:val="22"/>
        </w:rPr>
        <w:t xml:space="preserve">next </w:t>
      </w:r>
      <w:r w:rsidR="00D66145">
        <w:rPr>
          <w:rFonts w:ascii="Garamond" w:hAnsi="Garamond"/>
          <w:b/>
          <w:sz w:val="22"/>
          <w:szCs w:val="22"/>
        </w:rPr>
        <w:t xml:space="preserve">one. </w:t>
      </w:r>
      <w:r w:rsidR="00992FC8">
        <w:rPr>
          <w:rFonts w:ascii="Garamond" w:hAnsi="Garamond"/>
          <w:b/>
          <w:sz w:val="22"/>
          <w:szCs w:val="22"/>
        </w:rPr>
        <w:t>E</w:t>
      </w:r>
      <w:r w:rsidR="0007024C">
        <w:rPr>
          <w:rFonts w:ascii="Garamond" w:hAnsi="Garamond"/>
          <w:b/>
          <w:sz w:val="22"/>
          <w:szCs w:val="22"/>
        </w:rPr>
        <w:t>conomic growth rates</w:t>
      </w:r>
      <w:r w:rsidR="00992FC8">
        <w:rPr>
          <w:rFonts w:ascii="Garamond" w:hAnsi="Garamond"/>
          <w:b/>
          <w:sz w:val="22"/>
          <w:szCs w:val="22"/>
        </w:rPr>
        <w:t>,</w:t>
      </w:r>
      <w:r w:rsidR="0007024C">
        <w:rPr>
          <w:rFonts w:ascii="Garamond" w:hAnsi="Garamond"/>
          <w:b/>
          <w:sz w:val="22"/>
          <w:szCs w:val="22"/>
        </w:rPr>
        <w:t xml:space="preserve"> </w:t>
      </w:r>
      <w:r w:rsidR="00D66145">
        <w:rPr>
          <w:rFonts w:ascii="Garamond" w:hAnsi="Garamond"/>
          <w:b/>
          <w:sz w:val="22"/>
          <w:szCs w:val="22"/>
        </w:rPr>
        <w:t xml:space="preserve">which were high </w:t>
      </w:r>
      <w:r w:rsidR="00220A90">
        <w:rPr>
          <w:rFonts w:ascii="Garamond" w:hAnsi="Garamond"/>
          <w:b/>
          <w:sz w:val="22"/>
          <w:szCs w:val="22"/>
        </w:rPr>
        <w:t xml:space="preserve">elsewhere in the </w:t>
      </w:r>
      <w:r w:rsidR="00992FC8">
        <w:rPr>
          <w:rFonts w:ascii="Garamond" w:hAnsi="Garamond"/>
          <w:b/>
          <w:sz w:val="22"/>
          <w:szCs w:val="22"/>
        </w:rPr>
        <w:t xml:space="preserve">world’s leading countries in 2018, </w:t>
      </w:r>
      <w:r w:rsidR="0007024C">
        <w:rPr>
          <w:rFonts w:ascii="Garamond" w:hAnsi="Garamond"/>
          <w:b/>
          <w:sz w:val="22"/>
          <w:szCs w:val="22"/>
        </w:rPr>
        <w:t xml:space="preserve">are expected </w:t>
      </w:r>
      <w:r w:rsidR="00EE6E38">
        <w:rPr>
          <w:rFonts w:ascii="Garamond" w:hAnsi="Garamond"/>
          <w:b/>
          <w:sz w:val="22"/>
          <w:szCs w:val="22"/>
        </w:rPr>
        <w:t xml:space="preserve">to </w:t>
      </w:r>
      <w:r w:rsidR="00992FC8">
        <w:rPr>
          <w:rFonts w:ascii="Garamond" w:hAnsi="Garamond"/>
          <w:b/>
          <w:sz w:val="22"/>
          <w:szCs w:val="22"/>
        </w:rPr>
        <w:t>slow down i</w:t>
      </w:r>
      <w:r w:rsidR="0007024C">
        <w:rPr>
          <w:rFonts w:ascii="Garamond" w:hAnsi="Garamond"/>
          <w:b/>
          <w:sz w:val="22"/>
          <w:szCs w:val="22"/>
        </w:rPr>
        <w:t xml:space="preserve">n the </w:t>
      </w:r>
      <w:r w:rsidR="00BC3332">
        <w:rPr>
          <w:rFonts w:ascii="Garamond" w:hAnsi="Garamond"/>
          <w:b/>
          <w:sz w:val="22"/>
          <w:szCs w:val="22"/>
        </w:rPr>
        <w:t>United States</w:t>
      </w:r>
      <w:r w:rsidR="00954241" w:rsidRPr="00EE5F0F">
        <w:rPr>
          <w:rFonts w:ascii="Garamond" w:hAnsi="Garamond"/>
          <w:b/>
          <w:sz w:val="22"/>
          <w:szCs w:val="22"/>
        </w:rPr>
        <w:t xml:space="preserve">, </w:t>
      </w:r>
      <w:r w:rsidR="00BC3332">
        <w:rPr>
          <w:rFonts w:ascii="Garamond" w:hAnsi="Garamond"/>
          <w:b/>
          <w:sz w:val="22"/>
          <w:szCs w:val="22"/>
        </w:rPr>
        <w:t>the</w:t>
      </w:r>
      <w:r w:rsidR="00954241" w:rsidRPr="00EE5F0F">
        <w:rPr>
          <w:rFonts w:ascii="Garamond" w:hAnsi="Garamond"/>
          <w:b/>
          <w:sz w:val="22"/>
          <w:szCs w:val="22"/>
        </w:rPr>
        <w:t xml:space="preserve"> Eurozone</w:t>
      </w:r>
      <w:r w:rsidR="0096300E">
        <w:rPr>
          <w:rFonts w:ascii="Garamond" w:hAnsi="Garamond"/>
          <w:b/>
          <w:sz w:val="22"/>
          <w:szCs w:val="22"/>
        </w:rPr>
        <w:t>,</w:t>
      </w:r>
      <w:r w:rsidR="00992FC8">
        <w:rPr>
          <w:rFonts w:ascii="Garamond" w:hAnsi="Garamond"/>
          <w:b/>
          <w:sz w:val="22"/>
          <w:szCs w:val="22"/>
        </w:rPr>
        <w:t xml:space="preserve"> and </w:t>
      </w:r>
      <w:r w:rsidR="00842D91">
        <w:rPr>
          <w:rFonts w:ascii="Garamond" w:hAnsi="Garamond"/>
          <w:b/>
          <w:sz w:val="22"/>
          <w:szCs w:val="22"/>
        </w:rPr>
        <w:t>Russia</w:t>
      </w:r>
      <w:r w:rsidR="00220A90">
        <w:rPr>
          <w:rFonts w:ascii="Garamond" w:hAnsi="Garamond"/>
          <w:b/>
          <w:sz w:val="22"/>
          <w:szCs w:val="22"/>
        </w:rPr>
        <w:t xml:space="preserve"> – </w:t>
      </w:r>
      <w:r w:rsidR="00992FC8">
        <w:rPr>
          <w:rFonts w:ascii="Garamond" w:hAnsi="Garamond"/>
          <w:b/>
          <w:sz w:val="22"/>
          <w:szCs w:val="22"/>
        </w:rPr>
        <w:t>the main</w:t>
      </w:r>
      <w:r w:rsidR="00992FC8" w:rsidRPr="00EE5F0F">
        <w:rPr>
          <w:rFonts w:ascii="Garamond" w:hAnsi="Garamond"/>
          <w:b/>
          <w:sz w:val="22"/>
          <w:szCs w:val="22"/>
        </w:rPr>
        <w:t xml:space="preserve"> trade partners to Armenia</w:t>
      </w:r>
      <w:r w:rsidR="00842D91" w:rsidRPr="00842D91">
        <w:rPr>
          <w:rFonts w:ascii="Garamond" w:hAnsi="Garamond"/>
          <w:b/>
          <w:sz w:val="22"/>
          <w:szCs w:val="22"/>
        </w:rPr>
        <w:t>.</w:t>
      </w:r>
      <w:r w:rsidR="00E76EEB" w:rsidRPr="00EE5F0F">
        <w:rPr>
          <w:rFonts w:ascii="Garamond" w:hAnsi="Garamond"/>
          <w:b/>
          <w:sz w:val="22"/>
          <w:szCs w:val="22"/>
        </w:rPr>
        <w:t xml:space="preserve"> </w:t>
      </w:r>
    </w:p>
    <w:tbl>
      <w:tblPr>
        <w:tblStyle w:val="TableGrid"/>
        <w:tblW w:w="0" w:type="auto"/>
        <w:tblLook w:val="04A0" w:firstRow="1" w:lastRow="0" w:firstColumn="1" w:lastColumn="0" w:noHBand="0" w:noVBand="1"/>
      </w:tblPr>
      <w:tblGrid>
        <w:gridCol w:w="6204"/>
      </w:tblGrid>
      <w:tr w:rsidR="003417FE" w:rsidRPr="00AB24C1" w14:paraId="44917E16" w14:textId="77777777" w:rsidTr="003417FE">
        <w:tc>
          <w:tcPr>
            <w:tcW w:w="6204" w:type="dxa"/>
          </w:tcPr>
          <w:p w14:paraId="7AFC8544" w14:textId="77777777" w:rsidR="003417FE" w:rsidRPr="00BC3332" w:rsidRDefault="00BC3332" w:rsidP="00992FC8">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T</w:t>
            </w:r>
            <w:r w:rsidRPr="00BC3332">
              <w:rPr>
                <w:rFonts w:ascii="Garamond" w:hAnsi="Garamond"/>
                <w:color w:val="0070C0"/>
                <w:sz w:val="20"/>
                <w:szCs w:val="20"/>
              </w:rPr>
              <w:t xml:space="preserve">he global economy </w:t>
            </w:r>
            <w:r w:rsidR="00992FC8">
              <w:rPr>
                <w:rFonts w:ascii="Garamond" w:hAnsi="Garamond"/>
                <w:color w:val="0070C0"/>
                <w:sz w:val="20"/>
                <w:szCs w:val="20"/>
              </w:rPr>
              <w:t>slowed down in the second half of 2018 and this tendency is expected to further be observable both during this year and the next.</w:t>
            </w:r>
            <w:r w:rsidR="00842D91">
              <w:rPr>
                <w:rFonts w:ascii="Garamond" w:hAnsi="Garamond"/>
                <w:color w:val="0070C0"/>
                <w:sz w:val="20"/>
                <w:szCs w:val="20"/>
              </w:rPr>
              <w:t xml:space="preserve"> </w:t>
            </w:r>
          </w:p>
        </w:tc>
      </w:tr>
    </w:tbl>
    <w:p w14:paraId="1C9ED98D" w14:textId="77777777" w:rsidR="003417FE" w:rsidRDefault="003417FE" w:rsidP="003417FE">
      <w:pPr>
        <w:autoSpaceDE w:val="0"/>
        <w:autoSpaceDN w:val="0"/>
        <w:adjustRightInd w:val="0"/>
        <w:spacing w:after="120" w:line="360" w:lineRule="auto"/>
        <w:jc w:val="both"/>
        <w:rPr>
          <w:rFonts w:ascii="Garamond" w:hAnsi="Garamond"/>
          <w:sz w:val="22"/>
          <w:szCs w:val="22"/>
        </w:rPr>
      </w:pPr>
    </w:p>
    <w:p w14:paraId="150CBB9C" w14:textId="25932590"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Economic developments in the external sector:</w:t>
      </w:r>
      <w:r w:rsidRPr="00EE5F0F">
        <w:rPr>
          <w:rFonts w:ascii="Garamond" w:hAnsi="Garamond"/>
          <w:sz w:val="22"/>
          <w:szCs w:val="22"/>
        </w:rPr>
        <w:t xml:space="preserve"> According to preliminary estimates of the Bureau of Economic Analysis of the U.S. Department of Commerce, economic growth in the </w:t>
      </w:r>
      <w:r w:rsidRPr="00EE5F0F">
        <w:rPr>
          <w:rFonts w:ascii="Garamond" w:hAnsi="Garamond"/>
          <w:b/>
          <w:sz w:val="22"/>
          <w:szCs w:val="22"/>
        </w:rPr>
        <w:t>United States</w:t>
      </w:r>
      <w:r w:rsidRPr="00EE5F0F">
        <w:rPr>
          <w:rFonts w:ascii="Garamond" w:hAnsi="Garamond"/>
          <w:b/>
          <w:sz w:val="22"/>
          <w:szCs w:val="22"/>
          <w:lang w:val="hy-AM"/>
        </w:rPr>
        <w:t xml:space="preserve"> </w:t>
      </w:r>
      <w:r w:rsidR="00506EA5" w:rsidRPr="00EE5F0F">
        <w:rPr>
          <w:rFonts w:ascii="Garamond" w:hAnsi="Garamond"/>
          <w:sz w:val="22"/>
          <w:szCs w:val="22"/>
        </w:rPr>
        <w:t>in the</w:t>
      </w:r>
      <w:r w:rsidR="00151ED8">
        <w:rPr>
          <w:rFonts w:ascii="Garamond" w:hAnsi="Garamond"/>
          <w:sz w:val="22"/>
          <w:szCs w:val="22"/>
        </w:rPr>
        <w:t xml:space="preserve"> </w:t>
      </w:r>
      <w:r w:rsidR="00161645">
        <w:rPr>
          <w:rFonts w:ascii="Garamond" w:hAnsi="Garamond"/>
          <w:sz w:val="22"/>
          <w:szCs w:val="22"/>
        </w:rPr>
        <w:t>fourth</w:t>
      </w:r>
      <w:r w:rsidR="00240895" w:rsidRPr="00EE5F0F">
        <w:rPr>
          <w:rFonts w:ascii="Garamond" w:hAnsi="Garamond"/>
          <w:sz w:val="22"/>
          <w:szCs w:val="22"/>
        </w:rPr>
        <w:t xml:space="preserve"> </w:t>
      </w:r>
      <w:r w:rsidRPr="00EE5F0F">
        <w:rPr>
          <w:rFonts w:ascii="Garamond" w:hAnsi="Garamond"/>
          <w:sz w:val="22"/>
          <w:szCs w:val="22"/>
        </w:rPr>
        <w:t>quarter of 201</w:t>
      </w:r>
      <w:r w:rsidR="00240895" w:rsidRPr="00EE5F0F">
        <w:rPr>
          <w:rFonts w:ascii="Garamond" w:hAnsi="Garamond"/>
          <w:sz w:val="22"/>
          <w:szCs w:val="22"/>
        </w:rPr>
        <w:t>8</w:t>
      </w:r>
      <w:r w:rsidRPr="00EE5F0F">
        <w:rPr>
          <w:rFonts w:ascii="Garamond" w:hAnsi="Garamond"/>
          <w:sz w:val="22"/>
          <w:szCs w:val="22"/>
        </w:rPr>
        <w:t xml:space="preserve"> was </w:t>
      </w:r>
      <w:r w:rsidR="00151ED8">
        <w:rPr>
          <w:rFonts w:ascii="Garamond" w:hAnsi="Garamond"/>
          <w:sz w:val="22"/>
          <w:szCs w:val="22"/>
        </w:rPr>
        <w:t>3</w:t>
      </w:r>
      <w:r w:rsidRPr="00EE5F0F">
        <w:rPr>
          <w:rFonts w:ascii="Garamond" w:hAnsi="Garamond"/>
          <w:sz w:val="22"/>
          <w:szCs w:val="22"/>
        </w:rPr>
        <w:t>.</w:t>
      </w:r>
      <w:r w:rsidR="00161645">
        <w:rPr>
          <w:rFonts w:ascii="Garamond" w:hAnsi="Garamond"/>
          <w:sz w:val="22"/>
          <w:szCs w:val="22"/>
        </w:rPr>
        <w:t>1</w:t>
      </w:r>
      <w:r w:rsidRPr="00EE5F0F">
        <w:rPr>
          <w:rFonts w:ascii="Garamond" w:hAnsi="Garamond"/>
          <w:sz w:val="22"/>
          <w:szCs w:val="22"/>
        </w:rPr>
        <w:t>% y/y</w:t>
      </w:r>
      <w:r w:rsidR="00506EA5" w:rsidRPr="00EE5F0F">
        <w:rPr>
          <w:rFonts w:ascii="Garamond" w:hAnsi="Garamond"/>
          <w:sz w:val="22"/>
          <w:szCs w:val="22"/>
        </w:rPr>
        <w:t>, with</w:t>
      </w:r>
      <w:r w:rsidRPr="00EE5F0F">
        <w:rPr>
          <w:rFonts w:ascii="Garamond" w:hAnsi="Garamond"/>
          <w:sz w:val="22"/>
          <w:szCs w:val="22"/>
        </w:rPr>
        <w:t xml:space="preserve"> average economic growth </w:t>
      </w:r>
      <w:r w:rsidR="00151ED8">
        <w:rPr>
          <w:rFonts w:ascii="Garamond" w:hAnsi="Garamond"/>
          <w:sz w:val="22"/>
          <w:szCs w:val="22"/>
        </w:rPr>
        <w:t xml:space="preserve">of </w:t>
      </w:r>
      <w:r w:rsidRPr="00EE5F0F">
        <w:rPr>
          <w:rFonts w:ascii="Garamond" w:hAnsi="Garamond"/>
          <w:sz w:val="22"/>
          <w:szCs w:val="22"/>
        </w:rPr>
        <w:t>2.</w:t>
      </w:r>
      <w:r w:rsidR="00161645">
        <w:rPr>
          <w:rFonts w:ascii="Garamond" w:hAnsi="Garamond"/>
          <w:sz w:val="22"/>
          <w:szCs w:val="22"/>
        </w:rPr>
        <w:t>9</w:t>
      </w:r>
      <w:r w:rsidRPr="00EE5F0F">
        <w:rPr>
          <w:rFonts w:ascii="Garamond" w:hAnsi="Garamond"/>
          <w:sz w:val="22"/>
          <w:szCs w:val="22"/>
        </w:rPr>
        <w:t>% for 201</w:t>
      </w:r>
      <w:r w:rsidR="00240895" w:rsidRPr="00EE5F0F">
        <w:rPr>
          <w:rFonts w:ascii="Garamond" w:hAnsi="Garamond"/>
          <w:sz w:val="22"/>
          <w:szCs w:val="22"/>
        </w:rPr>
        <w:t>8</w:t>
      </w:r>
      <w:r w:rsidR="001547FD">
        <w:rPr>
          <w:rFonts w:ascii="Garamond" w:hAnsi="Garamond"/>
          <w:sz w:val="22"/>
          <w:szCs w:val="22"/>
        </w:rPr>
        <w:t>,</w:t>
      </w:r>
      <w:r w:rsidR="00240895" w:rsidRPr="00EE5F0F">
        <w:rPr>
          <w:rFonts w:ascii="Garamond" w:hAnsi="Garamond"/>
          <w:sz w:val="22"/>
          <w:szCs w:val="22"/>
        </w:rPr>
        <w:t xml:space="preserve"> </w:t>
      </w:r>
      <w:r w:rsidR="001547FD">
        <w:rPr>
          <w:rFonts w:ascii="Garamond" w:hAnsi="Garamond"/>
          <w:sz w:val="22"/>
          <w:szCs w:val="22"/>
        </w:rPr>
        <w:t>driven</w:t>
      </w:r>
      <w:r w:rsidR="00240895" w:rsidRPr="00EE5F0F">
        <w:rPr>
          <w:rFonts w:ascii="Garamond" w:hAnsi="Garamond"/>
          <w:sz w:val="22"/>
          <w:szCs w:val="22"/>
        </w:rPr>
        <w:t xml:space="preserve"> </w:t>
      </w:r>
      <w:r w:rsidR="001547FD">
        <w:rPr>
          <w:rFonts w:ascii="Garamond" w:hAnsi="Garamond"/>
          <w:sz w:val="22"/>
          <w:szCs w:val="22"/>
        </w:rPr>
        <w:t xml:space="preserve">by </w:t>
      </w:r>
      <w:r w:rsidR="00240895" w:rsidRPr="00EE5F0F">
        <w:rPr>
          <w:rFonts w:ascii="Garamond" w:hAnsi="Garamond"/>
          <w:sz w:val="22"/>
          <w:szCs w:val="22"/>
        </w:rPr>
        <w:t xml:space="preserve">robust </w:t>
      </w:r>
      <w:r w:rsidR="001547FD">
        <w:rPr>
          <w:rFonts w:ascii="Garamond" w:hAnsi="Garamond"/>
          <w:sz w:val="22"/>
          <w:szCs w:val="22"/>
        </w:rPr>
        <w:t>domestic</w:t>
      </w:r>
      <w:r w:rsidR="00240895" w:rsidRPr="00EE5F0F">
        <w:rPr>
          <w:rFonts w:ascii="Garamond" w:hAnsi="Garamond"/>
          <w:sz w:val="22"/>
          <w:szCs w:val="22"/>
        </w:rPr>
        <w:t xml:space="preserve"> </w:t>
      </w:r>
      <w:r w:rsidR="000919B2">
        <w:rPr>
          <w:rFonts w:ascii="Garamond" w:hAnsi="Garamond"/>
          <w:sz w:val="22"/>
          <w:szCs w:val="22"/>
        </w:rPr>
        <w:t>consumption indicators</w:t>
      </w:r>
      <w:r w:rsidR="00161645">
        <w:rPr>
          <w:rFonts w:ascii="Garamond" w:hAnsi="Garamond"/>
          <w:sz w:val="22"/>
          <w:szCs w:val="22"/>
        </w:rPr>
        <w:t xml:space="preserve">. The </w:t>
      </w:r>
      <w:r w:rsidR="00161645" w:rsidRPr="00161645">
        <w:rPr>
          <w:rFonts w:ascii="Garamond" w:hAnsi="Garamond"/>
          <w:sz w:val="22"/>
          <w:szCs w:val="22"/>
        </w:rPr>
        <w:t>growth of private investment has slowed down</w:t>
      </w:r>
      <w:r w:rsidR="00161645">
        <w:rPr>
          <w:rFonts w:ascii="Garamond" w:hAnsi="Garamond"/>
          <w:sz w:val="22"/>
          <w:szCs w:val="22"/>
        </w:rPr>
        <w:t>, however</w:t>
      </w:r>
      <w:r w:rsidR="000919B2">
        <w:rPr>
          <w:rFonts w:ascii="Garamond" w:hAnsi="Garamond"/>
          <w:sz w:val="22"/>
          <w:szCs w:val="22"/>
        </w:rPr>
        <w:t xml:space="preserve">. </w:t>
      </w:r>
      <w:r w:rsidR="0080092F">
        <w:rPr>
          <w:rFonts w:ascii="Garamond" w:hAnsi="Garamond"/>
          <w:sz w:val="22"/>
          <w:szCs w:val="22"/>
        </w:rPr>
        <w:t>T</w:t>
      </w:r>
      <w:r w:rsidR="008D51E4" w:rsidRPr="00EE5F0F">
        <w:rPr>
          <w:rFonts w:ascii="Garamond" w:hAnsi="Garamond"/>
          <w:sz w:val="22"/>
          <w:szCs w:val="22"/>
        </w:rPr>
        <w:t xml:space="preserve">he </w:t>
      </w:r>
      <w:r w:rsidR="00161645">
        <w:rPr>
          <w:rFonts w:ascii="Garamond" w:hAnsi="Garamond"/>
          <w:sz w:val="22"/>
          <w:szCs w:val="22"/>
        </w:rPr>
        <w:t xml:space="preserve">fourth </w:t>
      </w:r>
      <w:r w:rsidR="008D51E4" w:rsidRPr="00EE5F0F">
        <w:rPr>
          <w:rFonts w:ascii="Garamond" w:hAnsi="Garamond"/>
          <w:sz w:val="22"/>
          <w:szCs w:val="22"/>
        </w:rPr>
        <w:t>quarter of 201</w:t>
      </w:r>
      <w:r w:rsidR="00951313" w:rsidRPr="00EE5F0F">
        <w:rPr>
          <w:rFonts w:ascii="Garamond" w:hAnsi="Garamond"/>
          <w:sz w:val="22"/>
          <w:szCs w:val="22"/>
        </w:rPr>
        <w:t>8</w:t>
      </w:r>
      <w:r w:rsidR="008D51E4" w:rsidRPr="00EE5F0F">
        <w:rPr>
          <w:rFonts w:ascii="Garamond" w:hAnsi="Garamond"/>
          <w:sz w:val="22"/>
          <w:szCs w:val="22"/>
        </w:rPr>
        <w:t xml:space="preserve"> </w:t>
      </w:r>
      <w:r w:rsidR="0080092F">
        <w:rPr>
          <w:rFonts w:ascii="Garamond" w:hAnsi="Garamond"/>
          <w:sz w:val="22"/>
          <w:szCs w:val="22"/>
        </w:rPr>
        <w:t xml:space="preserve">saw </w:t>
      </w:r>
      <w:r w:rsidR="008D51E4" w:rsidRPr="00EE5F0F">
        <w:rPr>
          <w:rFonts w:ascii="Garamond" w:hAnsi="Garamond"/>
          <w:sz w:val="22"/>
          <w:szCs w:val="22"/>
        </w:rPr>
        <w:t>the u</w:t>
      </w:r>
      <w:r w:rsidR="00506EA5" w:rsidRPr="00EE5F0F">
        <w:rPr>
          <w:rFonts w:ascii="Garamond" w:hAnsi="Garamond"/>
          <w:sz w:val="22"/>
          <w:szCs w:val="22"/>
        </w:rPr>
        <w:t xml:space="preserve">nemployment rate </w:t>
      </w:r>
      <w:r w:rsidR="00161645">
        <w:rPr>
          <w:rFonts w:ascii="Garamond" w:hAnsi="Garamond"/>
          <w:sz w:val="22"/>
          <w:szCs w:val="22"/>
        </w:rPr>
        <w:t>persist</w:t>
      </w:r>
      <w:r w:rsidR="002E1D31">
        <w:rPr>
          <w:rFonts w:ascii="Garamond" w:hAnsi="Garamond"/>
          <w:sz w:val="22"/>
          <w:szCs w:val="22"/>
        </w:rPr>
        <w:t>ing</w:t>
      </w:r>
      <w:r w:rsidR="00161645">
        <w:rPr>
          <w:rFonts w:ascii="Garamond" w:hAnsi="Garamond"/>
          <w:sz w:val="22"/>
          <w:szCs w:val="22"/>
        </w:rPr>
        <w:t xml:space="preserve"> </w:t>
      </w:r>
      <w:r w:rsidR="00220A90">
        <w:rPr>
          <w:rFonts w:ascii="Garamond" w:hAnsi="Garamond"/>
          <w:sz w:val="22"/>
          <w:szCs w:val="22"/>
        </w:rPr>
        <w:t>at</w:t>
      </w:r>
      <w:r w:rsidR="00161645">
        <w:rPr>
          <w:rFonts w:ascii="Garamond" w:hAnsi="Garamond"/>
          <w:sz w:val="22"/>
          <w:szCs w:val="22"/>
        </w:rPr>
        <w:t xml:space="preserve"> the previous </w:t>
      </w:r>
      <w:r w:rsidR="0096300E">
        <w:rPr>
          <w:rFonts w:ascii="Garamond" w:hAnsi="Garamond"/>
          <w:sz w:val="22"/>
          <w:szCs w:val="22"/>
        </w:rPr>
        <w:t xml:space="preserve">quarter’s </w:t>
      </w:r>
      <w:r w:rsidR="00161645">
        <w:rPr>
          <w:rFonts w:ascii="Garamond" w:hAnsi="Garamond"/>
          <w:sz w:val="22"/>
          <w:szCs w:val="22"/>
        </w:rPr>
        <w:t>level,</w:t>
      </w:r>
      <w:r w:rsidR="00601A34">
        <w:rPr>
          <w:rFonts w:ascii="Garamond" w:hAnsi="Garamond"/>
          <w:sz w:val="22"/>
          <w:szCs w:val="22"/>
        </w:rPr>
        <w:t xml:space="preserve"> </w:t>
      </w:r>
      <w:r w:rsidR="0080092F">
        <w:rPr>
          <w:rFonts w:ascii="Garamond" w:hAnsi="Garamond"/>
          <w:sz w:val="22"/>
          <w:szCs w:val="22"/>
        </w:rPr>
        <w:t>3</w:t>
      </w:r>
      <w:r w:rsidR="00506EA5" w:rsidRPr="00EE5F0F">
        <w:rPr>
          <w:rFonts w:ascii="Garamond" w:hAnsi="Garamond"/>
          <w:sz w:val="22"/>
          <w:szCs w:val="22"/>
        </w:rPr>
        <w:t>.</w:t>
      </w:r>
      <w:r w:rsidR="0080092F">
        <w:rPr>
          <w:rFonts w:ascii="Garamond" w:hAnsi="Garamond"/>
          <w:sz w:val="22"/>
          <w:szCs w:val="22"/>
        </w:rPr>
        <w:t>9</w:t>
      </w:r>
      <w:r w:rsidR="00506EA5" w:rsidRPr="00EE5F0F">
        <w:rPr>
          <w:rFonts w:ascii="Garamond" w:hAnsi="Garamond"/>
          <w:sz w:val="22"/>
          <w:szCs w:val="22"/>
        </w:rPr>
        <w:t>%.</w:t>
      </w:r>
      <w:r w:rsidR="008D2BBA">
        <w:rPr>
          <w:rFonts w:ascii="Garamond" w:hAnsi="Garamond"/>
          <w:sz w:val="22"/>
          <w:szCs w:val="22"/>
        </w:rPr>
        <w:t xml:space="preserve"> With such an impetus for </w:t>
      </w:r>
      <w:r w:rsidR="008D2BBA" w:rsidRPr="008D2BBA">
        <w:rPr>
          <w:rFonts w:ascii="Garamond" w:hAnsi="Garamond"/>
          <w:sz w:val="22"/>
          <w:szCs w:val="22"/>
        </w:rPr>
        <w:t xml:space="preserve">economic development </w:t>
      </w:r>
      <w:r w:rsidR="008D2BBA">
        <w:rPr>
          <w:rFonts w:ascii="Garamond" w:hAnsi="Garamond"/>
          <w:sz w:val="22"/>
          <w:szCs w:val="22"/>
        </w:rPr>
        <w:t>and lingered positive effect of the US tax reforms phasing out earlier than predicted, there is anticipation that the e</w:t>
      </w:r>
      <w:r w:rsidR="008D2BBA" w:rsidRPr="008D2BBA">
        <w:rPr>
          <w:rFonts w:ascii="Garamond" w:hAnsi="Garamond"/>
          <w:sz w:val="22"/>
          <w:szCs w:val="22"/>
        </w:rPr>
        <w:t>conomic growth</w:t>
      </w:r>
      <w:r w:rsidR="008D2BBA">
        <w:rPr>
          <w:rFonts w:ascii="Garamond" w:hAnsi="Garamond"/>
          <w:sz w:val="22"/>
          <w:szCs w:val="22"/>
        </w:rPr>
        <w:t>, which was high in 2018, w</w:t>
      </w:r>
      <w:r w:rsidR="008D2BBA" w:rsidRPr="008D2BBA">
        <w:rPr>
          <w:rFonts w:ascii="Garamond" w:hAnsi="Garamond"/>
          <w:sz w:val="22"/>
          <w:szCs w:val="22"/>
        </w:rPr>
        <w:t>ill slow down.</w:t>
      </w:r>
      <w:r w:rsidR="008D2BBA">
        <w:rPr>
          <w:rFonts w:ascii="Garamond" w:hAnsi="Garamond"/>
          <w:sz w:val="22"/>
          <w:szCs w:val="22"/>
        </w:rPr>
        <w:t xml:space="preserve"> </w:t>
      </w:r>
      <w:r w:rsidR="008D51E4" w:rsidRPr="00EE5F0F">
        <w:rPr>
          <w:rFonts w:ascii="Garamond" w:hAnsi="Garamond"/>
          <w:sz w:val="22"/>
          <w:szCs w:val="22"/>
        </w:rPr>
        <w:t xml:space="preserve"> </w:t>
      </w:r>
    </w:p>
    <w:p w14:paraId="24860ACB"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According to preliminary estimates provided by the Eurostat, economic growth </w:t>
      </w:r>
      <w:r w:rsidR="009C2DD3">
        <w:rPr>
          <w:rFonts w:ascii="Garamond" w:hAnsi="Garamond"/>
          <w:sz w:val="22"/>
          <w:szCs w:val="22"/>
        </w:rPr>
        <w:t xml:space="preserve">rate </w:t>
      </w:r>
      <w:r w:rsidRPr="00EE5F0F">
        <w:rPr>
          <w:rFonts w:ascii="Garamond" w:hAnsi="Garamond"/>
          <w:sz w:val="22"/>
          <w:szCs w:val="22"/>
        </w:rPr>
        <w:t>in the</w:t>
      </w:r>
      <w:r w:rsidRPr="00EE5F0F">
        <w:rPr>
          <w:rFonts w:ascii="Garamond" w:hAnsi="Garamond"/>
          <w:sz w:val="22"/>
          <w:szCs w:val="22"/>
          <w:lang w:val="hy-AM"/>
        </w:rPr>
        <w:t xml:space="preserve"> </w:t>
      </w:r>
      <w:r w:rsidRPr="00EE5F0F">
        <w:rPr>
          <w:rFonts w:ascii="Garamond" w:hAnsi="Garamond"/>
          <w:b/>
          <w:sz w:val="22"/>
          <w:szCs w:val="22"/>
        </w:rPr>
        <w:t>Eurozone</w:t>
      </w:r>
      <w:r w:rsidRPr="00EE5F0F">
        <w:rPr>
          <w:rFonts w:ascii="Garamond" w:hAnsi="Garamond"/>
          <w:b/>
          <w:sz w:val="22"/>
          <w:szCs w:val="22"/>
          <w:lang w:val="hy-AM"/>
        </w:rPr>
        <w:t xml:space="preserve"> </w:t>
      </w:r>
      <w:r w:rsidRPr="00EE5F0F">
        <w:rPr>
          <w:rFonts w:ascii="Garamond" w:hAnsi="Garamond"/>
          <w:sz w:val="22"/>
          <w:szCs w:val="22"/>
        </w:rPr>
        <w:t xml:space="preserve">in the </w:t>
      </w:r>
      <w:r w:rsidR="009C2DD3">
        <w:rPr>
          <w:rFonts w:ascii="Garamond" w:hAnsi="Garamond"/>
          <w:sz w:val="22"/>
          <w:szCs w:val="22"/>
        </w:rPr>
        <w:t>fourth</w:t>
      </w:r>
      <w:r w:rsidR="008157D0">
        <w:rPr>
          <w:rFonts w:ascii="Garamond" w:hAnsi="Garamond"/>
          <w:sz w:val="22"/>
          <w:szCs w:val="22"/>
        </w:rPr>
        <w:t xml:space="preserve"> </w:t>
      </w:r>
      <w:r w:rsidR="00525AE5" w:rsidRPr="00EE5F0F">
        <w:rPr>
          <w:rFonts w:ascii="Garamond" w:hAnsi="Garamond"/>
          <w:sz w:val="22"/>
          <w:szCs w:val="22"/>
        </w:rPr>
        <w:t>quarter of 2018</w:t>
      </w:r>
      <w:r w:rsidRPr="00EE5F0F">
        <w:rPr>
          <w:rFonts w:ascii="Garamond" w:hAnsi="Garamond"/>
          <w:sz w:val="22"/>
          <w:szCs w:val="22"/>
          <w:lang w:val="hy-AM"/>
        </w:rPr>
        <w:t xml:space="preserve"> </w:t>
      </w:r>
      <w:r w:rsidR="009C2DD3">
        <w:rPr>
          <w:rFonts w:ascii="Garamond" w:hAnsi="Garamond"/>
          <w:sz w:val="22"/>
          <w:szCs w:val="22"/>
        </w:rPr>
        <w:t xml:space="preserve">decelerated to </w:t>
      </w:r>
      <w:r w:rsidR="008157D0">
        <w:rPr>
          <w:rFonts w:ascii="Garamond" w:hAnsi="Garamond"/>
          <w:sz w:val="22"/>
          <w:szCs w:val="22"/>
        </w:rPr>
        <w:t>1</w:t>
      </w:r>
      <w:r w:rsidRPr="00EE5F0F">
        <w:rPr>
          <w:rFonts w:ascii="Garamond" w:hAnsi="Garamond"/>
          <w:sz w:val="22"/>
          <w:szCs w:val="22"/>
        </w:rPr>
        <w:t>.</w:t>
      </w:r>
      <w:r w:rsidR="009C2DD3">
        <w:rPr>
          <w:rFonts w:ascii="Garamond" w:hAnsi="Garamond"/>
          <w:sz w:val="22"/>
          <w:szCs w:val="22"/>
        </w:rPr>
        <w:t>2</w:t>
      </w:r>
      <w:r w:rsidRPr="00EE5F0F">
        <w:rPr>
          <w:rFonts w:ascii="Garamond" w:hAnsi="Garamond"/>
          <w:sz w:val="22"/>
          <w:szCs w:val="22"/>
        </w:rPr>
        <w:t>% y/y</w:t>
      </w:r>
      <w:r w:rsidR="008157D0">
        <w:rPr>
          <w:rFonts w:ascii="Garamond" w:hAnsi="Garamond"/>
          <w:sz w:val="22"/>
          <w:szCs w:val="22"/>
        </w:rPr>
        <w:t xml:space="preserve">, </w:t>
      </w:r>
      <w:r w:rsidR="009C2DD3">
        <w:rPr>
          <w:rFonts w:ascii="Garamond" w:hAnsi="Garamond"/>
          <w:sz w:val="22"/>
          <w:szCs w:val="22"/>
        </w:rPr>
        <w:t>with the 2018 growth indicator making up 1</w:t>
      </w:r>
      <w:r w:rsidR="008157D0">
        <w:rPr>
          <w:rFonts w:ascii="Garamond" w:hAnsi="Garamond"/>
          <w:sz w:val="22"/>
          <w:szCs w:val="22"/>
        </w:rPr>
        <w:t>.</w:t>
      </w:r>
      <w:r w:rsidR="009C2DD3">
        <w:rPr>
          <w:rFonts w:ascii="Garamond" w:hAnsi="Garamond"/>
          <w:sz w:val="22"/>
          <w:szCs w:val="22"/>
        </w:rPr>
        <w:t>8</w:t>
      </w:r>
      <w:r w:rsidR="008157D0">
        <w:rPr>
          <w:rFonts w:ascii="Garamond" w:hAnsi="Garamond"/>
          <w:sz w:val="22"/>
          <w:szCs w:val="22"/>
        </w:rPr>
        <w:t>%.</w:t>
      </w:r>
      <w:r w:rsidR="008D29B5">
        <w:rPr>
          <w:rFonts w:ascii="Garamond" w:hAnsi="Garamond"/>
          <w:sz w:val="22"/>
          <w:szCs w:val="22"/>
        </w:rPr>
        <w:t xml:space="preserve"> </w:t>
      </w:r>
      <w:r w:rsidR="00F2510C" w:rsidRPr="00F2510C">
        <w:rPr>
          <w:rFonts w:ascii="Garamond" w:hAnsi="Garamond"/>
          <w:sz w:val="22"/>
          <w:szCs w:val="22"/>
        </w:rPr>
        <w:t>The slow</w:t>
      </w:r>
      <w:r w:rsidR="009C2DD3">
        <w:rPr>
          <w:rFonts w:ascii="Garamond" w:hAnsi="Garamond"/>
          <w:sz w:val="22"/>
          <w:szCs w:val="22"/>
        </w:rPr>
        <w:t>down</w:t>
      </w:r>
      <w:r w:rsidR="00F2510C" w:rsidRPr="00F2510C">
        <w:rPr>
          <w:rFonts w:ascii="Garamond" w:hAnsi="Garamond"/>
          <w:sz w:val="22"/>
          <w:szCs w:val="22"/>
        </w:rPr>
        <w:t xml:space="preserve"> in </w:t>
      </w:r>
      <w:r w:rsidR="00F2510C">
        <w:rPr>
          <w:rFonts w:ascii="Garamond" w:hAnsi="Garamond"/>
          <w:sz w:val="22"/>
          <w:szCs w:val="22"/>
        </w:rPr>
        <w:t>the Eurozone’</w:t>
      </w:r>
      <w:r w:rsidR="00F2510C" w:rsidRPr="00F2510C">
        <w:rPr>
          <w:rFonts w:ascii="Garamond" w:hAnsi="Garamond"/>
          <w:sz w:val="22"/>
          <w:szCs w:val="22"/>
        </w:rPr>
        <w:t>s econom</w:t>
      </w:r>
      <w:r w:rsidR="00F2510C">
        <w:rPr>
          <w:rFonts w:ascii="Garamond" w:hAnsi="Garamond"/>
          <w:sz w:val="22"/>
          <w:szCs w:val="22"/>
        </w:rPr>
        <w:t xml:space="preserve">ic growth </w:t>
      </w:r>
      <w:r w:rsidR="00F2510C" w:rsidRPr="00F2510C">
        <w:rPr>
          <w:rFonts w:ascii="Garamond" w:hAnsi="Garamond"/>
          <w:sz w:val="22"/>
          <w:szCs w:val="22"/>
        </w:rPr>
        <w:t xml:space="preserve">has been </w:t>
      </w:r>
      <w:r w:rsidR="009C2DD3">
        <w:rPr>
          <w:rFonts w:ascii="Garamond" w:hAnsi="Garamond"/>
          <w:sz w:val="22"/>
          <w:szCs w:val="22"/>
        </w:rPr>
        <w:t xml:space="preserve">mostly </w:t>
      </w:r>
      <w:r w:rsidR="00F2510C" w:rsidRPr="00F2510C">
        <w:rPr>
          <w:rFonts w:ascii="Garamond" w:hAnsi="Garamond"/>
          <w:sz w:val="22"/>
          <w:szCs w:val="22"/>
        </w:rPr>
        <w:t>d</w:t>
      </w:r>
      <w:r w:rsidR="009C2DD3">
        <w:rPr>
          <w:rFonts w:ascii="Garamond" w:hAnsi="Garamond"/>
          <w:sz w:val="22"/>
          <w:szCs w:val="22"/>
        </w:rPr>
        <w:t xml:space="preserve">ue to low </w:t>
      </w:r>
      <w:r w:rsidR="009C2DD3" w:rsidRPr="009C2DD3">
        <w:rPr>
          <w:rFonts w:ascii="Garamond" w:hAnsi="Garamond"/>
          <w:sz w:val="22"/>
          <w:szCs w:val="22"/>
        </w:rPr>
        <w:t xml:space="preserve">growth rates </w:t>
      </w:r>
      <w:r w:rsidR="009C2DD3">
        <w:rPr>
          <w:rFonts w:ascii="Garamond" w:hAnsi="Garamond"/>
          <w:sz w:val="22"/>
          <w:szCs w:val="22"/>
        </w:rPr>
        <w:t xml:space="preserve">reported in major </w:t>
      </w:r>
      <w:r w:rsidR="009C2DD3" w:rsidRPr="009C2DD3">
        <w:rPr>
          <w:rFonts w:ascii="Garamond" w:hAnsi="Garamond"/>
          <w:sz w:val="22"/>
          <w:szCs w:val="22"/>
        </w:rPr>
        <w:t xml:space="preserve">member </w:t>
      </w:r>
      <w:r w:rsidR="009C2DD3">
        <w:rPr>
          <w:rFonts w:ascii="Garamond" w:hAnsi="Garamond"/>
          <w:sz w:val="22"/>
          <w:szCs w:val="22"/>
        </w:rPr>
        <w:t>states</w:t>
      </w:r>
      <w:r w:rsidR="009C2DD3" w:rsidRPr="009C2DD3">
        <w:rPr>
          <w:rFonts w:ascii="Garamond" w:hAnsi="Garamond"/>
          <w:sz w:val="22"/>
          <w:szCs w:val="22"/>
        </w:rPr>
        <w:t>,</w:t>
      </w:r>
      <w:r w:rsidR="009C2DD3">
        <w:rPr>
          <w:rFonts w:ascii="Garamond" w:hAnsi="Garamond"/>
          <w:sz w:val="22"/>
          <w:szCs w:val="22"/>
        </w:rPr>
        <w:t xml:space="preserve"> particularly Germany and Italy,</w:t>
      </w:r>
      <w:r w:rsidR="00B55C77">
        <w:rPr>
          <w:rFonts w:ascii="Garamond" w:hAnsi="Garamond"/>
          <w:sz w:val="22"/>
          <w:szCs w:val="22"/>
        </w:rPr>
        <w:t xml:space="preserve"> while high </w:t>
      </w:r>
      <w:r w:rsidR="00B55C77" w:rsidRPr="008D29B5">
        <w:rPr>
          <w:rFonts w:ascii="Garamond" w:hAnsi="Garamond"/>
          <w:sz w:val="22"/>
          <w:szCs w:val="22"/>
        </w:rPr>
        <w:t>private consumption</w:t>
      </w:r>
      <w:r w:rsidR="00B55C77">
        <w:rPr>
          <w:rFonts w:ascii="Garamond" w:hAnsi="Garamond"/>
          <w:sz w:val="22"/>
          <w:szCs w:val="22"/>
        </w:rPr>
        <w:t xml:space="preserve"> in individual member states continue contributing positively to the growth. </w:t>
      </w:r>
      <w:r w:rsidR="00D06993" w:rsidRPr="00D06993">
        <w:rPr>
          <w:rFonts w:ascii="Garamond" w:hAnsi="Garamond"/>
          <w:sz w:val="22"/>
          <w:szCs w:val="22"/>
        </w:rPr>
        <w:t>Despite the slow</w:t>
      </w:r>
      <w:r w:rsidR="00D06993">
        <w:rPr>
          <w:rFonts w:ascii="Garamond" w:hAnsi="Garamond"/>
          <w:sz w:val="22"/>
          <w:szCs w:val="22"/>
        </w:rPr>
        <w:t xml:space="preserve">ing, in the fourth </w:t>
      </w:r>
      <w:r w:rsidR="00D06993" w:rsidRPr="00EE5F0F">
        <w:rPr>
          <w:rFonts w:ascii="Garamond" w:hAnsi="Garamond"/>
          <w:sz w:val="22"/>
          <w:szCs w:val="22"/>
        </w:rPr>
        <w:t>quarter of 2018</w:t>
      </w:r>
      <w:r w:rsidR="00D06993" w:rsidRPr="00EE5F0F">
        <w:rPr>
          <w:rFonts w:ascii="Garamond" w:hAnsi="Garamond"/>
          <w:sz w:val="22"/>
          <w:szCs w:val="22"/>
          <w:lang w:val="hy-AM"/>
        </w:rPr>
        <w:t xml:space="preserve"> </w:t>
      </w:r>
      <w:r w:rsidR="00D06993">
        <w:rPr>
          <w:rFonts w:ascii="Garamond" w:hAnsi="Garamond"/>
          <w:sz w:val="22"/>
          <w:szCs w:val="22"/>
        </w:rPr>
        <w:t>t</w:t>
      </w:r>
      <w:r w:rsidR="00D06993" w:rsidRPr="00EE5F0F">
        <w:rPr>
          <w:rFonts w:ascii="Garamond" w:hAnsi="Garamond"/>
          <w:sz w:val="22"/>
          <w:szCs w:val="22"/>
        </w:rPr>
        <w:t xml:space="preserve">he unemployment rate </w:t>
      </w:r>
      <w:r w:rsidR="00D06993">
        <w:rPr>
          <w:rFonts w:ascii="Garamond" w:hAnsi="Garamond"/>
          <w:sz w:val="22"/>
          <w:szCs w:val="22"/>
        </w:rPr>
        <w:t xml:space="preserve">dropped </w:t>
      </w:r>
      <w:r w:rsidR="00D06993" w:rsidRPr="00EE5F0F">
        <w:rPr>
          <w:rFonts w:ascii="Garamond" w:hAnsi="Garamond"/>
          <w:sz w:val="22"/>
          <w:szCs w:val="22"/>
        </w:rPr>
        <w:t xml:space="preserve">further </w:t>
      </w:r>
      <w:r w:rsidR="00D06993">
        <w:rPr>
          <w:rFonts w:ascii="Garamond" w:hAnsi="Garamond"/>
          <w:sz w:val="22"/>
          <w:szCs w:val="22"/>
        </w:rPr>
        <w:t>to 7</w:t>
      </w:r>
      <w:r w:rsidR="00D06993" w:rsidRPr="00EE5F0F">
        <w:rPr>
          <w:rFonts w:ascii="Garamond" w:hAnsi="Garamond"/>
          <w:sz w:val="22"/>
          <w:szCs w:val="22"/>
        </w:rPr>
        <w:t>.</w:t>
      </w:r>
      <w:r w:rsidR="00D06993">
        <w:rPr>
          <w:rFonts w:ascii="Garamond" w:hAnsi="Garamond"/>
          <w:sz w:val="22"/>
          <w:szCs w:val="22"/>
        </w:rPr>
        <w:t>9</w:t>
      </w:r>
      <w:r w:rsidR="00D06993" w:rsidRPr="00EE5F0F">
        <w:rPr>
          <w:rFonts w:ascii="Garamond" w:hAnsi="Garamond"/>
          <w:sz w:val="22"/>
          <w:szCs w:val="22"/>
        </w:rPr>
        <w:t>%</w:t>
      </w:r>
      <w:r w:rsidR="00D06993">
        <w:rPr>
          <w:rFonts w:ascii="Garamond" w:hAnsi="Garamond"/>
          <w:sz w:val="22"/>
          <w:szCs w:val="22"/>
        </w:rPr>
        <w:t xml:space="preserve"> thanks to s</w:t>
      </w:r>
      <w:r w:rsidR="00D06993" w:rsidRPr="00D06993">
        <w:rPr>
          <w:rFonts w:ascii="Garamond" w:hAnsi="Garamond"/>
          <w:sz w:val="22"/>
          <w:szCs w:val="22"/>
        </w:rPr>
        <w:t xml:space="preserve">tructural changes in the </w:t>
      </w:r>
      <w:r w:rsidR="00220A90">
        <w:rPr>
          <w:rFonts w:ascii="Garamond" w:hAnsi="Garamond"/>
          <w:sz w:val="22"/>
          <w:szCs w:val="22"/>
        </w:rPr>
        <w:t xml:space="preserve">Eurozone’s </w:t>
      </w:r>
      <w:r w:rsidR="00D06993" w:rsidRPr="00D06993">
        <w:rPr>
          <w:rFonts w:ascii="Garamond" w:hAnsi="Garamond"/>
          <w:sz w:val="22"/>
          <w:szCs w:val="22"/>
        </w:rPr>
        <w:t>labor market</w:t>
      </w:r>
      <w:r w:rsidR="00D06993">
        <w:rPr>
          <w:rFonts w:ascii="Garamond" w:hAnsi="Garamond"/>
          <w:sz w:val="22"/>
          <w:szCs w:val="22"/>
        </w:rPr>
        <w:t>.</w:t>
      </w:r>
      <w:r w:rsidR="00B55C77">
        <w:rPr>
          <w:rFonts w:ascii="Garamond" w:hAnsi="Garamond"/>
          <w:sz w:val="22"/>
          <w:szCs w:val="22"/>
        </w:rPr>
        <w:t xml:space="preserve"> </w:t>
      </w:r>
    </w:p>
    <w:p w14:paraId="4558CD49"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According to preliminary estimates </w:t>
      </w:r>
      <w:r w:rsidR="007B1049" w:rsidRPr="00EE5F0F">
        <w:rPr>
          <w:rFonts w:ascii="Garamond" w:hAnsi="Garamond"/>
          <w:sz w:val="22"/>
          <w:szCs w:val="22"/>
        </w:rPr>
        <w:t>by</w:t>
      </w:r>
      <w:r w:rsidRPr="00EE5F0F">
        <w:rPr>
          <w:rFonts w:ascii="Garamond" w:hAnsi="Garamond"/>
          <w:sz w:val="22"/>
          <w:szCs w:val="22"/>
        </w:rPr>
        <w:t xml:space="preserve"> State Statistics Service of the</w:t>
      </w:r>
      <w:r w:rsidRPr="00EE5F0F">
        <w:rPr>
          <w:rFonts w:ascii="Garamond" w:hAnsi="Garamond"/>
          <w:b/>
          <w:sz w:val="22"/>
          <w:szCs w:val="22"/>
        </w:rPr>
        <w:t xml:space="preserve"> Russian Federation</w:t>
      </w:r>
      <w:r w:rsidRPr="00EE5F0F">
        <w:rPr>
          <w:rFonts w:ascii="Garamond" w:hAnsi="Garamond"/>
          <w:sz w:val="22"/>
          <w:szCs w:val="22"/>
        </w:rPr>
        <w:t xml:space="preserve">, </w:t>
      </w:r>
      <w:r w:rsidR="00372A7E">
        <w:rPr>
          <w:rFonts w:ascii="Garamond" w:hAnsi="Garamond"/>
          <w:sz w:val="22"/>
          <w:szCs w:val="22"/>
        </w:rPr>
        <w:t xml:space="preserve">the average </w:t>
      </w:r>
      <w:r w:rsidRPr="00EE5F0F">
        <w:rPr>
          <w:rFonts w:ascii="Garamond" w:hAnsi="Garamond"/>
          <w:sz w:val="22"/>
          <w:szCs w:val="22"/>
        </w:rPr>
        <w:t xml:space="preserve">economic growth in the </w:t>
      </w:r>
      <w:r w:rsidR="00372A7E">
        <w:rPr>
          <w:rFonts w:ascii="Garamond" w:hAnsi="Garamond"/>
          <w:sz w:val="22"/>
          <w:szCs w:val="22"/>
        </w:rPr>
        <w:t>fourth</w:t>
      </w:r>
      <w:r w:rsidR="005776E9" w:rsidRPr="00EE5F0F">
        <w:rPr>
          <w:rFonts w:ascii="Garamond" w:hAnsi="Garamond"/>
          <w:sz w:val="22"/>
          <w:szCs w:val="22"/>
        </w:rPr>
        <w:t xml:space="preserve"> </w:t>
      </w:r>
      <w:r w:rsidRPr="00EE5F0F">
        <w:rPr>
          <w:rFonts w:ascii="Garamond" w:hAnsi="Garamond"/>
          <w:sz w:val="22"/>
          <w:szCs w:val="22"/>
        </w:rPr>
        <w:t xml:space="preserve">quarter </w:t>
      </w:r>
      <w:r w:rsidR="005776E9" w:rsidRPr="00EE5F0F">
        <w:rPr>
          <w:rFonts w:ascii="Garamond" w:hAnsi="Garamond"/>
          <w:sz w:val="22"/>
          <w:szCs w:val="22"/>
        </w:rPr>
        <w:t xml:space="preserve">of 2018 </w:t>
      </w:r>
      <w:r w:rsidRPr="00EE5F0F">
        <w:rPr>
          <w:rFonts w:ascii="Garamond" w:hAnsi="Garamond"/>
          <w:sz w:val="22"/>
          <w:szCs w:val="22"/>
        </w:rPr>
        <w:t xml:space="preserve">was </w:t>
      </w:r>
      <w:r w:rsidR="00372A7E">
        <w:rPr>
          <w:rFonts w:ascii="Garamond" w:hAnsi="Garamond"/>
          <w:sz w:val="22"/>
          <w:szCs w:val="22"/>
        </w:rPr>
        <w:t>2</w:t>
      </w:r>
      <w:r w:rsidRPr="00EE5F0F">
        <w:rPr>
          <w:rFonts w:ascii="Garamond" w:hAnsi="Garamond"/>
          <w:sz w:val="22"/>
          <w:szCs w:val="22"/>
        </w:rPr>
        <w:t>.</w:t>
      </w:r>
      <w:r w:rsidR="00EF5E7A">
        <w:rPr>
          <w:rFonts w:ascii="Garamond" w:hAnsi="Garamond"/>
          <w:sz w:val="22"/>
          <w:szCs w:val="22"/>
        </w:rPr>
        <w:t>3</w:t>
      </w:r>
      <w:r w:rsidRPr="00EE5F0F">
        <w:rPr>
          <w:rFonts w:ascii="Garamond" w:hAnsi="Garamond"/>
          <w:sz w:val="22"/>
          <w:szCs w:val="22"/>
        </w:rPr>
        <w:t>%</w:t>
      </w:r>
      <w:r w:rsidR="00372A7E">
        <w:rPr>
          <w:rFonts w:ascii="Garamond" w:hAnsi="Garamond"/>
          <w:sz w:val="22"/>
          <w:szCs w:val="22"/>
        </w:rPr>
        <w:t xml:space="preserve">, owing to strong indicators in construction sector, </w:t>
      </w:r>
      <w:r w:rsidR="00372A7E" w:rsidRPr="00372A7E">
        <w:rPr>
          <w:rFonts w:ascii="Garamond" w:hAnsi="Garamond"/>
          <w:sz w:val="22"/>
          <w:szCs w:val="22"/>
        </w:rPr>
        <w:t>w</w:t>
      </w:r>
      <w:r w:rsidR="00372A7E">
        <w:rPr>
          <w:rFonts w:ascii="Garamond" w:hAnsi="Garamond"/>
          <w:sz w:val="22"/>
          <w:szCs w:val="22"/>
        </w:rPr>
        <w:t xml:space="preserve">ith its </w:t>
      </w:r>
      <w:r w:rsidR="00372A7E" w:rsidRPr="00372A7E">
        <w:rPr>
          <w:rFonts w:ascii="Garamond" w:hAnsi="Garamond"/>
          <w:sz w:val="22"/>
          <w:szCs w:val="22"/>
        </w:rPr>
        <w:t xml:space="preserve">added contribution to GDP estimated </w:t>
      </w:r>
      <w:r w:rsidR="00372A7E">
        <w:rPr>
          <w:rFonts w:ascii="Garamond" w:hAnsi="Garamond"/>
          <w:sz w:val="22"/>
          <w:szCs w:val="22"/>
        </w:rPr>
        <w:t xml:space="preserve">to reach some </w:t>
      </w:r>
      <w:r w:rsidR="00372A7E" w:rsidRPr="00372A7E">
        <w:rPr>
          <w:rFonts w:ascii="Garamond" w:hAnsi="Garamond"/>
          <w:sz w:val="22"/>
          <w:szCs w:val="22"/>
        </w:rPr>
        <w:t>0.3 p</w:t>
      </w:r>
      <w:r w:rsidR="00372A7E">
        <w:rPr>
          <w:rFonts w:ascii="Garamond" w:hAnsi="Garamond"/>
          <w:sz w:val="22"/>
          <w:szCs w:val="22"/>
        </w:rPr>
        <w:t xml:space="preserve">p. </w:t>
      </w:r>
    </w:p>
    <w:p w14:paraId="7AC8448E" w14:textId="77777777" w:rsidR="003B4B24" w:rsidRPr="00EE5F0F" w:rsidRDefault="00D4159A" w:rsidP="00EE619D">
      <w:pPr>
        <w:autoSpaceDE w:val="0"/>
        <w:autoSpaceDN w:val="0"/>
        <w:adjustRightInd w:val="0"/>
        <w:spacing w:after="120" w:line="360" w:lineRule="auto"/>
        <w:jc w:val="both"/>
        <w:rPr>
          <w:rFonts w:ascii="Garamond" w:hAnsi="Garamond"/>
          <w:sz w:val="22"/>
          <w:szCs w:val="22"/>
        </w:rPr>
      </w:pPr>
      <w:r>
        <w:rPr>
          <w:rFonts w:ascii="Garamond" w:hAnsi="Garamond"/>
          <w:b/>
          <w:sz w:val="22"/>
          <w:szCs w:val="22"/>
        </w:rPr>
        <w:t>Inflation</w:t>
      </w:r>
      <w:r w:rsidR="00EE619D" w:rsidRPr="00EE5F0F">
        <w:rPr>
          <w:rFonts w:ascii="Garamond" w:hAnsi="Garamond"/>
          <w:b/>
          <w:sz w:val="22"/>
          <w:szCs w:val="22"/>
        </w:rPr>
        <w:t xml:space="preserve"> and </w:t>
      </w:r>
      <w:r w:rsidR="005165FF">
        <w:rPr>
          <w:rFonts w:ascii="Garamond" w:hAnsi="Garamond"/>
          <w:b/>
          <w:sz w:val="22"/>
          <w:szCs w:val="22"/>
        </w:rPr>
        <w:t xml:space="preserve">financial market </w:t>
      </w:r>
      <w:r w:rsidR="00EE619D" w:rsidRPr="00EE5F0F">
        <w:rPr>
          <w:rFonts w:ascii="Garamond" w:hAnsi="Garamond"/>
          <w:b/>
          <w:sz w:val="22"/>
          <w:szCs w:val="22"/>
        </w:rPr>
        <w:t>developments in the external sector:</w:t>
      </w:r>
      <w:r w:rsidR="00EE619D" w:rsidRPr="00EE5F0F">
        <w:rPr>
          <w:rFonts w:ascii="Garamond" w:hAnsi="Garamond"/>
          <w:sz w:val="22"/>
          <w:szCs w:val="22"/>
        </w:rPr>
        <w:t xml:space="preserve"> </w:t>
      </w:r>
      <w:r w:rsidR="001E49E6">
        <w:rPr>
          <w:rFonts w:ascii="Garamond" w:hAnsi="Garamond"/>
          <w:sz w:val="22"/>
          <w:szCs w:val="22"/>
        </w:rPr>
        <w:t>A minor inflationary environment persisted in the world’s commodity and food product markets</w:t>
      </w:r>
      <w:r w:rsidR="001E49E6" w:rsidRPr="00EE5F0F">
        <w:rPr>
          <w:rFonts w:ascii="Garamond" w:hAnsi="Garamond"/>
          <w:sz w:val="22"/>
          <w:szCs w:val="22"/>
        </w:rPr>
        <w:t xml:space="preserve"> </w:t>
      </w:r>
      <w:r w:rsidR="001E49E6">
        <w:rPr>
          <w:rFonts w:ascii="Garamond" w:hAnsi="Garamond"/>
          <w:sz w:val="22"/>
          <w:szCs w:val="22"/>
        </w:rPr>
        <w:t xml:space="preserve">(in spite of </w:t>
      </w:r>
      <w:r w:rsidR="001E49E6" w:rsidRPr="001E49E6">
        <w:rPr>
          <w:rFonts w:ascii="Garamond" w:hAnsi="Garamond"/>
          <w:sz w:val="22"/>
          <w:szCs w:val="22"/>
        </w:rPr>
        <w:t xml:space="preserve">small </w:t>
      </w:r>
      <w:r w:rsidR="001E49E6">
        <w:rPr>
          <w:rFonts w:ascii="Garamond" w:hAnsi="Garamond"/>
          <w:sz w:val="22"/>
          <w:szCs w:val="22"/>
        </w:rPr>
        <w:t xml:space="preserve">volumes of </w:t>
      </w:r>
      <w:r w:rsidR="001E49E6" w:rsidRPr="001E49E6">
        <w:rPr>
          <w:rFonts w:ascii="Garamond" w:hAnsi="Garamond"/>
          <w:sz w:val="22"/>
          <w:szCs w:val="22"/>
        </w:rPr>
        <w:t xml:space="preserve">production of goods in </w:t>
      </w:r>
      <w:r w:rsidR="001E49E6">
        <w:rPr>
          <w:rFonts w:ascii="Garamond" w:hAnsi="Garamond"/>
          <w:sz w:val="22"/>
          <w:szCs w:val="22"/>
        </w:rPr>
        <w:t>individual groups) i</w:t>
      </w:r>
      <w:r w:rsidR="003B4B24" w:rsidRPr="00EE5F0F">
        <w:rPr>
          <w:rFonts w:ascii="Garamond" w:hAnsi="Garamond"/>
          <w:sz w:val="22"/>
          <w:szCs w:val="22"/>
        </w:rPr>
        <w:t xml:space="preserve">n the </w:t>
      </w:r>
      <w:r w:rsidR="00372A7E">
        <w:rPr>
          <w:rFonts w:ascii="Garamond" w:hAnsi="Garamond"/>
          <w:sz w:val="22"/>
          <w:szCs w:val="22"/>
        </w:rPr>
        <w:t>fourth</w:t>
      </w:r>
      <w:r w:rsidR="007F5B7D" w:rsidRPr="00EE5F0F">
        <w:rPr>
          <w:rFonts w:ascii="Garamond" w:hAnsi="Garamond"/>
          <w:sz w:val="22"/>
          <w:szCs w:val="22"/>
        </w:rPr>
        <w:t xml:space="preserve"> </w:t>
      </w:r>
      <w:r w:rsidR="003B4B24" w:rsidRPr="00EE5F0F">
        <w:rPr>
          <w:rFonts w:ascii="Garamond" w:hAnsi="Garamond"/>
          <w:sz w:val="22"/>
          <w:szCs w:val="22"/>
        </w:rPr>
        <w:t>quarter of 201</w:t>
      </w:r>
      <w:r w:rsidR="007F5B7D" w:rsidRPr="00EE5F0F">
        <w:rPr>
          <w:rFonts w:ascii="Garamond" w:hAnsi="Garamond"/>
          <w:sz w:val="22"/>
          <w:szCs w:val="22"/>
        </w:rPr>
        <w:t>8</w:t>
      </w:r>
      <w:r w:rsidR="00971605">
        <w:rPr>
          <w:rFonts w:ascii="Garamond" w:hAnsi="Garamond"/>
          <w:sz w:val="22"/>
          <w:szCs w:val="22"/>
        </w:rPr>
        <w:t xml:space="preserve">, </w:t>
      </w:r>
      <w:r w:rsidR="001E49E6">
        <w:rPr>
          <w:rFonts w:ascii="Garamond" w:hAnsi="Garamond"/>
          <w:sz w:val="22"/>
          <w:szCs w:val="22"/>
        </w:rPr>
        <w:t xml:space="preserve">determined by </w:t>
      </w:r>
      <w:r w:rsidR="00220A90">
        <w:rPr>
          <w:rFonts w:ascii="Garamond" w:hAnsi="Garamond"/>
          <w:sz w:val="22"/>
          <w:szCs w:val="22"/>
        </w:rPr>
        <w:t xml:space="preserve">a </w:t>
      </w:r>
      <w:r w:rsidR="001E49E6">
        <w:rPr>
          <w:rFonts w:ascii="Garamond" w:hAnsi="Garamond"/>
          <w:sz w:val="22"/>
          <w:szCs w:val="22"/>
        </w:rPr>
        <w:t>sluggish global demand.</w:t>
      </w:r>
      <w:r w:rsidR="003B4B24" w:rsidRPr="00EE5F0F">
        <w:rPr>
          <w:rFonts w:ascii="Garamond" w:hAnsi="Garamond"/>
          <w:sz w:val="22"/>
          <w:szCs w:val="22"/>
        </w:rPr>
        <w:t xml:space="preserve"> </w:t>
      </w:r>
    </w:p>
    <w:p w14:paraId="6FFAF006"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lastRenderedPageBreak/>
        <w:t xml:space="preserve">In the United States in the </w:t>
      </w:r>
      <w:r w:rsidR="001E49E6">
        <w:rPr>
          <w:rFonts w:ascii="Garamond" w:hAnsi="Garamond"/>
          <w:sz w:val="22"/>
          <w:szCs w:val="22"/>
        </w:rPr>
        <w:t>fourth</w:t>
      </w:r>
      <w:r w:rsidR="009F2880" w:rsidRPr="00EE5F0F">
        <w:rPr>
          <w:rFonts w:ascii="Garamond" w:hAnsi="Garamond"/>
          <w:sz w:val="22"/>
          <w:szCs w:val="22"/>
        </w:rPr>
        <w:t xml:space="preserve"> </w:t>
      </w:r>
      <w:r w:rsidRPr="00EE5F0F">
        <w:rPr>
          <w:rFonts w:ascii="Garamond" w:hAnsi="Garamond"/>
          <w:sz w:val="22"/>
          <w:szCs w:val="22"/>
        </w:rPr>
        <w:t>quarter of 201</w:t>
      </w:r>
      <w:r w:rsidR="009F2880" w:rsidRPr="00EE5F0F">
        <w:rPr>
          <w:rFonts w:ascii="Garamond" w:hAnsi="Garamond"/>
          <w:sz w:val="22"/>
          <w:szCs w:val="22"/>
        </w:rPr>
        <w:t>8</w:t>
      </w:r>
      <w:r w:rsidRPr="00EE5F0F">
        <w:rPr>
          <w:rFonts w:ascii="Garamond" w:hAnsi="Garamond"/>
          <w:sz w:val="22"/>
          <w:szCs w:val="22"/>
        </w:rPr>
        <w:t xml:space="preserve">, the average quarterly inflation </w:t>
      </w:r>
      <w:r w:rsidR="00220A90">
        <w:rPr>
          <w:rFonts w:ascii="Garamond" w:hAnsi="Garamond"/>
          <w:sz w:val="22"/>
          <w:szCs w:val="22"/>
        </w:rPr>
        <w:t xml:space="preserve">subdued </w:t>
      </w:r>
      <w:r w:rsidR="001E49E6">
        <w:rPr>
          <w:rFonts w:ascii="Garamond" w:hAnsi="Garamond"/>
          <w:sz w:val="22"/>
          <w:szCs w:val="22"/>
        </w:rPr>
        <w:t xml:space="preserve">against that of registered at the start of the year to 2.2%, shaping around </w:t>
      </w:r>
      <w:r w:rsidR="002A234F">
        <w:rPr>
          <w:rFonts w:ascii="Garamond" w:hAnsi="Garamond"/>
          <w:sz w:val="22"/>
          <w:szCs w:val="22"/>
        </w:rPr>
        <w:t xml:space="preserve">the </w:t>
      </w:r>
      <w:r w:rsidR="006D59F1" w:rsidRPr="00EE5F0F">
        <w:rPr>
          <w:rFonts w:ascii="Garamond" w:hAnsi="Garamond"/>
          <w:sz w:val="22"/>
          <w:szCs w:val="22"/>
        </w:rPr>
        <w:t>US Fed</w:t>
      </w:r>
      <w:r w:rsidR="004806AB">
        <w:rPr>
          <w:rFonts w:ascii="Garamond" w:hAnsi="Garamond"/>
          <w:sz w:val="22"/>
          <w:szCs w:val="22"/>
        </w:rPr>
        <w:t>’</w:t>
      </w:r>
      <w:r w:rsidRPr="00EE5F0F">
        <w:rPr>
          <w:rFonts w:ascii="Garamond" w:hAnsi="Garamond"/>
          <w:sz w:val="22"/>
          <w:szCs w:val="22"/>
        </w:rPr>
        <w:t xml:space="preserve">s </w:t>
      </w:r>
      <w:r w:rsidR="004806AB">
        <w:rPr>
          <w:rFonts w:ascii="Garamond" w:hAnsi="Garamond"/>
          <w:sz w:val="22"/>
          <w:szCs w:val="22"/>
        </w:rPr>
        <w:t>mid</w:t>
      </w:r>
      <w:r w:rsidRPr="00EE5F0F">
        <w:rPr>
          <w:rFonts w:ascii="Garamond" w:hAnsi="Garamond"/>
          <w:sz w:val="22"/>
          <w:szCs w:val="22"/>
        </w:rPr>
        <w:t xml:space="preserve">-term target. </w:t>
      </w:r>
      <w:r w:rsidR="00801BFF" w:rsidRPr="00EE5F0F">
        <w:rPr>
          <w:rFonts w:ascii="Garamond" w:hAnsi="Garamond"/>
          <w:sz w:val="22"/>
          <w:szCs w:val="22"/>
        </w:rPr>
        <w:t xml:space="preserve">In view of such </w:t>
      </w:r>
      <w:r w:rsidRPr="00EE5F0F">
        <w:rPr>
          <w:rFonts w:ascii="Garamond" w:hAnsi="Garamond"/>
          <w:sz w:val="22"/>
          <w:szCs w:val="22"/>
        </w:rPr>
        <w:t>econom</w:t>
      </w:r>
      <w:r w:rsidR="00801BFF" w:rsidRPr="00EE5F0F">
        <w:rPr>
          <w:rFonts w:ascii="Garamond" w:hAnsi="Garamond"/>
          <w:sz w:val="22"/>
          <w:szCs w:val="22"/>
        </w:rPr>
        <w:t>ic</w:t>
      </w:r>
      <w:r w:rsidRPr="00EE5F0F">
        <w:rPr>
          <w:rFonts w:ascii="Garamond" w:hAnsi="Garamond"/>
          <w:sz w:val="22"/>
          <w:szCs w:val="22"/>
        </w:rPr>
        <w:t xml:space="preserve"> and price</w:t>
      </w:r>
      <w:r w:rsidR="00801BFF" w:rsidRPr="00EE5F0F">
        <w:rPr>
          <w:rFonts w:ascii="Garamond" w:hAnsi="Garamond"/>
          <w:sz w:val="22"/>
          <w:szCs w:val="22"/>
        </w:rPr>
        <w:t xml:space="preserve"> development</w:t>
      </w:r>
      <w:r w:rsidRPr="00EE5F0F">
        <w:rPr>
          <w:rFonts w:ascii="Garamond" w:hAnsi="Garamond"/>
          <w:sz w:val="22"/>
          <w:szCs w:val="22"/>
        </w:rPr>
        <w:t>s</w:t>
      </w:r>
      <w:r w:rsidR="00801BFF" w:rsidRPr="00EE5F0F">
        <w:rPr>
          <w:rFonts w:ascii="Garamond" w:hAnsi="Garamond"/>
          <w:sz w:val="22"/>
          <w:szCs w:val="22"/>
        </w:rPr>
        <w:t>,</w:t>
      </w:r>
      <w:r w:rsidR="006D59F1">
        <w:rPr>
          <w:rFonts w:ascii="Garamond" w:hAnsi="Garamond"/>
          <w:sz w:val="22"/>
          <w:szCs w:val="22"/>
        </w:rPr>
        <w:t xml:space="preserve"> the F</w:t>
      </w:r>
      <w:r w:rsidR="002A234F">
        <w:rPr>
          <w:rFonts w:ascii="Garamond" w:hAnsi="Garamond"/>
          <w:sz w:val="22"/>
          <w:szCs w:val="22"/>
        </w:rPr>
        <w:t>ed</w:t>
      </w:r>
      <w:r w:rsidRPr="00EE5F0F">
        <w:rPr>
          <w:rFonts w:ascii="Garamond" w:hAnsi="Garamond"/>
          <w:sz w:val="22"/>
          <w:szCs w:val="22"/>
        </w:rPr>
        <w:t xml:space="preserve"> </w:t>
      </w:r>
      <w:r w:rsidR="002A234F">
        <w:rPr>
          <w:rFonts w:ascii="Garamond" w:hAnsi="Garamond"/>
          <w:sz w:val="22"/>
          <w:szCs w:val="22"/>
        </w:rPr>
        <w:t xml:space="preserve">raised </w:t>
      </w:r>
      <w:r w:rsidR="00801BFF" w:rsidRPr="00EE5F0F">
        <w:rPr>
          <w:rFonts w:ascii="Garamond" w:hAnsi="Garamond"/>
          <w:sz w:val="22"/>
          <w:szCs w:val="22"/>
        </w:rPr>
        <w:t>the</w:t>
      </w:r>
      <w:r w:rsidRPr="00EE5F0F">
        <w:rPr>
          <w:rFonts w:ascii="Garamond" w:hAnsi="Garamond"/>
          <w:sz w:val="22"/>
          <w:szCs w:val="22"/>
        </w:rPr>
        <w:t xml:space="preserve"> policy rate</w:t>
      </w:r>
      <w:r w:rsidR="006D59F1">
        <w:rPr>
          <w:rFonts w:ascii="Garamond" w:hAnsi="Garamond"/>
          <w:sz w:val="22"/>
          <w:szCs w:val="22"/>
        </w:rPr>
        <w:t xml:space="preserve"> </w:t>
      </w:r>
      <w:r w:rsidR="006D59F1" w:rsidRPr="00EE5F0F">
        <w:rPr>
          <w:rFonts w:ascii="Garamond" w:hAnsi="Garamond"/>
          <w:sz w:val="22"/>
          <w:szCs w:val="22"/>
        </w:rPr>
        <w:t xml:space="preserve">in the </w:t>
      </w:r>
      <w:r w:rsidR="002A234F">
        <w:rPr>
          <w:rFonts w:ascii="Garamond" w:hAnsi="Garamond"/>
          <w:sz w:val="22"/>
          <w:szCs w:val="22"/>
        </w:rPr>
        <w:t>fourth</w:t>
      </w:r>
      <w:r w:rsidR="006D59F1" w:rsidRPr="00EE5F0F">
        <w:rPr>
          <w:rFonts w:ascii="Garamond" w:hAnsi="Garamond"/>
          <w:sz w:val="22"/>
          <w:szCs w:val="22"/>
        </w:rPr>
        <w:t xml:space="preserve"> quarter</w:t>
      </w:r>
      <w:r w:rsidR="009652E7" w:rsidRPr="00EE5F0F">
        <w:rPr>
          <w:rFonts w:ascii="Garamond" w:hAnsi="Garamond"/>
          <w:sz w:val="22"/>
          <w:szCs w:val="22"/>
        </w:rPr>
        <w:t>,</w:t>
      </w:r>
      <w:r w:rsidR="009F2880" w:rsidRPr="00EE5F0F">
        <w:rPr>
          <w:rFonts w:ascii="Garamond" w:hAnsi="Garamond"/>
          <w:sz w:val="22"/>
          <w:szCs w:val="22"/>
        </w:rPr>
        <w:t xml:space="preserve"> </w:t>
      </w:r>
      <w:r w:rsidR="009652E7" w:rsidRPr="00EE5F0F">
        <w:rPr>
          <w:rFonts w:ascii="Garamond" w:hAnsi="Garamond"/>
          <w:sz w:val="22"/>
          <w:szCs w:val="22"/>
        </w:rPr>
        <w:t xml:space="preserve">as was expected, </w:t>
      </w:r>
      <w:r w:rsidR="00801BFF" w:rsidRPr="00EE5F0F">
        <w:rPr>
          <w:rFonts w:ascii="Garamond" w:hAnsi="Garamond"/>
          <w:sz w:val="22"/>
          <w:szCs w:val="22"/>
        </w:rPr>
        <w:t xml:space="preserve">by </w:t>
      </w:r>
      <w:r w:rsidR="006D59F1">
        <w:rPr>
          <w:rFonts w:ascii="Garamond" w:hAnsi="Garamond"/>
          <w:sz w:val="22"/>
          <w:szCs w:val="22"/>
        </w:rPr>
        <w:t xml:space="preserve">another </w:t>
      </w:r>
      <w:r w:rsidR="00801BFF" w:rsidRPr="00EE5F0F">
        <w:rPr>
          <w:rFonts w:ascii="Garamond" w:hAnsi="Garamond"/>
          <w:sz w:val="22"/>
          <w:szCs w:val="22"/>
        </w:rPr>
        <w:t xml:space="preserve">0.25 pp, </w:t>
      </w:r>
      <w:r w:rsidR="009652E7" w:rsidRPr="00EE5F0F">
        <w:rPr>
          <w:rFonts w:ascii="Garamond" w:hAnsi="Garamond"/>
          <w:sz w:val="22"/>
          <w:szCs w:val="22"/>
        </w:rPr>
        <w:t xml:space="preserve">setting it in </w:t>
      </w:r>
      <w:r w:rsidR="0047223E">
        <w:rPr>
          <w:rFonts w:ascii="Garamond" w:hAnsi="Garamond"/>
          <w:sz w:val="22"/>
          <w:szCs w:val="22"/>
        </w:rPr>
        <w:t>a</w:t>
      </w:r>
      <w:r w:rsidR="00B93B04" w:rsidRPr="00EE5F0F">
        <w:rPr>
          <w:rFonts w:ascii="Garamond" w:hAnsi="Garamond"/>
          <w:sz w:val="22"/>
          <w:szCs w:val="22"/>
        </w:rPr>
        <w:t xml:space="preserve"> </w:t>
      </w:r>
      <w:r w:rsidR="00D1629C">
        <w:rPr>
          <w:rFonts w:ascii="Garamond" w:hAnsi="Garamond"/>
          <w:sz w:val="22"/>
          <w:szCs w:val="22"/>
        </w:rPr>
        <w:t>2</w:t>
      </w:r>
      <w:r w:rsidR="009652E7" w:rsidRPr="00EE5F0F">
        <w:rPr>
          <w:rFonts w:ascii="Garamond" w:hAnsi="Garamond"/>
          <w:sz w:val="22"/>
          <w:szCs w:val="22"/>
        </w:rPr>
        <w:t>.</w:t>
      </w:r>
      <w:r w:rsidR="002A234F">
        <w:rPr>
          <w:rFonts w:ascii="Garamond" w:hAnsi="Garamond"/>
          <w:sz w:val="22"/>
          <w:szCs w:val="22"/>
        </w:rPr>
        <w:t>25</w:t>
      </w:r>
      <w:r w:rsidR="006D59F1">
        <w:rPr>
          <w:rFonts w:ascii="Garamond" w:hAnsi="Garamond"/>
          <w:sz w:val="22"/>
          <w:szCs w:val="22"/>
        </w:rPr>
        <w:t>-2</w:t>
      </w:r>
      <w:r w:rsidR="00B93B04" w:rsidRPr="00EE5F0F">
        <w:rPr>
          <w:rFonts w:ascii="Garamond" w:hAnsi="Garamond"/>
          <w:sz w:val="22"/>
          <w:szCs w:val="22"/>
        </w:rPr>
        <w:t>.</w:t>
      </w:r>
      <w:r w:rsidR="002A234F">
        <w:rPr>
          <w:rFonts w:ascii="Garamond" w:hAnsi="Garamond"/>
          <w:sz w:val="22"/>
          <w:szCs w:val="22"/>
        </w:rPr>
        <w:t>50</w:t>
      </w:r>
      <w:r w:rsidR="009652E7" w:rsidRPr="00EE5F0F">
        <w:rPr>
          <w:rFonts w:ascii="Garamond" w:hAnsi="Garamond"/>
          <w:sz w:val="22"/>
          <w:szCs w:val="22"/>
        </w:rPr>
        <w:t>%</w:t>
      </w:r>
      <w:r w:rsidR="006D59F1">
        <w:rPr>
          <w:rFonts w:ascii="Garamond" w:hAnsi="Garamond"/>
          <w:sz w:val="22"/>
          <w:szCs w:val="22"/>
        </w:rPr>
        <w:t xml:space="preserve"> range</w:t>
      </w:r>
      <w:r w:rsidR="00801BFF" w:rsidRPr="00EE5F0F">
        <w:rPr>
          <w:rFonts w:ascii="Garamond" w:hAnsi="Garamond"/>
          <w:sz w:val="22"/>
          <w:szCs w:val="22"/>
        </w:rPr>
        <w:t>.</w:t>
      </w:r>
      <w:r w:rsidRPr="00EE5F0F">
        <w:rPr>
          <w:rFonts w:ascii="Garamond" w:hAnsi="Garamond"/>
          <w:sz w:val="22"/>
          <w:szCs w:val="22"/>
        </w:rPr>
        <w:t xml:space="preserve"> </w:t>
      </w:r>
      <w:r w:rsidR="00560423">
        <w:rPr>
          <w:rFonts w:ascii="Garamond" w:hAnsi="Garamond"/>
          <w:sz w:val="22"/>
          <w:szCs w:val="22"/>
        </w:rPr>
        <w:t>The p</w:t>
      </w:r>
      <w:r w:rsidR="0086062F">
        <w:rPr>
          <w:rFonts w:ascii="Garamond" w:hAnsi="Garamond"/>
          <w:sz w:val="22"/>
          <w:szCs w:val="22"/>
        </w:rPr>
        <w:t xml:space="preserve">rediction </w:t>
      </w:r>
      <w:r w:rsidR="00560423">
        <w:rPr>
          <w:rFonts w:ascii="Garamond" w:hAnsi="Garamond"/>
          <w:sz w:val="22"/>
          <w:szCs w:val="22"/>
        </w:rPr>
        <w:t xml:space="preserve">amid slackening aggregate demand is </w:t>
      </w:r>
      <w:r w:rsidR="009F1154" w:rsidRPr="00EE5F0F">
        <w:rPr>
          <w:rFonts w:ascii="Garamond" w:hAnsi="Garamond"/>
          <w:sz w:val="22"/>
          <w:szCs w:val="22"/>
        </w:rPr>
        <w:t>that t</w:t>
      </w:r>
      <w:r w:rsidR="00801BFF" w:rsidRPr="00EE5F0F">
        <w:rPr>
          <w:rFonts w:ascii="Garamond" w:hAnsi="Garamond"/>
          <w:sz w:val="22"/>
          <w:szCs w:val="22"/>
        </w:rPr>
        <w:t>he US inflation</w:t>
      </w:r>
      <w:r w:rsidR="009F1154" w:rsidRPr="00EE5F0F">
        <w:rPr>
          <w:rFonts w:ascii="Garamond" w:hAnsi="Garamond"/>
          <w:sz w:val="22"/>
          <w:szCs w:val="22"/>
        </w:rPr>
        <w:t xml:space="preserve"> </w:t>
      </w:r>
      <w:r w:rsidR="0024318B" w:rsidRPr="00EE5F0F">
        <w:rPr>
          <w:rFonts w:ascii="Garamond" w:hAnsi="Garamond"/>
          <w:sz w:val="22"/>
          <w:szCs w:val="22"/>
        </w:rPr>
        <w:t xml:space="preserve">will </w:t>
      </w:r>
      <w:r w:rsidR="00560423">
        <w:rPr>
          <w:rFonts w:ascii="Garamond" w:hAnsi="Garamond"/>
          <w:sz w:val="22"/>
          <w:szCs w:val="22"/>
        </w:rPr>
        <w:t xml:space="preserve">somewhat decelerate </w:t>
      </w:r>
      <w:r w:rsidR="005747F6" w:rsidRPr="00EE5F0F">
        <w:rPr>
          <w:rFonts w:ascii="Garamond" w:hAnsi="Garamond"/>
          <w:sz w:val="22"/>
          <w:szCs w:val="22"/>
        </w:rPr>
        <w:t>in 201</w:t>
      </w:r>
      <w:r w:rsidR="00560423">
        <w:rPr>
          <w:rFonts w:ascii="Garamond" w:hAnsi="Garamond"/>
          <w:sz w:val="22"/>
          <w:szCs w:val="22"/>
        </w:rPr>
        <w:t>9</w:t>
      </w:r>
      <w:r w:rsidR="0024318B" w:rsidRPr="00EE5F0F">
        <w:rPr>
          <w:rFonts w:ascii="Garamond" w:hAnsi="Garamond"/>
          <w:sz w:val="22"/>
          <w:szCs w:val="22"/>
        </w:rPr>
        <w:t>,</w:t>
      </w:r>
      <w:r w:rsidR="00560423">
        <w:rPr>
          <w:rFonts w:ascii="Garamond" w:hAnsi="Garamond"/>
          <w:sz w:val="22"/>
          <w:szCs w:val="22"/>
        </w:rPr>
        <w:t xml:space="preserve"> running below the target. The inflation behaving so in the time of </w:t>
      </w:r>
      <w:r w:rsidR="00DF3324">
        <w:rPr>
          <w:rFonts w:ascii="Garamond" w:hAnsi="Garamond"/>
          <w:sz w:val="22"/>
          <w:szCs w:val="22"/>
        </w:rPr>
        <w:t>economic slowdown will prompt t</w:t>
      </w:r>
      <w:r w:rsidR="0024318B" w:rsidRPr="00EE5F0F">
        <w:rPr>
          <w:rFonts w:ascii="Garamond" w:hAnsi="Garamond"/>
          <w:sz w:val="22"/>
          <w:szCs w:val="22"/>
        </w:rPr>
        <w:t>he F</w:t>
      </w:r>
      <w:r w:rsidR="005747F6">
        <w:rPr>
          <w:rFonts w:ascii="Garamond" w:hAnsi="Garamond"/>
          <w:sz w:val="22"/>
          <w:szCs w:val="22"/>
        </w:rPr>
        <w:t>ed</w:t>
      </w:r>
      <w:r w:rsidR="0024318B" w:rsidRPr="00EE5F0F">
        <w:rPr>
          <w:rFonts w:ascii="Garamond" w:hAnsi="Garamond"/>
          <w:sz w:val="22"/>
          <w:szCs w:val="22"/>
        </w:rPr>
        <w:t xml:space="preserve"> </w:t>
      </w:r>
      <w:r w:rsidR="00DF3324">
        <w:rPr>
          <w:rFonts w:ascii="Garamond" w:hAnsi="Garamond"/>
          <w:sz w:val="22"/>
          <w:szCs w:val="22"/>
        </w:rPr>
        <w:t>not to hurry with adjusting of its policy rates</w:t>
      </w:r>
      <w:r w:rsidR="00FF6EC5">
        <w:rPr>
          <w:rFonts w:ascii="Garamond" w:hAnsi="Garamond"/>
          <w:sz w:val="22"/>
          <w:szCs w:val="22"/>
        </w:rPr>
        <w:t xml:space="preserve"> in</w:t>
      </w:r>
      <w:r w:rsidR="00DF3324">
        <w:rPr>
          <w:rFonts w:ascii="Garamond" w:hAnsi="Garamond"/>
          <w:sz w:val="22"/>
          <w:szCs w:val="22"/>
        </w:rPr>
        <w:t xml:space="preserve"> 2019. </w:t>
      </w:r>
    </w:p>
    <w:p w14:paraId="08D6FA83" w14:textId="77777777" w:rsidR="00925AB1" w:rsidRDefault="000F59C5"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181912">
        <w:rPr>
          <w:rFonts w:ascii="Garamond" w:hAnsi="Garamond"/>
          <w:sz w:val="22"/>
          <w:szCs w:val="22"/>
        </w:rPr>
        <w:t>fourth</w:t>
      </w:r>
      <w:r w:rsidRPr="00EE5F0F">
        <w:rPr>
          <w:rFonts w:ascii="Garamond" w:hAnsi="Garamond"/>
          <w:sz w:val="22"/>
          <w:szCs w:val="22"/>
        </w:rPr>
        <w:t xml:space="preserve"> quarter of 2018</w:t>
      </w:r>
      <w:r w:rsidR="00566D4F">
        <w:rPr>
          <w:rFonts w:ascii="Garamond" w:hAnsi="Garamond"/>
          <w:sz w:val="22"/>
          <w:szCs w:val="22"/>
        </w:rPr>
        <w:t>,</w:t>
      </w:r>
      <w:r w:rsidRPr="00EE5F0F">
        <w:rPr>
          <w:rFonts w:ascii="Garamond" w:hAnsi="Garamond"/>
          <w:sz w:val="22"/>
          <w:szCs w:val="22"/>
        </w:rPr>
        <w:t xml:space="preserve"> t</w:t>
      </w:r>
      <w:r w:rsidR="00671CE7" w:rsidRPr="00EE5F0F">
        <w:rPr>
          <w:rFonts w:ascii="Garamond" w:hAnsi="Garamond"/>
          <w:sz w:val="22"/>
          <w:szCs w:val="22"/>
        </w:rPr>
        <w:t xml:space="preserve">he average quarterly inflation in the Eurozone </w:t>
      </w:r>
      <w:r w:rsidR="0094191B">
        <w:rPr>
          <w:rFonts w:ascii="Garamond" w:hAnsi="Garamond"/>
          <w:sz w:val="22"/>
          <w:szCs w:val="22"/>
        </w:rPr>
        <w:t xml:space="preserve">accelerated </w:t>
      </w:r>
      <w:r w:rsidRPr="00EE5F0F">
        <w:rPr>
          <w:rFonts w:ascii="Garamond" w:hAnsi="Garamond"/>
          <w:sz w:val="22"/>
          <w:szCs w:val="22"/>
        </w:rPr>
        <w:t>to</w:t>
      </w:r>
      <w:r w:rsidR="007877D5" w:rsidRPr="00EE5F0F">
        <w:rPr>
          <w:rFonts w:ascii="Garamond" w:hAnsi="Garamond"/>
          <w:sz w:val="22"/>
          <w:szCs w:val="22"/>
        </w:rPr>
        <w:t xml:space="preserve"> </w:t>
      </w:r>
      <w:r w:rsidR="00181912">
        <w:rPr>
          <w:rFonts w:ascii="Garamond" w:hAnsi="Garamond"/>
          <w:sz w:val="22"/>
          <w:szCs w:val="22"/>
        </w:rPr>
        <w:t>1</w:t>
      </w:r>
      <w:r w:rsidR="007877D5" w:rsidRPr="00EE5F0F">
        <w:rPr>
          <w:rFonts w:ascii="Garamond" w:hAnsi="Garamond"/>
          <w:sz w:val="22"/>
          <w:szCs w:val="22"/>
        </w:rPr>
        <w:t>.</w:t>
      </w:r>
      <w:r w:rsidR="00181912">
        <w:rPr>
          <w:rFonts w:ascii="Garamond" w:hAnsi="Garamond"/>
          <w:sz w:val="22"/>
          <w:szCs w:val="22"/>
        </w:rPr>
        <w:t>9</w:t>
      </w:r>
      <w:r w:rsidR="00EE619D" w:rsidRPr="00EE5F0F">
        <w:rPr>
          <w:rFonts w:ascii="Garamond" w:hAnsi="Garamond"/>
          <w:sz w:val="22"/>
          <w:szCs w:val="22"/>
        </w:rPr>
        <w:t xml:space="preserve">%, </w:t>
      </w:r>
      <w:r w:rsidR="009C0576">
        <w:rPr>
          <w:rFonts w:ascii="Garamond" w:hAnsi="Garamond"/>
          <w:sz w:val="22"/>
          <w:szCs w:val="22"/>
        </w:rPr>
        <w:t xml:space="preserve">standing </w:t>
      </w:r>
      <w:r w:rsidR="00181912">
        <w:rPr>
          <w:rFonts w:ascii="Garamond" w:hAnsi="Garamond"/>
          <w:sz w:val="22"/>
          <w:szCs w:val="22"/>
        </w:rPr>
        <w:t>close to</w:t>
      </w:r>
      <w:r w:rsidR="009C0576">
        <w:rPr>
          <w:rFonts w:ascii="Garamond" w:hAnsi="Garamond"/>
          <w:sz w:val="22"/>
          <w:szCs w:val="22"/>
        </w:rPr>
        <w:t xml:space="preserve"> </w:t>
      </w:r>
      <w:r w:rsidR="0094191B">
        <w:rPr>
          <w:rFonts w:ascii="Garamond" w:hAnsi="Garamond"/>
          <w:sz w:val="22"/>
          <w:szCs w:val="22"/>
        </w:rPr>
        <w:t xml:space="preserve">the </w:t>
      </w:r>
      <w:r w:rsidR="00181912">
        <w:rPr>
          <w:rFonts w:ascii="Garamond" w:hAnsi="Garamond"/>
          <w:sz w:val="22"/>
          <w:szCs w:val="22"/>
        </w:rPr>
        <w:t xml:space="preserve">European Central Bank’s </w:t>
      </w:r>
      <w:r w:rsidR="009C0576">
        <w:rPr>
          <w:rFonts w:ascii="Garamond" w:hAnsi="Garamond"/>
          <w:sz w:val="22"/>
          <w:szCs w:val="22"/>
        </w:rPr>
        <w:t>target</w:t>
      </w:r>
      <w:r w:rsidR="00181912">
        <w:rPr>
          <w:rFonts w:ascii="Garamond" w:hAnsi="Garamond"/>
          <w:sz w:val="22"/>
          <w:szCs w:val="22"/>
        </w:rPr>
        <w:t>. This has been driven mainly by favorable energy price developments</w:t>
      </w:r>
      <w:r w:rsidR="00214EC8">
        <w:rPr>
          <w:rFonts w:ascii="Garamond" w:hAnsi="Garamond"/>
          <w:sz w:val="22"/>
          <w:szCs w:val="22"/>
        </w:rPr>
        <w:t xml:space="preserve">. Core inflation </w:t>
      </w:r>
      <w:r w:rsidR="00181912">
        <w:rPr>
          <w:rFonts w:ascii="Garamond" w:hAnsi="Garamond"/>
          <w:sz w:val="22"/>
          <w:szCs w:val="22"/>
        </w:rPr>
        <w:t>is still running a</w:t>
      </w:r>
      <w:r w:rsidR="00D0424C" w:rsidRPr="00D0424C">
        <w:rPr>
          <w:rFonts w:ascii="Garamond" w:hAnsi="Garamond"/>
          <w:sz w:val="22"/>
          <w:szCs w:val="22"/>
        </w:rPr>
        <w:t>t a low level</w:t>
      </w:r>
      <w:r w:rsidR="00214EC8">
        <w:rPr>
          <w:rFonts w:ascii="Garamond" w:hAnsi="Garamond"/>
          <w:sz w:val="22"/>
          <w:szCs w:val="22"/>
        </w:rPr>
        <w:t>, however</w:t>
      </w:r>
      <w:r w:rsidR="00D0424C" w:rsidRPr="00D0424C">
        <w:rPr>
          <w:rFonts w:ascii="Garamond" w:hAnsi="Garamond"/>
          <w:sz w:val="22"/>
          <w:szCs w:val="22"/>
        </w:rPr>
        <w:t>.</w:t>
      </w:r>
      <w:r w:rsidR="00925AB1">
        <w:rPr>
          <w:rFonts w:ascii="Garamond" w:hAnsi="Garamond"/>
          <w:sz w:val="22"/>
          <w:szCs w:val="22"/>
        </w:rPr>
        <w:t xml:space="preserve"> Even though the ECB wound up the asset purchases program</w:t>
      </w:r>
      <w:r w:rsidR="00EE619D" w:rsidRPr="00EE5F0F">
        <w:rPr>
          <w:rFonts w:ascii="Garamond" w:hAnsi="Garamond"/>
          <w:sz w:val="22"/>
          <w:szCs w:val="22"/>
        </w:rPr>
        <w:t xml:space="preserve"> </w:t>
      </w:r>
      <w:r w:rsidR="00925AB1">
        <w:rPr>
          <w:rFonts w:ascii="Garamond" w:hAnsi="Garamond"/>
          <w:sz w:val="22"/>
          <w:szCs w:val="22"/>
        </w:rPr>
        <w:t>(EUR 15</w:t>
      </w:r>
      <w:r w:rsidR="00925AB1" w:rsidRPr="002139DF">
        <w:rPr>
          <w:rFonts w:ascii="Garamond" w:hAnsi="Garamond"/>
          <w:sz w:val="22"/>
          <w:szCs w:val="22"/>
        </w:rPr>
        <w:t xml:space="preserve"> billion a month</w:t>
      </w:r>
      <w:r w:rsidR="00925AB1">
        <w:rPr>
          <w:rFonts w:ascii="Garamond" w:hAnsi="Garamond"/>
          <w:sz w:val="22"/>
          <w:szCs w:val="22"/>
        </w:rPr>
        <w:t xml:space="preserve">) in December, it announced that, in view of slackening demand and decelerating inflation, a </w:t>
      </w:r>
      <w:r w:rsidR="00925AB1" w:rsidRPr="00EE5F0F">
        <w:rPr>
          <w:rFonts w:ascii="Garamond" w:hAnsi="Garamond"/>
          <w:sz w:val="22"/>
          <w:szCs w:val="22"/>
        </w:rPr>
        <w:t>low interest rate</w:t>
      </w:r>
      <w:r w:rsidR="00925AB1">
        <w:rPr>
          <w:rFonts w:ascii="Garamond" w:hAnsi="Garamond"/>
          <w:sz w:val="22"/>
          <w:szCs w:val="22"/>
        </w:rPr>
        <w:t>s</w:t>
      </w:r>
      <w:r w:rsidR="00925AB1" w:rsidRPr="00EE5F0F">
        <w:rPr>
          <w:rFonts w:ascii="Garamond" w:hAnsi="Garamond"/>
          <w:sz w:val="22"/>
          <w:szCs w:val="22"/>
        </w:rPr>
        <w:t xml:space="preserve"> policy</w:t>
      </w:r>
      <w:r w:rsidR="00925AB1">
        <w:rPr>
          <w:rFonts w:ascii="Garamond" w:hAnsi="Garamond"/>
          <w:sz w:val="22"/>
          <w:szCs w:val="22"/>
        </w:rPr>
        <w:t xml:space="preserve"> will be pursued at least until the end of 2019</w:t>
      </w:r>
      <w:r w:rsidR="00DF5E1B">
        <w:rPr>
          <w:rFonts w:ascii="Garamond" w:hAnsi="Garamond"/>
          <w:sz w:val="22"/>
          <w:szCs w:val="22"/>
        </w:rPr>
        <w:t xml:space="preserve">, while continuing to carry out </w:t>
      </w:r>
      <w:r w:rsidR="00DF5E1B" w:rsidRPr="00DF5E1B">
        <w:rPr>
          <w:rFonts w:ascii="Garamond" w:hAnsi="Garamond"/>
          <w:sz w:val="22"/>
          <w:szCs w:val="22"/>
        </w:rPr>
        <w:t>long-term repo transactions.</w:t>
      </w:r>
      <w:r w:rsidR="00925AB1">
        <w:rPr>
          <w:rFonts w:ascii="Garamond" w:hAnsi="Garamond"/>
          <w:sz w:val="22"/>
          <w:szCs w:val="22"/>
        </w:rPr>
        <w:t xml:space="preserve"> </w:t>
      </w:r>
    </w:p>
    <w:p w14:paraId="3A552F75" w14:textId="77777777" w:rsidR="00C36078" w:rsidRDefault="00551F7E"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the </w:t>
      </w:r>
      <w:r w:rsidR="00DF5E1B">
        <w:rPr>
          <w:rFonts w:ascii="Garamond" w:hAnsi="Garamond"/>
          <w:sz w:val="22"/>
          <w:szCs w:val="22"/>
        </w:rPr>
        <w:t>fourth</w:t>
      </w:r>
      <w:r>
        <w:rPr>
          <w:rFonts w:ascii="Garamond" w:hAnsi="Garamond"/>
          <w:sz w:val="22"/>
          <w:szCs w:val="22"/>
        </w:rPr>
        <w:t xml:space="preserve"> quarter of 2018, t</w:t>
      </w:r>
      <w:r w:rsidR="00EE619D" w:rsidRPr="00EE5F0F">
        <w:rPr>
          <w:rFonts w:ascii="Garamond" w:hAnsi="Garamond"/>
          <w:sz w:val="22"/>
          <w:szCs w:val="22"/>
        </w:rPr>
        <w:t xml:space="preserve">he average quarterly inflation in </w:t>
      </w:r>
      <w:r w:rsidR="00940BC8">
        <w:rPr>
          <w:rFonts w:ascii="Garamond" w:hAnsi="Garamond"/>
          <w:sz w:val="22"/>
          <w:szCs w:val="22"/>
        </w:rPr>
        <w:t xml:space="preserve">the </w:t>
      </w:r>
      <w:r w:rsidR="00EE619D" w:rsidRPr="00EE5F0F">
        <w:rPr>
          <w:rFonts w:ascii="Garamond" w:hAnsi="Garamond"/>
          <w:b/>
          <w:sz w:val="22"/>
          <w:szCs w:val="22"/>
        </w:rPr>
        <w:t>Russian Federation</w:t>
      </w:r>
      <w:r w:rsidR="001B7F81" w:rsidRPr="00EE5F0F">
        <w:rPr>
          <w:rFonts w:ascii="Garamond" w:hAnsi="Garamond"/>
          <w:sz w:val="22"/>
          <w:szCs w:val="22"/>
        </w:rPr>
        <w:t xml:space="preserve"> </w:t>
      </w:r>
      <w:r>
        <w:rPr>
          <w:rFonts w:ascii="Garamond" w:hAnsi="Garamond"/>
          <w:sz w:val="22"/>
          <w:szCs w:val="22"/>
        </w:rPr>
        <w:t xml:space="preserve">accelerated to </w:t>
      </w:r>
      <w:r w:rsidR="00FD138E">
        <w:rPr>
          <w:rFonts w:ascii="Garamond" w:hAnsi="Garamond"/>
          <w:sz w:val="22"/>
          <w:szCs w:val="22"/>
        </w:rPr>
        <w:t>3</w:t>
      </w:r>
      <w:r>
        <w:rPr>
          <w:rFonts w:ascii="Garamond" w:hAnsi="Garamond"/>
          <w:sz w:val="22"/>
          <w:szCs w:val="22"/>
        </w:rPr>
        <w:t>.</w:t>
      </w:r>
      <w:r w:rsidR="00DF5E1B">
        <w:rPr>
          <w:rFonts w:ascii="Garamond" w:hAnsi="Garamond"/>
          <w:sz w:val="22"/>
          <w:szCs w:val="22"/>
        </w:rPr>
        <w:t>8</w:t>
      </w:r>
      <w:r>
        <w:rPr>
          <w:rFonts w:ascii="Garamond" w:hAnsi="Garamond"/>
          <w:sz w:val="22"/>
          <w:szCs w:val="22"/>
        </w:rPr>
        <w:t xml:space="preserve">% </w:t>
      </w:r>
      <w:r w:rsidR="00DF5E1B">
        <w:rPr>
          <w:rFonts w:ascii="Garamond" w:hAnsi="Garamond"/>
          <w:sz w:val="22"/>
          <w:szCs w:val="22"/>
        </w:rPr>
        <w:t>against that of 3.0</w:t>
      </w:r>
      <w:r>
        <w:rPr>
          <w:rFonts w:ascii="Garamond" w:hAnsi="Garamond"/>
          <w:sz w:val="22"/>
          <w:szCs w:val="22"/>
        </w:rPr>
        <w:t>% in previous quarter</w:t>
      </w:r>
      <w:r w:rsidR="00DF5E1B">
        <w:rPr>
          <w:rFonts w:ascii="Garamond" w:hAnsi="Garamond"/>
          <w:sz w:val="22"/>
          <w:szCs w:val="22"/>
        </w:rPr>
        <w:t xml:space="preserve">. </w:t>
      </w:r>
      <w:r w:rsidR="001862F9">
        <w:rPr>
          <w:rFonts w:ascii="Garamond" w:hAnsi="Garamond"/>
          <w:sz w:val="22"/>
          <w:szCs w:val="22"/>
        </w:rPr>
        <w:t xml:space="preserve">Note that </w:t>
      </w:r>
      <w:r w:rsidR="001862F9" w:rsidRPr="001862F9">
        <w:rPr>
          <w:rFonts w:ascii="Garamond" w:hAnsi="Garamond"/>
          <w:sz w:val="22"/>
          <w:szCs w:val="22"/>
        </w:rPr>
        <w:t xml:space="preserve">the inflation </w:t>
      </w:r>
      <w:r w:rsidR="001862F9">
        <w:rPr>
          <w:rFonts w:ascii="Garamond" w:hAnsi="Garamond"/>
          <w:sz w:val="22"/>
          <w:szCs w:val="22"/>
        </w:rPr>
        <w:t xml:space="preserve">had already outrun </w:t>
      </w:r>
      <w:r w:rsidR="001432D5">
        <w:rPr>
          <w:rFonts w:ascii="Garamond" w:hAnsi="Garamond"/>
          <w:sz w:val="22"/>
          <w:szCs w:val="22"/>
        </w:rPr>
        <w:t xml:space="preserve">the </w:t>
      </w:r>
      <w:r w:rsidR="001862F9" w:rsidRPr="001862F9">
        <w:rPr>
          <w:rFonts w:ascii="Garamond" w:hAnsi="Garamond"/>
          <w:sz w:val="22"/>
          <w:szCs w:val="22"/>
        </w:rPr>
        <w:t xml:space="preserve">4% </w:t>
      </w:r>
      <w:r w:rsidR="001432D5">
        <w:rPr>
          <w:rFonts w:ascii="Garamond" w:hAnsi="Garamond"/>
          <w:sz w:val="22"/>
          <w:szCs w:val="22"/>
        </w:rPr>
        <w:t>target b</w:t>
      </w:r>
      <w:r w:rsidR="001432D5" w:rsidRPr="001862F9">
        <w:rPr>
          <w:rFonts w:ascii="Garamond" w:hAnsi="Garamond"/>
          <w:sz w:val="22"/>
          <w:szCs w:val="22"/>
        </w:rPr>
        <w:t>y the end of the year</w:t>
      </w:r>
      <w:r w:rsidR="001432D5">
        <w:rPr>
          <w:rFonts w:ascii="Garamond" w:hAnsi="Garamond"/>
          <w:sz w:val="22"/>
          <w:szCs w:val="22"/>
        </w:rPr>
        <w:t xml:space="preserve">, </w:t>
      </w:r>
      <w:r w:rsidR="00041C0A">
        <w:rPr>
          <w:rFonts w:ascii="Garamond" w:hAnsi="Garamond"/>
          <w:sz w:val="22"/>
          <w:szCs w:val="22"/>
        </w:rPr>
        <w:t xml:space="preserve">hitting </w:t>
      </w:r>
      <w:r w:rsidR="001432D5">
        <w:rPr>
          <w:rFonts w:ascii="Garamond" w:hAnsi="Garamond"/>
          <w:sz w:val="22"/>
          <w:szCs w:val="22"/>
        </w:rPr>
        <w:t xml:space="preserve">a 5% value in January of 2019. The acceleration of inflation was mainly fueled by increased domestic prices of certain </w:t>
      </w:r>
      <w:r w:rsidR="00241C68" w:rsidRPr="00EE5F0F">
        <w:rPr>
          <w:rFonts w:ascii="Garamond" w:hAnsi="Garamond"/>
          <w:sz w:val="22"/>
          <w:szCs w:val="22"/>
        </w:rPr>
        <w:t>food</w:t>
      </w:r>
      <w:r w:rsidR="00F5403E">
        <w:rPr>
          <w:rFonts w:ascii="Garamond" w:hAnsi="Garamond"/>
          <w:sz w:val="22"/>
          <w:szCs w:val="22"/>
        </w:rPr>
        <w:t xml:space="preserve"> products</w:t>
      </w:r>
      <w:r w:rsidR="001432D5">
        <w:rPr>
          <w:rFonts w:ascii="Garamond" w:hAnsi="Garamond"/>
          <w:sz w:val="22"/>
          <w:szCs w:val="22"/>
        </w:rPr>
        <w:t>,</w:t>
      </w:r>
      <w:r w:rsidR="00F5403E">
        <w:rPr>
          <w:rFonts w:ascii="Garamond" w:hAnsi="Garamond"/>
          <w:sz w:val="22"/>
          <w:szCs w:val="22"/>
        </w:rPr>
        <w:t xml:space="preserve"> on the one hand</w:t>
      </w:r>
      <w:r w:rsidR="001432D5">
        <w:rPr>
          <w:rFonts w:ascii="Garamond" w:hAnsi="Garamond"/>
          <w:sz w:val="22"/>
          <w:szCs w:val="22"/>
        </w:rPr>
        <w:t>,</w:t>
      </w:r>
      <w:r w:rsidR="00F5403E">
        <w:rPr>
          <w:rFonts w:ascii="Garamond" w:hAnsi="Garamond"/>
          <w:sz w:val="22"/>
          <w:szCs w:val="22"/>
        </w:rPr>
        <w:t xml:space="preserve"> and </w:t>
      </w:r>
      <w:r w:rsidR="001432D5">
        <w:rPr>
          <w:rFonts w:ascii="Garamond" w:hAnsi="Garamond"/>
          <w:sz w:val="22"/>
          <w:szCs w:val="22"/>
        </w:rPr>
        <w:t xml:space="preserve">the </w:t>
      </w:r>
      <w:r w:rsidR="00F5403E">
        <w:rPr>
          <w:rFonts w:ascii="Garamond" w:hAnsi="Garamond"/>
          <w:sz w:val="22"/>
          <w:szCs w:val="22"/>
        </w:rPr>
        <w:t xml:space="preserve">depreciated Russian ruble </w:t>
      </w:r>
      <w:r w:rsidR="001432D5">
        <w:rPr>
          <w:rFonts w:ascii="Garamond" w:hAnsi="Garamond"/>
          <w:sz w:val="22"/>
          <w:szCs w:val="22"/>
        </w:rPr>
        <w:t xml:space="preserve">and further </w:t>
      </w:r>
      <w:r w:rsidR="001432D5" w:rsidRPr="001432D5">
        <w:rPr>
          <w:rFonts w:ascii="Garamond" w:hAnsi="Garamond"/>
          <w:sz w:val="22"/>
          <w:szCs w:val="22"/>
        </w:rPr>
        <w:t xml:space="preserve">inflationary expectations caused by the increase in VAT </w:t>
      </w:r>
      <w:r w:rsidR="001432D5">
        <w:rPr>
          <w:rFonts w:ascii="Garamond" w:hAnsi="Garamond"/>
          <w:sz w:val="22"/>
          <w:szCs w:val="22"/>
        </w:rPr>
        <w:t>since J</w:t>
      </w:r>
      <w:r w:rsidR="001432D5" w:rsidRPr="001432D5">
        <w:rPr>
          <w:rFonts w:ascii="Garamond" w:hAnsi="Garamond"/>
          <w:sz w:val="22"/>
          <w:szCs w:val="22"/>
        </w:rPr>
        <w:t>anuary</w:t>
      </w:r>
      <w:r w:rsidR="001432D5">
        <w:rPr>
          <w:rFonts w:ascii="Garamond" w:hAnsi="Garamond"/>
          <w:sz w:val="22"/>
          <w:szCs w:val="22"/>
        </w:rPr>
        <w:t xml:space="preserve"> of 2019, </w:t>
      </w:r>
      <w:r w:rsidR="00F5403E">
        <w:rPr>
          <w:rFonts w:ascii="Garamond" w:hAnsi="Garamond"/>
          <w:sz w:val="22"/>
          <w:szCs w:val="22"/>
        </w:rPr>
        <w:t>on the other</w:t>
      </w:r>
      <w:r w:rsidR="00E227B2">
        <w:rPr>
          <w:rFonts w:ascii="Garamond" w:hAnsi="Garamond"/>
          <w:sz w:val="22"/>
          <w:szCs w:val="22"/>
        </w:rPr>
        <w:t xml:space="preserve">. </w:t>
      </w:r>
      <w:r w:rsidR="00261AC1">
        <w:rPr>
          <w:rFonts w:ascii="Garamond" w:hAnsi="Garamond"/>
          <w:sz w:val="22"/>
          <w:szCs w:val="22"/>
        </w:rPr>
        <w:t xml:space="preserve">In view of such </w:t>
      </w:r>
      <w:r w:rsidR="00814CAB" w:rsidRPr="00BC7E15">
        <w:rPr>
          <w:rFonts w:ascii="Garamond" w:hAnsi="Garamond"/>
          <w:sz w:val="22"/>
          <w:szCs w:val="22"/>
        </w:rPr>
        <w:t xml:space="preserve">inflationary </w:t>
      </w:r>
      <w:r w:rsidR="00261AC1">
        <w:rPr>
          <w:rFonts w:ascii="Garamond" w:hAnsi="Garamond"/>
          <w:sz w:val="22"/>
          <w:szCs w:val="22"/>
        </w:rPr>
        <w:t>patterns, the Central Bank of Russia</w:t>
      </w:r>
      <w:r w:rsidR="00261AC1" w:rsidRPr="00BC7E15">
        <w:rPr>
          <w:rFonts w:ascii="Garamond" w:hAnsi="Garamond"/>
          <w:sz w:val="22"/>
          <w:szCs w:val="22"/>
        </w:rPr>
        <w:t xml:space="preserve"> </w:t>
      </w:r>
      <w:r w:rsidR="00261AC1">
        <w:rPr>
          <w:rFonts w:ascii="Garamond" w:hAnsi="Garamond"/>
          <w:sz w:val="22"/>
          <w:szCs w:val="22"/>
        </w:rPr>
        <w:t>raised the policy rate in the fourth quarter by another 0.25 pp to 7.75%.</w:t>
      </w:r>
      <w:r w:rsidR="00940BC8">
        <w:rPr>
          <w:rFonts w:ascii="Garamond" w:hAnsi="Garamond"/>
          <w:sz w:val="22"/>
          <w:szCs w:val="22"/>
        </w:rPr>
        <w:t xml:space="preserve"> Although </w:t>
      </w:r>
      <w:r w:rsidR="009566DA">
        <w:rPr>
          <w:rFonts w:ascii="Garamond" w:hAnsi="Garamond"/>
          <w:sz w:val="22"/>
          <w:szCs w:val="22"/>
        </w:rPr>
        <w:t xml:space="preserve">the </w:t>
      </w:r>
      <w:r w:rsidR="009566DA" w:rsidRPr="009566DA">
        <w:rPr>
          <w:rFonts w:ascii="Garamond" w:hAnsi="Garamond"/>
          <w:sz w:val="22"/>
          <w:szCs w:val="22"/>
        </w:rPr>
        <w:t>anticipat</w:t>
      </w:r>
      <w:r w:rsidR="009566DA">
        <w:rPr>
          <w:rFonts w:ascii="Garamond" w:hAnsi="Garamond"/>
          <w:sz w:val="22"/>
          <w:szCs w:val="22"/>
        </w:rPr>
        <w:t xml:space="preserve">ion is </w:t>
      </w:r>
      <w:r w:rsidR="009566DA" w:rsidRPr="009566DA">
        <w:rPr>
          <w:rFonts w:ascii="Garamond" w:hAnsi="Garamond"/>
          <w:sz w:val="22"/>
          <w:szCs w:val="22"/>
        </w:rPr>
        <w:t xml:space="preserve">that </w:t>
      </w:r>
      <w:r w:rsidR="009566DA">
        <w:rPr>
          <w:rFonts w:ascii="Garamond" w:hAnsi="Garamond"/>
          <w:sz w:val="22"/>
          <w:szCs w:val="22"/>
        </w:rPr>
        <w:t xml:space="preserve">the </w:t>
      </w:r>
      <w:r w:rsidR="009566DA" w:rsidRPr="009566DA">
        <w:rPr>
          <w:rFonts w:ascii="Garamond" w:hAnsi="Garamond"/>
          <w:sz w:val="22"/>
          <w:szCs w:val="22"/>
        </w:rPr>
        <w:t xml:space="preserve">inflation will </w:t>
      </w:r>
      <w:r w:rsidR="009566DA">
        <w:rPr>
          <w:rFonts w:ascii="Garamond" w:hAnsi="Garamond"/>
          <w:sz w:val="22"/>
          <w:szCs w:val="22"/>
        </w:rPr>
        <w:t>linger above the target</w:t>
      </w:r>
      <w:r w:rsidR="009566DA" w:rsidRPr="009566DA">
        <w:rPr>
          <w:rFonts w:ascii="Garamond" w:hAnsi="Garamond"/>
          <w:sz w:val="22"/>
          <w:szCs w:val="22"/>
        </w:rPr>
        <w:t xml:space="preserve">, </w:t>
      </w:r>
      <w:r w:rsidR="009566DA">
        <w:rPr>
          <w:rFonts w:ascii="Garamond" w:hAnsi="Garamond"/>
          <w:sz w:val="22"/>
          <w:szCs w:val="22"/>
        </w:rPr>
        <w:t xml:space="preserve">incurring in </w:t>
      </w:r>
      <w:r w:rsidR="009566DA" w:rsidRPr="009566DA">
        <w:rPr>
          <w:rFonts w:ascii="Garamond" w:hAnsi="Garamond"/>
          <w:sz w:val="22"/>
          <w:szCs w:val="22"/>
        </w:rPr>
        <w:t>part</w:t>
      </w:r>
      <w:r w:rsidR="009566DA">
        <w:rPr>
          <w:rFonts w:ascii="Garamond" w:hAnsi="Garamond"/>
          <w:sz w:val="22"/>
          <w:szCs w:val="22"/>
        </w:rPr>
        <w:t xml:space="preserve"> the influence from </w:t>
      </w:r>
      <w:r w:rsidR="009566DA" w:rsidRPr="009566DA">
        <w:rPr>
          <w:rFonts w:ascii="Garamond" w:hAnsi="Garamond"/>
          <w:sz w:val="22"/>
          <w:szCs w:val="22"/>
        </w:rPr>
        <w:t xml:space="preserve">VAT </w:t>
      </w:r>
      <w:r w:rsidR="00A06D0F">
        <w:rPr>
          <w:rFonts w:ascii="Garamond" w:hAnsi="Garamond"/>
          <w:sz w:val="22"/>
          <w:szCs w:val="22"/>
        </w:rPr>
        <w:t xml:space="preserve">increase </w:t>
      </w:r>
      <w:r w:rsidR="009566DA" w:rsidRPr="009566DA">
        <w:rPr>
          <w:rFonts w:ascii="Garamond" w:hAnsi="Garamond"/>
          <w:sz w:val="22"/>
          <w:szCs w:val="22"/>
        </w:rPr>
        <w:t xml:space="preserve">and depreciation of the Russian ruble, </w:t>
      </w:r>
      <w:r w:rsidR="009566DA">
        <w:rPr>
          <w:rFonts w:ascii="Garamond" w:hAnsi="Garamond"/>
          <w:sz w:val="22"/>
          <w:szCs w:val="22"/>
        </w:rPr>
        <w:t xml:space="preserve">the Bank of Russia will most probably withhold </w:t>
      </w:r>
      <w:r w:rsidR="00A06D0F">
        <w:rPr>
          <w:rFonts w:ascii="Garamond" w:hAnsi="Garamond"/>
          <w:sz w:val="22"/>
          <w:szCs w:val="22"/>
        </w:rPr>
        <w:t xml:space="preserve">from raising the </w:t>
      </w:r>
      <w:r w:rsidR="009566DA">
        <w:rPr>
          <w:rFonts w:ascii="Garamond" w:hAnsi="Garamond"/>
          <w:sz w:val="22"/>
          <w:szCs w:val="22"/>
        </w:rPr>
        <w:t>policy rate</w:t>
      </w:r>
      <w:r w:rsidR="00A06D0F">
        <w:rPr>
          <w:rFonts w:ascii="Garamond" w:hAnsi="Garamond"/>
          <w:sz w:val="22"/>
          <w:szCs w:val="22"/>
        </w:rPr>
        <w:t xml:space="preserve"> </w:t>
      </w:r>
      <w:r w:rsidR="009566DA" w:rsidRPr="009566DA">
        <w:rPr>
          <w:rFonts w:ascii="Garamond" w:hAnsi="Garamond"/>
          <w:sz w:val="22"/>
          <w:szCs w:val="22"/>
        </w:rPr>
        <w:t>in the near future</w:t>
      </w:r>
      <w:r w:rsidR="00A06D0F">
        <w:rPr>
          <w:rFonts w:ascii="Garamond" w:hAnsi="Garamond"/>
          <w:sz w:val="22"/>
          <w:szCs w:val="22"/>
        </w:rPr>
        <w:t xml:space="preserve"> and will look to adjusting it only </w:t>
      </w:r>
      <w:r w:rsidR="009566DA" w:rsidRPr="009566DA">
        <w:rPr>
          <w:rFonts w:ascii="Garamond" w:hAnsi="Garamond"/>
          <w:sz w:val="22"/>
          <w:szCs w:val="22"/>
        </w:rPr>
        <w:t>after evaluating the impact of previous tightening policy</w:t>
      </w:r>
      <w:r w:rsidR="00A06D0F">
        <w:rPr>
          <w:rFonts w:ascii="Garamond" w:hAnsi="Garamond"/>
          <w:sz w:val="22"/>
          <w:szCs w:val="22"/>
        </w:rPr>
        <w:t xml:space="preserve"> on the inflation.</w:t>
      </w:r>
      <w:r w:rsidR="009566DA" w:rsidRPr="009566DA">
        <w:rPr>
          <w:rFonts w:ascii="Garamond" w:hAnsi="Garamond"/>
          <w:sz w:val="22"/>
          <w:szCs w:val="22"/>
        </w:rPr>
        <w:t xml:space="preserve"> </w:t>
      </w:r>
    </w:p>
    <w:p w14:paraId="710A7A5C" w14:textId="77777777" w:rsidR="00803722" w:rsidRDefault="00803722"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00AF7B80" w:rsidRPr="00EE5F0F">
        <w:rPr>
          <w:rFonts w:ascii="Garamond" w:hAnsi="Garamond"/>
          <w:sz w:val="22"/>
          <w:szCs w:val="22"/>
        </w:rPr>
        <w:t xml:space="preserve">n the </w:t>
      </w:r>
      <w:r w:rsidR="00AA3A91">
        <w:rPr>
          <w:rFonts w:ascii="Garamond" w:hAnsi="Garamond"/>
          <w:sz w:val="22"/>
          <w:szCs w:val="22"/>
        </w:rPr>
        <w:t>fourth</w:t>
      </w:r>
      <w:r w:rsidR="00AF7B80" w:rsidRPr="00EE5F0F">
        <w:rPr>
          <w:rFonts w:ascii="Garamond" w:hAnsi="Garamond"/>
          <w:sz w:val="22"/>
          <w:szCs w:val="22"/>
        </w:rPr>
        <w:t xml:space="preserve"> quarter</w:t>
      </w:r>
      <w:r>
        <w:rPr>
          <w:rFonts w:ascii="Garamond" w:hAnsi="Garamond"/>
          <w:sz w:val="22"/>
          <w:szCs w:val="22"/>
        </w:rPr>
        <w:t xml:space="preserve"> of 2018</w:t>
      </w:r>
      <w:r w:rsidR="00A03652" w:rsidRPr="00EE5F0F">
        <w:rPr>
          <w:rFonts w:ascii="Garamond" w:hAnsi="Garamond"/>
          <w:sz w:val="22"/>
          <w:szCs w:val="22"/>
        </w:rPr>
        <w:t>,</w:t>
      </w:r>
      <w:r w:rsidR="00EE619D" w:rsidRPr="00EE5F0F">
        <w:rPr>
          <w:rFonts w:ascii="Garamond" w:hAnsi="Garamond"/>
          <w:sz w:val="22"/>
          <w:szCs w:val="22"/>
        </w:rPr>
        <w:t xml:space="preserve"> the euro </w:t>
      </w:r>
      <w:r w:rsidR="00A03652" w:rsidRPr="00EE5F0F">
        <w:rPr>
          <w:rFonts w:ascii="Garamond" w:hAnsi="Garamond"/>
          <w:sz w:val="22"/>
          <w:szCs w:val="22"/>
        </w:rPr>
        <w:t xml:space="preserve">exchange rate </w:t>
      </w:r>
      <w:r w:rsidR="00AF7B80" w:rsidRPr="00EE5F0F">
        <w:rPr>
          <w:rFonts w:ascii="Garamond" w:hAnsi="Garamond"/>
          <w:sz w:val="22"/>
          <w:szCs w:val="22"/>
        </w:rPr>
        <w:t>versus</w:t>
      </w:r>
      <w:r w:rsidR="00EE619D" w:rsidRPr="00EE5F0F">
        <w:rPr>
          <w:rFonts w:ascii="Garamond" w:hAnsi="Garamond"/>
          <w:sz w:val="22"/>
          <w:szCs w:val="22"/>
        </w:rPr>
        <w:t xml:space="preserve"> the US dollar</w:t>
      </w:r>
      <w:r w:rsidR="00AF7B80" w:rsidRPr="00EE5F0F">
        <w:rPr>
          <w:rFonts w:ascii="Garamond" w:hAnsi="Garamond"/>
          <w:sz w:val="22"/>
          <w:szCs w:val="22"/>
        </w:rPr>
        <w:t xml:space="preserve"> </w:t>
      </w:r>
      <w:r>
        <w:rPr>
          <w:rFonts w:ascii="Garamond" w:hAnsi="Garamond"/>
          <w:sz w:val="22"/>
          <w:szCs w:val="22"/>
        </w:rPr>
        <w:t>de</w:t>
      </w:r>
      <w:r w:rsidR="00A03652" w:rsidRPr="00EE5F0F">
        <w:rPr>
          <w:rFonts w:ascii="Garamond" w:hAnsi="Garamond"/>
          <w:sz w:val="22"/>
          <w:szCs w:val="22"/>
        </w:rPr>
        <w:t xml:space="preserve">preciated </w:t>
      </w:r>
      <w:r w:rsidR="00AF7B80" w:rsidRPr="00EE5F0F">
        <w:rPr>
          <w:rFonts w:ascii="Garamond" w:hAnsi="Garamond"/>
          <w:sz w:val="22"/>
          <w:szCs w:val="22"/>
        </w:rPr>
        <w:t xml:space="preserve">by </w:t>
      </w:r>
      <w:r w:rsidR="001B7933">
        <w:rPr>
          <w:rFonts w:ascii="Garamond" w:hAnsi="Garamond"/>
          <w:sz w:val="22"/>
          <w:szCs w:val="22"/>
        </w:rPr>
        <w:t>1</w:t>
      </w:r>
      <w:r w:rsidR="0053486E" w:rsidRPr="00EE5F0F">
        <w:rPr>
          <w:rFonts w:ascii="Garamond" w:hAnsi="Garamond"/>
          <w:sz w:val="22"/>
          <w:szCs w:val="22"/>
        </w:rPr>
        <w:t>.</w:t>
      </w:r>
      <w:r w:rsidR="001B7933">
        <w:rPr>
          <w:rFonts w:ascii="Garamond" w:hAnsi="Garamond"/>
          <w:sz w:val="22"/>
          <w:szCs w:val="22"/>
        </w:rPr>
        <w:t>9</w:t>
      </w:r>
      <w:r w:rsidR="00AF7B80" w:rsidRPr="00EE5F0F">
        <w:rPr>
          <w:rFonts w:ascii="Garamond" w:hAnsi="Garamond"/>
          <w:sz w:val="22"/>
          <w:szCs w:val="22"/>
        </w:rPr>
        <w:t xml:space="preserve">% </w:t>
      </w:r>
      <w:r>
        <w:rPr>
          <w:rFonts w:ascii="Garamond" w:hAnsi="Garamond"/>
          <w:sz w:val="22"/>
          <w:szCs w:val="22"/>
        </w:rPr>
        <w:t>q</w:t>
      </w:r>
      <w:r w:rsidR="00A03652" w:rsidRPr="00EE5F0F">
        <w:rPr>
          <w:rFonts w:ascii="Garamond" w:hAnsi="Garamond"/>
          <w:sz w:val="22"/>
          <w:szCs w:val="22"/>
        </w:rPr>
        <w:t>/</w:t>
      </w:r>
      <w:r>
        <w:rPr>
          <w:rFonts w:ascii="Garamond" w:hAnsi="Garamond"/>
          <w:sz w:val="22"/>
          <w:szCs w:val="22"/>
        </w:rPr>
        <w:t>q</w:t>
      </w:r>
      <w:r w:rsidR="00A03652" w:rsidRPr="00EE5F0F">
        <w:rPr>
          <w:rFonts w:ascii="Garamond" w:hAnsi="Garamond"/>
          <w:sz w:val="22"/>
          <w:szCs w:val="22"/>
        </w:rPr>
        <w:t xml:space="preserve"> </w:t>
      </w:r>
      <w:r w:rsidR="00AF7B80" w:rsidRPr="00EE5F0F">
        <w:rPr>
          <w:rFonts w:ascii="Garamond" w:hAnsi="Garamond"/>
          <w:sz w:val="22"/>
          <w:szCs w:val="22"/>
        </w:rPr>
        <w:t xml:space="preserve">to </w:t>
      </w:r>
      <w:r w:rsidR="00EE619D" w:rsidRPr="00EE5F0F">
        <w:rPr>
          <w:rFonts w:ascii="Garamond" w:hAnsi="Garamond"/>
          <w:sz w:val="22"/>
          <w:szCs w:val="22"/>
        </w:rPr>
        <w:t>1.</w:t>
      </w:r>
      <w:r>
        <w:rPr>
          <w:rFonts w:ascii="Garamond" w:hAnsi="Garamond"/>
          <w:sz w:val="22"/>
          <w:szCs w:val="22"/>
        </w:rPr>
        <w:t>1</w:t>
      </w:r>
      <w:r w:rsidR="001B7933">
        <w:rPr>
          <w:rFonts w:ascii="Garamond" w:hAnsi="Garamond"/>
          <w:sz w:val="22"/>
          <w:szCs w:val="22"/>
        </w:rPr>
        <w:t>4</w:t>
      </w:r>
      <w:r>
        <w:rPr>
          <w:rFonts w:ascii="Garamond" w:hAnsi="Garamond"/>
          <w:sz w:val="22"/>
          <w:szCs w:val="22"/>
        </w:rPr>
        <w:t xml:space="preserve"> dollars per euro, </w:t>
      </w:r>
      <w:r w:rsidR="001B7933">
        <w:rPr>
          <w:rFonts w:ascii="Garamond" w:hAnsi="Garamond"/>
          <w:sz w:val="22"/>
          <w:szCs w:val="22"/>
        </w:rPr>
        <w:t xml:space="preserve">attributable to the Eurozone’s economic growth slowing faster compared to that of the US. </w:t>
      </w:r>
      <w:r w:rsidRPr="00803722">
        <w:rPr>
          <w:rFonts w:ascii="Garamond" w:hAnsi="Garamond"/>
          <w:sz w:val="22"/>
          <w:szCs w:val="22"/>
        </w:rPr>
        <w:t xml:space="preserve">In the </w:t>
      </w:r>
      <w:r w:rsidR="001B7933">
        <w:rPr>
          <w:rFonts w:ascii="Garamond" w:hAnsi="Garamond"/>
          <w:sz w:val="22"/>
          <w:szCs w:val="22"/>
        </w:rPr>
        <w:t>fourth</w:t>
      </w:r>
      <w:r w:rsidRPr="00803722">
        <w:rPr>
          <w:rFonts w:ascii="Garamond" w:hAnsi="Garamond"/>
          <w:sz w:val="22"/>
          <w:szCs w:val="22"/>
        </w:rPr>
        <w:t xml:space="preserve"> quarter </w:t>
      </w:r>
      <w:r w:rsidR="00FB0AD5">
        <w:rPr>
          <w:rFonts w:ascii="Garamond" w:hAnsi="Garamond"/>
          <w:sz w:val="22"/>
          <w:szCs w:val="22"/>
        </w:rPr>
        <w:t xml:space="preserve">of 2018, </w:t>
      </w:r>
      <w:r>
        <w:rPr>
          <w:rFonts w:ascii="Garamond" w:hAnsi="Garamond"/>
          <w:sz w:val="22"/>
          <w:szCs w:val="22"/>
        </w:rPr>
        <w:t xml:space="preserve">the </w:t>
      </w:r>
      <w:r w:rsidRPr="00803722">
        <w:rPr>
          <w:rFonts w:ascii="Garamond" w:hAnsi="Garamond"/>
          <w:sz w:val="22"/>
          <w:szCs w:val="22"/>
        </w:rPr>
        <w:t xml:space="preserve">Russian ruble </w:t>
      </w:r>
      <w:r>
        <w:rPr>
          <w:rFonts w:ascii="Garamond" w:hAnsi="Garamond"/>
          <w:sz w:val="22"/>
          <w:szCs w:val="22"/>
        </w:rPr>
        <w:t xml:space="preserve">depreciated by </w:t>
      </w:r>
      <w:r w:rsidRPr="00803722">
        <w:rPr>
          <w:rFonts w:ascii="Garamond" w:hAnsi="Garamond"/>
          <w:sz w:val="22"/>
          <w:szCs w:val="22"/>
        </w:rPr>
        <w:t>1.</w:t>
      </w:r>
      <w:r w:rsidR="001B7933">
        <w:rPr>
          <w:rFonts w:ascii="Garamond" w:hAnsi="Garamond"/>
          <w:sz w:val="22"/>
          <w:szCs w:val="22"/>
        </w:rPr>
        <w:t>5</w:t>
      </w:r>
      <w:r w:rsidRPr="00803722">
        <w:rPr>
          <w:rFonts w:ascii="Garamond" w:hAnsi="Garamond"/>
          <w:sz w:val="22"/>
          <w:szCs w:val="22"/>
        </w:rPr>
        <w:t xml:space="preserve">% </w:t>
      </w:r>
      <w:r w:rsidR="00FB0AD5">
        <w:rPr>
          <w:rFonts w:ascii="Garamond" w:hAnsi="Garamond"/>
          <w:sz w:val="22"/>
          <w:szCs w:val="22"/>
        </w:rPr>
        <w:t xml:space="preserve">q/q </w:t>
      </w:r>
      <w:r w:rsidRPr="00803722">
        <w:rPr>
          <w:rFonts w:ascii="Garamond" w:hAnsi="Garamond"/>
          <w:sz w:val="22"/>
          <w:szCs w:val="22"/>
        </w:rPr>
        <w:t xml:space="preserve">to an average </w:t>
      </w:r>
      <w:r>
        <w:rPr>
          <w:rFonts w:ascii="Garamond" w:hAnsi="Garamond"/>
          <w:sz w:val="22"/>
          <w:szCs w:val="22"/>
        </w:rPr>
        <w:t>RUB</w:t>
      </w:r>
      <w:r w:rsidRPr="00803722">
        <w:rPr>
          <w:rFonts w:ascii="Garamond" w:hAnsi="Garamond"/>
          <w:sz w:val="22"/>
          <w:szCs w:val="22"/>
        </w:rPr>
        <w:t xml:space="preserve"> 6</w:t>
      </w:r>
      <w:r w:rsidR="001B7933">
        <w:rPr>
          <w:rFonts w:ascii="Garamond" w:hAnsi="Garamond"/>
          <w:sz w:val="22"/>
          <w:szCs w:val="22"/>
        </w:rPr>
        <w:t>6</w:t>
      </w:r>
      <w:r w:rsidRPr="00803722">
        <w:rPr>
          <w:rFonts w:ascii="Garamond" w:hAnsi="Garamond"/>
          <w:sz w:val="22"/>
          <w:szCs w:val="22"/>
        </w:rPr>
        <w:t>.</w:t>
      </w:r>
      <w:r w:rsidR="001B7933">
        <w:rPr>
          <w:rFonts w:ascii="Garamond" w:hAnsi="Garamond"/>
          <w:sz w:val="22"/>
          <w:szCs w:val="22"/>
        </w:rPr>
        <w:t>5</w:t>
      </w:r>
      <w:r w:rsidRPr="00803722">
        <w:rPr>
          <w:rFonts w:ascii="Garamond" w:hAnsi="Garamond"/>
          <w:sz w:val="22"/>
          <w:szCs w:val="22"/>
        </w:rPr>
        <w:t xml:space="preserve"> </w:t>
      </w:r>
      <w:r>
        <w:rPr>
          <w:rFonts w:ascii="Garamond" w:hAnsi="Garamond"/>
          <w:sz w:val="22"/>
          <w:szCs w:val="22"/>
        </w:rPr>
        <w:t>per dollar</w:t>
      </w:r>
      <w:r w:rsidRPr="00803722">
        <w:rPr>
          <w:rFonts w:ascii="Garamond" w:hAnsi="Garamond"/>
          <w:sz w:val="22"/>
          <w:szCs w:val="22"/>
        </w:rPr>
        <w:t xml:space="preserve">, mainly due to </w:t>
      </w:r>
      <w:r w:rsidR="001B7933">
        <w:rPr>
          <w:rFonts w:ascii="Garamond" w:hAnsi="Garamond"/>
          <w:sz w:val="22"/>
          <w:szCs w:val="22"/>
        </w:rPr>
        <w:t xml:space="preserve">a </w:t>
      </w:r>
      <w:r w:rsidR="001B7933" w:rsidRPr="001B7933">
        <w:rPr>
          <w:rFonts w:ascii="Garamond" w:hAnsi="Garamond"/>
          <w:sz w:val="22"/>
          <w:szCs w:val="22"/>
        </w:rPr>
        <w:t>dec</w:t>
      </w:r>
      <w:r w:rsidR="001B7933">
        <w:rPr>
          <w:rFonts w:ascii="Garamond" w:hAnsi="Garamond"/>
          <w:sz w:val="22"/>
          <w:szCs w:val="22"/>
        </w:rPr>
        <w:t xml:space="preserve">rease </w:t>
      </w:r>
      <w:r w:rsidR="001B7933" w:rsidRPr="001B7933">
        <w:rPr>
          <w:rFonts w:ascii="Garamond" w:hAnsi="Garamond"/>
          <w:sz w:val="22"/>
          <w:szCs w:val="22"/>
        </w:rPr>
        <w:t xml:space="preserve">in international oil prices </w:t>
      </w:r>
      <w:r w:rsidR="001B7933">
        <w:rPr>
          <w:rFonts w:ascii="Garamond" w:hAnsi="Garamond"/>
          <w:sz w:val="22"/>
          <w:szCs w:val="22"/>
        </w:rPr>
        <w:t xml:space="preserve">relative to </w:t>
      </w:r>
      <w:r w:rsidR="001B7933" w:rsidRPr="001B7933">
        <w:rPr>
          <w:rFonts w:ascii="Garamond" w:hAnsi="Garamond"/>
          <w:sz w:val="22"/>
          <w:szCs w:val="22"/>
        </w:rPr>
        <w:t>the previous quarter</w:t>
      </w:r>
      <w:r w:rsidR="001B7933">
        <w:rPr>
          <w:rFonts w:ascii="Garamond" w:hAnsi="Garamond"/>
          <w:sz w:val="22"/>
          <w:szCs w:val="22"/>
        </w:rPr>
        <w:t>.</w:t>
      </w:r>
    </w:p>
    <w:p w14:paraId="3A0519FA" w14:textId="77777777" w:rsidR="00AE2E46" w:rsidRDefault="00C41E88"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Following </w:t>
      </w:r>
      <w:r w:rsidRPr="00EE5F0F">
        <w:rPr>
          <w:rFonts w:ascii="Garamond" w:hAnsi="Garamond"/>
          <w:sz w:val="22"/>
          <w:szCs w:val="22"/>
        </w:rPr>
        <w:t xml:space="preserve">the </w:t>
      </w:r>
      <w:r>
        <w:rPr>
          <w:rFonts w:ascii="Garamond" w:hAnsi="Garamond"/>
          <w:sz w:val="22"/>
          <w:szCs w:val="22"/>
        </w:rPr>
        <w:t xml:space="preserve">third </w:t>
      </w:r>
      <w:r w:rsidRPr="00EE5F0F">
        <w:rPr>
          <w:rFonts w:ascii="Garamond" w:hAnsi="Garamond"/>
          <w:sz w:val="22"/>
          <w:szCs w:val="22"/>
        </w:rPr>
        <w:t>quarter</w:t>
      </w:r>
      <w:r>
        <w:rPr>
          <w:rFonts w:ascii="Garamond" w:hAnsi="Garamond"/>
          <w:sz w:val="22"/>
          <w:szCs w:val="22"/>
        </w:rPr>
        <w:t>’s steep decline, i</w:t>
      </w:r>
      <w:r w:rsidR="00660AE6">
        <w:rPr>
          <w:rFonts w:ascii="Garamond" w:hAnsi="Garamond"/>
          <w:sz w:val="22"/>
          <w:szCs w:val="22"/>
        </w:rPr>
        <w:t xml:space="preserve">nternational copper prices </w:t>
      </w:r>
      <w:r>
        <w:rPr>
          <w:rFonts w:ascii="Garamond" w:hAnsi="Garamond"/>
          <w:sz w:val="22"/>
          <w:szCs w:val="22"/>
        </w:rPr>
        <w:t>recovered to some extent in the fourth quarter</w:t>
      </w:r>
      <w:r w:rsidR="0078634E">
        <w:rPr>
          <w:rFonts w:ascii="Garamond" w:hAnsi="Garamond"/>
          <w:sz w:val="22"/>
          <w:szCs w:val="22"/>
        </w:rPr>
        <w:t xml:space="preserve"> of 2018</w:t>
      </w:r>
      <w:r>
        <w:rPr>
          <w:rFonts w:ascii="Garamond" w:hAnsi="Garamond"/>
          <w:sz w:val="22"/>
          <w:szCs w:val="22"/>
        </w:rPr>
        <w:t xml:space="preserve">, whereas oil prices have dropped considerably. </w:t>
      </w:r>
      <w:r w:rsidR="00444F2D">
        <w:rPr>
          <w:rFonts w:ascii="Garamond" w:hAnsi="Garamond"/>
          <w:sz w:val="22"/>
          <w:szCs w:val="22"/>
        </w:rPr>
        <w:t>Rebounded i</w:t>
      </w:r>
      <w:r w:rsidR="00D1561C" w:rsidRPr="00EE5F0F">
        <w:rPr>
          <w:rFonts w:ascii="Garamond" w:hAnsi="Garamond"/>
          <w:sz w:val="22"/>
          <w:szCs w:val="22"/>
        </w:rPr>
        <w:t xml:space="preserve">nternational copper prices </w:t>
      </w:r>
      <w:r w:rsidR="00444F2D">
        <w:rPr>
          <w:rFonts w:ascii="Garamond" w:hAnsi="Garamond"/>
          <w:sz w:val="22"/>
          <w:szCs w:val="22"/>
        </w:rPr>
        <w:t xml:space="preserve">owed to the contraction in production volumes in </w:t>
      </w:r>
      <w:r w:rsidR="00444F2D" w:rsidRPr="00444F2D">
        <w:rPr>
          <w:rFonts w:ascii="Garamond" w:hAnsi="Garamond"/>
          <w:sz w:val="22"/>
          <w:szCs w:val="22"/>
        </w:rPr>
        <w:t>India and Indonesia</w:t>
      </w:r>
      <w:r w:rsidR="00444F2D">
        <w:rPr>
          <w:rFonts w:ascii="Garamond" w:hAnsi="Garamond"/>
          <w:sz w:val="22"/>
          <w:szCs w:val="22"/>
        </w:rPr>
        <w:t xml:space="preserve"> as well as expectations of a positive outcome for</w:t>
      </w:r>
      <w:r w:rsidR="00D1561C">
        <w:rPr>
          <w:rFonts w:ascii="Garamond" w:hAnsi="Garamond"/>
          <w:sz w:val="22"/>
          <w:szCs w:val="22"/>
        </w:rPr>
        <w:t xml:space="preserve"> trade tensions </w:t>
      </w:r>
      <w:r w:rsidR="00BE09A6">
        <w:rPr>
          <w:rFonts w:ascii="Garamond" w:hAnsi="Garamond"/>
          <w:sz w:val="22"/>
          <w:szCs w:val="22"/>
        </w:rPr>
        <w:t xml:space="preserve">between the USA and </w:t>
      </w:r>
      <w:r w:rsidR="00D1561C">
        <w:rPr>
          <w:rFonts w:ascii="Garamond" w:hAnsi="Garamond"/>
          <w:sz w:val="22"/>
          <w:szCs w:val="22"/>
        </w:rPr>
        <w:t>China</w:t>
      </w:r>
      <w:r w:rsidR="00BE09A6">
        <w:rPr>
          <w:rFonts w:ascii="Garamond" w:hAnsi="Garamond"/>
          <w:sz w:val="22"/>
          <w:szCs w:val="22"/>
        </w:rPr>
        <w:t xml:space="preserve">. </w:t>
      </w:r>
      <w:r w:rsidR="008C19A6">
        <w:rPr>
          <w:rFonts w:ascii="Garamond" w:hAnsi="Garamond"/>
          <w:sz w:val="22"/>
          <w:szCs w:val="22"/>
        </w:rPr>
        <w:t xml:space="preserve">Notwithstanding </w:t>
      </w:r>
      <w:r w:rsidR="008C19A6" w:rsidRPr="008C19A6">
        <w:rPr>
          <w:rFonts w:ascii="Garamond" w:hAnsi="Garamond"/>
          <w:sz w:val="22"/>
          <w:szCs w:val="22"/>
        </w:rPr>
        <w:t xml:space="preserve">the </w:t>
      </w:r>
      <w:r w:rsidR="00444F2D">
        <w:rPr>
          <w:rFonts w:ascii="Garamond" w:hAnsi="Garamond"/>
          <w:sz w:val="22"/>
          <w:szCs w:val="22"/>
        </w:rPr>
        <w:t xml:space="preserve">imposed </w:t>
      </w:r>
      <w:r w:rsidR="00444F2D" w:rsidRPr="008C19A6">
        <w:rPr>
          <w:rFonts w:ascii="Garamond" w:hAnsi="Garamond"/>
          <w:sz w:val="22"/>
          <w:szCs w:val="22"/>
        </w:rPr>
        <w:t xml:space="preserve">US sanctions </w:t>
      </w:r>
      <w:r w:rsidR="00444F2D">
        <w:rPr>
          <w:rFonts w:ascii="Garamond" w:hAnsi="Garamond"/>
          <w:sz w:val="22"/>
          <w:szCs w:val="22"/>
        </w:rPr>
        <w:t>on</w:t>
      </w:r>
      <w:r w:rsidR="00444F2D" w:rsidRPr="008C19A6">
        <w:rPr>
          <w:rFonts w:ascii="Garamond" w:hAnsi="Garamond"/>
          <w:sz w:val="22"/>
          <w:szCs w:val="22"/>
        </w:rPr>
        <w:t xml:space="preserve"> Iran</w:t>
      </w:r>
      <w:r w:rsidR="00444F2D">
        <w:rPr>
          <w:rFonts w:ascii="Garamond" w:hAnsi="Garamond"/>
          <w:sz w:val="22"/>
          <w:szCs w:val="22"/>
        </w:rPr>
        <w:t xml:space="preserve"> and the </w:t>
      </w:r>
      <w:r w:rsidR="008C19A6" w:rsidRPr="008C19A6">
        <w:rPr>
          <w:rFonts w:ascii="Garamond" w:hAnsi="Garamond"/>
          <w:sz w:val="22"/>
          <w:szCs w:val="22"/>
        </w:rPr>
        <w:t xml:space="preserve">decision to </w:t>
      </w:r>
      <w:r w:rsidR="00444F2D">
        <w:rPr>
          <w:rFonts w:ascii="Garamond" w:hAnsi="Garamond"/>
          <w:sz w:val="22"/>
          <w:szCs w:val="22"/>
        </w:rPr>
        <w:t>cut</w:t>
      </w:r>
      <w:r w:rsidR="008C19A6" w:rsidRPr="008C19A6">
        <w:rPr>
          <w:rFonts w:ascii="Garamond" w:hAnsi="Garamond"/>
          <w:sz w:val="22"/>
          <w:szCs w:val="22"/>
        </w:rPr>
        <w:t xml:space="preserve"> </w:t>
      </w:r>
      <w:r w:rsidR="008C19A6">
        <w:rPr>
          <w:rFonts w:ascii="Garamond" w:hAnsi="Garamond"/>
          <w:sz w:val="22"/>
          <w:szCs w:val="22"/>
        </w:rPr>
        <w:t xml:space="preserve">oil </w:t>
      </w:r>
      <w:r w:rsidR="008C19A6" w:rsidRPr="008C19A6">
        <w:rPr>
          <w:rFonts w:ascii="Garamond" w:hAnsi="Garamond"/>
          <w:sz w:val="22"/>
          <w:szCs w:val="22"/>
        </w:rPr>
        <w:t xml:space="preserve">production </w:t>
      </w:r>
      <w:r w:rsidR="008C19A6">
        <w:rPr>
          <w:rFonts w:ascii="Garamond" w:hAnsi="Garamond"/>
          <w:sz w:val="22"/>
          <w:szCs w:val="22"/>
        </w:rPr>
        <w:t xml:space="preserve">under </w:t>
      </w:r>
      <w:r w:rsidR="008C19A6" w:rsidRPr="008C19A6">
        <w:rPr>
          <w:rFonts w:ascii="Garamond" w:hAnsi="Garamond"/>
          <w:sz w:val="22"/>
          <w:szCs w:val="22"/>
        </w:rPr>
        <w:t>the OPEC</w:t>
      </w:r>
      <w:r w:rsidR="008C19A6">
        <w:rPr>
          <w:rFonts w:ascii="Garamond" w:hAnsi="Garamond"/>
          <w:sz w:val="22"/>
          <w:szCs w:val="22"/>
        </w:rPr>
        <w:t>+</w:t>
      </w:r>
      <w:r w:rsidR="008C19A6" w:rsidRPr="008C19A6">
        <w:rPr>
          <w:rFonts w:ascii="Garamond" w:hAnsi="Garamond"/>
          <w:sz w:val="22"/>
          <w:szCs w:val="22"/>
        </w:rPr>
        <w:t xml:space="preserve"> </w:t>
      </w:r>
      <w:r w:rsidR="00AE2E46">
        <w:rPr>
          <w:rFonts w:ascii="Garamond" w:hAnsi="Garamond"/>
          <w:sz w:val="22"/>
          <w:szCs w:val="22"/>
        </w:rPr>
        <w:t>D</w:t>
      </w:r>
      <w:r w:rsidR="008C19A6">
        <w:rPr>
          <w:rFonts w:ascii="Garamond" w:hAnsi="Garamond"/>
          <w:sz w:val="22"/>
          <w:szCs w:val="22"/>
        </w:rPr>
        <w:t xml:space="preserve">eal, </w:t>
      </w:r>
      <w:r w:rsidR="008C19A6" w:rsidRPr="008C19A6">
        <w:rPr>
          <w:rFonts w:ascii="Garamond" w:hAnsi="Garamond"/>
          <w:sz w:val="22"/>
          <w:szCs w:val="22"/>
        </w:rPr>
        <w:t xml:space="preserve">international oil prices </w:t>
      </w:r>
      <w:r w:rsidR="00444F2D">
        <w:rPr>
          <w:rFonts w:ascii="Garamond" w:hAnsi="Garamond"/>
          <w:sz w:val="22"/>
          <w:szCs w:val="22"/>
        </w:rPr>
        <w:t>dropped d</w:t>
      </w:r>
      <w:r w:rsidR="00AE2E46">
        <w:rPr>
          <w:rFonts w:ascii="Garamond" w:hAnsi="Garamond"/>
          <w:sz w:val="22"/>
          <w:szCs w:val="22"/>
        </w:rPr>
        <w:t>uring</w:t>
      </w:r>
      <w:r w:rsidR="008C19A6" w:rsidRPr="008C19A6">
        <w:rPr>
          <w:rFonts w:ascii="Garamond" w:hAnsi="Garamond"/>
          <w:sz w:val="22"/>
          <w:szCs w:val="22"/>
        </w:rPr>
        <w:t xml:space="preserve"> the </w:t>
      </w:r>
      <w:r w:rsidR="00444F2D">
        <w:rPr>
          <w:rFonts w:ascii="Garamond" w:hAnsi="Garamond"/>
          <w:sz w:val="22"/>
          <w:szCs w:val="22"/>
        </w:rPr>
        <w:t>fourth</w:t>
      </w:r>
      <w:r w:rsidR="008C19A6" w:rsidRPr="008C19A6">
        <w:rPr>
          <w:rFonts w:ascii="Garamond" w:hAnsi="Garamond"/>
          <w:sz w:val="22"/>
          <w:szCs w:val="22"/>
        </w:rPr>
        <w:t xml:space="preserve"> quarter</w:t>
      </w:r>
      <w:r w:rsidR="008C19A6">
        <w:rPr>
          <w:rFonts w:ascii="Garamond" w:hAnsi="Garamond"/>
          <w:sz w:val="22"/>
          <w:szCs w:val="22"/>
        </w:rPr>
        <w:t xml:space="preserve"> of 2018</w:t>
      </w:r>
      <w:r w:rsidR="00444F2D">
        <w:rPr>
          <w:rFonts w:ascii="Garamond" w:hAnsi="Garamond"/>
          <w:sz w:val="22"/>
          <w:szCs w:val="22"/>
        </w:rPr>
        <w:t xml:space="preserve">, mainly thanks to grown </w:t>
      </w:r>
      <w:r w:rsidR="00444F2D" w:rsidRPr="00444F2D">
        <w:rPr>
          <w:rFonts w:ascii="Garamond" w:hAnsi="Garamond"/>
          <w:sz w:val="22"/>
          <w:szCs w:val="22"/>
        </w:rPr>
        <w:t>US shale oil production volumes</w:t>
      </w:r>
      <w:r w:rsidR="00FE5DCF">
        <w:rPr>
          <w:rFonts w:ascii="Garamond" w:hAnsi="Garamond"/>
          <w:sz w:val="22"/>
          <w:szCs w:val="22"/>
        </w:rPr>
        <w:t>.</w:t>
      </w:r>
      <w:r w:rsidR="00AE2E46">
        <w:rPr>
          <w:rFonts w:ascii="Garamond" w:hAnsi="Garamond"/>
          <w:sz w:val="22"/>
          <w:szCs w:val="22"/>
        </w:rPr>
        <w:t xml:space="preserve"> </w:t>
      </w:r>
      <w:r w:rsidR="00D1561C">
        <w:rPr>
          <w:rFonts w:ascii="Garamond" w:hAnsi="Garamond"/>
          <w:sz w:val="22"/>
          <w:szCs w:val="22"/>
        </w:rPr>
        <w:t xml:space="preserve"> </w:t>
      </w:r>
      <w:r w:rsidR="008C19A6">
        <w:rPr>
          <w:rFonts w:ascii="Garamond" w:hAnsi="Garamond"/>
          <w:sz w:val="22"/>
          <w:szCs w:val="22"/>
        </w:rPr>
        <w:t xml:space="preserve">       </w:t>
      </w:r>
    </w:p>
    <w:p w14:paraId="70C25DB7" w14:textId="77777777" w:rsidR="00EE619D" w:rsidRPr="00EE5F0F" w:rsidRDefault="002F643B" w:rsidP="00E3294E">
      <w:pPr>
        <w:autoSpaceDE w:val="0"/>
        <w:autoSpaceDN w:val="0"/>
        <w:adjustRightInd w:val="0"/>
        <w:spacing w:after="120" w:line="360" w:lineRule="auto"/>
        <w:jc w:val="both"/>
        <w:rPr>
          <w:rFonts w:ascii="Garamond" w:hAnsi="Garamond"/>
          <w:b/>
          <w:color w:val="0070C0"/>
          <w:sz w:val="22"/>
          <w:szCs w:val="22"/>
        </w:rPr>
      </w:pPr>
      <w:r w:rsidRPr="002F643B">
        <w:rPr>
          <w:rFonts w:ascii="Garamond" w:hAnsi="Garamond"/>
          <w:sz w:val="22"/>
          <w:szCs w:val="22"/>
        </w:rPr>
        <w:lastRenderedPageBreak/>
        <w:t>In food product</w:t>
      </w:r>
      <w:r w:rsidR="00FE5DCF">
        <w:rPr>
          <w:rFonts w:ascii="Garamond" w:hAnsi="Garamond"/>
          <w:sz w:val="22"/>
          <w:szCs w:val="22"/>
        </w:rPr>
        <w:t xml:space="preserve"> market</w:t>
      </w:r>
      <w:r w:rsidRPr="002F643B">
        <w:rPr>
          <w:rFonts w:ascii="Garamond" w:hAnsi="Garamond"/>
          <w:sz w:val="22"/>
          <w:szCs w:val="22"/>
        </w:rPr>
        <w:t xml:space="preserve">s in the </w:t>
      </w:r>
      <w:r w:rsidR="00FE5DCF">
        <w:rPr>
          <w:rFonts w:ascii="Garamond" w:hAnsi="Garamond"/>
          <w:sz w:val="22"/>
          <w:szCs w:val="22"/>
        </w:rPr>
        <w:t>fourth</w:t>
      </w:r>
      <w:r w:rsidRPr="002F643B">
        <w:rPr>
          <w:rFonts w:ascii="Garamond" w:hAnsi="Garamond"/>
          <w:sz w:val="22"/>
          <w:szCs w:val="22"/>
        </w:rPr>
        <w:t xml:space="preserve"> quarter</w:t>
      </w:r>
      <w:r>
        <w:rPr>
          <w:rFonts w:ascii="Garamond" w:hAnsi="Garamond"/>
          <w:sz w:val="22"/>
          <w:szCs w:val="22"/>
        </w:rPr>
        <w:t xml:space="preserve"> of 2018, </w:t>
      </w:r>
      <w:r w:rsidRPr="002F643B">
        <w:rPr>
          <w:rFonts w:ascii="Garamond" w:hAnsi="Garamond"/>
          <w:sz w:val="22"/>
          <w:szCs w:val="22"/>
        </w:rPr>
        <w:t>all commodity groups</w:t>
      </w:r>
      <w:r w:rsidR="00E74CCE">
        <w:rPr>
          <w:rFonts w:ascii="Garamond" w:hAnsi="Garamond"/>
          <w:sz w:val="22"/>
          <w:szCs w:val="22"/>
        </w:rPr>
        <w:t>, except the sugar market,</w:t>
      </w:r>
      <w:r w:rsidRPr="002F643B">
        <w:rPr>
          <w:rFonts w:ascii="Garamond" w:hAnsi="Garamond"/>
          <w:sz w:val="22"/>
          <w:szCs w:val="22"/>
        </w:rPr>
        <w:t xml:space="preserve"> have </w:t>
      </w:r>
      <w:r w:rsidR="00580F5C">
        <w:rPr>
          <w:rFonts w:ascii="Garamond" w:hAnsi="Garamond"/>
          <w:sz w:val="22"/>
          <w:szCs w:val="22"/>
        </w:rPr>
        <w:t xml:space="preserve">posted a price </w:t>
      </w:r>
      <w:r w:rsidRPr="002F643B">
        <w:rPr>
          <w:rFonts w:ascii="Garamond" w:hAnsi="Garamond"/>
          <w:sz w:val="22"/>
          <w:szCs w:val="22"/>
        </w:rPr>
        <w:t>d</w:t>
      </w:r>
      <w:r w:rsidR="00580F5C">
        <w:rPr>
          <w:rFonts w:ascii="Garamond" w:hAnsi="Garamond"/>
          <w:sz w:val="22"/>
          <w:szCs w:val="22"/>
        </w:rPr>
        <w:t xml:space="preserve">ecline </w:t>
      </w:r>
      <w:r>
        <w:rPr>
          <w:rFonts w:ascii="Garamond" w:hAnsi="Garamond"/>
          <w:sz w:val="22"/>
          <w:szCs w:val="22"/>
        </w:rPr>
        <w:t xml:space="preserve">in relation to the previous quarter. </w:t>
      </w:r>
      <w:r w:rsidR="00C57674">
        <w:rPr>
          <w:rFonts w:ascii="Garamond" w:hAnsi="Garamond"/>
          <w:sz w:val="22"/>
          <w:szCs w:val="22"/>
        </w:rPr>
        <w:t>Specifically</w:t>
      </w:r>
      <w:r w:rsidR="00EE619D" w:rsidRPr="00EE5F0F">
        <w:rPr>
          <w:rFonts w:ascii="Garamond" w:hAnsi="Garamond"/>
          <w:sz w:val="22"/>
          <w:szCs w:val="22"/>
        </w:rPr>
        <w:t xml:space="preserve">, </w:t>
      </w:r>
      <w:r w:rsidR="005B1FE5">
        <w:rPr>
          <w:rFonts w:ascii="Garamond" w:hAnsi="Garamond"/>
          <w:sz w:val="22"/>
          <w:szCs w:val="22"/>
        </w:rPr>
        <w:t xml:space="preserve">although fallen considerably, </w:t>
      </w:r>
      <w:r w:rsidR="009265A7">
        <w:rPr>
          <w:rFonts w:ascii="Garamond" w:hAnsi="Garamond"/>
          <w:sz w:val="22"/>
          <w:szCs w:val="22"/>
        </w:rPr>
        <w:t xml:space="preserve">the </w:t>
      </w:r>
      <w:r w:rsidRPr="00EE5F0F">
        <w:rPr>
          <w:rFonts w:ascii="Garamond" w:hAnsi="Garamond"/>
          <w:sz w:val="22"/>
          <w:szCs w:val="22"/>
        </w:rPr>
        <w:t>dairy</w:t>
      </w:r>
      <w:r w:rsidR="00FF4531">
        <w:rPr>
          <w:rFonts w:ascii="Garamond" w:hAnsi="Garamond"/>
          <w:sz w:val="22"/>
          <w:szCs w:val="22"/>
        </w:rPr>
        <w:t xml:space="preserve"> product</w:t>
      </w:r>
      <w:r w:rsidR="004F4B84">
        <w:rPr>
          <w:rFonts w:ascii="Garamond" w:hAnsi="Garamond"/>
          <w:sz w:val="22"/>
          <w:szCs w:val="22"/>
        </w:rPr>
        <w:t xml:space="preserve"> and</w:t>
      </w:r>
      <w:r w:rsidRPr="00EE5F0F">
        <w:rPr>
          <w:rFonts w:ascii="Garamond" w:hAnsi="Garamond"/>
          <w:sz w:val="22"/>
          <w:szCs w:val="22"/>
        </w:rPr>
        <w:t xml:space="preserve"> </w:t>
      </w:r>
      <w:r>
        <w:rPr>
          <w:rFonts w:ascii="Garamond" w:hAnsi="Garamond"/>
          <w:sz w:val="22"/>
          <w:szCs w:val="22"/>
        </w:rPr>
        <w:t xml:space="preserve">vegetable oil </w:t>
      </w:r>
      <w:r w:rsidR="004F4B84">
        <w:rPr>
          <w:rFonts w:ascii="Garamond" w:hAnsi="Garamond"/>
          <w:sz w:val="22"/>
          <w:szCs w:val="22"/>
        </w:rPr>
        <w:t xml:space="preserve">prices began </w:t>
      </w:r>
      <w:r w:rsidR="005B1FE5">
        <w:rPr>
          <w:rFonts w:ascii="Garamond" w:hAnsi="Garamond"/>
          <w:sz w:val="22"/>
          <w:szCs w:val="22"/>
        </w:rPr>
        <w:t xml:space="preserve">to </w:t>
      </w:r>
      <w:r w:rsidR="004F4B84">
        <w:rPr>
          <w:rFonts w:ascii="Garamond" w:hAnsi="Garamond"/>
          <w:sz w:val="22"/>
          <w:szCs w:val="22"/>
        </w:rPr>
        <w:t>restor</w:t>
      </w:r>
      <w:r w:rsidR="005B1FE5">
        <w:rPr>
          <w:rFonts w:ascii="Garamond" w:hAnsi="Garamond"/>
          <w:sz w:val="22"/>
          <w:szCs w:val="22"/>
        </w:rPr>
        <w:t>e</w:t>
      </w:r>
      <w:r w:rsidR="004F4B84">
        <w:rPr>
          <w:rFonts w:ascii="Garamond" w:hAnsi="Garamond"/>
          <w:sz w:val="22"/>
          <w:szCs w:val="22"/>
        </w:rPr>
        <w:t xml:space="preserve"> upward </w:t>
      </w:r>
      <w:r w:rsidR="004F4B84" w:rsidRPr="004F4B84">
        <w:rPr>
          <w:rFonts w:ascii="Garamond" w:hAnsi="Garamond"/>
          <w:sz w:val="22"/>
          <w:szCs w:val="22"/>
        </w:rPr>
        <w:t>already in January</w:t>
      </w:r>
      <w:r w:rsidR="004F4B84">
        <w:rPr>
          <w:rFonts w:ascii="Garamond" w:hAnsi="Garamond"/>
          <w:sz w:val="22"/>
          <w:szCs w:val="22"/>
        </w:rPr>
        <w:t xml:space="preserve"> of 2019</w:t>
      </w:r>
      <w:r w:rsidR="004F4B84" w:rsidRPr="004F4B84">
        <w:rPr>
          <w:rFonts w:ascii="Garamond" w:hAnsi="Garamond"/>
          <w:sz w:val="22"/>
          <w:szCs w:val="22"/>
        </w:rPr>
        <w:t xml:space="preserve"> </w:t>
      </w:r>
      <w:r w:rsidR="004F4B84">
        <w:rPr>
          <w:rFonts w:ascii="Garamond" w:hAnsi="Garamond"/>
          <w:sz w:val="22"/>
          <w:szCs w:val="22"/>
        </w:rPr>
        <w:t xml:space="preserve">mainly </w:t>
      </w:r>
      <w:r w:rsidR="004F4B84" w:rsidRPr="004F4B84">
        <w:rPr>
          <w:rFonts w:ascii="Garamond" w:hAnsi="Garamond"/>
          <w:sz w:val="22"/>
          <w:szCs w:val="22"/>
        </w:rPr>
        <w:t xml:space="preserve">due to small </w:t>
      </w:r>
      <w:r w:rsidR="004F4B84">
        <w:rPr>
          <w:rFonts w:ascii="Garamond" w:hAnsi="Garamond"/>
          <w:sz w:val="22"/>
          <w:szCs w:val="22"/>
        </w:rPr>
        <w:t xml:space="preserve">supply </w:t>
      </w:r>
      <w:r w:rsidR="004F4B84" w:rsidRPr="004F4B84">
        <w:rPr>
          <w:rFonts w:ascii="Garamond" w:hAnsi="Garamond"/>
          <w:sz w:val="22"/>
          <w:szCs w:val="22"/>
        </w:rPr>
        <w:t>volumes</w:t>
      </w:r>
      <w:r w:rsidR="005B1FE5">
        <w:rPr>
          <w:rFonts w:ascii="Garamond" w:hAnsi="Garamond"/>
          <w:sz w:val="22"/>
          <w:szCs w:val="22"/>
        </w:rPr>
        <w:t>, whereas the rise in su</w:t>
      </w:r>
      <w:r>
        <w:rPr>
          <w:rFonts w:ascii="Garamond" w:hAnsi="Garamond"/>
          <w:sz w:val="22"/>
          <w:szCs w:val="22"/>
        </w:rPr>
        <w:t xml:space="preserve">gar prices </w:t>
      </w:r>
      <w:r w:rsidR="005B1FE5">
        <w:rPr>
          <w:rFonts w:ascii="Garamond" w:hAnsi="Garamond"/>
          <w:sz w:val="22"/>
          <w:szCs w:val="22"/>
        </w:rPr>
        <w:t xml:space="preserve">has been driven by appreciated currency of Brazil, a principal sugar exporter. </w:t>
      </w:r>
      <w:r w:rsidR="005B1FE5" w:rsidRPr="005B1FE5">
        <w:rPr>
          <w:rFonts w:ascii="Garamond" w:hAnsi="Garamond"/>
          <w:sz w:val="22"/>
          <w:szCs w:val="22"/>
        </w:rPr>
        <w:t xml:space="preserve">In </w:t>
      </w:r>
      <w:r w:rsidR="005B1FE5">
        <w:rPr>
          <w:rFonts w:ascii="Garamond" w:hAnsi="Garamond"/>
          <w:sz w:val="22"/>
          <w:szCs w:val="22"/>
        </w:rPr>
        <w:t>a</w:t>
      </w:r>
      <w:r w:rsidR="005B1FE5" w:rsidRPr="005B1FE5">
        <w:rPr>
          <w:rFonts w:ascii="Garamond" w:hAnsi="Garamond"/>
          <w:sz w:val="22"/>
          <w:szCs w:val="22"/>
        </w:rPr>
        <w:t xml:space="preserve"> short-term</w:t>
      </w:r>
      <w:r w:rsidR="005B1FE5">
        <w:rPr>
          <w:rFonts w:ascii="Garamond" w:hAnsi="Garamond"/>
          <w:sz w:val="22"/>
          <w:szCs w:val="22"/>
        </w:rPr>
        <w:t xml:space="preserve"> perspective</w:t>
      </w:r>
      <w:r w:rsidR="005B1FE5" w:rsidRPr="005B1FE5">
        <w:rPr>
          <w:rFonts w:ascii="Garamond" w:hAnsi="Garamond"/>
          <w:sz w:val="22"/>
          <w:szCs w:val="22"/>
        </w:rPr>
        <w:t xml:space="preserve">, </w:t>
      </w:r>
      <w:r w:rsidR="00832E2C">
        <w:rPr>
          <w:rFonts w:ascii="Garamond" w:hAnsi="Garamond"/>
          <w:sz w:val="22"/>
          <w:szCs w:val="22"/>
        </w:rPr>
        <w:t xml:space="preserve">weak </w:t>
      </w:r>
      <w:r w:rsidR="005B1FE5" w:rsidRPr="005B1FE5">
        <w:rPr>
          <w:rFonts w:ascii="Garamond" w:hAnsi="Garamond"/>
          <w:sz w:val="22"/>
          <w:szCs w:val="22"/>
        </w:rPr>
        <w:t>inflation</w:t>
      </w:r>
      <w:r w:rsidR="00832E2C">
        <w:rPr>
          <w:rFonts w:ascii="Garamond" w:hAnsi="Garamond"/>
          <w:sz w:val="22"/>
          <w:szCs w:val="22"/>
        </w:rPr>
        <w:t xml:space="preserve">ary </w:t>
      </w:r>
      <w:r w:rsidR="005B1FE5" w:rsidRPr="005B1FE5">
        <w:rPr>
          <w:rFonts w:ascii="Garamond" w:hAnsi="Garamond"/>
          <w:sz w:val="22"/>
          <w:szCs w:val="22"/>
        </w:rPr>
        <w:t xml:space="preserve">environment </w:t>
      </w:r>
      <w:r w:rsidR="005B1FE5">
        <w:rPr>
          <w:rFonts w:ascii="Garamond" w:hAnsi="Garamond"/>
          <w:sz w:val="22"/>
          <w:szCs w:val="22"/>
        </w:rPr>
        <w:t xml:space="preserve">will persist in </w:t>
      </w:r>
      <w:r w:rsidR="005B1FE5" w:rsidRPr="005B1FE5">
        <w:rPr>
          <w:rFonts w:ascii="Garamond" w:hAnsi="Garamond"/>
          <w:sz w:val="22"/>
          <w:szCs w:val="22"/>
        </w:rPr>
        <w:t>main food commodity groups, particularly dairy products, vegetable oils and sugar markets, wh</w:t>
      </w:r>
      <w:r w:rsidR="00832E2C">
        <w:rPr>
          <w:rFonts w:ascii="Garamond" w:hAnsi="Garamond"/>
          <w:sz w:val="22"/>
          <w:szCs w:val="22"/>
        </w:rPr>
        <w:t>ereas significant price movements in th</w:t>
      </w:r>
      <w:r w:rsidR="005B1FE5" w:rsidRPr="005B1FE5">
        <w:rPr>
          <w:rFonts w:ascii="Garamond" w:hAnsi="Garamond"/>
          <w:sz w:val="22"/>
          <w:szCs w:val="22"/>
        </w:rPr>
        <w:t xml:space="preserve">e grain and meat </w:t>
      </w:r>
      <w:r w:rsidR="00832E2C">
        <w:rPr>
          <w:rFonts w:ascii="Garamond" w:hAnsi="Garamond"/>
          <w:sz w:val="22"/>
          <w:szCs w:val="22"/>
        </w:rPr>
        <w:t>product markets are less likely</w:t>
      </w:r>
      <w:r w:rsidR="005B1FE5" w:rsidRPr="005B1FE5">
        <w:rPr>
          <w:rFonts w:ascii="Garamond" w:hAnsi="Garamond"/>
          <w:sz w:val="22"/>
          <w:szCs w:val="22"/>
        </w:rPr>
        <w:t>.</w:t>
      </w:r>
      <w:r w:rsidR="00C7198F">
        <w:rPr>
          <w:rFonts w:ascii="Garamond" w:hAnsi="Garamond"/>
          <w:sz w:val="22"/>
          <w:szCs w:val="22"/>
        </w:rPr>
        <w:t xml:space="preserve"> </w:t>
      </w:r>
    </w:p>
    <w:p w14:paraId="6B9223C6" w14:textId="77777777" w:rsidR="00276564" w:rsidRPr="00EE5F0F" w:rsidRDefault="00276564" w:rsidP="00EE619D">
      <w:pPr>
        <w:autoSpaceDE w:val="0"/>
        <w:autoSpaceDN w:val="0"/>
        <w:adjustRightInd w:val="0"/>
        <w:spacing w:after="120" w:line="360" w:lineRule="auto"/>
        <w:jc w:val="both"/>
        <w:rPr>
          <w:rFonts w:ascii="Garamond" w:hAnsi="Garamond"/>
          <w:b/>
          <w:bCs/>
          <w:iCs/>
          <w:color w:val="0070C0"/>
          <w:sz w:val="22"/>
          <w:szCs w:val="22"/>
        </w:rPr>
      </w:pPr>
    </w:p>
    <w:p w14:paraId="60734B27"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bCs/>
          <w:iCs/>
          <w:color w:val="0070C0"/>
          <w:sz w:val="22"/>
          <w:szCs w:val="22"/>
        </w:rPr>
        <w:t>2.2. Forecasts</w:t>
      </w:r>
      <w:r w:rsidRPr="00EE5F0F">
        <w:rPr>
          <w:rFonts w:ascii="Garamond" w:hAnsi="Garamond"/>
          <w:sz w:val="22"/>
          <w:szCs w:val="22"/>
        </w:rPr>
        <w:t xml:space="preserve"> </w:t>
      </w:r>
    </w:p>
    <w:p w14:paraId="42170A7C"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bCs/>
          <w:iCs/>
          <w:color w:val="0070C0"/>
          <w:sz w:val="22"/>
          <w:szCs w:val="22"/>
        </w:rPr>
        <w:t>2.2.1. Inflation and monetary policy</w:t>
      </w:r>
      <w:r w:rsidRPr="00EE5F0F">
        <w:rPr>
          <w:rFonts w:ascii="Garamond" w:hAnsi="Garamond"/>
          <w:sz w:val="22"/>
          <w:szCs w:val="22"/>
        </w:rPr>
        <w:t xml:space="preserve"> </w:t>
      </w:r>
    </w:p>
    <w:p w14:paraId="08F9FF6E" w14:textId="77777777" w:rsidR="00EE619D" w:rsidRDefault="00B70C8E"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 xml:space="preserve">In the </w:t>
      </w:r>
      <w:r w:rsidR="00832E2C">
        <w:rPr>
          <w:rFonts w:ascii="Garamond" w:hAnsi="Garamond"/>
          <w:b/>
          <w:sz w:val="22"/>
          <w:szCs w:val="22"/>
        </w:rPr>
        <w:t>first</w:t>
      </w:r>
      <w:r>
        <w:rPr>
          <w:rFonts w:ascii="Garamond" w:hAnsi="Garamond"/>
          <w:b/>
          <w:sz w:val="22"/>
          <w:szCs w:val="22"/>
        </w:rPr>
        <w:t xml:space="preserve"> quarter of 201</w:t>
      </w:r>
      <w:r w:rsidR="00832E2C">
        <w:rPr>
          <w:rFonts w:ascii="Garamond" w:hAnsi="Garamond"/>
          <w:b/>
          <w:sz w:val="22"/>
          <w:szCs w:val="22"/>
        </w:rPr>
        <w:t>9</w:t>
      </w:r>
      <w:r>
        <w:rPr>
          <w:rFonts w:ascii="Garamond" w:hAnsi="Garamond"/>
          <w:b/>
          <w:sz w:val="22"/>
          <w:szCs w:val="22"/>
        </w:rPr>
        <w:t xml:space="preserve">, </w:t>
      </w:r>
      <w:r w:rsidR="00832E2C">
        <w:rPr>
          <w:rFonts w:ascii="Garamond" w:hAnsi="Garamond"/>
          <w:b/>
          <w:sz w:val="22"/>
          <w:szCs w:val="22"/>
        </w:rPr>
        <w:t>the inflation persist</w:t>
      </w:r>
      <w:r w:rsidR="003B4CC9">
        <w:rPr>
          <w:rFonts w:ascii="Garamond" w:hAnsi="Garamond"/>
          <w:b/>
          <w:sz w:val="22"/>
          <w:szCs w:val="22"/>
        </w:rPr>
        <w:t>s</w:t>
      </w:r>
      <w:r w:rsidR="00832E2C">
        <w:rPr>
          <w:rFonts w:ascii="Garamond" w:hAnsi="Garamond"/>
          <w:b/>
          <w:sz w:val="22"/>
          <w:szCs w:val="22"/>
        </w:rPr>
        <w:t xml:space="preserve"> at a relatively low level,</w:t>
      </w:r>
      <w:r w:rsidR="00832E2C" w:rsidRPr="00832E2C">
        <w:rPr>
          <w:rFonts w:ascii="Garamond" w:hAnsi="Garamond"/>
          <w:b/>
          <w:sz w:val="22"/>
          <w:szCs w:val="22"/>
        </w:rPr>
        <w:t xml:space="preserve"> largely </w:t>
      </w:r>
      <w:r w:rsidR="00832E2C">
        <w:rPr>
          <w:rFonts w:ascii="Garamond" w:hAnsi="Garamond"/>
          <w:b/>
          <w:sz w:val="22"/>
          <w:szCs w:val="22"/>
        </w:rPr>
        <w:t xml:space="preserve">incurring the impact of </w:t>
      </w:r>
      <w:r w:rsidR="009E1166">
        <w:rPr>
          <w:rFonts w:ascii="Garamond" w:hAnsi="Garamond"/>
          <w:b/>
          <w:sz w:val="22"/>
          <w:szCs w:val="22"/>
        </w:rPr>
        <w:t xml:space="preserve">a </w:t>
      </w:r>
      <w:r w:rsidR="003B4CC9">
        <w:rPr>
          <w:rFonts w:ascii="Garamond" w:hAnsi="Garamond"/>
          <w:b/>
          <w:sz w:val="22"/>
          <w:szCs w:val="22"/>
        </w:rPr>
        <w:t>s</w:t>
      </w:r>
      <w:r w:rsidR="00832E2C">
        <w:rPr>
          <w:rFonts w:ascii="Garamond" w:hAnsi="Garamond"/>
          <w:b/>
          <w:sz w:val="22"/>
          <w:szCs w:val="22"/>
        </w:rPr>
        <w:t xml:space="preserve">luggish </w:t>
      </w:r>
      <w:r w:rsidR="00832E2C" w:rsidRPr="00832E2C">
        <w:rPr>
          <w:rFonts w:ascii="Garamond" w:hAnsi="Garamond"/>
          <w:b/>
          <w:sz w:val="22"/>
          <w:szCs w:val="22"/>
        </w:rPr>
        <w:t>demand which</w:t>
      </w:r>
      <w:r w:rsidR="00832E2C">
        <w:rPr>
          <w:rFonts w:ascii="Garamond" w:hAnsi="Garamond"/>
          <w:b/>
          <w:sz w:val="22"/>
          <w:szCs w:val="22"/>
        </w:rPr>
        <w:t>,</w:t>
      </w:r>
      <w:r w:rsidR="00832E2C" w:rsidRPr="00832E2C">
        <w:rPr>
          <w:rFonts w:ascii="Garamond" w:hAnsi="Garamond"/>
          <w:b/>
          <w:sz w:val="22"/>
          <w:szCs w:val="22"/>
        </w:rPr>
        <w:t xml:space="preserve"> in turn</w:t>
      </w:r>
      <w:r w:rsidR="00832E2C">
        <w:rPr>
          <w:rFonts w:ascii="Garamond" w:hAnsi="Garamond"/>
          <w:b/>
          <w:sz w:val="22"/>
          <w:szCs w:val="22"/>
        </w:rPr>
        <w:t>,</w:t>
      </w:r>
      <w:r w:rsidR="00832E2C" w:rsidRPr="00832E2C">
        <w:rPr>
          <w:rFonts w:ascii="Garamond" w:hAnsi="Garamond"/>
          <w:b/>
          <w:sz w:val="22"/>
          <w:szCs w:val="22"/>
        </w:rPr>
        <w:t xml:space="preserve"> </w:t>
      </w:r>
      <w:r w:rsidR="00832E2C">
        <w:rPr>
          <w:rFonts w:ascii="Garamond" w:hAnsi="Garamond"/>
          <w:b/>
          <w:sz w:val="22"/>
          <w:szCs w:val="22"/>
        </w:rPr>
        <w:t>i</w:t>
      </w:r>
      <w:r w:rsidR="00832E2C" w:rsidRPr="00832E2C">
        <w:rPr>
          <w:rFonts w:ascii="Garamond" w:hAnsi="Garamond"/>
          <w:b/>
          <w:sz w:val="22"/>
          <w:szCs w:val="22"/>
        </w:rPr>
        <w:t xml:space="preserve">s </w:t>
      </w:r>
      <w:r w:rsidR="00832E2C">
        <w:rPr>
          <w:rFonts w:ascii="Garamond" w:hAnsi="Garamond"/>
          <w:b/>
          <w:sz w:val="22"/>
          <w:szCs w:val="22"/>
        </w:rPr>
        <w:t xml:space="preserve">attributable to a </w:t>
      </w:r>
      <w:r w:rsidR="00832E2C" w:rsidRPr="00832E2C">
        <w:rPr>
          <w:rFonts w:ascii="Garamond" w:hAnsi="Garamond"/>
          <w:b/>
          <w:sz w:val="22"/>
          <w:szCs w:val="22"/>
        </w:rPr>
        <w:t>tight</w:t>
      </w:r>
      <w:r w:rsidR="00832E2C">
        <w:rPr>
          <w:rFonts w:ascii="Garamond" w:hAnsi="Garamond"/>
          <w:b/>
          <w:sz w:val="22"/>
          <w:szCs w:val="22"/>
        </w:rPr>
        <w:t xml:space="preserve"> </w:t>
      </w:r>
      <w:r w:rsidR="00832E2C" w:rsidRPr="00832E2C">
        <w:rPr>
          <w:rFonts w:ascii="Garamond" w:hAnsi="Garamond"/>
          <w:b/>
          <w:sz w:val="22"/>
          <w:szCs w:val="22"/>
        </w:rPr>
        <w:t xml:space="preserve">fiscal policy </w:t>
      </w:r>
      <w:r w:rsidR="00832E2C">
        <w:rPr>
          <w:rFonts w:ascii="Garamond" w:hAnsi="Garamond"/>
          <w:b/>
          <w:sz w:val="22"/>
          <w:szCs w:val="22"/>
        </w:rPr>
        <w:t xml:space="preserve">implementation </w:t>
      </w:r>
      <w:r w:rsidR="00832E2C" w:rsidRPr="00832E2C">
        <w:rPr>
          <w:rFonts w:ascii="Garamond" w:hAnsi="Garamond"/>
          <w:b/>
          <w:sz w:val="22"/>
          <w:szCs w:val="22"/>
        </w:rPr>
        <w:t>and slow</w:t>
      </w:r>
      <w:r w:rsidR="00832E2C">
        <w:rPr>
          <w:rFonts w:ascii="Garamond" w:hAnsi="Garamond"/>
          <w:b/>
          <w:sz w:val="22"/>
          <w:szCs w:val="22"/>
        </w:rPr>
        <w:t xml:space="preserve">er </w:t>
      </w:r>
      <w:r w:rsidR="00832E2C" w:rsidRPr="00832E2C">
        <w:rPr>
          <w:rFonts w:ascii="Garamond" w:hAnsi="Garamond"/>
          <w:b/>
          <w:sz w:val="22"/>
          <w:szCs w:val="22"/>
        </w:rPr>
        <w:t>growth in private spending.</w:t>
      </w:r>
      <w:r w:rsidR="00832E2C">
        <w:rPr>
          <w:rFonts w:ascii="Garamond" w:hAnsi="Garamond"/>
          <w:b/>
          <w:sz w:val="22"/>
          <w:szCs w:val="22"/>
        </w:rPr>
        <w:t xml:space="preserve"> </w:t>
      </w:r>
      <w:r w:rsidR="003B4CC9">
        <w:rPr>
          <w:rFonts w:ascii="Garamond" w:hAnsi="Garamond"/>
          <w:b/>
          <w:sz w:val="22"/>
          <w:szCs w:val="22"/>
        </w:rPr>
        <w:t xml:space="preserve">This </w:t>
      </w:r>
      <w:r w:rsidR="00053B34">
        <w:rPr>
          <w:rFonts w:ascii="Garamond" w:hAnsi="Garamond"/>
          <w:b/>
          <w:sz w:val="22"/>
          <w:szCs w:val="22"/>
        </w:rPr>
        <w:t>urged</w:t>
      </w:r>
      <w:r w:rsidR="003B4CC9">
        <w:rPr>
          <w:rFonts w:ascii="Garamond" w:hAnsi="Garamond"/>
          <w:b/>
          <w:sz w:val="22"/>
          <w:szCs w:val="22"/>
        </w:rPr>
        <w:t xml:space="preserve"> the Central Bank to </w:t>
      </w:r>
      <w:r w:rsidR="003B4CC9" w:rsidRPr="003B4CC9">
        <w:rPr>
          <w:rFonts w:ascii="Garamond" w:hAnsi="Garamond"/>
          <w:b/>
          <w:sz w:val="22"/>
          <w:szCs w:val="22"/>
        </w:rPr>
        <w:t>increase</w:t>
      </w:r>
      <w:r w:rsidR="00053B34">
        <w:rPr>
          <w:rFonts w:ascii="Garamond" w:hAnsi="Garamond"/>
          <w:b/>
          <w:sz w:val="22"/>
          <w:szCs w:val="22"/>
        </w:rPr>
        <w:t>,</w:t>
      </w:r>
      <w:r w:rsidR="003B4CC9">
        <w:rPr>
          <w:rFonts w:ascii="Garamond" w:hAnsi="Garamond"/>
          <w:b/>
          <w:sz w:val="22"/>
          <w:szCs w:val="22"/>
        </w:rPr>
        <w:t xml:space="preserve"> </w:t>
      </w:r>
      <w:r w:rsidR="006603F1">
        <w:rPr>
          <w:rFonts w:ascii="Garamond" w:hAnsi="Garamond"/>
          <w:b/>
          <w:sz w:val="22"/>
          <w:szCs w:val="22"/>
        </w:rPr>
        <w:t>early in the quarter</w:t>
      </w:r>
      <w:r w:rsidR="00053B34">
        <w:rPr>
          <w:rFonts w:ascii="Garamond" w:hAnsi="Garamond"/>
          <w:b/>
          <w:sz w:val="22"/>
          <w:szCs w:val="22"/>
        </w:rPr>
        <w:t>,</w:t>
      </w:r>
      <w:r w:rsidR="006603F1">
        <w:rPr>
          <w:rFonts w:ascii="Garamond" w:hAnsi="Garamond"/>
          <w:b/>
          <w:sz w:val="22"/>
          <w:szCs w:val="22"/>
        </w:rPr>
        <w:t xml:space="preserve"> </w:t>
      </w:r>
      <w:r w:rsidR="003B4CC9">
        <w:rPr>
          <w:rFonts w:ascii="Garamond" w:hAnsi="Garamond"/>
          <w:b/>
          <w:sz w:val="22"/>
          <w:szCs w:val="22"/>
        </w:rPr>
        <w:t xml:space="preserve">the monetary stimulus by cutting </w:t>
      </w:r>
      <w:r w:rsidR="003B4CC9" w:rsidRPr="003B4CC9">
        <w:rPr>
          <w:rFonts w:ascii="Garamond" w:hAnsi="Garamond"/>
          <w:b/>
          <w:sz w:val="22"/>
          <w:szCs w:val="22"/>
        </w:rPr>
        <w:t>the refinancing rate by 0.25 p</w:t>
      </w:r>
      <w:r w:rsidR="003B4CC9">
        <w:rPr>
          <w:rFonts w:ascii="Garamond" w:hAnsi="Garamond"/>
          <w:b/>
          <w:sz w:val="22"/>
          <w:szCs w:val="22"/>
        </w:rPr>
        <w:t>p to</w:t>
      </w:r>
      <w:r w:rsidR="003B4CC9" w:rsidRPr="003B4CC9">
        <w:rPr>
          <w:rFonts w:ascii="Garamond" w:hAnsi="Garamond"/>
          <w:b/>
          <w:sz w:val="22"/>
          <w:szCs w:val="22"/>
        </w:rPr>
        <w:t xml:space="preserve"> 5.75%.</w:t>
      </w:r>
      <w:r w:rsidR="006603F1">
        <w:rPr>
          <w:rFonts w:ascii="Garamond" w:hAnsi="Garamond"/>
          <w:b/>
          <w:sz w:val="22"/>
          <w:szCs w:val="22"/>
        </w:rPr>
        <w:t xml:space="preserve"> </w:t>
      </w:r>
      <w:r w:rsidR="006603F1" w:rsidRPr="006603F1">
        <w:rPr>
          <w:rFonts w:ascii="Garamond" w:hAnsi="Garamond"/>
          <w:b/>
          <w:sz w:val="22"/>
          <w:szCs w:val="22"/>
        </w:rPr>
        <w:t xml:space="preserve">As a result, the </w:t>
      </w:r>
      <w:r w:rsidR="006603F1">
        <w:rPr>
          <w:rFonts w:ascii="Garamond" w:hAnsi="Garamond"/>
          <w:b/>
          <w:sz w:val="22"/>
          <w:szCs w:val="22"/>
        </w:rPr>
        <w:t xml:space="preserve">monetary conditions are rather expansionary now and </w:t>
      </w:r>
      <w:r w:rsidR="00053B34">
        <w:rPr>
          <w:rFonts w:ascii="Garamond" w:hAnsi="Garamond"/>
          <w:b/>
          <w:sz w:val="22"/>
          <w:szCs w:val="22"/>
        </w:rPr>
        <w:t>in the upcoming period may lend to sustained recovery of demand amid</w:t>
      </w:r>
      <w:r w:rsidR="006603F1" w:rsidRPr="006603F1">
        <w:rPr>
          <w:rFonts w:ascii="Garamond" w:hAnsi="Garamond"/>
          <w:b/>
          <w:sz w:val="22"/>
          <w:szCs w:val="22"/>
        </w:rPr>
        <w:t xml:space="preserve"> </w:t>
      </w:r>
      <w:r w:rsidR="00053B34">
        <w:rPr>
          <w:rFonts w:ascii="Garamond" w:hAnsi="Garamond"/>
          <w:b/>
          <w:sz w:val="22"/>
          <w:szCs w:val="22"/>
        </w:rPr>
        <w:t xml:space="preserve">anticipated </w:t>
      </w:r>
      <w:r w:rsidR="006603F1" w:rsidRPr="006603F1">
        <w:rPr>
          <w:rFonts w:ascii="Garamond" w:hAnsi="Garamond"/>
          <w:b/>
          <w:sz w:val="22"/>
          <w:szCs w:val="22"/>
        </w:rPr>
        <w:t>devel</w:t>
      </w:r>
      <w:r w:rsidR="00053B34">
        <w:rPr>
          <w:rFonts w:ascii="Garamond" w:hAnsi="Garamond"/>
          <w:b/>
          <w:sz w:val="22"/>
          <w:szCs w:val="22"/>
        </w:rPr>
        <w:t>opments in the external sector</w:t>
      </w:r>
      <w:r w:rsidR="00960284">
        <w:rPr>
          <w:rFonts w:ascii="Garamond" w:hAnsi="Garamond"/>
          <w:b/>
          <w:sz w:val="22"/>
          <w:szCs w:val="22"/>
        </w:rPr>
        <w:t>.</w:t>
      </w:r>
      <w:r w:rsidR="00053B34">
        <w:rPr>
          <w:rFonts w:ascii="Garamond" w:hAnsi="Garamond"/>
          <w:b/>
          <w:sz w:val="22"/>
          <w:szCs w:val="22"/>
        </w:rPr>
        <w:t xml:space="preserve"> </w:t>
      </w:r>
      <w:r w:rsidR="00960284">
        <w:rPr>
          <w:rFonts w:ascii="Garamond" w:hAnsi="Garamond"/>
          <w:b/>
          <w:sz w:val="22"/>
          <w:szCs w:val="22"/>
        </w:rPr>
        <w:t xml:space="preserve">The inflation, influenced by these developments, </w:t>
      </w:r>
      <w:r w:rsidR="006603F1" w:rsidRPr="006603F1">
        <w:rPr>
          <w:rFonts w:ascii="Garamond" w:hAnsi="Garamond"/>
          <w:b/>
          <w:sz w:val="22"/>
          <w:szCs w:val="22"/>
        </w:rPr>
        <w:t xml:space="preserve">will gradually </w:t>
      </w:r>
      <w:r w:rsidR="00960284">
        <w:rPr>
          <w:rFonts w:ascii="Garamond" w:hAnsi="Garamond"/>
          <w:b/>
          <w:sz w:val="22"/>
          <w:szCs w:val="22"/>
        </w:rPr>
        <w:t xml:space="preserve">approach </w:t>
      </w:r>
      <w:r w:rsidR="006603F1" w:rsidRPr="006603F1">
        <w:rPr>
          <w:rFonts w:ascii="Garamond" w:hAnsi="Garamond"/>
          <w:b/>
          <w:sz w:val="22"/>
          <w:szCs w:val="22"/>
        </w:rPr>
        <w:t xml:space="preserve">the target and </w:t>
      </w:r>
      <w:r w:rsidR="00960284">
        <w:rPr>
          <w:rFonts w:ascii="Garamond" w:hAnsi="Garamond"/>
          <w:b/>
          <w:sz w:val="22"/>
          <w:szCs w:val="22"/>
        </w:rPr>
        <w:t xml:space="preserve">will </w:t>
      </w:r>
      <w:r w:rsidR="006603F1" w:rsidRPr="006603F1">
        <w:rPr>
          <w:rFonts w:ascii="Garamond" w:hAnsi="Garamond"/>
          <w:b/>
          <w:sz w:val="22"/>
          <w:szCs w:val="22"/>
        </w:rPr>
        <w:t xml:space="preserve">stabilize </w:t>
      </w:r>
      <w:r w:rsidR="00960284">
        <w:rPr>
          <w:rFonts w:ascii="Garamond" w:hAnsi="Garamond"/>
          <w:b/>
          <w:sz w:val="22"/>
          <w:szCs w:val="22"/>
        </w:rPr>
        <w:t>around it in</w:t>
      </w:r>
      <w:r w:rsidR="006603F1" w:rsidRPr="006603F1">
        <w:rPr>
          <w:rFonts w:ascii="Garamond" w:hAnsi="Garamond"/>
          <w:b/>
          <w:sz w:val="22"/>
          <w:szCs w:val="22"/>
        </w:rPr>
        <w:t xml:space="preserve"> the forecast horizon.</w:t>
      </w:r>
      <w:r w:rsidR="0073595A">
        <w:rPr>
          <w:rFonts w:ascii="Garamond" w:hAnsi="Garamond"/>
          <w:b/>
          <w:sz w:val="22"/>
          <w:szCs w:val="22"/>
        </w:rPr>
        <w:t xml:space="preserve"> </w:t>
      </w:r>
    </w:p>
    <w:tbl>
      <w:tblPr>
        <w:tblStyle w:val="TableGrid"/>
        <w:tblW w:w="0" w:type="auto"/>
        <w:tblLook w:val="04A0" w:firstRow="1" w:lastRow="0" w:firstColumn="1" w:lastColumn="0" w:noHBand="0" w:noVBand="1"/>
      </w:tblPr>
      <w:tblGrid>
        <w:gridCol w:w="6204"/>
      </w:tblGrid>
      <w:tr w:rsidR="00994D66" w:rsidRPr="00AB24C1" w14:paraId="2AEA0595" w14:textId="77777777" w:rsidTr="00F72D24">
        <w:tc>
          <w:tcPr>
            <w:tcW w:w="6204" w:type="dxa"/>
          </w:tcPr>
          <w:p w14:paraId="79C8E444" w14:textId="77777777" w:rsidR="00994D66" w:rsidRPr="002D6DE0" w:rsidRDefault="002D6DE0" w:rsidP="009E1166">
            <w:pPr>
              <w:autoSpaceDE w:val="0"/>
              <w:autoSpaceDN w:val="0"/>
              <w:adjustRightInd w:val="0"/>
              <w:spacing w:after="120" w:line="360" w:lineRule="auto"/>
              <w:jc w:val="both"/>
              <w:rPr>
                <w:rFonts w:ascii="Garamond" w:hAnsi="Garamond"/>
                <w:color w:val="0070C0"/>
                <w:sz w:val="20"/>
                <w:szCs w:val="20"/>
              </w:rPr>
            </w:pPr>
            <w:r w:rsidRPr="002D6DE0">
              <w:rPr>
                <w:rFonts w:ascii="Garamond" w:hAnsi="Garamond"/>
                <w:color w:val="0070C0"/>
                <w:sz w:val="20"/>
                <w:szCs w:val="20"/>
              </w:rPr>
              <w:t xml:space="preserve">In the first quarter of 2019, the inflation persists at a relatively low level, largely incurring the impact of </w:t>
            </w:r>
            <w:r w:rsidR="009E1166">
              <w:rPr>
                <w:rFonts w:ascii="Garamond" w:hAnsi="Garamond"/>
                <w:color w:val="0070C0"/>
                <w:sz w:val="20"/>
                <w:szCs w:val="20"/>
              </w:rPr>
              <w:t xml:space="preserve">a weak </w:t>
            </w:r>
            <w:r w:rsidRPr="002D6DE0">
              <w:rPr>
                <w:rFonts w:ascii="Garamond" w:hAnsi="Garamond"/>
                <w:color w:val="0070C0"/>
                <w:sz w:val="20"/>
                <w:szCs w:val="20"/>
              </w:rPr>
              <w:t>demand</w:t>
            </w:r>
            <w:r>
              <w:rPr>
                <w:rFonts w:ascii="Garamond" w:hAnsi="Garamond"/>
                <w:color w:val="0070C0"/>
                <w:sz w:val="20"/>
                <w:szCs w:val="20"/>
              </w:rPr>
              <w:t>.</w:t>
            </w:r>
          </w:p>
        </w:tc>
      </w:tr>
    </w:tbl>
    <w:p w14:paraId="6EE4E8C9" w14:textId="77777777" w:rsidR="000E1DC6" w:rsidRDefault="000E1DC6" w:rsidP="000E1DC6">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 xml:space="preserve"> </w:t>
      </w:r>
    </w:p>
    <w:tbl>
      <w:tblPr>
        <w:tblStyle w:val="TableGrid"/>
        <w:tblW w:w="0" w:type="auto"/>
        <w:tblLook w:val="04A0" w:firstRow="1" w:lastRow="0" w:firstColumn="1" w:lastColumn="0" w:noHBand="0" w:noVBand="1"/>
      </w:tblPr>
      <w:tblGrid>
        <w:gridCol w:w="6204"/>
      </w:tblGrid>
      <w:tr w:rsidR="000E1DC6" w:rsidRPr="00AB24C1" w14:paraId="097B661C" w14:textId="77777777" w:rsidTr="00650CEB">
        <w:tc>
          <w:tcPr>
            <w:tcW w:w="6204" w:type="dxa"/>
          </w:tcPr>
          <w:p w14:paraId="5EC3680B" w14:textId="77777777" w:rsidR="000E1DC6" w:rsidRPr="00BC3332" w:rsidRDefault="002D6DE0" w:rsidP="000E1DC6">
            <w:pPr>
              <w:autoSpaceDE w:val="0"/>
              <w:autoSpaceDN w:val="0"/>
              <w:adjustRightInd w:val="0"/>
              <w:spacing w:after="120" w:line="360" w:lineRule="auto"/>
              <w:jc w:val="both"/>
              <w:rPr>
                <w:rFonts w:ascii="Garamond" w:hAnsi="Garamond"/>
                <w:color w:val="0070C0"/>
                <w:sz w:val="20"/>
                <w:szCs w:val="20"/>
              </w:rPr>
            </w:pPr>
            <w:r w:rsidRPr="00053B34">
              <w:rPr>
                <w:rFonts w:ascii="Garamond" w:hAnsi="Garamond"/>
                <w:color w:val="0070C0"/>
                <w:sz w:val="20"/>
                <w:szCs w:val="20"/>
              </w:rPr>
              <w:t>In the first quarter of 2019, the Central Bank increased the monetary stimulus by cutting the refinancing rate by 0.25 pp to 5.75%.</w:t>
            </w:r>
          </w:p>
        </w:tc>
      </w:tr>
    </w:tbl>
    <w:p w14:paraId="5E08FA2A" w14:textId="77777777" w:rsidR="000E1DC6" w:rsidRPr="00EE5F0F" w:rsidRDefault="000E1DC6" w:rsidP="000E1DC6">
      <w:pPr>
        <w:autoSpaceDE w:val="0"/>
        <w:autoSpaceDN w:val="0"/>
        <w:adjustRightInd w:val="0"/>
        <w:spacing w:after="120" w:line="360" w:lineRule="auto"/>
        <w:jc w:val="both"/>
        <w:rPr>
          <w:rFonts w:ascii="Garamond" w:hAnsi="Garamond"/>
          <w:sz w:val="22"/>
          <w:szCs w:val="22"/>
        </w:rPr>
      </w:pPr>
    </w:p>
    <w:p w14:paraId="19720DBA" w14:textId="77777777" w:rsidR="00E11C2C" w:rsidRDefault="004B23F0" w:rsidP="00EE619D">
      <w:pPr>
        <w:autoSpaceDE w:val="0"/>
        <w:autoSpaceDN w:val="0"/>
        <w:adjustRightInd w:val="0"/>
        <w:spacing w:after="120" w:line="360" w:lineRule="auto"/>
        <w:jc w:val="both"/>
        <w:rPr>
          <w:rFonts w:ascii="Garamond" w:hAnsi="Garamond"/>
          <w:b/>
          <w:sz w:val="22"/>
          <w:szCs w:val="22"/>
        </w:rPr>
      </w:pPr>
      <w:r>
        <w:rPr>
          <w:rFonts w:ascii="Garamond" w:hAnsi="Garamond"/>
          <w:sz w:val="22"/>
          <w:szCs w:val="22"/>
        </w:rPr>
        <w:t xml:space="preserve">In the </w:t>
      </w:r>
      <w:r w:rsidR="009E1166">
        <w:rPr>
          <w:rFonts w:ascii="Garamond" w:hAnsi="Garamond"/>
          <w:sz w:val="22"/>
          <w:szCs w:val="22"/>
        </w:rPr>
        <w:t>fourth</w:t>
      </w:r>
      <w:r>
        <w:rPr>
          <w:rFonts w:ascii="Garamond" w:hAnsi="Garamond"/>
          <w:sz w:val="22"/>
          <w:szCs w:val="22"/>
        </w:rPr>
        <w:t xml:space="preserve"> quarter of 2018, relative to the </w:t>
      </w:r>
      <w:r w:rsidR="009E1166">
        <w:rPr>
          <w:rFonts w:ascii="Garamond" w:hAnsi="Garamond"/>
          <w:sz w:val="22"/>
          <w:szCs w:val="22"/>
        </w:rPr>
        <w:t>third</w:t>
      </w:r>
      <w:r>
        <w:rPr>
          <w:rFonts w:ascii="Garamond" w:hAnsi="Garamond"/>
          <w:sz w:val="22"/>
          <w:szCs w:val="22"/>
        </w:rPr>
        <w:t xml:space="preserve"> quarter, </w:t>
      </w:r>
      <w:r w:rsidR="009E1166">
        <w:rPr>
          <w:rFonts w:ascii="Garamond" w:hAnsi="Garamond"/>
          <w:sz w:val="22"/>
          <w:szCs w:val="22"/>
        </w:rPr>
        <w:t xml:space="preserve">the </w:t>
      </w:r>
      <w:r w:rsidR="002B1812" w:rsidRPr="00EE5F0F">
        <w:rPr>
          <w:rFonts w:ascii="Garamond" w:hAnsi="Garamond"/>
          <w:sz w:val="22"/>
          <w:szCs w:val="22"/>
        </w:rPr>
        <w:t xml:space="preserve">economic activity </w:t>
      </w:r>
      <w:r w:rsidR="009E1166">
        <w:rPr>
          <w:rFonts w:ascii="Garamond" w:hAnsi="Garamond"/>
          <w:sz w:val="22"/>
          <w:szCs w:val="22"/>
        </w:rPr>
        <w:t>indicators have somewhat improved</w:t>
      </w:r>
      <w:r>
        <w:rPr>
          <w:rFonts w:ascii="Garamond" w:hAnsi="Garamond"/>
          <w:sz w:val="22"/>
          <w:szCs w:val="22"/>
        </w:rPr>
        <w:t>, according to t</w:t>
      </w:r>
      <w:r w:rsidRPr="00EE5F0F">
        <w:rPr>
          <w:rFonts w:ascii="Garamond" w:hAnsi="Garamond"/>
          <w:sz w:val="22"/>
          <w:szCs w:val="22"/>
        </w:rPr>
        <w:t>he Central Bank estimate</w:t>
      </w:r>
      <w:r w:rsidRPr="001F3FCB">
        <w:rPr>
          <w:rFonts w:ascii="Garamond" w:hAnsi="Garamond"/>
          <w:sz w:val="22"/>
          <w:szCs w:val="22"/>
        </w:rPr>
        <w:t xml:space="preserve">s, which is explained mainly by </w:t>
      </w:r>
      <w:r w:rsidR="001F3FCB">
        <w:rPr>
          <w:rFonts w:ascii="Garamond" w:hAnsi="Garamond"/>
          <w:sz w:val="22"/>
          <w:szCs w:val="22"/>
        </w:rPr>
        <w:t>favorable developments in</w:t>
      </w:r>
      <w:r w:rsidRPr="001F3FCB">
        <w:rPr>
          <w:rFonts w:ascii="Garamond" w:hAnsi="Garamond"/>
          <w:sz w:val="22"/>
          <w:szCs w:val="22"/>
        </w:rPr>
        <w:t xml:space="preserve"> the </w:t>
      </w:r>
      <w:r w:rsidR="001F3FCB">
        <w:rPr>
          <w:rFonts w:ascii="Garamond" w:hAnsi="Garamond"/>
          <w:sz w:val="22"/>
          <w:szCs w:val="22"/>
        </w:rPr>
        <w:t xml:space="preserve">services and trade </w:t>
      </w:r>
      <w:r w:rsidRPr="001F3FCB">
        <w:rPr>
          <w:rFonts w:ascii="Garamond" w:hAnsi="Garamond"/>
          <w:sz w:val="22"/>
          <w:szCs w:val="22"/>
        </w:rPr>
        <w:t>sector</w:t>
      </w:r>
      <w:r w:rsidR="001F3FCB">
        <w:rPr>
          <w:rFonts w:ascii="Garamond" w:hAnsi="Garamond"/>
          <w:sz w:val="22"/>
          <w:szCs w:val="22"/>
        </w:rPr>
        <w:t>s</w:t>
      </w:r>
      <w:r w:rsidRPr="001F3FCB">
        <w:rPr>
          <w:rFonts w:ascii="Garamond" w:hAnsi="Garamond"/>
          <w:sz w:val="22"/>
          <w:szCs w:val="22"/>
        </w:rPr>
        <w:t>.</w:t>
      </w:r>
      <w:r w:rsidR="005E041F" w:rsidRPr="001F3FCB">
        <w:rPr>
          <w:rFonts w:ascii="Garamond" w:hAnsi="Garamond"/>
          <w:sz w:val="22"/>
          <w:szCs w:val="22"/>
        </w:rPr>
        <w:t xml:space="preserve"> </w:t>
      </w:r>
      <w:r w:rsidR="000046DB">
        <w:rPr>
          <w:rFonts w:ascii="Garamond" w:hAnsi="Garamond"/>
          <w:sz w:val="22"/>
          <w:szCs w:val="22"/>
        </w:rPr>
        <w:t>With an o</w:t>
      </w:r>
      <w:r w:rsidR="000046DB" w:rsidRPr="001F3FCB">
        <w:rPr>
          <w:rFonts w:ascii="Garamond" w:hAnsi="Garamond"/>
          <w:sz w:val="22"/>
          <w:szCs w:val="22"/>
        </w:rPr>
        <w:t xml:space="preserve">verall positive </w:t>
      </w:r>
      <w:r w:rsidR="000046DB">
        <w:rPr>
          <w:rFonts w:ascii="Garamond" w:hAnsi="Garamond"/>
          <w:sz w:val="22"/>
          <w:szCs w:val="22"/>
        </w:rPr>
        <w:t xml:space="preserve">performance of </w:t>
      </w:r>
      <w:r w:rsidR="000046DB" w:rsidRPr="001F3FCB">
        <w:rPr>
          <w:rFonts w:ascii="Garamond" w:hAnsi="Garamond"/>
          <w:sz w:val="22"/>
          <w:szCs w:val="22"/>
        </w:rPr>
        <w:t>recorded indic</w:t>
      </w:r>
      <w:r w:rsidR="000046DB">
        <w:rPr>
          <w:rFonts w:ascii="Garamond" w:hAnsi="Garamond"/>
          <w:sz w:val="22"/>
          <w:szCs w:val="22"/>
        </w:rPr>
        <w:t>ators,</w:t>
      </w:r>
      <w:r w:rsidR="000046DB" w:rsidRPr="001F3FCB">
        <w:rPr>
          <w:rFonts w:ascii="Garamond" w:hAnsi="Garamond"/>
          <w:sz w:val="22"/>
          <w:szCs w:val="22"/>
        </w:rPr>
        <w:t xml:space="preserve"> </w:t>
      </w:r>
      <w:r w:rsidR="000046DB">
        <w:rPr>
          <w:rFonts w:ascii="Garamond" w:hAnsi="Garamond"/>
          <w:sz w:val="22"/>
          <w:szCs w:val="22"/>
        </w:rPr>
        <w:t>t</w:t>
      </w:r>
      <w:r w:rsidR="001F3FCB" w:rsidRPr="001F3FCB">
        <w:rPr>
          <w:rFonts w:ascii="Garamond" w:hAnsi="Garamond"/>
          <w:sz w:val="22"/>
          <w:szCs w:val="22"/>
        </w:rPr>
        <w:t>he level of private spending has not changed substantially</w:t>
      </w:r>
      <w:r w:rsidR="000046DB">
        <w:rPr>
          <w:rFonts w:ascii="Garamond" w:hAnsi="Garamond"/>
          <w:sz w:val="22"/>
          <w:szCs w:val="22"/>
        </w:rPr>
        <w:t>,</w:t>
      </w:r>
      <w:r w:rsidR="001F3FCB">
        <w:rPr>
          <w:rFonts w:ascii="Garamond" w:hAnsi="Garamond"/>
          <w:sz w:val="22"/>
          <w:szCs w:val="22"/>
        </w:rPr>
        <w:t xml:space="preserve"> yet t</w:t>
      </w:r>
      <w:r w:rsidR="001F3FCB" w:rsidRPr="001F3FCB">
        <w:rPr>
          <w:rFonts w:ascii="Garamond" w:hAnsi="Garamond"/>
          <w:sz w:val="22"/>
          <w:szCs w:val="22"/>
        </w:rPr>
        <w:t xml:space="preserve">here has been a </w:t>
      </w:r>
      <w:r w:rsidR="001F3FCB">
        <w:rPr>
          <w:rFonts w:ascii="Garamond" w:hAnsi="Garamond"/>
          <w:sz w:val="22"/>
          <w:szCs w:val="22"/>
        </w:rPr>
        <w:t xml:space="preserve">certain shift in </w:t>
      </w:r>
      <w:r w:rsidR="001F3FCB" w:rsidRPr="001F3FCB">
        <w:rPr>
          <w:rFonts w:ascii="Garamond" w:hAnsi="Garamond"/>
          <w:sz w:val="22"/>
          <w:szCs w:val="22"/>
        </w:rPr>
        <w:t>demand component</w:t>
      </w:r>
      <w:r w:rsidR="001F3FCB">
        <w:rPr>
          <w:rFonts w:ascii="Garamond" w:hAnsi="Garamond"/>
          <w:sz w:val="22"/>
          <w:szCs w:val="22"/>
        </w:rPr>
        <w:t>s</w:t>
      </w:r>
      <w:r w:rsidR="000046DB">
        <w:rPr>
          <w:rFonts w:ascii="Garamond" w:hAnsi="Garamond"/>
          <w:sz w:val="22"/>
          <w:szCs w:val="22"/>
        </w:rPr>
        <w:t xml:space="preserve"> as </w:t>
      </w:r>
      <w:r w:rsidR="001F3FCB" w:rsidRPr="001F3FCB">
        <w:rPr>
          <w:rFonts w:ascii="Garamond" w:hAnsi="Garamond"/>
          <w:sz w:val="22"/>
          <w:szCs w:val="22"/>
        </w:rPr>
        <w:t xml:space="preserve">private consumption growth rates </w:t>
      </w:r>
      <w:r w:rsidR="000046DB">
        <w:rPr>
          <w:rFonts w:ascii="Garamond" w:hAnsi="Garamond"/>
          <w:sz w:val="22"/>
          <w:szCs w:val="22"/>
        </w:rPr>
        <w:t>speeded up on the back of</w:t>
      </w:r>
      <w:r w:rsidR="001F3FCB" w:rsidRPr="001F3FCB">
        <w:rPr>
          <w:rFonts w:ascii="Garamond" w:hAnsi="Garamond"/>
          <w:sz w:val="22"/>
          <w:szCs w:val="22"/>
        </w:rPr>
        <w:t xml:space="preserve"> </w:t>
      </w:r>
      <w:r w:rsidR="00FF4531">
        <w:rPr>
          <w:rFonts w:ascii="Garamond" w:hAnsi="Garamond"/>
          <w:sz w:val="22"/>
          <w:szCs w:val="22"/>
        </w:rPr>
        <w:t xml:space="preserve">robust </w:t>
      </w:r>
      <w:r w:rsidR="001F3FCB" w:rsidRPr="001F3FCB">
        <w:rPr>
          <w:rFonts w:ascii="Garamond" w:hAnsi="Garamond"/>
          <w:sz w:val="22"/>
          <w:szCs w:val="22"/>
        </w:rPr>
        <w:t>investment growth rates</w:t>
      </w:r>
      <w:r w:rsidR="000046DB">
        <w:rPr>
          <w:rFonts w:ascii="Garamond" w:hAnsi="Garamond"/>
          <w:sz w:val="22"/>
          <w:szCs w:val="22"/>
        </w:rPr>
        <w:t xml:space="preserve"> </w:t>
      </w:r>
      <w:r w:rsidR="00D94160">
        <w:rPr>
          <w:rFonts w:ascii="Garamond" w:hAnsi="Garamond"/>
          <w:sz w:val="22"/>
          <w:szCs w:val="22"/>
        </w:rPr>
        <w:t xml:space="preserve">having </w:t>
      </w:r>
      <w:r w:rsidR="000046DB">
        <w:rPr>
          <w:rFonts w:ascii="Garamond" w:hAnsi="Garamond"/>
          <w:sz w:val="22"/>
          <w:szCs w:val="22"/>
        </w:rPr>
        <w:t xml:space="preserve">slowed down. </w:t>
      </w:r>
      <w:r w:rsidR="00C44EA4">
        <w:rPr>
          <w:rFonts w:ascii="Garamond" w:hAnsi="Garamond"/>
          <w:sz w:val="22"/>
          <w:szCs w:val="22"/>
        </w:rPr>
        <w:t>A</w:t>
      </w:r>
      <w:r w:rsidR="00376372">
        <w:rPr>
          <w:rFonts w:ascii="Garamond" w:hAnsi="Garamond"/>
          <w:sz w:val="22"/>
          <w:szCs w:val="22"/>
        </w:rPr>
        <w:t>t the same time, a</w:t>
      </w:r>
      <w:r w:rsidR="00C44EA4" w:rsidRPr="00225D1F">
        <w:rPr>
          <w:rFonts w:ascii="Garamond" w:hAnsi="Garamond"/>
          <w:sz w:val="22"/>
          <w:szCs w:val="22"/>
        </w:rPr>
        <w:t xml:space="preserve">ggregate demand </w:t>
      </w:r>
      <w:r w:rsidR="00C44EA4">
        <w:rPr>
          <w:rFonts w:ascii="Garamond" w:hAnsi="Garamond"/>
          <w:sz w:val="22"/>
          <w:szCs w:val="22"/>
        </w:rPr>
        <w:t>remain</w:t>
      </w:r>
      <w:r w:rsidR="00376372">
        <w:rPr>
          <w:rFonts w:ascii="Garamond" w:hAnsi="Garamond"/>
          <w:sz w:val="22"/>
          <w:szCs w:val="22"/>
        </w:rPr>
        <w:t>ed</w:t>
      </w:r>
      <w:r w:rsidR="00C44EA4">
        <w:rPr>
          <w:rFonts w:ascii="Garamond" w:hAnsi="Garamond"/>
          <w:sz w:val="22"/>
          <w:szCs w:val="22"/>
        </w:rPr>
        <w:t xml:space="preserve"> incurring the </w:t>
      </w:r>
      <w:r w:rsidR="00C44EA4" w:rsidRPr="00225D1F">
        <w:rPr>
          <w:rFonts w:ascii="Garamond" w:hAnsi="Garamond"/>
          <w:sz w:val="22"/>
          <w:szCs w:val="22"/>
        </w:rPr>
        <w:t xml:space="preserve">significant </w:t>
      </w:r>
      <w:r w:rsidR="00C44EA4">
        <w:rPr>
          <w:rFonts w:ascii="Garamond" w:hAnsi="Garamond"/>
          <w:sz w:val="22"/>
          <w:szCs w:val="22"/>
        </w:rPr>
        <w:t xml:space="preserve">contractionary impact of public demand, </w:t>
      </w:r>
      <w:r w:rsidR="00C44EA4" w:rsidRPr="00C44EA4">
        <w:rPr>
          <w:rFonts w:ascii="Garamond" w:hAnsi="Garamond"/>
          <w:sz w:val="22"/>
          <w:szCs w:val="22"/>
        </w:rPr>
        <w:t xml:space="preserve">which is </w:t>
      </w:r>
      <w:r w:rsidR="00C44EA4">
        <w:rPr>
          <w:rFonts w:ascii="Garamond" w:hAnsi="Garamond"/>
          <w:sz w:val="22"/>
          <w:szCs w:val="22"/>
        </w:rPr>
        <w:t xml:space="preserve">attributable to </w:t>
      </w:r>
      <w:r w:rsidR="00376372" w:rsidRPr="00C44EA4">
        <w:rPr>
          <w:rFonts w:ascii="Garamond" w:hAnsi="Garamond"/>
          <w:sz w:val="22"/>
          <w:szCs w:val="22"/>
        </w:rPr>
        <w:t xml:space="preserve">budget </w:t>
      </w:r>
      <w:r w:rsidR="00376372">
        <w:rPr>
          <w:rFonts w:ascii="Garamond" w:hAnsi="Garamond"/>
          <w:sz w:val="22"/>
          <w:szCs w:val="22"/>
        </w:rPr>
        <w:t>revenue’s tightening effect</w:t>
      </w:r>
      <w:r w:rsidR="00C44EA4" w:rsidRPr="00C44EA4">
        <w:rPr>
          <w:rFonts w:ascii="Garamond" w:hAnsi="Garamond"/>
          <w:sz w:val="22"/>
          <w:szCs w:val="22"/>
        </w:rPr>
        <w:t>.</w:t>
      </w:r>
      <w:r w:rsidR="00C44EA4">
        <w:rPr>
          <w:rFonts w:ascii="Garamond" w:hAnsi="Garamond"/>
          <w:sz w:val="22"/>
          <w:szCs w:val="22"/>
        </w:rPr>
        <w:t xml:space="preserve"> </w:t>
      </w:r>
      <w:r w:rsidR="00725034" w:rsidRPr="00EE5F0F">
        <w:rPr>
          <w:rFonts w:ascii="Garamond" w:hAnsi="Garamond"/>
          <w:sz w:val="22"/>
          <w:szCs w:val="22"/>
        </w:rPr>
        <w:t>As a result, the GDP gap is estimated</w:t>
      </w:r>
      <w:r w:rsidR="002A546C">
        <w:rPr>
          <w:rFonts w:ascii="Garamond" w:hAnsi="Garamond"/>
          <w:sz w:val="22"/>
          <w:szCs w:val="22"/>
        </w:rPr>
        <w:t xml:space="preserve"> </w:t>
      </w:r>
      <w:r w:rsidR="00D94160">
        <w:rPr>
          <w:rFonts w:ascii="Garamond" w:hAnsi="Garamond"/>
          <w:sz w:val="22"/>
          <w:szCs w:val="22"/>
        </w:rPr>
        <w:t xml:space="preserve">markedly </w:t>
      </w:r>
      <w:r w:rsidR="00C44EA4">
        <w:rPr>
          <w:rFonts w:ascii="Garamond" w:hAnsi="Garamond"/>
          <w:sz w:val="22"/>
          <w:szCs w:val="22"/>
        </w:rPr>
        <w:t xml:space="preserve">negative </w:t>
      </w:r>
      <w:r w:rsidR="00D94160">
        <w:rPr>
          <w:rFonts w:ascii="Garamond" w:hAnsi="Garamond"/>
          <w:sz w:val="22"/>
          <w:szCs w:val="22"/>
        </w:rPr>
        <w:t xml:space="preserve">for </w:t>
      </w:r>
      <w:r w:rsidR="00725034" w:rsidRPr="00EE5F0F">
        <w:rPr>
          <w:rFonts w:ascii="Garamond" w:hAnsi="Garamond"/>
          <w:sz w:val="22"/>
          <w:szCs w:val="22"/>
        </w:rPr>
        <w:t xml:space="preserve">the </w:t>
      </w:r>
      <w:r w:rsidR="00D94160">
        <w:rPr>
          <w:rFonts w:ascii="Garamond" w:hAnsi="Garamond"/>
          <w:sz w:val="22"/>
          <w:szCs w:val="22"/>
        </w:rPr>
        <w:t>fourth</w:t>
      </w:r>
      <w:r w:rsidR="00725034" w:rsidRPr="00EE5F0F">
        <w:rPr>
          <w:rFonts w:ascii="Garamond" w:hAnsi="Garamond"/>
          <w:sz w:val="22"/>
          <w:szCs w:val="22"/>
        </w:rPr>
        <w:t xml:space="preserve"> quarter of 201</w:t>
      </w:r>
      <w:r w:rsidR="00E8514A" w:rsidRPr="00EE5F0F">
        <w:rPr>
          <w:rFonts w:ascii="Garamond" w:hAnsi="Garamond"/>
          <w:sz w:val="22"/>
          <w:szCs w:val="22"/>
        </w:rPr>
        <w:t>8</w:t>
      </w:r>
      <w:r w:rsidR="00C44EA4">
        <w:rPr>
          <w:rFonts w:ascii="Garamond" w:hAnsi="Garamond"/>
          <w:sz w:val="22"/>
          <w:szCs w:val="22"/>
        </w:rPr>
        <w:t xml:space="preserve">; there is expectation that it will </w:t>
      </w:r>
      <w:r w:rsidR="00497D16">
        <w:rPr>
          <w:rFonts w:ascii="Garamond" w:hAnsi="Garamond"/>
          <w:sz w:val="22"/>
          <w:szCs w:val="22"/>
        </w:rPr>
        <w:t xml:space="preserve">stay in the negative territory </w:t>
      </w:r>
      <w:r w:rsidR="00D94160">
        <w:rPr>
          <w:rFonts w:ascii="Garamond" w:hAnsi="Garamond"/>
          <w:sz w:val="22"/>
          <w:szCs w:val="22"/>
        </w:rPr>
        <w:t xml:space="preserve">up </w:t>
      </w:r>
      <w:r w:rsidR="00497D16" w:rsidRPr="00497D16">
        <w:rPr>
          <w:rFonts w:ascii="Garamond" w:hAnsi="Garamond"/>
          <w:sz w:val="22"/>
          <w:szCs w:val="22"/>
        </w:rPr>
        <w:t xml:space="preserve">until the end of </w:t>
      </w:r>
      <w:r w:rsidR="00D94160">
        <w:rPr>
          <w:rFonts w:ascii="Garamond" w:hAnsi="Garamond"/>
          <w:sz w:val="22"/>
          <w:szCs w:val="22"/>
        </w:rPr>
        <w:t>2019 and</w:t>
      </w:r>
      <w:r w:rsidR="00497D16" w:rsidRPr="00497D16">
        <w:rPr>
          <w:rFonts w:ascii="Garamond" w:hAnsi="Garamond"/>
          <w:sz w:val="22"/>
          <w:szCs w:val="22"/>
        </w:rPr>
        <w:t xml:space="preserve"> </w:t>
      </w:r>
      <w:r w:rsidR="00497D16">
        <w:rPr>
          <w:rFonts w:ascii="Garamond" w:hAnsi="Garamond"/>
          <w:sz w:val="22"/>
          <w:szCs w:val="22"/>
        </w:rPr>
        <w:t xml:space="preserve">will </w:t>
      </w:r>
      <w:r w:rsidR="00D94160">
        <w:rPr>
          <w:rFonts w:ascii="Garamond" w:hAnsi="Garamond"/>
          <w:sz w:val="22"/>
          <w:szCs w:val="22"/>
        </w:rPr>
        <w:t xml:space="preserve">only </w:t>
      </w:r>
      <w:r w:rsidR="004B3275">
        <w:rPr>
          <w:rFonts w:ascii="Garamond" w:hAnsi="Garamond"/>
          <w:sz w:val="22"/>
          <w:szCs w:val="22"/>
        </w:rPr>
        <w:t xml:space="preserve">be </w:t>
      </w:r>
      <w:r w:rsidR="00497D16" w:rsidRPr="00497D16">
        <w:rPr>
          <w:rFonts w:ascii="Garamond" w:hAnsi="Garamond"/>
          <w:sz w:val="22"/>
          <w:szCs w:val="22"/>
        </w:rPr>
        <w:t xml:space="preserve">gradually </w:t>
      </w:r>
      <w:r w:rsidR="00D94160">
        <w:rPr>
          <w:rFonts w:ascii="Garamond" w:hAnsi="Garamond"/>
          <w:sz w:val="22"/>
          <w:szCs w:val="22"/>
        </w:rPr>
        <w:t xml:space="preserve">phasing out to </w:t>
      </w:r>
      <w:r w:rsidR="00497D16">
        <w:rPr>
          <w:rFonts w:ascii="Garamond" w:hAnsi="Garamond"/>
          <w:sz w:val="22"/>
          <w:szCs w:val="22"/>
        </w:rPr>
        <w:t>zero in 20</w:t>
      </w:r>
      <w:r w:rsidR="00D94160">
        <w:rPr>
          <w:rFonts w:ascii="Garamond" w:hAnsi="Garamond"/>
          <w:sz w:val="22"/>
          <w:szCs w:val="22"/>
        </w:rPr>
        <w:t>20</w:t>
      </w:r>
      <w:r w:rsidR="00497D16">
        <w:rPr>
          <w:rFonts w:ascii="Garamond" w:hAnsi="Garamond"/>
          <w:sz w:val="22"/>
          <w:szCs w:val="22"/>
        </w:rPr>
        <w:t xml:space="preserve"> thanks to </w:t>
      </w:r>
      <w:r w:rsidR="00497D16" w:rsidRPr="00497D16">
        <w:rPr>
          <w:rFonts w:ascii="Garamond" w:hAnsi="Garamond"/>
          <w:sz w:val="22"/>
          <w:szCs w:val="22"/>
        </w:rPr>
        <w:t xml:space="preserve">the </w:t>
      </w:r>
      <w:r w:rsidR="00497D16">
        <w:rPr>
          <w:rFonts w:ascii="Garamond" w:hAnsi="Garamond"/>
          <w:sz w:val="22"/>
          <w:szCs w:val="22"/>
        </w:rPr>
        <w:t>expansionary</w:t>
      </w:r>
      <w:r w:rsidR="00497D16" w:rsidRPr="00497D16">
        <w:rPr>
          <w:rFonts w:ascii="Garamond" w:hAnsi="Garamond"/>
          <w:sz w:val="22"/>
          <w:szCs w:val="22"/>
        </w:rPr>
        <w:t xml:space="preserve"> monetary </w:t>
      </w:r>
      <w:r w:rsidR="00497D16" w:rsidRPr="00497D16">
        <w:rPr>
          <w:rFonts w:ascii="Garamond" w:hAnsi="Garamond"/>
          <w:sz w:val="22"/>
          <w:szCs w:val="22"/>
        </w:rPr>
        <w:lastRenderedPageBreak/>
        <w:t>environment</w:t>
      </w:r>
      <w:r w:rsidR="004B3275">
        <w:rPr>
          <w:rFonts w:ascii="Garamond" w:hAnsi="Garamond"/>
          <w:sz w:val="22"/>
          <w:szCs w:val="22"/>
        </w:rPr>
        <w:t xml:space="preserve"> on the one hand, and in the absence of too contractionary </w:t>
      </w:r>
      <w:r w:rsidR="004B3275" w:rsidRPr="004B3275">
        <w:rPr>
          <w:rFonts w:ascii="Garamond" w:hAnsi="Garamond"/>
          <w:sz w:val="22"/>
          <w:szCs w:val="22"/>
        </w:rPr>
        <w:t>fiscal policy</w:t>
      </w:r>
      <w:r w:rsidR="004B3275">
        <w:rPr>
          <w:rFonts w:ascii="Garamond" w:hAnsi="Garamond"/>
          <w:sz w:val="22"/>
          <w:szCs w:val="22"/>
        </w:rPr>
        <w:t xml:space="preserve"> impulses, on the other</w:t>
      </w:r>
      <w:r w:rsidR="00497D16" w:rsidRPr="00497D16">
        <w:rPr>
          <w:rFonts w:ascii="Garamond" w:hAnsi="Garamond"/>
          <w:sz w:val="22"/>
          <w:szCs w:val="22"/>
        </w:rPr>
        <w:t>.</w:t>
      </w:r>
      <w:r w:rsidR="008F2A0D" w:rsidRPr="00EE5F0F">
        <w:rPr>
          <w:rFonts w:ascii="Garamond" w:hAnsi="Garamond"/>
          <w:sz w:val="22"/>
          <w:szCs w:val="22"/>
        </w:rPr>
        <w:t xml:space="preserve"> </w:t>
      </w:r>
      <w:r w:rsidR="00E87D02" w:rsidRPr="00E87D02">
        <w:rPr>
          <w:rFonts w:ascii="Garamond" w:hAnsi="Garamond"/>
          <w:sz w:val="22"/>
          <w:szCs w:val="22"/>
        </w:rPr>
        <w:t>A</w:t>
      </w:r>
      <w:r w:rsidR="00E87D02">
        <w:rPr>
          <w:rFonts w:ascii="Garamond" w:hAnsi="Garamond"/>
          <w:sz w:val="22"/>
          <w:szCs w:val="22"/>
        </w:rPr>
        <w:t xml:space="preserve">s </w:t>
      </w:r>
      <w:r w:rsidR="00E87D02" w:rsidRPr="00E87D02">
        <w:rPr>
          <w:rFonts w:ascii="Garamond" w:hAnsi="Garamond"/>
          <w:sz w:val="22"/>
          <w:szCs w:val="22"/>
        </w:rPr>
        <w:t>the aforementioned developments</w:t>
      </w:r>
      <w:r w:rsidR="00E87D02">
        <w:rPr>
          <w:rFonts w:ascii="Garamond" w:hAnsi="Garamond"/>
          <w:sz w:val="22"/>
          <w:szCs w:val="22"/>
        </w:rPr>
        <w:t xml:space="preserve"> unfold</w:t>
      </w:r>
      <w:r w:rsidR="00E87D02" w:rsidRPr="00E87D02">
        <w:rPr>
          <w:rFonts w:ascii="Garamond" w:hAnsi="Garamond"/>
          <w:sz w:val="22"/>
          <w:szCs w:val="22"/>
        </w:rPr>
        <w:t xml:space="preserve">, </w:t>
      </w:r>
      <w:r w:rsidR="00E87D02">
        <w:rPr>
          <w:rFonts w:ascii="Garamond" w:hAnsi="Garamond"/>
          <w:sz w:val="22"/>
          <w:szCs w:val="22"/>
        </w:rPr>
        <w:t xml:space="preserve">aggregate </w:t>
      </w:r>
      <w:r w:rsidR="00E87D02" w:rsidRPr="00E87D02">
        <w:rPr>
          <w:rFonts w:ascii="Garamond" w:hAnsi="Garamond"/>
          <w:sz w:val="22"/>
          <w:szCs w:val="22"/>
        </w:rPr>
        <w:t xml:space="preserve">demand will also </w:t>
      </w:r>
      <w:r w:rsidR="00E87D02">
        <w:rPr>
          <w:rFonts w:ascii="Garamond" w:hAnsi="Garamond"/>
          <w:sz w:val="22"/>
          <w:szCs w:val="22"/>
        </w:rPr>
        <w:t xml:space="preserve">incur </w:t>
      </w:r>
      <w:r w:rsidR="00560E31">
        <w:rPr>
          <w:rFonts w:ascii="Garamond" w:hAnsi="Garamond"/>
          <w:sz w:val="22"/>
          <w:szCs w:val="22"/>
        </w:rPr>
        <w:t xml:space="preserve">a short-term contractionary </w:t>
      </w:r>
      <w:r w:rsidR="00E87D02">
        <w:rPr>
          <w:rFonts w:ascii="Garamond" w:hAnsi="Garamond"/>
          <w:sz w:val="22"/>
          <w:szCs w:val="22"/>
        </w:rPr>
        <w:t xml:space="preserve">impact of </w:t>
      </w:r>
      <w:r w:rsidR="00560E31">
        <w:rPr>
          <w:rFonts w:ascii="Garamond" w:hAnsi="Garamond"/>
          <w:sz w:val="22"/>
          <w:szCs w:val="22"/>
        </w:rPr>
        <w:t xml:space="preserve">exchange rate </w:t>
      </w:r>
      <w:r w:rsidR="00E87D02" w:rsidRPr="00E87D02">
        <w:rPr>
          <w:rFonts w:ascii="Garamond" w:hAnsi="Garamond"/>
          <w:sz w:val="22"/>
          <w:szCs w:val="22"/>
        </w:rPr>
        <w:t>de</w:t>
      </w:r>
      <w:r w:rsidR="00E87D02">
        <w:rPr>
          <w:rFonts w:ascii="Garamond" w:hAnsi="Garamond"/>
          <w:sz w:val="22"/>
          <w:szCs w:val="22"/>
        </w:rPr>
        <w:t xml:space="preserve">preciation </w:t>
      </w:r>
      <w:r w:rsidR="00BA3A64">
        <w:rPr>
          <w:rFonts w:ascii="Garamond" w:hAnsi="Garamond"/>
          <w:sz w:val="22"/>
          <w:szCs w:val="22"/>
        </w:rPr>
        <w:t>in</w:t>
      </w:r>
      <w:r w:rsidR="00E87D02">
        <w:rPr>
          <w:rFonts w:ascii="Garamond" w:hAnsi="Garamond"/>
          <w:sz w:val="22"/>
          <w:szCs w:val="22"/>
        </w:rPr>
        <w:t xml:space="preserve"> </w:t>
      </w:r>
      <w:r w:rsidR="00E87D02" w:rsidRPr="00E87D02">
        <w:rPr>
          <w:rFonts w:ascii="Garamond" w:hAnsi="Garamond"/>
          <w:sz w:val="22"/>
          <w:szCs w:val="22"/>
        </w:rPr>
        <w:t xml:space="preserve">partner countries, </w:t>
      </w:r>
      <w:r w:rsidR="00560E31">
        <w:rPr>
          <w:rFonts w:ascii="Garamond" w:hAnsi="Garamond"/>
          <w:sz w:val="22"/>
          <w:szCs w:val="22"/>
        </w:rPr>
        <w:t xml:space="preserve">which however </w:t>
      </w:r>
      <w:r w:rsidR="004B3275">
        <w:rPr>
          <w:rFonts w:ascii="Garamond" w:hAnsi="Garamond"/>
          <w:sz w:val="22"/>
          <w:szCs w:val="22"/>
        </w:rPr>
        <w:t xml:space="preserve">will </w:t>
      </w:r>
      <w:r w:rsidR="00560E31">
        <w:rPr>
          <w:rFonts w:ascii="Garamond" w:hAnsi="Garamond"/>
          <w:sz w:val="22"/>
          <w:szCs w:val="22"/>
        </w:rPr>
        <w:t>weaken gradually as external equilibrium rebounds</w:t>
      </w:r>
      <w:r w:rsidR="004B3275">
        <w:rPr>
          <w:rFonts w:ascii="Garamond" w:hAnsi="Garamond"/>
          <w:sz w:val="22"/>
          <w:szCs w:val="22"/>
        </w:rPr>
        <w:t xml:space="preserve"> thanks to Armenia’s low inflationary environment</w:t>
      </w:r>
      <w:r w:rsidR="00830C5F">
        <w:rPr>
          <w:rFonts w:ascii="Garamond" w:hAnsi="Garamond"/>
          <w:sz w:val="22"/>
          <w:szCs w:val="22"/>
        </w:rPr>
        <w:t xml:space="preserve">. </w:t>
      </w:r>
      <w:r w:rsidR="00F357AB" w:rsidRPr="00EE5F0F">
        <w:rPr>
          <w:rFonts w:ascii="Garamond" w:hAnsi="Garamond"/>
          <w:sz w:val="22"/>
          <w:szCs w:val="22"/>
        </w:rPr>
        <w:t xml:space="preserve">In the outcome, </w:t>
      </w:r>
      <w:r w:rsidR="00F235A7" w:rsidRPr="00EE5F0F">
        <w:rPr>
          <w:rFonts w:ascii="Garamond" w:hAnsi="Garamond"/>
          <w:sz w:val="22"/>
          <w:szCs w:val="22"/>
        </w:rPr>
        <w:t xml:space="preserve">inflation </w:t>
      </w:r>
      <w:r w:rsidR="00F235A7">
        <w:rPr>
          <w:rFonts w:ascii="Garamond" w:hAnsi="Garamond"/>
          <w:sz w:val="22"/>
          <w:szCs w:val="22"/>
        </w:rPr>
        <w:t xml:space="preserve">will </w:t>
      </w:r>
      <w:r w:rsidR="00830C5F">
        <w:rPr>
          <w:rFonts w:ascii="Garamond" w:hAnsi="Garamond"/>
          <w:sz w:val="22"/>
          <w:szCs w:val="22"/>
        </w:rPr>
        <w:t xml:space="preserve">also </w:t>
      </w:r>
      <w:r w:rsidR="00F235A7" w:rsidRPr="00EE5F0F">
        <w:rPr>
          <w:rFonts w:ascii="Garamond" w:hAnsi="Garamond"/>
          <w:sz w:val="22"/>
          <w:szCs w:val="22"/>
        </w:rPr>
        <w:t xml:space="preserve">stabilize around the target </w:t>
      </w:r>
      <w:r w:rsidR="00F235A7">
        <w:rPr>
          <w:rFonts w:ascii="Garamond" w:hAnsi="Garamond"/>
          <w:sz w:val="22"/>
          <w:szCs w:val="22"/>
        </w:rPr>
        <w:t>at the end of the forecast horizon.</w:t>
      </w:r>
      <w:r w:rsidR="007E303C">
        <w:rPr>
          <w:rFonts w:ascii="Garamond" w:hAnsi="Garamond"/>
          <w:sz w:val="22"/>
          <w:szCs w:val="22"/>
        </w:rPr>
        <w:t xml:space="preserve"> The </w:t>
      </w:r>
      <w:r w:rsidR="004B3275">
        <w:rPr>
          <w:rFonts w:ascii="Garamond" w:hAnsi="Garamond"/>
          <w:sz w:val="22"/>
          <w:szCs w:val="22"/>
        </w:rPr>
        <w:t xml:space="preserve">households’ </w:t>
      </w:r>
      <w:r w:rsidR="00F235A7" w:rsidRPr="00F235A7">
        <w:rPr>
          <w:rFonts w:ascii="Garamond" w:hAnsi="Garamond"/>
          <w:sz w:val="22"/>
          <w:szCs w:val="22"/>
        </w:rPr>
        <w:t xml:space="preserve">short-term inflation expectations </w:t>
      </w:r>
      <w:r w:rsidR="00830C5F">
        <w:rPr>
          <w:rFonts w:ascii="Garamond" w:hAnsi="Garamond"/>
          <w:sz w:val="22"/>
          <w:szCs w:val="22"/>
        </w:rPr>
        <w:t xml:space="preserve">are estimated to </w:t>
      </w:r>
      <w:r w:rsidR="004B3275">
        <w:rPr>
          <w:rFonts w:ascii="Garamond" w:hAnsi="Garamond"/>
          <w:sz w:val="22"/>
          <w:szCs w:val="22"/>
        </w:rPr>
        <w:t xml:space="preserve">follow </w:t>
      </w:r>
      <w:r w:rsidR="00966255">
        <w:rPr>
          <w:rFonts w:ascii="Garamond" w:hAnsi="Garamond"/>
          <w:sz w:val="22"/>
          <w:szCs w:val="22"/>
        </w:rPr>
        <w:t xml:space="preserve">the inflationary patterns in the light of current inflation developments, including, specifically, </w:t>
      </w:r>
      <w:r w:rsidR="007E303C">
        <w:rPr>
          <w:rFonts w:ascii="Garamond" w:hAnsi="Garamond"/>
          <w:sz w:val="22"/>
          <w:szCs w:val="22"/>
        </w:rPr>
        <w:t>certain slowing of the core inflation rate</w:t>
      </w:r>
      <w:r w:rsidR="00F235A7" w:rsidRPr="00F235A7">
        <w:rPr>
          <w:rFonts w:ascii="Garamond" w:hAnsi="Garamond"/>
          <w:sz w:val="22"/>
          <w:szCs w:val="22"/>
        </w:rPr>
        <w:t>. Nevertheless, the</w:t>
      </w:r>
      <w:r w:rsidR="0020630B">
        <w:rPr>
          <w:rFonts w:ascii="Garamond" w:hAnsi="Garamond"/>
          <w:sz w:val="22"/>
          <w:szCs w:val="22"/>
        </w:rPr>
        <w:t>se expectations wil</w:t>
      </w:r>
      <w:r w:rsidR="00F235A7" w:rsidRPr="00F235A7">
        <w:rPr>
          <w:rFonts w:ascii="Garamond" w:hAnsi="Garamond"/>
          <w:sz w:val="22"/>
          <w:szCs w:val="22"/>
        </w:rPr>
        <w:t>l also stabilize a</w:t>
      </w:r>
      <w:r w:rsidR="0020630B">
        <w:rPr>
          <w:rFonts w:ascii="Garamond" w:hAnsi="Garamond"/>
          <w:sz w:val="22"/>
          <w:szCs w:val="22"/>
        </w:rPr>
        <w:t>round the target as inflation re</w:t>
      </w:r>
      <w:r w:rsidR="007E303C">
        <w:rPr>
          <w:rFonts w:ascii="Garamond" w:hAnsi="Garamond"/>
          <w:sz w:val="22"/>
          <w:szCs w:val="22"/>
        </w:rPr>
        <w:t>covers</w:t>
      </w:r>
      <w:r w:rsidR="0020630B">
        <w:rPr>
          <w:rFonts w:ascii="Garamond" w:hAnsi="Garamond"/>
          <w:sz w:val="22"/>
          <w:szCs w:val="22"/>
        </w:rPr>
        <w:t>.</w:t>
      </w:r>
      <w:r w:rsidR="00966255">
        <w:rPr>
          <w:rFonts w:ascii="Garamond" w:hAnsi="Garamond"/>
          <w:sz w:val="22"/>
          <w:szCs w:val="22"/>
        </w:rPr>
        <w:t xml:space="preserve"> </w:t>
      </w:r>
      <w:r w:rsidR="00966255" w:rsidRPr="00966255">
        <w:rPr>
          <w:rFonts w:ascii="Garamond" w:hAnsi="Garamond"/>
          <w:sz w:val="22"/>
          <w:szCs w:val="22"/>
        </w:rPr>
        <w:t xml:space="preserve">On the other hand, long-term inflation expectations also </w:t>
      </w:r>
      <w:r w:rsidR="00966255">
        <w:rPr>
          <w:rFonts w:ascii="Garamond" w:hAnsi="Garamond"/>
          <w:sz w:val="22"/>
          <w:szCs w:val="22"/>
        </w:rPr>
        <w:t>diminish</w:t>
      </w:r>
      <w:r w:rsidR="00966255" w:rsidRPr="00966255">
        <w:rPr>
          <w:rFonts w:ascii="Garamond" w:hAnsi="Garamond"/>
          <w:sz w:val="22"/>
          <w:szCs w:val="22"/>
        </w:rPr>
        <w:t xml:space="preserve">, </w:t>
      </w:r>
      <w:r w:rsidR="00966255">
        <w:rPr>
          <w:rFonts w:ascii="Garamond" w:hAnsi="Garamond"/>
          <w:sz w:val="22"/>
          <w:szCs w:val="22"/>
        </w:rPr>
        <w:t xml:space="preserve">though </w:t>
      </w:r>
      <w:r w:rsidR="00966255" w:rsidRPr="00966255">
        <w:rPr>
          <w:rFonts w:ascii="Garamond" w:hAnsi="Garamond"/>
          <w:sz w:val="22"/>
          <w:szCs w:val="22"/>
        </w:rPr>
        <w:t>remaining relatively high.</w:t>
      </w:r>
      <w:r w:rsidR="00F235A7" w:rsidRPr="00F235A7">
        <w:rPr>
          <w:rFonts w:ascii="Garamond" w:hAnsi="Garamond"/>
          <w:sz w:val="22"/>
          <w:szCs w:val="22"/>
        </w:rPr>
        <w:t xml:space="preserve"> </w:t>
      </w:r>
      <w:r w:rsidR="00966255" w:rsidRPr="00966255">
        <w:rPr>
          <w:rFonts w:ascii="Garamond" w:hAnsi="Garamond"/>
          <w:b/>
          <w:sz w:val="22"/>
          <w:szCs w:val="22"/>
        </w:rPr>
        <w:t xml:space="preserve">In </w:t>
      </w:r>
      <w:r w:rsidR="00966255">
        <w:rPr>
          <w:rFonts w:ascii="Garamond" w:hAnsi="Garamond"/>
          <w:b/>
          <w:sz w:val="22"/>
          <w:szCs w:val="22"/>
        </w:rPr>
        <w:t xml:space="preserve">such a </w:t>
      </w:r>
      <w:r w:rsidR="00966255" w:rsidRPr="00966255">
        <w:rPr>
          <w:rFonts w:ascii="Garamond" w:hAnsi="Garamond"/>
          <w:b/>
          <w:sz w:val="22"/>
          <w:szCs w:val="22"/>
        </w:rPr>
        <w:t xml:space="preserve">situation, the </w:t>
      </w:r>
      <w:r w:rsidR="00966255">
        <w:rPr>
          <w:rFonts w:ascii="Garamond" w:hAnsi="Garamond"/>
          <w:b/>
          <w:sz w:val="22"/>
          <w:szCs w:val="22"/>
        </w:rPr>
        <w:t>B</w:t>
      </w:r>
      <w:r w:rsidR="00966255" w:rsidRPr="00966255">
        <w:rPr>
          <w:rFonts w:ascii="Garamond" w:hAnsi="Garamond"/>
          <w:b/>
          <w:sz w:val="22"/>
          <w:szCs w:val="22"/>
        </w:rPr>
        <w:t xml:space="preserve">oard </w:t>
      </w:r>
      <w:r w:rsidR="00966255">
        <w:rPr>
          <w:rFonts w:ascii="Garamond" w:hAnsi="Garamond"/>
          <w:b/>
          <w:sz w:val="22"/>
          <w:szCs w:val="22"/>
        </w:rPr>
        <w:t xml:space="preserve">of the Central Bank </w:t>
      </w:r>
      <w:r w:rsidR="00966255" w:rsidRPr="00966255">
        <w:rPr>
          <w:rFonts w:ascii="Garamond" w:hAnsi="Garamond"/>
          <w:b/>
          <w:sz w:val="22"/>
          <w:szCs w:val="22"/>
        </w:rPr>
        <w:t xml:space="preserve">believes that the policy rate </w:t>
      </w:r>
      <w:r w:rsidR="00966255">
        <w:rPr>
          <w:rFonts w:ascii="Garamond" w:hAnsi="Garamond"/>
          <w:b/>
          <w:sz w:val="22"/>
          <w:szCs w:val="22"/>
        </w:rPr>
        <w:t xml:space="preserve">currently </w:t>
      </w:r>
      <w:r w:rsidR="00966255" w:rsidRPr="00966255">
        <w:rPr>
          <w:rFonts w:ascii="Garamond" w:hAnsi="Garamond"/>
          <w:b/>
          <w:sz w:val="22"/>
          <w:szCs w:val="22"/>
        </w:rPr>
        <w:t xml:space="preserve">is </w:t>
      </w:r>
      <w:r w:rsidR="00966255">
        <w:rPr>
          <w:rFonts w:ascii="Garamond" w:hAnsi="Garamond"/>
          <w:b/>
          <w:sz w:val="22"/>
          <w:szCs w:val="22"/>
        </w:rPr>
        <w:t xml:space="preserve">expansionary enough, and abandoning </w:t>
      </w:r>
      <w:r w:rsidR="00966255" w:rsidRPr="00966255">
        <w:rPr>
          <w:rFonts w:ascii="Garamond" w:hAnsi="Garamond"/>
          <w:b/>
          <w:sz w:val="22"/>
          <w:szCs w:val="22"/>
        </w:rPr>
        <w:t xml:space="preserve">the monetary stimulus </w:t>
      </w:r>
      <w:r w:rsidR="00153E9A">
        <w:rPr>
          <w:rFonts w:ascii="Garamond" w:hAnsi="Garamond"/>
          <w:b/>
          <w:sz w:val="22"/>
          <w:szCs w:val="22"/>
        </w:rPr>
        <w:t xml:space="preserve">in view of </w:t>
      </w:r>
      <w:r w:rsidR="00966255" w:rsidRPr="00966255">
        <w:rPr>
          <w:rFonts w:ascii="Garamond" w:hAnsi="Garamond"/>
          <w:b/>
          <w:sz w:val="22"/>
          <w:szCs w:val="22"/>
        </w:rPr>
        <w:t xml:space="preserve">upcoming developments will </w:t>
      </w:r>
      <w:r w:rsidR="00153E9A">
        <w:rPr>
          <w:rFonts w:ascii="Garamond" w:hAnsi="Garamond"/>
          <w:b/>
          <w:sz w:val="22"/>
          <w:szCs w:val="22"/>
        </w:rPr>
        <w:t xml:space="preserve">take a slower pace. </w:t>
      </w:r>
    </w:p>
    <w:p w14:paraId="478564B3" w14:textId="77777777" w:rsidR="00592E4D" w:rsidRDefault="00592E4D" w:rsidP="00EE619D">
      <w:pPr>
        <w:autoSpaceDE w:val="0"/>
        <w:autoSpaceDN w:val="0"/>
        <w:adjustRightInd w:val="0"/>
        <w:spacing w:after="120" w:line="360" w:lineRule="auto"/>
        <w:jc w:val="both"/>
        <w:rPr>
          <w:rFonts w:ascii="Garamond" w:hAnsi="Garamond"/>
          <w:b/>
          <w:color w:val="C00000"/>
          <w:sz w:val="22"/>
          <w:szCs w:val="22"/>
        </w:rPr>
      </w:pPr>
    </w:p>
    <w:p w14:paraId="6374EF7B" w14:textId="77777777" w:rsidR="00972A2E" w:rsidRPr="00972A2E" w:rsidRDefault="00972A2E" w:rsidP="00EE619D">
      <w:pPr>
        <w:autoSpaceDE w:val="0"/>
        <w:autoSpaceDN w:val="0"/>
        <w:adjustRightInd w:val="0"/>
        <w:spacing w:after="120" w:line="360" w:lineRule="auto"/>
        <w:jc w:val="both"/>
        <w:rPr>
          <w:rFonts w:ascii="Garamond" w:hAnsi="Garamond"/>
          <w:b/>
          <w:color w:val="C00000"/>
          <w:sz w:val="22"/>
          <w:szCs w:val="22"/>
        </w:rPr>
      </w:pPr>
      <w:r w:rsidRPr="00972A2E">
        <w:rPr>
          <w:rFonts w:ascii="Garamond" w:hAnsi="Garamond"/>
          <w:b/>
          <w:color w:val="C00000"/>
          <w:sz w:val="22"/>
          <w:szCs w:val="22"/>
        </w:rPr>
        <w:t>Table 1:</w:t>
      </w:r>
    </w:p>
    <w:p w14:paraId="18143454" w14:textId="77777777" w:rsidR="00EE619D" w:rsidRPr="00EE5F0F" w:rsidRDefault="00EE619D" w:rsidP="00EE619D">
      <w:pPr>
        <w:autoSpaceDE w:val="0"/>
        <w:autoSpaceDN w:val="0"/>
        <w:adjustRightInd w:val="0"/>
        <w:spacing w:after="120" w:line="360" w:lineRule="auto"/>
        <w:jc w:val="both"/>
        <w:rPr>
          <w:rFonts w:ascii="Garamond" w:hAnsi="Garamond"/>
          <w:b/>
          <w:bCs/>
          <w:iCs/>
          <w:color w:val="0070C0"/>
          <w:sz w:val="22"/>
          <w:szCs w:val="22"/>
        </w:rPr>
      </w:pPr>
      <w:r w:rsidRPr="00EE5F0F">
        <w:rPr>
          <w:rFonts w:ascii="Garamond" w:hAnsi="Garamond"/>
          <w:b/>
          <w:bCs/>
          <w:iCs/>
          <w:color w:val="0070C0"/>
          <w:sz w:val="22"/>
          <w:szCs w:val="22"/>
        </w:rPr>
        <w:t>2.2.2. Economic activity</w:t>
      </w:r>
      <w:r w:rsidR="00153E9A">
        <w:rPr>
          <w:rStyle w:val="FootnoteReference"/>
          <w:rFonts w:ascii="Garamond" w:hAnsi="Garamond"/>
          <w:b/>
          <w:bCs/>
          <w:iCs/>
          <w:color w:val="0070C0"/>
          <w:sz w:val="22"/>
          <w:szCs w:val="22"/>
        </w:rPr>
        <w:footnoteReference w:customMarkFollows="1" w:id="1"/>
        <w:t>2</w:t>
      </w:r>
    </w:p>
    <w:p w14:paraId="5A282A8B" w14:textId="77777777" w:rsidR="00EE619D"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Aggregate demand:</w:t>
      </w:r>
      <w:r w:rsidRPr="00EE5F0F">
        <w:rPr>
          <w:rFonts w:ascii="Garamond" w:hAnsi="Garamond"/>
          <w:sz w:val="22"/>
          <w:szCs w:val="22"/>
        </w:rPr>
        <w:t xml:space="preserve"> </w:t>
      </w:r>
      <w:r w:rsidR="00153E9A">
        <w:rPr>
          <w:rFonts w:ascii="Garamond" w:hAnsi="Garamond"/>
          <w:sz w:val="22"/>
          <w:szCs w:val="22"/>
        </w:rPr>
        <w:t xml:space="preserve">The 2018 </w:t>
      </w:r>
      <w:r w:rsidR="00CF1885" w:rsidRPr="00650CEB">
        <w:rPr>
          <w:rFonts w:ascii="Garamond" w:hAnsi="Garamond"/>
          <w:sz w:val="22"/>
          <w:szCs w:val="22"/>
        </w:rPr>
        <w:t>economic activity</w:t>
      </w:r>
      <w:r w:rsidR="00CF1885">
        <w:rPr>
          <w:rFonts w:ascii="Garamond" w:hAnsi="Garamond"/>
          <w:sz w:val="22"/>
          <w:szCs w:val="22"/>
        </w:rPr>
        <w:t xml:space="preserve"> </w:t>
      </w:r>
      <w:r w:rsidR="00153E9A">
        <w:rPr>
          <w:rFonts w:ascii="Garamond" w:hAnsi="Garamond"/>
          <w:sz w:val="22"/>
          <w:szCs w:val="22"/>
        </w:rPr>
        <w:t>was mostly driven by robust private spending, which owed</w:t>
      </w:r>
      <w:r w:rsidR="00F4550C">
        <w:rPr>
          <w:rFonts w:ascii="Garamond" w:hAnsi="Garamond"/>
          <w:sz w:val="22"/>
          <w:szCs w:val="22"/>
        </w:rPr>
        <w:t xml:space="preserve"> primarily</w:t>
      </w:r>
      <w:r w:rsidR="00153E9A">
        <w:rPr>
          <w:rFonts w:ascii="Garamond" w:hAnsi="Garamond"/>
          <w:sz w:val="22"/>
          <w:szCs w:val="22"/>
        </w:rPr>
        <w:t xml:space="preserve"> to</w:t>
      </w:r>
      <w:r w:rsidR="00F4550C">
        <w:rPr>
          <w:rFonts w:ascii="Garamond" w:hAnsi="Garamond"/>
          <w:sz w:val="22"/>
          <w:szCs w:val="22"/>
        </w:rPr>
        <w:t xml:space="preserve"> an unprecedented </w:t>
      </w:r>
      <w:r w:rsidR="00F4550C" w:rsidRPr="00650CEB">
        <w:rPr>
          <w:rFonts w:ascii="Garamond" w:hAnsi="Garamond"/>
          <w:sz w:val="22"/>
          <w:szCs w:val="22"/>
        </w:rPr>
        <w:t xml:space="preserve">high growth </w:t>
      </w:r>
      <w:r w:rsidR="00F4550C">
        <w:rPr>
          <w:rFonts w:ascii="Garamond" w:hAnsi="Garamond"/>
          <w:sz w:val="22"/>
          <w:szCs w:val="22"/>
        </w:rPr>
        <w:t xml:space="preserve">of </w:t>
      </w:r>
      <w:r w:rsidR="00F4550C" w:rsidRPr="00650CEB">
        <w:rPr>
          <w:rFonts w:ascii="Garamond" w:hAnsi="Garamond"/>
          <w:sz w:val="22"/>
          <w:szCs w:val="22"/>
        </w:rPr>
        <w:t xml:space="preserve">working capital </w:t>
      </w:r>
      <w:r w:rsidR="00F4550C">
        <w:rPr>
          <w:rFonts w:ascii="Garamond" w:hAnsi="Garamond"/>
          <w:sz w:val="22"/>
          <w:szCs w:val="22"/>
        </w:rPr>
        <w:t xml:space="preserve">inventories in private investment. At the end of the year </w:t>
      </w:r>
      <w:r w:rsidR="00F4550C" w:rsidRPr="00F4550C">
        <w:rPr>
          <w:rFonts w:ascii="Garamond" w:hAnsi="Garamond"/>
          <w:sz w:val="22"/>
          <w:szCs w:val="22"/>
        </w:rPr>
        <w:t>the structure of private spending has changed</w:t>
      </w:r>
      <w:r w:rsidR="00F4550C">
        <w:rPr>
          <w:rFonts w:ascii="Garamond" w:hAnsi="Garamond"/>
          <w:sz w:val="22"/>
          <w:szCs w:val="22"/>
        </w:rPr>
        <w:t xml:space="preserve"> however, as p</w:t>
      </w:r>
      <w:r w:rsidR="00F4550C" w:rsidRPr="00F4550C">
        <w:rPr>
          <w:rFonts w:ascii="Garamond" w:hAnsi="Garamond"/>
          <w:sz w:val="22"/>
          <w:szCs w:val="22"/>
        </w:rPr>
        <w:t xml:space="preserve">rivate consumption </w:t>
      </w:r>
      <w:r w:rsidR="00F4550C">
        <w:rPr>
          <w:rFonts w:ascii="Garamond" w:hAnsi="Garamond"/>
          <w:sz w:val="22"/>
          <w:szCs w:val="22"/>
        </w:rPr>
        <w:t xml:space="preserve">paced faster and </w:t>
      </w:r>
      <w:r w:rsidR="00F4550C" w:rsidRPr="00F4550C">
        <w:rPr>
          <w:rFonts w:ascii="Garamond" w:hAnsi="Garamond"/>
          <w:sz w:val="22"/>
          <w:szCs w:val="22"/>
        </w:rPr>
        <w:t>private investment</w:t>
      </w:r>
      <w:r w:rsidR="00F4550C">
        <w:rPr>
          <w:rFonts w:ascii="Garamond" w:hAnsi="Garamond"/>
          <w:sz w:val="22"/>
          <w:szCs w:val="22"/>
        </w:rPr>
        <w:t xml:space="preserve"> slowed down</w:t>
      </w:r>
      <w:r w:rsidR="00F4550C" w:rsidRPr="00F4550C">
        <w:rPr>
          <w:rFonts w:ascii="Garamond" w:hAnsi="Garamond"/>
          <w:sz w:val="22"/>
          <w:szCs w:val="22"/>
        </w:rPr>
        <w:t>.</w:t>
      </w:r>
      <w:r w:rsidR="00F4550C">
        <w:rPr>
          <w:rFonts w:ascii="Garamond" w:hAnsi="Garamond"/>
          <w:sz w:val="22"/>
          <w:szCs w:val="22"/>
        </w:rPr>
        <w:t xml:space="preserve"> </w:t>
      </w:r>
      <w:r w:rsidR="00F10F38">
        <w:rPr>
          <w:rFonts w:ascii="Garamond" w:hAnsi="Garamond"/>
          <w:sz w:val="22"/>
          <w:szCs w:val="22"/>
        </w:rPr>
        <w:t>The</w:t>
      </w:r>
      <w:r w:rsidR="00F4550C">
        <w:rPr>
          <w:rFonts w:ascii="Garamond" w:hAnsi="Garamond"/>
          <w:sz w:val="22"/>
          <w:szCs w:val="22"/>
        </w:rPr>
        <w:t xml:space="preserve">re is prediction that </w:t>
      </w:r>
      <w:r w:rsidR="000D01FB">
        <w:rPr>
          <w:rFonts w:ascii="Garamond" w:hAnsi="Garamond"/>
          <w:sz w:val="22"/>
          <w:szCs w:val="22"/>
        </w:rPr>
        <w:t>p</w:t>
      </w:r>
      <w:r w:rsidR="00F4550C" w:rsidRPr="00F4550C">
        <w:rPr>
          <w:rFonts w:ascii="Garamond" w:hAnsi="Garamond"/>
          <w:sz w:val="22"/>
          <w:szCs w:val="22"/>
        </w:rPr>
        <w:t xml:space="preserve">rivate </w:t>
      </w:r>
      <w:r w:rsidR="000D01FB">
        <w:rPr>
          <w:rFonts w:ascii="Garamond" w:hAnsi="Garamond"/>
          <w:sz w:val="22"/>
          <w:szCs w:val="22"/>
        </w:rPr>
        <w:t xml:space="preserve">spending in 2019 </w:t>
      </w:r>
      <w:r w:rsidR="00F4550C" w:rsidRPr="00F4550C">
        <w:rPr>
          <w:rFonts w:ascii="Garamond" w:hAnsi="Garamond"/>
          <w:sz w:val="22"/>
          <w:szCs w:val="22"/>
        </w:rPr>
        <w:t xml:space="preserve">will </w:t>
      </w:r>
      <w:r w:rsidR="000D01FB">
        <w:rPr>
          <w:rFonts w:ascii="Garamond" w:hAnsi="Garamond"/>
          <w:sz w:val="22"/>
          <w:szCs w:val="22"/>
        </w:rPr>
        <w:t xml:space="preserve">be notably induced by </w:t>
      </w:r>
      <w:r w:rsidR="00F4550C" w:rsidRPr="00F4550C">
        <w:rPr>
          <w:rFonts w:ascii="Garamond" w:hAnsi="Garamond"/>
          <w:sz w:val="22"/>
          <w:szCs w:val="22"/>
        </w:rPr>
        <w:t>private consumption</w:t>
      </w:r>
      <w:r w:rsidR="00D44080">
        <w:rPr>
          <w:rFonts w:ascii="Garamond" w:hAnsi="Garamond"/>
          <w:sz w:val="22"/>
          <w:szCs w:val="22"/>
        </w:rPr>
        <w:t xml:space="preserve">, with </w:t>
      </w:r>
      <w:r w:rsidR="000D01FB">
        <w:rPr>
          <w:rFonts w:ascii="Garamond" w:hAnsi="Garamond"/>
          <w:sz w:val="22"/>
          <w:szCs w:val="22"/>
        </w:rPr>
        <w:t xml:space="preserve">the growth of </w:t>
      </w:r>
      <w:r w:rsidR="000D01FB" w:rsidRPr="00F4550C">
        <w:rPr>
          <w:rFonts w:ascii="Garamond" w:hAnsi="Garamond"/>
          <w:sz w:val="22"/>
          <w:szCs w:val="22"/>
        </w:rPr>
        <w:t>household</w:t>
      </w:r>
      <w:r w:rsidR="000D01FB">
        <w:rPr>
          <w:rFonts w:ascii="Garamond" w:hAnsi="Garamond"/>
          <w:sz w:val="22"/>
          <w:szCs w:val="22"/>
        </w:rPr>
        <w:t xml:space="preserve"> loan</w:t>
      </w:r>
      <w:r w:rsidR="000D01FB" w:rsidRPr="00F4550C">
        <w:rPr>
          <w:rFonts w:ascii="Garamond" w:hAnsi="Garamond"/>
          <w:sz w:val="22"/>
          <w:szCs w:val="22"/>
        </w:rPr>
        <w:t>s</w:t>
      </w:r>
      <w:r w:rsidR="00D44080">
        <w:rPr>
          <w:rFonts w:ascii="Garamond" w:hAnsi="Garamond"/>
          <w:sz w:val="22"/>
          <w:szCs w:val="22"/>
        </w:rPr>
        <w:t xml:space="preserve"> </w:t>
      </w:r>
      <w:r w:rsidR="000D01FB">
        <w:rPr>
          <w:rFonts w:ascii="Garamond" w:hAnsi="Garamond"/>
          <w:sz w:val="22"/>
          <w:szCs w:val="22"/>
        </w:rPr>
        <w:t>outpacing t</w:t>
      </w:r>
      <w:r w:rsidR="00F4550C" w:rsidRPr="00F4550C">
        <w:rPr>
          <w:rFonts w:ascii="Garamond" w:hAnsi="Garamond"/>
          <w:sz w:val="22"/>
          <w:szCs w:val="22"/>
        </w:rPr>
        <w:t>h</w:t>
      </w:r>
      <w:r w:rsidR="000D01FB">
        <w:rPr>
          <w:rFonts w:ascii="Garamond" w:hAnsi="Garamond"/>
          <w:sz w:val="22"/>
          <w:szCs w:val="22"/>
        </w:rPr>
        <w:t>ose of business loans</w:t>
      </w:r>
      <w:r w:rsidR="003237C8">
        <w:rPr>
          <w:rFonts w:ascii="Garamond" w:hAnsi="Garamond"/>
          <w:sz w:val="22"/>
          <w:szCs w:val="22"/>
        </w:rPr>
        <w:t xml:space="preserve"> (see C</w:t>
      </w:r>
      <w:r w:rsidR="00F4550C" w:rsidRPr="00F4550C">
        <w:rPr>
          <w:rFonts w:ascii="Garamond" w:hAnsi="Garamond"/>
          <w:sz w:val="22"/>
          <w:szCs w:val="22"/>
        </w:rPr>
        <w:t>hart 40).</w:t>
      </w:r>
      <w:r w:rsidR="00D44080">
        <w:rPr>
          <w:rFonts w:ascii="Garamond" w:hAnsi="Garamond"/>
          <w:sz w:val="22"/>
          <w:szCs w:val="22"/>
        </w:rPr>
        <w:t xml:space="preserve"> In the outcome, private spending is expected to </w:t>
      </w:r>
      <w:r w:rsidR="00D44080" w:rsidRPr="00EE5F0F">
        <w:rPr>
          <w:rFonts w:ascii="Garamond" w:hAnsi="Garamond"/>
          <w:sz w:val="22"/>
          <w:szCs w:val="22"/>
        </w:rPr>
        <w:t>make a</w:t>
      </w:r>
      <w:r w:rsidR="00D44080">
        <w:rPr>
          <w:rFonts w:ascii="Garamond" w:hAnsi="Garamond"/>
          <w:sz w:val="22"/>
          <w:szCs w:val="22"/>
        </w:rPr>
        <w:t xml:space="preserve"> 4.0</w:t>
      </w:r>
      <w:r w:rsidR="00D44080" w:rsidRPr="00EE5F0F">
        <w:rPr>
          <w:rFonts w:ascii="Garamond" w:hAnsi="Garamond"/>
          <w:sz w:val="22"/>
          <w:szCs w:val="22"/>
        </w:rPr>
        <w:t xml:space="preserve"> pp contribution to the </w:t>
      </w:r>
      <w:r w:rsidR="00D44080">
        <w:rPr>
          <w:rFonts w:ascii="Garamond" w:hAnsi="Garamond"/>
          <w:sz w:val="22"/>
          <w:szCs w:val="22"/>
        </w:rPr>
        <w:t xml:space="preserve">economic </w:t>
      </w:r>
      <w:r w:rsidR="00D44080" w:rsidRPr="00EE5F0F">
        <w:rPr>
          <w:rFonts w:ascii="Garamond" w:hAnsi="Garamond"/>
          <w:sz w:val="22"/>
          <w:szCs w:val="22"/>
        </w:rPr>
        <w:t>growth</w:t>
      </w:r>
      <w:r w:rsidR="00D44080">
        <w:rPr>
          <w:rFonts w:ascii="Garamond" w:hAnsi="Garamond"/>
          <w:sz w:val="22"/>
          <w:szCs w:val="22"/>
        </w:rPr>
        <w:t xml:space="preserve"> in 2019</w:t>
      </w:r>
      <w:r w:rsidR="00D44080" w:rsidRPr="00EE5F0F">
        <w:rPr>
          <w:rFonts w:ascii="Garamond" w:hAnsi="Garamond"/>
          <w:sz w:val="22"/>
          <w:szCs w:val="22"/>
        </w:rPr>
        <w:t>, wh</w:t>
      </w:r>
      <w:r w:rsidR="00D44080">
        <w:rPr>
          <w:rFonts w:ascii="Garamond" w:hAnsi="Garamond"/>
          <w:sz w:val="22"/>
          <w:szCs w:val="22"/>
        </w:rPr>
        <w:t xml:space="preserve">ich </w:t>
      </w:r>
      <w:r w:rsidR="00D44080" w:rsidRPr="00D44080">
        <w:rPr>
          <w:rFonts w:ascii="Garamond" w:hAnsi="Garamond"/>
          <w:sz w:val="22"/>
          <w:szCs w:val="22"/>
        </w:rPr>
        <w:t xml:space="preserve">is </w:t>
      </w:r>
      <w:r w:rsidR="00D44080">
        <w:rPr>
          <w:rFonts w:ascii="Garamond" w:hAnsi="Garamond"/>
          <w:sz w:val="22"/>
          <w:szCs w:val="22"/>
        </w:rPr>
        <w:t xml:space="preserve">a </w:t>
      </w:r>
      <w:r w:rsidR="00D44080" w:rsidRPr="00D44080">
        <w:rPr>
          <w:rFonts w:ascii="Garamond" w:hAnsi="Garamond"/>
          <w:sz w:val="22"/>
          <w:szCs w:val="22"/>
        </w:rPr>
        <w:t xml:space="preserve">result of 5.1% growth in private consumption and 0.3% </w:t>
      </w:r>
      <w:r w:rsidR="00D44080">
        <w:rPr>
          <w:rFonts w:ascii="Garamond" w:hAnsi="Garamond"/>
          <w:sz w:val="22"/>
          <w:szCs w:val="22"/>
        </w:rPr>
        <w:t xml:space="preserve">growth </w:t>
      </w:r>
      <w:r w:rsidR="00D44080" w:rsidRPr="00D44080">
        <w:rPr>
          <w:rFonts w:ascii="Garamond" w:hAnsi="Garamond"/>
          <w:sz w:val="22"/>
          <w:szCs w:val="22"/>
        </w:rPr>
        <w:t>of private investment.</w:t>
      </w:r>
      <w:r w:rsidR="00D44080">
        <w:rPr>
          <w:rFonts w:ascii="Garamond" w:hAnsi="Garamond"/>
          <w:sz w:val="22"/>
          <w:szCs w:val="22"/>
        </w:rPr>
        <w:t xml:space="preserve"> </w:t>
      </w:r>
    </w:p>
    <w:tbl>
      <w:tblPr>
        <w:tblStyle w:val="TableGrid"/>
        <w:tblW w:w="0" w:type="auto"/>
        <w:tblLook w:val="04A0" w:firstRow="1" w:lastRow="0" w:firstColumn="1" w:lastColumn="0" w:noHBand="0" w:noVBand="1"/>
      </w:tblPr>
      <w:tblGrid>
        <w:gridCol w:w="6204"/>
      </w:tblGrid>
      <w:tr w:rsidR="00A04E80" w:rsidRPr="00AB24C1" w14:paraId="3F302855" w14:textId="77777777" w:rsidTr="00F72D24">
        <w:tc>
          <w:tcPr>
            <w:tcW w:w="6204" w:type="dxa"/>
          </w:tcPr>
          <w:p w14:paraId="51F500E5" w14:textId="77777777" w:rsidR="00A04E80" w:rsidRPr="00D44080" w:rsidRDefault="00D44080" w:rsidP="00F6195D">
            <w:pPr>
              <w:autoSpaceDE w:val="0"/>
              <w:autoSpaceDN w:val="0"/>
              <w:adjustRightInd w:val="0"/>
              <w:spacing w:after="120" w:line="360" w:lineRule="auto"/>
              <w:jc w:val="both"/>
              <w:rPr>
                <w:rFonts w:ascii="Garamond" w:hAnsi="Garamond"/>
                <w:color w:val="0070C0"/>
                <w:sz w:val="20"/>
                <w:szCs w:val="20"/>
              </w:rPr>
            </w:pPr>
            <w:r w:rsidRPr="00D44080">
              <w:rPr>
                <w:rFonts w:ascii="Garamond" w:hAnsi="Garamond"/>
                <w:color w:val="0070C0"/>
                <w:sz w:val="20"/>
                <w:szCs w:val="20"/>
              </w:rPr>
              <w:t>In 2019</w:t>
            </w:r>
            <w:r>
              <w:rPr>
                <w:rFonts w:ascii="Garamond" w:hAnsi="Garamond"/>
                <w:color w:val="0070C0"/>
                <w:sz w:val="20"/>
                <w:szCs w:val="20"/>
              </w:rPr>
              <w:t>,</w:t>
            </w:r>
            <w:r w:rsidRPr="00D44080">
              <w:rPr>
                <w:rFonts w:ascii="Garamond" w:hAnsi="Garamond"/>
                <w:color w:val="0070C0"/>
                <w:sz w:val="20"/>
                <w:szCs w:val="20"/>
              </w:rPr>
              <w:t xml:space="preserve"> private spending will be spurred up largely by private consumption, </w:t>
            </w:r>
            <w:r>
              <w:rPr>
                <w:rFonts w:ascii="Garamond" w:hAnsi="Garamond"/>
                <w:color w:val="0070C0"/>
                <w:sz w:val="20"/>
                <w:szCs w:val="20"/>
              </w:rPr>
              <w:t xml:space="preserve">which </w:t>
            </w:r>
            <w:r w:rsidR="003237C8">
              <w:rPr>
                <w:rFonts w:ascii="Garamond" w:hAnsi="Garamond"/>
                <w:color w:val="0070C0"/>
                <w:sz w:val="20"/>
                <w:szCs w:val="20"/>
              </w:rPr>
              <w:t xml:space="preserve">also </w:t>
            </w:r>
            <w:r w:rsidRPr="00D44080">
              <w:rPr>
                <w:rFonts w:ascii="Garamond" w:hAnsi="Garamond"/>
                <w:color w:val="0070C0"/>
                <w:sz w:val="20"/>
                <w:szCs w:val="20"/>
              </w:rPr>
              <w:t>point</w:t>
            </w:r>
            <w:r>
              <w:rPr>
                <w:rFonts w:ascii="Garamond" w:hAnsi="Garamond"/>
                <w:color w:val="0070C0"/>
                <w:sz w:val="20"/>
                <w:szCs w:val="20"/>
              </w:rPr>
              <w:t>s</w:t>
            </w:r>
            <w:r w:rsidRPr="00D44080">
              <w:rPr>
                <w:rFonts w:ascii="Garamond" w:hAnsi="Garamond"/>
                <w:color w:val="0070C0"/>
                <w:sz w:val="20"/>
                <w:szCs w:val="20"/>
              </w:rPr>
              <w:t xml:space="preserve"> to </w:t>
            </w:r>
            <w:r w:rsidR="00F6195D">
              <w:rPr>
                <w:rFonts w:ascii="Garamond" w:hAnsi="Garamond"/>
                <w:color w:val="0070C0"/>
                <w:sz w:val="20"/>
                <w:szCs w:val="20"/>
              </w:rPr>
              <w:t>the</w:t>
            </w:r>
            <w:r w:rsidRPr="00D44080">
              <w:rPr>
                <w:rFonts w:ascii="Garamond" w:hAnsi="Garamond"/>
                <w:color w:val="0070C0"/>
                <w:sz w:val="20"/>
                <w:szCs w:val="20"/>
              </w:rPr>
              <w:t xml:space="preserve"> </w:t>
            </w:r>
            <w:r w:rsidR="00F6195D">
              <w:rPr>
                <w:rFonts w:ascii="Garamond" w:hAnsi="Garamond"/>
                <w:color w:val="0070C0"/>
                <w:sz w:val="20"/>
                <w:szCs w:val="20"/>
              </w:rPr>
              <w:t xml:space="preserve">faster </w:t>
            </w:r>
            <w:r w:rsidRPr="00D44080">
              <w:rPr>
                <w:rFonts w:ascii="Garamond" w:hAnsi="Garamond"/>
                <w:color w:val="0070C0"/>
                <w:sz w:val="20"/>
                <w:szCs w:val="20"/>
              </w:rPr>
              <w:t>growth of household loans over those of business loans.</w:t>
            </w:r>
          </w:p>
        </w:tc>
      </w:tr>
    </w:tbl>
    <w:p w14:paraId="3588283C" w14:textId="77777777" w:rsidR="00A04E80" w:rsidRDefault="00A04E80" w:rsidP="00A04E80">
      <w:pPr>
        <w:autoSpaceDE w:val="0"/>
        <w:autoSpaceDN w:val="0"/>
        <w:adjustRightInd w:val="0"/>
        <w:spacing w:after="120" w:line="360" w:lineRule="auto"/>
        <w:jc w:val="both"/>
        <w:rPr>
          <w:rFonts w:ascii="Garamond" w:hAnsi="Garamond"/>
          <w:sz w:val="22"/>
          <w:szCs w:val="22"/>
        </w:rPr>
      </w:pPr>
    </w:p>
    <w:p w14:paraId="437C5A17" w14:textId="77777777" w:rsidR="00A72561" w:rsidRDefault="00C86872"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medium run, economic growth developments </w:t>
      </w:r>
      <w:r w:rsidR="003237C8">
        <w:rPr>
          <w:rFonts w:ascii="Garamond" w:hAnsi="Garamond"/>
          <w:sz w:val="22"/>
          <w:szCs w:val="22"/>
        </w:rPr>
        <w:t xml:space="preserve">will </w:t>
      </w:r>
      <w:r w:rsidRPr="00EE5F0F">
        <w:rPr>
          <w:rFonts w:ascii="Garamond" w:hAnsi="Garamond"/>
          <w:sz w:val="22"/>
          <w:szCs w:val="22"/>
        </w:rPr>
        <w:t xml:space="preserve">largely </w:t>
      </w:r>
      <w:r w:rsidR="003237C8">
        <w:rPr>
          <w:rFonts w:ascii="Garamond" w:hAnsi="Garamond"/>
          <w:sz w:val="22"/>
          <w:szCs w:val="22"/>
        </w:rPr>
        <w:t xml:space="preserve">be </w:t>
      </w:r>
      <w:r w:rsidRPr="00EE5F0F">
        <w:rPr>
          <w:rFonts w:ascii="Garamond" w:hAnsi="Garamond"/>
          <w:sz w:val="22"/>
          <w:szCs w:val="22"/>
        </w:rPr>
        <w:t>determined by ec</w:t>
      </w:r>
      <w:r w:rsidR="003624EE">
        <w:rPr>
          <w:rFonts w:ascii="Garamond" w:hAnsi="Garamond"/>
          <w:sz w:val="22"/>
          <w:szCs w:val="22"/>
        </w:rPr>
        <w:t>onomy’s fundamentals</w:t>
      </w:r>
      <w:r w:rsidR="003237C8">
        <w:rPr>
          <w:rFonts w:ascii="Garamond" w:hAnsi="Garamond"/>
          <w:sz w:val="22"/>
          <w:szCs w:val="22"/>
        </w:rPr>
        <w:t xml:space="preserve"> as well as </w:t>
      </w:r>
      <w:r w:rsidRPr="00EE5F0F">
        <w:rPr>
          <w:rFonts w:ascii="Garamond" w:hAnsi="Garamond"/>
          <w:sz w:val="22"/>
          <w:szCs w:val="22"/>
        </w:rPr>
        <w:t>investment activity</w:t>
      </w:r>
      <w:r w:rsidR="003624EE">
        <w:rPr>
          <w:rFonts w:ascii="Garamond" w:hAnsi="Garamond"/>
          <w:sz w:val="22"/>
          <w:szCs w:val="22"/>
        </w:rPr>
        <w:t xml:space="preserve">. </w:t>
      </w:r>
      <w:r w:rsidR="003237C8" w:rsidRPr="003237C8">
        <w:rPr>
          <w:rFonts w:ascii="Garamond" w:hAnsi="Garamond"/>
          <w:sz w:val="22"/>
          <w:szCs w:val="22"/>
        </w:rPr>
        <w:t xml:space="preserve">Mid-term </w:t>
      </w:r>
      <w:r w:rsidR="00A72561">
        <w:rPr>
          <w:rFonts w:ascii="Garamond" w:hAnsi="Garamond"/>
          <w:sz w:val="22"/>
          <w:szCs w:val="22"/>
        </w:rPr>
        <w:t>pri</w:t>
      </w:r>
      <w:r w:rsidR="003237C8" w:rsidRPr="003237C8">
        <w:rPr>
          <w:rFonts w:ascii="Garamond" w:hAnsi="Garamond"/>
          <w:sz w:val="22"/>
          <w:szCs w:val="22"/>
        </w:rPr>
        <w:t xml:space="preserve">vate spending </w:t>
      </w:r>
      <w:r w:rsidR="00A72561">
        <w:rPr>
          <w:rFonts w:ascii="Garamond" w:hAnsi="Garamond"/>
          <w:sz w:val="22"/>
          <w:szCs w:val="22"/>
        </w:rPr>
        <w:t xml:space="preserve">forecasts </w:t>
      </w:r>
      <w:r w:rsidR="003237C8">
        <w:rPr>
          <w:rFonts w:ascii="Garamond" w:hAnsi="Garamond"/>
          <w:sz w:val="22"/>
          <w:szCs w:val="22"/>
        </w:rPr>
        <w:t>remain pri</w:t>
      </w:r>
      <w:r w:rsidR="00A72561">
        <w:rPr>
          <w:rFonts w:ascii="Garamond" w:hAnsi="Garamond"/>
          <w:sz w:val="22"/>
          <w:szCs w:val="22"/>
        </w:rPr>
        <w:t xml:space="preserve">ncipally </w:t>
      </w:r>
      <w:r w:rsidR="003237C8">
        <w:rPr>
          <w:rFonts w:ascii="Garamond" w:hAnsi="Garamond"/>
          <w:sz w:val="22"/>
          <w:szCs w:val="22"/>
        </w:rPr>
        <w:t>intact</w:t>
      </w:r>
      <w:r w:rsidR="008A514E">
        <w:rPr>
          <w:rFonts w:ascii="Garamond" w:hAnsi="Garamond"/>
          <w:sz w:val="22"/>
          <w:szCs w:val="22"/>
        </w:rPr>
        <w:t>,</w:t>
      </w:r>
      <w:r w:rsidR="003237C8" w:rsidRPr="003237C8">
        <w:rPr>
          <w:rFonts w:ascii="Garamond" w:hAnsi="Garamond"/>
          <w:sz w:val="22"/>
          <w:szCs w:val="22"/>
        </w:rPr>
        <w:t xml:space="preserve"> </w:t>
      </w:r>
      <w:r w:rsidR="003237C8">
        <w:rPr>
          <w:rFonts w:ascii="Garamond" w:hAnsi="Garamond"/>
          <w:sz w:val="22"/>
          <w:szCs w:val="22"/>
        </w:rPr>
        <w:t xml:space="preserve">yet </w:t>
      </w:r>
      <w:r w:rsidR="003237C8" w:rsidRPr="003237C8">
        <w:rPr>
          <w:rFonts w:ascii="Garamond" w:hAnsi="Garamond"/>
          <w:sz w:val="22"/>
          <w:szCs w:val="22"/>
        </w:rPr>
        <w:t xml:space="preserve">a slightly higher </w:t>
      </w:r>
      <w:r w:rsidR="003237C8">
        <w:rPr>
          <w:rFonts w:ascii="Garamond" w:hAnsi="Garamond"/>
          <w:sz w:val="22"/>
          <w:szCs w:val="22"/>
        </w:rPr>
        <w:t xml:space="preserve">level of private consumption is possible </w:t>
      </w:r>
      <w:r w:rsidR="00A72561">
        <w:rPr>
          <w:rFonts w:ascii="Garamond" w:hAnsi="Garamond"/>
          <w:sz w:val="22"/>
          <w:szCs w:val="22"/>
        </w:rPr>
        <w:t xml:space="preserve">amid </w:t>
      </w:r>
      <w:r w:rsidR="003237C8">
        <w:rPr>
          <w:rFonts w:ascii="Garamond" w:hAnsi="Garamond"/>
          <w:sz w:val="22"/>
          <w:szCs w:val="22"/>
        </w:rPr>
        <w:t xml:space="preserve">some upside revision to </w:t>
      </w:r>
      <w:r w:rsidR="003237C8" w:rsidRPr="003237C8">
        <w:rPr>
          <w:rFonts w:ascii="Garamond" w:hAnsi="Garamond"/>
          <w:sz w:val="22"/>
          <w:szCs w:val="22"/>
        </w:rPr>
        <w:t>the medium-term economic growth forecasts</w:t>
      </w:r>
      <w:r w:rsidR="003237C8">
        <w:rPr>
          <w:rFonts w:ascii="Garamond" w:hAnsi="Garamond"/>
          <w:sz w:val="22"/>
          <w:szCs w:val="22"/>
        </w:rPr>
        <w:t xml:space="preserve"> </w:t>
      </w:r>
      <w:r w:rsidR="003237C8" w:rsidRPr="003237C8">
        <w:rPr>
          <w:rFonts w:ascii="Garamond" w:hAnsi="Garamond"/>
          <w:sz w:val="22"/>
          <w:szCs w:val="22"/>
        </w:rPr>
        <w:t xml:space="preserve">(see Chart 18), which is consistent with </w:t>
      </w:r>
      <w:r w:rsidR="00A72561">
        <w:rPr>
          <w:rFonts w:ascii="Garamond" w:hAnsi="Garamond"/>
          <w:sz w:val="22"/>
          <w:szCs w:val="22"/>
        </w:rPr>
        <w:t>services</w:t>
      </w:r>
      <w:r w:rsidR="008A514E">
        <w:rPr>
          <w:rFonts w:ascii="Garamond" w:hAnsi="Garamond"/>
          <w:sz w:val="22"/>
          <w:szCs w:val="22"/>
        </w:rPr>
        <w:t>-</w:t>
      </w:r>
      <w:r w:rsidR="00A72561">
        <w:rPr>
          <w:rFonts w:ascii="Garamond" w:hAnsi="Garamond"/>
          <w:sz w:val="22"/>
          <w:szCs w:val="22"/>
        </w:rPr>
        <w:t xml:space="preserve">sector-driven </w:t>
      </w:r>
      <w:r w:rsidR="003237C8" w:rsidRPr="003237C8">
        <w:rPr>
          <w:rFonts w:ascii="Garamond" w:hAnsi="Garamond"/>
          <w:sz w:val="22"/>
          <w:szCs w:val="22"/>
        </w:rPr>
        <w:t>economic growth developments.</w:t>
      </w:r>
      <w:r w:rsidR="00A72561">
        <w:rPr>
          <w:rFonts w:ascii="Garamond" w:hAnsi="Garamond"/>
          <w:sz w:val="22"/>
          <w:szCs w:val="22"/>
        </w:rPr>
        <w:t xml:space="preserve"> Private investment</w:t>
      </w:r>
      <w:r w:rsidR="00A72561" w:rsidRPr="00A72561">
        <w:rPr>
          <w:rFonts w:ascii="Garamond" w:hAnsi="Garamond"/>
          <w:sz w:val="22"/>
          <w:szCs w:val="22"/>
        </w:rPr>
        <w:t xml:space="preserve"> will </w:t>
      </w:r>
      <w:r w:rsidR="00A72561">
        <w:rPr>
          <w:rFonts w:ascii="Garamond" w:hAnsi="Garamond"/>
          <w:sz w:val="22"/>
          <w:szCs w:val="22"/>
        </w:rPr>
        <w:t xml:space="preserve">rebound </w:t>
      </w:r>
      <w:r w:rsidR="00A72561" w:rsidRPr="00A72561">
        <w:rPr>
          <w:rFonts w:ascii="Garamond" w:hAnsi="Garamond"/>
          <w:sz w:val="22"/>
          <w:szCs w:val="22"/>
        </w:rPr>
        <w:t>in 2020, with an annual growth rate of about 4.9</w:t>
      </w:r>
      <w:r w:rsidR="00A72561">
        <w:rPr>
          <w:rFonts w:ascii="Garamond" w:hAnsi="Garamond"/>
          <w:sz w:val="22"/>
          <w:szCs w:val="22"/>
        </w:rPr>
        <w:t>%. At the end of forecast</w:t>
      </w:r>
      <w:r w:rsidR="00A72561" w:rsidRPr="00A72561">
        <w:rPr>
          <w:rFonts w:ascii="Garamond" w:hAnsi="Garamond"/>
          <w:sz w:val="22"/>
          <w:szCs w:val="22"/>
        </w:rPr>
        <w:t xml:space="preserve"> </w:t>
      </w:r>
      <w:r w:rsidR="00A72561" w:rsidRPr="00A72561">
        <w:rPr>
          <w:rFonts w:ascii="Garamond" w:hAnsi="Garamond"/>
          <w:sz w:val="22"/>
          <w:szCs w:val="22"/>
        </w:rPr>
        <w:lastRenderedPageBreak/>
        <w:t xml:space="preserve">horizon, </w:t>
      </w:r>
      <w:r w:rsidR="00A72561">
        <w:rPr>
          <w:rFonts w:ascii="Garamond" w:hAnsi="Garamond"/>
          <w:sz w:val="22"/>
          <w:szCs w:val="22"/>
        </w:rPr>
        <w:t xml:space="preserve">the </w:t>
      </w:r>
      <w:r w:rsidR="00A72561" w:rsidRPr="00A72561">
        <w:rPr>
          <w:rFonts w:ascii="Garamond" w:hAnsi="Garamond"/>
          <w:sz w:val="22"/>
          <w:szCs w:val="22"/>
        </w:rPr>
        <w:t xml:space="preserve">economic growth will stabilize </w:t>
      </w:r>
      <w:r w:rsidR="00A72561">
        <w:rPr>
          <w:rFonts w:ascii="Garamond" w:hAnsi="Garamond"/>
          <w:sz w:val="22"/>
          <w:szCs w:val="22"/>
        </w:rPr>
        <w:t xml:space="preserve">around </w:t>
      </w:r>
      <w:r w:rsidR="00A72561" w:rsidRPr="00A72561">
        <w:rPr>
          <w:rFonts w:ascii="Garamond" w:hAnsi="Garamond"/>
          <w:sz w:val="22"/>
          <w:szCs w:val="22"/>
        </w:rPr>
        <w:t xml:space="preserve">its long-term </w:t>
      </w:r>
      <w:r w:rsidR="00A72561">
        <w:rPr>
          <w:rFonts w:ascii="Garamond" w:hAnsi="Garamond"/>
          <w:sz w:val="22"/>
          <w:szCs w:val="22"/>
        </w:rPr>
        <w:t>equilibrium</w:t>
      </w:r>
      <w:r w:rsidR="00A72561" w:rsidRPr="00A72561">
        <w:rPr>
          <w:rFonts w:ascii="Garamond" w:hAnsi="Garamond"/>
          <w:sz w:val="22"/>
          <w:szCs w:val="22"/>
        </w:rPr>
        <w:t>.</w:t>
      </w:r>
      <w:r w:rsidR="00A72561">
        <w:rPr>
          <w:rFonts w:ascii="Garamond" w:hAnsi="Garamond"/>
          <w:sz w:val="22"/>
          <w:szCs w:val="22"/>
        </w:rPr>
        <w:t xml:space="preserve"> It is worth mentioning that t</w:t>
      </w:r>
      <w:r w:rsidR="00A72561" w:rsidRPr="008802DC">
        <w:rPr>
          <w:rFonts w:ascii="Garamond" w:hAnsi="Garamond"/>
          <w:sz w:val="22"/>
          <w:szCs w:val="22"/>
        </w:rPr>
        <w:t>he</w:t>
      </w:r>
      <w:r w:rsidR="00A72561">
        <w:rPr>
          <w:rFonts w:ascii="Garamond" w:hAnsi="Garamond"/>
          <w:sz w:val="22"/>
          <w:szCs w:val="22"/>
        </w:rPr>
        <w:t xml:space="preserve"> </w:t>
      </w:r>
      <w:r w:rsidR="00A72561" w:rsidRPr="008802DC">
        <w:rPr>
          <w:rFonts w:ascii="Garamond" w:hAnsi="Garamond"/>
          <w:sz w:val="22"/>
          <w:szCs w:val="22"/>
        </w:rPr>
        <w:t>mid-term</w:t>
      </w:r>
      <w:r w:rsidR="00A72561" w:rsidRPr="00EE5F0F">
        <w:rPr>
          <w:rFonts w:ascii="Garamond" w:hAnsi="Garamond"/>
          <w:sz w:val="22"/>
          <w:szCs w:val="22"/>
        </w:rPr>
        <w:t xml:space="preserve"> growths </w:t>
      </w:r>
      <w:r w:rsidR="00A72561">
        <w:rPr>
          <w:rFonts w:ascii="Garamond" w:hAnsi="Garamond"/>
          <w:sz w:val="22"/>
          <w:szCs w:val="22"/>
        </w:rPr>
        <w:t>are</w:t>
      </w:r>
      <w:r w:rsidR="00A72561" w:rsidRPr="00EE5F0F">
        <w:rPr>
          <w:rFonts w:ascii="Garamond" w:hAnsi="Garamond"/>
          <w:sz w:val="22"/>
          <w:szCs w:val="22"/>
        </w:rPr>
        <w:t xml:space="preserve"> </w:t>
      </w:r>
      <w:r w:rsidR="00A72561">
        <w:rPr>
          <w:rFonts w:ascii="Garamond" w:hAnsi="Garamond"/>
          <w:sz w:val="22"/>
          <w:szCs w:val="22"/>
        </w:rPr>
        <w:t xml:space="preserve">mostly attributable to the expanding of production capacities, </w:t>
      </w:r>
      <w:r w:rsidR="00A72561" w:rsidRPr="00EE5F0F">
        <w:rPr>
          <w:rFonts w:ascii="Garamond" w:hAnsi="Garamond"/>
          <w:sz w:val="22"/>
          <w:szCs w:val="22"/>
        </w:rPr>
        <w:t>the pace of Government-led structural reforms, and anticipated potential of economic growth in partner countries.</w:t>
      </w:r>
    </w:p>
    <w:p w14:paraId="14990B76" w14:textId="77777777" w:rsidR="00B47182"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External demand: </w:t>
      </w:r>
      <w:r w:rsidR="00FD0A26">
        <w:rPr>
          <w:rFonts w:ascii="Garamond" w:hAnsi="Garamond"/>
          <w:sz w:val="22"/>
          <w:szCs w:val="22"/>
        </w:rPr>
        <w:t>T</w:t>
      </w:r>
      <w:r w:rsidR="00FD0A26" w:rsidRPr="00FD0A26">
        <w:rPr>
          <w:rFonts w:ascii="Garamond" w:hAnsi="Garamond"/>
          <w:sz w:val="22"/>
          <w:szCs w:val="22"/>
        </w:rPr>
        <w:t xml:space="preserve">he growth of income </w:t>
      </w:r>
      <w:r w:rsidR="00FD0A26">
        <w:rPr>
          <w:rFonts w:ascii="Garamond" w:hAnsi="Garamond"/>
          <w:sz w:val="22"/>
          <w:szCs w:val="22"/>
        </w:rPr>
        <w:t>in partner countries,</w:t>
      </w:r>
      <w:r w:rsidR="00FD0A26" w:rsidRPr="00FD0A26">
        <w:rPr>
          <w:rFonts w:ascii="Garamond" w:hAnsi="Garamond"/>
          <w:sz w:val="22"/>
          <w:szCs w:val="22"/>
        </w:rPr>
        <w:t xml:space="preserve"> </w:t>
      </w:r>
      <w:r w:rsidR="00FD0A26">
        <w:rPr>
          <w:rFonts w:ascii="Garamond" w:hAnsi="Garamond"/>
          <w:sz w:val="22"/>
          <w:szCs w:val="22"/>
        </w:rPr>
        <w:t xml:space="preserve">the </w:t>
      </w:r>
      <w:r w:rsidR="00FD0A26" w:rsidRPr="00FD0A26">
        <w:rPr>
          <w:rFonts w:ascii="Garamond" w:hAnsi="Garamond"/>
          <w:sz w:val="22"/>
          <w:szCs w:val="22"/>
        </w:rPr>
        <w:t xml:space="preserve">tourism growth </w:t>
      </w:r>
      <w:r w:rsidR="00FD0A26">
        <w:rPr>
          <w:rFonts w:ascii="Garamond" w:hAnsi="Garamond"/>
          <w:sz w:val="22"/>
          <w:szCs w:val="22"/>
        </w:rPr>
        <w:t xml:space="preserve">have </w:t>
      </w:r>
      <w:r w:rsidR="004A5B16" w:rsidRPr="00FD0A26">
        <w:rPr>
          <w:rFonts w:ascii="Garamond" w:hAnsi="Garamond"/>
          <w:sz w:val="22"/>
          <w:szCs w:val="22"/>
        </w:rPr>
        <w:t xml:space="preserve">contributed positively to </w:t>
      </w:r>
      <w:r w:rsidR="004A5B16">
        <w:rPr>
          <w:rFonts w:ascii="Garamond" w:hAnsi="Garamond"/>
          <w:sz w:val="22"/>
          <w:szCs w:val="22"/>
        </w:rPr>
        <w:t xml:space="preserve">the </w:t>
      </w:r>
      <w:r w:rsidR="00FD0A26" w:rsidRPr="00FD0A26">
        <w:rPr>
          <w:rFonts w:ascii="Garamond" w:hAnsi="Garamond"/>
          <w:sz w:val="22"/>
          <w:szCs w:val="22"/>
        </w:rPr>
        <w:t>2018 economic growth</w:t>
      </w:r>
      <w:r w:rsidR="004A5B16">
        <w:rPr>
          <w:rFonts w:ascii="Garamond" w:hAnsi="Garamond"/>
          <w:sz w:val="22"/>
          <w:szCs w:val="22"/>
        </w:rPr>
        <w:t xml:space="preserve">. However, </w:t>
      </w:r>
      <w:r w:rsidR="00FD0A26" w:rsidRPr="00FD0A26">
        <w:rPr>
          <w:rFonts w:ascii="Garamond" w:hAnsi="Garamond"/>
          <w:sz w:val="22"/>
          <w:szCs w:val="22"/>
        </w:rPr>
        <w:t>net export</w:t>
      </w:r>
      <w:r w:rsidR="004A5B16">
        <w:rPr>
          <w:rFonts w:ascii="Garamond" w:hAnsi="Garamond"/>
          <w:sz w:val="22"/>
          <w:szCs w:val="22"/>
        </w:rPr>
        <w:t>’s</w:t>
      </w:r>
      <w:r w:rsidR="00FD0A26" w:rsidRPr="00FD0A26">
        <w:rPr>
          <w:rFonts w:ascii="Garamond" w:hAnsi="Garamond"/>
          <w:sz w:val="22"/>
          <w:szCs w:val="22"/>
        </w:rPr>
        <w:t xml:space="preserve"> contribut</w:t>
      </w:r>
      <w:r w:rsidR="004A5B16">
        <w:rPr>
          <w:rFonts w:ascii="Garamond" w:hAnsi="Garamond"/>
          <w:sz w:val="22"/>
          <w:szCs w:val="22"/>
        </w:rPr>
        <w:t xml:space="preserve">ion </w:t>
      </w:r>
      <w:r w:rsidR="00FD0A26" w:rsidRPr="00FD0A26">
        <w:rPr>
          <w:rFonts w:ascii="Garamond" w:hAnsi="Garamond"/>
          <w:sz w:val="22"/>
          <w:szCs w:val="22"/>
        </w:rPr>
        <w:t xml:space="preserve">to the </w:t>
      </w:r>
      <w:r w:rsidR="005D266D">
        <w:rPr>
          <w:rFonts w:ascii="Garamond" w:hAnsi="Garamond"/>
          <w:sz w:val="22"/>
          <w:szCs w:val="22"/>
        </w:rPr>
        <w:t>growth is</w:t>
      </w:r>
      <w:r w:rsidR="00FD0A26" w:rsidRPr="00FD0A26">
        <w:rPr>
          <w:rFonts w:ascii="Garamond" w:hAnsi="Garamond"/>
          <w:sz w:val="22"/>
          <w:szCs w:val="22"/>
        </w:rPr>
        <w:t xml:space="preserve"> estimated to be negativ</w:t>
      </w:r>
      <w:r w:rsidR="00FD0A26" w:rsidRPr="00785503">
        <w:rPr>
          <w:rFonts w:ascii="Garamond" w:hAnsi="Garamond"/>
          <w:sz w:val="22"/>
          <w:szCs w:val="22"/>
        </w:rPr>
        <w:t xml:space="preserve">e, as growth in consumption and investment in the domestic economy has been </w:t>
      </w:r>
      <w:r w:rsidR="00785503">
        <w:rPr>
          <w:rFonts w:ascii="Garamond" w:hAnsi="Garamond"/>
          <w:sz w:val="22"/>
          <w:szCs w:val="22"/>
        </w:rPr>
        <w:t xml:space="preserve">concurrent with </w:t>
      </w:r>
      <w:r w:rsidR="00FD0A26" w:rsidRPr="00785503">
        <w:rPr>
          <w:rFonts w:ascii="Garamond" w:hAnsi="Garamond"/>
          <w:sz w:val="22"/>
          <w:szCs w:val="22"/>
        </w:rPr>
        <w:t xml:space="preserve">a significant increase in import volumes. At the same time, </w:t>
      </w:r>
      <w:r w:rsidR="00785503">
        <w:rPr>
          <w:rFonts w:ascii="Garamond" w:hAnsi="Garamond"/>
          <w:sz w:val="22"/>
          <w:szCs w:val="22"/>
        </w:rPr>
        <w:t xml:space="preserve">mining sector-specific </w:t>
      </w:r>
      <w:r w:rsidR="00FD0A26" w:rsidRPr="00785503">
        <w:rPr>
          <w:rFonts w:ascii="Garamond" w:hAnsi="Garamond"/>
          <w:sz w:val="22"/>
          <w:szCs w:val="22"/>
        </w:rPr>
        <w:t>problems</w:t>
      </w:r>
      <w:r w:rsidR="00785503">
        <w:rPr>
          <w:rFonts w:ascii="Garamond" w:hAnsi="Garamond"/>
          <w:sz w:val="22"/>
          <w:szCs w:val="22"/>
        </w:rPr>
        <w:t xml:space="preserve"> </w:t>
      </w:r>
      <w:r w:rsidR="00FD0A26" w:rsidRPr="00785503">
        <w:rPr>
          <w:rFonts w:ascii="Garamond" w:hAnsi="Garamond"/>
          <w:sz w:val="22"/>
          <w:szCs w:val="22"/>
        </w:rPr>
        <w:t>have led to slow</w:t>
      </w:r>
      <w:r w:rsidR="00785503">
        <w:rPr>
          <w:rFonts w:ascii="Garamond" w:hAnsi="Garamond"/>
          <w:sz w:val="22"/>
          <w:szCs w:val="22"/>
        </w:rPr>
        <w:t xml:space="preserve">er </w:t>
      </w:r>
      <w:r w:rsidR="00FD0A26" w:rsidRPr="00FD0A26">
        <w:rPr>
          <w:rFonts w:ascii="Garamond" w:hAnsi="Garamond"/>
          <w:sz w:val="22"/>
          <w:szCs w:val="22"/>
        </w:rPr>
        <w:t>export growth</w:t>
      </w:r>
      <w:r w:rsidR="00785503">
        <w:rPr>
          <w:rFonts w:ascii="Garamond" w:hAnsi="Garamond"/>
          <w:sz w:val="22"/>
          <w:szCs w:val="22"/>
        </w:rPr>
        <w:t xml:space="preserve"> rates</w:t>
      </w:r>
      <w:r w:rsidR="00FD0A26" w:rsidRPr="00FD0A26">
        <w:rPr>
          <w:rFonts w:ascii="Garamond" w:hAnsi="Garamond"/>
          <w:sz w:val="22"/>
          <w:szCs w:val="22"/>
        </w:rPr>
        <w:t>.</w:t>
      </w:r>
      <w:r w:rsidR="00785503">
        <w:rPr>
          <w:rFonts w:ascii="Garamond" w:hAnsi="Garamond"/>
          <w:sz w:val="22"/>
          <w:szCs w:val="22"/>
        </w:rPr>
        <w:t xml:space="preserve"> </w:t>
      </w:r>
    </w:p>
    <w:p w14:paraId="4E595EF2" w14:textId="77777777" w:rsidR="0058304F" w:rsidRDefault="00785503"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N</w:t>
      </w:r>
      <w:r w:rsidRPr="00EE5F0F">
        <w:rPr>
          <w:rFonts w:ascii="Garamond" w:hAnsi="Garamond"/>
          <w:sz w:val="22"/>
          <w:szCs w:val="22"/>
        </w:rPr>
        <w:t>et export’s contribution to the real GDP</w:t>
      </w:r>
      <w:r>
        <w:rPr>
          <w:rFonts w:ascii="Garamond" w:hAnsi="Garamond"/>
          <w:sz w:val="22"/>
          <w:szCs w:val="22"/>
        </w:rPr>
        <w:t xml:space="preserve"> </w:t>
      </w:r>
      <w:r w:rsidR="00510FF0">
        <w:rPr>
          <w:rFonts w:ascii="Garamond" w:hAnsi="Garamond"/>
          <w:sz w:val="22"/>
          <w:szCs w:val="22"/>
        </w:rPr>
        <w:t xml:space="preserve">which was negative in 2018 </w:t>
      </w:r>
      <w:r w:rsidRPr="00EE5F0F">
        <w:rPr>
          <w:rFonts w:ascii="Garamond" w:hAnsi="Garamond"/>
          <w:sz w:val="22"/>
          <w:szCs w:val="22"/>
        </w:rPr>
        <w:t xml:space="preserve">will </w:t>
      </w:r>
      <w:r w:rsidR="00510FF0">
        <w:rPr>
          <w:rFonts w:ascii="Garamond" w:hAnsi="Garamond"/>
          <w:sz w:val="22"/>
          <w:szCs w:val="22"/>
        </w:rPr>
        <w:t xml:space="preserve">somehow abolish during 2019. Previous year’s high </w:t>
      </w:r>
      <w:r w:rsidR="00510FF0" w:rsidRPr="00510FF0">
        <w:rPr>
          <w:rFonts w:ascii="Garamond" w:hAnsi="Garamond"/>
          <w:sz w:val="22"/>
          <w:szCs w:val="22"/>
        </w:rPr>
        <w:t xml:space="preserve">growth rates </w:t>
      </w:r>
      <w:r w:rsidR="00510FF0">
        <w:rPr>
          <w:rFonts w:ascii="Garamond" w:hAnsi="Garamond"/>
          <w:sz w:val="22"/>
          <w:szCs w:val="22"/>
        </w:rPr>
        <w:t xml:space="preserve">in import of </w:t>
      </w:r>
      <w:r w:rsidR="00510FF0" w:rsidRPr="00510FF0">
        <w:rPr>
          <w:rFonts w:ascii="Garamond" w:hAnsi="Garamond"/>
          <w:sz w:val="22"/>
          <w:szCs w:val="22"/>
        </w:rPr>
        <w:t xml:space="preserve">investment goods will slow down </w:t>
      </w:r>
      <w:r w:rsidR="00510FF0">
        <w:rPr>
          <w:rFonts w:ascii="Garamond" w:hAnsi="Garamond"/>
          <w:sz w:val="22"/>
          <w:szCs w:val="22"/>
        </w:rPr>
        <w:t xml:space="preserve">as </w:t>
      </w:r>
      <w:r w:rsidR="00510FF0" w:rsidRPr="00510FF0">
        <w:rPr>
          <w:rFonts w:ascii="Garamond" w:hAnsi="Garamond"/>
          <w:sz w:val="22"/>
          <w:szCs w:val="22"/>
        </w:rPr>
        <w:t>some investment programs</w:t>
      </w:r>
      <w:r w:rsidR="00510FF0">
        <w:rPr>
          <w:rFonts w:ascii="Garamond" w:hAnsi="Garamond"/>
          <w:sz w:val="22"/>
          <w:szCs w:val="22"/>
        </w:rPr>
        <w:t xml:space="preserve"> reached accomplishment</w:t>
      </w:r>
      <w:r w:rsidR="00510FF0" w:rsidRPr="00510FF0">
        <w:rPr>
          <w:rFonts w:ascii="Garamond" w:hAnsi="Garamond"/>
          <w:sz w:val="22"/>
          <w:szCs w:val="22"/>
        </w:rPr>
        <w:t>.</w:t>
      </w:r>
      <w:r w:rsidR="00510FF0">
        <w:rPr>
          <w:rFonts w:ascii="Garamond" w:hAnsi="Garamond"/>
          <w:sz w:val="22"/>
          <w:szCs w:val="22"/>
        </w:rPr>
        <w:t xml:space="preserve"> T</w:t>
      </w:r>
      <w:r w:rsidR="00510FF0" w:rsidRPr="00EE5F0F">
        <w:rPr>
          <w:rFonts w:ascii="Garamond" w:hAnsi="Garamond"/>
          <w:sz w:val="22"/>
          <w:szCs w:val="22"/>
        </w:rPr>
        <w:t xml:space="preserve">he real growth of </w:t>
      </w:r>
      <w:r w:rsidR="00510FF0">
        <w:rPr>
          <w:rFonts w:ascii="Garamond" w:hAnsi="Garamond"/>
          <w:sz w:val="22"/>
          <w:szCs w:val="22"/>
        </w:rPr>
        <w:t>import</w:t>
      </w:r>
      <w:r w:rsidR="00510FF0" w:rsidRPr="00EE5F0F">
        <w:rPr>
          <w:rFonts w:ascii="Garamond" w:hAnsi="Garamond"/>
          <w:sz w:val="22"/>
          <w:szCs w:val="22"/>
        </w:rPr>
        <w:t xml:space="preserve"> of goods and services in 201</w:t>
      </w:r>
      <w:r w:rsidR="00510FF0">
        <w:rPr>
          <w:rFonts w:ascii="Garamond" w:hAnsi="Garamond"/>
          <w:sz w:val="22"/>
          <w:szCs w:val="22"/>
        </w:rPr>
        <w:t>9</w:t>
      </w:r>
      <w:r w:rsidR="00510FF0" w:rsidRPr="00EE5F0F">
        <w:rPr>
          <w:rFonts w:ascii="Garamond" w:hAnsi="Garamond"/>
          <w:sz w:val="22"/>
          <w:szCs w:val="22"/>
        </w:rPr>
        <w:t xml:space="preserve"> </w:t>
      </w:r>
      <w:r w:rsidR="00510FF0">
        <w:rPr>
          <w:rFonts w:ascii="Garamond" w:hAnsi="Garamond"/>
          <w:sz w:val="22"/>
          <w:szCs w:val="22"/>
        </w:rPr>
        <w:t>is expected in the range of 2</w:t>
      </w:r>
      <w:r w:rsidR="00510FF0" w:rsidRPr="00EE5F0F">
        <w:rPr>
          <w:rFonts w:ascii="Garamond" w:hAnsi="Garamond"/>
          <w:sz w:val="22"/>
          <w:szCs w:val="22"/>
        </w:rPr>
        <w:t>.0-</w:t>
      </w:r>
      <w:r w:rsidR="00510FF0">
        <w:rPr>
          <w:rFonts w:ascii="Garamond" w:hAnsi="Garamond"/>
          <w:sz w:val="22"/>
          <w:szCs w:val="22"/>
        </w:rPr>
        <w:t>4</w:t>
      </w:r>
      <w:r w:rsidR="00510FF0" w:rsidRPr="00EE5F0F">
        <w:rPr>
          <w:rFonts w:ascii="Garamond" w:hAnsi="Garamond"/>
          <w:sz w:val="22"/>
          <w:szCs w:val="22"/>
        </w:rPr>
        <w:t>.0%</w:t>
      </w:r>
      <w:r w:rsidR="00510FF0">
        <w:rPr>
          <w:rFonts w:ascii="Garamond" w:hAnsi="Garamond"/>
          <w:sz w:val="22"/>
          <w:szCs w:val="22"/>
        </w:rPr>
        <w:t xml:space="preserve"> and those of export,</w:t>
      </w:r>
      <w:r w:rsidR="00510FF0" w:rsidRPr="00510FF0">
        <w:rPr>
          <w:rFonts w:ascii="Garamond" w:hAnsi="Garamond"/>
          <w:sz w:val="22"/>
          <w:szCs w:val="22"/>
        </w:rPr>
        <w:t xml:space="preserve"> </w:t>
      </w:r>
      <w:r w:rsidR="00510FF0">
        <w:rPr>
          <w:rFonts w:ascii="Garamond" w:hAnsi="Garamond"/>
          <w:sz w:val="22"/>
          <w:szCs w:val="22"/>
        </w:rPr>
        <w:t>in the range of 4</w:t>
      </w:r>
      <w:r w:rsidR="00510FF0" w:rsidRPr="00EE5F0F">
        <w:rPr>
          <w:rFonts w:ascii="Garamond" w:hAnsi="Garamond"/>
          <w:sz w:val="22"/>
          <w:szCs w:val="22"/>
        </w:rPr>
        <w:t>.0-</w:t>
      </w:r>
      <w:r w:rsidR="00510FF0">
        <w:rPr>
          <w:rFonts w:ascii="Garamond" w:hAnsi="Garamond"/>
          <w:sz w:val="22"/>
          <w:szCs w:val="22"/>
        </w:rPr>
        <w:t>6</w:t>
      </w:r>
      <w:r w:rsidR="00510FF0" w:rsidRPr="00EE5F0F">
        <w:rPr>
          <w:rFonts w:ascii="Garamond" w:hAnsi="Garamond"/>
          <w:sz w:val="22"/>
          <w:szCs w:val="22"/>
        </w:rPr>
        <w:t>.0%</w:t>
      </w:r>
      <w:r w:rsidR="00510FF0">
        <w:rPr>
          <w:rFonts w:ascii="Garamond" w:hAnsi="Garamond"/>
          <w:sz w:val="22"/>
          <w:szCs w:val="22"/>
        </w:rPr>
        <w:t>.</w:t>
      </w:r>
      <w:r w:rsidR="000909CF">
        <w:rPr>
          <w:rFonts w:ascii="Garamond" w:hAnsi="Garamond"/>
          <w:sz w:val="22"/>
          <w:szCs w:val="22"/>
        </w:rPr>
        <w:t xml:space="preserve"> The growth of </w:t>
      </w:r>
      <w:r w:rsidR="0058304F">
        <w:rPr>
          <w:rFonts w:ascii="Garamond" w:hAnsi="Garamond"/>
          <w:sz w:val="22"/>
          <w:szCs w:val="22"/>
        </w:rPr>
        <w:t xml:space="preserve">net </w:t>
      </w:r>
      <w:r w:rsidR="000909CF">
        <w:rPr>
          <w:rFonts w:ascii="Garamond" w:hAnsi="Garamond"/>
          <w:sz w:val="22"/>
          <w:szCs w:val="22"/>
        </w:rPr>
        <w:t>inflow of remittances</w:t>
      </w:r>
      <w:r w:rsidR="0058304F">
        <w:rPr>
          <w:rFonts w:ascii="Garamond" w:hAnsi="Garamond"/>
          <w:sz w:val="22"/>
          <w:szCs w:val="22"/>
        </w:rPr>
        <w:t xml:space="preserve"> in 2019</w:t>
      </w:r>
      <w:r w:rsidR="000909CF">
        <w:rPr>
          <w:rFonts w:ascii="Garamond" w:hAnsi="Garamond"/>
          <w:sz w:val="22"/>
          <w:szCs w:val="22"/>
        </w:rPr>
        <w:t xml:space="preserve"> will </w:t>
      </w:r>
      <w:r w:rsidR="0058304F">
        <w:rPr>
          <w:rFonts w:ascii="Garamond" w:hAnsi="Garamond"/>
          <w:sz w:val="22"/>
          <w:szCs w:val="22"/>
        </w:rPr>
        <w:t>be between 5</w:t>
      </w:r>
      <w:r w:rsidR="0058304F" w:rsidRPr="00EE5F0F">
        <w:rPr>
          <w:rFonts w:ascii="Garamond" w:hAnsi="Garamond"/>
          <w:sz w:val="22"/>
          <w:szCs w:val="22"/>
        </w:rPr>
        <w:t>.0-</w:t>
      </w:r>
      <w:r w:rsidR="0058304F">
        <w:rPr>
          <w:rFonts w:ascii="Garamond" w:hAnsi="Garamond"/>
          <w:sz w:val="22"/>
          <w:szCs w:val="22"/>
        </w:rPr>
        <w:t>7</w:t>
      </w:r>
      <w:r w:rsidR="0058304F" w:rsidRPr="00EE5F0F">
        <w:rPr>
          <w:rFonts w:ascii="Garamond" w:hAnsi="Garamond"/>
          <w:sz w:val="22"/>
          <w:szCs w:val="22"/>
        </w:rPr>
        <w:t>.0%</w:t>
      </w:r>
      <w:r w:rsidR="0058304F">
        <w:rPr>
          <w:rFonts w:ascii="Garamond" w:hAnsi="Garamond"/>
          <w:sz w:val="22"/>
          <w:szCs w:val="22"/>
        </w:rPr>
        <w:t xml:space="preserve">, which is consistent with predicted </w:t>
      </w:r>
      <w:r w:rsidR="0058304F" w:rsidRPr="0058304F">
        <w:rPr>
          <w:rFonts w:ascii="Garamond" w:hAnsi="Garamond"/>
          <w:sz w:val="22"/>
          <w:szCs w:val="22"/>
        </w:rPr>
        <w:t>developments in the Russian economy.</w:t>
      </w:r>
      <w:r w:rsidR="0058304F">
        <w:rPr>
          <w:rFonts w:ascii="Garamond" w:hAnsi="Garamond"/>
          <w:sz w:val="22"/>
          <w:szCs w:val="22"/>
        </w:rPr>
        <w:t xml:space="preserve"> </w:t>
      </w:r>
    </w:p>
    <w:p w14:paraId="559C42C7" w14:textId="77777777" w:rsidR="00167660" w:rsidRPr="00EE5F0F" w:rsidRDefault="00167660"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As a result of the aforementioned developments, the current account deficit-to-GDP ratio will i</w:t>
      </w:r>
      <w:r w:rsidR="0058304F">
        <w:rPr>
          <w:rFonts w:ascii="Garamond" w:hAnsi="Garamond"/>
          <w:sz w:val="22"/>
          <w:szCs w:val="22"/>
        </w:rPr>
        <w:t>mprove in 2019 as it will be within 6</w:t>
      </w:r>
      <w:r w:rsidRPr="00EE5F0F">
        <w:rPr>
          <w:rFonts w:ascii="Garamond" w:hAnsi="Garamond"/>
          <w:sz w:val="22"/>
          <w:szCs w:val="22"/>
        </w:rPr>
        <w:t>.0-</w:t>
      </w:r>
      <w:r w:rsidR="00F95BE6">
        <w:rPr>
          <w:rFonts w:ascii="Garamond" w:hAnsi="Garamond"/>
          <w:sz w:val="22"/>
          <w:szCs w:val="22"/>
        </w:rPr>
        <w:t>7</w:t>
      </w:r>
      <w:r w:rsidRPr="00EE5F0F">
        <w:rPr>
          <w:rFonts w:ascii="Garamond" w:hAnsi="Garamond"/>
          <w:sz w:val="22"/>
          <w:szCs w:val="22"/>
        </w:rPr>
        <w:t>.0%.</w:t>
      </w:r>
      <w:r w:rsidR="004F233A">
        <w:rPr>
          <w:rFonts w:ascii="Garamond" w:hAnsi="Garamond"/>
          <w:sz w:val="22"/>
          <w:szCs w:val="22"/>
        </w:rPr>
        <w:t xml:space="preserve"> In the medium run, </w:t>
      </w:r>
      <w:r w:rsidR="00102E11">
        <w:rPr>
          <w:rFonts w:ascii="Garamond" w:hAnsi="Garamond"/>
          <w:sz w:val="22"/>
          <w:szCs w:val="22"/>
        </w:rPr>
        <w:t xml:space="preserve">bolstered by a </w:t>
      </w:r>
      <w:r w:rsidR="0058304F">
        <w:rPr>
          <w:rFonts w:ascii="Garamond" w:hAnsi="Garamond"/>
          <w:sz w:val="22"/>
          <w:szCs w:val="22"/>
        </w:rPr>
        <w:t xml:space="preserve">faster </w:t>
      </w:r>
      <w:r w:rsidR="00102E11" w:rsidRPr="00102E11">
        <w:rPr>
          <w:rFonts w:ascii="Garamond" w:hAnsi="Garamond"/>
          <w:sz w:val="22"/>
          <w:szCs w:val="22"/>
        </w:rPr>
        <w:t>growth of export</w:t>
      </w:r>
      <w:r w:rsidR="00102E11">
        <w:rPr>
          <w:rFonts w:ascii="Garamond" w:hAnsi="Garamond"/>
          <w:sz w:val="22"/>
          <w:szCs w:val="22"/>
        </w:rPr>
        <w:t>,</w:t>
      </w:r>
      <w:r w:rsidR="00102E11" w:rsidRPr="00102E11">
        <w:rPr>
          <w:rFonts w:ascii="Garamond" w:hAnsi="Garamond"/>
          <w:sz w:val="22"/>
          <w:szCs w:val="22"/>
        </w:rPr>
        <w:t xml:space="preserve"> </w:t>
      </w:r>
      <w:r w:rsidR="004F233A">
        <w:rPr>
          <w:rFonts w:ascii="Garamond" w:hAnsi="Garamond"/>
          <w:sz w:val="22"/>
          <w:szCs w:val="22"/>
        </w:rPr>
        <w:t xml:space="preserve">the </w:t>
      </w:r>
      <w:r w:rsidR="004F233A" w:rsidRPr="004F233A">
        <w:rPr>
          <w:rFonts w:ascii="Garamond" w:hAnsi="Garamond"/>
          <w:sz w:val="22"/>
          <w:szCs w:val="22"/>
        </w:rPr>
        <w:t xml:space="preserve">ratio </w:t>
      </w:r>
      <w:r w:rsidR="004F233A">
        <w:rPr>
          <w:rFonts w:ascii="Garamond" w:hAnsi="Garamond"/>
          <w:sz w:val="22"/>
          <w:szCs w:val="22"/>
        </w:rPr>
        <w:t xml:space="preserve">will </w:t>
      </w:r>
      <w:r w:rsidR="00302B8C">
        <w:rPr>
          <w:rFonts w:ascii="Garamond" w:hAnsi="Garamond"/>
          <w:sz w:val="22"/>
          <w:szCs w:val="22"/>
        </w:rPr>
        <w:t>stabilize ar</w:t>
      </w:r>
      <w:r w:rsidR="004F233A">
        <w:rPr>
          <w:rFonts w:ascii="Garamond" w:hAnsi="Garamond"/>
          <w:sz w:val="22"/>
          <w:szCs w:val="22"/>
        </w:rPr>
        <w:t xml:space="preserve">ound an estimated </w:t>
      </w:r>
      <w:r w:rsidR="004F233A" w:rsidRPr="004F233A">
        <w:rPr>
          <w:rFonts w:ascii="Garamond" w:hAnsi="Garamond"/>
          <w:sz w:val="22"/>
          <w:szCs w:val="22"/>
        </w:rPr>
        <w:t>3.0%</w:t>
      </w:r>
      <w:r w:rsidR="004F233A">
        <w:rPr>
          <w:rFonts w:ascii="Garamond" w:hAnsi="Garamond"/>
          <w:sz w:val="22"/>
          <w:szCs w:val="22"/>
        </w:rPr>
        <w:t xml:space="preserve"> equilibrium.</w:t>
      </w:r>
    </w:p>
    <w:p w14:paraId="66BAB677" w14:textId="77777777" w:rsidR="00D60B77" w:rsidRPr="00EE5F0F" w:rsidRDefault="00EE619D" w:rsidP="00D60B77">
      <w:pPr>
        <w:autoSpaceDE w:val="0"/>
        <w:autoSpaceDN w:val="0"/>
        <w:adjustRightInd w:val="0"/>
        <w:spacing w:after="120" w:line="360" w:lineRule="auto"/>
        <w:jc w:val="both"/>
        <w:rPr>
          <w:rFonts w:ascii="Garamond" w:hAnsi="Garamond"/>
          <w:sz w:val="22"/>
          <w:szCs w:val="22"/>
        </w:rPr>
      </w:pPr>
      <w:r w:rsidRPr="00974358">
        <w:rPr>
          <w:rFonts w:ascii="Garamond" w:hAnsi="Garamond"/>
          <w:b/>
          <w:sz w:val="22"/>
          <w:szCs w:val="22"/>
        </w:rPr>
        <w:t>Fiscal policy:</w:t>
      </w:r>
      <w:r w:rsidRPr="00974358">
        <w:rPr>
          <w:rFonts w:ascii="Garamond" w:hAnsi="Garamond"/>
          <w:sz w:val="22"/>
          <w:szCs w:val="22"/>
        </w:rPr>
        <w:t xml:space="preserve"> </w:t>
      </w:r>
      <w:r w:rsidR="00974358">
        <w:rPr>
          <w:rFonts w:ascii="Garamond" w:hAnsi="Garamond"/>
          <w:sz w:val="22"/>
          <w:szCs w:val="22"/>
        </w:rPr>
        <w:t xml:space="preserve">The </w:t>
      </w:r>
      <w:r w:rsidR="00974358" w:rsidRPr="00D60B77">
        <w:rPr>
          <w:rFonts w:ascii="Garamond" w:hAnsi="Garamond"/>
          <w:b/>
          <w:sz w:val="22"/>
          <w:szCs w:val="22"/>
        </w:rPr>
        <w:t>fiscal policy’s impact</w:t>
      </w:r>
      <w:r w:rsidR="00974358">
        <w:rPr>
          <w:rFonts w:ascii="Garamond" w:hAnsi="Garamond"/>
          <w:sz w:val="22"/>
          <w:szCs w:val="22"/>
        </w:rPr>
        <w:t xml:space="preserve"> on aggregate demand </w:t>
      </w:r>
      <w:r w:rsidR="00D60B77">
        <w:rPr>
          <w:rFonts w:ascii="Garamond" w:hAnsi="Garamond"/>
          <w:sz w:val="22"/>
          <w:szCs w:val="22"/>
        </w:rPr>
        <w:t>in</w:t>
      </w:r>
      <w:r w:rsidR="004059B4">
        <w:rPr>
          <w:rFonts w:ascii="Garamond" w:hAnsi="Garamond"/>
          <w:sz w:val="22"/>
          <w:szCs w:val="22"/>
        </w:rPr>
        <w:t xml:space="preserve"> 2019</w:t>
      </w:r>
      <w:r w:rsidR="00974358">
        <w:rPr>
          <w:rFonts w:ascii="Garamond" w:hAnsi="Garamond"/>
          <w:sz w:val="22"/>
          <w:szCs w:val="22"/>
        </w:rPr>
        <w:t xml:space="preserve"> </w:t>
      </w:r>
      <w:r w:rsidR="004059B4">
        <w:rPr>
          <w:rFonts w:ascii="Garamond" w:hAnsi="Garamond"/>
          <w:sz w:val="22"/>
          <w:szCs w:val="22"/>
        </w:rPr>
        <w:t xml:space="preserve">was </w:t>
      </w:r>
      <w:r w:rsidR="00974358">
        <w:rPr>
          <w:rFonts w:ascii="Garamond" w:hAnsi="Garamond"/>
          <w:sz w:val="22"/>
          <w:szCs w:val="22"/>
        </w:rPr>
        <w:t>estimated using the revenue and e</w:t>
      </w:r>
      <w:r w:rsidR="00974358" w:rsidRPr="00974358">
        <w:rPr>
          <w:rFonts w:ascii="Garamond" w:hAnsi="Garamond"/>
          <w:sz w:val="22"/>
          <w:szCs w:val="22"/>
        </w:rPr>
        <w:t>xpenditure</w:t>
      </w:r>
      <w:r w:rsidR="007F3F03">
        <w:rPr>
          <w:rFonts w:ascii="Garamond" w:hAnsi="Garamond"/>
          <w:sz w:val="22"/>
          <w:szCs w:val="22"/>
        </w:rPr>
        <w:t xml:space="preserve"> </w:t>
      </w:r>
      <w:r w:rsidR="00974358">
        <w:rPr>
          <w:rFonts w:ascii="Garamond" w:hAnsi="Garamond"/>
          <w:sz w:val="22"/>
          <w:szCs w:val="22"/>
        </w:rPr>
        <w:t>i</w:t>
      </w:r>
      <w:r w:rsidR="00974358" w:rsidRPr="00974358">
        <w:rPr>
          <w:rFonts w:ascii="Garamond" w:hAnsi="Garamond"/>
          <w:sz w:val="22"/>
          <w:szCs w:val="22"/>
        </w:rPr>
        <w:t>ndicat</w:t>
      </w:r>
      <w:r w:rsidR="007F3F03">
        <w:rPr>
          <w:rFonts w:ascii="Garamond" w:hAnsi="Garamond"/>
          <w:sz w:val="22"/>
          <w:szCs w:val="22"/>
        </w:rPr>
        <w:t>ors</w:t>
      </w:r>
      <w:r w:rsidR="004059B4">
        <w:rPr>
          <w:rFonts w:ascii="Garamond" w:hAnsi="Garamond"/>
          <w:sz w:val="22"/>
          <w:szCs w:val="22"/>
        </w:rPr>
        <w:t>, so</w:t>
      </w:r>
      <w:r w:rsidR="007F3F03">
        <w:rPr>
          <w:rFonts w:ascii="Garamond" w:hAnsi="Garamond"/>
          <w:sz w:val="22"/>
          <w:szCs w:val="22"/>
        </w:rPr>
        <w:t xml:space="preserve"> outlined in </w:t>
      </w:r>
      <w:r w:rsidR="00974358">
        <w:rPr>
          <w:rFonts w:ascii="Garamond" w:hAnsi="Garamond"/>
          <w:sz w:val="22"/>
          <w:szCs w:val="22"/>
        </w:rPr>
        <w:t>the Republic of A</w:t>
      </w:r>
      <w:r w:rsidR="004059B4">
        <w:rPr>
          <w:rFonts w:ascii="Garamond" w:hAnsi="Garamond"/>
          <w:sz w:val="22"/>
          <w:szCs w:val="22"/>
        </w:rPr>
        <w:t>rmenia Law on “State Budget 2019</w:t>
      </w:r>
      <w:r w:rsidR="00974358">
        <w:rPr>
          <w:rFonts w:ascii="Garamond" w:hAnsi="Garamond"/>
          <w:sz w:val="22"/>
          <w:szCs w:val="22"/>
        </w:rPr>
        <w:t>”</w:t>
      </w:r>
      <w:r w:rsidR="004059B4">
        <w:rPr>
          <w:rFonts w:ascii="Garamond" w:hAnsi="Garamond"/>
          <w:sz w:val="22"/>
          <w:szCs w:val="22"/>
        </w:rPr>
        <w:t>,</w:t>
      </w:r>
      <w:r w:rsidR="00974358">
        <w:rPr>
          <w:rFonts w:ascii="Garamond" w:hAnsi="Garamond"/>
          <w:sz w:val="22"/>
          <w:szCs w:val="22"/>
        </w:rPr>
        <w:t xml:space="preserve"> and </w:t>
      </w:r>
      <w:r w:rsidR="007F3F03">
        <w:rPr>
          <w:rFonts w:ascii="Garamond" w:hAnsi="Garamond"/>
          <w:sz w:val="22"/>
          <w:szCs w:val="22"/>
        </w:rPr>
        <w:t>the Central Bank estimates</w:t>
      </w:r>
      <w:r w:rsidR="00D60B77">
        <w:rPr>
          <w:rFonts w:ascii="Garamond" w:hAnsi="Garamond"/>
          <w:sz w:val="22"/>
          <w:szCs w:val="22"/>
        </w:rPr>
        <w:t>.</w:t>
      </w:r>
      <w:r w:rsidR="00974358">
        <w:rPr>
          <w:rFonts w:ascii="Garamond" w:hAnsi="Garamond"/>
          <w:sz w:val="22"/>
          <w:szCs w:val="22"/>
        </w:rPr>
        <w:t xml:space="preserve"> </w:t>
      </w:r>
    </w:p>
    <w:p w14:paraId="23F6DBD5" w14:textId="77777777" w:rsidR="004059B4" w:rsidRDefault="004059B4" w:rsidP="00572A12">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As regards the taxes, the indicator is </w:t>
      </w:r>
      <w:r w:rsidR="009A742E">
        <w:rPr>
          <w:rFonts w:ascii="Garamond" w:hAnsi="Garamond"/>
          <w:sz w:val="22"/>
          <w:szCs w:val="22"/>
        </w:rPr>
        <w:t xml:space="preserve">planned </w:t>
      </w:r>
      <w:r>
        <w:rPr>
          <w:rFonts w:ascii="Garamond" w:hAnsi="Garamond"/>
          <w:sz w:val="22"/>
          <w:szCs w:val="22"/>
        </w:rPr>
        <w:t xml:space="preserve">to be </w:t>
      </w:r>
      <w:r w:rsidR="009A742E">
        <w:rPr>
          <w:rFonts w:ascii="Garamond" w:hAnsi="Garamond"/>
          <w:sz w:val="22"/>
          <w:szCs w:val="22"/>
        </w:rPr>
        <w:t>in line with the figure outlined in the law, as a result of which the t</w:t>
      </w:r>
      <w:r w:rsidRPr="004059B4">
        <w:rPr>
          <w:rFonts w:ascii="Garamond" w:hAnsi="Garamond"/>
          <w:sz w:val="22"/>
          <w:szCs w:val="22"/>
        </w:rPr>
        <w:t>ax</w:t>
      </w:r>
      <w:r w:rsidR="009A742E">
        <w:rPr>
          <w:rFonts w:ascii="Garamond" w:hAnsi="Garamond"/>
          <w:sz w:val="22"/>
          <w:szCs w:val="22"/>
        </w:rPr>
        <w:t xml:space="preserve">es-to-GDP </w:t>
      </w:r>
      <w:r w:rsidRPr="004059B4">
        <w:rPr>
          <w:rFonts w:ascii="Garamond" w:hAnsi="Garamond"/>
          <w:sz w:val="22"/>
          <w:szCs w:val="22"/>
        </w:rPr>
        <w:t>ratio</w:t>
      </w:r>
      <w:r w:rsidR="003970F8">
        <w:rPr>
          <w:rStyle w:val="FootnoteReference"/>
          <w:rFonts w:ascii="Garamond" w:hAnsi="Garamond"/>
          <w:sz w:val="22"/>
          <w:szCs w:val="22"/>
        </w:rPr>
        <w:footnoteReference w:customMarkFollows="1" w:id="2"/>
        <w:t>3</w:t>
      </w:r>
      <w:r w:rsidRPr="004059B4">
        <w:rPr>
          <w:rFonts w:ascii="Garamond" w:hAnsi="Garamond"/>
          <w:sz w:val="22"/>
          <w:szCs w:val="22"/>
        </w:rPr>
        <w:t xml:space="preserve"> will </w:t>
      </w:r>
      <w:r w:rsidR="009A742E">
        <w:rPr>
          <w:rFonts w:ascii="Garamond" w:hAnsi="Garamond"/>
          <w:sz w:val="22"/>
          <w:szCs w:val="22"/>
        </w:rPr>
        <w:t xml:space="preserve">amount to </w:t>
      </w:r>
      <w:r w:rsidRPr="004059B4">
        <w:rPr>
          <w:rFonts w:ascii="Garamond" w:hAnsi="Garamond"/>
          <w:sz w:val="22"/>
          <w:szCs w:val="22"/>
        </w:rPr>
        <w:t xml:space="preserve">21.4%, </w:t>
      </w:r>
      <w:r w:rsidR="009A742E">
        <w:rPr>
          <w:rFonts w:ascii="Garamond" w:hAnsi="Garamond"/>
          <w:sz w:val="22"/>
          <w:szCs w:val="22"/>
        </w:rPr>
        <w:t>up by</w:t>
      </w:r>
      <w:r w:rsidRPr="004059B4">
        <w:rPr>
          <w:rFonts w:ascii="Garamond" w:hAnsi="Garamond"/>
          <w:sz w:val="22"/>
          <w:szCs w:val="22"/>
        </w:rPr>
        <w:t xml:space="preserve"> 0.5 p</w:t>
      </w:r>
      <w:r w:rsidR="009A742E">
        <w:rPr>
          <w:rFonts w:ascii="Garamond" w:hAnsi="Garamond"/>
          <w:sz w:val="22"/>
          <w:szCs w:val="22"/>
        </w:rPr>
        <w:t xml:space="preserve">p </w:t>
      </w:r>
      <w:r w:rsidRPr="004059B4">
        <w:rPr>
          <w:rFonts w:ascii="Garamond" w:hAnsi="Garamond"/>
          <w:sz w:val="22"/>
          <w:szCs w:val="22"/>
        </w:rPr>
        <w:t>compared to the previous year.</w:t>
      </w:r>
    </w:p>
    <w:p w14:paraId="505C43BC" w14:textId="77777777" w:rsidR="00632A26" w:rsidRDefault="00632A26" w:rsidP="00572A12">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Considering </w:t>
      </w:r>
      <w:r w:rsidRPr="00632A26">
        <w:rPr>
          <w:rFonts w:ascii="Garamond" w:hAnsi="Garamond"/>
          <w:sz w:val="22"/>
          <w:szCs w:val="22"/>
        </w:rPr>
        <w:t xml:space="preserve">the </w:t>
      </w:r>
      <w:r>
        <w:rPr>
          <w:rFonts w:ascii="Garamond" w:hAnsi="Garamond"/>
          <w:sz w:val="22"/>
          <w:szCs w:val="22"/>
        </w:rPr>
        <w:t xml:space="preserve">budget </w:t>
      </w:r>
      <w:r w:rsidRPr="00632A26">
        <w:rPr>
          <w:rFonts w:ascii="Garamond" w:hAnsi="Garamond"/>
          <w:sz w:val="22"/>
          <w:szCs w:val="22"/>
        </w:rPr>
        <w:t xml:space="preserve">performance indicators of previous years, about 2.5% of </w:t>
      </w:r>
      <w:r w:rsidR="00111FBD">
        <w:rPr>
          <w:rFonts w:ascii="Garamond" w:hAnsi="Garamond"/>
          <w:sz w:val="22"/>
          <w:szCs w:val="22"/>
        </w:rPr>
        <w:t>government’s spending (nearly</w:t>
      </w:r>
      <w:r w:rsidRPr="00632A26">
        <w:rPr>
          <w:rFonts w:ascii="Garamond" w:hAnsi="Garamond"/>
          <w:sz w:val="22"/>
          <w:szCs w:val="22"/>
        </w:rPr>
        <w:t xml:space="preserve"> </w:t>
      </w:r>
      <w:r w:rsidR="00111FBD">
        <w:rPr>
          <w:rFonts w:ascii="Garamond" w:hAnsi="Garamond"/>
          <w:sz w:val="22"/>
          <w:szCs w:val="22"/>
        </w:rPr>
        <w:t xml:space="preserve">AMD </w:t>
      </w:r>
      <w:r w:rsidRPr="00632A26">
        <w:rPr>
          <w:rFonts w:ascii="Garamond" w:hAnsi="Garamond"/>
          <w:sz w:val="22"/>
          <w:szCs w:val="22"/>
        </w:rPr>
        <w:t>40.0 billion)</w:t>
      </w:r>
      <w:r w:rsidR="00111FBD">
        <w:rPr>
          <w:rFonts w:ascii="Garamond" w:hAnsi="Garamond"/>
          <w:sz w:val="22"/>
          <w:szCs w:val="22"/>
        </w:rPr>
        <w:t xml:space="preserve"> is projected to be saved</w:t>
      </w:r>
      <w:r w:rsidRPr="00632A26">
        <w:rPr>
          <w:rFonts w:ascii="Garamond" w:hAnsi="Garamond"/>
          <w:sz w:val="22"/>
          <w:szCs w:val="22"/>
        </w:rPr>
        <w:t xml:space="preserve">, mainly </w:t>
      </w:r>
      <w:r w:rsidR="00111FBD">
        <w:rPr>
          <w:rFonts w:ascii="Garamond" w:hAnsi="Garamond"/>
          <w:sz w:val="22"/>
          <w:szCs w:val="22"/>
        </w:rPr>
        <w:t xml:space="preserve">on the part foreign </w:t>
      </w:r>
      <w:r w:rsidRPr="00632A26">
        <w:rPr>
          <w:rFonts w:ascii="Garamond" w:hAnsi="Garamond"/>
          <w:sz w:val="22"/>
          <w:szCs w:val="22"/>
        </w:rPr>
        <w:t>assistance programs. The expenditure</w:t>
      </w:r>
      <w:r w:rsidR="00111FBD">
        <w:rPr>
          <w:rFonts w:ascii="Garamond" w:hAnsi="Garamond"/>
          <w:sz w:val="22"/>
          <w:szCs w:val="22"/>
        </w:rPr>
        <w:t>-to-</w:t>
      </w:r>
      <w:r w:rsidRPr="00632A26">
        <w:rPr>
          <w:rFonts w:ascii="Garamond" w:hAnsi="Garamond"/>
          <w:sz w:val="22"/>
          <w:szCs w:val="22"/>
        </w:rPr>
        <w:t xml:space="preserve">GDP ratio will make </w:t>
      </w:r>
      <w:r w:rsidR="00111FBD">
        <w:rPr>
          <w:rFonts w:ascii="Garamond" w:hAnsi="Garamond"/>
          <w:sz w:val="22"/>
          <w:szCs w:val="22"/>
        </w:rPr>
        <w:t xml:space="preserve">up </w:t>
      </w:r>
      <w:r w:rsidRPr="00632A26">
        <w:rPr>
          <w:rFonts w:ascii="Garamond" w:hAnsi="Garamond"/>
          <w:sz w:val="22"/>
          <w:szCs w:val="22"/>
        </w:rPr>
        <w:t xml:space="preserve">24.1%, </w:t>
      </w:r>
      <w:r w:rsidR="00111FBD">
        <w:rPr>
          <w:rFonts w:ascii="Garamond" w:hAnsi="Garamond"/>
          <w:sz w:val="22"/>
          <w:szCs w:val="22"/>
        </w:rPr>
        <w:t xml:space="preserve">up by </w:t>
      </w:r>
      <w:r w:rsidRPr="00632A26">
        <w:rPr>
          <w:rFonts w:ascii="Garamond" w:hAnsi="Garamond"/>
          <w:sz w:val="22"/>
          <w:szCs w:val="22"/>
        </w:rPr>
        <w:t>0.6 p</w:t>
      </w:r>
      <w:r w:rsidR="00111FBD">
        <w:rPr>
          <w:rFonts w:ascii="Garamond" w:hAnsi="Garamond"/>
          <w:sz w:val="22"/>
          <w:szCs w:val="22"/>
        </w:rPr>
        <w:t>p relative to</w:t>
      </w:r>
      <w:r w:rsidRPr="00632A26">
        <w:rPr>
          <w:rFonts w:ascii="Garamond" w:hAnsi="Garamond"/>
          <w:sz w:val="22"/>
          <w:szCs w:val="22"/>
        </w:rPr>
        <w:t xml:space="preserve"> the previous year.</w:t>
      </w:r>
    </w:p>
    <w:p w14:paraId="7E9F5677" w14:textId="77777777" w:rsidR="00111FBD" w:rsidRDefault="00111FBD" w:rsidP="00572A12">
      <w:pPr>
        <w:autoSpaceDE w:val="0"/>
        <w:autoSpaceDN w:val="0"/>
        <w:adjustRightInd w:val="0"/>
        <w:spacing w:after="120" w:line="360" w:lineRule="auto"/>
        <w:jc w:val="both"/>
        <w:rPr>
          <w:rFonts w:ascii="Garamond" w:hAnsi="Garamond"/>
          <w:sz w:val="22"/>
          <w:szCs w:val="22"/>
        </w:rPr>
      </w:pPr>
      <w:r w:rsidRPr="00111FBD">
        <w:rPr>
          <w:rFonts w:ascii="Garamond" w:hAnsi="Garamond"/>
          <w:sz w:val="22"/>
          <w:szCs w:val="22"/>
        </w:rPr>
        <w:t xml:space="preserve">Budget deficit will </w:t>
      </w:r>
      <w:r>
        <w:rPr>
          <w:rFonts w:ascii="Garamond" w:hAnsi="Garamond"/>
          <w:sz w:val="22"/>
          <w:szCs w:val="22"/>
        </w:rPr>
        <w:t>come s</w:t>
      </w:r>
      <w:r w:rsidRPr="00111FBD">
        <w:rPr>
          <w:rFonts w:ascii="Garamond" w:hAnsi="Garamond"/>
          <w:sz w:val="22"/>
          <w:szCs w:val="22"/>
        </w:rPr>
        <w:t xml:space="preserve">maller than expected </w:t>
      </w:r>
      <w:r>
        <w:rPr>
          <w:rFonts w:ascii="Garamond" w:hAnsi="Garamond"/>
          <w:sz w:val="22"/>
          <w:szCs w:val="22"/>
        </w:rPr>
        <w:t xml:space="preserve">owing to performed </w:t>
      </w:r>
      <w:r w:rsidRPr="00111FBD">
        <w:rPr>
          <w:rFonts w:ascii="Garamond" w:hAnsi="Garamond"/>
          <w:sz w:val="22"/>
          <w:szCs w:val="22"/>
        </w:rPr>
        <w:t>expenditure</w:t>
      </w:r>
      <w:r>
        <w:rPr>
          <w:rFonts w:ascii="Garamond" w:hAnsi="Garamond"/>
          <w:sz w:val="22"/>
          <w:szCs w:val="22"/>
        </w:rPr>
        <w:t xml:space="preserve">s: the </w:t>
      </w:r>
      <w:r w:rsidRPr="00111FBD">
        <w:rPr>
          <w:rFonts w:ascii="Garamond" w:hAnsi="Garamond"/>
          <w:sz w:val="22"/>
          <w:szCs w:val="22"/>
        </w:rPr>
        <w:t>deficit</w:t>
      </w:r>
      <w:r>
        <w:rPr>
          <w:rFonts w:ascii="Garamond" w:hAnsi="Garamond"/>
          <w:sz w:val="22"/>
          <w:szCs w:val="22"/>
        </w:rPr>
        <w:t>-to-</w:t>
      </w:r>
      <w:r w:rsidRPr="00111FBD">
        <w:rPr>
          <w:rFonts w:ascii="Garamond" w:hAnsi="Garamond"/>
          <w:sz w:val="22"/>
          <w:szCs w:val="22"/>
        </w:rPr>
        <w:t xml:space="preserve">GDP </w:t>
      </w:r>
      <w:r>
        <w:rPr>
          <w:rFonts w:ascii="Garamond" w:hAnsi="Garamond"/>
          <w:sz w:val="22"/>
          <w:szCs w:val="22"/>
        </w:rPr>
        <w:t>ratio is an estimated 1.</w:t>
      </w:r>
      <w:r w:rsidRPr="00111FBD">
        <w:rPr>
          <w:rFonts w:ascii="Garamond" w:hAnsi="Garamond"/>
          <w:sz w:val="22"/>
          <w:szCs w:val="22"/>
        </w:rPr>
        <w:t>7%</w:t>
      </w:r>
      <w:r>
        <w:rPr>
          <w:rFonts w:ascii="Garamond" w:hAnsi="Garamond"/>
          <w:sz w:val="22"/>
          <w:szCs w:val="22"/>
        </w:rPr>
        <w:t xml:space="preserve"> for 2019</w:t>
      </w:r>
      <w:r w:rsidRPr="00111FBD">
        <w:rPr>
          <w:rFonts w:ascii="Garamond" w:hAnsi="Garamond"/>
          <w:sz w:val="22"/>
          <w:szCs w:val="22"/>
        </w:rPr>
        <w:t xml:space="preserve">, instead of 2.2% provided for by </w:t>
      </w:r>
      <w:r>
        <w:rPr>
          <w:rFonts w:ascii="Garamond" w:hAnsi="Garamond"/>
          <w:sz w:val="22"/>
          <w:szCs w:val="22"/>
        </w:rPr>
        <w:t xml:space="preserve">the </w:t>
      </w:r>
      <w:r w:rsidRPr="00111FBD">
        <w:rPr>
          <w:rFonts w:ascii="Garamond" w:hAnsi="Garamond"/>
          <w:sz w:val="22"/>
          <w:szCs w:val="22"/>
        </w:rPr>
        <w:t>law.</w:t>
      </w:r>
    </w:p>
    <w:p w14:paraId="41C504E6" w14:textId="77777777" w:rsidR="00C86ABF" w:rsidRDefault="001C3F35" w:rsidP="00572A12">
      <w:pPr>
        <w:autoSpaceDE w:val="0"/>
        <w:autoSpaceDN w:val="0"/>
        <w:adjustRightInd w:val="0"/>
        <w:spacing w:after="120" w:line="360" w:lineRule="auto"/>
        <w:jc w:val="both"/>
        <w:rPr>
          <w:rFonts w:ascii="Garamond" w:hAnsi="Garamond"/>
          <w:sz w:val="22"/>
          <w:szCs w:val="22"/>
        </w:rPr>
      </w:pPr>
      <w:r>
        <w:rPr>
          <w:rFonts w:ascii="Garamond" w:hAnsi="Garamond"/>
          <w:sz w:val="22"/>
          <w:szCs w:val="22"/>
        </w:rPr>
        <w:t>Given t</w:t>
      </w:r>
      <w:r w:rsidR="00C86ABF" w:rsidRPr="00C86ABF">
        <w:rPr>
          <w:rFonts w:ascii="Garamond" w:hAnsi="Garamond"/>
          <w:sz w:val="22"/>
          <w:szCs w:val="22"/>
        </w:rPr>
        <w:t>he tax and expenditure estimates</w:t>
      </w:r>
      <w:r w:rsidR="00C86ABF">
        <w:rPr>
          <w:rFonts w:ascii="Garamond" w:hAnsi="Garamond"/>
          <w:sz w:val="22"/>
          <w:szCs w:val="22"/>
        </w:rPr>
        <w:t xml:space="preserve"> mentioned above</w:t>
      </w:r>
      <w:r>
        <w:rPr>
          <w:rFonts w:ascii="Garamond" w:hAnsi="Garamond"/>
          <w:sz w:val="22"/>
          <w:szCs w:val="22"/>
        </w:rPr>
        <w:t xml:space="preserve"> and</w:t>
      </w:r>
      <w:r w:rsidR="00C86ABF" w:rsidRPr="00C86ABF">
        <w:rPr>
          <w:rFonts w:ascii="Garamond" w:hAnsi="Garamond"/>
          <w:sz w:val="22"/>
          <w:szCs w:val="22"/>
        </w:rPr>
        <w:t xml:space="preserve"> </w:t>
      </w:r>
      <w:r>
        <w:rPr>
          <w:rFonts w:ascii="Garamond" w:hAnsi="Garamond"/>
          <w:sz w:val="22"/>
          <w:szCs w:val="22"/>
        </w:rPr>
        <w:t xml:space="preserve">the </w:t>
      </w:r>
      <w:r w:rsidR="00C86ABF" w:rsidRPr="00C86ABF">
        <w:rPr>
          <w:rFonts w:ascii="Garamond" w:hAnsi="Garamond"/>
          <w:sz w:val="22"/>
          <w:szCs w:val="22"/>
        </w:rPr>
        <w:t xml:space="preserve">public expenditure and revenue streams that </w:t>
      </w:r>
      <w:r>
        <w:rPr>
          <w:rFonts w:ascii="Garamond" w:hAnsi="Garamond"/>
          <w:sz w:val="22"/>
          <w:szCs w:val="22"/>
        </w:rPr>
        <w:t>did not affect</w:t>
      </w:r>
      <w:r w:rsidR="00C86ABF" w:rsidRPr="00C86ABF">
        <w:rPr>
          <w:rFonts w:ascii="Garamond" w:hAnsi="Garamond"/>
          <w:sz w:val="22"/>
          <w:szCs w:val="22"/>
        </w:rPr>
        <w:t xml:space="preserve"> aggregate demand, </w:t>
      </w:r>
      <w:r>
        <w:rPr>
          <w:rFonts w:ascii="Garamond" w:hAnsi="Garamond"/>
          <w:sz w:val="22"/>
          <w:szCs w:val="22"/>
        </w:rPr>
        <w:t xml:space="preserve">the fiscal policy’s impact on aggregate </w:t>
      </w:r>
      <w:r w:rsidR="00C86ABF" w:rsidRPr="00C86ABF">
        <w:rPr>
          <w:rFonts w:ascii="Garamond" w:hAnsi="Garamond"/>
          <w:sz w:val="22"/>
          <w:szCs w:val="22"/>
        </w:rPr>
        <w:t xml:space="preserve">demand will </w:t>
      </w:r>
      <w:r>
        <w:rPr>
          <w:rFonts w:ascii="Garamond" w:hAnsi="Garamond"/>
          <w:sz w:val="22"/>
          <w:szCs w:val="22"/>
        </w:rPr>
        <w:t xml:space="preserve">be </w:t>
      </w:r>
      <w:r w:rsidR="00C86ABF" w:rsidRPr="00C86ABF">
        <w:rPr>
          <w:rFonts w:ascii="Garamond" w:hAnsi="Garamond"/>
          <w:sz w:val="22"/>
          <w:szCs w:val="22"/>
        </w:rPr>
        <w:t>0.4 p</w:t>
      </w:r>
      <w:r>
        <w:rPr>
          <w:rFonts w:ascii="Garamond" w:hAnsi="Garamond"/>
          <w:sz w:val="22"/>
          <w:szCs w:val="22"/>
        </w:rPr>
        <w:t>p contractionary in 2019, which is mostly determined  by a contractionary impulse of</w:t>
      </w:r>
      <w:r w:rsidR="00C86ABF" w:rsidRPr="00C86ABF">
        <w:rPr>
          <w:rFonts w:ascii="Garamond" w:hAnsi="Garamond"/>
          <w:sz w:val="22"/>
          <w:szCs w:val="22"/>
        </w:rPr>
        <w:t xml:space="preserve"> revenue</w:t>
      </w:r>
      <w:r>
        <w:rPr>
          <w:rFonts w:ascii="Garamond" w:hAnsi="Garamond"/>
          <w:sz w:val="22"/>
          <w:szCs w:val="22"/>
        </w:rPr>
        <w:t>s</w:t>
      </w:r>
      <w:r w:rsidR="00C86ABF" w:rsidRPr="00C86ABF">
        <w:rPr>
          <w:rFonts w:ascii="Garamond" w:hAnsi="Garamond"/>
          <w:sz w:val="22"/>
          <w:szCs w:val="22"/>
        </w:rPr>
        <w:t>.</w:t>
      </w:r>
    </w:p>
    <w:tbl>
      <w:tblPr>
        <w:tblStyle w:val="TableGrid"/>
        <w:tblW w:w="0" w:type="auto"/>
        <w:tblLook w:val="04A0" w:firstRow="1" w:lastRow="0" w:firstColumn="1" w:lastColumn="0" w:noHBand="0" w:noVBand="1"/>
      </w:tblPr>
      <w:tblGrid>
        <w:gridCol w:w="6204"/>
      </w:tblGrid>
      <w:tr w:rsidR="002A4151" w:rsidRPr="00AB24C1" w14:paraId="1261631C" w14:textId="77777777" w:rsidTr="002A4151">
        <w:tc>
          <w:tcPr>
            <w:tcW w:w="6204" w:type="dxa"/>
          </w:tcPr>
          <w:p w14:paraId="3E59B429" w14:textId="77777777" w:rsidR="002A4151" w:rsidRPr="002A4151" w:rsidRDefault="002A4151" w:rsidP="002A4151">
            <w:pPr>
              <w:autoSpaceDE w:val="0"/>
              <w:autoSpaceDN w:val="0"/>
              <w:adjustRightInd w:val="0"/>
              <w:spacing w:after="120" w:line="360" w:lineRule="auto"/>
              <w:jc w:val="both"/>
              <w:rPr>
                <w:rFonts w:ascii="Garamond" w:hAnsi="Garamond"/>
                <w:color w:val="0070C0"/>
                <w:sz w:val="20"/>
                <w:szCs w:val="20"/>
              </w:rPr>
            </w:pPr>
            <w:r w:rsidRPr="002A4151">
              <w:rPr>
                <w:rFonts w:ascii="Garamond" w:hAnsi="Garamond"/>
                <w:color w:val="0070C0"/>
                <w:sz w:val="20"/>
                <w:szCs w:val="20"/>
              </w:rPr>
              <w:lastRenderedPageBreak/>
              <w:t>In 2019, relative to 2018, the fiscal policy’s impact on aggregate demand is an estimated 0.4 pp contractionary.</w:t>
            </w:r>
          </w:p>
        </w:tc>
      </w:tr>
    </w:tbl>
    <w:p w14:paraId="3D23F753" w14:textId="77777777" w:rsidR="00680C82" w:rsidRDefault="00B20764" w:rsidP="007662B4">
      <w:pPr>
        <w:autoSpaceDE w:val="0"/>
        <w:autoSpaceDN w:val="0"/>
        <w:adjustRightInd w:val="0"/>
        <w:spacing w:after="120" w:line="360" w:lineRule="auto"/>
        <w:jc w:val="both"/>
        <w:rPr>
          <w:rFonts w:ascii="Garamond" w:hAnsi="Garamond"/>
          <w:sz w:val="22"/>
          <w:szCs w:val="22"/>
        </w:rPr>
      </w:pPr>
      <w:r>
        <w:rPr>
          <w:rFonts w:ascii="Garamond" w:hAnsi="Garamond"/>
          <w:b/>
          <w:sz w:val="22"/>
          <w:szCs w:val="22"/>
        </w:rPr>
        <w:t xml:space="preserve">In the context of pursuing </w:t>
      </w:r>
      <w:r w:rsidRPr="00653CAD">
        <w:rPr>
          <w:rFonts w:ascii="Garamond" w:hAnsi="Garamond"/>
          <w:b/>
          <w:sz w:val="22"/>
          <w:szCs w:val="22"/>
        </w:rPr>
        <w:t>a sustainable fiscal and debt environment</w:t>
      </w:r>
      <w:r>
        <w:rPr>
          <w:rFonts w:ascii="Garamond" w:hAnsi="Garamond"/>
          <w:b/>
          <w:sz w:val="22"/>
          <w:szCs w:val="22"/>
        </w:rPr>
        <w:t>, t</w:t>
      </w:r>
      <w:r w:rsidR="002A4151" w:rsidRPr="00653CAD">
        <w:rPr>
          <w:rFonts w:ascii="Garamond" w:hAnsi="Garamond"/>
          <w:b/>
          <w:sz w:val="22"/>
          <w:szCs w:val="22"/>
        </w:rPr>
        <w:t>he mid-term impact of fiscal policy is estimated slightly contractionary for 2020 and 2021</w:t>
      </w:r>
      <w:r>
        <w:rPr>
          <w:rFonts w:ascii="Garamond" w:hAnsi="Garamond"/>
          <w:b/>
          <w:sz w:val="22"/>
          <w:szCs w:val="22"/>
        </w:rPr>
        <w:t xml:space="preserve">, </w:t>
      </w:r>
      <w:r w:rsidRPr="00653CAD">
        <w:rPr>
          <w:rFonts w:ascii="Garamond" w:hAnsi="Garamond"/>
          <w:b/>
          <w:sz w:val="22"/>
          <w:szCs w:val="22"/>
        </w:rPr>
        <w:t>according to the Medium Term Expenditure Framework for 2019-2021</w:t>
      </w:r>
      <w:r>
        <w:rPr>
          <w:rFonts w:ascii="Garamond" w:hAnsi="Garamond"/>
          <w:b/>
          <w:sz w:val="22"/>
          <w:szCs w:val="22"/>
        </w:rPr>
        <w:t>.</w:t>
      </w:r>
      <w:r w:rsidR="00653CAD" w:rsidRPr="00653CAD">
        <w:rPr>
          <w:rFonts w:ascii="Garamond" w:hAnsi="Garamond"/>
          <w:b/>
          <w:sz w:val="22"/>
          <w:szCs w:val="22"/>
        </w:rPr>
        <w:t xml:space="preserve"> </w:t>
      </w:r>
      <w:r>
        <w:rPr>
          <w:rFonts w:ascii="Garamond" w:hAnsi="Garamond"/>
          <w:sz w:val="22"/>
          <w:szCs w:val="22"/>
        </w:rPr>
        <w:t>For the time being, t</w:t>
      </w:r>
      <w:r w:rsidR="00653CAD" w:rsidRPr="00653CAD">
        <w:rPr>
          <w:rFonts w:ascii="Garamond" w:hAnsi="Garamond"/>
          <w:sz w:val="22"/>
          <w:szCs w:val="22"/>
        </w:rPr>
        <w:t xml:space="preserve">he Central Bank has no other assumptions </w:t>
      </w:r>
      <w:r w:rsidR="00653CAD">
        <w:rPr>
          <w:rFonts w:ascii="Garamond" w:hAnsi="Garamond"/>
          <w:sz w:val="22"/>
          <w:szCs w:val="22"/>
        </w:rPr>
        <w:t xml:space="preserve">for </w:t>
      </w:r>
      <w:r w:rsidR="00653CAD" w:rsidRPr="00653CAD">
        <w:rPr>
          <w:rFonts w:ascii="Garamond" w:hAnsi="Garamond"/>
          <w:sz w:val="22"/>
          <w:szCs w:val="22"/>
        </w:rPr>
        <w:t>m</w:t>
      </w:r>
      <w:r>
        <w:rPr>
          <w:rFonts w:ascii="Garamond" w:hAnsi="Garamond"/>
          <w:sz w:val="22"/>
          <w:szCs w:val="22"/>
        </w:rPr>
        <w:t>id-term expenditures.</w:t>
      </w:r>
      <w:r w:rsidR="007662B4">
        <w:rPr>
          <w:rFonts w:ascii="Garamond" w:hAnsi="Garamond"/>
          <w:sz w:val="22"/>
          <w:szCs w:val="22"/>
        </w:rPr>
        <w:t xml:space="preserve"> </w:t>
      </w:r>
    </w:p>
    <w:p w14:paraId="27D3EFF0" w14:textId="6856D2E2"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266DC6">
        <w:rPr>
          <w:rFonts w:ascii="Garamond" w:hAnsi="Garamond"/>
          <w:b/>
          <w:sz w:val="22"/>
          <w:szCs w:val="22"/>
        </w:rPr>
        <w:t>Labor market</w:t>
      </w:r>
      <w:r w:rsidR="00B20764">
        <w:rPr>
          <w:rStyle w:val="FootnoteReference"/>
          <w:rFonts w:ascii="Garamond" w:hAnsi="Garamond"/>
          <w:b/>
          <w:sz w:val="22"/>
          <w:szCs w:val="22"/>
        </w:rPr>
        <w:footnoteReference w:customMarkFollows="1" w:id="3"/>
        <w:t>4</w:t>
      </w:r>
      <w:r w:rsidRPr="00266DC6">
        <w:rPr>
          <w:rFonts w:ascii="Garamond" w:hAnsi="Garamond"/>
          <w:b/>
          <w:sz w:val="22"/>
          <w:szCs w:val="22"/>
        </w:rPr>
        <w:t xml:space="preserve">: </w:t>
      </w:r>
      <w:r w:rsidR="00603119" w:rsidRPr="00603119">
        <w:rPr>
          <w:rFonts w:ascii="Garamond" w:hAnsi="Garamond"/>
          <w:sz w:val="22"/>
          <w:szCs w:val="22"/>
        </w:rPr>
        <w:t xml:space="preserve">In 2019, the economic growth </w:t>
      </w:r>
      <w:r w:rsidR="00603119">
        <w:rPr>
          <w:rFonts w:ascii="Garamond" w:hAnsi="Garamond"/>
          <w:sz w:val="22"/>
          <w:szCs w:val="22"/>
        </w:rPr>
        <w:t>forecast was revised s</w:t>
      </w:r>
      <w:r w:rsidR="00603119" w:rsidRPr="00603119">
        <w:rPr>
          <w:rFonts w:ascii="Garamond" w:hAnsi="Garamond"/>
          <w:sz w:val="22"/>
          <w:szCs w:val="22"/>
        </w:rPr>
        <w:t xml:space="preserve">lightly </w:t>
      </w:r>
      <w:r w:rsidR="00603119">
        <w:rPr>
          <w:rFonts w:ascii="Garamond" w:hAnsi="Garamond"/>
          <w:sz w:val="22"/>
          <w:szCs w:val="22"/>
        </w:rPr>
        <w:t xml:space="preserve">upside owing to the services, a </w:t>
      </w:r>
      <w:r w:rsidR="00603119" w:rsidRPr="00603119">
        <w:rPr>
          <w:rFonts w:ascii="Garamond" w:hAnsi="Garamond"/>
          <w:sz w:val="22"/>
          <w:szCs w:val="22"/>
        </w:rPr>
        <w:t xml:space="preserve">relatively </w:t>
      </w:r>
      <w:r w:rsidR="00603119">
        <w:rPr>
          <w:rFonts w:ascii="Garamond" w:hAnsi="Garamond"/>
          <w:sz w:val="22"/>
          <w:szCs w:val="22"/>
        </w:rPr>
        <w:t xml:space="preserve">more </w:t>
      </w:r>
      <w:r w:rsidR="00603119" w:rsidRPr="00603119">
        <w:rPr>
          <w:rFonts w:ascii="Garamond" w:hAnsi="Garamond"/>
          <w:sz w:val="22"/>
          <w:szCs w:val="22"/>
        </w:rPr>
        <w:t>labor-intensive</w:t>
      </w:r>
      <w:r w:rsidR="00603119">
        <w:rPr>
          <w:rFonts w:ascii="Garamond" w:hAnsi="Garamond"/>
          <w:sz w:val="22"/>
          <w:szCs w:val="22"/>
        </w:rPr>
        <w:t>,</w:t>
      </w:r>
      <w:r w:rsidR="00603119" w:rsidRPr="00603119">
        <w:rPr>
          <w:rFonts w:ascii="Garamond" w:hAnsi="Garamond"/>
          <w:sz w:val="22"/>
          <w:szCs w:val="22"/>
        </w:rPr>
        <w:t xml:space="preserve"> limited-productiv</w:t>
      </w:r>
      <w:r w:rsidR="00603119">
        <w:rPr>
          <w:rFonts w:ascii="Garamond" w:hAnsi="Garamond"/>
          <w:sz w:val="22"/>
          <w:szCs w:val="22"/>
        </w:rPr>
        <w:t>ity sector.</w:t>
      </w:r>
      <w:r w:rsidR="00603119" w:rsidRPr="00603119">
        <w:rPr>
          <w:rFonts w:ascii="Garamond" w:hAnsi="Garamond"/>
          <w:sz w:val="22"/>
          <w:szCs w:val="22"/>
        </w:rPr>
        <w:t xml:space="preserve"> </w:t>
      </w:r>
      <w:r w:rsidR="00A164A2">
        <w:rPr>
          <w:rFonts w:ascii="Garamond" w:hAnsi="Garamond"/>
          <w:sz w:val="22"/>
          <w:szCs w:val="22"/>
        </w:rPr>
        <w:t>I</w:t>
      </w:r>
      <w:r w:rsidR="00A164A2" w:rsidRPr="00A164A2">
        <w:rPr>
          <w:rFonts w:ascii="Garamond" w:hAnsi="Garamond"/>
          <w:sz w:val="22"/>
          <w:szCs w:val="22"/>
        </w:rPr>
        <w:t xml:space="preserve">t is </w:t>
      </w:r>
      <w:r w:rsidR="00A164A2">
        <w:rPr>
          <w:rFonts w:ascii="Garamond" w:hAnsi="Garamond"/>
          <w:sz w:val="22"/>
          <w:szCs w:val="22"/>
        </w:rPr>
        <w:t xml:space="preserve">therefore </w:t>
      </w:r>
      <w:r w:rsidR="00A164A2" w:rsidRPr="00A164A2">
        <w:rPr>
          <w:rFonts w:ascii="Garamond" w:hAnsi="Garamond"/>
          <w:sz w:val="22"/>
          <w:szCs w:val="22"/>
        </w:rPr>
        <w:t xml:space="preserve">expected that the growth of private nominal wages will be </w:t>
      </w:r>
      <w:r w:rsidR="00A164A2">
        <w:rPr>
          <w:rFonts w:ascii="Garamond" w:hAnsi="Garamond"/>
          <w:sz w:val="22"/>
          <w:szCs w:val="22"/>
        </w:rPr>
        <w:t xml:space="preserve">somewhat </w:t>
      </w:r>
      <w:r w:rsidR="00A164A2" w:rsidRPr="00A164A2">
        <w:rPr>
          <w:rFonts w:ascii="Garamond" w:hAnsi="Garamond"/>
          <w:sz w:val="22"/>
          <w:szCs w:val="22"/>
        </w:rPr>
        <w:t xml:space="preserve">lower than </w:t>
      </w:r>
      <w:r w:rsidR="00A164A2">
        <w:rPr>
          <w:rFonts w:ascii="Garamond" w:hAnsi="Garamond"/>
          <w:sz w:val="22"/>
          <w:szCs w:val="22"/>
        </w:rPr>
        <w:t xml:space="preserve">predicted </w:t>
      </w:r>
      <w:r w:rsidR="00A164A2" w:rsidRPr="00A164A2">
        <w:rPr>
          <w:rFonts w:ascii="Garamond" w:hAnsi="Garamond"/>
          <w:sz w:val="22"/>
          <w:szCs w:val="22"/>
        </w:rPr>
        <w:t>previous</w:t>
      </w:r>
      <w:r w:rsidR="00A164A2">
        <w:rPr>
          <w:rFonts w:ascii="Garamond" w:hAnsi="Garamond"/>
          <w:sz w:val="22"/>
          <w:szCs w:val="22"/>
        </w:rPr>
        <w:t>ly</w:t>
      </w:r>
      <w:r w:rsidR="00A164A2" w:rsidRPr="00A164A2">
        <w:rPr>
          <w:rFonts w:ascii="Garamond" w:hAnsi="Garamond"/>
          <w:sz w:val="22"/>
          <w:szCs w:val="22"/>
        </w:rPr>
        <w:t xml:space="preserve"> </w:t>
      </w:r>
      <w:r w:rsidR="00A164A2">
        <w:rPr>
          <w:rFonts w:ascii="Garamond" w:hAnsi="Garamond"/>
          <w:sz w:val="22"/>
          <w:szCs w:val="22"/>
        </w:rPr>
        <w:t xml:space="preserve">but demand for labor, higher. </w:t>
      </w:r>
      <w:r w:rsidR="00020F25">
        <w:rPr>
          <w:rFonts w:ascii="Garamond" w:hAnsi="Garamond"/>
          <w:sz w:val="22"/>
          <w:szCs w:val="22"/>
        </w:rPr>
        <w:t xml:space="preserve">As a result, about </w:t>
      </w:r>
      <w:r w:rsidR="00266DC6" w:rsidRPr="00603119">
        <w:rPr>
          <w:rFonts w:ascii="Garamond" w:hAnsi="Garamond"/>
          <w:sz w:val="22"/>
          <w:szCs w:val="22"/>
        </w:rPr>
        <w:t>6.</w:t>
      </w:r>
      <w:r w:rsidR="00020F25">
        <w:rPr>
          <w:rFonts w:ascii="Garamond" w:hAnsi="Garamond"/>
          <w:sz w:val="22"/>
          <w:szCs w:val="22"/>
        </w:rPr>
        <w:t>4</w:t>
      </w:r>
      <w:r w:rsidR="00266DC6" w:rsidRPr="00603119">
        <w:rPr>
          <w:rFonts w:ascii="Garamond" w:hAnsi="Garamond"/>
          <w:sz w:val="22"/>
          <w:szCs w:val="22"/>
        </w:rPr>
        <w:t xml:space="preserve">% increase </w:t>
      </w:r>
      <w:r w:rsidR="00296451" w:rsidRPr="00603119">
        <w:rPr>
          <w:rFonts w:ascii="Garamond" w:hAnsi="Garamond"/>
          <w:sz w:val="22"/>
          <w:szCs w:val="22"/>
        </w:rPr>
        <w:t xml:space="preserve">in </w:t>
      </w:r>
      <w:r w:rsidR="00BB15DC" w:rsidRPr="00603119">
        <w:rPr>
          <w:rFonts w:ascii="Garamond" w:hAnsi="Garamond"/>
          <w:sz w:val="22"/>
          <w:szCs w:val="22"/>
        </w:rPr>
        <w:t>nominal wage</w:t>
      </w:r>
      <w:r w:rsidR="00B20764" w:rsidRPr="00603119">
        <w:rPr>
          <w:rStyle w:val="FootnoteReference"/>
          <w:rFonts w:ascii="Garamond" w:hAnsi="Garamond"/>
          <w:sz w:val="22"/>
          <w:szCs w:val="22"/>
        </w:rPr>
        <w:footnoteReference w:customMarkFollows="1" w:id="4"/>
        <w:t>5</w:t>
      </w:r>
      <w:r w:rsidR="00BB15DC" w:rsidRPr="00603119">
        <w:rPr>
          <w:rFonts w:ascii="Garamond" w:hAnsi="Garamond"/>
          <w:sz w:val="22"/>
          <w:szCs w:val="22"/>
        </w:rPr>
        <w:t xml:space="preserve"> in </w:t>
      </w:r>
      <w:r w:rsidR="00E31B2F" w:rsidRPr="00603119">
        <w:rPr>
          <w:rFonts w:ascii="Garamond" w:hAnsi="Garamond"/>
          <w:sz w:val="22"/>
          <w:szCs w:val="22"/>
        </w:rPr>
        <w:t xml:space="preserve">the </w:t>
      </w:r>
      <w:r w:rsidR="00E31B2F" w:rsidRPr="00020F25">
        <w:rPr>
          <w:rFonts w:ascii="Garamond" w:hAnsi="Garamond"/>
          <w:b/>
          <w:sz w:val="22"/>
          <w:szCs w:val="22"/>
        </w:rPr>
        <w:t>private sector</w:t>
      </w:r>
      <w:r w:rsidR="00E31B2F" w:rsidRPr="00603119">
        <w:rPr>
          <w:rFonts w:ascii="Garamond" w:hAnsi="Garamond"/>
          <w:sz w:val="22"/>
          <w:szCs w:val="22"/>
        </w:rPr>
        <w:t xml:space="preserve"> </w:t>
      </w:r>
      <w:r w:rsidR="00296451" w:rsidRPr="00603119">
        <w:rPr>
          <w:rFonts w:ascii="Garamond" w:hAnsi="Garamond"/>
          <w:sz w:val="22"/>
          <w:szCs w:val="22"/>
        </w:rPr>
        <w:t>is</w:t>
      </w:r>
      <w:r w:rsidR="00296451" w:rsidRPr="00266DC6">
        <w:rPr>
          <w:rFonts w:ascii="Garamond" w:hAnsi="Garamond"/>
          <w:sz w:val="22"/>
          <w:szCs w:val="22"/>
        </w:rPr>
        <w:t xml:space="preserve"> </w:t>
      </w:r>
      <w:r w:rsidR="00296451">
        <w:rPr>
          <w:rFonts w:ascii="Garamond" w:hAnsi="Garamond"/>
          <w:sz w:val="22"/>
          <w:szCs w:val="22"/>
        </w:rPr>
        <w:t>anticipated in 201</w:t>
      </w:r>
      <w:r w:rsidR="00020F25">
        <w:rPr>
          <w:rFonts w:ascii="Garamond" w:hAnsi="Garamond"/>
          <w:sz w:val="22"/>
          <w:szCs w:val="22"/>
        </w:rPr>
        <w:t>9</w:t>
      </w:r>
      <w:r w:rsidR="00266DC6">
        <w:rPr>
          <w:rFonts w:ascii="Garamond" w:hAnsi="Garamond"/>
          <w:sz w:val="22"/>
          <w:szCs w:val="22"/>
        </w:rPr>
        <w:t xml:space="preserve">. </w:t>
      </w:r>
      <w:r w:rsidR="00E31B2F" w:rsidRPr="00EE5F0F">
        <w:rPr>
          <w:rFonts w:ascii="Garamond" w:hAnsi="Garamond"/>
          <w:sz w:val="22"/>
          <w:szCs w:val="22"/>
        </w:rPr>
        <w:t xml:space="preserve">In the medium </w:t>
      </w:r>
      <w:r w:rsidR="00262DF4">
        <w:rPr>
          <w:rFonts w:ascii="Garamond" w:hAnsi="Garamond"/>
          <w:sz w:val="22"/>
          <w:szCs w:val="22"/>
        </w:rPr>
        <w:t xml:space="preserve">run </w:t>
      </w:r>
      <w:r w:rsidR="00E31B2F" w:rsidRPr="00EE5F0F">
        <w:rPr>
          <w:rFonts w:ascii="Garamond" w:hAnsi="Garamond"/>
          <w:sz w:val="22"/>
          <w:szCs w:val="22"/>
        </w:rPr>
        <w:t xml:space="preserve">the </w:t>
      </w:r>
      <w:r w:rsidR="00262DF4" w:rsidRPr="00EE5F0F">
        <w:rPr>
          <w:rFonts w:ascii="Garamond" w:hAnsi="Garamond"/>
          <w:sz w:val="22"/>
          <w:szCs w:val="22"/>
        </w:rPr>
        <w:t xml:space="preserve">private sector </w:t>
      </w:r>
      <w:r w:rsidR="00262DF4">
        <w:rPr>
          <w:rFonts w:ascii="Garamond" w:hAnsi="Garamond"/>
          <w:sz w:val="22"/>
          <w:szCs w:val="22"/>
        </w:rPr>
        <w:t>n</w:t>
      </w:r>
      <w:r w:rsidR="00E31B2F" w:rsidRPr="00EE5F0F">
        <w:rPr>
          <w:rFonts w:ascii="Garamond" w:hAnsi="Garamond"/>
          <w:sz w:val="22"/>
          <w:szCs w:val="22"/>
        </w:rPr>
        <w:t xml:space="preserve">ominal wage </w:t>
      </w:r>
      <w:r w:rsidR="00262DF4">
        <w:rPr>
          <w:rFonts w:ascii="Garamond" w:hAnsi="Garamond"/>
          <w:sz w:val="22"/>
          <w:szCs w:val="22"/>
        </w:rPr>
        <w:t xml:space="preserve">growth </w:t>
      </w:r>
      <w:r w:rsidR="00E31B2F" w:rsidRPr="00EE5F0F">
        <w:rPr>
          <w:rFonts w:ascii="Garamond" w:hAnsi="Garamond"/>
          <w:sz w:val="22"/>
          <w:szCs w:val="22"/>
        </w:rPr>
        <w:t xml:space="preserve">will be </w:t>
      </w:r>
      <w:r w:rsidR="00262DF4">
        <w:rPr>
          <w:rFonts w:ascii="Garamond" w:hAnsi="Garamond"/>
          <w:sz w:val="22"/>
          <w:szCs w:val="22"/>
        </w:rPr>
        <w:t xml:space="preserve">consistent with </w:t>
      </w:r>
      <w:r w:rsidR="00E31B2F" w:rsidRPr="00EE5F0F">
        <w:rPr>
          <w:rFonts w:ascii="Garamond" w:hAnsi="Garamond"/>
          <w:sz w:val="22"/>
          <w:szCs w:val="22"/>
        </w:rPr>
        <w:t>economic growth and inflation developments</w:t>
      </w:r>
      <w:r w:rsidR="00262DF4">
        <w:rPr>
          <w:rFonts w:ascii="Garamond" w:hAnsi="Garamond"/>
          <w:sz w:val="22"/>
          <w:szCs w:val="22"/>
        </w:rPr>
        <w:t xml:space="preserve">, </w:t>
      </w:r>
      <w:proofErr w:type="gramStart"/>
      <w:r w:rsidR="00262DF4">
        <w:rPr>
          <w:rFonts w:ascii="Garamond" w:hAnsi="Garamond"/>
          <w:sz w:val="22"/>
          <w:szCs w:val="22"/>
        </w:rPr>
        <w:t>i.e.</w:t>
      </w:r>
      <w:proofErr w:type="gramEnd"/>
      <w:r w:rsidR="00262DF4">
        <w:rPr>
          <w:rFonts w:ascii="Garamond" w:hAnsi="Garamond"/>
          <w:sz w:val="22"/>
          <w:szCs w:val="22"/>
        </w:rPr>
        <w:t xml:space="preserve"> its fundamentals</w:t>
      </w:r>
      <w:r w:rsidR="00020F25">
        <w:rPr>
          <w:rFonts w:ascii="Garamond" w:hAnsi="Garamond"/>
          <w:sz w:val="22"/>
          <w:szCs w:val="22"/>
        </w:rPr>
        <w:t>, and</w:t>
      </w:r>
      <w:r w:rsidR="00846122">
        <w:rPr>
          <w:rFonts w:ascii="Garamond" w:hAnsi="Garamond"/>
          <w:sz w:val="22"/>
          <w:szCs w:val="22"/>
        </w:rPr>
        <w:t xml:space="preserve"> at</w:t>
      </w:r>
      <w:r w:rsidR="00020F25" w:rsidRPr="00EE5F0F">
        <w:rPr>
          <w:rFonts w:ascii="Garamond" w:hAnsi="Garamond"/>
          <w:sz w:val="22"/>
          <w:szCs w:val="22"/>
        </w:rPr>
        <w:t xml:space="preserve"> the end of </w:t>
      </w:r>
      <w:r w:rsidR="00020F25">
        <w:rPr>
          <w:rFonts w:ascii="Garamond" w:hAnsi="Garamond"/>
          <w:sz w:val="22"/>
          <w:szCs w:val="22"/>
        </w:rPr>
        <w:t xml:space="preserve">the </w:t>
      </w:r>
      <w:r w:rsidR="00020F25" w:rsidRPr="00EE5F0F">
        <w:rPr>
          <w:rFonts w:ascii="Garamond" w:hAnsi="Garamond"/>
          <w:sz w:val="22"/>
          <w:szCs w:val="22"/>
        </w:rPr>
        <w:t>forecast horizon it will stabilize around 8.</w:t>
      </w:r>
      <w:r w:rsidR="00020F25">
        <w:rPr>
          <w:rFonts w:ascii="Garamond" w:hAnsi="Garamond"/>
          <w:sz w:val="22"/>
          <w:szCs w:val="22"/>
        </w:rPr>
        <w:t>3</w:t>
      </w:r>
      <w:r w:rsidR="00020F25" w:rsidRPr="00EE5F0F">
        <w:rPr>
          <w:rFonts w:ascii="Garamond" w:hAnsi="Garamond"/>
          <w:sz w:val="22"/>
          <w:szCs w:val="22"/>
        </w:rPr>
        <w:t>%.</w:t>
      </w:r>
      <w:r w:rsidR="007D055F" w:rsidRPr="00EE5F0F">
        <w:rPr>
          <w:rFonts w:ascii="Garamond" w:hAnsi="Garamond"/>
          <w:sz w:val="22"/>
          <w:szCs w:val="22"/>
        </w:rPr>
        <w:t xml:space="preserve"> </w:t>
      </w:r>
    </w:p>
    <w:p w14:paraId="08A89A4A" w14:textId="77777777" w:rsidR="007D055F" w:rsidRPr="00EE5F0F" w:rsidRDefault="007849D7" w:rsidP="00EE619D">
      <w:pPr>
        <w:autoSpaceDE w:val="0"/>
        <w:autoSpaceDN w:val="0"/>
        <w:adjustRightInd w:val="0"/>
        <w:spacing w:after="120" w:line="360" w:lineRule="auto"/>
        <w:jc w:val="both"/>
        <w:rPr>
          <w:rFonts w:ascii="Garamond" w:hAnsi="Garamond"/>
          <w:sz w:val="22"/>
          <w:szCs w:val="22"/>
        </w:rPr>
      </w:pPr>
      <w:r w:rsidRPr="007849D7">
        <w:rPr>
          <w:rFonts w:ascii="Garamond" w:hAnsi="Garamond"/>
          <w:sz w:val="22"/>
          <w:szCs w:val="22"/>
        </w:rPr>
        <w:t xml:space="preserve">In </w:t>
      </w:r>
      <w:r w:rsidR="00020F25">
        <w:rPr>
          <w:rFonts w:ascii="Garamond" w:hAnsi="Garamond"/>
          <w:sz w:val="22"/>
          <w:szCs w:val="22"/>
        </w:rPr>
        <w:t>light of t</w:t>
      </w:r>
      <w:r w:rsidRPr="007849D7">
        <w:rPr>
          <w:rFonts w:ascii="Garamond" w:hAnsi="Garamond"/>
          <w:sz w:val="22"/>
          <w:szCs w:val="22"/>
        </w:rPr>
        <w:t xml:space="preserve">he </w:t>
      </w:r>
      <w:r>
        <w:rPr>
          <w:rFonts w:ascii="Garamond" w:hAnsi="Garamond"/>
          <w:sz w:val="22"/>
          <w:szCs w:val="22"/>
        </w:rPr>
        <w:t>aforementioned</w:t>
      </w:r>
      <w:r w:rsidRPr="007849D7">
        <w:rPr>
          <w:rFonts w:ascii="Garamond" w:hAnsi="Garamond"/>
          <w:sz w:val="22"/>
          <w:szCs w:val="22"/>
        </w:rPr>
        <w:t xml:space="preserve"> economic growth</w:t>
      </w:r>
      <w:r w:rsidR="00020F25">
        <w:rPr>
          <w:rFonts w:ascii="Garamond" w:hAnsi="Garamond"/>
          <w:sz w:val="22"/>
          <w:szCs w:val="22"/>
        </w:rPr>
        <w:t xml:space="preserve">, somewhat </w:t>
      </w:r>
      <w:r w:rsidRPr="007849D7">
        <w:rPr>
          <w:rFonts w:ascii="Garamond" w:hAnsi="Garamond"/>
          <w:sz w:val="22"/>
          <w:szCs w:val="22"/>
        </w:rPr>
        <w:t>a lower unemployment rate</w:t>
      </w:r>
      <w:r w:rsidR="00020F25">
        <w:rPr>
          <w:rFonts w:ascii="Garamond" w:hAnsi="Garamond"/>
          <w:sz w:val="22"/>
          <w:szCs w:val="22"/>
        </w:rPr>
        <w:t>,</w:t>
      </w:r>
      <w:r w:rsidRPr="007849D7">
        <w:rPr>
          <w:rFonts w:ascii="Garamond" w:hAnsi="Garamond"/>
          <w:sz w:val="22"/>
          <w:szCs w:val="22"/>
        </w:rPr>
        <w:t xml:space="preserve"> 1</w:t>
      </w:r>
      <w:r w:rsidR="00020F25">
        <w:rPr>
          <w:rFonts w:ascii="Garamond" w:hAnsi="Garamond"/>
          <w:sz w:val="22"/>
          <w:szCs w:val="22"/>
        </w:rPr>
        <w:t>5</w:t>
      </w:r>
      <w:r w:rsidRPr="007849D7">
        <w:rPr>
          <w:rFonts w:ascii="Garamond" w:hAnsi="Garamond"/>
          <w:sz w:val="22"/>
          <w:szCs w:val="22"/>
        </w:rPr>
        <w:t>.</w:t>
      </w:r>
      <w:r w:rsidR="00020F25">
        <w:rPr>
          <w:rFonts w:ascii="Garamond" w:hAnsi="Garamond"/>
          <w:sz w:val="22"/>
          <w:szCs w:val="22"/>
        </w:rPr>
        <w:t>9</w:t>
      </w:r>
      <w:r w:rsidRPr="007849D7">
        <w:rPr>
          <w:rFonts w:ascii="Garamond" w:hAnsi="Garamond"/>
          <w:sz w:val="22"/>
          <w:szCs w:val="22"/>
        </w:rPr>
        <w:t>%</w:t>
      </w:r>
      <w:r w:rsidR="00020F25">
        <w:rPr>
          <w:rFonts w:ascii="Garamond" w:hAnsi="Garamond"/>
          <w:sz w:val="22"/>
          <w:szCs w:val="22"/>
        </w:rPr>
        <w:t>,</w:t>
      </w:r>
      <w:r w:rsidRPr="007849D7">
        <w:rPr>
          <w:rFonts w:ascii="Garamond" w:hAnsi="Garamond"/>
          <w:sz w:val="22"/>
          <w:szCs w:val="22"/>
        </w:rPr>
        <w:t xml:space="preserve"> </w:t>
      </w:r>
      <w:r>
        <w:rPr>
          <w:rFonts w:ascii="Garamond" w:hAnsi="Garamond"/>
          <w:sz w:val="22"/>
          <w:szCs w:val="22"/>
        </w:rPr>
        <w:t xml:space="preserve">can be expected </w:t>
      </w:r>
      <w:r w:rsidRPr="007849D7">
        <w:rPr>
          <w:rFonts w:ascii="Garamond" w:hAnsi="Garamond"/>
          <w:sz w:val="22"/>
          <w:szCs w:val="22"/>
        </w:rPr>
        <w:t>in 201</w:t>
      </w:r>
      <w:r w:rsidR="00020F25">
        <w:rPr>
          <w:rFonts w:ascii="Garamond" w:hAnsi="Garamond"/>
          <w:sz w:val="22"/>
          <w:szCs w:val="22"/>
        </w:rPr>
        <w:t>9</w:t>
      </w:r>
      <w:r w:rsidRPr="007849D7">
        <w:rPr>
          <w:rFonts w:ascii="Garamond" w:hAnsi="Garamond"/>
          <w:sz w:val="22"/>
          <w:szCs w:val="22"/>
        </w:rPr>
        <w:t>.</w:t>
      </w:r>
      <w:r>
        <w:rPr>
          <w:rFonts w:ascii="Garamond" w:hAnsi="Garamond"/>
          <w:sz w:val="22"/>
          <w:szCs w:val="22"/>
        </w:rPr>
        <w:t xml:space="preserve"> </w:t>
      </w:r>
      <w:r w:rsidR="007D055F" w:rsidRPr="007849D7">
        <w:rPr>
          <w:rFonts w:ascii="Garamond" w:hAnsi="Garamond"/>
          <w:sz w:val="22"/>
          <w:szCs w:val="22"/>
        </w:rPr>
        <w:t xml:space="preserve">In the medium term, the unemployment rate will </w:t>
      </w:r>
      <w:r w:rsidR="00020F25">
        <w:rPr>
          <w:rFonts w:ascii="Garamond" w:hAnsi="Garamond"/>
          <w:sz w:val="22"/>
          <w:szCs w:val="22"/>
        </w:rPr>
        <w:t xml:space="preserve">subdue </w:t>
      </w:r>
      <w:r w:rsidR="007D055F" w:rsidRPr="007849D7">
        <w:rPr>
          <w:rFonts w:ascii="Garamond" w:hAnsi="Garamond"/>
          <w:sz w:val="22"/>
          <w:szCs w:val="22"/>
        </w:rPr>
        <w:t xml:space="preserve">by </w:t>
      </w:r>
      <w:r>
        <w:rPr>
          <w:rFonts w:ascii="Garamond" w:hAnsi="Garamond"/>
          <w:sz w:val="22"/>
          <w:szCs w:val="22"/>
        </w:rPr>
        <w:t>0.</w:t>
      </w:r>
      <w:r w:rsidR="00B950DD">
        <w:rPr>
          <w:rFonts w:ascii="Garamond" w:hAnsi="Garamond"/>
          <w:sz w:val="22"/>
          <w:szCs w:val="22"/>
        </w:rPr>
        <w:t>1</w:t>
      </w:r>
      <w:r>
        <w:rPr>
          <w:rFonts w:ascii="Garamond" w:hAnsi="Garamond"/>
          <w:sz w:val="22"/>
          <w:szCs w:val="22"/>
        </w:rPr>
        <w:t>-</w:t>
      </w:r>
      <w:r w:rsidR="007D055F" w:rsidRPr="007849D7">
        <w:rPr>
          <w:rFonts w:ascii="Garamond" w:hAnsi="Garamond"/>
          <w:sz w:val="22"/>
          <w:szCs w:val="22"/>
        </w:rPr>
        <w:t>0.</w:t>
      </w:r>
      <w:r w:rsidR="00B950DD">
        <w:rPr>
          <w:rFonts w:ascii="Garamond" w:hAnsi="Garamond"/>
          <w:sz w:val="22"/>
          <w:szCs w:val="22"/>
        </w:rPr>
        <w:t>2</w:t>
      </w:r>
      <w:r w:rsidR="007D055F" w:rsidRPr="007849D7">
        <w:rPr>
          <w:rFonts w:ascii="Garamond" w:hAnsi="Garamond"/>
          <w:sz w:val="22"/>
          <w:szCs w:val="22"/>
        </w:rPr>
        <w:t xml:space="preserve"> pp annually, approaching </w:t>
      </w:r>
      <w:r>
        <w:rPr>
          <w:rFonts w:ascii="Garamond" w:hAnsi="Garamond"/>
          <w:sz w:val="22"/>
          <w:szCs w:val="22"/>
        </w:rPr>
        <w:t>a 1</w:t>
      </w:r>
      <w:r w:rsidR="002A34A0">
        <w:rPr>
          <w:rFonts w:ascii="Garamond" w:hAnsi="Garamond"/>
          <w:sz w:val="22"/>
          <w:szCs w:val="22"/>
        </w:rPr>
        <w:t>5.</w:t>
      </w:r>
      <w:r w:rsidR="00020F25">
        <w:rPr>
          <w:rFonts w:ascii="Garamond" w:hAnsi="Garamond"/>
          <w:sz w:val="22"/>
          <w:szCs w:val="22"/>
        </w:rPr>
        <w:t>6</w:t>
      </w:r>
      <w:r>
        <w:rPr>
          <w:rFonts w:ascii="Garamond" w:hAnsi="Garamond"/>
          <w:sz w:val="22"/>
          <w:szCs w:val="22"/>
        </w:rPr>
        <w:t>%</w:t>
      </w:r>
      <w:r w:rsidR="007D055F" w:rsidRPr="00EE5F0F">
        <w:rPr>
          <w:rFonts w:ascii="Garamond" w:hAnsi="Garamond"/>
          <w:sz w:val="22"/>
          <w:szCs w:val="22"/>
        </w:rPr>
        <w:t xml:space="preserve"> </w:t>
      </w:r>
      <w:r w:rsidR="00B950DD">
        <w:rPr>
          <w:rFonts w:ascii="Garamond" w:hAnsi="Garamond"/>
          <w:sz w:val="22"/>
          <w:szCs w:val="22"/>
        </w:rPr>
        <w:t xml:space="preserve">level </w:t>
      </w:r>
      <w:r w:rsidR="007D055F" w:rsidRPr="00EE5F0F">
        <w:rPr>
          <w:rFonts w:ascii="Garamond" w:hAnsi="Garamond"/>
          <w:sz w:val="22"/>
          <w:szCs w:val="22"/>
        </w:rPr>
        <w:t xml:space="preserve">at the end of the forecast horizon.      </w:t>
      </w:r>
    </w:p>
    <w:p w14:paraId="4733C307" w14:textId="77777777" w:rsidR="007D055F" w:rsidRPr="00EE5F0F" w:rsidRDefault="007D055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201</w:t>
      </w:r>
      <w:r w:rsidR="00020F25">
        <w:rPr>
          <w:rFonts w:ascii="Garamond" w:hAnsi="Garamond"/>
          <w:sz w:val="22"/>
          <w:szCs w:val="22"/>
        </w:rPr>
        <w:t>9</w:t>
      </w:r>
      <w:r w:rsidRPr="00EE5F0F">
        <w:rPr>
          <w:rFonts w:ascii="Garamond" w:hAnsi="Garamond"/>
          <w:sz w:val="22"/>
          <w:szCs w:val="22"/>
        </w:rPr>
        <w:t xml:space="preserve">, </w:t>
      </w:r>
      <w:r w:rsidR="00383D4D" w:rsidRPr="00EE5F0F">
        <w:rPr>
          <w:rFonts w:ascii="Garamond" w:hAnsi="Garamond"/>
          <w:sz w:val="22"/>
          <w:szCs w:val="22"/>
        </w:rPr>
        <w:t xml:space="preserve">the growth of </w:t>
      </w:r>
      <w:r w:rsidRPr="00EE5F0F">
        <w:rPr>
          <w:rFonts w:ascii="Garamond" w:hAnsi="Garamond"/>
          <w:sz w:val="22"/>
          <w:szCs w:val="22"/>
        </w:rPr>
        <w:t xml:space="preserve">firms’ unit labor costs will </w:t>
      </w:r>
      <w:r w:rsidR="00FE4FEA">
        <w:rPr>
          <w:rFonts w:ascii="Garamond" w:hAnsi="Garamond"/>
          <w:sz w:val="22"/>
          <w:szCs w:val="22"/>
        </w:rPr>
        <w:t xml:space="preserve">slow to some extent, as productivity growth rate speeds up, </w:t>
      </w:r>
      <w:r w:rsidRPr="00EE5F0F">
        <w:rPr>
          <w:rFonts w:ascii="Garamond" w:hAnsi="Garamond"/>
          <w:sz w:val="22"/>
          <w:szCs w:val="22"/>
        </w:rPr>
        <w:t xml:space="preserve">and at the end of </w:t>
      </w:r>
      <w:r w:rsidR="003A06CC">
        <w:rPr>
          <w:rFonts w:ascii="Garamond" w:hAnsi="Garamond"/>
          <w:sz w:val="22"/>
          <w:szCs w:val="22"/>
        </w:rPr>
        <w:t xml:space="preserve">the </w:t>
      </w:r>
      <w:r w:rsidRPr="00EE5F0F">
        <w:rPr>
          <w:rFonts w:ascii="Garamond" w:hAnsi="Garamond"/>
          <w:sz w:val="22"/>
          <w:szCs w:val="22"/>
        </w:rPr>
        <w:t xml:space="preserve">forecast horizon </w:t>
      </w:r>
      <w:r w:rsidR="003C794A">
        <w:rPr>
          <w:rFonts w:ascii="Garamond" w:hAnsi="Garamond"/>
          <w:sz w:val="22"/>
          <w:szCs w:val="22"/>
        </w:rPr>
        <w:t xml:space="preserve">it </w:t>
      </w:r>
      <w:r w:rsidRPr="00EE5F0F">
        <w:rPr>
          <w:rFonts w:ascii="Garamond" w:hAnsi="Garamond"/>
          <w:sz w:val="22"/>
          <w:szCs w:val="22"/>
        </w:rPr>
        <w:t xml:space="preserve">will stabilize </w:t>
      </w:r>
      <w:r w:rsidR="00383D4D" w:rsidRPr="00EE5F0F">
        <w:rPr>
          <w:rFonts w:ascii="Garamond" w:hAnsi="Garamond"/>
          <w:sz w:val="22"/>
          <w:szCs w:val="22"/>
        </w:rPr>
        <w:t>around its fundamental value, i.e. the 4% inflation target.</w:t>
      </w:r>
      <w:r w:rsidRPr="00EE5F0F">
        <w:rPr>
          <w:rFonts w:ascii="Garamond" w:hAnsi="Garamond"/>
          <w:sz w:val="22"/>
          <w:szCs w:val="22"/>
        </w:rPr>
        <w:t xml:space="preserve">              </w:t>
      </w:r>
    </w:p>
    <w:p w14:paraId="27CDBB96" w14:textId="77777777" w:rsidR="007D055F" w:rsidRPr="00EE5F0F" w:rsidRDefault="007D055F" w:rsidP="00EE619D">
      <w:pPr>
        <w:autoSpaceDE w:val="0"/>
        <w:autoSpaceDN w:val="0"/>
        <w:adjustRightInd w:val="0"/>
        <w:spacing w:after="120" w:line="360" w:lineRule="auto"/>
        <w:jc w:val="both"/>
        <w:rPr>
          <w:rFonts w:ascii="Garamond" w:hAnsi="Garamond"/>
          <w:sz w:val="22"/>
          <w:szCs w:val="22"/>
        </w:rPr>
      </w:pPr>
    </w:p>
    <w:p w14:paraId="1AA22D61" w14:textId="77777777" w:rsidR="00EE619D" w:rsidRPr="00EE5F0F" w:rsidRDefault="00EE619D" w:rsidP="00EE619D">
      <w:pPr>
        <w:autoSpaceDE w:val="0"/>
        <w:autoSpaceDN w:val="0"/>
        <w:adjustRightInd w:val="0"/>
        <w:spacing w:after="120" w:line="360" w:lineRule="auto"/>
        <w:jc w:val="both"/>
        <w:rPr>
          <w:rFonts w:ascii="Garamond" w:hAnsi="Garamond"/>
          <w:b/>
          <w:bCs/>
          <w:iCs/>
          <w:color w:val="0070C0"/>
          <w:sz w:val="22"/>
          <w:szCs w:val="22"/>
        </w:rPr>
      </w:pPr>
      <w:r w:rsidRPr="00EE5F0F">
        <w:rPr>
          <w:rFonts w:ascii="Garamond" w:hAnsi="Garamond"/>
          <w:b/>
          <w:bCs/>
          <w:iCs/>
          <w:color w:val="0070C0"/>
          <w:sz w:val="22"/>
          <w:szCs w:val="22"/>
        </w:rPr>
        <w:t>2.2.3. Comparison with the previous forecast</w:t>
      </w:r>
    </w:p>
    <w:p w14:paraId="5AB3AB71" w14:textId="77777777" w:rsidR="00EE619D" w:rsidRPr="00EE5F0F" w:rsidRDefault="00FE4FEA"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Partner countries’</w:t>
      </w:r>
      <w:r w:rsidRPr="00FE4FEA">
        <w:rPr>
          <w:rFonts w:ascii="Garamond" w:hAnsi="Garamond"/>
          <w:b/>
          <w:sz w:val="22"/>
          <w:szCs w:val="22"/>
        </w:rPr>
        <w:t xml:space="preserve"> </w:t>
      </w:r>
      <w:r>
        <w:rPr>
          <w:rFonts w:ascii="Garamond" w:hAnsi="Garamond"/>
          <w:b/>
          <w:sz w:val="22"/>
          <w:szCs w:val="22"/>
        </w:rPr>
        <w:t xml:space="preserve">short-term </w:t>
      </w:r>
      <w:r w:rsidRPr="00FE4FEA">
        <w:rPr>
          <w:rFonts w:ascii="Garamond" w:hAnsi="Garamond"/>
          <w:b/>
          <w:sz w:val="22"/>
          <w:szCs w:val="22"/>
        </w:rPr>
        <w:t xml:space="preserve">economic growth </w:t>
      </w:r>
      <w:r>
        <w:rPr>
          <w:rFonts w:ascii="Garamond" w:hAnsi="Garamond"/>
          <w:b/>
          <w:sz w:val="22"/>
          <w:szCs w:val="22"/>
        </w:rPr>
        <w:t xml:space="preserve">indicators will persist at lower levels </w:t>
      </w:r>
      <w:r w:rsidRPr="00FE4FEA">
        <w:rPr>
          <w:rFonts w:ascii="Garamond" w:hAnsi="Garamond"/>
          <w:b/>
          <w:sz w:val="22"/>
          <w:szCs w:val="22"/>
        </w:rPr>
        <w:t>compared with the previous quarter</w:t>
      </w:r>
      <w:r>
        <w:rPr>
          <w:rFonts w:ascii="Garamond" w:hAnsi="Garamond"/>
          <w:b/>
          <w:sz w:val="22"/>
          <w:szCs w:val="22"/>
        </w:rPr>
        <w:t>’</w:t>
      </w:r>
      <w:r w:rsidRPr="00FE4FEA">
        <w:rPr>
          <w:rFonts w:ascii="Garamond" w:hAnsi="Garamond"/>
          <w:b/>
          <w:sz w:val="22"/>
          <w:szCs w:val="22"/>
        </w:rPr>
        <w:t>s forecasts, though the medium-term growth will be similar to those predicted by the previous scenario</w:t>
      </w:r>
      <w:r w:rsidR="00B81985">
        <w:rPr>
          <w:rFonts w:ascii="Garamond" w:hAnsi="Garamond"/>
          <w:b/>
          <w:sz w:val="22"/>
          <w:szCs w:val="22"/>
        </w:rPr>
        <w:t xml:space="preserve">. </w:t>
      </w:r>
    </w:p>
    <w:p w14:paraId="39C4F9A6" w14:textId="77777777" w:rsidR="001454E4" w:rsidRDefault="007C2B74"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The US economic growth forecasts for 201</w:t>
      </w:r>
      <w:r w:rsidR="009953AB">
        <w:rPr>
          <w:rFonts w:ascii="Garamond" w:hAnsi="Garamond"/>
          <w:sz w:val="22"/>
          <w:szCs w:val="22"/>
        </w:rPr>
        <w:t>9</w:t>
      </w:r>
      <w:r w:rsidR="005E5244">
        <w:rPr>
          <w:rFonts w:ascii="Garamond" w:hAnsi="Garamond"/>
          <w:sz w:val="22"/>
          <w:szCs w:val="22"/>
        </w:rPr>
        <w:t>-20</w:t>
      </w:r>
      <w:r w:rsidR="009953AB">
        <w:rPr>
          <w:rFonts w:ascii="Garamond" w:hAnsi="Garamond"/>
          <w:sz w:val="22"/>
          <w:szCs w:val="22"/>
        </w:rPr>
        <w:t>20</w:t>
      </w:r>
      <w:r w:rsidRPr="00EE5F0F">
        <w:rPr>
          <w:rFonts w:ascii="Garamond" w:hAnsi="Garamond"/>
          <w:sz w:val="22"/>
          <w:szCs w:val="22"/>
        </w:rPr>
        <w:t xml:space="preserve"> </w:t>
      </w:r>
      <w:r w:rsidR="002B088F">
        <w:rPr>
          <w:rFonts w:ascii="Garamond" w:hAnsi="Garamond"/>
          <w:sz w:val="22"/>
          <w:szCs w:val="22"/>
        </w:rPr>
        <w:t xml:space="preserve">were </w:t>
      </w:r>
      <w:r w:rsidR="00F30010">
        <w:rPr>
          <w:rFonts w:ascii="Garamond" w:hAnsi="Garamond"/>
          <w:sz w:val="22"/>
          <w:szCs w:val="22"/>
        </w:rPr>
        <w:t xml:space="preserve">also </w:t>
      </w:r>
      <w:r w:rsidR="005E5244">
        <w:rPr>
          <w:rFonts w:ascii="Garamond" w:hAnsi="Garamond"/>
          <w:sz w:val="22"/>
          <w:szCs w:val="22"/>
        </w:rPr>
        <w:t xml:space="preserve">revised </w:t>
      </w:r>
      <w:r w:rsidR="00D22AAD">
        <w:rPr>
          <w:rFonts w:ascii="Garamond" w:hAnsi="Garamond"/>
          <w:sz w:val="22"/>
          <w:szCs w:val="22"/>
        </w:rPr>
        <w:t xml:space="preserve">slightly </w:t>
      </w:r>
      <w:r w:rsidR="009953AB">
        <w:rPr>
          <w:rFonts w:ascii="Garamond" w:hAnsi="Garamond"/>
          <w:sz w:val="22"/>
          <w:szCs w:val="22"/>
        </w:rPr>
        <w:t>down</w:t>
      </w:r>
      <w:r w:rsidR="00F30010">
        <w:rPr>
          <w:rFonts w:ascii="Garamond" w:hAnsi="Garamond"/>
          <w:sz w:val="22"/>
          <w:szCs w:val="22"/>
        </w:rPr>
        <w:t>side as the positive effect expected of tax reforms phased out more quickly</w:t>
      </w:r>
      <w:r w:rsidR="005E5244" w:rsidRPr="005E5244">
        <w:rPr>
          <w:rFonts w:ascii="Garamond" w:hAnsi="Garamond"/>
          <w:sz w:val="22"/>
          <w:szCs w:val="22"/>
        </w:rPr>
        <w:t>.</w:t>
      </w:r>
      <w:r w:rsidR="005E5244">
        <w:rPr>
          <w:rFonts w:ascii="Garamond" w:hAnsi="Garamond"/>
          <w:sz w:val="22"/>
          <w:szCs w:val="22"/>
        </w:rPr>
        <w:t xml:space="preserve"> </w:t>
      </w:r>
    </w:p>
    <w:p w14:paraId="54AA28D9" w14:textId="77777777" w:rsidR="001454E4" w:rsidRDefault="00272DD8"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lastRenderedPageBreak/>
        <w:t>The 201</w:t>
      </w:r>
      <w:r w:rsidR="00F30010">
        <w:rPr>
          <w:rFonts w:ascii="Garamond" w:hAnsi="Garamond"/>
          <w:sz w:val="22"/>
          <w:szCs w:val="22"/>
        </w:rPr>
        <w:t>9</w:t>
      </w:r>
      <w:r w:rsidRPr="00EE5F0F">
        <w:rPr>
          <w:rFonts w:ascii="Garamond" w:hAnsi="Garamond"/>
          <w:sz w:val="22"/>
          <w:szCs w:val="22"/>
        </w:rPr>
        <w:t xml:space="preserve"> economic growth forecasts in Eurozone </w:t>
      </w:r>
      <w:r w:rsidR="002B088F">
        <w:rPr>
          <w:rFonts w:ascii="Garamond" w:hAnsi="Garamond"/>
          <w:sz w:val="22"/>
          <w:szCs w:val="22"/>
        </w:rPr>
        <w:t xml:space="preserve">were </w:t>
      </w:r>
      <w:r w:rsidR="005E5244">
        <w:rPr>
          <w:rFonts w:ascii="Garamond" w:hAnsi="Garamond"/>
          <w:sz w:val="22"/>
          <w:szCs w:val="22"/>
        </w:rPr>
        <w:t>adjusted downside</w:t>
      </w:r>
      <w:r w:rsidR="001454E4">
        <w:rPr>
          <w:rFonts w:ascii="Garamond" w:hAnsi="Garamond"/>
          <w:sz w:val="22"/>
          <w:szCs w:val="22"/>
        </w:rPr>
        <w:t xml:space="preserve"> due to </w:t>
      </w:r>
      <w:r w:rsidR="00F30010">
        <w:rPr>
          <w:rFonts w:ascii="Garamond" w:hAnsi="Garamond"/>
          <w:sz w:val="22"/>
          <w:szCs w:val="22"/>
        </w:rPr>
        <w:t xml:space="preserve">the expecting of </w:t>
      </w:r>
      <w:r w:rsidR="00F30010" w:rsidRPr="00F30010">
        <w:rPr>
          <w:rFonts w:ascii="Garamond" w:hAnsi="Garamond"/>
          <w:sz w:val="22"/>
          <w:szCs w:val="22"/>
        </w:rPr>
        <w:t xml:space="preserve">lower economic growth rates </w:t>
      </w:r>
      <w:r w:rsidR="00F30010">
        <w:rPr>
          <w:rFonts w:ascii="Garamond" w:hAnsi="Garamond"/>
          <w:sz w:val="22"/>
          <w:szCs w:val="22"/>
        </w:rPr>
        <w:t xml:space="preserve">in </w:t>
      </w:r>
      <w:r w:rsidR="00F30010" w:rsidRPr="00F30010">
        <w:rPr>
          <w:rFonts w:ascii="Garamond" w:hAnsi="Garamond"/>
          <w:sz w:val="22"/>
          <w:szCs w:val="22"/>
        </w:rPr>
        <w:t>Germany and Italy</w:t>
      </w:r>
      <w:r w:rsidR="00F30010">
        <w:rPr>
          <w:rFonts w:ascii="Garamond" w:hAnsi="Garamond"/>
          <w:sz w:val="22"/>
          <w:szCs w:val="22"/>
        </w:rPr>
        <w:t xml:space="preserve"> as well as a certain</w:t>
      </w:r>
      <w:r w:rsidR="00F30010" w:rsidRPr="00F30010">
        <w:rPr>
          <w:rFonts w:ascii="Garamond" w:hAnsi="Garamond"/>
          <w:sz w:val="22"/>
          <w:szCs w:val="22"/>
        </w:rPr>
        <w:t xml:space="preserve"> decline in net exports </w:t>
      </w:r>
      <w:r w:rsidR="00F30010">
        <w:rPr>
          <w:rFonts w:ascii="Garamond" w:hAnsi="Garamond"/>
          <w:sz w:val="22"/>
          <w:szCs w:val="22"/>
        </w:rPr>
        <w:t xml:space="preserve">amid a slackening </w:t>
      </w:r>
      <w:r w:rsidR="00F30010" w:rsidRPr="00F30010">
        <w:rPr>
          <w:rFonts w:ascii="Garamond" w:hAnsi="Garamond"/>
          <w:sz w:val="22"/>
          <w:szCs w:val="22"/>
        </w:rPr>
        <w:t>global demand.</w:t>
      </w:r>
      <w:r w:rsidR="00F30010">
        <w:rPr>
          <w:rFonts w:ascii="Garamond" w:hAnsi="Garamond"/>
          <w:sz w:val="22"/>
          <w:szCs w:val="22"/>
        </w:rPr>
        <w:t xml:space="preserve"> </w:t>
      </w:r>
    </w:p>
    <w:p w14:paraId="1EEDFAFB" w14:textId="77777777" w:rsidR="00500167" w:rsidRPr="00EE5F0F" w:rsidRDefault="00F30010"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2019 </w:t>
      </w:r>
      <w:r w:rsidR="001454E4" w:rsidRPr="001454E4">
        <w:rPr>
          <w:rFonts w:ascii="Garamond" w:hAnsi="Garamond"/>
          <w:sz w:val="22"/>
          <w:szCs w:val="22"/>
        </w:rPr>
        <w:t>forecasts</w:t>
      </w:r>
      <w:r w:rsidR="0097298A">
        <w:rPr>
          <w:rFonts w:ascii="Garamond" w:hAnsi="Garamond"/>
          <w:sz w:val="22"/>
          <w:szCs w:val="22"/>
        </w:rPr>
        <w:t xml:space="preserve"> of e</w:t>
      </w:r>
      <w:r w:rsidR="001454E4">
        <w:rPr>
          <w:rFonts w:ascii="Garamond" w:hAnsi="Garamond"/>
          <w:sz w:val="22"/>
          <w:szCs w:val="22"/>
        </w:rPr>
        <w:t xml:space="preserve">conomic growth in </w:t>
      </w:r>
      <w:r w:rsidR="001454E4" w:rsidRPr="001454E4">
        <w:rPr>
          <w:rFonts w:ascii="Garamond" w:hAnsi="Garamond"/>
          <w:sz w:val="22"/>
          <w:szCs w:val="22"/>
        </w:rPr>
        <w:t xml:space="preserve">Russia </w:t>
      </w:r>
      <w:r w:rsidR="0097298A">
        <w:rPr>
          <w:rFonts w:ascii="Garamond" w:hAnsi="Garamond"/>
          <w:sz w:val="22"/>
          <w:szCs w:val="22"/>
        </w:rPr>
        <w:t xml:space="preserve">are close to the </w:t>
      </w:r>
      <w:r>
        <w:rPr>
          <w:rFonts w:ascii="Garamond" w:hAnsi="Garamond"/>
          <w:sz w:val="22"/>
          <w:szCs w:val="22"/>
        </w:rPr>
        <w:t>ones outlined in the previous quarter’s scenario</w:t>
      </w:r>
      <w:r w:rsidR="00B27B14">
        <w:rPr>
          <w:rFonts w:ascii="Garamond" w:hAnsi="Garamond"/>
          <w:sz w:val="22"/>
          <w:szCs w:val="22"/>
        </w:rPr>
        <w:t xml:space="preserve">. The economy is predicted to slow down to some extent in 2019 </w:t>
      </w:r>
      <w:r w:rsidR="00D74881">
        <w:rPr>
          <w:rFonts w:ascii="Garamond" w:hAnsi="Garamond"/>
          <w:sz w:val="22"/>
          <w:szCs w:val="22"/>
        </w:rPr>
        <w:t xml:space="preserve">following </w:t>
      </w:r>
      <w:r w:rsidR="00B27B14">
        <w:rPr>
          <w:rFonts w:ascii="Garamond" w:hAnsi="Garamond"/>
          <w:sz w:val="22"/>
          <w:szCs w:val="22"/>
        </w:rPr>
        <w:t xml:space="preserve">a notable </w:t>
      </w:r>
      <w:r w:rsidR="00B27B14" w:rsidRPr="00B27B14">
        <w:rPr>
          <w:rFonts w:ascii="Garamond" w:hAnsi="Garamond"/>
          <w:sz w:val="22"/>
          <w:szCs w:val="22"/>
        </w:rPr>
        <w:t>2.3% growth</w:t>
      </w:r>
      <w:r w:rsidR="00B27B14">
        <w:rPr>
          <w:rFonts w:ascii="Garamond" w:hAnsi="Garamond"/>
          <w:sz w:val="22"/>
          <w:szCs w:val="22"/>
        </w:rPr>
        <w:t xml:space="preserve"> observable in 2018</w:t>
      </w:r>
      <w:r w:rsidR="00B27B14" w:rsidRPr="00B27B14">
        <w:rPr>
          <w:rFonts w:ascii="Garamond" w:hAnsi="Garamond"/>
          <w:sz w:val="22"/>
          <w:szCs w:val="22"/>
        </w:rPr>
        <w:t xml:space="preserve">, </w:t>
      </w:r>
      <w:r w:rsidR="00B27B14">
        <w:rPr>
          <w:rFonts w:ascii="Garamond" w:hAnsi="Garamond"/>
          <w:sz w:val="22"/>
          <w:szCs w:val="22"/>
        </w:rPr>
        <w:t>since t</w:t>
      </w:r>
      <w:r w:rsidR="00B27B14" w:rsidRPr="00B27B14">
        <w:rPr>
          <w:rFonts w:ascii="Garamond" w:hAnsi="Garamond"/>
          <w:sz w:val="22"/>
          <w:szCs w:val="22"/>
        </w:rPr>
        <w:t>he construction sector ha</w:t>
      </w:r>
      <w:r w:rsidR="00B27B14">
        <w:rPr>
          <w:rFonts w:ascii="Garamond" w:hAnsi="Garamond"/>
          <w:sz w:val="22"/>
          <w:szCs w:val="22"/>
        </w:rPr>
        <w:t xml:space="preserve">d well </w:t>
      </w:r>
      <w:r w:rsidR="00B27B14" w:rsidRPr="00B27B14">
        <w:rPr>
          <w:rFonts w:ascii="Garamond" w:hAnsi="Garamond"/>
          <w:sz w:val="22"/>
          <w:szCs w:val="22"/>
        </w:rPr>
        <w:t>contribut</w:t>
      </w:r>
      <w:r w:rsidR="00B27B14">
        <w:rPr>
          <w:rFonts w:ascii="Garamond" w:hAnsi="Garamond"/>
          <w:sz w:val="22"/>
          <w:szCs w:val="22"/>
        </w:rPr>
        <w:t>ed to the</w:t>
      </w:r>
      <w:r w:rsidR="00B27B14" w:rsidRPr="00B27B14">
        <w:rPr>
          <w:rFonts w:ascii="Garamond" w:hAnsi="Garamond"/>
          <w:sz w:val="22"/>
          <w:szCs w:val="22"/>
        </w:rPr>
        <w:t xml:space="preserve"> growth</w:t>
      </w:r>
      <w:r w:rsidR="00B27B14">
        <w:rPr>
          <w:rFonts w:ascii="Garamond" w:hAnsi="Garamond"/>
          <w:sz w:val="22"/>
          <w:szCs w:val="22"/>
        </w:rPr>
        <w:t xml:space="preserve"> that year</w:t>
      </w:r>
      <w:r w:rsidR="00B27B14" w:rsidRPr="00B27B14">
        <w:rPr>
          <w:rFonts w:ascii="Garamond" w:hAnsi="Garamond"/>
          <w:sz w:val="22"/>
          <w:szCs w:val="22"/>
        </w:rPr>
        <w:t>. It is estimated</w:t>
      </w:r>
      <w:r w:rsidR="00B27B14">
        <w:rPr>
          <w:rFonts w:ascii="Garamond" w:hAnsi="Garamond"/>
          <w:sz w:val="22"/>
          <w:szCs w:val="22"/>
        </w:rPr>
        <w:t>, however,</w:t>
      </w:r>
      <w:r w:rsidR="00B27B14" w:rsidRPr="00B27B14">
        <w:rPr>
          <w:rFonts w:ascii="Garamond" w:hAnsi="Garamond"/>
          <w:sz w:val="22"/>
          <w:szCs w:val="22"/>
        </w:rPr>
        <w:t xml:space="preserve"> that the contribution will have a one-</w:t>
      </w:r>
      <w:r w:rsidR="00B27B14">
        <w:rPr>
          <w:rFonts w:ascii="Garamond" w:hAnsi="Garamond"/>
          <w:sz w:val="22"/>
          <w:szCs w:val="22"/>
        </w:rPr>
        <w:t>time</w:t>
      </w:r>
      <w:r w:rsidR="00B27B14" w:rsidRPr="00B27B14">
        <w:rPr>
          <w:rFonts w:ascii="Garamond" w:hAnsi="Garamond"/>
          <w:sz w:val="22"/>
          <w:szCs w:val="22"/>
        </w:rPr>
        <w:t xml:space="preserve"> effect. It should </w:t>
      </w:r>
      <w:r w:rsidR="00B27B14">
        <w:rPr>
          <w:rFonts w:ascii="Garamond" w:hAnsi="Garamond"/>
          <w:sz w:val="22"/>
          <w:szCs w:val="22"/>
        </w:rPr>
        <w:t>be noted that the Russian State S</w:t>
      </w:r>
      <w:r w:rsidR="00B27B14" w:rsidRPr="00B27B14">
        <w:rPr>
          <w:rFonts w:ascii="Garamond" w:hAnsi="Garamond"/>
          <w:sz w:val="22"/>
          <w:szCs w:val="22"/>
        </w:rPr>
        <w:t xml:space="preserve">tatistical </w:t>
      </w:r>
      <w:r w:rsidR="00B27B14">
        <w:rPr>
          <w:rFonts w:ascii="Garamond" w:hAnsi="Garamond"/>
          <w:sz w:val="22"/>
          <w:szCs w:val="22"/>
        </w:rPr>
        <w:t>S</w:t>
      </w:r>
      <w:r w:rsidR="00B27B14" w:rsidRPr="00B27B14">
        <w:rPr>
          <w:rFonts w:ascii="Garamond" w:hAnsi="Garamond"/>
          <w:sz w:val="22"/>
          <w:szCs w:val="22"/>
        </w:rPr>
        <w:t>ervice has re</w:t>
      </w:r>
      <w:r w:rsidR="00B27B14">
        <w:rPr>
          <w:rFonts w:ascii="Garamond" w:hAnsi="Garamond"/>
          <w:sz w:val="22"/>
          <w:szCs w:val="22"/>
        </w:rPr>
        <w:t>vised the 2016-</w:t>
      </w:r>
      <w:r w:rsidR="00B27B14" w:rsidRPr="00B27B14">
        <w:rPr>
          <w:rFonts w:ascii="Garamond" w:hAnsi="Garamond"/>
          <w:sz w:val="22"/>
          <w:szCs w:val="22"/>
        </w:rPr>
        <w:t>2018</w:t>
      </w:r>
      <w:r w:rsidR="00B27B14">
        <w:rPr>
          <w:rFonts w:ascii="Garamond" w:hAnsi="Garamond"/>
          <w:sz w:val="22"/>
          <w:szCs w:val="22"/>
        </w:rPr>
        <w:t xml:space="preserve"> GDP data for </w:t>
      </w:r>
      <w:r w:rsidR="007F3C29">
        <w:rPr>
          <w:rFonts w:ascii="Garamond" w:hAnsi="Garamond"/>
          <w:sz w:val="22"/>
          <w:szCs w:val="22"/>
        </w:rPr>
        <w:t>an upward growth</w:t>
      </w:r>
      <w:r w:rsidR="00B27B14" w:rsidRPr="00B27B14">
        <w:rPr>
          <w:rFonts w:ascii="Garamond" w:hAnsi="Garamond"/>
          <w:sz w:val="22"/>
          <w:szCs w:val="22"/>
        </w:rPr>
        <w:t xml:space="preserve">. </w:t>
      </w:r>
    </w:p>
    <w:p w14:paraId="2AC2231C" w14:textId="77777777" w:rsidR="003B6FDA" w:rsidRPr="00EE5F0F" w:rsidRDefault="00520816" w:rsidP="00EE619D">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 xml:space="preserve">In the world’s </w:t>
      </w:r>
      <w:r w:rsidR="00562C44">
        <w:rPr>
          <w:rFonts w:ascii="Garamond" w:hAnsi="Garamond"/>
          <w:b/>
          <w:sz w:val="22"/>
          <w:szCs w:val="22"/>
        </w:rPr>
        <w:t xml:space="preserve">basic </w:t>
      </w:r>
      <w:r w:rsidRPr="00EE5F0F">
        <w:rPr>
          <w:rFonts w:ascii="Garamond" w:hAnsi="Garamond"/>
          <w:b/>
          <w:sz w:val="22"/>
          <w:szCs w:val="22"/>
        </w:rPr>
        <w:t xml:space="preserve">commodity </w:t>
      </w:r>
      <w:r w:rsidR="007F3C29">
        <w:rPr>
          <w:rFonts w:ascii="Garamond" w:hAnsi="Garamond"/>
          <w:b/>
          <w:sz w:val="22"/>
          <w:szCs w:val="22"/>
        </w:rPr>
        <w:t xml:space="preserve">and food product </w:t>
      </w:r>
      <w:r w:rsidRPr="00EE5F0F">
        <w:rPr>
          <w:rFonts w:ascii="Garamond" w:hAnsi="Garamond"/>
          <w:b/>
          <w:sz w:val="22"/>
          <w:szCs w:val="22"/>
        </w:rPr>
        <w:t>markets</w:t>
      </w:r>
      <w:r w:rsidR="00811961" w:rsidRPr="00EE5F0F">
        <w:rPr>
          <w:rFonts w:ascii="Garamond" w:hAnsi="Garamond"/>
          <w:b/>
          <w:sz w:val="22"/>
          <w:szCs w:val="22"/>
        </w:rPr>
        <w:t>,</w:t>
      </w:r>
      <w:r w:rsidRPr="00EE5F0F">
        <w:rPr>
          <w:rFonts w:ascii="Garamond" w:hAnsi="Garamond"/>
          <w:b/>
          <w:sz w:val="22"/>
          <w:szCs w:val="22"/>
        </w:rPr>
        <w:t xml:space="preserve"> </w:t>
      </w:r>
      <w:r w:rsidR="00562C44">
        <w:rPr>
          <w:rFonts w:ascii="Garamond" w:hAnsi="Garamond"/>
          <w:b/>
          <w:sz w:val="22"/>
          <w:szCs w:val="22"/>
        </w:rPr>
        <w:t xml:space="preserve">somewhat a weaker </w:t>
      </w:r>
      <w:r w:rsidRPr="00EE5F0F">
        <w:rPr>
          <w:rFonts w:ascii="Garamond" w:hAnsi="Garamond"/>
          <w:b/>
          <w:sz w:val="22"/>
          <w:szCs w:val="22"/>
        </w:rPr>
        <w:t>i</w:t>
      </w:r>
      <w:r w:rsidR="003B6FDA" w:rsidRPr="00EE5F0F">
        <w:rPr>
          <w:rFonts w:ascii="Garamond" w:hAnsi="Garamond"/>
          <w:b/>
          <w:sz w:val="22"/>
          <w:szCs w:val="22"/>
        </w:rPr>
        <w:t xml:space="preserve">nflationary </w:t>
      </w:r>
      <w:r w:rsidR="00562C44">
        <w:rPr>
          <w:rFonts w:ascii="Garamond" w:hAnsi="Garamond"/>
          <w:b/>
          <w:sz w:val="22"/>
          <w:szCs w:val="22"/>
        </w:rPr>
        <w:t>environment is</w:t>
      </w:r>
      <w:r w:rsidR="003B6FDA" w:rsidRPr="00EE5F0F">
        <w:rPr>
          <w:rFonts w:ascii="Garamond" w:hAnsi="Garamond"/>
          <w:b/>
          <w:sz w:val="22"/>
          <w:szCs w:val="22"/>
        </w:rPr>
        <w:t xml:space="preserve"> </w:t>
      </w:r>
      <w:r w:rsidR="008C05C0" w:rsidRPr="00EE5F0F">
        <w:rPr>
          <w:rFonts w:ascii="Garamond" w:hAnsi="Garamond"/>
          <w:b/>
          <w:sz w:val="22"/>
          <w:szCs w:val="22"/>
        </w:rPr>
        <w:t>anticipated</w:t>
      </w:r>
      <w:r w:rsidR="007F3C29">
        <w:rPr>
          <w:rFonts w:ascii="Garamond" w:hAnsi="Garamond"/>
          <w:b/>
          <w:sz w:val="22"/>
          <w:szCs w:val="22"/>
        </w:rPr>
        <w:t>,</w:t>
      </w:r>
      <w:r w:rsidRPr="00EE5F0F">
        <w:rPr>
          <w:rFonts w:ascii="Garamond" w:hAnsi="Garamond"/>
          <w:b/>
          <w:sz w:val="22"/>
          <w:szCs w:val="22"/>
        </w:rPr>
        <w:t xml:space="preserve"> in </w:t>
      </w:r>
      <w:r w:rsidR="00562C44">
        <w:rPr>
          <w:rFonts w:ascii="Garamond" w:hAnsi="Garamond"/>
          <w:b/>
          <w:sz w:val="22"/>
          <w:szCs w:val="22"/>
        </w:rPr>
        <w:t xml:space="preserve">comparison with the </w:t>
      </w:r>
      <w:r w:rsidRPr="00EE5F0F">
        <w:rPr>
          <w:rFonts w:ascii="Garamond" w:hAnsi="Garamond"/>
          <w:b/>
          <w:sz w:val="22"/>
          <w:szCs w:val="22"/>
        </w:rPr>
        <w:t>previous</w:t>
      </w:r>
      <w:r w:rsidR="00562C44">
        <w:rPr>
          <w:rFonts w:ascii="Garamond" w:hAnsi="Garamond"/>
          <w:b/>
          <w:sz w:val="22"/>
          <w:szCs w:val="22"/>
        </w:rPr>
        <w:t xml:space="preserve"> forecast</w:t>
      </w:r>
      <w:r w:rsidR="007F3C29">
        <w:rPr>
          <w:rFonts w:ascii="Garamond" w:hAnsi="Garamond"/>
          <w:b/>
          <w:sz w:val="22"/>
          <w:szCs w:val="22"/>
        </w:rPr>
        <w:t>, amid a sluggish global demand</w:t>
      </w:r>
      <w:r w:rsidR="003B6FDA" w:rsidRPr="00EE5F0F">
        <w:rPr>
          <w:rFonts w:ascii="Garamond" w:hAnsi="Garamond"/>
          <w:b/>
          <w:sz w:val="22"/>
          <w:szCs w:val="22"/>
        </w:rPr>
        <w:t>.</w:t>
      </w:r>
    </w:p>
    <w:p w14:paraId="74C9BE4A" w14:textId="77777777" w:rsidR="00500167" w:rsidRPr="00EE5F0F" w:rsidRDefault="003C1254"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005A3523" w:rsidRPr="00EE5F0F">
        <w:rPr>
          <w:rFonts w:ascii="Garamond" w:hAnsi="Garamond"/>
          <w:sz w:val="22"/>
          <w:szCs w:val="22"/>
        </w:rPr>
        <w:t xml:space="preserve">n the </w:t>
      </w:r>
      <w:r w:rsidR="000B2CE6" w:rsidRPr="00EE5F0F">
        <w:rPr>
          <w:rFonts w:ascii="Garamond" w:hAnsi="Garamond"/>
          <w:sz w:val="22"/>
          <w:szCs w:val="22"/>
        </w:rPr>
        <w:t xml:space="preserve">world’s </w:t>
      </w:r>
      <w:r w:rsidR="005A3523" w:rsidRPr="00EE5F0F">
        <w:rPr>
          <w:rFonts w:ascii="Garamond" w:hAnsi="Garamond"/>
          <w:sz w:val="22"/>
          <w:szCs w:val="22"/>
        </w:rPr>
        <w:t xml:space="preserve">food </w:t>
      </w:r>
      <w:r w:rsidR="000B2CE6" w:rsidRPr="00EE5F0F">
        <w:rPr>
          <w:rFonts w:ascii="Garamond" w:hAnsi="Garamond"/>
          <w:sz w:val="22"/>
          <w:szCs w:val="22"/>
        </w:rPr>
        <w:t xml:space="preserve">product </w:t>
      </w:r>
      <w:r w:rsidR="005A3523" w:rsidRPr="00EE5F0F">
        <w:rPr>
          <w:rFonts w:ascii="Garamond" w:hAnsi="Garamond"/>
          <w:sz w:val="22"/>
          <w:szCs w:val="22"/>
        </w:rPr>
        <w:t>market</w:t>
      </w:r>
      <w:r w:rsidR="000B2CE6" w:rsidRPr="00EE5F0F">
        <w:rPr>
          <w:rFonts w:ascii="Garamond" w:hAnsi="Garamond"/>
          <w:sz w:val="22"/>
          <w:szCs w:val="22"/>
        </w:rPr>
        <w:t>s</w:t>
      </w:r>
      <w:r w:rsidR="00B80F86">
        <w:rPr>
          <w:rFonts w:ascii="Garamond" w:hAnsi="Garamond"/>
          <w:sz w:val="22"/>
          <w:szCs w:val="22"/>
        </w:rPr>
        <w:t>,</w:t>
      </w:r>
      <w:r w:rsidR="003E01F9" w:rsidRPr="00EE5F0F">
        <w:rPr>
          <w:rFonts w:ascii="Garamond" w:hAnsi="Garamond"/>
          <w:sz w:val="22"/>
          <w:szCs w:val="22"/>
        </w:rPr>
        <w:t xml:space="preserve"> prices </w:t>
      </w:r>
      <w:r w:rsidR="005A51B6">
        <w:rPr>
          <w:rFonts w:ascii="Garamond" w:hAnsi="Garamond"/>
          <w:sz w:val="22"/>
          <w:szCs w:val="22"/>
        </w:rPr>
        <w:t xml:space="preserve">are predicted to </w:t>
      </w:r>
      <w:r>
        <w:rPr>
          <w:rFonts w:ascii="Garamond" w:hAnsi="Garamond"/>
          <w:sz w:val="22"/>
          <w:szCs w:val="22"/>
        </w:rPr>
        <w:t xml:space="preserve">follow trends close to </w:t>
      </w:r>
      <w:r w:rsidR="00B80F86">
        <w:rPr>
          <w:rFonts w:ascii="Garamond" w:hAnsi="Garamond"/>
          <w:sz w:val="22"/>
          <w:szCs w:val="22"/>
        </w:rPr>
        <w:t xml:space="preserve">the </w:t>
      </w:r>
      <w:r w:rsidR="00735F66">
        <w:rPr>
          <w:rFonts w:ascii="Garamond" w:hAnsi="Garamond"/>
          <w:sz w:val="22"/>
          <w:szCs w:val="22"/>
        </w:rPr>
        <w:t>previous</w:t>
      </w:r>
      <w:r>
        <w:rPr>
          <w:rFonts w:ascii="Garamond" w:hAnsi="Garamond"/>
          <w:sz w:val="22"/>
          <w:szCs w:val="22"/>
        </w:rPr>
        <w:t xml:space="preserve"> forecasts</w:t>
      </w:r>
      <w:r w:rsidR="00735F66">
        <w:rPr>
          <w:rFonts w:ascii="Garamond" w:hAnsi="Garamond"/>
          <w:sz w:val="22"/>
          <w:szCs w:val="22"/>
        </w:rPr>
        <w:t>; in</w:t>
      </w:r>
      <w:r w:rsidR="004B3D61">
        <w:rPr>
          <w:rFonts w:ascii="Garamond" w:hAnsi="Garamond"/>
          <w:sz w:val="22"/>
          <w:szCs w:val="22"/>
        </w:rPr>
        <w:t xml:space="preserve"> some markets (</w:t>
      </w:r>
      <w:r w:rsidR="00735F66">
        <w:rPr>
          <w:rFonts w:ascii="Garamond" w:hAnsi="Garamond"/>
          <w:sz w:val="22"/>
          <w:szCs w:val="22"/>
        </w:rPr>
        <w:t>vegetable oil, dairy products</w:t>
      </w:r>
      <w:r w:rsidR="004B3D61">
        <w:rPr>
          <w:rFonts w:ascii="Garamond" w:hAnsi="Garamond"/>
          <w:sz w:val="22"/>
          <w:szCs w:val="22"/>
        </w:rPr>
        <w:t xml:space="preserve">) </w:t>
      </w:r>
      <w:r w:rsidR="003E01F9" w:rsidRPr="00EE5F0F">
        <w:rPr>
          <w:rFonts w:ascii="Garamond" w:hAnsi="Garamond"/>
          <w:sz w:val="22"/>
          <w:szCs w:val="22"/>
        </w:rPr>
        <w:t xml:space="preserve">they will shape at </w:t>
      </w:r>
      <w:r>
        <w:rPr>
          <w:rFonts w:ascii="Garamond" w:hAnsi="Garamond"/>
          <w:sz w:val="22"/>
          <w:szCs w:val="22"/>
        </w:rPr>
        <w:t>some</w:t>
      </w:r>
      <w:r w:rsidR="00B80F86">
        <w:rPr>
          <w:rFonts w:ascii="Garamond" w:hAnsi="Garamond"/>
          <w:sz w:val="22"/>
          <w:szCs w:val="22"/>
        </w:rPr>
        <w:t>how</w:t>
      </w:r>
      <w:r>
        <w:rPr>
          <w:rFonts w:ascii="Garamond" w:hAnsi="Garamond"/>
          <w:sz w:val="22"/>
          <w:szCs w:val="22"/>
        </w:rPr>
        <w:t xml:space="preserve"> higher</w:t>
      </w:r>
      <w:r w:rsidR="00735F66">
        <w:rPr>
          <w:rFonts w:ascii="Garamond" w:hAnsi="Garamond"/>
          <w:sz w:val="22"/>
          <w:szCs w:val="22"/>
        </w:rPr>
        <w:t xml:space="preserve"> levels </w:t>
      </w:r>
      <w:r w:rsidR="00B80F86">
        <w:rPr>
          <w:rFonts w:ascii="Garamond" w:hAnsi="Garamond"/>
          <w:sz w:val="22"/>
          <w:szCs w:val="22"/>
        </w:rPr>
        <w:t xml:space="preserve">in the short term </w:t>
      </w:r>
      <w:r w:rsidR="00735F66" w:rsidRPr="00735F66">
        <w:rPr>
          <w:rFonts w:ascii="Garamond" w:hAnsi="Garamond"/>
          <w:sz w:val="22"/>
          <w:szCs w:val="22"/>
        </w:rPr>
        <w:t xml:space="preserve">due to expected </w:t>
      </w:r>
      <w:r>
        <w:rPr>
          <w:rFonts w:ascii="Garamond" w:hAnsi="Garamond"/>
          <w:sz w:val="22"/>
          <w:szCs w:val="22"/>
        </w:rPr>
        <w:t xml:space="preserve">seasonal shrinking of </w:t>
      </w:r>
      <w:r w:rsidR="00735F66" w:rsidRPr="00735F66">
        <w:rPr>
          <w:rFonts w:ascii="Garamond" w:hAnsi="Garamond"/>
          <w:sz w:val="22"/>
          <w:szCs w:val="22"/>
        </w:rPr>
        <w:t>supply</w:t>
      </w:r>
      <w:r w:rsidR="00735F66">
        <w:rPr>
          <w:rFonts w:ascii="Garamond" w:hAnsi="Garamond"/>
          <w:sz w:val="22"/>
          <w:szCs w:val="22"/>
        </w:rPr>
        <w:t>, wh</w:t>
      </w:r>
      <w:r w:rsidR="000B7072">
        <w:rPr>
          <w:rFonts w:ascii="Garamond" w:hAnsi="Garamond"/>
          <w:sz w:val="22"/>
          <w:szCs w:val="22"/>
        </w:rPr>
        <w:t xml:space="preserve">ereas </w:t>
      </w:r>
      <w:r w:rsidR="000B7072" w:rsidRPr="000B7072">
        <w:rPr>
          <w:rFonts w:ascii="Garamond" w:hAnsi="Garamond"/>
          <w:sz w:val="22"/>
          <w:szCs w:val="22"/>
        </w:rPr>
        <w:t xml:space="preserve">sugar and </w:t>
      </w:r>
      <w:r w:rsidR="000B7072">
        <w:rPr>
          <w:rFonts w:ascii="Garamond" w:hAnsi="Garamond"/>
          <w:sz w:val="22"/>
          <w:szCs w:val="22"/>
        </w:rPr>
        <w:t xml:space="preserve">wheat prices </w:t>
      </w:r>
      <w:r w:rsidR="00D6416C">
        <w:rPr>
          <w:rFonts w:ascii="Garamond" w:hAnsi="Garamond"/>
          <w:sz w:val="22"/>
          <w:szCs w:val="22"/>
        </w:rPr>
        <w:t xml:space="preserve">will </w:t>
      </w:r>
      <w:r w:rsidR="00226A1D">
        <w:rPr>
          <w:rFonts w:ascii="Garamond" w:hAnsi="Garamond"/>
          <w:sz w:val="22"/>
          <w:szCs w:val="22"/>
        </w:rPr>
        <w:t xml:space="preserve">further grow (although at a slower pace than forecast previously) as </w:t>
      </w:r>
      <w:r w:rsidR="00D6416C" w:rsidRPr="000B7072">
        <w:rPr>
          <w:rFonts w:ascii="Garamond" w:hAnsi="Garamond"/>
          <w:sz w:val="22"/>
          <w:szCs w:val="22"/>
        </w:rPr>
        <w:t xml:space="preserve">currencies </w:t>
      </w:r>
      <w:r w:rsidR="00D6416C">
        <w:rPr>
          <w:rFonts w:ascii="Garamond" w:hAnsi="Garamond"/>
          <w:sz w:val="22"/>
          <w:szCs w:val="22"/>
        </w:rPr>
        <w:t xml:space="preserve">of </w:t>
      </w:r>
      <w:r w:rsidR="000B7072" w:rsidRPr="000B7072">
        <w:rPr>
          <w:rFonts w:ascii="Garamond" w:hAnsi="Garamond"/>
          <w:sz w:val="22"/>
          <w:szCs w:val="22"/>
        </w:rPr>
        <w:t xml:space="preserve">major </w:t>
      </w:r>
      <w:r w:rsidR="00D6416C">
        <w:rPr>
          <w:rFonts w:ascii="Garamond" w:hAnsi="Garamond"/>
          <w:sz w:val="22"/>
          <w:szCs w:val="22"/>
        </w:rPr>
        <w:t>e</w:t>
      </w:r>
      <w:r w:rsidR="000B7072" w:rsidRPr="000B7072">
        <w:rPr>
          <w:rFonts w:ascii="Garamond" w:hAnsi="Garamond"/>
          <w:sz w:val="22"/>
          <w:szCs w:val="22"/>
        </w:rPr>
        <w:t>xporting countries</w:t>
      </w:r>
      <w:r w:rsidR="00D6416C">
        <w:rPr>
          <w:rFonts w:ascii="Garamond" w:hAnsi="Garamond"/>
          <w:sz w:val="22"/>
          <w:szCs w:val="22"/>
        </w:rPr>
        <w:t xml:space="preserve"> appreciat</w:t>
      </w:r>
      <w:r w:rsidR="00226A1D">
        <w:rPr>
          <w:rFonts w:ascii="Garamond" w:hAnsi="Garamond"/>
          <w:sz w:val="22"/>
          <w:szCs w:val="22"/>
        </w:rPr>
        <w:t xml:space="preserve">e </w:t>
      </w:r>
      <w:r w:rsidR="00D6416C">
        <w:rPr>
          <w:rFonts w:ascii="Garamond" w:hAnsi="Garamond"/>
          <w:sz w:val="22"/>
          <w:szCs w:val="22"/>
        </w:rPr>
        <w:t xml:space="preserve">against the </w:t>
      </w:r>
      <w:r w:rsidR="000B7072" w:rsidRPr="000B7072">
        <w:rPr>
          <w:rFonts w:ascii="Garamond" w:hAnsi="Garamond"/>
          <w:sz w:val="22"/>
          <w:szCs w:val="22"/>
        </w:rPr>
        <w:t xml:space="preserve">US dollar </w:t>
      </w:r>
      <w:r w:rsidR="00226A1D">
        <w:rPr>
          <w:rFonts w:ascii="Garamond" w:hAnsi="Garamond"/>
          <w:sz w:val="22"/>
          <w:szCs w:val="22"/>
        </w:rPr>
        <w:t>and the supply come in smaller volumes</w:t>
      </w:r>
      <w:r w:rsidR="00BA48A9">
        <w:rPr>
          <w:rFonts w:ascii="Garamond" w:hAnsi="Garamond"/>
          <w:sz w:val="22"/>
          <w:szCs w:val="22"/>
        </w:rPr>
        <w:t>.</w:t>
      </w:r>
      <w:r w:rsidR="004928D0" w:rsidRPr="00EE5F0F">
        <w:rPr>
          <w:rFonts w:ascii="Garamond" w:hAnsi="Garamond"/>
          <w:sz w:val="22"/>
          <w:szCs w:val="22"/>
        </w:rPr>
        <w:t xml:space="preserve"> </w:t>
      </w:r>
    </w:p>
    <w:p w14:paraId="7A9603E8" w14:textId="77777777" w:rsidR="004928D0" w:rsidRPr="00EE5F0F" w:rsidRDefault="00182A25"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006355AE" w:rsidRPr="00EE5F0F">
        <w:rPr>
          <w:rFonts w:ascii="Garamond" w:hAnsi="Garamond"/>
          <w:sz w:val="22"/>
          <w:szCs w:val="22"/>
        </w:rPr>
        <w:t xml:space="preserve">nternational </w:t>
      </w:r>
      <w:r w:rsidR="004928D0" w:rsidRPr="00EE5F0F">
        <w:rPr>
          <w:rFonts w:ascii="Garamond" w:hAnsi="Garamond"/>
          <w:sz w:val="22"/>
          <w:szCs w:val="22"/>
        </w:rPr>
        <w:t xml:space="preserve">oil prices </w:t>
      </w:r>
      <w:r>
        <w:rPr>
          <w:rFonts w:ascii="Garamond" w:hAnsi="Garamond"/>
          <w:sz w:val="22"/>
          <w:szCs w:val="22"/>
        </w:rPr>
        <w:t xml:space="preserve">are expected to rest on the level which is below the </w:t>
      </w:r>
      <w:r w:rsidR="00920949">
        <w:rPr>
          <w:rFonts w:ascii="Garamond" w:hAnsi="Garamond"/>
          <w:sz w:val="22"/>
          <w:szCs w:val="22"/>
        </w:rPr>
        <w:t>former</w:t>
      </w:r>
      <w:r>
        <w:rPr>
          <w:rFonts w:ascii="Garamond" w:hAnsi="Garamond"/>
          <w:sz w:val="22"/>
          <w:szCs w:val="22"/>
        </w:rPr>
        <w:t xml:space="preserve"> forecast</w:t>
      </w:r>
      <w:r w:rsidR="00920949">
        <w:rPr>
          <w:rFonts w:ascii="Garamond" w:hAnsi="Garamond"/>
          <w:sz w:val="22"/>
          <w:szCs w:val="22"/>
        </w:rPr>
        <w:t xml:space="preserve"> but,</w:t>
      </w:r>
      <w:r w:rsidRPr="00182A25">
        <w:rPr>
          <w:rFonts w:ascii="Garamond" w:hAnsi="Garamond"/>
          <w:sz w:val="22"/>
          <w:szCs w:val="22"/>
        </w:rPr>
        <w:t xml:space="preserve"> as previously predicted, will </w:t>
      </w:r>
      <w:r w:rsidR="00920949">
        <w:rPr>
          <w:rFonts w:ascii="Garamond" w:hAnsi="Garamond"/>
          <w:sz w:val="22"/>
          <w:szCs w:val="22"/>
        </w:rPr>
        <w:t>be trending up</w:t>
      </w:r>
      <w:r w:rsidRPr="00182A25">
        <w:rPr>
          <w:rFonts w:ascii="Garamond" w:hAnsi="Garamond"/>
          <w:sz w:val="22"/>
          <w:szCs w:val="22"/>
        </w:rPr>
        <w:t xml:space="preserve">. In spite of the decision to reduce the supply volumes </w:t>
      </w:r>
      <w:r w:rsidR="00920949">
        <w:rPr>
          <w:rFonts w:ascii="Garamond" w:hAnsi="Garamond"/>
          <w:sz w:val="22"/>
          <w:szCs w:val="22"/>
        </w:rPr>
        <w:t>under OPEC</w:t>
      </w:r>
      <w:r w:rsidRPr="00182A25">
        <w:rPr>
          <w:rFonts w:ascii="Garamond" w:hAnsi="Garamond"/>
          <w:sz w:val="22"/>
          <w:szCs w:val="22"/>
        </w:rPr>
        <w:t>+</w:t>
      </w:r>
      <w:r w:rsidR="00920949">
        <w:rPr>
          <w:rFonts w:ascii="Garamond" w:hAnsi="Garamond"/>
          <w:sz w:val="22"/>
          <w:szCs w:val="22"/>
        </w:rPr>
        <w:t xml:space="preserve"> Deal </w:t>
      </w:r>
      <w:r w:rsidRPr="00182A25">
        <w:rPr>
          <w:rFonts w:ascii="Garamond" w:hAnsi="Garamond"/>
          <w:sz w:val="22"/>
          <w:szCs w:val="22"/>
        </w:rPr>
        <w:t>as well as Saudi Arabia</w:t>
      </w:r>
      <w:r w:rsidR="00920949">
        <w:rPr>
          <w:rFonts w:ascii="Garamond" w:hAnsi="Garamond"/>
          <w:sz w:val="22"/>
          <w:szCs w:val="22"/>
        </w:rPr>
        <w:t xml:space="preserve"> having </w:t>
      </w:r>
      <w:r w:rsidRPr="00182A25">
        <w:rPr>
          <w:rFonts w:ascii="Garamond" w:hAnsi="Garamond"/>
          <w:sz w:val="22"/>
          <w:szCs w:val="22"/>
        </w:rPr>
        <w:t>announce</w:t>
      </w:r>
      <w:r w:rsidR="00920949">
        <w:rPr>
          <w:rFonts w:ascii="Garamond" w:hAnsi="Garamond"/>
          <w:sz w:val="22"/>
          <w:szCs w:val="22"/>
        </w:rPr>
        <w:t>d about reducing pr</w:t>
      </w:r>
      <w:r w:rsidRPr="00182A25">
        <w:rPr>
          <w:rFonts w:ascii="Garamond" w:hAnsi="Garamond"/>
          <w:sz w:val="22"/>
          <w:szCs w:val="22"/>
        </w:rPr>
        <w:t xml:space="preserve">oduction volumes, oil prices will not </w:t>
      </w:r>
      <w:r w:rsidR="00920949">
        <w:rPr>
          <w:rFonts w:ascii="Garamond" w:hAnsi="Garamond"/>
          <w:sz w:val="22"/>
          <w:szCs w:val="22"/>
        </w:rPr>
        <w:t xml:space="preserve">post </w:t>
      </w:r>
      <w:r w:rsidRPr="00182A25">
        <w:rPr>
          <w:rFonts w:ascii="Garamond" w:hAnsi="Garamond"/>
          <w:sz w:val="22"/>
          <w:szCs w:val="22"/>
        </w:rPr>
        <w:t>a s</w:t>
      </w:r>
      <w:r w:rsidR="00920949">
        <w:rPr>
          <w:rFonts w:ascii="Garamond" w:hAnsi="Garamond"/>
          <w:sz w:val="22"/>
          <w:szCs w:val="22"/>
        </w:rPr>
        <w:t>ignificant increase as they can</w:t>
      </w:r>
      <w:r w:rsidRPr="00182A25">
        <w:rPr>
          <w:rFonts w:ascii="Garamond" w:hAnsi="Garamond"/>
          <w:sz w:val="22"/>
          <w:szCs w:val="22"/>
        </w:rPr>
        <w:t xml:space="preserve">not </w:t>
      </w:r>
      <w:r w:rsidR="00920949">
        <w:rPr>
          <w:rFonts w:ascii="Garamond" w:hAnsi="Garamond"/>
          <w:sz w:val="22"/>
          <w:szCs w:val="22"/>
        </w:rPr>
        <w:t>sufficiently challenge downward price movement factors, such as</w:t>
      </w:r>
      <w:r w:rsidR="00DD22DA">
        <w:rPr>
          <w:rFonts w:ascii="Garamond" w:hAnsi="Garamond"/>
          <w:sz w:val="22"/>
          <w:szCs w:val="22"/>
        </w:rPr>
        <w:t xml:space="preserve"> </w:t>
      </w:r>
      <w:r w:rsidRPr="00182A25">
        <w:rPr>
          <w:rFonts w:ascii="Garamond" w:hAnsi="Garamond"/>
          <w:sz w:val="22"/>
          <w:szCs w:val="22"/>
        </w:rPr>
        <w:t>the increase in US production volumes</w:t>
      </w:r>
      <w:r w:rsidR="00DD22DA">
        <w:rPr>
          <w:rFonts w:ascii="Garamond" w:hAnsi="Garamond"/>
          <w:sz w:val="22"/>
          <w:szCs w:val="22"/>
        </w:rPr>
        <w:t xml:space="preserve"> </w:t>
      </w:r>
      <w:r w:rsidRPr="00182A25">
        <w:rPr>
          <w:rFonts w:ascii="Garamond" w:hAnsi="Garamond"/>
          <w:sz w:val="22"/>
          <w:szCs w:val="22"/>
        </w:rPr>
        <w:t xml:space="preserve">and </w:t>
      </w:r>
      <w:r w:rsidR="00DD22DA">
        <w:rPr>
          <w:rFonts w:ascii="Garamond" w:hAnsi="Garamond"/>
          <w:sz w:val="22"/>
          <w:szCs w:val="22"/>
        </w:rPr>
        <w:t>w</w:t>
      </w:r>
      <w:r w:rsidRPr="00182A25">
        <w:rPr>
          <w:rFonts w:ascii="Garamond" w:hAnsi="Garamond"/>
          <w:sz w:val="22"/>
          <w:szCs w:val="22"/>
        </w:rPr>
        <w:t>eakening global demand.</w:t>
      </w:r>
      <w:r w:rsidR="00DD22DA">
        <w:rPr>
          <w:rFonts w:ascii="Garamond" w:hAnsi="Garamond"/>
          <w:sz w:val="22"/>
          <w:szCs w:val="22"/>
        </w:rPr>
        <w:t xml:space="preserve"> </w:t>
      </w:r>
    </w:p>
    <w:p w14:paraId="6820D231" w14:textId="77777777" w:rsidR="009E6F4B" w:rsidRPr="00EE5F0F" w:rsidRDefault="00CA1277"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w:t>
      </w:r>
      <w:r w:rsidR="00785B36" w:rsidRPr="00EE5F0F">
        <w:rPr>
          <w:rFonts w:ascii="Garamond" w:hAnsi="Garamond"/>
          <w:sz w:val="22"/>
          <w:szCs w:val="22"/>
        </w:rPr>
        <w:t>n</w:t>
      </w:r>
      <w:r w:rsidR="00765248">
        <w:rPr>
          <w:rFonts w:ascii="Garamond" w:hAnsi="Garamond"/>
          <w:sz w:val="22"/>
          <w:szCs w:val="22"/>
        </w:rPr>
        <w:t xml:space="preserve"> the </w:t>
      </w:r>
      <w:r w:rsidR="00143B11">
        <w:rPr>
          <w:rFonts w:ascii="Garamond" w:hAnsi="Garamond"/>
          <w:sz w:val="22"/>
          <w:szCs w:val="22"/>
        </w:rPr>
        <w:t xml:space="preserve">short term perspective, </w:t>
      </w:r>
      <w:r w:rsidR="00765248">
        <w:rPr>
          <w:rFonts w:ascii="Garamond" w:hAnsi="Garamond"/>
          <w:sz w:val="22"/>
          <w:szCs w:val="22"/>
        </w:rPr>
        <w:t>in</w:t>
      </w:r>
      <w:r w:rsidR="00785B36" w:rsidRPr="00EE5F0F">
        <w:rPr>
          <w:rFonts w:ascii="Garamond" w:hAnsi="Garamond"/>
          <w:sz w:val="22"/>
          <w:szCs w:val="22"/>
        </w:rPr>
        <w:t xml:space="preserve">ternational </w:t>
      </w:r>
      <w:r w:rsidR="009E6F4B" w:rsidRPr="00EE5F0F">
        <w:rPr>
          <w:rFonts w:ascii="Garamond" w:hAnsi="Garamond"/>
          <w:sz w:val="22"/>
          <w:szCs w:val="22"/>
        </w:rPr>
        <w:t xml:space="preserve">copper prices will </w:t>
      </w:r>
      <w:r w:rsidR="00785B36" w:rsidRPr="00EE5F0F">
        <w:rPr>
          <w:rFonts w:ascii="Garamond" w:hAnsi="Garamond"/>
          <w:sz w:val="22"/>
          <w:szCs w:val="22"/>
        </w:rPr>
        <w:t xml:space="preserve">shape </w:t>
      </w:r>
      <w:r w:rsidRPr="00EE5F0F">
        <w:rPr>
          <w:rFonts w:ascii="Garamond" w:hAnsi="Garamond"/>
          <w:sz w:val="22"/>
          <w:szCs w:val="22"/>
        </w:rPr>
        <w:t xml:space="preserve">at the levels </w:t>
      </w:r>
      <w:r w:rsidR="00177B04">
        <w:rPr>
          <w:rFonts w:ascii="Garamond" w:hAnsi="Garamond"/>
          <w:sz w:val="22"/>
          <w:szCs w:val="22"/>
        </w:rPr>
        <w:t xml:space="preserve">lower than </w:t>
      </w:r>
      <w:r w:rsidRPr="00EE5F0F">
        <w:rPr>
          <w:rFonts w:ascii="Garamond" w:hAnsi="Garamond"/>
          <w:sz w:val="22"/>
          <w:szCs w:val="22"/>
        </w:rPr>
        <w:t xml:space="preserve">outlined in the previous forecast, </w:t>
      </w:r>
      <w:r w:rsidR="00143B11">
        <w:rPr>
          <w:rFonts w:ascii="Garamond" w:hAnsi="Garamond"/>
          <w:sz w:val="22"/>
          <w:szCs w:val="22"/>
        </w:rPr>
        <w:t xml:space="preserve">due to somewhat contracted demand resulting from </w:t>
      </w:r>
      <w:r w:rsidR="00D576E2">
        <w:rPr>
          <w:rFonts w:ascii="Garamond" w:hAnsi="Garamond"/>
          <w:sz w:val="22"/>
          <w:szCs w:val="22"/>
        </w:rPr>
        <w:t xml:space="preserve">trade </w:t>
      </w:r>
      <w:r w:rsidR="00ED5C4E">
        <w:rPr>
          <w:rFonts w:ascii="Garamond" w:hAnsi="Garamond"/>
          <w:sz w:val="22"/>
          <w:szCs w:val="22"/>
        </w:rPr>
        <w:t xml:space="preserve">tensions </w:t>
      </w:r>
      <w:r w:rsidR="00D576E2">
        <w:rPr>
          <w:rFonts w:ascii="Garamond" w:hAnsi="Garamond"/>
          <w:sz w:val="22"/>
          <w:szCs w:val="22"/>
        </w:rPr>
        <w:t>i</w:t>
      </w:r>
      <w:r w:rsidR="00765248" w:rsidRPr="00765248">
        <w:rPr>
          <w:rFonts w:ascii="Garamond" w:hAnsi="Garamond"/>
          <w:sz w:val="22"/>
          <w:szCs w:val="22"/>
        </w:rPr>
        <w:t>n the international copper market.</w:t>
      </w:r>
      <w:r w:rsidR="00143B11">
        <w:rPr>
          <w:rFonts w:ascii="Garamond" w:hAnsi="Garamond"/>
          <w:sz w:val="22"/>
          <w:szCs w:val="22"/>
        </w:rPr>
        <w:t xml:space="preserve"> </w:t>
      </w:r>
      <w:r w:rsidR="00143B11" w:rsidRPr="00143B11">
        <w:rPr>
          <w:rFonts w:ascii="Garamond" w:hAnsi="Garamond"/>
          <w:sz w:val="22"/>
          <w:szCs w:val="22"/>
        </w:rPr>
        <w:t xml:space="preserve">However, in the mid-term, international copper prices are expected to </w:t>
      </w:r>
      <w:r w:rsidR="00143B11">
        <w:rPr>
          <w:rFonts w:ascii="Garamond" w:hAnsi="Garamond"/>
          <w:sz w:val="22"/>
          <w:szCs w:val="22"/>
        </w:rPr>
        <w:t xml:space="preserve">bounce back as certain projects are </w:t>
      </w:r>
      <w:r w:rsidR="00020BD0">
        <w:rPr>
          <w:rFonts w:ascii="Garamond" w:hAnsi="Garamond"/>
          <w:sz w:val="22"/>
          <w:szCs w:val="22"/>
        </w:rPr>
        <w:t xml:space="preserve">intended </w:t>
      </w:r>
      <w:r w:rsidR="00143B11">
        <w:rPr>
          <w:rFonts w:ascii="Garamond" w:hAnsi="Garamond"/>
          <w:sz w:val="22"/>
          <w:szCs w:val="22"/>
        </w:rPr>
        <w:t xml:space="preserve">to </w:t>
      </w:r>
      <w:r w:rsidR="00020BD0">
        <w:rPr>
          <w:rFonts w:ascii="Garamond" w:hAnsi="Garamond"/>
          <w:sz w:val="22"/>
          <w:szCs w:val="22"/>
        </w:rPr>
        <w:t xml:space="preserve">implement </w:t>
      </w:r>
      <w:r w:rsidR="00143B11">
        <w:rPr>
          <w:rFonts w:ascii="Garamond" w:hAnsi="Garamond"/>
          <w:sz w:val="22"/>
          <w:szCs w:val="22"/>
        </w:rPr>
        <w:t xml:space="preserve">in infrastructures of China, a principal </w:t>
      </w:r>
      <w:r w:rsidR="00143B11" w:rsidRPr="00143B11">
        <w:rPr>
          <w:rFonts w:ascii="Garamond" w:hAnsi="Garamond"/>
          <w:sz w:val="22"/>
          <w:szCs w:val="22"/>
        </w:rPr>
        <w:t xml:space="preserve">copper </w:t>
      </w:r>
      <w:r w:rsidR="00020BD0">
        <w:rPr>
          <w:rFonts w:ascii="Garamond" w:hAnsi="Garamond"/>
          <w:sz w:val="22"/>
          <w:szCs w:val="22"/>
        </w:rPr>
        <w:t>consumer.</w:t>
      </w:r>
      <w:r w:rsidRPr="00EE5F0F">
        <w:rPr>
          <w:rFonts w:ascii="Garamond" w:hAnsi="Garamond"/>
          <w:sz w:val="22"/>
          <w:szCs w:val="22"/>
        </w:rPr>
        <w:t xml:space="preserve">  </w:t>
      </w:r>
    </w:p>
    <w:p w14:paraId="4E2C85D4" w14:textId="77777777" w:rsidR="00C71404" w:rsidRPr="00EE5F0F" w:rsidRDefault="00C71404" w:rsidP="00EE619D">
      <w:pPr>
        <w:autoSpaceDE w:val="0"/>
        <w:autoSpaceDN w:val="0"/>
        <w:adjustRightInd w:val="0"/>
        <w:spacing w:after="120" w:line="360" w:lineRule="auto"/>
        <w:jc w:val="both"/>
        <w:rPr>
          <w:rFonts w:ascii="Garamond" w:hAnsi="Garamond"/>
          <w:b/>
          <w:sz w:val="22"/>
          <w:szCs w:val="22"/>
          <w:lang w:val="hy-AM"/>
        </w:rPr>
      </w:pPr>
      <w:r w:rsidRPr="00EE5F0F">
        <w:rPr>
          <w:rFonts w:ascii="Garamond" w:hAnsi="Garamond"/>
          <w:b/>
          <w:sz w:val="22"/>
          <w:szCs w:val="22"/>
        </w:rPr>
        <w:t xml:space="preserve">Armenia’s economic growth rate </w:t>
      </w:r>
      <w:r w:rsidR="006038A5">
        <w:rPr>
          <w:rFonts w:ascii="Garamond" w:hAnsi="Garamond"/>
          <w:b/>
          <w:sz w:val="22"/>
          <w:szCs w:val="22"/>
        </w:rPr>
        <w:t xml:space="preserve">was revised slightly upside against the previous forecast, </w:t>
      </w:r>
      <w:r w:rsidR="007404BA">
        <w:rPr>
          <w:rFonts w:ascii="Garamond" w:hAnsi="Garamond"/>
          <w:b/>
          <w:sz w:val="22"/>
          <w:szCs w:val="22"/>
        </w:rPr>
        <w:t xml:space="preserve">for </w:t>
      </w:r>
      <w:r w:rsidR="006038A5">
        <w:rPr>
          <w:rFonts w:ascii="Garamond" w:hAnsi="Garamond"/>
          <w:b/>
          <w:sz w:val="22"/>
          <w:szCs w:val="22"/>
        </w:rPr>
        <w:t xml:space="preserve">both </w:t>
      </w:r>
      <w:r w:rsidR="007404BA">
        <w:rPr>
          <w:rFonts w:ascii="Garamond" w:hAnsi="Garamond"/>
          <w:b/>
          <w:sz w:val="22"/>
          <w:szCs w:val="22"/>
        </w:rPr>
        <w:t>201</w:t>
      </w:r>
      <w:r w:rsidR="006038A5">
        <w:rPr>
          <w:rFonts w:ascii="Garamond" w:hAnsi="Garamond"/>
          <w:b/>
          <w:sz w:val="22"/>
          <w:szCs w:val="22"/>
        </w:rPr>
        <w:t>9 and along the forecast horizon</w:t>
      </w:r>
      <w:r w:rsidR="00D576E2" w:rsidRPr="00D576E2">
        <w:rPr>
          <w:rFonts w:ascii="Garamond" w:hAnsi="Garamond"/>
          <w:b/>
          <w:sz w:val="22"/>
          <w:szCs w:val="22"/>
        </w:rPr>
        <w:t>.</w:t>
      </w:r>
      <w:r w:rsidR="00D576E2">
        <w:rPr>
          <w:rFonts w:ascii="Garamond" w:hAnsi="Garamond"/>
          <w:b/>
          <w:sz w:val="22"/>
          <w:szCs w:val="22"/>
        </w:rPr>
        <w:t xml:space="preserve"> </w:t>
      </w:r>
    </w:p>
    <w:p w14:paraId="1D1702AA" w14:textId="77777777" w:rsidR="000007DB" w:rsidRPr="00EE5F0F" w:rsidRDefault="00D576E2" w:rsidP="00EE619D">
      <w:pPr>
        <w:autoSpaceDE w:val="0"/>
        <w:autoSpaceDN w:val="0"/>
        <w:adjustRightInd w:val="0"/>
        <w:spacing w:after="120" w:line="360" w:lineRule="auto"/>
        <w:jc w:val="both"/>
        <w:rPr>
          <w:rFonts w:ascii="Garamond" w:hAnsi="Garamond"/>
          <w:sz w:val="22"/>
          <w:szCs w:val="22"/>
        </w:rPr>
      </w:pPr>
      <w:r w:rsidRPr="00D576E2">
        <w:rPr>
          <w:rFonts w:ascii="Garamond" w:hAnsi="Garamond"/>
          <w:sz w:val="22"/>
          <w:szCs w:val="22"/>
        </w:rPr>
        <w:t xml:space="preserve">The economic growth of the recent period </w:t>
      </w:r>
      <w:r w:rsidR="007A3D29">
        <w:rPr>
          <w:rFonts w:ascii="Garamond" w:hAnsi="Garamond"/>
          <w:sz w:val="22"/>
          <w:szCs w:val="22"/>
        </w:rPr>
        <w:t xml:space="preserve">marks high activity in </w:t>
      </w:r>
      <w:r w:rsidR="006038A5">
        <w:rPr>
          <w:rFonts w:ascii="Garamond" w:hAnsi="Garamond"/>
          <w:sz w:val="22"/>
          <w:szCs w:val="22"/>
        </w:rPr>
        <w:t xml:space="preserve">services, a </w:t>
      </w:r>
      <w:r w:rsidR="006038A5" w:rsidRPr="00603119">
        <w:rPr>
          <w:rFonts w:ascii="Garamond" w:hAnsi="Garamond"/>
          <w:sz w:val="22"/>
          <w:szCs w:val="22"/>
        </w:rPr>
        <w:t>labor-intensive</w:t>
      </w:r>
      <w:r w:rsidR="006038A5">
        <w:rPr>
          <w:rFonts w:ascii="Garamond" w:hAnsi="Garamond"/>
          <w:sz w:val="22"/>
          <w:szCs w:val="22"/>
        </w:rPr>
        <w:t xml:space="preserve"> sector </w:t>
      </w:r>
      <w:r w:rsidRPr="00D576E2">
        <w:rPr>
          <w:rFonts w:ascii="Garamond" w:hAnsi="Garamond"/>
          <w:sz w:val="22"/>
          <w:szCs w:val="22"/>
        </w:rPr>
        <w:t xml:space="preserve">(see </w:t>
      </w:r>
      <w:r>
        <w:rPr>
          <w:rFonts w:ascii="Garamond" w:hAnsi="Garamond"/>
          <w:sz w:val="22"/>
          <w:szCs w:val="22"/>
        </w:rPr>
        <w:t>sub</w:t>
      </w:r>
      <w:r w:rsidRPr="00D576E2">
        <w:rPr>
          <w:rFonts w:ascii="Garamond" w:hAnsi="Garamond"/>
          <w:sz w:val="22"/>
          <w:szCs w:val="22"/>
        </w:rPr>
        <w:t xml:space="preserve">section </w:t>
      </w:r>
      <w:r w:rsidR="007A3D29">
        <w:rPr>
          <w:rFonts w:ascii="Garamond" w:hAnsi="Garamond"/>
          <w:sz w:val="22"/>
          <w:szCs w:val="22"/>
        </w:rPr>
        <w:t>3</w:t>
      </w:r>
      <w:r w:rsidRPr="00D576E2">
        <w:rPr>
          <w:rFonts w:ascii="Garamond" w:hAnsi="Garamond"/>
          <w:sz w:val="22"/>
          <w:szCs w:val="22"/>
        </w:rPr>
        <w:t xml:space="preserve">. 2. </w:t>
      </w:r>
      <w:r w:rsidR="006038A5">
        <w:rPr>
          <w:rFonts w:ascii="Garamond" w:hAnsi="Garamond"/>
          <w:sz w:val="22"/>
          <w:szCs w:val="22"/>
        </w:rPr>
        <w:t>3</w:t>
      </w:r>
      <w:r w:rsidRPr="00D576E2">
        <w:rPr>
          <w:rFonts w:ascii="Garamond" w:hAnsi="Garamond"/>
          <w:sz w:val="22"/>
          <w:szCs w:val="22"/>
        </w:rPr>
        <w:t>)</w:t>
      </w:r>
      <w:r w:rsidR="00C321FD">
        <w:rPr>
          <w:rFonts w:ascii="Garamond" w:hAnsi="Garamond"/>
          <w:sz w:val="22"/>
          <w:szCs w:val="22"/>
        </w:rPr>
        <w:t xml:space="preserve"> and is concomitant with reducing unemployment</w:t>
      </w:r>
      <w:r w:rsidRPr="00D576E2">
        <w:rPr>
          <w:rFonts w:ascii="Garamond" w:hAnsi="Garamond"/>
          <w:sz w:val="22"/>
          <w:szCs w:val="22"/>
        </w:rPr>
        <w:t xml:space="preserve"> (see </w:t>
      </w:r>
      <w:r>
        <w:rPr>
          <w:rFonts w:ascii="Garamond" w:hAnsi="Garamond"/>
          <w:sz w:val="22"/>
          <w:szCs w:val="22"/>
        </w:rPr>
        <w:t>sub</w:t>
      </w:r>
      <w:r w:rsidRPr="00D576E2">
        <w:rPr>
          <w:rFonts w:ascii="Garamond" w:hAnsi="Garamond"/>
          <w:sz w:val="22"/>
          <w:szCs w:val="22"/>
        </w:rPr>
        <w:t xml:space="preserve">section 3. 2. </w:t>
      </w:r>
      <w:r w:rsidR="00C321FD">
        <w:rPr>
          <w:rFonts w:ascii="Garamond" w:hAnsi="Garamond"/>
          <w:sz w:val="22"/>
          <w:szCs w:val="22"/>
        </w:rPr>
        <w:t>4</w:t>
      </w:r>
      <w:r w:rsidRPr="00D576E2">
        <w:rPr>
          <w:rFonts w:ascii="Garamond" w:hAnsi="Garamond"/>
          <w:sz w:val="22"/>
          <w:szCs w:val="22"/>
        </w:rPr>
        <w:t>)</w:t>
      </w:r>
      <w:r w:rsidR="00731352">
        <w:rPr>
          <w:rFonts w:ascii="Garamond" w:hAnsi="Garamond"/>
          <w:sz w:val="22"/>
          <w:szCs w:val="22"/>
        </w:rPr>
        <w:t xml:space="preserve">. Furthermore, </w:t>
      </w:r>
      <w:r w:rsidR="00D35148">
        <w:rPr>
          <w:rFonts w:ascii="Garamond" w:hAnsi="Garamond"/>
          <w:sz w:val="22"/>
          <w:szCs w:val="22"/>
        </w:rPr>
        <w:t>given the international tourism grows continuously and economic activity of labor resources remains</w:t>
      </w:r>
      <w:r w:rsidR="00963BDB">
        <w:rPr>
          <w:rFonts w:ascii="Garamond" w:hAnsi="Garamond"/>
          <w:sz w:val="22"/>
          <w:szCs w:val="22"/>
        </w:rPr>
        <w:t xml:space="preserve"> vigorous, </w:t>
      </w:r>
      <w:r w:rsidR="00731352">
        <w:rPr>
          <w:rFonts w:ascii="Garamond" w:hAnsi="Garamond"/>
          <w:sz w:val="22"/>
          <w:szCs w:val="22"/>
        </w:rPr>
        <w:t xml:space="preserve">there is </w:t>
      </w:r>
      <w:r w:rsidR="00731352" w:rsidRPr="00D576E2">
        <w:rPr>
          <w:rFonts w:ascii="Garamond" w:hAnsi="Garamond"/>
          <w:sz w:val="22"/>
          <w:szCs w:val="22"/>
        </w:rPr>
        <w:t>expect</w:t>
      </w:r>
      <w:r w:rsidR="00731352">
        <w:rPr>
          <w:rFonts w:ascii="Garamond" w:hAnsi="Garamond"/>
          <w:sz w:val="22"/>
          <w:szCs w:val="22"/>
        </w:rPr>
        <w:t xml:space="preserve">ation that </w:t>
      </w:r>
      <w:r w:rsidR="00731352" w:rsidRPr="00D576E2">
        <w:rPr>
          <w:rFonts w:ascii="Garamond" w:hAnsi="Garamond"/>
          <w:sz w:val="22"/>
          <w:szCs w:val="22"/>
        </w:rPr>
        <w:t xml:space="preserve">economic growth will </w:t>
      </w:r>
      <w:r w:rsidR="00963BDB">
        <w:rPr>
          <w:rFonts w:ascii="Garamond" w:hAnsi="Garamond"/>
          <w:sz w:val="22"/>
          <w:szCs w:val="22"/>
        </w:rPr>
        <w:t xml:space="preserve">be slightly higher in 2019 and throughout the </w:t>
      </w:r>
      <w:r w:rsidR="00963BDB" w:rsidRPr="00D576E2">
        <w:rPr>
          <w:rFonts w:ascii="Garamond" w:hAnsi="Garamond"/>
          <w:sz w:val="22"/>
          <w:szCs w:val="22"/>
        </w:rPr>
        <w:t>forecast horizon</w:t>
      </w:r>
      <w:r w:rsidR="00963BDB">
        <w:rPr>
          <w:rFonts w:ascii="Garamond" w:hAnsi="Garamond"/>
          <w:sz w:val="22"/>
          <w:szCs w:val="22"/>
        </w:rPr>
        <w:t>;</w:t>
      </w:r>
      <w:r w:rsidR="00731352">
        <w:rPr>
          <w:rFonts w:ascii="Garamond" w:hAnsi="Garamond"/>
          <w:sz w:val="22"/>
          <w:szCs w:val="22"/>
        </w:rPr>
        <w:t xml:space="preserve"> </w:t>
      </w:r>
      <w:r w:rsidR="00963BDB">
        <w:rPr>
          <w:rFonts w:ascii="Garamond" w:hAnsi="Garamond"/>
          <w:sz w:val="22"/>
          <w:szCs w:val="22"/>
        </w:rPr>
        <w:t>t</w:t>
      </w:r>
      <w:r w:rsidR="00E31F0F">
        <w:rPr>
          <w:rFonts w:ascii="Garamond" w:hAnsi="Garamond"/>
          <w:sz w:val="22"/>
          <w:szCs w:val="22"/>
        </w:rPr>
        <w:t>he e</w:t>
      </w:r>
      <w:r w:rsidRPr="00D576E2">
        <w:rPr>
          <w:rFonts w:ascii="Garamond" w:hAnsi="Garamond"/>
          <w:sz w:val="22"/>
          <w:szCs w:val="22"/>
        </w:rPr>
        <w:t xml:space="preserve">conomic growth will mainly </w:t>
      </w:r>
      <w:r w:rsidR="00E26F64">
        <w:rPr>
          <w:rFonts w:ascii="Garamond" w:hAnsi="Garamond"/>
          <w:sz w:val="22"/>
          <w:szCs w:val="22"/>
        </w:rPr>
        <w:t>be fuel</w:t>
      </w:r>
      <w:r w:rsidR="00E31F0F">
        <w:rPr>
          <w:rFonts w:ascii="Garamond" w:hAnsi="Garamond"/>
          <w:sz w:val="22"/>
          <w:szCs w:val="22"/>
        </w:rPr>
        <w:t>l</w:t>
      </w:r>
      <w:r w:rsidR="00E26F64">
        <w:rPr>
          <w:rFonts w:ascii="Garamond" w:hAnsi="Garamond"/>
          <w:sz w:val="22"/>
          <w:szCs w:val="22"/>
        </w:rPr>
        <w:t xml:space="preserve">ed by </w:t>
      </w:r>
      <w:r w:rsidRPr="00D576E2">
        <w:rPr>
          <w:rFonts w:ascii="Garamond" w:hAnsi="Garamond"/>
          <w:sz w:val="22"/>
          <w:szCs w:val="22"/>
        </w:rPr>
        <w:t xml:space="preserve">the services sector, </w:t>
      </w:r>
      <w:r w:rsidR="00E26F64">
        <w:rPr>
          <w:rFonts w:ascii="Garamond" w:hAnsi="Garamond"/>
          <w:sz w:val="22"/>
          <w:szCs w:val="22"/>
        </w:rPr>
        <w:t xml:space="preserve">whereas </w:t>
      </w:r>
      <w:r w:rsidR="00E31F0F">
        <w:rPr>
          <w:rFonts w:ascii="Garamond" w:hAnsi="Garamond"/>
          <w:sz w:val="22"/>
          <w:szCs w:val="22"/>
        </w:rPr>
        <w:t xml:space="preserve">the industry, </w:t>
      </w:r>
      <w:r w:rsidRPr="00D576E2">
        <w:rPr>
          <w:rFonts w:ascii="Garamond" w:hAnsi="Garamond"/>
          <w:sz w:val="22"/>
          <w:szCs w:val="22"/>
        </w:rPr>
        <w:t xml:space="preserve">agriculture and construction </w:t>
      </w:r>
      <w:r w:rsidR="00E31F0F">
        <w:rPr>
          <w:rFonts w:ascii="Garamond" w:hAnsi="Garamond"/>
          <w:sz w:val="22"/>
          <w:szCs w:val="22"/>
        </w:rPr>
        <w:t xml:space="preserve">sectors </w:t>
      </w:r>
      <w:r w:rsidRPr="00D576E2">
        <w:rPr>
          <w:rFonts w:ascii="Garamond" w:hAnsi="Garamond"/>
          <w:sz w:val="22"/>
          <w:szCs w:val="22"/>
        </w:rPr>
        <w:t xml:space="preserve">will </w:t>
      </w:r>
      <w:r w:rsidR="00E31F0F">
        <w:rPr>
          <w:rFonts w:ascii="Garamond" w:hAnsi="Garamond"/>
          <w:sz w:val="22"/>
          <w:szCs w:val="22"/>
        </w:rPr>
        <w:t xml:space="preserve">bring </w:t>
      </w:r>
      <w:r w:rsidRPr="00D576E2">
        <w:rPr>
          <w:rFonts w:ascii="Garamond" w:hAnsi="Garamond"/>
          <w:sz w:val="22"/>
          <w:szCs w:val="22"/>
        </w:rPr>
        <w:t>relatively small</w:t>
      </w:r>
      <w:r w:rsidR="00E31F0F">
        <w:rPr>
          <w:rFonts w:ascii="Garamond" w:hAnsi="Garamond"/>
          <w:sz w:val="22"/>
          <w:szCs w:val="22"/>
        </w:rPr>
        <w:t xml:space="preserve"> contributions</w:t>
      </w:r>
      <w:r w:rsidRPr="00D576E2">
        <w:rPr>
          <w:rFonts w:ascii="Garamond" w:hAnsi="Garamond"/>
          <w:sz w:val="22"/>
          <w:szCs w:val="22"/>
        </w:rPr>
        <w:t>.</w:t>
      </w:r>
      <w:r w:rsidR="00E26F64">
        <w:rPr>
          <w:rFonts w:ascii="Garamond" w:hAnsi="Garamond"/>
          <w:sz w:val="22"/>
          <w:szCs w:val="22"/>
        </w:rPr>
        <w:t xml:space="preserve"> </w:t>
      </w:r>
    </w:p>
    <w:tbl>
      <w:tblPr>
        <w:tblStyle w:val="TableGrid"/>
        <w:tblW w:w="0" w:type="auto"/>
        <w:tblLook w:val="04A0" w:firstRow="1" w:lastRow="0" w:firstColumn="1" w:lastColumn="0" w:noHBand="0" w:noVBand="1"/>
      </w:tblPr>
      <w:tblGrid>
        <w:gridCol w:w="9350"/>
      </w:tblGrid>
      <w:tr w:rsidR="00F93441" w:rsidRPr="003720FB" w14:paraId="765A6160" w14:textId="77777777" w:rsidTr="00AC5AE0">
        <w:trPr>
          <w:trHeight w:val="335"/>
        </w:trPr>
        <w:tc>
          <w:tcPr>
            <w:tcW w:w="9576" w:type="dxa"/>
          </w:tcPr>
          <w:p w14:paraId="16CDF5C6" w14:textId="77777777" w:rsidR="00F93441" w:rsidRPr="003720FB" w:rsidRDefault="00963BDB" w:rsidP="00AC5AE0">
            <w:pPr>
              <w:autoSpaceDE w:val="0"/>
              <w:autoSpaceDN w:val="0"/>
              <w:adjustRightInd w:val="0"/>
              <w:spacing w:after="120" w:line="360" w:lineRule="auto"/>
              <w:jc w:val="both"/>
              <w:rPr>
                <w:rFonts w:ascii="Garamond" w:hAnsi="Garamond"/>
                <w:b/>
                <w:color w:val="FF0000"/>
                <w:sz w:val="18"/>
                <w:szCs w:val="18"/>
              </w:rPr>
            </w:pPr>
            <w:r>
              <w:rPr>
                <w:rFonts w:ascii="Garamond" w:hAnsi="Garamond"/>
                <w:b/>
                <w:color w:val="FF0000"/>
                <w:sz w:val="18"/>
                <w:szCs w:val="18"/>
              </w:rPr>
              <w:lastRenderedPageBreak/>
              <w:t>Footnote 6</w:t>
            </w:r>
            <w:r w:rsidR="00F93441" w:rsidRPr="003720FB">
              <w:rPr>
                <w:rFonts w:ascii="Garamond" w:hAnsi="Garamond"/>
                <w:b/>
                <w:color w:val="FF0000"/>
                <w:sz w:val="18"/>
                <w:szCs w:val="18"/>
              </w:rPr>
              <w:t xml:space="preserve">. </w:t>
            </w:r>
            <w:r w:rsidR="00F93441" w:rsidRPr="00DD0E48">
              <w:rPr>
                <w:rFonts w:ascii="Garamond" w:hAnsi="Garamond"/>
                <w:sz w:val="18"/>
                <w:szCs w:val="18"/>
              </w:rPr>
              <w:t>The growth rate of each quarter is calculated as the cumulative growth rate for the last four quarters.</w:t>
            </w:r>
          </w:p>
        </w:tc>
      </w:tr>
    </w:tbl>
    <w:p w14:paraId="0456A5C7" w14:textId="77777777" w:rsidR="00963BDB" w:rsidRDefault="00963BDB" w:rsidP="00963BDB">
      <w:pPr>
        <w:autoSpaceDE w:val="0"/>
        <w:autoSpaceDN w:val="0"/>
        <w:adjustRightInd w:val="0"/>
        <w:spacing w:after="120" w:line="360" w:lineRule="auto"/>
        <w:jc w:val="both"/>
        <w:rPr>
          <w:rFonts w:ascii="Garamond" w:hAnsi="Garamond"/>
          <w:sz w:val="22"/>
          <w:szCs w:val="22"/>
        </w:rPr>
      </w:pPr>
    </w:p>
    <w:p w14:paraId="0B226730" w14:textId="77777777" w:rsidR="00963BDB" w:rsidRDefault="00963BDB" w:rsidP="00963BDB">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The</w:t>
      </w:r>
      <w:r>
        <w:rPr>
          <w:rFonts w:ascii="Garamond" w:hAnsi="Garamond"/>
          <w:sz w:val="22"/>
          <w:szCs w:val="22"/>
        </w:rPr>
        <w:t xml:space="preserve"> negative </w:t>
      </w:r>
      <w:r w:rsidRPr="00EE5F0F">
        <w:rPr>
          <w:rFonts w:ascii="Garamond" w:hAnsi="Garamond"/>
          <w:sz w:val="22"/>
          <w:szCs w:val="22"/>
        </w:rPr>
        <w:t>GDP gap</w:t>
      </w:r>
      <w:r>
        <w:rPr>
          <w:rFonts w:ascii="Garamond" w:hAnsi="Garamond"/>
          <w:sz w:val="22"/>
          <w:szCs w:val="22"/>
        </w:rPr>
        <w:t xml:space="preserve"> induced as a result of contractionary fiscal policy and reduced remittances and net exports in real terms will gradually phase out under the current expansionary monetary environment, and </w:t>
      </w:r>
      <w:r w:rsidR="00D96CC6">
        <w:rPr>
          <w:rFonts w:ascii="Garamond" w:hAnsi="Garamond"/>
          <w:sz w:val="22"/>
          <w:szCs w:val="22"/>
        </w:rPr>
        <w:t xml:space="preserve">in the </w:t>
      </w:r>
      <w:r>
        <w:rPr>
          <w:rFonts w:ascii="Garamond" w:hAnsi="Garamond"/>
          <w:sz w:val="22"/>
          <w:szCs w:val="22"/>
        </w:rPr>
        <w:t xml:space="preserve">forecast horizon the </w:t>
      </w:r>
      <w:r w:rsidR="00D96CC6">
        <w:rPr>
          <w:rFonts w:ascii="Garamond" w:hAnsi="Garamond"/>
          <w:sz w:val="22"/>
          <w:szCs w:val="22"/>
        </w:rPr>
        <w:t>economic growth will approach its potential estimate</w:t>
      </w:r>
      <w:r w:rsidRPr="00EE5F0F">
        <w:rPr>
          <w:rFonts w:ascii="Garamond" w:hAnsi="Garamond"/>
          <w:sz w:val="22"/>
          <w:szCs w:val="22"/>
        </w:rPr>
        <w:t>.</w:t>
      </w:r>
    </w:p>
    <w:p w14:paraId="41DD5023" w14:textId="77777777" w:rsidR="00F93441" w:rsidRPr="00EE5F0F" w:rsidRDefault="00963BDB" w:rsidP="00F93441">
      <w:pPr>
        <w:autoSpaceDE w:val="0"/>
        <w:autoSpaceDN w:val="0"/>
        <w:adjustRightInd w:val="0"/>
        <w:spacing w:after="120" w:line="360" w:lineRule="auto"/>
        <w:jc w:val="both"/>
        <w:rPr>
          <w:rFonts w:ascii="Garamond" w:hAnsi="Garamond"/>
          <w:b/>
          <w:sz w:val="22"/>
          <w:szCs w:val="22"/>
        </w:rPr>
      </w:pPr>
      <w:r w:rsidRPr="00972A2E">
        <w:rPr>
          <w:rFonts w:ascii="Garamond" w:hAnsi="Garamond"/>
          <w:b/>
          <w:color w:val="C00000"/>
          <w:sz w:val="22"/>
          <w:szCs w:val="22"/>
        </w:rPr>
        <w:t>Table 2:</w:t>
      </w:r>
    </w:p>
    <w:p w14:paraId="6258354A" w14:textId="65E50ADB" w:rsidR="00BE69EE" w:rsidRPr="00EE5F0F" w:rsidRDefault="00E713A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201</w:t>
      </w:r>
      <w:r w:rsidR="00D96CC6">
        <w:rPr>
          <w:rFonts w:ascii="Garamond" w:hAnsi="Garamond"/>
          <w:sz w:val="22"/>
          <w:szCs w:val="22"/>
        </w:rPr>
        <w:t>9</w:t>
      </w:r>
      <w:r w:rsidR="00AA75EC" w:rsidRPr="00EE5F0F">
        <w:rPr>
          <w:rFonts w:ascii="Garamond" w:hAnsi="Garamond"/>
          <w:sz w:val="22"/>
          <w:szCs w:val="22"/>
        </w:rPr>
        <w:t>,</w:t>
      </w:r>
      <w:r w:rsidRPr="00EE5F0F">
        <w:rPr>
          <w:rFonts w:ascii="Garamond" w:hAnsi="Garamond"/>
          <w:sz w:val="22"/>
          <w:szCs w:val="22"/>
        </w:rPr>
        <w:t xml:space="preserve"> the current account deficit-to-GDP ratio will </w:t>
      </w:r>
      <w:r w:rsidR="00F93441">
        <w:rPr>
          <w:rFonts w:ascii="Garamond" w:hAnsi="Garamond"/>
          <w:sz w:val="22"/>
          <w:szCs w:val="22"/>
        </w:rPr>
        <w:t xml:space="preserve">run above the previously forecast level, </w:t>
      </w:r>
      <w:r w:rsidR="006C67BA">
        <w:rPr>
          <w:rFonts w:ascii="Garamond" w:hAnsi="Garamond"/>
          <w:sz w:val="22"/>
          <w:szCs w:val="22"/>
        </w:rPr>
        <w:t xml:space="preserve">which </w:t>
      </w:r>
      <w:r w:rsidR="006C67BA" w:rsidRPr="006C67BA">
        <w:rPr>
          <w:rFonts w:ascii="Garamond" w:hAnsi="Garamond"/>
          <w:sz w:val="22"/>
          <w:szCs w:val="22"/>
        </w:rPr>
        <w:t xml:space="preserve">will mainly be </w:t>
      </w:r>
      <w:r w:rsidR="006C67BA">
        <w:rPr>
          <w:rFonts w:ascii="Garamond" w:hAnsi="Garamond"/>
          <w:sz w:val="22"/>
          <w:szCs w:val="22"/>
        </w:rPr>
        <w:t>attributable to the</w:t>
      </w:r>
      <w:r w:rsidR="006C67BA" w:rsidRPr="006C67BA">
        <w:rPr>
          <w:rFonts w:ascii="Garamond" w:hAnsi="Garamond"/>
          <w:sz w:val="22"/>
          <w:szCs w:val="22"/>
        </w:rPr>
        <w:t xml:space="preserve"> deterioration of </w:t>
      </w:r>
      <w:r w:rsidR="00842181">
        <w:rPr>
          <w:rFonts w:ascii="Garamond" w:hAnsi="Garamond"/>
          <w:sz w:val="22"/>
          <w:szCs w:val="22"/>
        </w:rPr>
        <w:t xml:space="preserve">terms of </w:t>
      </w:r>
      <w:proofErr w:type="gramStart"/>
      <w:r w:rsidR="006C67BA" w:rsidRPr="006C67BA">
        <w:rPr>
          <w:rFonts w:ascii="Garamond" w:hAnsi="Garamond"/>
          <w:sz w:val="22"/>
          <w:szCs w:val="22"/>
        </w:rPr>
        <w:t>trad</w:t>
      </w:r>
      <w:r w:rsidR="006C67BA">
        <w:rPr>
          <w:rFonts w:ascii="Garamond" w:hAnsi="Garamond"/>
          <w:sz w:val="22"/>
          <w:szCs w:val="22"/>
        </w:rPr>
        <w:t>e</w:t>
      </w:r>
      <w:r w:rsidR="006C67BA" w:rsidRPr="006C67BA">
        <w:rPr>
          <w:rFonts w:ascii="Garamond" w:hAnsi="Garamond"/>
          <w:sz w:val="22"/>
          <w:szCs w:val="22"/>
        </w:rPr>
        <w:t xml:space="preserve">  compared</w:t>
      </w:r>
      <w:proofErr w:type="gramEnd"/>
      <w:r w:rsidR="006C67BA" w:rsidRPr="006C67BA">
        <w:rPr>
          <w:rFonts w:ascii="Garamond" w:hAnsi="Garamond"/>
          <w:sz w:val="22"/>
          <w:szCs w:val="22"/>
        </w:rPr>
        <w:t xml:space="preserve"> to the previous forecast</w:t>
      </w:r>
      <w:r w:rsidR="006C67BA">
        <w:rPr>
          <w:rFonts w:ascii="Garamond" w:hAnsi="Garamond"/>
          <w:sz w:val="22"/>
          <w:szCs w:val="22"/>
        </w:rPr>
        <w:t>,</w:t>
      </w:r>
      <w:r w:rsidR="006C67BA" w:rsidRPr="006C67BA">
        <w:rPr>
          <w:rFonts w:ascii="Garamond" w:hAnsi="Garamond"/>
          <w:sz w:val="22"/>
          <w:szCs w:val="22"/>
        </w:rPr>
        <w:t xml:space="preserve"> a</w:t>
      </w:r>
      <w:r w:rsidR="006C67BA">
        <w:rPr>
          <w:rFonts w:ascii="Garamond" w:hAnsi="Garamond"/>
          <w:sz w:val="22"/>
          <w:szCs w:val="22"/>
        </w:rPr>
        <w:t xml:space="preserve">nd </w:t>
      </w:r>
      <w:r w:rsidR="006C67BA" w:rsidRPr="006C67BA">
        <w:rPr>
          <w:rFonts w:ascii="Garamond" w:hAnsi="Garamond"/>
          <w:sz w:val="22"/>
          <w:szCs w:val="22"/>
        </w:rPr>
        <w:t xml:space="preserve">the revision </w:t>
      </w:r>
      <w:r w:rsidR="006C67BA">
        <w:rPr>
          <w:rFonts w:ascii="Garamond" w:hAnsi="Garamond"/>
          <w:sz w:val="22"/>
          <w:szCs w:val="22"/>
        </w:rPr>
        <w:t xml:space="preserve">to </w:t>
      </w:r>
      <w:r w:rsidR="006C67BA" w:rsidRPr="006C67BA">
        <w:rPr>
          <w:rFonts w:ascii="Garamond" w:hAnsi="Garamond"/>
          <w:sz w:val="22"/>
          <w:szCs w:val="22"/>
        </w:rPr>
        <w:t>remittances</w:t>
      </w:r>
      <w:r w:rsidR="006C67BA">
        <w:rPr>
          <w:rFonts w:ascii="Garamond" w:hAnsi="Garamond"/>
          <w:sz w:val="22"/>
          <w:szCs w:val="22"/>
        </w:rPr>
        <w:t xml:space="preserve"> forecasts</w:t>
      </w:r>
      <w:r w:rsidR="006C67BA" w:rsidRPr="006C67BA">
        <w:rPr>
          <w:rFonts w:ascii="Garamond" w:hAnsi="Garamond"/>
          <w:sz w:val="22"/>
          <w:szCs w:val="22"/>
        </w:rPr>
        <w:t>.</w:t>
      </w:r>
      <w:r w:rsidR="00F93441">
        <w:rPr>
          <w:rFonts w:ascii="Garamond" w:hAnsi="Garamond"/>
          <w:sz w:val="22"/>
          <w:szCs w:val="22"/>
        </w:rPr>
        <w:t xml:space="preserve"> </w:t>
      </w:r>
    </w:p>
    <w:p w14:paraId="6D014B45" w14:textId="77777777" w:rsidR="00AC5AE0" w:rsidRDefault="006F1AAC"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The f</w:t>
      </w:r>
      <w:r w:rsidRPr="00EE5F0F">
        <w:rPr>
          <w:rFonts w:ascii="Garamond" w:hAnsi="Garamond"/>
          <w:b/>
          <w:sz w:val="22"/>
          <w:szCs w:val="22"/>
        </w:rPr>
        <w:t>iscal sector</w:t>
      </w:r>
      <w:r>
        <w:rPr>
          <w:rFonts w:ascii="Garamond" w:hAnsi="Garamond"/>
          <w:b/>
          <w:sz w:val="22"/>
          <w:szCs w:val="22"/>
        </w:rPr>
        <w:t xml:space="preserve">’s </w:t>
      </w:r>
      <w:r w:rsidRPr="00EE5F0F">
        <w:rPr>
          <w:rFonts w:ascii="Garamond" w:hAnsi="Garamond"/>
          <w:b/>
          <w:sz w:val="22"/>
          <w:szCs w:val="22"/>
        </w:rPr>
        <w:t>impact</w:t>
      </w:r>
      <w:r>
        <w:rPr>
          <w:rFonts w:ascii="Garamond" w:hAnsi="Garamond"/>
          <w:b/>
          <w:sz w:val="22"/>
          <w:szCs w:val="22"/>
        </w:rPr>
        <w:t xml:space="preserve"> on a</w:t>
      </w:r>
      <w:r w:rsidR="006C67BA">
        <w:rPr>
          <w:rFonts w:ascii="Garamond" w:hAnsi="Garamond"/>
          <w:b/>
          <w:sz w:val="22"/>
          <w:szCs w:val="22"/>
        </w:rPr>
        <w:t xml:space="preserve">ggregate demand is estimated to </w:t>
      </w:r>
      <w:r>
        <w:rPr>
          <w:rFonts w:ascii="Garamond" w:hAnsi="Garamond"/>
          <w:b/>
          <w:sz w:val="22"/>
          <w:szCs w:val="22"/>
        </w:rPr>
        <w:t xml:space="preserve">be </w:t>
      </w:r>
      <w:r w:rsidR="006C67BA">
        <w:rPr>
          <w:rFonts w:ascii="Garamond" w:hAnsi="Garamond"/>
          <w:b/>
          <w:sz w:val="22"/>
          <w:szCs w:val="22"/>
        </w:rPr>
        <w:t>0.4</w:t>
      </w:r>
      <w:r>
        <w:rPr>
          <w:rFonts w:ascii="Garamond" w:hAnsi="Garamond"/>
          <w:b/>
          <w:sz w:val="22"/>
          <w:szCs w:val="22"/>
        </w:rPr>
        <w:t xml:space="preserve"> pp</w:t>
      </w:r>
      <w:r w:rsidR="006C67BA">
        <w:rPr>
          <w:rFonts w:ascii="Garamond" w:hAnsi="Garamond"/>
          <w:b/>
          <w:sz w:val="22"/>
          <w:szCs w:val="22"/>
        </w:rPr>
        <w:t xml:space="preserve"> contractionary</w:t>
      </w:r>
      <w:r>
        <w:rPr>
          <w:rFonts w:ascii="Garamond" w:hAnsi="Garamond"/>
          <w:b/>
          <w:sz w:val="22"/>
          <w:szCs w:val="22"/>
        </w:rPr>
        <w:t>, r</w:t>
      </w:r>
      <w:r w:rsidR="007A597B">
        <w:rPr>
          <w:rFonts w:ascii="Garamond" w:hAnsi="Garamond"/>
          <w:b/>
          <w:sz w:val="22"/>
          <w:szCs w:val="22"/>
        </w:rPr>
        <w:t>elative to</w:t>
      </w:r>
      <w:r w:rsidR="00BE69EE" w:rsidRPr="00EE5F0F">
        <w:rPr>
          <w:rFonts w:ascii="Garamond" w:hAnsi="Garamond"/>
          <w:b/>
          <w:sz w:val="22"/>
          <w:szCs w:val="22"/>
        </w:rPr>
        <w:t xml:space="preserve"> the previous forecast</w:t>
      </w:r>
      <w:r>
        <w:rPr>
          <w:rFonts w:ascii="Garamond" w:hAnsi="Garamond"/>
          <w:b/>
          <w:sz w:val="22"/>
          <w:szCs w:val="22"/>
        </w:rPr>
        <w:t xml:space="preserve"> of </w:t>
      </w:r>
      <w:r w:rsidR="006C67BA">
        <w:rPr>
          <w:rFonts w:ascii="Garamond" w:hAnsi="Garamond"/>
          <w:b/>
          <w:sz w:val="22"/>
          <w:szCs w:val="22"/>
        </w:rPr>
        <w:t>0</w:t>
      </w:r>
      <w:r>
        <w:rPr>
          <w:rFonts w:ascii="Garamond" w:hAnsi="Garamond"/>
          <w:b/>
          <w:sz w:val="22"/>
          <w:szCs w:val="22"/>
        </w:rPr>
        <w:t>.</w:t>
      </w:r>
      <w:r w:rsidR="006C67BA">
        <w:rPr>
          <w:rFonts w:ascii="Garamond" w:hAnsi="Garamond"/>
          <w:b/>
          <w:sz w:val="22"/>
          <w:szCs w:val="22"/>
        </w:rPr>
        <w:t>8</w:t>
      </w:r>
      <w:r>
        <w:rPr>
          <w:rFonts w:ascii="Garamond" w:hAnsi="Garamond"/>
          <w:b/>
          <w:sz w:val="22"/>
          <w:szCs w:val="22"/>
        </w:rPr>
        <w:t xml:space="preserve"> pp </w:t>
      </w:r>
      <w:r w:rsidR="006C67BA">
        <w:rPr>
          <w:rFonts w:ascii="Garamond" w:hAnsi="Garamond"/>
          <w:b/>
          <w:sz w:val="22"/>
          <w:szCs w:val="22"/>
        </w:rPr>
        <w:t xml:space="preserve">expansionary </w:t>
      </w:r>
      <w:r w:rsidR="006C67BA" w:rsidRPr="006C67BA">
        <w:rPr>
          <w:rFonts w:ascii="Garamond" w:hAnsi="Garamond"/>
          <w:b/>
          <w:sz w:val="22"/>
          <w:szCs w:val="22"/>
        </w:rPr>
        <w:t>(</w:t>
      </w:r>
      <w:r w:rsidR="006C67BA">
        <w:rPr>
          <w:rFonts w:ascii="Garamond" w:hAnsi="Garamond"/>
          <w:b/>
          <w:sz w:val="22"/>
          <w:szCs w:val="22"/>
        </w:rPr>
        <w:t xml:space="preserve">some </w:t>
      </w:r>
      <w:r w:rsidR="006C67BA" w:rsidRPr="006C67BA">
        <w:rPr>
          <w:rFonts w:ascii="Garamond" w:hAnsi="Garamond"/>
          <w:b/>
          <w:sz w:val="22"/>
          <w:szCs w:val="22"/>
        </w:rPr>
        <w:t>2.5% of public expenditure</w:t>
      </w:r>
      <w:r w:rsidR="006C67BA">
        <w:rPr>
          <w:rFonts w:ascii="Garamond" w:hAnsi="Garamond"/>
          <w:b/>
          <w:sz w:val="22"/>
          <w:szCs w:val="22"/>
        </w:rPr>
        <w:t>s</w:t>
      </w:r>
      <w:r w:rsidR="006C67BA" w:rsidRPr="006C67BA">
        <w:rPr>
          <w:rFonts w:ascii="Garamond" w:hAnsi="Garamond"/>
          <w:b/>
          <w:sz w:val="22"/>
          <w:szCs w:val="22"/>
        </w:rPr>
        <w:t xml:space="preserve"> is </w:t>
      </w:r>
      <w:r w:rsidR="006C67BA">
        <w:rPr>
          <w:rFonts w:ascii="Garamond" w:hAnsi="Garamond"/>
          <w:b/>
          <w:sz w:val="22"/>
          <w:szCs w:val="22"/>
        </w:rPr>
        <w:t>anticipated to be saved</w:t>
      </w:r>
      <w:r w:rsidR="006C67BA" w:rsidRPr="006C67BA">
        <w:rPr>
          <w:rFonts w:ascii="Garamond" w:hAnsi="Garamond"/>
          <w:b/>
          <w:sz w:val="22"/>
          <w:szCs w:val="22"/>
        </w:rPr>
        <w:t xml:space="preserve">). </w:t>
      </w:r>
      <w:r w:rsidR="00116E8B">
        <w:rPr>
          <w:rFonts w:ascii="Garamond" w:hAnsi="Garamond"/>
          <w:b/>
          <w:sz w:val="22"/>
          <w:szCs w:val="22"/>
        </w:rPr>
        <w:t xml:space="preserve">The </w:t>
      </w:r>
      <w:r w:rsidR="00116E8B" w:rsidRPr="006C67BA">
        <w:rPr>
          <w:rFonts w:ascii="Garamond" w:hAnsi="Garamond"/>
          <w:b/>
          <w:sz w:val="22"/>
          <w:szCs w:val="22"/>
        </w:rPr>
        <w:t xml:space="preserve">fiscal policy will have a neutral effect </w:t>
      </w:r>
      <w:r w:rsidR="00116E8B">
        <w:rPr>
          <w:rFonts w:ascii="Garamond" w:hAnsi="Garamond"/>
          <w:b/>
          <w:sz w:val="22"/>
          <w:szCs w:val="22"/>
        </w:rPr>
        <w:t xml:space="preserve">in case </w:t>
      </w:r>
      <w:r w:rsidR="006C67BA" w:rsidRPr="006C67BA">
        <w:rPr>
          <w:rFonts w:ascii="Garamond" w:hAnsi="Garamond"/>
          <w:b/>
          <w:sz w:val="22"/>
          <w:szCs w:val="22"/>
        </w:rPr>
        <w:t xml:space="preserve">state budget </w:t>
      </w:r>
      <w:r w:rsidR="00116E8B">
        <w:rPr>
          <w:rFonts w:ascii="Garamond" w:hAnsi="Garamond"/>
          <w:b/>
          <w:sz w:val="22"/>
          <w:szCs w:val="22"/>
        </w:rPr>
        <w:t xml:space="preserve">performs in full. </w:t>
      </w:r>
    </w:p>
    <w:p w14:paraId="65B18BC7" w14:textId="77777777" w:rsidR="00E50C7A" w:rsidRDefault="004F11B6"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Current forecasts denote that the</w:t>
      </w:r>
      <w:r w:rsidR="00C21775">
        <w:rPr>
          <w:rFonts w:ascii="Garamond" w:hAnsi="Garamond"/>
          <w:sz w:val="22"/>
          <w:szCs w:val="22"/>
        </w:rPr>
        <w:t xml:space="preserve"> i</w:t>
      </w:r>
      <w:r w:rsidR="00C21775" w:rsidRPr="00C21775">
        <w:rPr>
          <w:rFonts w:ascii="Garamond" w:hAnsi="Garamond"/>
          <w:sz w:val="22"/>
          <w:szCs w:val="22"/>
        </w:rPr>
        <w:t xml:space="preserve">nflation </w:t>
      </w:r>
      <w:r>
        <w:rPr>
          <w:rFonts w:ascii="Garamond" w:hAnsi="Garamond"/>
          <w:sz w:val="22"/>
          <w:szCs w:val="22"/>
        </w:rPr>
        <w:t xml:space="preserve">in the short run </w:t>
      </w:r>
      <w:r w:rsidR="00C21775" w:rsidRPr="00C21775">
        <w:rPr>
          <w:rFonts w:ascii="Garamond" w:hAnsi="Garamond"/>
          <w:sz w:val="22"/>
          <w:szCs w:val="22"/>
        </w:rPr>
        <w:t xml:space="preserve">will be </w:t>
      </w:r>
      <w:r w:rsidR="00116E8B">
        <w:rPr>
          <w:rFonts w:ascii="Garamond" w:hAnsi="Garamond"/>
          <w:sz w:val="22"/>
          <w:szCs w:val="22"/>
        </w:rPr>
        <w:t xml:space="preserve">below the forecast </w:t>
      </w:r>
      <w:r w:rsidR="00C21775">
        <w:rPr>
          <w:rFonts w:ascii="Garamond" w:hAnsi="Garamond"/>
          <w:sz w:val="22"/>
          <w:szCs w:val="22"/>
        </w:rPr>
        <w:t xml:space="preserve">outlined </w:t>
      </w:r>
      <w:r w:rsidR="00C21775" w:rsidRPr="00C21775">
        <w:rPr>
          <w:rFonts w:ascii="Garamond" w:hAnsi="Garamond"/>
          <w:sz w:val="22"/>
          <w:szCs w:val="22"/>
        </w:rPr>
        <w:t xml:space="preserve">in the previous scenario, </w:t>
      </w:r>
      <w:r w:rsidR="009559B2">
        <w:rPr>
          <w:rFonts w:ascii="Garamond" w:hAnsi="Garamond"/>
          <w:sz w:val="22"/>
          <w:szCs w:val="22"/>
        </w:rPr>
        <w:t xml:space="preserve">which is explained by </w:t>
      </w:r>
      <w:r w:rsidR="00116E8B">
        <w:rPr>
          <w:rFonts w:ascii="Garamond" w:hAnsi="Garamond"/>
          <w:sz w:val="22"/>
          <w:szCs w:val="22"/>
        </w:rPr>
        <w:t>l</w:t>
      </w:r>
      <w:r>
        <w:rPr>
          <w:rFonts w:ascii="Garamond" w:hAnsi="Garamond"/>
          <w:sz w:val="22"/>
          <w:szCs w:val="22"/>
        </w:rPr>
        <w:t>ower-than-expected prices of</w:t>
      </w:r>
      <w:r w:rsidR="00116E8B">
        <w:rPr>
          <w:rFonts w:ascii="Garamond" w:hAnsi="Garamond"/>
          <w:sz w:val="22"/>
          <w:szCs w:val="22"/>
        </w:rPr>
        <w:t xml:space="preserve"> meat products, fuel, clothes and footwear</w:t>
      </w:r>
      <w:r>
        <w:rPr>
          <w:rFonts w:ascii="Garamond" w:hAnsi="Garamond"/>
          <w:sz w:val="22"/>
          <w:szCs w:val="22"/>
        </w:rPr>
        <w:t xml:space="preserve">. </w:t>
      </w:r>
      <w:r w:rsidR="00116E8B">
        <w:rPr>
          <w:rFonts w:ascii="Garamond" w:hAnsi="Garamond"/>
          <w:sz w:val="22"/>
          <w:szCs w:val="22"/>
        </w:rPr>
        <w:t xml:space="preserve">Recovered </w:t>
      </w:r>
      <w:r w:rsidR="00E50C7A">
        <w:rPr>
          <w:rFonts w:ascii="Garamond" w:hAnsi="Garamond"/>
          <w:sz w:val="22"/>
          <w:szCs w:val="22"/>
        </w:rPr>
        <w:t xml:space="preserve">growth of </w:t>
      </w:r>
      <w:r w:rsidR="00E50C7A" w:rsidRPr="00E50C7A">
        <w:rPr>
          <w:rFonts w:ascii="Garamond" w:hAnsi="Garamond"/>
          <w:sz w:val="22"/>
          <w:szCs w:val="22"/>
        </w:rPr>
        <w:t xml:space="preserve">meat </w:t>
      </w:r>
      <w:r w:rsidR="00116E8B">
        <w:rPr>
          <w:rFonts w:ascii="Garamond" w:hAnsi="Garamond"/>
          <w:sz w:val="22"/>
          <w:szCs w:val="22"/>
        </w:rPr>
        <w:t xml:space="preserve">product </w:t>
      </w:r>
      <w:r w:rsidR="00E50C7A" w:rsidRPr="00E50C7A">
        <w:rPr>
          <w:rFonts w:ascii="Garamond" w:hAnsi="Garamond"/>
          <w:sz w:val="22"/>
          <w:szCs w:val="22"/>
        </w:rPr>
        <w:t xml:space="preserve">prices </w:t>
      </w:r>
      <w:r w:rsidR="00E50C7A">
        <w:rPr>
          <w:rFonts w:ascii="Garamond" w:hAnsi="Garamond"/>
          <w:sz w:val="22"/>
          <w:szCs w:val="22"/>
        </w:rPr>
        <w:t xml:space="preserve">and </w:t>
      </w:r>
      <w:r w:rsidR="00116E8B">
        <w:rPr>
          <w:rFonts w:ascii="Garamond" w:hAnsi="Garamond"/>
          <w:sz w:val="22"/>
          <w:szCs w:val="22"/>
        </w:rPr>
        <w:t xml:space="preserve">a slower fall in </w:t>
      </w:r>
      <w:r w:rsidR="00E50C7A" w:rsidRPr="00E50C7A">
        <w:rPr>
          <w:rFonts w:ascii="Garamond" w:hAnsi="Garamond"/>
          <w:sz w:val="22"/>
          <w:szCs w:val="22"/>
        </w:rPr>
        <w:t xml:space="preserve">agricultural </w:t>
      </w:r>
      <w:r w:rsidR="00116E8B">
        <w:rPr>
          <w:rFonts w:ascii="Garamond" w:hAnsi="Garamond"/>
          <w:sz w:val="22"/>
          <w:szCs w:val="22"/>
        </w:rPr>
        <w:t>goods price</w:t>
      </w:r>
      <w:r w:rsidR="00E50C7A">
        <w:rPr>
          <w:rFonts w:ascii="Garamond" w:hAnsi="Garamond"/>
          <w:sz w:val="22"/>
          <w:szCs w:val="22"/>
        </w:rPr>
        <w:t xml:space="preserve">s </w:t>
      </w:r>
      <w:r w:rsidR="00E50C7A" w:rsidRPr="00E50C7A">
        <w:rPr>
          <w:rFonts w:ascii="Garamond" w:hAnsi="Garamond"/>
          <w:sz w:val="22"/>
          <w:szCs w:val="22"/>
        </w:rPr>
        <w:t xml:space="preserve">in the </w:t>
      </w:r>
      <w:r w:rsidR="00116E8B">
        <w:rPr>
          <w:rFonts w:ascii="Garamond" w:hAnsi="Garamond"/>
          <w:sz w:val="22"/>
          <w:szCs w:val="22"/>
        </w:rPr>
        <w:t xml:space="preserve">first </w:t>
      </w:r>
      <w:r w:rsidR="00E50C7A" w:rsidRPr="00E50C7A">
        <w:rPr>
          <w:rFonts w:ascii="Garamond" w:hAnsi="Garamond"/>
          <w:sz w:val="22"/>
          <w:szCs w:val="22"/>
        </w:rPr>
        <w:t xml:space="preserve">quarter </w:t>
      </w:r>
      <w:r w:rsidR="00E50C7A">
        <w:rPr>
          <w:rFonts w:ascii="Garamond" w:hAnsi="Garamond"/>
          <w:sz w:val="22"/>
          <w:szCs w:val="22"/>
        </w:rPr>
        <w:t xml:space="preserve">will </w:t>
      </w:r>
      <w:r w:rsidR="00116E8B">
        <w:rPr>
          <w:rFonts w:ascii="Garamond" w:hAnsi="Garamond"/>
          <w:sz w:val="22"/>
          <w:szCs w:val="22"/>
        </w:rPr>
        <w:t>push the</w:t>
      </w:r>
      <w:r w:rsidR="00E50C7A">
        <w:rPr>
          <w:rFonts w:ascii="Garamond" w:hAnsi="Garamond"/>
          <w:sz w:val="22"/>
          <w:szCs w:val="22"/>
        </w:rPr>
        <w:t xml:space="preserve"> 12-month inflation rate </w:t>
      </w:r>
      <w:r w:rsidR="00116E8B">
        <w:rPr>
          <w:rFonts w:ascii="Garamond" w:hAnsi="Garamond"/>
          <w:sz w:val="22"/>
          <w:szCs w:val="22"/>
        </w:rPr>
        <w:t>to somehow accelerate</w:t>
      </w:r>
      <w:r w:rsidR="00E50C7A">
        <w:rPr>
          <w:rFonts w:ascii="Garamond" w:hAnsi="Garamond"/>
          <w:sz w:val="22"/>
          <w:szCs w:val="22"/>
        </w:rPr>
        <w:t>.</w:t>
      </w:r>
    </w:p>
    <w:p w14:paraId="674C38EB" w14:textId="77777777" w:rsidR="002A0418" w:rsidRDefault="001D2F62"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In the meanwhile, core i</w:t>
      </w:r>
      <w:r w:rsidRPr="00C21775">
        <w:rPr>
          <w:rFonts w:ascii="Garamond" w:hAnsi="Garamond"/>
          <w:sz w:val="22"/>
          <w:szCs w:val="22"/>
        </w:rPr>
        <w:t xml:space="preserve">nflation </w:t>
      </w:r>
      <w:r w:rsidR="000B0F52">
        <w:rPr>
          <w:rFonts w:ascii="Garamond" w:hAnsi="Garamond"/>
          <w:sz w:val="22"/>
          <w:szCs w:val="22"/>
        </w:rPr>
        <w:t xml:space="preserve">too </w:t>
      </w:r>
      <w:r>
        <w:rPr>
          <w:rFonts w:ascii="Garamond" w:hAnsi="Garamond"/>
          <w:sz w:val="22"/>
          <w:szCs w:val="22"/>
        </w:rPr>
        <w:t>will run</w:t>
      </w:r>
      <w:r w:rsidRPr="00C21775">
        <w:rPr>
          <w:rFonts w:ascii="Garamond" w:hAnsi="Garamond"/>
          <w:sz w:val="22"/>
          <w:szCs w:val="22"/>
        </w:rPr>
        <w:t xml:space="preserve"> </w:t>
      </w:r>
      <w:r w:rsidR="000B0F52">
        <w:rPr>
          <w:rFonts w:ascii="Garamond" w:hAnsi="Garamond"/>
          <w:sz w:val="22"/>
          <w:szCs w:val="22"/>
        </w:rPr>
        <w:t xml:space="preserve">slightly </w:t>
      </w:r>
      <w:r>
        <w:rPr>
          <w:rFonts w:ascii="Garamond" w:hAnsi="Garamond"/>
          <w:sz w:val="22"/>
          <w:szCs w:val="22"/>
        </w:rPr>
        <w:t xml:space="preserve">below the path outlined </w:t>
      </w:r>
      <w:r w:rsidR="0058338A">
        <w:rPr>
          <w:rFonts w:ascii="Garamond" w:hAnsi="Garamond"/>
          <w:sz w:val="22"/>
          <w:szCs w:val="22"/>
        </w:rPr>
        <w:t xml:space="preserve">in </w:t>
      </w:r>
      <w:r>
        <w:rPr>
          <w:rFonts w:ascii="Garamond" w:hAnsi="Garamond"/>
          <w:sz w:val="22"/>
          <w:szCs w:val="22"/>
        </w:rPr>
        <w:t>t</w:t>
      </w:r>
      <w:r w:rsidRPr="00C21775">
        <w:rPr>
          <w:rFonts w:ascii="Garamond" w:hAnsi="Garamond"/>
          <w:sz w:val="22"/>
          <w:szCs w:val="22"/>
        </w:rPr>
        <w:t xml:space="preserve">he previous scenario, </w:t>
      </w:r>
      <w:r w:rsidR="000B0F52">
        <w:rPr>
          <w:rFonts w:ascii="Garamond" w:hAnsi="Garamond"/>
          <w:sz w:val="22"/>
          <w:szCs w:val="22"/>
        </w:rPr>
        <w:t xml:space="preserve">consistent with a relatively slowly restoring aggregate demand. </w:t>
      </w:r>
      <w:r w:rsidR="009559B2" w:rsidRPr="00EE5F0F">
        <w:rPr>
          <w:rFonts w:ascii="Garamond" w:hAnsi="Garamond"/>
          <w:sz w:val="22"/>
          <w:szCs w:val="22"/>
        </w:rPr>
        <w:t>Consequently,</w:t>
      </w:r>
      <w:r w:rsidR="009559B2">
        <w:rPr>
          <w:rFonts w:ascii="Garamond" w:hAnsi="Garamond"/>
          <w:sz w:val="22"/>
          <w:szCs w:val="22"/>
        </w:rPr>
        <w:t xml:space="preserve"> </w:t>
      </w:r>
      <w:r w:rsidR="009559B2" w:rsidRPr="00EE5F0F">
        <w:rPr>
          <w:rFonts w:ascii="Garamond" w:hAnsi="Garamond"/>
          <w:sz w:val="22"/>
          <w:szCs w:val="22"/>
        </w:rPr>
        <w:t>fulfill</w:t>
      </w:r>
      <w:r w:rsidR="009559B2">
        <w:rPr>
          <w:rFonts w:ascii="Garamond" w:hAnsi="Garamond"/>
          <w:sz w:val="22"/>
          <w:szCs w:val="22"/>
        </w:rPr>
        <w:t>ing</w:t>
      </w:r>
      <w:r w:rsidR="009559B2" w:rsidRPr="00EE5F0F">
        <w:rPr>
          <w:rFonts w:ascii="Garamond" w:hAnsi="Garamond"/>
          <w:sz w:val="22"/>
          <w:szCs w:val="22"/>
        </w:rPr>
        <w:t xml:space="preserve"> the inflation target will require </w:t>
      </w:r>
      <w:r w:rsidR="009559B2">
        <w:rPr>
          <w:rFonts w:ascii="Garamond" w:hAnsi="Garamond"/>
          <w:sz w:val="22"/>
          <w:szCs w:val="22"/>
        </w:rPr>
        <w:t>keeping the</w:t>
      </w:r>
      <w:r w:rsidR="009559B2" w:rsidRPr="00EE5F0F">
        <w:rPr>
          <w:rFonts w:ascii="Garamond" w:hAnsi="Garamond"/>
          <w:sz w:val="22"/>
          <w:szCs w:val="22"/>
        </w:rPr>
        <w:t xml:space="preserve"> monetary </w:t>
      </w:r>
      <w:r w:rsidR="009559B2">
        <w:rPr>
          <w:rFonts w:ascii="Garamond" w:hAnsi="Garamond"/>
          <w:sz w:val="22"/>
          <w:szCs w:val="22"/>
        </w:rPr>
        <w:t xml:space="preserve">policy expansionary for some time and letting </w:t>
      </w:r>
      <w:r w:rsidR="000B0F52">
        <w:rPr>
          <w:rFonts w:ascii="Garamond" w:hAnsi="Garamond"/>
          <w:sz w:val="22"/>
          <w:szCs w:val="22"/>
        </w:rPr>
        <w:t>the 12-month inflation recover gradually</w:t>
      </w:r>
      <w:r w:rsidR="00261149">
        <w:rPr>
          <w:rFonts w:ascii="Garamond" w:hAnsi="Garamond"/>
          <w:sz w:val="22"/>
          <w:szCs w:val="22"/>
        </w:rPr>
        <w:t xml:space="preserve">, </w:t>
      </w:r>
      <w:r w:rsidR="008904D7">
        <w:rPr>
          <w:rFonts w:ascii="Garamond" w:hAnsi="Garamond"/>
          <w:sz w:val="22"/>
          <w:szCs w:val="22"/>
        </w:rPr>
        <w:t xml:space="preserve">thus </w:t>
      </w:r>
      <w:r w:rsidR="00261149">
        <w:rPr>
          <w:rFonts w:ascii="Garamond" w:hAnsi="Garamond"/>
          <w:sz w:val="22"/>
          <w:szCs w:val="22"/>
        </w:rPr>
        <w:t xml:space="preserve">helping </w:t>
      </w:r>
      <w:r w:rsidR="000B0F52">
        <w:rPr>
          <w:rFonts w:ascii="Garamond" w:hAnsi="Garamond"/>
          <w:sz w:val="22"/>
          <w:szCs w:val="22"/>
        </w:rPr>
        <w:t xml:space="preserve">it </w:t>
      </w:r>
      <w:r w:rsidR="00261149">
        <w:rPr>
          <w:rFonts w:ascii="Garamond" w:hAnsi="Garamond"/>
          <w:sz w:val="22"/>
          <w:szCs w:val="22"/>
        </w:rPr>
        <w:t xml:space="preserve">stabilize around the target </w:t>
      </w:r>
      <w:r w:rsidR="008904D7">
        <w:rPr>
          <w:rFonts w:ascii="Garamond" w:hAnsi="Garamond"/>
          <w:sz w:val="22"/>
          <w:szCs w:val="22"/>
        </w:rPr>
        <w:t xml:space="preserve">at the end of the forecast horizon </w:t>
      </w:r>
      <w:r w:rsidR="00261149" w:rsidRPr="00EE5F0F">
        <w:rPr>
          <w:rFonts w:ascii="Garamond" w:hAnsi="Garamond"/>
          <w:sz w:val="22"/>
          <w:szCs w:val="22"/>
        </w:rPr>
        <w:t xml:space="preserve">(see </w:t>
      </w:r>
      <w:r w:rsidR="002B088F">
        <w:rPr>
          <w:rFonts w:ascii="Garamond" w:hAnsi="Garamond"/>
          <w:sz w:val="22"/>
          <w:szCs w:val="22"/>
        </w:rPr>
        <w:t>C</w:t>
      </w:r>
      <w:r w:rsidR="008904D7">
        <w:rPr>
          <w:rFonts w:ascii="Garamond" w:hAnsi="Garamond"/>
          <w:sz w:val="22"/>
          <w:szCs w:val="22"/>
        </w:rPr>
        <w:t>hart 1: “</w:t>
      </w:r>
      <w:r w:rsidR="00261149" w:rsidRPr="00EE5F0F">
        <w:rPr>
          <w:rFonts w:ascii="Garamond" w:hAnsi="Garamond"/>
          <w:sz w:val="22"/>
          <w:szCs w:val="22"/>
        </w:rPr>
        <w:t>Inflation Forecasts Probability Distribution</w:t>
      </w:r>
      <w:r w:rsidR="008904D7">
        <w:rPr>
          <w:rFonts w:ascii="Garamond" w:hAnsi="Garamond"/>
          <w:sz w:val="22"/>
          <w:szCs w:val="22"/>
        </w:rPr>
        <w:t>”</w:t>
      </w:r>
      <w:r w:rsidR="00261149" w:rsidRPr="00EE5F0F">
        <w:rPr>
          <w:rFonts w:ascii="Garamond" w:hAnsi="Garamond"/>
          <w:sz w:val="22"/>
          <w:szCs w:val="22"/>
        </w:rPr>
        <w:t>).</w:t>
      </w:r>
      <w:r w:rsidR="00261149">
        <w:rPr>
          <w:rFonts w:ascii="Garamond" w:hAnsi="Garamond"/>
          <w:sz w:val="22"/>
          <w:szCs w:val="22"/>
        </w:rPr>
        <w:t xml:space="preserve"> </w:t>
      </w:r>
    </w:p>
    <w:p w14:paraId="7230713A" w14:textId="77777777" w:rsidR="002A0418" w:rsidRPr="00EE5F0F" w:rsidRDefault="00C34BCA"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Short-term inflation expectations </w:t>
      </w:r>
      <w:r w:rsidR="000B0F52">
        <w:rPr>
          <w:rFonts w:ascii="Garamond" w:hAnsi="Garamond"/>
          <w:b/>
          <w:sz w:val="22"/>
          <w:szCs w:val="22"/>
        </w:rPr>
        <w:t xml:space="preserve">are going to rest </w:t>
      </w:r>
      <w:r w:rsidR="00626606">
        <w:rPr>
          <w:rFonts w:ascii="Garamond" w:hAnsi="Garamond"/>
          <w:b/>
          <w:sz w:val="22"/>
          <w:szCs w:val="22"/>
        </w:rPr>
        <w:t xml:space="preserve">on a level </w:t>
      </w:r>
      <w:r w:rsidRPr="00EE5F0F">
        <w:rPr>
          <w:rFonts w:ascii="Garamond" w:hAnsi="Garamond"/>
          <w:b/>
          <w:sz w:val="22"/>
          <w:szCs w:val="22"/>
        </w:rPr>
        <w:t>lower than outlined previous</w:t>
      </w:r>
      <w:r w:rsidR="00626606">
        <w:rPr>
          <w:rFonts w:ascii="Garamond" w:hAnsi="Garamond"/>
          <w:b/>
          <w:sz w:val="22"/>
          <w:szCs w:val="22"/>
        </w:rPr>
        <w:t>ly</w:t>
      </w:r>
      <w:r w:rsidRPr="00EE5F0F">
        <w:rPr>
          <w:rFonts w:ascii="Garamond" w:hAnsi="Garamond"/>
          <w:b/>
          <w:sz w:val="22"/>
          <w:szCs w:val="22"/>
        </w:rPr>
        <w:t xml:space="preserve"> and will </w:t>
      </w:r>
      <w:r w:rsidR="008904D7">
        <w:rPr>
          <w:rFonts w:ascii="Garamond" w:hAnsi="Garamond"/>
          <w:b/>
          <w:sz w:val="22"/>
          <w:szCs w:val="22"/>
        </w:rPr>
        <w:t xml:space="preserve">virtually </w:t>
      </w:r>
      <w:r w:rsidRPr="00EE5F0F">
        <w:rPr>
          <w:rFonts w:ascii="Garamond" w:hAnsi="Garamond"/>
          <w:b/>
          <w:sz w:val="22"/>
          <w:szCs w:val="22"/>
        </w:rPr>
        <w:t xml:space="preserve">be driven by how core inflation </w:t>
      </w:r>
      <w:r w:rsidR="00626606">
        <w:rPr>
          <w:rFonts w:ascii="Garamond" w:hAnsi="Garamond"/>
          <w:b/>
          <w:sz w:val="22"/>
          <w:szCs w:val="22"/>
        </w:rPr>
        <w:t xml:space="preserve">patterns </w:t>
      </w:r>
      <w:r w:rsidRPr="00EE5F0F">
        <w:rPr>
          <w:rFonts w:ascii="Garamond" w:hAnsi="Garamond"/>
          <w:b/>
          <w:sz w:val="22"/>
          <w:szCs w:val="22"/>
        </w:rPr>
        <w:t xml:space="preserve">unfold. </w:t>
      </w:r>
      <w:r w:rsidR="000B0F52">
        <w:rPr>
          <w:rFonts w:ascii="Garamond" w:hAnsi="Garamond"/>
          <w:b/>
          <w:sz w:val="22"/>
          <w:szCs w:val="22"/>
        </w:rPr>
        <w:t xml:space="preserve">However, the Central </w:t>
      </w:r>
      <w:r w:rsidR="000B0F52" w:rsidRPr="000B0F52">
        <w:rPr>
          <w:rFonts w:ascii="Garamond" w:hAnsi="Garamond"/>
          <w:b/>
          <w:sz w:val="22"/>
          <w:szCs w:val="22"/>
        </w:rPr>
        <w:t>B</w:t>
      </w:r>
      <w:r w:rsidR="000B0F52">
        <w:rPr>
          <w:rFonts w:ascii="Garamond" w:hAnsi="Garamond"/>
          <w:b/>
          <w:sz w:val="22"/>
          <w:szCs w:val="22"/>
        </w:rPr>
        <w:t>ank</w:t>
      </w:r>
      <w:r w:rsidR="000B0F52" w:rsidRPr="000B0F52">
        <w:rPr>
          <w:rFonts w:ascii="Garamond" w:hAnsi="Garamond"/>
          <w:b/>
          <w:sz w:val="22"/>
          <w:szCs w:val="22"/>
        </w:rPr>
        <w:t xml:space="preserve"> </w:t>
      </w:r>
      <w:r w:rsidR="00846EFB">
        <w:rPr>
          <w:rFonts w:ascii="Garamond" w:hAnsi="Garamond"/>
          <w:b/>
          <w:sz w:val="22"/>
          <w:szCs w:val="22"/>
        </w:rPr>
        <w:t>evaluates</w:t>
      </w:r>
      <w:r w:rsidR="000B0F52">
        <w:rPr>
          <w:rFonts w:ascii="Garamond" w:hAnsi="Garamond"/>
          <w:b/>
          <w:sz w:val="22"/>
          <w:szCs w:val="22"/>
        </w:rPr>
        <w:t>,</w:t>
      </w:r>
      <w:r w:rsidR="000B0F52" w:rsidRPr="000B0F52">
        <w:rPr>
          <w:rFonts w:ascii="Garamond" w:hAnsi="Garamond"/>
          <w:b/>
          <w:sz w:val="22"/>
          <w:szCs w:val="22"/>
        </w:rPr>
        <w:t xml:space="preserve"> long-term inflation expectations </w:t>
      </w:r>
      <w:r w:rsidR="000B0F52">
        <w:rPr>
          <w:rFonts w:ascii="Garamond" w:hAnsi="Garamond"/>
          <w:b/>
          <w:sz w:val="22"/>
          <w:szCs w:val="22"/>
        </w:rPr>
        <w:t xml:space="preserve">have not reduced enough </w:t>
      </w:r>
      <w:r w:rsidR="00846EFB">
        <w:rPr>
          <w:rFonts w:ascii="Garamond" w:hAnsi="Garamond"/>
          <w:b/>
          <w:sz w:val="22"/>
          <w:szCs w:val="22"/>
        </w:rPr>
        <w:t>and their further anchoring will be needed</w:t>
      </w:r>
      <w:r w:rsidR="000B0F52" w:rsidRPr="000B0F52">
        <w:rPr>
          <w:rFonts w:ascii="Garamond" w:hAnsi="Garamond"/>
          <w:b/>
          <w:sz w:val="22"/>
          <w:szCs w:val="22"/>
        </w:rPr>
        <w:t>.</w:t>
      </w:r>
    </w:p>
    <w:p w14:paraId="4774A073" w14:textId="77777777" w:rsidR="00565F75" w:rsidRDefault="00565F75" w:rsidP="00EE619D">
      <w:pPr>
        <w:autoSpaceDE w:val="0"/>
        <w:autoSpaceDN w:val="0"/>
        <w:adjustRightInd w:val="0"/>
        <w:spacing w:after="120" w:line="360" w:lineRule="auto"/>
        <w:jc w:val="both"/>
        <w:rPr>
          <w:rFonts w:ascii="Garamond" w:hAnsi="Garamond"/>
          <w:b/>
          <w:color w:val="0070C0"/>
          <w:sz w:val="22"/>
          <w:szCs w:val="22"/>
        </w:rPr>
      </w:pPr>
    </w:p>
    <w:p w14:paraId="603C48A6" w14:textId="77777777" w:rsidR="00815906" w:rsidRPr="00EE5F0F" w:rsidRDefault="00815906"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2.2.4. Main assumptions and risks</w:t>
      </w:r>
    </w:p>
    <w:p w14:paraId="03BBDF3A" w14:textId="77777777" w:rsidR="00815906" w:rsidRDefault="00C95BE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This section </w:t>
      </w:r>
      <w:r w:rsidR="009A6F46" w:rsidRPr="00EE5F0F">
        <w:rPr>
          <w:rFonts w:ascii="Garamond" w:hAnsi="Garamond"/>
          <w:sz w:val="22"/>
          <w:szCs w:val="22"/>
        </w:rPr>
        <w:t>contains</w:t>
      </w:r>
      <w:r w:rsidRPr="00EE5F0F">
        <w:rPr>
          <w:rFonts w:ascii="Garamond" w:hAnsi="Garamond"/>
          <w:sz w:val="22"/>
          <w:szCs w:val="22"/>
        </w:rPr>
        <w:t xml:space="preserve"> the main assumptions underlying the Monetary</w:t>
      </w:r>
      <w:r w:rsidR="00815906" w:rsidRPr="00EE5F0F">
        <w:rPr>
          <w:rFonts w:ascii="Garamond" w:hAnsi="Garamond"/>
          <w:sz w:val="22"/>
          <w:szCs w:val="22"/>
        </w:rPr>
        <w:t xml:space="preserve"> </w:t>
      </w:r>
      <w:r w:rsidRPr="00EE5F0F">
        <w:rPr>
          <w:rFonts w:ascii="Garamond" w:hAnsi="Garamond"/>
          <w:sz w:val="22"/>
          <w:szCs w:val="22"/>
        </w:rPr>
        <w:t>P</w:t>
      </w:r>
      <w:r w:rsidR="00815906" w:rsidRPr="00EE5F0F">
        <w:rPr>
          <w:rFonts w:ascii="Garamond" w:hAnsi="Garamond"/>
          <w:sz w:val="22"/>
          <w:szCs w:val="22"/>
        </w:rPr>
        <w:t xml:space="preserve">olicy </w:t>
      </w:r>
      <w:r w:rsidRPr="00EE5F0F">
        <w:rPr>
          <w:rFonts w:ascii="Garamond" w:hAnsi="Garamond"/>
          <w:sz w:val="22"/>
          <w:szCs w:val="22"/>
        </w:rPr>
        <w:t xml:space="preserve">Program for the </w:t>
      </w:r>
      <w:r w:rsidR="00846EFB">
        <w:rPr>
          <w:rFonts w:ascii="Garamond" w:hAnsi="Garamond"/>
          <w:sz w:val="22"/>
          <w:szCs w:val="22"/>
        </w:rPr>
        <w:t>first</w:t>
      </w:r>
      <w:r w:rsidRPr="00EE5F0F">
        <w:rPr>
          <w:rFonts w:ascii="Garamond" w:hAnsi="Garamond"/>
          <w:sz w:val="22"/>
          <w:szCs w:val="22"/>
        </w:rPr>
        <w:t xml:space="preserve"> quarter of 201</w:t>
      </w:r>
      <w:r w:rsidR="00846EFB">
        <w:rPr>
          <w:rFonts w:ascii="Garamond" w:hAnsi="Garamond"/>
          <w:sz w:val="22"/>
          <w:szCs w:val="22"/>
        </w:rPr>
        <w:t>9</w:t>
      </w:r>
      <w:r w:rsidRPr="00EE5F0F">
        <w:rPr>
          <w:rFonts w:ascii="Garamond" w:hAnsi="Garamond"/>
          <w:sz w:val="22"/>
          <w:szCs w:val="22"/>
        </w:rPr>
        <w:t xml:space="preserve"> and the </w:t>
      </w:r>
      <w:r w:rsidR="00815906" w:rsidRPr="00EE5F0F">
        <w:rPr>
          <w:rFonts w:ascii="Garamond" w:hAnsi="Garamond"/>
          <w:sz w:val="22"/>
          <w:szCs w:val="22"/>
        </w:rPr>
        <w:t xml:space="preserve">risks </w:t>
      </w:r>
      <w:r w:rsidRPr="00EE5F0F">
        <w:rPr>
          <w:rFonts w:ascii="Garamond" w:hAnsi="Garamond"/>
          <w:sz w:val="22"/>
          <w:szCs w:val="22"/>
        </w:rPr>
        <w:t>to implementation of the program</w:t>
      </w:r>
      <w:r w:rsidR="00C90711" w:rsidRPr="00EE5F0F">
        <w:rPr>
          <w:rFonts w:ascii="Garamond" w:hAnsi="Garamond"/>
          <w:sz w:val="22"/>
          <w:szCs w:val="22"/>
        </w:rPr>
        <w:t>, which</w:t>
      </w:r>
      <w:r w:rsidR="00FA0C20" w:rsidRPr="00EE5F0F">
        <w:rPr>
          <w:rFonts w:ascii="Garamond" w:hAnsi="Garamond"/>
          <w:sz w:val="22"/>
          <w:szCs w:val="22"/>
        </w:rPr>
        <w:t xml:space="preserve"> </w:t>
      </w:r>
      <w:r w:rsidR="00815906" w:rsidRPr="00EE5F0F">
        <w:rPr>
          <w:rFonts w:ascii="Garamond" w:hAnsi="Garamond"/>
          <w:sz w:val="22"/>
          <w:szCs w:val="22"/>
        </w:rPr>
        <w:t xml:space="preserve">derive from </w:t>
      </w:r>
      <w:r w:rsidR="00FA0C20" w:rsidRPr="00EE5F0F">
        <w:rPr>
          <w:rFonts w:ascii="Garamond" w:hAnsi="Garamond"/>
          <w:sz w:val="22"/>
          <w:szCs w:val="22"/>
        </w:rPr>
        <w:t xml:space="preserve">the </w:t>
      </w:r>
      <w:r w:rsidR="00815906" w:rsidRPr="00EE5F0F">
        <w:rPr>
          <w:rFonts w:ascii="Garamond" w:hAnsi="Garamond"/>
          <w:sz w:val="22"/>
          <w:szCs w:val="22"/>
        </w:rPr>
        <w:t xml:space="preserve">external sector developments, </w:t>
      </w:r>
      <w:r w:rsidR="00FA0C20" w:rsidRPr="00EE5F0F">
        <w:rPr>
          <w:rFonts w:ascii="Garamond" w:hAnsi="Garamond"/>
          <w:sz w:val="22"/>
          <w:szCs w:val="22"/>
        </w:rPr>
        <w:t xml:space="preserve">the </w:t>
      </w:r>
      <w:r w:rsidR="00815906" w:rsidRPr="00EE5F0F">
        <w:rPr>
          <w:rFonts w:ascii="Garamond" w:hAnsi="Garamond"/>
          <w:sz w:val="22"/>
          <w:szCs w:val="22"/>
        </w:rPr>
        <w:t xml:space="preserve">fiscal policy, </w:t>
      </w:r>
      <w:r w:rsidR="008904D7">
        <w:rPr>
          <w:rFonts w:ascii="Garamond" w:hAnsi="Garamond"/>
          <w:sz w:val="22"/>
          <w:szCs w:val="22"/>
        </w:rPr>
        <w:t xml:space="preserve">current </w:t>
      </w:r>
      <w:r w:rsidR="00815906" w:rsidRPr="00EE5F0F">
        <w:rPr>
          <w:rFonts w:ascii="Garamond" w:hAnsi="Garamond"/>
          <w:sz w:val="22"/>
          <w:szCs w:val="22"/>
        </w:rPr>
        <w:t xml:space="preserve">trends and short-term forecasts. </w:t>
      </w:r>
    </w:p>
    <w:tbl>
      <w:tblPr>
        <w:tblStyle w:val="TableGrid"/>
        <w:tblW w:w="0" w:type="auto"/>
        <w:tblLook w:val="04A0" w:firstRow="1" w:lastRow="0" w:firstColumn="1" w:lastColumn="0" w:noHBand="0" w:noVBand="1"/>
      </w:tblPr>
      <w:tblGrid>
        <w:gridCol w:w="9350"/>
      </w:tblGrid>
      <w:tr w:rsidR="00467C2C" w:rsidRPr="00EE5F0F" w14:paraId="5EF14BE8" w14:textId="77777777" w:rsidTr="00467C2C">
        <w:tc>
          <w:tcPr>
            <w:tcW w:w="9350" w:type="dxa"/>
          </w:tcPr>
          <w:p w14:paraId="596F5C28" w14:textId="77777777" w:rsidR="00467C2C" w:rsidRPr="00CF2C97" w:rsidRDefault="00F2398E" w:rsidP="006966A5">
            <w:pPr>
              <w:autoSpaceDE w:val="0"/>
              <w:autoSpaceDN w:val="0"/>
              <w:adjustRightInd w:val="0"/>
              <w:spacing w:after="120" w:line="360" w:lineRule="auto"/>
              <w:jc w:val="both"/>
              <w:rPr>
                <w:rFonts w:ascii="Garamond" w:hAnsi="Garamond"/>
                <w:b/>
                <w:color w:val="0070C0"/>
                <w:sz w:val="21"/>
                <w:szCs w:val="21"/>
              </w:rPr>
            </w:pPr>
            <w:r>
              <w:rPr>
                <w:rFonts w:ascii="Garamond" w:hAnsi="Garamond"/>
                <w:b/>
                <w:color w:val="0070C0"/>
                <w:sz w:val="21"/>
                <w:szCs w:val="21"/>
              </w:rPr>
              <w:t>Box 1</w:t>
            </w:r>
            <w:r w:rsidR="00467C2C" w:rsidRPr="00CF2C97">
              <w:rPr>
                <w:rFonts w:ascii="Garamond" w:hAnsi="Garamond"/>
                <w:b/>
                <w:color w:val="0070C0"/>
                <w:sz w:val="21"/>
                <w:szCs w:val="21"/>
              </w:rPr>
              <w:t>:</w:t>
            </w:r>
          </w:p>
          <w:p w14:paraId="202F4B31" w14:textId="77777777" w:rsidR="00467C2C" w:rsidRPr="00CF2C97" w:rsidRDefault="00467C2C" w:rsidP="006966A5">
            <w:pPr>
              <w:autoSpaceDE w:val="0"/>
              <w:autoSpaceDN w:val="0"/>
              <w:adjustRightInd w:val="0"/>
              <w:spacing w:after="120" w:line="360" w:lineRule="auto"/>
              <w:jc w:val="both"/>
              <w:rPr>
                <w:rFonts w:ascii="Garamond" w:hAnsi="Garamond"/>
                <w:b/>
                <w:color w:val="0070C0"/>
                <w:sz w:val="21"/>
                <w:szCs w:val="21"/>
              </w:rPr>
            </w:pPr>
            <w:r w:rsidRPr="00CF2C97">
              <w:rPr>
                <w:rFonts w:ascii="Garamond" w:hAnsi="Garamond"/>
                <w:b/>
                <w:color w:val="0070C0"/>
                <w:sz w:val="21"/>
                <w:szCs w:val="21"/>
              </w:rPr>
              <w:lastRenderedPageBreak/>
              <w:t>The results of survey on expectations by the households and the financial system</w:t>
            </w:r>
          </w:p>
          <w:p w14:paraId="5164566A" w14:textId="77777777" w:rsidR="004C4C65" w:rsidRPr="00CF2C97" w:rsidRDefault="00467C2C" w:rsidP="006966A5">
            <w:pPr>
              <w:autoSpaceDE w:val="0"/>
              <w:autoSpaceDN w:val="0"/>
              <w:adjustRightInd w:val="0"/>
              <w:spacing w:after="120" w:line="360" w:lineRule="auto"/>
              <w:jc w:val="both"/>
              <w:rPr>
                <w:rFonts w:ascii="Garamond" w:hAnsi="Garamond"/>
                <w:sz w:val="21"/>
                <w:szCs w:val="21"/>
              </w:rPr>
            </w:pPr>
            <w:r w:rsidRPr="00CF2C97">
              <w:rPr>
                <w:rFonts w:ascii="Garamond" w:hAnsi="Garamond"/>
                <w:sz w:val="21"/>
                <w:szCs w:val="21"/>
              </w:rPr>
              <w:t xml:space="preserve">The inflation expectations </w:t>
            </w:r>
            <w:r w:rsidR="00846EFB">
              <w:rPr>
                <w:rFonts w:ascii="Garamond" w:hAnsi="Garamond"/>
                <w:sz w:val="21"/>
                <w:szCs w:val="21"/>
              </w:rPr>
              <w:t>did not change notably at the end of the year</w:t>
            </w:r>
            <w:r w:rsidRPr="00CF2C97">
              <w:rPr>
                <w:rFonts w:ascii="Garamond" w:hAnsi="Garamond"/>
                <w:sz w:val="21"/>
                <w:szCs w:val="21"/>
              </w:rPr>
              <w:t>, ac</w:t>
            </w:r>
            <w:r w:rsidR="00404293" w:rsidRPr="00CF2C97">
              <w:rPr>
                <w:rFonts w:ascii="Garamond" w:hAnsi="Garamond"/>
                <w:sz w:val="21"/>
                <w:szCs w:val="21"/>
              </w:rPr>
              <w:t>cording to the results of the Q</w:t>
            </w:r>
            <w:r w:rsidR="00846EFB">
              <w:rPr>
                <w:rFonts w:ascii="Garamond" w:hAnsi="Garamond"/>
                <w:sz w:val="21"/>
                <w:szCs w:val="21"/>
              </w:rPr>
              <w:t>4</w:t>
            </w:r>
            <w:r w:rsidRPr="00CF2C97">
              <w:rPr>
                <w:rFonts w:ascii="Garamond" w:hAnsi="Garamond"/>
                <w:sz w:val="21"/>
                <w:szCs w:val="21"/>
              </w:rPr>
              <w:t>, 201</w:t>
            </w:r>
            <w:r w:rsidR="00BA3D0E" w:rsidRPr="00CF2C97">
              <w:rPr>
                <w:rFonts w:ascii="Garamond" w:hAnsi="Garamond"/>
                <w:sz w:val="21"/>
                <w:szCs w:val="21"/>
              </w:rPr>
              <w:t>8</w:t>
            </w:r>
            <w:r w:rsidRPr="00CF2C97">
              <w:rPr>
                <w:rFonts w:ascii="Garamond" w:hAnsi="Garamond"/>
                <w:sz w:val="21"/>
                <w:szCs w:val="21"/>
              </w:rPr>
              <w:t xml:space="preserve"> survey on se</w:t>
            </w:r>
            <w:r w:rsidR="00846EFB">
              <w:rPr>
                <w:rFonts w:ascii="Garamond" w:hAnsi="Garamond"/>
                <w:sz w:val="21"/>
                <w:szCs w:val="21"/>
              </w:rPr>
              <w:t xml:space="preserve">lected macroeconomic indicators, which </w:t>
            </w:r>
            <w:r w:rsidRPr="00CF2C97">
              <w:rPr>
                <w:rFonts w:ascii="Garamond" w:hAnsi="Garamond"/>
                <w:sz w:val="21"/>
                <w:szCs w:val="21"/>
              </w:rPr>
              <w:t xml:space="preserve">the Central Bank </w:t>
            </w:r>
            <w:r w:rsidR="0010487A" w:rsidRPr="00CF2C97">
              <w:rPr>
                <w:rFonts w:ascii="Garamond" w:hAnsi="Garamond"/>
                <w:sz w:val="21"/>
                <w:szCs w:val="21"/>
              </w:rPr>
              <w:t>c</w:t>
            </w:r>
            <w:r w:rsidR="00410D16" w:rsidRPr="00CF2C97">
              <w:rPr>
                <w:rFonts w:ascii="Garamond" w:hAnsi="Garamond"/>
                <w:sz w:val="21"/>
                <w:szCs w:val="21"/>
              </w:rPr>
              <w:t xml:space="preserve">arries out </w:t>
            </w:r>
            <w:r w:rsidR="0010487A" w:rsidRPr="00CF2C97">
              <w:rPr>
                <w:rFonts w:ascii="Garamond" w:hAnsi="Garamond"/>
                <w:sz w:val="21"/>
                <w:szCs w:val="21"/>
              </w:rPr>
              <w:t xml:space="preserve">by way of inquiries among </w:t>
            </w:r>
            <w:r w:rsidR="00BA3D0E" w:rsidRPr="00CF2C97">
              <w:rPr>
                <w:rFonts w:ascii="Garamond" w:hAnsi="Garamond"/>
                <w:sz w:val="21"/>
                <w:szCs w:val="21"/>
              </w:rPr>
              <w:t>households a</w:t>
            </w:r>
            <w:r w:rsidR="0010487A" w:rsidRPr="00CF2C97">
              <w:rPr>
                <w:rFonts w:ascii="Garamond" w:hAnsi="Garamond"/>
                <w:sz w:val="21"/>
                <w:szCs w:val="21"/>
              </w:rPr>
              <w:t xml:space="preserve">nd companies in the </w:t>
            </w:r>
            <w:r w:rsidRPr="00CF2C97">
              <w:rPr>
                <w:rFonts w:ascii="Garamond" w:hAnsi="Garamond"/>
                <w:sz w:val="21"/>
                <w:szCs w:val="21"/>
              </w:rPr>
              <w:t xml:space="preserve">financial sector. </w:t>
            </w:r>
            <w:r w:rsidR="0038793E">
              <w:rPr>
                <w:rFonts w:ascii="Garamond" w:hAnsi="Garamond"/>
                <w:sz w:val="21"/>
                <w:szCs w:val="21"/>
              </w:rPr>
              <w:t xml:space="preserve">Specifically, </w:t>
            </w:r>
            <w:r w:rsidR="006573EF" w:rsidRPr="00CF2C97">
              <w:rPr>
                <w:rFonts w:ascii="Garamond" w:hAnsi="Garamond"/>
                <w:sz w:val="21"/>
                <w:szCs w:val="21"/>
              </w:rPr>
              <w:t>the share of th</w:t>
            </w:r>
            <w:r w:rsidR="005B015A" w:rsidRPr="00CF2C97">
              <w:rPr>
                <w:rFonts w:ascii="Garamond" w:hAnsi="Garamond"/>
                <w:sz w:val="21"/>
                <w:szCs w:val="21"/>
              </w:rPr>
              <w:t>e</w:t>
            </w:r>
            <w:r w:rsidR="006573EF" w:rsidRPr="00CF2C97">
              <w:rPr>
                <w:rFonts w:ascii="Garamond" w:hAnsi="Garamond"/>
                <w:sz w:val="21"/>
                <w:szCs w:val="21"/>
              </w:rPr>
              <w:t xml:space="preserve"> households expecting </w:t>
            </w:r>
            <w:r w:rsidR="005B015A" w:rsidRPr="00CF2C97">
              <w:rPr>
                <w:rFonts w:ascii="Garamond" w:hAnsi="Garamond"/>
                <w:sz w:val="21"/>
                <w:szCs w:val="21"/>
              </w:rPr>
              <w:t xml:space="preserve">high and </w:t>
            </w:r>
            <w:r w:rsidR="006573EF" w:rsidRPr="00CF2C97">
              <w:rPr>
                <w:rFonts w:ascii="Garamond" w:hAnsi="Garamond"/>
                <w:sz w:val="21"/>
                <w:szCs w:val="21"/>
              </w:rPr>
              <w:t>very high inflation rate</w:t>
            </w:r>
            <w:r w:rsidR="000612ED">
              <w:rPr>
                <w:rFonts w:ascii="Garamond" w:hAnsi="Garamond"/>
                <w:sz w:val="21"/>
                <w:szCs w:val="21"/>
              </w:rPr>
              <w:t>s</w:t>
            </w:r>
            <w:r w:rsidR="005B015A" w:rsidRPr="00CF2C97">
              <w:rPr>
                <w:rFonts w:ascii="Garamond" w:hAnsi="Garamond"/>
                <w:sz w:val="21"/>
                <w:szCs w:val="21"/>
              </w:rPr>
              <w:t xml:space="preserve"> for a one-year horizon </w:t>
            </w:r>
            <w:r w:rsidR="0038793E">
              <w:rPr>
                <w:rFonts w:ascii="Garamond" w:hAnsi="Garamond"/>
                <w:sz w:val="21"/>
                <w:szCs w:val="21"/>
              </w:rPr>
              <w:t xml:space="preserve">in a total amount of respondents </w:t>
            </w:r>
            <w:r w:rsidR="000612ED" w:rsidRPr="000612ED">
              <w:rPr>
                <w:rFonts w:ascii="Garamond" w:hAnsi="Garamond"/>
                <w:sz w:val="21"/>
                <w:szCs w:val="21"/>
              </w:rPr>
              <w:t>remained a</w:t>
            </w:r>
            <w:r w:rsidR="000612ED">
              <w:rPr>
                <w:rFonts w:ascii="Garamond" w:hAnsi="Garamond"/>
                <w:sz w:val="21"/>
                <w:szCs w:val="21"/>
              </w:rPr>
              <w:t xml:space="preserve">lmost </w:t>
            </w:r>
            <w:r w:rsidR="00394592">
              <w:rPr>
                <w:rFonts w:ascii="Garamond" w:hAnsi="Garamond"/>
                <w:sz w:val="21"/>
                <w:szCs w:val="21"/>
              </w:rPr>
              <w:t xml:space="preserve">the same </w:t>
            </w:r>
            <w:r w:rsidR="0038793E">
              <w:rPr>
                <w:rFonts w:ascii="Garamond" w:hAnsi="Garamond"/>
                <w:sz w:val="21"/>
                <w:szCs w:val="21"/>
              </w:rPr>
              <w:t xml:space="preserve">with the previous </w:t>
            </w:r>
            <w:r w:rsidR="00394592">
              <w:rPr>
                <w:rFonts w:ascii="Garamond" w:hAnsi="Garamond"/>
                <w:sz w:val="21"/>
                <w:szCs w:val="21"/>
              </w:rPr>
              <w:t>quarter</w:t>
            </w:r>
            <w:r w:rsidR="0038793E">
              <w:rPr>
                <w:rFonts w:ascii="Garamond" w:hAnsi="Garamond"/>
                <w:sz w:val="21"/>
                <w:szCs w:val="21"/>
              </w:rPr>
              <w:t>’s level</w:t>
            </w:r>
            <w:r w:rsidR="00394592">
              <w:rPr>
                <w:rFonts w:ascii="Garamond" w:hAnsi="Garamond"/>
                <w:sz w:val="21"/>
                <w:szCs w:val="21"/>
              </w:rPr>
              <w:t xml:space="preserve"> (</w:t>
            </w:r>
            <w:r w:rsidR="00BD488F">
              <w:rPr>
                <w:rFonts w:ascii="Garamond" w:hAnsi="Garamond"/>
                <w:sz w:val="21"/>
                <w:szCs w:val="21"/>
              </w:rPr>
              <w:t>very close to</w:t>
            </w:r>
            <w:r w:rsidR="00394592">
              <w:rPr>
                <w:rFonts w:ascii="Garamond" w:hAnsi="Garamond"/>
                <w:sz w:val="21"/>
                <w:szCs w:val="21"/>
              </w:rPr>
              <w:t xml:space="preserve"> a</w:t>
            </w:r>
            <w:r w:rsidR="000612ED" w:rsidRPr="000612ED">
              <w:rPr>
                <w:rFonts w:ascii="Garamond" w:hAnsi="Garamond"/>
                <w:sz w:val="21"/>
                <w:szCs w:val="21"/>
              </w:rPr>
              <w:t xml:space="preserve"> zero</w:t>
            </w:r>
            <w:r w:rsidR="00394592">
              <w:rPr>
                <w:rFonts w:ascii="Garamond" w:hAnsi="Garamond"/>
                <w:sz w:val="21"/>
                <w:szCs w:val="21"/>
              </w:rPr>
              <w:t>)</w:t>
            </w:r>
            <w:r w:rsidR="005B015A" w:rsidRPr="00CF2C97">
              <w:rPr>
                <w:rFonts w:ascii="Garamond" w:hAnsi="Garamond"/>
                <w:sz w:val="21"/>
                <w:szCs w:val="21"/>
              </w:rPr>
              <w:t>.</w:t>
            </w:r>
          </w:p>
          <w:p w14:paraId="11540284" w14:textId="77777777" w:rsidR="00467C2C" w:rsidRPr="00EE5F0F" w:rsidRDefault="00467C2C" w:rsidP="00C078B5">
            <w:pPr>
              <w:autoSpaceDE w:val="0"/>
              <w:autoSpaceDN w:val="0"/>
              <w:adjustRightInd w:val="0"/>
              <w:spacing w:after="120" w:line="360" w:lineRule="auto"/>
              <w:jc w:val="both"/>
              <w:rPr>
                <w:rFonts w:ascii="Garamond" w:hAnsi="Garamond"/>
                <w:b/>
                <w:color w:val="0070C0"/>
                <w:sz w:val="22"/>
                <w:szCs w:val="22"/>
              </w:rPr>
            </w:pPr>
            <w:r w:rsidRPr="00CF2C97">
              <w:rPr>
                <w:rFonts w:ascii="Garamond" w:hAnsi="Garamond"/>
                <w:sz w:val="21"/>
                <w:szCs w:val="21"/>
              </w:rPr>
              <w:t xml:space="preserve">The </w:t>
            </w:r>
            <w:r w:rsidRPr="00CF2C97">
              <w:rPr>
                <w:rFonts w:ascii="Garamond" w:hAnsi="Garamond"/>
                <w:b/>
                <w:sz w:val="21"/>
                <w:szCs w:val="21"/>
              </w:rPr>
              <w:t>average level of inflation expectations of the financial system</w:t>
            </w:r>
            <w:r w:rsidRPr="00CF2C97">
              <w:rPr>
                <w:rFonts w:ascii="Garamond" w:hAnsi="Garamond"/>
                <w:sz w:val="21"/>
                <w:szCs w:val="21"/>
              </w:rPr>
              <w:t xml:space="preserve"> in the upcoming one-year horizon</w:t>
            </w:r>
            <w:r w:rsidR="005C6027" w:rsidRPr="00CF2C97">
              <w:rPr>
                <w:rFonts w:ascii="Garamond" w:hAnsi="Garamond"/>
                <w:sz w:val="21"/>
                <w:szCs w:val="21"/>
              </w:rPr>
              <w:t xml:space="preserve"> has </w:t>
            </w:r>
            <w:r w:rsidR="00BD488F">
              <w:rPr>
                <w:rFonts w:ascii="Garamond" w:hAnsi="Garamond"/>
                <w:sz w:val="21"/>
                <w:szCs w:val="21"/>
              </w:rPr>
              <w:t>de</w:t>
            </w:r>
            <w:r w:rsidR="002D2BE4">
              <w:rPr>
                <w:rFonts w:ascii="Garamond" w:hAnsi="Garamond"/>
                <w:sz w:val="21"/>
                <w:szCs w:val="21"/>
              </w:rPr>
              <w:t xml:space="preserve">creased to </w:t>
            </w:r>
            <w:r w:rsidR="00C078B5" w:rsidRPr="007576AC">
              <w:rPr>
                <w:rFonts w:ascii="Garamond" w:hAnsi="Garamond"/>
                <w:b/>
                <w:sz w:val="21"/>
                <w:szCs w:val="21"/>
              </w:rPr>
              <w:t xml:space="preserve">about </w:t>
            </w:r>
            <w:r w:rsidR="004C4C65" w:rsidRPr="007576AC">
              <w:rPr>
                <w:rFonts w:ascii="Garamond" w:hAnsi="Garamond"/>
                <w:b/>
                <w:sz w:val="21"/>
                <w:szCs w:val="21"/>
              </w:rPr>
              <w:t>3</w:t>
            </w:r>
            <w:r w:rsidRPr="007576AC">
              <w:rPr>
                <w:rFonts w:ascii="Garamond" w:hAnsi="Garamond"/>
                <w:b/>
                <w:sz w:val="21"/>
                <w:szCs w:val="21"/>
              </w:rPr>
              <w:t>.</w:t>
            </w:r>
            <w:r w:rsidR="00BD488F" w:rsidRPr="007576AC">
              <w:rPr>
                <w:rFonts w:ascii="Garamond" w:hAnsi="Garamond"/>
                <w:b/>
                <w:sz w:val="21"/>
                <w:szCs w:val="21"/>
              </w:rPr>
              <w:t>2</w:t>
            </w:r>
            <w:r w:rsidRPr="007576AC">
              <w:rPr>
                <w:rFonts w:ascii="Garamond" w:hAnsi="Garamond"/>
                <w:b/>
                <w:sz w:val="21"/>
                <w:szCs w:val="21"/>
              </w:rPr>
              <w:t>%</w:t>
            </w:r>
            <w:r w:rsidR="004C4C65" w:rsidRPr="007576AC">
              <w:rPr>
                <w:rFonts w:ascii="Garamond" w:hAnsi="Garamond"/>
                <w:b/>
                <w:sz w:val="21"/>
                <w:szCs w:val="21"/>
              </w:rPr>
              <w:t xml:space="preserve"> </w:t>
            </w:r>
            <w:r w:rsidR="005C6027" w:rsidRPr="007576AC">
              <w:rPr>
                <w:rFonts w:ascii="Garamond" w:hAnsi="Garamond"/>
                <w:b/>
                <w:sz w:val="21"/>
                <w:szCs w:val="21"/>
              </w:rPr>
              <w:t xml:space="preserve">from </w:t>
            </w:r>
            <w:r w:rsidR="006573EF" w:rsidRPr="007576AC">
              <w:rPr>
                <w:rFonts w:ascii="Garamond" w:hAnsi="Garamond"/>
                <w:b/>
                <w:sz w:val="21"/>
                <w:szCs w:val="21"/>
              </w:rPr>
              <w:t>3</w:t>
            </w:r>
            <w:r w:rsidR="004C4C65" w:rsidRPr="007576AC">
              <w:rPr>
                <w:rFonts w:ascii="Garamond" w:hAnsi="Garamond"/>
                <w:b/>
                <w:sz w:val="21"/>
                <w:szCs w:val="21"/>
              </w:rPr>
              <w:t>.</w:t>
            </w:r>
            <w:r w:rsidR="00C078B5" w:rsidRPr="007576AC">
              <w:rPr>
                <w:rFonts w:ascii="Garamond" w:hAnsi="Garamond"/>
                <w:b/>
                <w:sz w:val="21"/>
                <w:szCs w:val="21"/>
              </w:rPr>
              <w:t>4</w:t>
            </w:r>
            <w:r w:rsidR="004C4C65" w:rsidRPr="007576AC">
              <w:rPr>
                <w:rFonts w:ascii="Garamond" w:hAnsi="Garamond"/>
                <w:b/>
                <w:sz w:val="21"/>
                <w:szCs w:val="21"/>
              </w:rPr>
              <w:t>%</w:t>
            </w:r>
            <w:r w:rsidR="00010FBE" w:rsidRPr="00CF2C97">
              <w:rPr>
                <w:rFonts w:ascii="Garamond" w:hAnsi="Garamond"/>
                <w:sz w:val="21"/>
                <w:szCs w:val="21"/>
              </w:rPr>
              <w:t xml:space="preserve"> </w:t>
            </w:r>
            <w:r w:rsidR="005C6027" w:rsidRPr="00CF2C97">
              <w:rPr>
                <w:rFonts w:ascii="Garamond" w:hAnsi="Garamond"/>
                <w:sz w:val="21"/>
                <w:szCs w:val="21"/>
              </w:rPr>
              <w:t xml:space="preserve">reported </w:t>
            </w:r>
            <w:r w:rsidR="002D2BE4">
              <w:rPr>
                <w:rFonts w:ascii="Garamond" w:hAnsi="Garamond"/>
                <w:sz w:val="21"/>
                <w:szCs w:val="21"/>
              </w:rPr>
              <w:t>in</w:t>
            </w:r>
            <w:r w:rsidR="004C4C65" w:rsidRPr="00CF2C97">
              <w:rPr>
                <w:rFonts w:ascii="Garamond" w:hAnsi="Garamond"/>
                <w:sz w:val="21"/>
                <w:szCs w:val="21"/>
              </w:rPr>
              <w:t xml:space="preserve"> the</w:t>
            </w:r>
            <w:r w:rsidRPr="00CF2C97">
              <w:rPr>
                <w:rFonts w:ascii="Garamond" w:hAnsi="Garamond"/>
                <w:sz w:val="21"/>
                <w:szCs w:val="21"/>
              </w:rPr>
              <w:t xml:space="preserve"> previous survey.</w:t>
            </w:r>
          </w:p>
        </w:tc>
      </w:tr>
    </w:tbl>
    <w:p w14:paraId="69F9E7D5" w14:textId="77777777" w:rsidR="005C6536" w:rsidRPr="00EE5F0F" w:rsidRDefault="005C6536" w:rsidP="005C6536">
      <w:pPr>
        <w:autoSpaceDE w:val="0"/>
        <w:autoSpaceDN w:val="0"/>
        <w:adjustRightInd w:val="0"/>
        <w:spacing w:after="120" w:line="360" w:lineRule="auto"/>
        <w:jc w:val="both"/>
        <w:rPr>
          <w:rFonts w:ascii="Garamond" w:hAnsi="Garamond"/>
          <w:sz w:val="22"/>
          <w:szCs w:val="22"/>
        </w:rPr>
      </w:pPr>
    </w:p>
    <w:p w14:paraId="333FCD71" w14:textId="77777777" w:rsidR="005C6536" w:rsidRPr="00EE5F0F" w:rsidRDefault="005C6536" w:rsidP="005C6536">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Forecast assumptions</w:t>
      </w:r>
      <w:r w:rsidR="00FA46F4" w:rsidRPr="00EE5F0F">
        <w:rPr>
          <w:rFonts w:ascii="Garamond" w:hAnsi="Garamond"/>
          <w:b/>
          <w:sz w:val="22"/>
          <w:szCs w:val="22"/>
        </w:rPr>
        <w:t xml:space="preserve"> </w:t>
      </w:r>
    </w:p>
    <w:p w14:paraId="31B93394" w14:textId="77777777" w:rsidR="005C6536" w:rsidRPr="000A2CFF" w:rsidRDefault="004C4C65" w:rsidP="005C6536">
      <w:pPr>
        <w:autoSpaceDE w:val="0"/>
        <w:autoSpaceDN w:val="0"/>
        <w:adjustRightInd w:val="0"/>
        <w:spacing w:after="120" w:line="360" w:lineRule="auto"/>
        <w:jc w:val="both"/>
        <w:rPr>
          <w:rFonts w:ascii="Garamond" w:hAnsi="Garamond" w:cs="Sylfaen"/>
          <w:b/>
          <w:i/>
          <w:iCs/>
          <w:color w:val="C00000"/>
          <w:sz w:val="22"/>
          <w:szCs w:val="22"/>
        </w:rPr>
      </w:pPr>
      <w:r w:rsidRPr="000A2CFF">
        <w:rPr>
          <w:rFonts w:ascii="Garamond" w:hAnsi="Garamond"/>
          <w:b/>
          <w:color w:val="C00000"/>
          <w:sz w:val="22"/>
          <w:szCs w:val="22"/>
        </w:rPr>
        <w:t>Table 3</w:t>
      </w:r>
      <w:r w:rsidR="005C6536" w:rsidRPr="000A2CFF">
        <w:rPr>
          <w:rFonts w:ascii="Garamond" w:hAnsi="Garamond"/>
          <w:b/>
          <w:color w:val="C00000"/>
          <w:sz w:val="22"/>
          <w:szCs w:val="22"/>
        </w:rPr>
        <w:t>:</w:t>
      </w:r>
      <w:r w:rsidR="00DA0E4F" w:rsidRPr="000A2CFF">
        <w:rPr>
          <w:rFonts w:ascii="Garamond" w:hAnsi="Garamond"/>
          <w:b/>
          <w:color w:val="C00000"/>
          <w:sz w:val="22"/>
          <w:szCs w:val="22"/>
        </w:rPr>
        <w:t xml:space="preserve"> </w:t>
      </w:r>
    </w:p>
    <w:tbl>
      <w:tblPr>
        <w:tblStyle w:val="TableGrid"/>
        <w:tblW w:w="6243" w:type="dxa"/>
        <w:tblInd w:w="43" w:type="dxa"/>
        <w:tblLayout w:type="fixed"/>
        <w:tblCellMar>
          <w:left w:w="57" w:type="dxa"/>
          <w:right w:w="57" w:type="dxa"/>
        </w:tblCellMar>
        <w:tblLook w:val="04A0" w:firstRow="1" w:lastRow="0" w:firstColumn="1" w:lastColumn="0" w:noHBand="0" w:noVBand="1"/>
      </w:tblPr>
      <w:tblGrid>
        <w:gridCol w:w="1715"/>
        <w:gridCol w:w="4528"/>
      </w:tblGrid>
      <w:tr w:rsidR="005C6536" w:rsidRPr="00EE5F0F" w14:paraId="1341CE54" w14:textId="77777777" w:rsidTr="004D4A0F">
        <w:trPr>
          <w:trHeight w:val="20"/>
        </w:trPr>
        <w:tc>
          <w:tcPr>
            <w:tcW w:w="1715" w:type="dxa"/>
            <w:vAlign w:val="center"/>
          </w:tcPr>
          <w:p w14:paraId="28FC9234" w14:textId="77777777" w:rsidR="005C6536" w:rsidRPr="00EE5F0F" w:rsidRDefault="005C6536" w:rsidP="004D4A0F">
            <w:pPr>
              <w:spacing w:before="30" w:after="30"/>
              <w:rPr>
                <w:rFonts w:ascii="Garamond" w:eastAsia="Calibri" w:hAnsi="Garamond" w:cs="GHEA Grapalat"/>
                <w:b/>
                <w:sz w:val="22"/>
                <w:szCs w:val="22"/>
                <w:lang w:val="hy-AM"/>
              </w:rPr>
            </w:pPr>
            <w:r w:rsidRPr="00EE5F0F">
              <w:rPr>
                <w:rFonts w:ascii="Garamond" w:hAnsi="Garamond" w:cs="Sylfaen"/>
                <w:b/>
                <w:sz w:val="22"/>
                <w:szCs w:val="22"/>
              </w:rPr>
              <w:t xml:space="preserve">Main </w:t>
            </w:r>
            <w:r w:rsidRPr="00EE5F0F">
              <w:rPr>
                <w:rFonts w:ascii="Garamond" w:hAnsi="Garamond" w:cs="Sylfaen"/>
                <w:b/>
                <w:sz w:val="22"/>
                <w:szCs w:val="22"/>
                <w:lang w:val="hy-AM"/>
              </w:rPr>
              <w:t>judgments and assumptions</w:t>
            </w:r>
          </w:p>
        </w:tc>
        <w:tc>
          <w:tcPr>
            <w:tcW w:w="4528" w:type="dxa"/>
            <w:vAlign w:val="center"/>
          </w:tcPr>
          <w:p w14:paraId="7C819BC5" w14:textId="77777777" w:rsidR="005C6536" w:rsidRPr="00EE5F0F" w:rsidRDefault="005C6536" w:rsidP="007859CB">
            <w:pPr>
              <w:spacing w:before="30" w:after="30"/>
              <w:rPr>
                <w:rFonts w:ascii="Garamond" w:eastAsia="Calibri" w:hAnsi="Garamond" w:cs="GHEA Grapalat"/>
                <w:b/>
                <w:sz w:val="22"/>
                <w:szCs w:val="22"/>
              </w:rPr>
            </w:pPr>
            <w:r w:rsidRPr="00EE5F0F">
              <w:rPr>
                <w:rFonts w:ascii="Garamond" w:eastAsia="Calibri" w:hAnsi="Garamond" w:cs="GHEA Grapalat"/>
                <w:b/>
                <w:sz w:val="22"/>
                <w:szCs w:val="22"/>
              </w:rPr>
              <w:t>P</w:t>
            </w:r>
            <w:r w:rsidRPr="00EE5F0F">
              <w:rPr>
                <w:rFonts w:ascii="Garamond" w:eastAsia="Calibri" w:hAnsi="Garamond" w:cs="GHEA Grapalat"/>
                <w:b/>
                <w:sz w:val="22"/>
                <w:szCs w:val="22"/>
                <w:lang w:val="hy-AM"/>
              </w:rPr>
              <w:t>ossible developments</w:t>
            </w:r>
            <w:r w:rsidR="006C3065">
              <w:rPr>
                <w:rFonts w:ascii="Garamond" w:eastAsia="Calibri" w:hAnsi="Garamond" w:cs="GHEA Grapalat"/>
                <w:b/>
                <w:sz w:val="22"/>
                <w:szCs w:val="22"/>
              </w:rPr>
              <w:t>,</w:t>
            </w:r>
            <w:r w:rsidRPr="00EE5F0F">
              <w:rPr>
                <w:rFonts w:ascii="Garamond" w:eastAsia="Calibri" w:hAnsi="Garamond" w:cs="GHEA Grapalat"/>
                <w:b/>
                <w:sz w:val="22"/>
                <w:szCs w:val="22"/>
                <w:lang w:val="hy-AM"/>
              </w:rPr>
              <w:t xml:space="preserve"> i</w:t>
            </w:r>
            <w:r w:rsidR="000A2CFF">
              <w:rPr>
                <w:rFonts w:ascii="Garamond" w:eastAsia="Calibri" w:hAnsi="Garamond" w:cs="GHEA Grapalat"/>
                <w:b/>
                <w:sz w:val="22"/>
                <w:szCs w:val="22"/>
              </w:rPr>
              <w:t>f</w:t>
            </w:r>
            <w:r w:rsidR="00FA46F4" w:rsidRPr="00EE5F0F">
              <w:rPr>
                <w:rFonts w:ascii="Garamond" w:eastAsia="Calibri" w:hAnsi="Garamond" w:cs="GHEA Grapalat"/>
                <w:b/>
                <w:sz w:val="22"/>
                <w:szCs w:val="22"/>
              </w:rPr>
              <w:t xml:space="preserve"> th</w:t>
            </w:r>
            <w:r w:rsidR="006C3065">
              <w:rPr>
                <w:rFonts w:ascii="Garamond" w:eastAsia="Calibri" w:hAnsi="Garamond" w:cs="GHEA Grapalat"/>
                <w:b/>
                <w:sz w:val="22"/>
                <w:szCs w:val="22"/>
              </w:rPr>
              <w:t xml:space="preserve">is </w:t>
            </w:r>
            <w:r w:rsidR="00FA46F4" w:rsidRPr="00EE5F0F">
              <w:rPr>
                <w:rFonts w:ascii="Garamond" w:eastAsia="Calibri" w:hAnsi="Garamond" w:cs="GHEA Grapalat"/>
                <w:b/>
                <w:sz w:val="22"/>
                <w:szCs w:val="22"/>
              </w:rPr>
              <w:t xml:space="preserve">assumption </w:t>
            </w:r>
            <w:r w:rsidR="00A241EA" w:rsidRPr="00EE5F0F">
              <w:rPr>
                <w:rFonts w:ascii="Garamond" w:eastAsia="Calibri" w:hAnsi="Garamond" w:cs="GHEA Grapalat"/>
                <w:b/>
                <w:sz w:val="22"/>
                <w:szCs w:val="22"/>
              </w:rPr>
              <w:t>proves correct</w:t>
            </w:r>
            <w:r w:rsidRPr="00EE5F0F">
              <w:rPr>
                <w:rFonts w:ascii="Garamond" w:eastAsia="Calibri" w:hAnsi="Garamond" w:cs="GHEA Grapalat"/>
                <w:b/>
                <w:sz w:val="22"/>
                <w:szCs w:val="22"/>
              </w:rPr>
              <w:t xml:space="preserve"> </w:t>
            </w:r>
          </w:p>
        </w:tc>
      </w:tr>
      <w:tr w:rsidR="005C6536" w:rsidRPr="00EE5F0F" w14:paraId="12123D01" w14:textId="77777777" w:rsidTr="004D4A0F">
        <w:trPr>
          <w:trHeight w:val="20"/>
        </w:trPr>
        <w:tc>
          <w:tcPr>
            <w:tcW w:w="1715" w:type="dxa"/>
            <w:vAlign w:val="center"/>
          </w:tcPr>
          <w:p w14:paraId="5E95266F" w14:textId="77777777" w:rsidR="005C6536" w:rsidRPr="00EE5F0F" w:rsidRDefault="00227821" w:rsidP="007859CB">
            <w:pPr>
              <w:spacing w:before="30" w:after="30"/>
              <w:rPr>
                <w:rFonts w:ascii="Garamond" w:eastAsia="Calibri" w:hAnsi="Garamond" w:cs="GHEA Grapalat"/>
                <w:sz w:val="22"/>
                <w:szCs w:val="22"/>
                <w:lang w:val="hy-AM"/>
              </w:rPr>
            </w:pPr>
            <w:r>
              <w:rPr>
                <w:rFonts w:ascii="Garamond" w:eastAsia="Calibri" w:hAnsi="Garamond" w:cs="Sylfaen"/>
                <w:sz w:val="22"/>
                <w:szCs w:val="22"/>
              </w:rPr>
              <w:t xml:space="preserve">Economic growth rates </w:t>
            </w:r>
            <w:r w:rsidR="007859CB">
              <w:rPr>
                <w:rFonts w:ascii="Garamond" w:eastAsia="Calibri" w:hAnsi="Garamond" w:cs="Sylfaen"/>
                <w:sz w:val="22"/>
                <w:szCs w:val="22"/>
              </w:rPr>
              <w:t xml:space="preserve">and price growth rates get slower </w:t>
            </w:r>
            <w:r>
              <w:rPr>
                <w:rFonts w:ascii="Garamond" w:eastAsia="Calibri" w:hAnsi="Garamond" w:cs="Sylfaen"/>
                <w:sz w:val="22"/>
                <w:szCs w:val="22"/>
              </w:rPr>
              <w:t>in major partner countries to Armenia</w:t>
            </w:r>
            <w:r w:rsidR="006573EF" w:rsidRPr="00EE5F0F">
              <w:rPr>
                <w:rFonts w:ascii="Garamond" w:eastAsia="Calibri" w:hAnsi="Garamond" w:cs="Sylfaen"/>
                <w:sz w:val="22"/>
                <w:szCs w:val="22"/>
              </w:rPr>
              <w:t xml:space="preserve"> </w:t>
            </w:r>
          </w:p>
        </w:tc>
        <w:tc>
          <w:tcPr>
            <w:tcW w:w="4528" w:type="dxa"/>
            <w:vAlign w:val="center"/>
          </w:tcPr>
          <w:p w14:paraId="1AF059D3" w14:textId="77777777" w:rsidR="00703FA4" w:rsidRPr="00EE5F0F" w:rsidRDefault="007859CB" w:rsidP="007859CB">
            <w:pPr>
              <w:pStyle w:val="ListParagraph"/>
              <w:numPr>
                <w:ilvl w:val="0"/>
                <w:numId w:val="5"/>
              </w:numPr>
              <w:spacing w:before="30" w:after="30"/>
              <w:rPr>
                <w:rFonts w:ascii="Garamond" w:hAnsi="Garamond" w:cs="Sylfaen"/>
                <w:sz w:val="22"/>
                <w:szCs w:val="22"/>
                <w:lang w:val="hy-AM"/>
              </w:rPr>
            </w:pPr>
            <w:r>
              <w:rPr>
                <w:rFonts w:ascii="Garamond" w:hAnsi="Garamond" w:cs="Sylfaen"/>
                <w:sz w:val="22"/>
                <w:szCs w:val="22"/>
              </w:rPr>
              <w:t xml:space="preserve">As </w:t>
            </w:r>
            <w:r w:rsidRPr="007859CB">
              <w:rPr>
                <w:rFonts w:ascii="Garamond" w:hAnsi="Garamond" w:cs="Sylfaen"/>
                <w:sz w:val="22"/>
                <w:szCs w:val="22"/>
              </w:rPr>
              <w:t>global demand weaken</w:t>
            </w:r>
            <w:r>
              <w:rPr>
                <w:rFonts w:ascii="Garamond" w:hAnsi="Garamond" w:cs="Sylfaen"/>
                <w:sz w:val="22"/>
                <w:szCs w:val="22"/>
              </w:rPr>
              <w:t xml:space="preserve">s, </w:t>
            </w:r>
            <w:r w:rsidR="006B751A">
              <w:rPr>
                <w:rFonts w:ascii="Garamond" w:hAnsi="Garamond" w:cs="Sylfaen"/>
                <w:sz w:val="22"/>
                <w:szCs w:val="22"/>
              </w:rPr>
              <w:t xml:space="preserve">external demand in </w:t>
            </w:r>
            <w:r w:rsidRPr="007859CB">
              <w:rPr>
                <w:rFonts w:ascii="Garamond" w:hAnsi="Garamond" w:cs="Sylfaen"/>
                <w:sz w:val="22"/>
                <w:szCs w:val="22"/>
              </w:rPr>
              <w:t xml:space="preserve">partner countries will somewhat slow and </w:t>
            </w:r>
            <w:r>
              <w:rPr>
                <w:rFonts w:ascii="Garamond" w:hAnsi="Garamond" w:cs="Sylfaen"/>
                <w:sz w:val="22"/>
                <w:szCs w:val="22"/>
              </w:rPr>
              <w:t xml:space="preserve">minor </w:t>
            </w:r>
            <w:r w:rsidRPr="007859CB">
              <w:rPr>
                <w:rFonts w:ascii="Garamond" w:hAnsi="Garamond" w:cs="Sylfaen"/>
                <w:sz w:val="22"/>
                <w:szCs w:val="22"/>
              </w:rPr>
              <w:t>inflation will be observ</w:t>
            </w:r>
            <w:r>
              <w:rPr>
                <w:rFonts w:ascii="Garamond" w:hAnsi="Garamond" w:cs="Sylfaen"/>
                <w:sz w:val="22"/>
                <w:szCs w:val="22"/>
              </w:rPr>
              <w:t xml:space="preserve">able </w:t>
            </w:r>
            <w:r w:rsidRPr="007859CB">
              <w:rPr>
                <w:rFonts w:ascii="Garamond" w:hAnsi="Garamond" w:cs="Sylfaen"/>
                <w:sz w:val="22"/>
                <w:szCs w:val="22"/>
              </w:rPr>
              <w:t xml:space="preserve">in raw material and food </w:t>
            </w:r>
            <w:r>
              <w:rPr>
                <w:rFonts w:ascii="Garamond" w:hAnsi="Garamond" w:cs="Sylfaen"/>
                <w:sz w:val="22"/>
                <w:szCs w:val="22"/>
              </w:rPr>
              <w:t xml:space="preserve">product </w:t>
            </w:r>
            <w:r w:rsidRPr="007859CB">
              <w:rPr>
                <w:rFonts w:ascii="Garamond" w:hAnsi="Garamond" w:cs="Sylfaen"/>
                <w:sz w:val="22"/>
                <w:szCs w:val="22"/>
              </w:rPr>
              <w:t xml:space="preserve">markets, </w:t>
            </w:r>
            <w:r w:rsidR="006B751A">
              <w:rPr>
                <w:rFonts w:ascii="Garamond" w:hAnsi="Garamond" w:cs="Sylfaen"/>
                <w:sz w:val="22"/>
                <w:szCs w:val="22"/>
              </w:rPr>
              <w:t xml:space="preserve">in which case </w:t>
            </w:r>
            <w:r w:rsidRPr="007859CB">
              <w:rPr>
                <w:rFonts w:ascii="Garamond" w:hAnsi="Garamond" w:cs="Sylfaen"/>
                <w:sz w:val="22"/>
                <w:szCs w:val="22"/>
              </w:rPr>
              <w:t>monetary conditions in developed countries</w:t>
            </w:r>
            <w:r w:rsidR="006B751A">
              <w:rPr>
                <w:rFonts w:ascii="Garamond" w:hAnsi="Garamond" w:cs="Sylfaen"/>
                <w:sz w:val="22"/>
                <w:szCs w:val="22"/>
              </w:rPr>
              <w:t xml:space="preserve"> will be adjusted unhurriedly, at a slower pace</w:t>
            </w:r>
            <w:r w:rsidRPr="007859CB">
              <w:rPr>
                <w:rFonts w:ascii="Garamond" w:hAnsi="Garamond" w:cs="Sylfaen"/>
                <w:sz w:val="22"/>
                <w:szCs w:val="22"/>
              </w:rPr>
              <w:t>.</w:t>
            </w:r>
            <w:r w:rsidR="006B751A">
              <w:rPr>
                <w:rFonts w:ascii="Garamond" w:hAnsi="Garamond" w:cs="Sylfaen"/>
                <w:sz w:val="22"/>
                <w:szCs w:val="22"/>
              </w:rPr>
              <w:t xml:space="preserve"> </w:t>
            </w:r>
          </w:p>
          <w:p w14:paraId="11B2C3E7" w14:textId="77777777" w:rsidR="005C6536" w:rsidRPr="00EE5F0F" w:rsidRDefault="006B751A" w:rsidP="006B751A">
            <w:pPr>
              <w:pStyle w:val="ListParagraph"/>
              <w:numPr>
                <w:ilvl w:val="0"/>
                <w:numId w:val="5"/>
              </w:numPr>
              <w:spacing w:before="30" w:after="30"/>
              <w:rPr>
                <w:rFonts w:ascii="Garamond" w:hAnsi="Garamond" w:cs="GHEA Grapalat"/>
                <w:sz w:val="22"/>
                <w:szCs w:val="22"/>
                <w:lang w:val="hy-AM"/>
              </w:rPr>
            </w:pPr>
            <w:r w:rsidRPr="006B751A">
              <w:rPr>
                <w:rFonts w:ascii="Garamond" w:hAnsi="Garamond" w:cs="Sylfaen"/>
                <w:sz w:val="22"/>
                <w:szCs w:val="22"/>
              </w:rPr>
              <w:t>The US and Eurozone inflation will slow down in the short term due to the decline in international oil prices.</w:t>
            </w:r>
            <w:r w:rsidR="00F41ADC">
              <w:rPr>
                <w:rFonts w:ascii="Garamond" w:hAnsi="Garamond" w:cs="Sylfaen"/>
                <w:sz w:val="22"/>
                <w:szCs w:val="22"/>
              </w:rPr>
              <w:t xml:space="preserve"> </w:t>
            </w:r>
          </w:p>
        </w:tc>
      </w:tr>
      <w:tr w:rsidR="00E218FC" w:rsidRPr="00EE5F0F" w14:paraId="72501555" w14:textId="77777777" w:rsidTr="004D4A0F">
        <w:trPr>
          <w:trHeight w:val="20"/>
        </w:trPr>
        <w:tc>
          <w:tcPr>
            <w:tcW w:w="1715" w:type="dxa"/>
            <w:vAlign w:val="center"/>
          </w:tcPr>
          <w:p w14:paraId="60BAF8CC" w14:textId="77777777" w:rsidR="00E218FC" w:rsidRPr="00EE5F0F" w:rsidRDefault="00E218FC" w:rsidP="006B751A">
            <w:pPr>
              <w:spacing w:before="30" w:after="30"/>
              <w:rPr>
                <w:rFonts w:ascii="Garamond" w:eastAsia="Calibri" w:hAnsi="Garamond" w:cs="Sylfaen"/>
                <w:sz w:val="22"/>
                <w:szCs w:val="22"/>
              </w:rPr>
            </w:pPr>
            <w:r w:rsidRPr="00EE5F0F">
              <w:rPr>
                <w:rFonts w:ascii="Garamond" w:eastAsia="Calibri" w:hAnsi="Garamond" w:cs="Sylfaen"/>
                <w:sz w:val="22"/>
                <w:szCs w:val="22"/>
              </w:rPr>
              <w:t xml:space="preserve">Armenia’s risk premium </w:t>
            </w:r>
            <w:r w:rsidR="006B751A">
              <w:rPr>
                <w:rFonts w:ascii="Garamond" w:eastAsia="Calibri" w:hAnsi="Garamond" w:cs="Sylfaen"/>
                <w:sz w:val="22"/>
                <w:szCs w:val="22"/>
              </w:rPr>
              <w:t>recovers much slower in the medium run</w:t>
            </w:r>
          </w:p>
        </w:tc>
        <w:tc>
          <w:tcPr>
            <w:tcW w:w="4528" w:type="dxa"/>
            <w:vAlign w:val="center"/>
          </w:tcPr>
          <w:p w14:paraId="7FE7951A" w14:textId="77777777" w:rsidR="00E218FC" w:rsidRPr="00EE5F0F" w:rsidRDefault="006D593F" w:rsidP="00D74881">
            <w:pPr>
              <w:pStyle w:val="ListParagraph"/>
              <w:numPr>
                <w:ilvl w:val="0"/>
                <w:numId w:val="5"/>
              </w:numPr>
              <w:spacing w:before="30" w:after="30"/>
              <w:rPr>
                <w:rFonts w:ascii="Garamond" w:hAnsi="Garamond" w:cs="Sylfaen"/>
                <w:sz w:val="22"/>
                <w:szCs w:val="22"/>
              </w:rPr>
            </w:pPr>
            <w:r>
              <w:rPr>
                <w:rFonts w:ascii="Garamond" w:hAnsi="Garamond" w:cs="Sylfaen"/>
                <w:sz w:val="22"/>
                <w:szCs w:val="22"/>
              </w:rPr>
              <w:t>T</w:t>
            </w:r>
            <w:r w:rsidR="00E218FC" w:rsidRPr="00EE5F0F">
              <w:rPr>
                <w:rFonts w:ascii="Garamond" w:hAnsi="Garamond" w:cs="Sylfaen"/>
                <w:sz w:val="22"/>
                <w:szCs w:val="22"/>
              </w:rPr>
              <w:t xml:space="preserve">he </w:t>
            </w:r>
            <w:r w:rsidR="00A272AA">
              <w:rPr>
                <w:rFonts w:ascii="Garamond" w:hAnsi="Garamond" w:cs="Sylfaen"/>
                <w:sz w:val="22"/>
                <w:szCs w:val="22"/>
              </w:rPr>
              <w:t>Armenia</w:t>
            </w:r>
            <w:r w:rsidR="00F4743D">
              <w:rPr>
                <w:rFonts w:ascii="Garamond" w:hAnsi="Garamond" w:cs="Sylfaen"/>
                <w:sz w:val="22"/>
                <w:szCs w:val="22"/>
              </w:rPr>
              <w:t xml:space="preserve"> government</w:t>
            </w:r>
            <w:r w:rsidR="00A272AA">
              <w:rPr>
                <w:rFonts w:ascii="Garamond" w:hAnsi="Garamond" w:cs="Sylfaen"/>
                <w:sz w:val="22"/>
                <w:szCs w:val="22"/>
              </w:rPr>
              <w:t xml:space="preserve">-issued 10-year Eurobond </w:t>
            </w:r>
            <w:r w:rsidR="00AC0D05">
              <w:rPr>
                <w:rFonts w:ascii="Garamond" w:hAnsi="Garamond" w:cs="Sylfaen"/>
                <w:sz w:val="22"/>
                <w:szCs w:val="22"/>
              </w:rPr>
              <w:t xml:space="preserve">rates </w:t>
            </w:r>
            <w:r w:rsidR="00A272AA">
              <w:rPr>
                <w:rFonts w:ascii="Garamond" w:hAnsi="Garamond" w:cs="Sylfaen"/>
                <w:sz w:val="22"/>
                <w:szCs w:val="22"/>
              </w:rPr>
              <w:t>spread</w:t>
            </w:r>
            <w:r w:rsidR="00AC0D05">
              <w:rPr>
                <w:rFonts w:ascii="Garamond" w:hAnsi="Garamond" w:cs="Sylfaen"/>
                <w:sz w:val="22"/>
                <w:szCs w:val="22"/>
              </w:rPr>
              <w:t>,</w:t>
            </w:r>
            <w:r w:rsidR="00A272AA">
              <w:rPr>
                <w:rFonts w:ascii="Garamond" w:hAnsi="Garamond" w:cs="Sylfaen"/>
                <w:sz w:val="22"/>
                <w:szCs w:val="22"/>
              </w:rPr>
              <w:t xml:space="preserve"> </w:t>
            </w:r>
            <w:r w:rsidR="00AC0D05" w:rsidRPr="00EE5F0F">
              <w:rPr>
                <w:rFonts w:ascii="Garamond" w:hAnsi="Garamond" w:cs="Sylfaen"/>
                <w:sz w:val="22"/>
                <w:szCs w:val="22"/>
              </w:rPr>
              <w:t>r</w:t>
            </w:r>
            <w:r w:rsidR="00AC0D05">
              <w:rPr>
                <w:rFonts w:ascii="Garamond" w:hAnsi="Garamond" w:cs="Sylfaen"/>
                <w:sz w:val="22"/>
                <w:szCs w:val="22"/>
              </w:rPr>
              <w:t xml:space="preserve">elative to the similar-maturity </w:t>
            </w:r>
            <w:r w:rsidR="00AC0D05" w:rsidRPr="00EE5F0F">
              <w:rPr>
                <w:rFonts w:ascii="Garamond" w:hAnsi="Garamond" w:cs="Sylfaen"/>
                <w:sz w:val="22"/>
                <w:szCs w:val="22"/>
              </w:rPr>
              <w:t>US assets</w:t>
            </w:r>
            <w:r>
              <w:rPr>
                <w:rFonts w:ascii="Garamond" w:hAnsi="Garamond" w:cs="Sylfaen"/>
                <w:sz w:val="22"/>
                <w:szCs w:val="22"/>
              </w:rPr>
              <w:t xml:space="preserve"> </w:t>
            </w:r>
            <w:r w:rsidRPr="006D593F">
              <w:rPr>
                <w:rFonts w:ascii="Garamond" w:hAnsi="Garamond" w:cs="Sylfaen"/>
                <w:sz w:val="22"/>
                <w:szCs w:val="22"/>
              </w:rPr>
              <w:t>(current risk premium is</w:t>
            </w:r>
            <w:r w:rsidR="00D74881">
              <w:rPr>
                <w:rFonts w:ascii="Garamond" w:hAnsi="Garamond" w:cs="Sylfaen"/>
                <w:sz w:val="22"/>
                <w:szCs w:val="22"/>
              </w:rPr>
              <w:t xml:space="preserve"> </w:t>
            </w:r>
            <w:r w:rsidRPr="006D593F">
              <w:rPr>
                <w:rFonts w:ascii="Garamond" w:hAnsi="Garamond" w:cs="Sylfaen"/>
                <w:sz w:val="22"/>
                <w:szCs w:val="22"/>
              </w:rPr>
              <w:t xml:space="preserve">estimated </w:t>
            </w:r>
            <w:r>
              <w:rPr>
                <w:rFonts w:ascii="Garamond" w:hAnsi="Garamond" w:cs="Sylfaen"/>
                <w:sz w:val="22"/>
                <w:szCs w:val="22"/>
              </w:rPr>
              <w:t xml:space="preserve">to be within </w:t>
            </w:r>
            <w:r w:rsidRPr="006D593F">
              <w:rPr>
                <w:rFonts w:ascii="Garamond" w:hAnsi="Garamond" w:cs="Sylfaen"/>
                <w:sz w:val="22"/>
                <w:szCs w:val="22"/>
              </w:rPr>
              <w:t>3%</w:t>
            </w:r>
            <w:r>
              <w:rPr>
                <w:rFonts w:ascii="Garamond" w:hAnsi="Garamond" w:cs="Sylfaen"/>
                <w:sz w:val="22"/>
                <w:szCs w:val="22"/>
              </w:rPr>
              <w:t xml:space="preserve"> for Armenia</w:t>
            </w:r>
            <w:r w:rsidRPr="006D593F">
              <w:rPr>
                <w:rFonts w:ascii="Garamond" w:hAnsi="Garamond" w:cs="Sylfaen"/>
                <w:sz w:val="22"/>
                <w:szCs w:val="22"/>
              </w:rPr>
              <w:t>)</w:t>
            </w:r>
            <w:r w:rsidR="00625F58">
              <w:rPr>
                <w:rFonts w:ascii="Garamond" w:hAnsi="Garamond" w:cs="Sylfaen"/>
                <w:sz w:val="22"/>
                <w:szCs w:val="22"/>
              </w:rPr>
              <w:t xml:space="preserve">, </w:t>
            </w:r>
            <w:r>
              <w:rPr>
                <w:rFonts w:ascii="Garamond" w:hAnsi="Garamond" w:cs="Sylfaen"/>
                <w:sz w:val="22"/>
                <w:szCs w:val="22"/>
              </w:rPr>
              <w:t>narrow</w:t>
            </w:r>
            <w:r w:rsidR="00D3107F">
              <w:rPr>
                <w:rFonts w:ascii="Garamond" w:hAnsi="Garamond" w:cs="Sylfaen"/>
                <w:sz w:val="22"/>
                <w:szCs w:val="22"/>
              </w:rPr>
              <w:t>e</w:t>
            </w:r>
            <w:r>
              <w:rPr>
                <w:rFonts w:ascii="Garamond" w:hAnsi="Garamond" w:cs="Sylfaen"/>
                <w:sz w:val="22"/>
                <w:szCs w:val="22"/>
              </w:rPr>
              <w:t xml:space="preserve">d considerably, in line with general trends in developing countries, </w:t>
            </w:r>
            <w:r w:rsidR="00625F58">
              <w:rPr>
                <w:rFonts w:ascii="Garamond" w:hAnsi="Garamond" w:cs="Sylfaen"/>
                <w:sz w:val="22"/>
                <w:szCs w:val="22"/>
              </w:rPr>
              <w:t>during t</w:t>
            </w:r>
            <w:r>
              <w:rPr>
                <w:rFonts w:ascii="Garamond" w:hAnsi="Garamond" w:cs="Sylfaen"/>
                <w:sz w:val="22"/>
                <w:szCs w:val="22"/>
              </w:rPr>
              <w:t xml:space="preserve">he first quarter of 2019, </w:t>
            </w:r>
            <w:r w:rsidR="00625F58">
              <w:rPr>
                <w:rFonts w:ascii="Garamond" w:hAnsi="Garamond" w:cs="Sylfaen"/>
                <w:sz w:val="22"/>
                <w:szCs w:val="22"/>
              </w:rPr>
              <w:t xml:space="preserve">and </w:t>
            </w:r>
            <w:r w:rsidR="00625F58" w:rsidRPr="00625F58">
              <w:rPr>
                <w:rFonts w:ascii="Garamond" w:hAnsi="Garamond" w:cs="Sylfaen"/>
                <w:sz w:val="22"/>
                <w:szCs w:val="22"/>
              </w:rPr>
              <w:t xml:space="preserve">is far below the estimated long-term </w:t>
            </w:r>
            <w:r w:rsidR="00625F58">
              <w:rPr>
                <w:rFonts w:ascii="Garamond" w:hAnsi="Garamond" w:cs="Sylfaen"/>
                <w:sz w:val="22"/>
                <w:szCs w:val="22"/>
              </w:rPr>
              <w:t>equilibrium</w:t>
            </w:r>
            <w:r w:rsidR="00625F58" w:rsidRPr="00625F58">
              <w:rPr>
                <w:rFonts w:ascii="Garamond" w:hAnsi="Garamond" w:cs="Sylfaen"/>
                <w:sz w:val="22"/>
                <w:szCs w:val="22"/>
              </w:rPr>
              <w:t>.</w:t>
            </w:r>
            <w:r w:rsidR="00625F58">
              <w:rPr>
                <w:rFonts w:ascii="Garamond" w:hAnsi="Garamond" w:cs="Sylfaen"/>
                <w:sz w:val="22"/>
                <w:szCs w:val="22"/>
              </w:rPr>
              <w:t xml:space="preserve"> </w:t>
            </w:r>
            <w:r w:rsidR="00625F58" w:rsidRPr="00625F58">
              <w:rPr>
                <w:rFonts w:ascii="Garamond" w:hAnsi="Garamond" w:cs="Sylfaen"/>
                <w:sz w:val="22"/>
                <w:szCs w:val="22"/>
              </w:rPr>
              <w:t xml:space="preserve">In expectation of a </w:t>
            </w:r>
            <w:r w:rsidR="00625F58">
              <w:rPr>
                <w:rFonts w:ascii="Garamond" w:hAnsi="Garamond" w:cs="Sylfaen"/>
                <w:sz w:val="22"/>
                <w:szCs w:val="22"/>
              </w:rPr>
              <w:t xml:space="preserve">slower </w:t>
            </w:r>
            <w:r w:rsidR="00625F58" w:rsidRPr="00625F58">
              <w:rPr>
                <w:rFonts w:ascii="Garamond" w:hAnsi="Garamond" w:cs="Sylfaen"/>
                <w:sz w:val="22"/>
                <w:szCs w:val="22"/>
              </w:rPr>
              <w:t>growth</w:t>
            </w:r>
            <w:r w:rsidR="00625F58">
              <w:rPr>
                <w:rFonts w:ascii="Garamond" w:hAnsi="Garamond" w:cs="Sylfaen"/>
                <w:sz w:val="22"/>
                <w:szCs w:val="22"/>
              </w:rPr>
              <w:t xml:space="preserve">, hence more expansionary </w:t>
            </w:r>
            <w:r w:rsidR="00625F58" w:rsidRPr="00625F58">
              <w:rPr>
                <w:rFonts w:ascii="Garamond" w:hAnsi="Garamond" w:cs="Sylfaen"/>
                <w:sz w:val="22"/>
                <w:szCs w:val="22"/>
              </w:rPr>
              <w:t>monetary polic</w:t>
            </w:r>
            <w:r w:rsidR="00625F58">
              <w:rPr>
                <w:rFonts w:ascii="Garamond" w:hAnsi="Garamond" w:cs="Sylfaen"/>
                <w:sz w:val="22"/>
                <w:szCs w:val="22"/>
              </w:rPr>
              <w:t xml:space="preserve">ies in </w:t>
            </w:r>
            <w:r w:rsidR="00625F58" w:rsidRPr="00625F58">
              <w:rPr>
                <w:rFonts w:ascii="Garamond" w:hAnsi="Garamond" w:cs="Sylfaen"/>
                <w:sz w:val="22"/>
                <w:szCs w:val="22"/>
              </w:rPr>
              <w:t xml:space="preserve">developed countries, </w:t>
            </w:r>
            <w:r w:rsidR="00F4743D">
              <w:rPr>
                <w:rFonts w:ascii="Garamond" w:hAnsi="Garamond" w:cs="Sylfaen"/>
                <w:sz w:val="22"/>
                <w:szCs w:val="22"/>
              </w:rPr>
              <w:t xml:space="preserve">the </w:t>
            </w:r>
            <w:r w:rsidR="00F4743D" w:rsidRPr="00625F58">
              <w:rPr>
                <w:rFonts w:ascii="Garamond" w:hAnsi="Garamond" w:cs="Sylfaen"/>
                <w:sz w:val="22"/>
                <w:szCs w:val="22"/>
              </w:rPr>
              <w:t>developing countries</w:t>
            </w:r>
            <w:r w:rsidR="00F4743D">
              <w:rPr>
                <w:rFonts w:ascii="Garamond" w:hAnsi="Garamond" w:cs="Sylfaen"/>
                <w:sz w:val="22"/>
                <w:szCs w:val="22"/>
              </w:rPr>
              <w:t>’</w:t>
            </w:r>
            <w:r w:rsidR="00F4743D" w:rsidRPr="00625F58">
              <w:rPr>
                <w:rFonts w:ascii="Garamond" w:hAnsi="Garamond" w:cs="Sylfaen"/>
                <w:sz w:val="22"/>
                <w:szCs w:val="22"/>
              </w:rPr>
              <w:t xml:space="preserve"> </w:t>
            </w:r>
            <w:r w:rsidR="00625F58" w:rsidRPr="00625F58">
              <w:rPr>
                <w:rFonts w:ascii="Garamond" w:hAnsi="Garamond" w:cs="Sylfaen"/>
                <w:sz w:val="22"/>
                <w:szCs w:val="22"/>
              </w:rPr>
              <w:t>risk premium</w:t>
            </w:r>
            <w:r w:rsidR="00625F58">
              <w:rPr>
                <w:rFonts w:ascii="Garamond" w:hAnsi="Garamond" w:cs="Sylfaen"/>
                <w:sz w:val="22"/>
                <w:szCs w:val="22"/>
              </w:rPr>
              <w:t>s</w:t>
            </w:r>
            <w:r w:rsidR="00625F58" w:rsidRPr="00625F58">
              <w:rPr>
                <w:rFonts w:ascii="Garamond" w:hAnsi="Garamond" w:cs="Sylfaen"/>
                <w:sz w:val="22"/>
                <w:szCs w:val="22"/>
              </w:rPr>
              <w:t xml:space="preserve"> will </w:t>
            </w:r>
            <w:r w:rsidR="00F4743D">
              <w:rPr>
                <w:rFonts w:ascii="Garamond" w:hAnsi="Garamond" w:cs="Sylfaen"/>
                <w:sz w:val="22"/>
                <w:szCs w:val="22"/>
              </w:rPr>
              <w:t xml:space="preserve">still be persisting at their currently low levels </w:t>
            </w:r>
            <w:r w:rsidR="00625F58" w:rsidRPr="00625F58">
              <w:rPr>
                <w:rFonts w:ascii="Garamond" w:hAnsi="Garamond" w:cs="Sylfaen"/>
                <w:sz w:val="22"/>
                <w:szCs w:val="22"/>
              </w:rPr>
              <w:t xml:space="preserve">and will then return to </w:t>
            </w:r>
            <w:r w:rsidR="00F4743D">
              <w:rPr>
                <w:rFonts w:ascii="Garamond" w:hAnsi="Garamond" w:cs="Sylfaen"/>
                <w:sz w:val="22"/>
                <w:szCs w:val="22"/>
              </w:rPr>
              <w:t xml:space="preserve">their </w:t>
            </w:r>
            <w:r w:rsidR="00625F58" w:rsidRPr="00625F58">
              <w:rPr>
                <w:rFonts w:ascii="Garamond" w:hAnsi="Garamond" w:cs="Sylfaen"/>
                <w:sz w:val="22"/>
                <w:szCs w:val="22"/>
              </w:rPr>
              <w:t xml:space="preserve">long-term </w:t>
            </w:r>
            <w:r w:rsidR="00F4743D">
              <w:rPr>
                <w:rFonts w:ascii="Garamond" w:hAnsi="Garamond" w:cs="Sylfaen"/>
                <w:sz w:val="22"/>
                <w:szCs w:val="22"/>
              </w:rPr>
              <w:t>equilibria</w:t>
            </w:r>
            <w:r w:rsidR="00625F58" w:rsidRPr="00625F58">
              <w:rPr>
                <w:rFonts w:ascii="Garamond" w:hAnsi="Garamond" w:cs="Sylfaen"/>
                <w:sz w:val="22"/>
                <w:szCs w:val="22"/>
              </w:rPr>
              <w:t>.</w:t>
            </w:r>
          </w:p>
        </w:tc>
      </w:tr>
      <w:tr w:rsidR="00F4743D" w:rsidRPr="00EE5F0F" w14:paraId="4E77BE58" w14:textId="77777777" w:rsidTr="004D4A0F">
        <w:trPr>
          <w:trHeight w:val="20"/>
        </w:trPr>
        <w:tc>
          <w:tcPr>
            <w:tcW w:w="1715" w:type="dxa"/>
            <w:vAlign w:val="center"/>
          </w:tcPr>
          <w:p w14:paraId="054F46B5" w14:textId="77777777" w:rsidR="00F4743D" w:rsidRPr="00EE5F0F" w:rsidRDefault="00F4743D" w:rsidP="00F4743D">
            <w:pPr>
              <w:spacing w:before="30" w:after="30"/>
              <w:rPr>
                <w:rFonts w:ascii="Garamond" w:eastAsia="Calibri" w:hAnsi="Garamond" w:cs="Sylfaen"/>
                <w:sz w:val="22"/>
                <w:szCs w:val="22"/>
              </w:rPr>
            </w:pPr>
            <w:r w:rsidRPr="00F4743D">
              <w:rPr>
                <w:rFonts w:ascii="Garamond" w:eastAsia="Calibri" w:hAnsi="Garamond" w:cs="Sylfaen"/>
                <w:sz w:val="22"/>
                <w:szCs w:val="22"/>
              </w:rPr>
              <w:t>I</w:t>
            </w:r>
            <w:r>
              <w:rPr>
                <w:rFonts w:ascii="Garamond" w:eastAsia="Calibri" w:hAnsi="Garamond" w:cs="Sylfaen"/>
                <w:sz w:val="22"/>
                <w:szCs w:val="22"/>
              </w:rPr>
              <w:t>mpact</w:t>
            </w:r>
            <w:r w:rsidRPr="00F4743D">
              <w:rPr>
                <w:rFonts w:ascii="Garamond" w:eastAsia="Calibri" w:hAnsi="Garamond" w:cs="Sylfaen"/>
                <w:sz w:val="22"/>
                <w:szCs w:val="22"/>
              </w:rPr>
              <w:t xml:space="preserve"> of tax administrati</w:t>
            </w:r>
            <w:r>
              <w:rPr>
                <w:rFonts w:ascii="Garamond" w:eastAsia="Calibri" w:hAnsi="Garamond" w:cs="Sylfaen"/>
                <w:sz w:val="22"/>
                <w:szCs w:val="22"/>
              </w:rPr>
              <w:t>on in the first quarter of 2019</w:t>
            </w:r>
          </w:p>
        </w:tc>
        <w:tc>
          <w:tcPr>
            <w:tcW w:w="4528" w:type="dxa"/>
            <w:vAlign w:val="center"/>
          </w:tcPr>
          <w:p w14:paraId="4D5845BA" w14:textId="77777777" w:rsidR="00F4743D" w:rsidRDefault="0010339C" w:rsidP="00064988">
            <w:pPr>
              <w:pStyle w:val="ListParagraph"/>
              <w:numPr>
                <w:ilvl w:val="0"/>
                <w:numId w:val="5"/>
              </w:numPr>
              <w:spacing w:before="30" w:after="30"/>
              <w:rPr>
                <w:rFonts w:ascii="Garamond" w:hAnsi="Garamond" w:cs="Sylfaen"/>
                <w:sz w:val="22"/>
                <w:szCs w:val="22"/>
              </w:rPr>
            </w:pPr>
            <w:r>
              <w:rPr>
                <w:rFonts w:ascii="Garamond" w:hAnsi="Garamond" w:cs="Sylfaen"/>
                <w:sz w:val="22"/>
                <w:szCs w:val="22"/>
              </w:rPr>
              <w:t>The aggregate supply and demand forecast</w:t>
            </w:r>
            <w:r w:rsidR="00064988">
              <w:rPr>
                <w:rFonts w:ascii="Garamond" w:hAnsi="Garamond" w:cs="Sylfaen"/>
                <w:sz w:val="22"/>
                <w:szCs w:val="22"/>
              </w:rPr>
              <w:t xml:space="preserve">s </w:t>
            </w:r>
            <w:r>
              <w:rPr>
                <w:rFonts w:ascii="Garamond" w:hAnsi="Garamond" w:cs="Sylfaen"/>
                <w:sz w:val="22"/>
                <w:szCs w:val="22"/>
              </w:rPr>
              <w:t xml:space="preserve">considered how </w:t>
            </w:r>
            <w:r w:rsidRPr="00F4743D">
              <w:rPr>
                <w:rFonts w:ascii="Garamond" w:hAnsi="Garamond" w:cs="Sylfaen"/>
                <w:sz w:val="22"/>
                <w:szCs w:val="22"/>
              </w:rPr>
              <w:t>SRC</w:t>
            </w:r>
            <w:r>
              <w:rPr>
                <w:rFonts w:ascii="Garamond" w:hAnsi="Garamond" w:cs="Sylfaen"/>
                <w:sz w:val="22"/>
                <w:szCs w:val="22"/>
              </w:rPr>
              <w:t>’</w:t>
            </w:r>
            <w:r w:rsidRPr="00F4743D">
              <w:rPr>
                <w:rFonts w:ascii="Garamond" w:hAnsi="Garamond" w:cs="Sylfaen"/>
                <w:sz w:val="22"/>
                <w:szCs w:val="22"/>
              </w:rPr>
              <w:t>s tax administration</w:t>
            </w:r>
            <w:r>
              <w:rPr>
                <w:rFonts w:ascii="Garamond" w:hAnsi="Garamond" w:cs="Sylfaen"/>
                <w:sz w:val="22"/>
                <w:szCs w:val="22"/>
              </w:rPr>
              <w:t xml:space="preserve"> ha</w:t>
            </w:r>
            <w:r w:rsidR="00064988">
              <w:rPr>
                <w:rFonts w:ascii="Garamond" w:hAnsi="Garamond" w:cs="Sylfaen"/>
                <w:sz w:val="22"/>
                <w:szCs w:val="22"/>
              </w:rPr>
              <w:t>s</w:t>
            </w:r>
            <w:r>
              <w:rPr>
                <w:rFonts w:ascii="Garamond" w:hAnsi="Garamond" w:cs="Sylfaen"/>
                <w:sz w:val="22"/>
                <w:szCs w:val="22"/>
              </w:rPr>
              <w:t xml:space="preserve"> affected performance indicators in </w:t>
            </w:r>
            <w:r w:rsidR="00F4743D" w:rsidRPr="00F4743D">
              <w:rPr>
                <w:rFonts w:ascii="Garamond" w:hAnsi="Garamond" w:cs="Sylfaen"/>
                <w:sz w:val="22"/>
                <w:szCs w:val="22"/>
              </w:rPr>
              <w:t xml:space="preserve">services (including trade) </w:t>
            </w:r>
            <w:r>
              <w:rPr>
                <w:rFonts w:ascii="Garamond" w:hAnsi="Garamond" w:cs="Sylfaen"/>
                <w:sz w:val="22"/>
                <w:szCs w:val="22"/>
              </w:rPr>
              <w:t>and consumption in January-February of 2019</w:t>
            </w:r>
            <w:r w:rsidR="00F4743D" w:rsidRPr="00F4743D">
              <w:rPr>
                <w:rFonts w:ascii="Garamond" w:hAnsi="Garamond" w:cs="Sylfaen"/>
                <w:sz w:val="22"/>
                <w:szCs w:val="22"/>
              </w:rPr>
              <w:t xml:space="preserve">, </w:t>
            </w:r>
            <w:r w:rsidR="00064988">
              <w:rPr>
                <w:rFonts w:ascii="Garamond" w:hAnsi="Garamond" w:cs="Sylfaen"/>
                <w:sz w:val="22"/>
                <w:szCs w:val="22"/>
              </w:rPr>
              <w:t xml:space="preserve">admitting </w:t>
            </w:r>
            <w:r>
              <w:rPr>
                <w:rFonts w:ascii="Garamond" w:hAnsi="Garamond" w:cs="Sylfaen"/>
                <w:sz w:val="22"/>
                <w:szCs w:val="22"/>
              </w:rPr>
              <w:t xml:space="preserve">that </w:t>
            </w:r>
            <w:r w:rsidR="00F4743D" w:rsidRPr="00F4743D">
              <w:rPr>
                <w:rFonts w:ascii="Garamond" w:hAnsi="Garamond" w:cs="Sylfaen"/>
                <w:sz w:val="22"/>
                <w:szCs w:val="22"/>
              </w:rPr>
              <w:t xml:space="preserve">it </w:t>
            </w:r>
            <w:r w:rsidR="00064988">
              <w:rPr>
                <w:rFonts w:ascii="Garamond" w:hAnsi="Garamond" w:cs="Sylfaen"/>
                <w:sz w:val="22"/>
                <w:szCs w:val="22"/>
              </w:rPr>
              <w:t xml:space="preserve">prompts the </w:t>
            </w:r>
            <w:r w:rsidR="00064988">
              <w:rPr>
                <w:rFonts w:ascii="Garamond" w:hAnsi="Garamond" w:cs="Sylfaen"/>
                <w:sz w:val="22"/>
                <w:szCs w:val="22"/>
              </w:rPr>
              <w:lastRenderedPageBreak/>
              <w:t xml:space="preserve">latter to go </w:t>
            </w:r>
            <w:r>
              <w:rPr>
                <w:rFonts w:ascii="Garamond" w:hAnsi="Garamond" w:cs="Sylfaen"/>
                <w:sz w:val="22"/>
                <w:szCs w:val="22"/>
              </w:rPr>
              <w:t>upward</w:t>
            </w:r>
            <w:r w:rsidR="00064988">
              <w:rPr>
                <w:rFonts w:ascii="Garamond" w:hAnsi="Garamond" w:cs="Sylfaen"/>
                <w:sz w:val="22"/>
                <w:szCs w:val="22"/>
              </w:rPr>
              <w:t xml:space="preserve">, which is still insignificant in the </w:t>
            </w:r>
            <w:r w:rsidR="00064988" w:rsidRPr="00F4743D">
              <w:rPr>
                <w:rFonts w:ascii="Garamond" w:hAnsi="Garamond" w:cs="Sylfaen"/>
                <w:sz w:val="22"/>
                <w:szCs w:val="22"/>
              </w:rPr>
              <w:t>inflationary pressures</w:t>
            </w:r>
            <w:r w:rsidR="00064988">
              <w:rPr>
                <w:rFonts w:ascii="Garamond" w:hAnsi="Garamond" w:cs="Sylfaen"/>
                <w:sz w:val="22"/>
                <w:szCs w:val="22"/>
              </w:rPr>
              <w:t xml:space="preserve"> point of view</w:t>
            </w:r>
            <w:r w:rsidR="00F4743D" w:rsidRPr="00F4743D">
              <w:rPr>
                <w:rFonts w:ascii="Garamond" w:hAnsi="Garamond" w:cs="Sylfaen"/>
                <w:sz w:val="22"/>
                <w:szCs w:val="22"/>
              </w:rPr>
              <w:t>.</w:t>
            </w:r>
          </w:p>
        </w:tc>
      </w:tr>
      <w:tr w:rsidR="0078528B" w:rsidRPr="00EE5F0F" w14:paraId="2232C702" w14:textId="77777777" w:rsidTr="004D4A0F">
        <w:trPr>
          <w:trHeight w:val="20"/>
        </w:trPr>
        <w:tc>
          <w:tcPr>
            <w:tcW w:w="1715" w:type="dxa"/>
            <w:vAlign w:val="center"/>
          </w:tcPr>
          <w:p w14:paraId="62CE24A3" w14:textId="77777777" w:rsidR="0078528B" w:rsidRDefault="0078528B" w:rsidP="00E16832">
            <w:pPr>
              <w:spacing w:before="40" w:after="40"/>
              <w:rPr>
                <w:rFonts w:ascii="Garamond" w:eastAsia="Calibri" w:hAnsi="Garamond" w:cs="GHEA Grapalat"/>
                <w:sz w:val="22"/>
                <w:szCs w:val="22"/>
              </w:rPr>
            </w:pPr>
            <w:r>
              <w:rPr>
                <w:rFonts w:ascii="Garamond" w:eastAsia="Calibri" w:hAnsi="Garamond" w:cs="GHEA Grapalat"/>
                <w:sz w:val="22"/>
                <w:szCs w:val="22"/>
              </w:rPr>
              <w:lastRenderedPageBreak/>
              <w:t>Private investment grows</w:t>
            </w:r>
            <w:r w:rsidR="00890AB1">
              <w:rPr>
                <w:rFonts w:ascii="Garamond" w:eastAsia="Calibri" w:hAnsi="Garamond" w:cs="GHEA Grapalat"/>
                <w:sz w:val="22"/>
                <w:szCs w:val="22"/>
              </w:rPr>
              <w:t xml:space="preserve"> moderately </w:t>
            </w:r>
          </w:p>
        </w:tc>
        <w:tc>
          <w:tcPr>
            <w:tcW w:w="4528" w:type="dxa"/>
            <w:vAlign w:val="center"/>
          </w:tcPr>
          <w:p w14:paraId="196065EC" w14:textId="539C3916" w:rsidR="0078528B" w:rsidRDefault="00142427" w:rsidP="00F007FD">
            <w:pPr>
              <w:pStyle w:val="ListParagraph"/>
              <w:numPr>
                <w:ilvl w:val="0"/>
                <w:numId w:val="5"/>
              </w:numPr>
              <w:spacing w:before="30" w:after="30"/>
              <w:rPr>
                <w:rFonts w:ascii="Garamond" w:hAnsi="Garamond" w:cs="Sylfaen"/>
                <w:sz w:val="22"/>
                <w:szCs w:val="22"/>
              </w:rPr>
            </w:pPr>
            <w:r>
              <w:rPr>
                <w:rFonts w:ascii="Garamond" w:hAnsi="Garamond" w:cs="Sylfaen"/>
                <w:sz w:val="22"/>
                <w:szCs w:val="22"/>
              </w:rPr>
              <w:t xml:space="preserve">A large number of </w:t>
            </w:r>
            <w:proofErr w:type="gramStart"/>
            <w:r w:rsidR="00890AB1">
              <w:rPr>
                <w:rFonts w:ascii="Garamond" w:hAnsi="Garamond"/>
                <w:sz w:val="22"/>
                <w:szCs w:val="22"/>
              </w:rPr>
              <w:t>tangible</w:t>
            </w:r>
            <w:proofErr w:type="gramEnd"/>
            <w:r w:rsidR="00890AB1">
              <w:rPr>
                <w:rFonts w:ascii="Garamond" w:hAnsi="Garamond"/>
                <w:sz w:val="22"/>
                <w:szCs w:val="22"/>
              </w:rPr>
              <w:t xml:space="preserve"> working capital inventories</w:t>
            </w:r>
            <w:r w:rsidR="00890AB1" w:rsidRPr="0078528B">
              <w:rPr>
                <w:rFonts w:ascii="Garamond" w:hAnsi="Garamond" w:cs="Sylfaen"/>
                <w:sz w:val="22"/>
                <w:szCs w:val="22"/>
              </w:rPr>
              <w:t xml:space="preserve"> </w:t>
            </w:r>
            <w:r>
              <w:rPr>
                <w:rFonts w:ascii="Garamond" w:hAnsi="Garamond" w:cs="Sylfaen"/>
                <w:sz w:val="22"/>
                <w:szCs w:val="22"/>
              </w:rPr>
              <w:t xml:space="preserve">was observable during 2018, with a growth rate </w:t>
            </w:r>
            <w:r w:rsidR="00F007FD">
              <w:rPr>
                <w:rFonts w:ascii="Garamond" w:hAnsi="Garamond" w:cs="Sylfaen"/>
                <w:sz w:val="22"/>
                <w:szCs w:val="22"/>
              </w:rPr>
              <w:t xml:space="preserve">of </w:t>
            </w:r>
            <w:r>
              <w:rPr>
                <w:rFonts w:ascii="Garamond" w:hAnsi="Garamond" w:cs="Sylfaen"/>
                <w:sz w:val="22"/>
                <w:szCs w:val="22"/>
              </w:rPr>
              <w:t>their change slowed down by the end of the year. There is expectation that inventories will not diminish much</w:t>
            </w:r>
            <w:r w:rsidRPr="00142427">
              <w:rPr>
                <w:rFonts w:ascii="Garamond" w:hAnsi="Garamond" w:cs="Sylfaen"/>
                <w:sz w:val="22"/>
                <w:szCs w:val="22"/>
              </w:rPr>
              <w:t xml:space="preserve">, and their change </w:t>
            </w:r>
            <w:r>
              <w:rPr>
                <w:rFonts w:ascii="Garamond" w:hAnsi="Garamond" w:cs="Sylfaen"/>
                <w:sz w:val="22"/>
                <w:szCs w:val="22"/>
              </w:rPr>
              <w:t xml:space="preserve">growth rate </w:t>
            </w:r>
            <w:r w:rsidRPr="00142427">
              <w:rPr>
                <w:rFonts w:ascii="Garamond" w:hAnsi="Garamond" w:cs="Sylfaen"/>
                <w:sz w:val="22"/>
                <w:szCs w:val="22"/>
              </w:rPr>
              <w:t>in 2019 will be close to historical average.</w:t>
            </w:r>
            <w:r>
              <w:rPr>
                <w:rFonts w:ascii="Garamond" w:hAnsi="Garamond" w:cs="Sylfaen"/>
                <w:sz w:val="22"/>
                <w:szCs w:val="22"/>
              </w:rPr>
              <w:t xml:space="preserve">     </w:t>
            </w:r>
          </w:p>
        </w:tc>
      </w:tr>
      <w:tr w:rsidR="004D598B" w:rsidRPr="00EE5F0F" w14:paraId="167B43A2" w14:textId="77777777" w:rsidTr="004D4A0F">
        <w:trPr>
          <w:trHeight w:val="20"/>
        </w:trPr>
        <w:tc>
          <w:tcPr>
            <w:tcW w:w="1715" w:type="dxa"/>
            <w:vAlign w:val="center"/>
          </w:tcPr>
          <w:p w14:paraId="11095B04" w14:textId="77777777" w:rsidR="004D598B" w:rsidRDefault="00E12EBF" w:rsidP="00E12EBF">
            <w:pPr>
              <w:spacing w:before="40" w:after="40"/>
              <w:rPr>
                <w:rFonts w:ascii="Garamond" w:eastAsia="Calibri" w:hAnsi="Garamond" w:cs="GHEA Grapalat"/>
                <w:sz w:val="22"/>
                <w:szCs w:val="22"/>
              </w:rPr>
            </w:pPr>
            <w:r>
              <w:rPr>
                <w:rFonts w:ascii="Garamond" w:eastAsia="Calibri" w:hAnsi="Garamond" w:cs="GHEA Grapalat"/>
                <w:sz w:val="22"/>
                <w:szCs w:val="22"/>
              </w:rPr>
              <w:t>There are s</w:t>
            </w:r>
            <w:r w:rsidR="004D598B">
              <w:rPr>
                <w:rFonts w:ascii="Garamond" w:eastAsia="Calibri" w:hAnsi="Garamond" w:cs="GHEA Grapalat"/>
                <w:sz w:val="22"/>
                <w:szCs w:val="22"/>
              </w:rPr>
              <w:t>upply-push inflation shocks</w:t>
            </w:r>
          </w:p>
        </w:tc>
        <w:tc>
          <w:tcPr>
            <w:tcW w:w="4528" w:type="dxa"/>
            <w:vAlign w:val="center"/>
          </w:tcPr>
          <w:p w14:paraId="2EF56047" w14:textId="77777777" w:rsidR="004D598B" w:rsidRPr="0078528B" w:rsidRDefault="00BE2729" w:rsidP="00BE2729">
            <w:pPr>
              <w:pStyle w:val="ListParagraph"/>
              <w:numPr>
                <w:ilvl w:val="0"/>
                <w:numId w:val="5"/>
              </w:numPr>
              <w:spacing w:before="30" w:after="30"/>
              <w:rPr>
                <w:rFonts w:ascii="Garamond" w:hAnsi="Garamond" w:cs="Sylfaen"/>
                <w:sz w:val="22"/>
                <w:szCs w:val="22"/>
              </w:rPr>
            </w:pPr>
            <w:r>
              <w:rPr>
                <w:rFonts w:ascii="Garamond" w:hAnsi="Garamond" w:cs="Sylfaen"/>
                <w:sz w:val="22"/>
                <w:szCs w:val="22"/>
              </w:rPr>
              <w:t>E</w:t>
            </w:r>
            <w:r w:rsidR="00691078">
              <w:rPr>
                <w:rFonts w:ascii="Garamond" w:hAnsi="Garamond" w:cs="Sylfaen"/>
                <w:sz w:val="22"/>
                <w:szCs w:val="22"/>
              </w:rPr>
              <w:t xml:space="preserve">ffects of </w:t>
            </w:r>
            <w:r w:rsidR="004D598B">
              <w:rPr>
                <w:rFonts w:ascii="Garamond" w:hAnsi="Garamond" w:cs="Sylfaen"/>
                <w:sz w:val="22"/>
                <w:szCs w:val="22"/>
              </w:rPr>
              <w:t xml:space="preserve">supply-push </w:t>
            </w:r>
            <w:r w:rsidR="004D598B" w:rsidRPr="004D598B">
              <w:rPr>
                <w:rFonts w:ascii="Garamond" w:hAnsi="Garamond" w:cs="Sylfaen"/>
                <w:sz w:val="22"/>
                <w:szCs w:val="22"/>
              </w:rPr>
              <w:t xml:space="preserve">shocks on some products </w:t>
            </w:r>
            <w:r w:rsidR="00691078">
              <w:rPr>
                <w:rFonts w:ascii="Garamond" w:hAnsi="Garamond" w:cs="Sylfaen"/>
                <w:sz w:val="22"/>
                <w:szCs w:val="22"/>
              </w:rPr>
              <w:t>were</w:t>
            </w:r>
            <w:r w:rsidR="004D598B" w:rsidRPr="004D598B">
              <w:rPr>
                <w:rFonts w:ascii="Garamond" w:hAnsi="Garamond" w:cs="Sylfaen"/>
                <w:sz w:val="22"/>
                <w:szCs w:val="22"/>
              </w:rPr>
              <w:t xml:space="preserve"> </w:t>
            </w:r>
            <w:r>
              <w:rPr>
                <w:rFonts w:ascii="Garamond" w:hAnsi="Garamond" w:cs="Sylfaen"/>
                <w:sz w:val="22"/>
                <w:szCs w:val="22"/>
              </w:rPr>
              <w:t xml:space="preserve">noticeable in the first quarter of 2019 </w:t>
            </w:r>
            <w:r w:rsidRPr="00BE2729">
              <w:rPr>
                <w:rFonts w:ascii="Garamond" w:hAnsi="Garamond" w:cs="Sylfaen"/>
                <w:sz w:val="22"/>
                <w:szCs w:val="22"/>
              </w:rPr>
              <w:t>due to changes in the excise tax and cust</w:t>
            </w:r>
            <w:r>
              <w:rPr>
                <w:rFonts w:ascii="Garamond" w:hAnsi="Garamond" w:cs="Sylfaen"/>
                <w:sz w:val="22"/>
                <w:szCs w:val="22"/>
              </w:rPr>
              <w:t xml:space="preserve">oms duties. The aforementioned </w:t>
            </w:r>
            <w:r w:rsidRPr="00BE2729">
              <w:rPr>
                <w:rFonts w:ascii="Garamond" w:hAnsi="Garamond" w:cs="Sylfaen"/>
                <w:sz w:val="22"/>
                <w:szCs w:val="22"/>
              </w:rPr>
              <w:t xml:space="preserve">impact on the 12-month inflation is </w:t>
            </w:r>
            <w:r>
              <w:rPr>
                <w:rFonts w:ascii="Garamond" w:hAnsi="Garamond" w:cs="Sylfaen"/>
                <w:sz w:val="22"/>
                <w:szCs w:val="22"/>
              </w:rPr>
              <w:t xml:space="preserve">estimated at </w:t>
            </w:r>
            <w:r w:rsidRPr="00BE2729">
              <w:rPr>
                <w:rFonts w:ascii="Garamond" w:hAnsi="Garamond" w:cs="Sylfaen"/>
                <w:sz w:val="22"/>
                <w:szCs w:val="22"/>
              </w:rPr>
              <w:t>about 0.2 p</w:t>
            </w:r>
            <w:r>
              <w:rPr>
                <w:rFonts w:ascii="Garamond" w:hAnsi="Garamond" w:cs="Sylfaen"/>
                <w:sz w:val="22"/>
                <w:szCs w:val="22"/>
              </w:rPr>
              <w:t xml:space="preserve">p. </w:t>
            </w:r>
          </w:p>
        </w:tc>
      </w:tr>
      <w:tr w:rsidR="002F7CBD" w:rsidRPr="00EE5F0F" w14:paraId="56F400EA" w14:textId="77777777" w:rsidTr="004D4A0F">
        <w:trPr>
          <w:trHeight w:val="20"/>
        </w:trPr>
        <w:tc>
          <w:tcPr>
            <w:tcW w:w="1715" w:type="dxa"/>
            <w:vAlign w:val="center"/>
          </w:tcPr>
          <w:p w14:paraId="11DE6E67" w14:textId="759E5B28" w:rsidR="002F7CBD" w:rsidRPr="00EE5F0F" w:rsidRDefault="002F7CBD" w:rsidP="002F7CBD">
            <w:pPr>
              <w:spacing w:before="40" w:after="40"/>
              <w:rPr>
                <w:rFonts w:ascii="Garamond" w:eastAsia="Calibri" w:hAnsi="Garamond" w:cs="GHEA Grapalat"/>
                <w:sz w:val="22"/>
                <w:szCs w:val="22"/>
                <w:lang w:val="hy-AM"/>
              </w:rPr>
            </w:pPr>
          </w:p>
        </w:tc>
        <w:tc>
          <w:tcPr>
            <w:tcW w:w="4528" w:type="dxa"/>
            <w:vAlign w:val="center"/>
          </w:tcPr>
          <w:p w14:paraId="73D1E967" w14:textId="018BD362" w:rsidR="00516832" w:rsidRPr="008976F5" w:rsidRDefault="00516832" w:rsidP="00C704DA">
            <w:pPr>
              <w:pStyle w:val="ListParagraph"/>
              <w:numPr>
                <w:ilvl w:val="0"/>
                <w:numId w:val="5"/>
              </w:numPr>
              <w:spacing w:before="30" w:after="30"/>
              <w:rPr>
                <w:rFonts w:ascii="Garamond" w:hAnsi="Garamond" w:cs="Sylfaen"/>
                <w:sz w:val="22"/>
                <w:szCs w:val="22"/>
                <w:highlight w:val="yellow"/>
              </w:rPr>
            </w:pPr>
          </w:p>
        </w:tc>
      </w:tr>
      <w:tr w:rsidR="00E218FC" w:rsidRPr="00EE5F0F" w14:paraId="48B47561" w14:textId="77777777" w:rsidTr="004D4A0F">
        <w:trPr>
          <w:trHeight w:val="20"/>
        </w:trPr>
        <w:tc>
          <w:tcPr>
            <w:tcW w:w="1715" w:type="dxa"/>
            <w:vAlign w:val="center"/>
          </w:tcPr>
          <w:p w14:paraId="69D3EB72" w14:textId="77777777" w:rsidR="00E218FC" w:rsidRPr="008976F5" w:rsidRDefault="00E218FC" w:rsidP="00D3107F">
            <w:pPr>
              <w:spacing w:before="40" w:after="40"/>
              <w:rPr>
                <w:rFonts w:ascii="Garamond" w:hAnsi="Garamond" w:cs="Sylfaen"/>
                <w:color w:val="000000" w:themeColor="text1"/>
                <w:sz w:val="22"/>
                <w:szCs w:val="22"/>
              </w:rPr>
            </w:pPr>
            <w:r w:rsidRPr="008976F5">
              <w:rPr>
                <w:rFonts w:ascii="Garamond" w:hAnsi="Garamond" w:cs="Sylfaen"/>
                <w:color w:val="000000" w:themeColor="text1"/>
                <w:sz w:val="22"/>
                <w:szCs w:val="22"/>
              </w:rPr>
              <w:t xml:space="preserve">Action </w:t>
            </w:r>
            <w:r w:rsidR="00C704DA" w:rsidRPr="008976F5">
              <w:rPr>
                <w:rFonts w:ascii="Garamond" w:hAnsi="Garamond" w:cs="Sylfaen"/>
                <w:color w:val="000000" w:themeColor="text1"/>
                <w:sz w:val="22"/>
                <w:szCs w:val="22"/>
              </w:rPr>
              <w:t xml:space="preserve">that fosters </w:t>
            </w:r>
            <w:r w:rsidRPr="008976F5">
              <w:rPr>
                <w:rFonts w:ascii="Garamond" w:hAnsi="Garamond" w:cs="Sylfaen"/>
                <w:color w:val="000000" w:themeColor="text1"/>
                <w:sz w:val="22"/>
                <w:szCs w:val="22"/>
              </w:rPr>
              <w:t>the growth of</w:t>
            </w:r>
            <w:r w:rsidR="0084028B" w:rsidRPr="008976F5">
              <w:rPr>
                <w:rFonts w:ascii="Garamond" w:hAnsi="Garamond" w:cs="Sylfaen"/>
                <w:color w:val="000000" w:themeColor="text1"/>
                <w:sz w:val="22"/>
                <w:szCs w:val="22"/>
              </w:rPr>
              <w:t xml:space="preserve"> potential </w:t>
            </w:r>
            <w:r w:rsidRPr="008976F5">
              <w:rPr>
                <w:rFonts w:ascii="Garamond" w:hAnsi="Garamond" w:cs="Sylfaen"/>
                <w:color w:val="000000" w:themeColor="text1"/>
                <w:sz w:val="22"/>
                <w:szCs w:val="22"/>
              </w:rPr>
              <w:t>GDP</w:t>
            </w:r>
          </w:p>
        </w:tc>
        <w:tc>
          <w:tcPr>
            <w:tcW w:w="4528" w:type="dxa"/>
            <w:vAlign w:val="center"/>
          </w:tcPr>
          <w:p w14:paraId="01FC5779" w14:textId="77777777" w:rsidR="00E218FC" w:rsidRPr="008976F5" w:rsidRDefault="00BE2729" w:rsidP="00BE2729">
            <w:pPr>
              <w:pStyle w:val="ListParagraph"/>
              <w:numPr>
                <w:ilvl w:val="0"/>
                <w:numId w:val="5"/>
              </w:numPr>
              <w:spacing w:before="30" w:after="30"/>
              <w:rPr>
                <w:rFonts w:ascii="Garamond" w:hAnsi="Garamond" w:cs="Sylfaen"/>
                <w:color w:val="000000" w:themeColor="text1"/>
                <w:sz w:val="22"/>
                <w:szCs w:val="22"/>
              </w:rPr>
            </w:pPr>
            <w:r w:rsidRPr="008976F5">
              <w:rPr>
                <w:rFonts w:ascii="Garamond" w:hAnsi="Garamond" w:cs="Sylfaen"/>
                <w:color w:val="000000" w:themeColor="text1"/>
                <w:sz w:val="22"/>
                <w:szCs w:val="22"/>
              </w:rPr>
              <w:t>The fiscal policy’s impact on aggregate demand is estimated to be 0.4 pp contractionary in 2019.</w:t>
            </w:r>
          </w:p>
        </w:tc>
      </w:tr>
      <w:tr w:rsidR="00BE2729" w:rsidRPr="00EE5F0F" w14:paraId="3629451B" w14:textId="77777777" w:rsidTr="004D4A0F">
        <w:trPr>
          <w:trHeight w:val="20"/>
        </w:trPr>
        <w:tc>
          <w:tcPr>
            <w:tcW w:w="1715" w:type="dxa"/>
            <w:vAlign w:val="center"/>
          </w:tcPr>
          <w:p w14:paraId="4E07DB76" w14:textId="77777777" w:rsidR="00BE2729" w:rsidRPr="00EE5F0F" w:rsidRDefault="00BE2729" w:rsidP="00BE2729">
            <w:pPr>
              <w:spacing w:before="40" w:after="40"/>
              <w:rPr>
                <w:rFonts w:ascii="Garamond" w:eastAsia="Calibri" w:hAnsi="Garamond" w:cs="Sylfaen"/>
                <w:sz w:val="22"/>
                <w:szCs w:val="22"/>
              </w:rPr>
            </w:pPr>
            <w:r w:rsidRPr="00BE2729">
              <w:rPr>
                <w:rFonts w:ascii="Garamond" w:eastAsia="Calibri" w:hAnsi="Garamond" w:cs="Sylfaen"/>
                <w:sz w:val="22"/>
                <w:szCs w:val="22"/>
              </w:rPr>
              <w:t>Measures</w:t>
            </w:r>
            <w:r>
              <w:rPr>
                <w:rFonts w:ascii="Garamond" w:eastAsia="Calibri" w:hAnsi="Garamond" w:cs="Sylfaen"/>
                <w:sz w:val="22"/>
                <w:szCs w:val="22"/>
              </w:rPr>
              <w:t xml:space="preserve"> to</w:t>
            </w:r>
            <w:r w:rsidRPr="00BE2729">
              <w:rPr>
                <w:rFonts w:ascii="Garamond" w:eastAsia="Calibri" w:hAnsi="Garamond" w:cs="Sylfaen"/>
                <w:sz w:val="22"/>
                <w:szCs w:val="22"/>
              </w:rPr>
              <w:t xml:space="preserve"> </w:t>
            </w:r>
            <w:r>
              <w:rPr>
                <w:rFonts w:ascii="Garamond" w:eastAsia="Calibri" w:hAnsi="Garamond" w:cs="Sylfaen"/>
                <w:sz w:val="22"/>
                <w:szCs w:val="22"/>
              </w:rPr>
              <w:t xml:space="preserve">bolstering </w:t>
            </w:r>
            <w:r w:rsidRPr="00BE2729">
              <w:rPr>
                <w:rFonts w:ascii="Garamond" w:eastAsia="Calibri" w:hAnsi="Garamond" w:cs="Sylfaen"/>
                <w:sz w:val="22"/>
                <w:szCs w:val="22"/>
              </w:rPr>
              <w:t>p</w:t>
            </w:r>
            <w:r>
              <w:rPr>
                <w:rFonts w:ascii="Garamond" w:eastAsia="Calibri" w:hAnsi="Garamond" w:cs="Sylfaen"/>
                <w:sz w:val="22"/>
                <w:szCs w:val="22"/>
              </w:rPr>
              <w:t xml:space="preserve">otential </w:t>
            </w:r>
            <w:r w:rsidRPr="00BE2729">
              <w:rPr>
                <w:rFonts w:ascii="Garamond" w:eastAsia="Calibri" w:hAnsi="Garamond" w:cs="Sylfaen"/>
                <w:sz w:val="22"/>
                <w:szCs w:val="22"/>
              </w:rPr>
              <w:t xml:space="preserve">GDP </w:t>
            </w:r>
            <w:r>
              <w:rPr>
                <w:rFonts w:ascii="Garamond" w:eastAsia="Calibri" w:hAnsi="Garamond" w:cs="Sylfaen"/>
                <w:sz w:val="22"/>
                <w:szCs w:val="22"/>
              </w:rPr>
              <w:t>growth</w:t>
            </w:r>
          </w:p>
        </w:tc>
        <w:tc>
          <w:tcPr>
            <w:tcW w:w="4528" w:type="dxa"/>
            <w:vAlign w:val="center"/>
          </w:tcPr>
          <w:p w14:paraId="1E7B2AD1" w14:textId="77777777" w:rsidR="00BE2729" w:rsidRDefault="003A4930" w:rsidP="003A4930">
            <w:pPr>
              <w:pStyle w:val="ListParagraph"/>
              <w:numPr>
                <w:ilvl w:val="0"/>
                <w:numId w:val="5"/>
              </w:numPr>
              <w:spacing w:before="30" w:after="30"/>
              <w:rPr>
                <w:rFonts w:ascii="Garamond" w:hAnsi="Garamond" w:cs="Sylfaen"/>
                <w:color w:val="000000" w:themeColor="text1"/>
                <w:sz w:val="22"/>
                <w:szCs w:val="22"/>
              </w:rPr>
            </w:pPr>
            <w:r>
              <w:rPr>
                <w:rFonts w:ascii="Garamond" w:hAnsi="Garamond" w:cs="Sylfaen"/>
                <w:color w:val="000000" w:themeColor="text1"/>
                <w:sz w:val="22"/>
                <w:szCs w:val="22"/>
              </w:rPr>
              <w:t xml:space="preserve">Armenia’s </w:t>
            </w:r>
            <w:r w:rsidRPr="003A4930">
              <w:rPr>
                <w:rFonts w:ascii="Garamond" w:hAnsi="Garamond" w:cs="Sylfaen"/>
                <w:color w:val="000000" w:themeColor="text1"/>
                <w:sz w:val="22"/>
                <w:szCs w:val="22"/>
              </w:rPr>
              <w:t xml:space="preserve">GDP potential will be </w:t>
            </w:r>
            <w:r>
              <w:rPr>
                <w:rFonts w:ascii="Garamond" w:hAnsi="Garamond" w:cs="Sylfaen"/>
                <w:color w:val="000000" w:themeColor="text1"/>
                <w:sz w:val="22"/>
                <w:szCs w:val="22"/>
              </w:rPr>
              <w:t xml:space="preserve">mainly discernable by increasing output capacities for both goods and services by way of continued </w:t>
            </w:r>
            <w:r w:rsidRPr="003A4930">
              <w:rPr>
                <w:rFonts w:ascii="Garamond" w:hAnsi="Garamond" w:cs="Sylfaen"/>
                <w:color w:val="000000" w:themeColor="text1"/>
                <w:sz w:val="22"/>
                <w:szCs w:val="22"/>
              </w:rPr>
              <w:t xml:space="preserve">growth of </w:t>
            </w:r>
            <w:r>
              <w:rPr>
                <w:rFonts w:ascii="Garamond" w:hAnsi="Garamond" w:cs="Sylfaen"/>
                <w:color w:val="000000" w:themeColor="text1"/>
                <w:sz w:val="22"/>
                <w:szCs w:val="22"/>
              </w:rPr>
              <w:t xml:space="preserve">private investment in tradable sector of the economy, ensuring an annual 4.5-5.0% </w:t>
            </w:r>
            <w:r w:rsidRPr="003A4930">
              <w:rPr>
                <w:rFonts w:ascii="Garamond" w:hAnsi="Garamond" w:cs="Sylfaen"/>
                <w:color w:val="000000" w:themeColor="text1"/>
                <w:sz w:val="22"/>
                <w:szCs w:val="22"/>
              </w:rPr>
              <w:t>growth in the long-term.</w:t>
            </w:r>
          </w:p>
          <w:p w14:paraId="76264B72" w14:textId="77777777" w:rsidR="003A4930" w:rsidRDefault="003A4930" w:rsidP="00C86E56">
            <w:pPr>
              <w:pStyle w:val="ListParagraph"/>
              <w:numPr>
                <w:ilvl w:val="0"/>
                <w:numId w:val="5"/>
              </w:numPr>
              <w:spacing w:before="30" w:after="30"/>
              <w:rPr>
                <w:rFonts w:ascii="Garamond" w:hAnsi="Garamond" w:cs="Sylfaen"/>
                <w:color w:val="000000" w:themeColor="text1"/>
                <w:sz w:val="22"/>
                <w:szCs w:val="22"/>
              </w:rPr>
            </w:pPr>
            <w:r w:rsidRPr="003A4930">
              <w:rPr>
                <w:rFonts w:ascii="Garamond" w:hAnsi="Garamond" w:cs="Sylfaen"/>
                <w:color w:val="000000" w:themeColor="text1"/>
                <w:sz w:val="22"/>
                <w:szCs w:val="22"/>
              </w:rPr>
              <w:t>The</w:t>
            </w:r>
            <w:r>
              <w:rPr>
                <w:rFonts w:ascii="Garamond" w:hAnsi="Garamond" w:cs="Sylfaen"/>
                <w:color w:val="000000" w:themeColor="text1"/>
                <w:sz w:val="22"/>
                <w:szCs w:val="22"/>
              </w:rPr>
              <w:t xml:space="preserve"> monetary policy s</w:t>
            </w:r>
            <w:r w:rsidRPr="003A4930">
              <w:rPr>
                <w:rFonts w:ascii="Garamond" w:hAnsi="Garamond" w:cs="Sylfaen"/>
                <w:color w:val="000000" w:themeColor="text1"/>
                <w:sz w:val="22"/>
                <w:szCs w:val="22"/>
              </w:rPr>
              <w:t>cenario d</w:t>
            </w:r>
            <w:r>
              <w:rPr>
                <w:rFonts w:ascii="Garamond" w:hAnsi="Garamond" w:cs="Sylfaen"/>
                <w:color w:val="000000" w:themeColor="text1"/>
                <w:sz w:val="22"/>
                <w:szCs w:val="22"/>
              </w:rPr>
              <w:t xml:space="preserve">id not consider </w:t>
            </w:r>
            <w:r w:rsidRPr="003A4930">
              <w:rPr>
                <w:rFonts w:ascii="Garamond" w:hAnsi="Garamond" w:cs="Sylfaen"/>
                <w:color w:val="000000" w:themeColor="text1"/>
                <w:sz w:val="22"/>
                <w:szCs w:val="22"/>
              </w:rPr>
              <w:t>the Am</w:t>
            </w:r>
            <w:r w:rsidR="00124193">
              <w:rPr>
                <w:rFonts w:ascii="Garamond" w:hAnsi="Garamond" w:cs="Sylfaen"/>
                <w:color w:val="000000" w:themeColor="text1"/>
                <w:sz w:val="22"/>
                <w:szCs w:val="22"/>
              </w:rPr>
              <w:t>o</w:t>
            </w:r>
            <w:r w:rsidRPr="003A4930">
              <w:rPr>
                <w:rFonts w:ascii="Garamond" w:hAnsi="Garamond" w:cs="Sylfaen"/>
                <w:color w:val="000000" w:themeColor="text1"/>
                <w:sz w:val="22"/>
                <w:szCs w:val="22"/>
              </w:rPr>
              <w:t>ulsar mine activity</w:t>
            </w:r>
            <w:r w:rsidR="00C86E56">
              <w:rPr>
                <w:rFonts w:ascii="Garamond" w:hAnsi="Garamond" w:cs="Sylfaen"/>
                <w:color w:val="000000" w:themeColor="text1"/>
                <w:sz w:val="22"/>
                <w:szCs w:val="22"/>
              </w:rPr>
              <w:t>;</w:t>
            </w:r>
            <w:r w:rsidRPr="003A4930">
              <w:rPr>
                <w:rFonts w:ascii="Garamond" w:hAnsi="Garamond" w:cs="Sylfaen"/>
                <w:color w:val="000000" w:themeColor="text1"/>
                <w:sz w:val="22"/>
                <w:szCs w:val="22"/>
              </w:rPr>
              <w:t xml:space="preserve"> a</w:t>
            </w:r>
            <w:r w:rsidR="00C86E56">
              <w:rPr>
                <w:rFonts w:ascii="Garamond" w:hAnsi="Garamond" w:cs="Sylfaen"/>
                <w:color w:val="000000" w:themeColor="text1"/>
                <w:sz w:val="22"/>
                <w:szCs w:val="22"/>
              </w:rPr>
              <w:t>s to t</w:t>
            </w:r>
            <w:r w:rsidRPr="003A4930">
              <w:rPr>
                <w:rFonts w:ascii="Garamond" w:hAnsi="Garamond" w:cs="Sylfaen"/>
                <w:color w:val="000000" w:themeColor="text1"/>
                <w:sz w:val="22"/>
                <w:szCs w:val="22"/>
              </w:rPr>
              <w:t>he Alaverdi copper smelter</w:t>
            </w:r>
            <w:r w:rsidR="00C86E56">
              <w:rPr>
                <w:rFonts w:ascii="Garamond" w:hAnsi="Garamond" w:cs="Sylfaen"/>
                <w:color w:val="000000" w:themeColor="text1"/>
                <w:sz w:val="22"/>
                <w:szCs w:val="22"/>
              </w:rPr>
              <w:t xml:space="preserve">, its operating is supposed to resume </w:t>
            </w:r>
            <w:r w:rsidRPr="003A4930">
              <w:rPr>
                <w:rFonts w:ascii="Garamond" w:hAnsi="Garamond" w:cs="Sylfaen"/>
                <w:color w:val="000000" w:themeColor="text1"/>
                <w:sz w:val="22"/>
                <w:szCs w:val="22"/>
              </w:rPr>
              <w:t>in the second half of 2019.</w:t>
            </w:r>
          </w:p>
        </w:tc>
      </w:tr>
    </w:tbl>
    <w:p w14:paraId="684CFDD7" w14:textId="77777777" w:rsidR="00E218FC" w:rsidRDefault="00E218FC" w:rsidP="005C6536">
      <w:pPr>
        <w:autoSpaceDE w:val="0"/>
        <w:autoSpaceDN w:val="0"/>
        <w:adjustRightInd w:val="0"/>
        <w:spacing w:after="120" w:line="360" w:lineRule="auto"/>
        <w:jc w:val="both"/>
        <w:rPr>
          <w:rFonts w:ascii="Garamond" w:hAnsi="Garamond"/>
          <w:sz w:val="22"/>
          <w:szCs w:val="22"/>
        </w:rPr>
      </w:pPr>
    </w:p>
    <w:p w14:paraId="6CB3038F" w14:textId="77777777" w:rsidR="00627013" w:rsidRDefault="00627013" w:rsidP="005C6536">
      <w:pPr>
        <w:autoSpaceDE w:val="0"/>
        <w:autoSpaceDN w:val="0"/>
        <w:adjustRightInd w:val="0"/>
        <w:spacing w:after="120" w:line="360" w:lineRule="auto"/>
        <w:jc w:val="both"/>
        <w:rPr>
          <w:rFonts w:ascii="Garamond" w:hAnsi="Garamond"/>
          <w:b/>
          <w:sz w:val="22"/>
          <w:szCs w:val="22"/>
        </w:rPr>
      </w:pPr>
      <w:r w:rsidRPr="00627013">
        <w:rPr>
          <w:rFonts w:ascii="Garamond" w:hAnsi="Garamond"/>
          <w:b/>
          <w:sz w:val="22"/>
          <w:szCs w:val="22"/>
        </w:rPr>
        <w:t>Forecast risks</w:t>
      </w:r>
    </w:p>
    <w:p w14:paraId="2A9C78B7" w14:textId="77777777" w:rsidR="0003340B" w:rsidRPr="0003340B" w:rsidRDefault="0003340B" w:rsidP="0003340B">
      <w:pPr>
        <w:autoSpaceDE w:val="0"/>
        <w:autoSpaceDN w:val="0"/>
        <w:adjustRightInd w:val="0"/>
        <w:spacing w:after="120" w:line="360" w:lineRule="auto"/>
        <w:jc w:val="both"/>
        <w:rPr>
          <w:rFonts w:ascii="Garamond" w:hAnsi="Garamond"/>
          <w:sz w:val="22"/>
          <w:szCs w:val="22"/>
        </w:rPr>
      </w:pPr>
      <w:r w:rsidRPr="001D0479">
        <w:rPr>
          <w:rFonts w:ascii="Garamond" w:hAnsi="Garamond"/>
          <w:sz w:val="22"/>
          <w:szCs w:val="22"/>
        </w:rPr>
        <w:t xml:space="preserve">The risks </w:t>
      </w:r>
      <w:r w:rsidR="00D74881">
        <w:rPr>
          <w:rFonts w:ascii="Garamond" w:hAnsi="Garamond"/>
          <w:sz w:val="22"/>
          <w:szCs w:val="22"/>
        </w:rPr>
        <w:t xml:space="preserve">which </w:t>
      </w:r>
      <w:r w:rsidR="00C86E56">
        <w:rPr>
          <w:rFonts w:ascii="Garamond" w:hAnsi="Garamond"/>
          <w:sz w:val="22"/>
          <w:szCs w:val="22"/>
        </w:rPr>
        <w:t xml:space="preserve">the baseline scenario has considered </w:t>
      </w:r>
      <w:r w:rsidRPr="001D0479">
        <w:rPr>
          <w:rFonts w:ascii="Garamond" w:hAnsi="Garamond"/>
          <w:sz w:val="22"/>
          <w:szCs w:val="22"/>
        </w:rPr>
        <w:t xml:space="preserve">are </w:t>
      </w:r>
      <w:r w:rsidR="00C86E56">
        <w:rPr>
          <w:rFonts w:ascii="Garamond" w:hAnsi="Garamond"/>
          <w:sz w:val="22"/>
          <w:szCs w:val="22"/>
        </w:rPr>
        <w:t xml:space="preserve">associated with </w:t>
      </w:r>
      <w:r w:rsidRPr="001D0479">
        <w:rPr>
          <w:rFonts w:ascii="Garamond" w:hAnsi="Garamond"/>
          <w:sz w:val="22"/>
          <w:szCs w:val="22"/>
        </w:rPr>
        <w:t>both the supply and demand-driven developments in the</w:t>
      </w:r>
      <w:r w:rsidRPr="0003340B">
        <w:rPr>
          <w:rFonts w:ascii="Garamond" w:hAnsi="Garamond"/>
          <w:sz w:val="22"/>
          <w:szCs w:val="22"/>
        </w:rPr>
        <w:t xml:space="preserve"> relevant sectors of the economy.</w:t>
      </w:r>
    </w:p>
    <w:p w14:paraId="4FCFD062" w14:textId="77777777" w:rsidR="0003340B" w:rsidRPr="0003340B" w:rsidRDefault="0003340B" w:rsidP="0003340B">
      <w:pPr>
        <w:autoSpaceDE w:val="0"/>
        <w:autoSpaceDN w:val="0"/>
        <w:adjustRightInd w:val="0"/>
        <w:spacing w:after="120" w:line="360" w:lineRule="auto"/>
        <w:jc w:val="both"/>
        <w:rPr>
          <w:rFonts w:ascii="Garamond" w:hAnsi="Garamond"/>
          <w:sz w:val="22"/>
          <w:szCs w:val="22"/>
        </w:rPr>
      </w:pPr>
      <w:r w:rsidRPr="0003340B">
        <w:rPr>
          <w:rFonts w:ascii="Garamond" w:hAnsi="Garamond"/>
          <w:sz w:val="22"/>
          <w:szCs w:val="22"/>
        </w:rPr>
        <w:t xml:space="preserve">In terms of </w:t>
      </w:r>
      <w:r>
        <w:rPr>
          <w:rFonts w:ascii="Garamond" w:hAnsi="Garamond"/>
          <w:sz w:val="22"/>
          <w:szCs w:val="22"/>
        </w:rPr>
        <w:t>aggregate</w:t>
      </w:r>
      <w:r w:rsidRPr="0003340B">
        <w:rPr>
          <w:rFonts w:ascii="Garamond" w:hAnsi="Garamond"/>
          <w:sz w:val="22"/>
          <w:szCs w:val="22"/>
        </w:rPr>
        <w:t xml:space="preserve"> demand, the main risks are related to the following factors:</w:t>
      </w:r>
    </w:p>
    <w:p w14:paraId="727A1983" w14:textId="77777777" w:rsidR="0003340B" w:rsidRDefault="00C86E56" w:rsidP="00C86E56">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M</w:t>
      </w:r>
      <w:r w:rsidRPr="00C86E56">
        <w:rPr>
          <w:rFonts w:ascii="Garamond" w:hAnsi="Garamond"/>
          <w:sz w:val="22"/>
          <w:szCs w:val="22"/>
        </w:rPr>
        <w:t xml:space="preserve">ainly deflation risks </w:t>
      </w:r>
      <w:r>
        <w:rPr>
          <w:rFonts w:ascii="Garamond" w:hAnsi="Garamond"/>
          <w:sz w:val="22"/>
          <w:szCs w:val="22"/>
        </w:rPr>
        <w:t xml:space="preserve">emerge in the short-term perspective </w:t>
      </w:r>
      <w:r w:rsidRPr="00C86E56">
        <w:rPr>
          <w:rFonts w:ascii="Garamond" w:hAnsi="Garamond"/>
          <w:sz w:val="22"/>
          <w:szCs w:val="22"/>
        </w:rPr>
        <w:t xml:space="preserve">that may </w:t>
      </w:r>
      <w:r w:rsidR="007117A9">
        <w:rPr>
          <w:rFonts w:ascii="Garamond" w:hAnsi="Garamond"/>
          <w:sz w:val="22"/>
          <w:szCs w:val="22"/>
        </w:rPr>
        <w:t xml:space="preserve">withhold the demand </w:t>
      </w:r>
      <w:r w:rsidR="007117A9" w:rsidRPr="00C86E56">
        <w:rPr>
          <w:rFonts w:ascii="Garamond" w:hAnsi="Garamond"/>
          <w:sz w:val="22"/>
          <w:szCs w:val="22"/>
        </w:rPr>
        <w:t>and, consequently,</w:t>
      </w:r>
      <w:r w:rsidR="007117A9">
        <w:rPr>
          <w:rFonts w:ascii="Garamond" w:hAnsi="Garamond"/>
          <w:sz w:val="22"/>
          <w:szCs w:val="22"/>
        </w:rPr>
        <w:t xml:space="preserve"> core inflation to recover at s</w:t>
      </w:r>
      <w:r w:rsidR="007117A9" w:rsidRPr="00C86E56">
        <w:rPr>
          <w:rFonts w:ascii="Garamond" w:hAnsi="Garamond"/>
          <w:sz w:val="22"/>
          <w:szCs w:val="22"/>
        </w:rPr>
        <w:t>atisfactory</w:t>
      </w:r>
      <w:r w:rsidRPr="00C86E56">
        <w:rPr>
          <w:rFonts w:ascii="Garamond" w:hAnsi="Garamond"/>
          <w:sz w:val="22"/>
          <w:szCs w:val="22"/>
        </w:rPr>
        <w:t xml:space="preserve"> rates.</w:t>
      </w:r>
    </w:p>
    <w:p w14:paraId="5131B598" w14:textId="627B3BFD" w:rsidR="00C86E56" w:rsidRPr="0003340B" w:rsidRDefault="00FD2D37" w:rsidP="0003340B">
      <w:pPr>
        <w:pStyle w:val="ListParagraph"/>
        <w:numPr>
          <w:ilvl w:val="0"/>
          <w:numId w:val="7"/>
        </w:numPr>
        <w:autoSpaceDE w:val="0"/>
        <w:autoSpaceDN w:val="0"/>
        <w:adjustRightInd w:val="0"/>
        <w:spacing w:after="120" w:line="360" w:lineRule="auto"/>
        <w:jc w:val="both"/>
        <w:rPr>
          <w:rFonts w:ascii="Garamond" w:hAnsi="Garamond"/>
          <w:sz w:val="22"/>
          <w:szCs w:val="22"/>
        </w:rPr>
      </w:pPr>
      <w:proofErr w:type="gramStart"/>
      <w:r>
        <w:rPr>
          <w:rFonts w:ascii="Garamond" w:hAnsi="Garamond"/>
          <w:sz w:val="22"/>
          <w:szCs w:val="22"/>
        </w:rPr>
        <w:t xml:space="preserve">If  </w:t>
      </w:r>
      <w:r w:rsidR="00C86E56" w:rsidRPr="0003340B">
        <w:rPr>
          <w:rFonts w:ascii="Garamond" w:hAnsi="Garamond"/>
          <w:sz w:val="22"/>
          <w:szCs w:val="22"/>
        </w:rPr>
        <w:t>budget</w:t>
      </w:r>
      <w:proofErr w:type="gramEnd"/>
      <w:r w:rsidR="00C86E56">
        <w:rPr>
          <w:rFonts w:ascii="Garamond" w:hAnsi="Garamond"/>
          <w:sz w:val="22"/>
          <w:szCs w:val="22"/>
        </w:rPr>
        <w:t xml:space="preserve"> leaves a bigger contractionary impact</w:t>
      </w:r>
      <w:r w:rsidR="007117A9">
        <w:rPr>
          <w:rFonts w:ascii="Garamond" w:hAnsi="Garamond"/>
          <w:sz w:val="22"/>
          <w:szCs w:val="22"/>
        </w:rPr>
        <w:t xml:space="preserve"> over 2019, </w:t>
      </w:r>
      <w:r w:rsidR="00C86E56" w:rsidRPr="0003340B">
        <w:rPr>
          <w:rFonts w:ascii="Garamond" w:hAnsi="Garamond"/>
          <w:sz w:val="22"/>
          <w:szCs w:val="22"/>
        </w:rPr>
        <w:t xml:space="preserve">as a result of which </w:t>
      </w:r>
      <w:r w:rsidR="00C86E56">
        <w:rPr>
          <w:rFonts w:ascii="Garamond" w:hAnsi="Garamond"/>
          <w:sz w:val="22"/>
          <w:szCs w:val="22"/>
        </w:rPr>
        <w:t xml:space="preserve">the aggregate </w:t>
      </w:r>
      <w:r w:rsidR="00C86E56" w:rsidRPr="0003340B">
        <w:rPr>
          <w:rFonts w:ascii="Garamond" w:hAnsi="Garamond"/>
          <w:sz w:val="22"/>
          <w:szCs w:val="22"/>
        </w:rPr>
        <w:t xml:space="preserve">demand will have </w:t>
      </w:r>
      <w:r w:rsidR="00C86E56">
        <w:rPr>
          <w:rFonts w:ascii="Garamond" w:hAnsi="Garamond"/>
          <w:sz w:val="22"/>
          <w:szCs w:val="22"/>
        </w:rPr>
        <w:t xml:space="preserve">even </w:t>
      </w:r>
      <w:r w:rsidR="00C86E56" w:rsidRPr="0003340B">
        <w:rPr>
          <w:rFonts w:ascii="Garamond" w:hAnsi="Garamond"/>
          <w:sz w:val="22"/>
          <w:szCs w:val="22"/>
        </w:rPr>
        <w:t>more def</w:t>
      </w:r>
      <w:r w:rsidR="00C86E56">
        <w:rPr>
          <w:rFonts w:ascii="Garamond" w:hAnsi="Garamond"/>
          <w:sz w:val="22"/>
          <w:szCs w:val="22"/>
        </w:rPr>
        <w:t>lationary effec</w:t>
      </w:r>
      <w:r w:rsidR="00C86E56" w:rsidRPr="0003340B">
        <w:rPr>
          <w:rFonts w:ascii="Garamond" w:hAnsi="Garamond"/>
          <w:sz w:val="22"/>
          <w:szCs w:val="22"/>
        </w:rPr>
        <w:t xml:space="preserve">t on the inflation, </w:t>
      </w:r>
      <w:r w:rsidR="007117A9">
        <w:rPr>
          <w:rFonts w:ascii="Garamond" w:hAnsi="Garamond"/>
          <w:sz w:val="22"/>
          <w:szCs w:val="22"/>
        </w:rPr>
        <w:t>making the</w:t>
      </w:r>
      <w:r w:rsidR="00C86E56">
        <w:rPr>
          <w:rFonts w:ascii="Garamond" w:hAnsi="Garamond"/>
          <w:sz w:val="22"/>
          <w:szCs w:val="22"/>
        </w:rPr>
        <w:t xml:space="preserve"> expansionary </w:t>
      </w:r>
      <w:r w:rsidR="00C86E56" w:rsidRPr="0003340B">
        <w:rPr>
          <w:rFonts w:ascii="Garamond" w:hAnsi="Garamond"/>
          <w:sz w:val="22"/>
          <w:szCs w:val="22"/>
        </w:rPr>
        <w:t>monetary policy</w:t>
      </w:r>
      <w:r w:rsidR="007117A9">
        <w:rPr>
          <w:rFonts w:ascii="Garamond" w:hAnsi="Garamond"/>
          <w:sz w:val="22"/>
          <w:szCs w:val="22"/>
        </w:rPr>
        <w:t xml:space="preserve"> more vigorous</w:t>
      </w:r>
      <w:r w:rsidR="00C86E56" w:rsidRPr="0003340B">
        <w:rPr>
          <w:rFonts w:ascii="Garamond" w:hAnsi="Garamond"/>
          <w:sz w:val="22"/>
          <w:szCs w:val="22"/>
        </w:rPr>
        <w:t>.</w:t>
      </w:r>
    </w:p>
    <w:p w14:paraId="7B105D8F" w14:textId="77777777" w:rsidR="0003340B" w:rsidRDefault="00B95881" w:rsidP="00B95881">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0003340B" w:rsidRPr="00B95881">
        <w:rPr>
          <w:rFonts w:ascii="Garamond" w:hAnsi="Garamond"/>
          <w:sz w:val="22"/>
          <w:szCs w:val="22"/>
        </w:rPr>
        <w:t xml:space="preserve">he growth rates </w:t>
      </w:r>
      <w:r>
        <w:rPr>
          <w:rFonts w:ascii="Garamond" w:hAnsi="Garamond"/>
          <w:sz w:val="22"/>
          <w:szCs w:val="22"/>
        </w:rPr>
        <w:t>in</w:t>
      </w:r>
      <w:r w:rsidR="0003340B" w:rsidRPr="00B95881">
        <w:rPr>
          <w:rFonts w:ascii="Garamond" w:hAnsi="Garamond"/>
          <w:sz w:val="22"/>
          <w:szCs w:val="22"/>
        </w:rPr>
        <w:t xml:space="preserve"> investment</w:t>
      </w:r>
      <w:r>
        <w:rPr>
          <w:rFonts w:ascii="Garamond" w:hAnsi="Garamond"/>
          <w:sz w:val="22"/>
          <w:szCs w:val="22"/>
        </w:rPr>
        <w:t xml:space="preserve"> slow down</w:t>
      </w:r>
      <w:r w:rsidR="00292820">
        <w:rPr>
          <w:rFonts w:ascii="Garamond" w:hAnsi="Garamond"/>
          <w:sz w:val="22"/>
          <w:szCs w:val="22"/>
        </w:rPr>
        <w:t xml:space="preserve"> as t</w:t>
      </w:r>
      <w:r w:rsidR="00292820" w:rsidRPr="000C1208">
        <w:rPr>
          <w:rFonts w:ascii="Garamond" w:hAnsi="Garamond"/>
          <w:sz w:val="22"/>
          <w:szCs w:val="22"/>
        </w:rPr>
        <w:t xml:space="preserve">he change in tangible working capital inventories </w:t>
      </w:r>
      <w:r w:rsidR="00016B26" w:rsidRPr="000C1208">
        <w:rPr>
          <w:rFonts w:ascii="Garamond" w:hAnsi="Garamond"/>
          <w:sz w:val="22"/>
          <w:szCs w:val="22"/>
        </w:rPr>
        <w:t xml:space="preserve">recovers </w:t>
      </w:r>
      <w:r w:rsidR="00292820" w:rsidRPr="000C1208">
        <w:rPr>
          <w:rFonts w:ascii="Garamond" w:hAnsi="Garamond"/>
          <w:sz w:val="22"/>
          <w:szCs w:val="22"/>
        </w:rPr>
        <w:t>to normal</w:t>
      </w:r>
      <w:r w:rsidR="0003340B" w:rsidRPr="000C1208">
        <w:rPr>
          <w:rFonts w:ascii="Garamond" w:hAnsi="Garamond"/>
          <w:sz w:val="22"/>
          <w:szCs w:val="22"/>
        </w:rPr>
        <w:t>.</w:t>
      </w:r>
      <w:r w:rsidR="00292820" w:rsidRPr="000C1208">
        <w:rPr>
          <w:rFonts w:ascii="Garamond" w:hAnsi="Garamond"/>
          <w:sz w:val="22"/>
          <w:szCs w:val="22"/>
        </w:rPr>
        <w:t xml:space="preserve"> </w:t>
      </w:r>
    </w:p>
    <w:p w14:paraId="3DE232E2" w14:textId="77777777" w:rsidR="00635251" w:rsidRPr="000C1208" w:rsidRDefault="00635251" w:rsidP="00635251">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lastRenderedPageBreak/>
        <w:t>E</w:t>
      </w:r>
      <w:r w:rsidRPr="00635251">
        <w:rPr>
          <w:rFonts w:ascii="Garamond" w:hAnsi="Garamond"/>
          <w:sz w:val="22"/>
          <w:szCs w:val="22"/>
        </w:rPr>
        <w:t xml:space="preserve">conomic growth in the global economy and </w:t>
      </w:r>
      <w:r>
        <w:rPr>
          <w:rFonts w:ascii="Garamond" w:hAnsi="Garamond"/>
          <w:sz w:val="22"/>
          <w:szCs w:val="22"/>
        </w:rPr>
        <w:t>p</w:t>
      </w:r>
      <w:r w:rsidRPr="00635251">
        <w:rPr>
          <w:rFonts w:ascii="Garamond" w:hAnsi="Garamond"/>
          <w:sz w:val="22"/>
          <w:szCs w:val="22"/>
        </w:rPr>
        <w:t xml:space="preserve">artner countries </w:t>
      </w:r>
      <w:r>
        <w:rPr>
          <w:rFonts w:ascii="Garamond" w:hAnsi="Garamond"/>
          <w:sz w:val="22"/>
          <w:szCs w:val="22"/>
        </w:rPr>
        <w:t xml:space="preserve">in particular slows down </w:t>
      </w:r>
      <w:r w:rsidR="00EE5F1B">
        <w:rPr>
          <w:rFonts w:ascii="Garamond" w:hAnsi="Garamond"/>
          <w:sz w:val="22"/>
          <w:szCs w:val="22"/>
        </w:rPr>
        <w:t xml:space="preserve">amid </w:t>
      </w:r>
      <w:r w:rsidRPr="00635251">
        <w:rPr>
          <w:rFonts w:ascii="Garamond" w:hAnsi="Garamond"/>
          <w:sz w:val="22"/>
          <w:szCs w:val="22"/>
        </w:rPr>
        <w:t>uncertainties and advers</w:t>
      </w:r>
      <w:r>
        <w:rPr>
          <w:rFonts w:ascii="Garamond" w:hAnsi="Garamond"/>
          <w:sz w:val="22"/>
          <w:szCs w:val="22"/>
        </w:rPr>
        <w:t xml:space="preserve">ities </w:t>
      </w:r>
      <w:r w:rsidR="00EE5F1B">
        <w:rPr>
          <w:rFonts w:ascii="Garamond" w:hAnsi="Garamond"/>
          <w:sz w:val="22"/>
          <w:szCs w:val="22"/>
        </w:rPr>
        <w:t>connected</w:t>
      </w:r>
      <w:r w:rsidR="005B2F43">
        <w:rPr>
          <w:rFonts w:ascii="Garamond" w:hAnsi="Garamond"/>
          <w:sz w:val="22"/>
          <w:szCs w:val="22"/>
        </w:rPr>
        <w:t xml:space="preserve"> with </w:t>
      </w:r>
      <w:r>
        <w:rPr>
          <w:rFonts w:ascii="Garamond" w:hAnsi="Garamond"/>
          <w:sz w:val="22"/>
          <w:szCs w:val="22"/>
        </w:rPr>
        <w:t xml:space="preserve">potential </w:t>
      </w:r>
      <w:r w:rsidRPr="00635251">
        <w:rPr>
          <w:rFonts w:ascii="Garamond" w:hAnsi="Garamond"/>
          <w:sz w:val="22"/>
          <w:szCs w:val="22"/>
        </w:rPr>
        <w:t>US trade policies</w:t>
      </w:r>
      <w:r>
        <w:rPr>
          <w:rFonts w:ascii="Garamond" w:hAnsi="Garamond"/>
          <w:sz w:val="22"/>
          <w:szCs w:val="22"/>
        </w:rPr>
        <w:t xml:space="preserve"> </w:t>
      </w:r>
      <w:r w:rsidR="005B2F43">
        <w:rPr>
          <w:rFonts w:ascii="Garamond" w:hAnsi="Garamond"/>
          <w:sz w:val="22"/>
          <w:szCs w:val="22"/>
        </w:rPr>
        <w:t xml:space="preserve">on </w:t>
      </w:r>
      <w:r w:rsidRPr="00635251">
        <w:rPr>
          <w:rFonts w:ascii="Garamond" w:hAnsi="Garamond"/>
          <w:sz w:val="22"/>
          <w:szCs w:val="22"/>
        </w:rPr>
        <w:t>p</w:t>
      </w:r>
      <w:r w:rsidR="005B2F43">
        <w:rPr>
          <w:rFonts w:ascii="Garamond" w:hAnsi="Garamond"/>
          <w:sz w:val="22"/>
          <w:szCs w:val="22"/>
        </w:rPr>
        <w:t xml:space="preserve">ossible trade wars with </w:t>
      </w:r>
      <w:r w:rsidRPr="00635251">
        <w:rPr>
          <w:rFonts w:ascii="Garamond" w:hAnsi="Garamond"/>
          <w:sz w:val="22"/>
          <w:szCs w:val="22"/>
        </w:rPr>
        <w:t xml:space="preserve">China and </w:t>
      </w:r>
      <w:r w:rsidR="005B2F43">
        <w:rPr>
          <w:rFonts w:ascii="Garamond" w:hAnsi="Garamond"/>
          <w:sz w:val="22"/>
          <w:szCs w:val="22"/>
        </w:rPr>
        <w:t>the revision to the US c</w:t>
      </w:r>
      <w:r w:rsidRPr="00635251">
        <w:rPr>
          <w:rFonts w:ascii="Garamond" w:hAnsi="Garamond"/>
          <w:sz w:val="22"/>
          <w:szCs w:val="22"/>
        </w:rPr>
        <w:t>ustoms policy towards the</w:t>
      </w:r>
      <w:r w:rsidR="005B2F43">
        <w:rPr>
          <w:rFonts w:ascii="Garamond" w:hAnsi="Garamond"/>
          <w:sz w:val="22"/>
          <w:szCs w:val="22"/>
        </w:rPr>
        <w:t xml:space="preserve"> EU, as well as </w:t>
      </w:r>
      <w:r w:rsidR="00EE5F1B">
        <w:rPr>
          <w:rFonts w:ascii="Garamond" w:hAnsi="Garamond"/>
          <w:sz w:val="22"/>
          <w:szCs w:val="22"/>
        </w:rPr>
        <w:t xml:space="preserve">associated with </w:t>
      </w:r>
      <w:r w:rsidR="005B2F43">
        <w:rPr>
          <w:rFonts w:ascii="Garamond" w:hAnsi="Garamond"/>
          <w:sz w:val="22"/>
          <w:szCs w:val="22"/>
        </w:rPr>
        <w:t xml:space="preserve">the UK leaving </w:t>
      </w:r>
      <w:r w:rsidR="009300D4">
        <w:rPr>
          <w:rFonts w:ascii="Garamond" w:hAnsi="Garamond"/>
          <w:sz w:val="22"/>
          <w:szCs w:val="22"/>
        </w:rPr>
        <w:t xml:space="preserve">the </w:t>
      </w:r>
      <w:r w:rsidR="005B2F43">
        <w:rPr>
          <w:rFonts w:ascii="Garamond" w:hAnsi="Garamond"/>
          <w:sz w:val="22"/>
          <w:szCs w:val="22"/>
        </w:rPr>
        <w:t>EU (Brexit).</w:t>
      </w:r>
    </w:p>
    <w:p w14:paraId="29C6CC5D" w14:textId="77777777" w:rsidR="0003340B" w:rsidRPr="0003340B" w:rsidRDefault="00B95881" w:rsidP="0003340B">
      <w:pPr>
        <w:autoSpaceDE w:val="0"/>
        <w:autoSpaceDN w:val="0"/>
        <w:adjustRightInd w:val="0"/>
        <w:spacing w:after="120" w:line="360" w:lineRule="auto"/>
        <w:jc w:val="both"/>
        <w:rPr>
          <w:rFonts w:ascii="Garamond" w:hAnsi="Garamond"/>
          <w:sz w:val="22"/>
          <w:szCs w:val="22"/>
        </w:rPr>
      </w:pPr>
      <w:r>
        <w:rPr>
          <w:rFonts w:ascii="Garamond" w:hAnsi="Garamond"/>
          <w:sz w:val="22"/>
          <w:szCs w:val="22"/>
        </w:rPr>
        <w:t>In terms of supply</w:t>
      </w:r>
      <w:r w:rsidR="0003340B" w:rsidRPr="0003340B">
        <w:rPr>
          <w:rFonts w:ascii="Garamond" w:hAnsi="Garamond"/>
          <w:sz w:val="22"/>
          <w:szCs w:val="22"/>
        </w:rPr>
        <w:t xml:space="preserve">, the following </w:t>
      </w:r>
      <w:r>
        <w:rPr>
          <w:rFonts w:ascii="Garamond" w:hAnsi="Garamond"/>
          <w:sz w:val="22"/>
          <w:szCs w:val="22"/>
        </w:rPr>
        <w:t xml:space="preserve">are </w:t>
      </w:r>
      <w:r w:rsidR="0003340B" w:rsidRPr="0003340B">
        <w:rPr>
          <w:rFonts w:ascii="Garamond" w:hAnsi="Garamond"/>
          <w:sz w:val="22"/>
          <w:szCs w:val="22"/>
        </w:rPr>
        <w:t xml:space="preserve">risks </w:t>
      </w:r>
      <w:r>
        <w:rPr>
          <w:rFonts w:ascii="Garamond" w:hAnsi="Garamond"/>
          <w:sz w:val="22"/>
          <w:szCs w:val="22"/>
        </w:rPr>
        <w:t xml:space="preserve">to the </w:t>
      </w:r>
      <w:r w:rsidR="0003340B" w:rsidRPr="0003340B">
        <w:rPr>
          <w:rFonts w:ascii="Garamond" w:hAnsi="Garamond"/>
          <w:sz w:val="22"/>
          <w:szCs w:val="22"/>
        </w:rPr>
        <w:t>inflation:</w:t>
      </w:r>
    </w:p>
    <w:p w14:paraId="4A9AD178" w14:textId="77777777" w:rsidR="0003340B" w:rsidRDefault="00DF4AF7" w:rsidP="00DF4AF7">
      <w:pPr>
        <w:pStyle w:val="ListParagraph"/>
        <w:numPr>
          <w:ilvl w:val="0"/>
          <w:numId w:val="7"/>
        </w:numPr>
        <w:autoSpaceDE w:val="0"/>
        <w:autoSpaceDN w:val="0"/>
        <w:adjustRightInd w:val="0"/>
        <w:spacing w:after="120" w:line="360" w:lineRule="auto"/>
        <w:jc w:val="both"/>
        <w:rPr>
          <w:rFonts w:ascii="Garamond" w:hAnsi="Garamond"/>
          <w:sz w:val="22"/>
          <w:szCs w:val="22"/>
        </w:rPr>
      </w:pPr>
      <w:r w:rsidRPr="00DF4AF7">
        <w:rPr>
          <w:rFonts w:ascii="Garamond" w:hAnsi="Garamond"/>
          <w:sz w:val="22"/>
          <w:szCs w:val="22"/>
        </w:rPr>
        <w:t>In the short term</w:t>
      </w:r>
      <w:r>
        <w:rPr>
          <w:rFonts w:ascii="Garamond" w:hAnsi="Garamond"/>
          <w:sz w:val="22"/>
          <w:szCs w:val="22"/>
        </w:rPr>
        <w:t>,</w:t>
      </w:r>
      <w:r w:rsidRPr="00DF4AF7">
        <w:rPr>
          <w:rFonts w:ascii="Garamond" w:hAnsi="Garamond"/>
          <w:sz w:val="22"/>
          <w:szCs w:val="22"/>
        </w:rPr>
        <w:t xml:space="preserve"> </w:t>
      </w:r>
      <w:r>
        <w:rPr>
          <w:rFonts w:ascii="Garamond" w:hAnsi="Garamond"/>
          <w:sz w:val="22"/>
          <w:szCs w:val="22"/>
        </w:rPr>
        <w:t xml:space="preserve">prices of </w:t>
      </w:r>
      <w:r w:rsidRPr="00DF4AF7">
        <w:rPr>
          <w:rFonts w:ascii="Garamond" w:hAnsi="Garamond"/>
          <w:sz w:val="22"/>
          <w:szCs w:val="22"/>
        </w:rPr>
        <w:t>meat pr</w:t>
      </w:r>
      <w:r>
        <w:rPr>
          <w:rFonts w:ascii="Garamond" w:hAnsi="Garamond"/>
          <w:sz w:val="22"/>
          <w:szCs w:val="22"/>
        </w:rPr>
        <w:t xml:space="preserve">oducts may </w:t>
      </w:r>
      <w:r w:rsidRPr="00DF4AF7">
        <w:rPr>
          <w:rFonts w:ascii="Garamond" w:hAnsi="Garamond"/>
          <w:sz w:val="22"/>
          <w:szCs w:val="22"/>
        </w:rPr>
        <w:t>grow faster than expected due to the shortage of livestock.</w:t>
      </w:r>
    </w:p>
    <w:p w14:paraId="3062BF96" w14:textId="77777777" w:rsidR="00DF4AF7" w:rsidRDefault="00DF4AF7" w:rsidP="00DF4AF7">
      <w:pPr>
        <w:pStyle w:val="ListParagraph"/>
        <w:numPr>
          <w:ilvl w:val="0"/>
          <w:numId w:val="7"/>
        </w:numPr>
        <w:autoSpaceDE w:val="0"/>
        <w:autoSpaceDN w:val="0"/>
        <w:adjustRightInd w:val="0"/>
        <w:spacing w:after="120" w:line="360" w:lineRule="auto"/>
        <w:jc w:val="both"/>
        <w:rPr>
          <w:rFonts w:ascii="Garamond" w:hAnsi="Garamond"/>
          <w:sz w:val="22"/>
          <w:szCs w:val="22"/>
        </w:rPr>
      </w:pPr>
      <w:r w:rsidRPr="00DF4AF7">
        <w:rPr>
          <w:rFonts w:ascii="Garamond" w:hAnsi="Garamond"/>
          <w:sz w:val="22"/>
          <w:szCs w:val="22"/>
        </w:rPr>
        <w:t xml:space="preserve">There are two-way risks </w:t>
      </w:r>
      <w:r w:rsidR="00DD78E8" w:rsidRPr="00DD78E8">
        <w:rPr>
          <w:rFonts w:ascii="Garamond" w:hAnsi="Garamond"/>
          <w:sz w:val="22"/>
          <w:szCs w:val="22"/>
        </w:rPr>
        <w:t xml:space="preserve">to </w:t>
      </w:r>
      <w:r w:rsidRPr="00DD78E8">
        <w:rPr>
          <w:rFonts w:ascii="Garamond" w:hAnsi="Garamond"/>
          <w:sz w:val="22"/>
          <w:szCs w:val="22"/>
        </w:rPr>
        <w:t>the impact o</w:t>
      </w:r>
      <w:r w:rsidR="00DD78E8" w:rsidRPr="00DD78E8">
        <w:rPr>
          <w:rFonts w:ascii="Garamond" w:hAnsi="Garamond"/>
          <w:sz w:val="22"/>
          <w:szCs w:val="22"/>
        </w:rPr>
        <w:t>n</w:t>
      </w:r>
      <w:r w:rsidRPr="00DD78E8">
        <w:rPr>
          <w:rFonts w:ascii="Garamond" w:hAnsi="Garamond"/>
          <w:sz w:val="22"/>
          <w:szCs w:val="22"/>
        </w:rPr>
        <w:t xml:space="preserve"> inflation </w:t>
      </w:r>
      <w:r w:rsidR="00DD78E8" w:rsidRPr="00DD78E8">
        <w:rPr>
          <w:rFonts w:ascii="Garamond" w:hAnsi="Garamond"/>
          <w:sz w:val="22"/>
          <w:szCs w:val="22"/>
        </w:rPr>
        <w:t>(estimated to re</w:t>
      </w:r>
      <w:r w:rsidR="00DD78E8">
        <w:rPr>
          <w:rFonts w:ascii="Garamond" w:hAnsi="Garamond"/>
          <w:sz w:val="22"/>
          <w:szCs w:val="22"/>
        </w:rPr>
        <w:t>ach</w:t>
      </w:r>
      <w:r w:rsidR="00DD78E8" w:rsidRPr="00DF4AF7">
        <w:rPr>
          <w:rFonts w:ascii="Garamond" w:hAnsi="Garamond"/>
          <w:sz w:val="22"/>
          <w:szCs w:val="22"/>
        </w:rPr>
        <w:t xml:space="preserve"> 0.4 p</w:t>
      </w:r>
      <w:r w:rsidR="00DD78E8">
        <w:rPr>
          <w:rFonts w:ascii="Garamond" w:hAnsi="Garamond"/>
          <w:sz w:val="22"/>
          <w:szCs w:val="22"/>
        </w:rPr>
        <w:t>p</w:t>
      </w:r>
      <w:r w:rsidR="00DD78E8" w:rsidRPr="00DF4AF7">
        <w:rPr>
          <w:rFonts w:ascii="Garamond" w:hAnsi="Garamond"/>
          <w:sz w:val="22"/>
          <w:szCs w:val="22"/>
        </w:rPr>
        <w:t>)</w:t>
      </w:r>
      <w:r w:rsidR="00DD78E8">
        <w:rPr>
          <w:rFonts w:ascii="Garamond" w:hAnsi="Garamond"/>
          <w:sz w:val="22"/>
          <w:szCs w:val="22"/>
        </w:rPr>
        <w:t xml:space="preserve"> </w:t>
      </w:r>
      <w:r w:rsidR="00DD78E8" w:rsidRPr="00DD78E8">
        <w:rPr>
          <w:rFonts w:ascii="Garamond" w:hAnsi="Garamond"/>
          <w:sz w:val="22"/>
          <w:szCs w:val="22"/>
        </w:rPr>
        <w:t xml:space="preserve">due </w:t>
      </w:r>
      <w:r w:rsidRPr="00DD78E8">
        <w:rPr>
          <w:rFonts w:ascii="Garamond" w:hAnsi="Garamond"/>
          <w:sz w:val="22"/>
          <w:szCs w:val="22"/>
        </w:rPr>
        <w:t>to change</w:t>
      </w:r>
      <w:r w:rsidR="00DD78E8" w:rsidRPr="00DD78E8">
        <w:rPr>
          <w:rFonts w:ascii="Garamond" w:hAnsi="Garamond"/>
          <w:sz w:val="22"/>
          <w:szCs w:val="22"/>
        </w:rPr>
        <w:t xml:space="preserve"> in customs duty on some products in 2020</w:t>
      </w:r>
      <w:r w:rsidRPr="00DF4AF7">
        <w:rPr>
          <w:rFonts w:ascii="Garamond" w:hAnsi="Garamond"/>
          <w:sz w:val="22"/>
          <w:szCs w:val="22"/>
        </w:rPr>
        <w:t>.</w:t>
      </w:r>
    </w:p>
    <w:p w14:paraId="575CB2E9" w14:textId="77777777" w:rsidR="0003340B" w:rsidRPr="0003340B" w:rsidRDefault="0077109B" w:rsidP="0003340B">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Overall, </w:t>
      </w:r>
      <w:r w:rsidRPr="00EE5F0F">
        <w:rPr>
          <w:rFonts w:ascii="Garamond" w:hAnsi="Garamond"/>
          <w:sz w:val="22"/>
          <w:szCs w:val="22"/>
        </w:rPr>
        <w:t xml:space="preserve">the </w:t>
      </w:r>
      <w:r w:rsidR="00DD78E8">
        <w:rPr>
          <w:rFonts w:ascii="Garamond" w:hAnsi="Garamond"/>
          <w:sz w:val="22"/>
          <w:szCs w:val="22"/>
        </w:rPr>
        <w:t xml:space="preserve">downside </w:t>
      </w:r>
      <w:r w:rsidRPr="00EE5F0F">
        <w:rPr>
          <w:rFonts w:ascii="Garamond" w:hAnsi="Garamond"/>
          <w:sz w:val="22"/>
          <w:szCs w:val="22"/>
        </w:rPr>
        <w:t xml:space="preserve">risks to inflation </w:t>
      </w:r>
      <w:r w:rsidR="00DD78E8">
        <w:rPr>
          <w:rFonts w:ascii="Garamond" w:hAnsi="Garamond"/>
          <w:sz w:val="22"/>
          <w:szCs w:val="22"/>
        </w:rPr>
        <w:t xml:space="preserve">deviating from the projection path </w:t>
      </w:r>
      <w:r w:rsidR="00AD732F">
        <w:rPr>
          <w:rFonts w:ascii="Garamond" w:hAnsi="Garamond"/>
          <w:sz w:val="22"/>
          <w:szCs w:val="22"/>
        </w:rPr>
        <w:t>i</w:t>
      </w:r>
      <w:r w:rsidR="00AD732F" w:rsidRPr="00EE5F0F">
        <w:rPr>
          <w:rFonts w:ascii="Garamond" w:hAnsi="Garamond"/>
          <w:sz w:val="22"/>
          <w:szCs w:val="22"/>
        </w:rPr>
        <w:t>n the medium run</w:t>
      </w:r>
      <w:r w:rsidR="00DD78E8">
        <w:rPr>
          <w:rFonts w:ascii="Garamond" w:hAnsi="Garamond"/>
          <w:sz w:val="22"/>
          <w:szCs w:val="22"/>
        </w:rPr>
        <w:t xml:space="preserve"> prevail</w:t>
      </w:r>
      <w:r w:rsidR="00124193">
        <w:rPr>
          <w:rFonts w:ascii="Garamond" w:hAnsi="Garamond"/>
          <w:sz w:val="22"/>
          <w:szCs w:val="22"/>
        </w:rPr>
        <w:t xml:space="preserve"> </w:t>
      </w:r>
      <w:r w:rsidR="002504D6" w:rsidRPr="00EE5F0F">
        <w:rPr>
          <w:rFonts w:ascii="Garamond" w:hAnsi="Garamond"/>
          <w:sz w:val="22"/>
          <w:szCs w:val="22"/>
        </w:rPr>
        <w:t xml:space="preserve">(see </w:t>
      </w:r>
      <w:r w:rsidR="002B088F">
        <w:rPr>
          <w:rFonts w:ascii="Garamond" w:hAnsi="Garamond"/>
          <w:sz w:val="22"/>
          <w:szCs w:val="22"/>
        </w:rPr>
        <w:t>C</w:t>
      </w:r>
      <w:r w:rsidR="002504D6">
        <w:rPr>
          <w:rFonts w:ascii="Garamond" w:hAnsi="Garamond"/>
          <w:sz w:val="22"/>
          <w:szCs w:val="22"/>
        </w:rPr>
        <w:t>hart 1: “</w:t>
      </w:r>
      <w:r w:rsidR="002504D6" w:rsidRPr="00EE5F0F">
        <w:rPr>
          <w:rFonts w:ascii="Garamond" w:hAnsi="Garamond"/>
          <w:sz w:val="22"/>
          <w:szCs w:val="22"/>
        </w:rPr>
        <w:t>Inflation Forecasts Probability Distribution</w:t>
      </w:r>
      <w:r w:rsidR="002504D6">
        <w:rPr>
          <w:rFonts w:ascii="Garamond" w:hAnsi="Garamond"/>
          <w:sz w:val="22"/>
          <w:szCs w:val="22"/>
        </w:rPr>
        <w:t>”</w:t>
      </w:r>
      <w:r w:rsidR="002504D6" w:rsidRPr="00EE5F0F">
        <w:rPr>
          <w:rFonts w:ascii="Garamond" w:hAnsi="Garamond"/>
          <w:sz w:val="22"/>
          <w:szCs w:val="22"/>
        </w:rPr>
        <w:t>).</w:t>
      </w:r>
    </w:p>
    <w:p w14:paraId="1A48712F" w14:textId="77777777" w:rsidR="0003340B" w:rsidRPr="0003340B" w:rsidRDefault="0003340B" w:rsidP="0003340B">
      <w:pPr>
        <w:autoSpaceDE w:val="0"/>
        <w:autoSpaceDN w:val="0"/>
        <w:adjustRightInd w:val="0"/>
        <w:spacing w:after="120" w:line="360" w:lineRule="auto"/>
        <w:jc w:val="both"/>
        <w:rPr>
          <w:rFonts w:ascii="Garamond" w:hAnsi="Garamond"/>
          <w:sz w:val="22"/>
          <w:szCs w:val="22"/>
        </w:rPr>
      </w:pPr>
      <w:r w:rsidRPr="0003340B">
        <w:rPr>
          <w:rFonts w:ascii="Garamond" w:hAnsi="Garamond"/>
          <w:sz w:val="22"/>
          <w:szCs w:val="22"/>
        </w:rPr>
        <w:t>In addition to the risks</w:t>
      </w:r>
      <w:r w:rsidR="00124193">
        <w:rPr>
          <w:rFonts w:ascii="Garamond" w:hAnsi="Garamond"/>
          <w:sz w:val="22"/>
          <w:szCs w:val="22"/>
        </w:rPr>
        <w:t xml:space="preserve"> to diminishing demand</w:t>
      </w:r>
      <w:r w:rsidRPr="0003340B">
        <w:rPr>
          <w:rFonts w:ascii="Garamond" w:hAnsi="Garamond"/>
          <w:sz w:val="22"/>
          <w:szCs w:val="22"/>
        </w:rPr>
        <w:t xml:space="preserve">, there are </w:t>
      </w:r>
      <w:r w:rsidR="00124193">
        <w:rPr>
          <w:rFonts w:ascii="Garamond" w:hAnsi="Garamond"/>
          <w:sz w:val="22"/>
          <w:szCs w:val="22"/>
        </w:rPr>
        <w:t xml:space="preserve">other </w:t>
      </w:r>
      <w:r w:rsidR="00124193" w:rsidRPr="00124193">
        <w:rPr>
          <w:rFonts w:ascii="Garamond" w:hAnsi="Garamond"/>
          <w:sz w:val="22"/>
          <w:szCs w:val="22"/>
        </w:rPr>
        <w:t>risks</w:t>
      </w:r>
      <w:r w:rsidR="00124193">
        <w:rPr>
          <w:rFonts w:ascii="Garamond" w:hAnsi="Garamond"/>
          <w:sz w:val="22"/>
          <w:szCs w:val="22"/>
        </w:rPr>
        <w:t>, again dual-sided,</w:t>
      </w:r>
      <w:r w:rsidR="00124193" w:rsidRPr="00124193">
        <w:rPr>
          <w:rFonts w:ascii="Garamond" w:hAnsi="Garamond"/>
          <w:sz w:val="22"/>
          <w:szCs w:val="22"/>
        </w:rPr>
        <w:t xml:space="preserve"> associated with </w:t>
      </w:r>
      <w:r w:rsidR="00124193">
        <w:rPr>
          <w:rFonts w:ascii="Garamond" w:hAnsi="Garamond"/>
          <w:sz w:val="22"/>
          <w:szCs w:val="22"/>
        </w:rPr>
        <w:t xml:space="preserve">potential </w:t>
      </w:r>
      <w:r w:rsidR="00124193" w:rsidRPr="00124193">
        <w:rPr>
          <w:rFonts w:ascii="Garamond" w:hAnsi="Garamond"/>
          <w:sz w:val="22"/>
          <w:szCs w:val="22"/>
        </w:rPr>
        <w:t>economic growth</w:t>
      </w:r>
      <w:r w:rsidR="00124193">
        <w:rPr>
          <w:rFonts w:ascii="Garamond" w:hAnsi="Garamond"/>
          <w:sz w:val="22"/>
          <w:szCs w:val="22"/>
        </w:rPr>
        <w:t>, as follows:</w:t>
      </w:r>
    </w:p>
    <w:p w14:paraId="682AD810" w14:textId="77777777" w:rsidR="0003340B" w:rsidRPr="00E66AD8" w:rsidRDefault="00124193" w:rsidP="00E16BAF">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00E16BAF" w:rsidRPr="00E16BAF">
        <w:rPr>
          <w:rFonts w:ascii="Garamond" w:hAnsi="Garamond"/>
          <w:sz w:val="22"/>
          <w:szCs w:val="22"/>
        </w:rPr>
        <w:t>he uncertainties associated with fu</w:t>
      </w:r>
      <w:r>
        <w:rPr>
          <w:rFonts w:ascii="Garamond" w:hAnsi="Garamond"/>
          <w:sz w:val="22"/>
          <w:szCs w:val="22"/>
        </w:rPr>
        <w:t xml:space="preserve">rther operating </w:t>
      </w:r>
      <w:r w:rsidR="00E16BAF" w:rsidRPr="00E16BAF">
        <w:rPr>
          <w:rFonts w:ascii="Garamond" w:hAnsi="Garamond"/>
          <w:sz w:val="22"/>
          <w:szCs w:val="22"/>
        </w:rPr>
        <w:t xml:space="preserve">of </w:t>
      </w:r>
      <w:r>
        <w:rPr>
          <w:rFonts w:ascii="Garamond" w:hAnsi="Garamond"/>
          <w:sz w:val="22"/>
          <w:szCs w:val="22"/>
        </w:rPr>
        <w:t xml:space="preserve">Amoulsar mine and </w:t>
      </w:r>
      <w:r w:rsidR="00E16BAF" w:rsidRPr="00E16BAF">
        <w:rPr>
          <w:rFonts w:ascii="Garamond" w:hAnsi="Garamond"/>
          <w:sz w:val="22"/>
          <w:szCs w:val="22"/>
        </w:rPr>
        <w:t>Alaverdi copper smelter.</w:t>
      </w:r>
    </w:p>
    <w:p w14:paraId="4EAFBC4C" w14:textId="77777777" w:rsidR="0003340B" w:rsidRDefault="0003340B" w:rsidP="00E66AD8">
      <w:pPr>
        <w:pStyle w:val="ListParagraph"/>
        <w:numPr>
          <w:ilvl w:val="0"/>
          <w:numId w:val="7"/>
        </w:numPr>
        <w:autoSpaceDE w:val="0"/>
        <w:autoSpaceDN w:val="0"/>
        <w:adjustRightInd w:val="0"/>
        <w:spacing w:after="120" w:line="360" w:lineRule="auto"/>
        <w:jc w:val="both"/>
        <w:rPr>
          <w:rFonts w:ascii="Garamond" w:hAnsi="Garamond"/>
          <w:sz w:val="22"/>
          <w:szCs w:val="22"/>
        </w:rPr>
      </w:pPr>
      <w:r w:rsidRPr="00E66AD8">
        <w:rPr>
          <w:rFonts w:ascii="Garamond" w:hAnsi="Garamond"/>
          <w:sz w:val="22"/>
          <w:szCs w:val="22"/>
        </w:rPr>
        <w:t>In the context of long-term economic growth</w:t>
      </w:r>
      <w:r w:rsidR="00F10FA6">
        <w:rPr>
          <w:rFonts w:ascii="Garamond" w:hAnsi="Garamond"/>
          <w:sz w:val="22"/>
          <w:szCs w:val="22"/>
        </w:rPr>
        <w:t xml:space="preserve"> estimation</w:t>
      </w:r>
      <w:r w:rsidRPr="00E66AD8">
        <w:rPr>
          <w:rFonts w:ascii="Garamond" w:hAnsi="Garamond"/>
          <w:sz w:val="22"/>
          <w:szCs w:val="22"/>
        </w:rPr>
        <w:t xml:space="preserve">, the </w:t>
      </w:r>
      <w:r w:rsidR="00124193">
        <w:rPr>
          <w:rFonts w:ascii="Garamond" w:hAnsi="Garamond"/>
          <w:sz w:val="22"/>
          <w:szCs w:val="22"/>
        </w:rPr>
        <w:t xml:space="preserve">further </w:t>
      </w:r>
      <w:r w:rsidRPr="00E66AD8">
        <w:rPr>
          <w:rFonts w:ascii="Garamond" w:hAnsi="Garamond"/>
          <w:sz w:val="22"/>
          <w:szCs w:val="22"/>
        </w:rPr>
        <w:t xml:space="preserve">course of structural reforms in the economy and </w:t>
      </w:r>
      <w:r w:rsidR="00164956">
        <w:rPr>
          <w:rFonts w:ascii="Garamond" w:hAnsi="Garamond"/>
          <w:sz w:val="22"/>
          <w:szCs w:val="22"/>
        </w:rPr>
        <w:t xml:space="preserve">to which extent </w:t>
      </w:r>
      <w:r w:rsidR="00164956" w:rsidRPr="00EE5F0F">
        <w:rPr>
          <w:rFonts w:ascii="Garamond" w:hAnsi="Garamond"/>
          <w:sz w:val="22"/>
          <w:szCs w:val="22"/>
        </w:rPr>
        <w:t>the</w:t>
      </w:r>
      <w:r w:rsidR="00164956">
        <w:rPr>
          <w:rFonts w:ascii="Garamond" w:hAnsi="Garamond"/>
          <w:sz w:val="22"/>
          <w:szCs w:val="22"/>
        </w:rPr>
        <w:t>y will affect the</w:t>
      </w:r>
      <w:r w:rsidRPr="00E66AD8">
        <w:rPr>
          <w:rFonts w:ascii="Garamond" w:hAnsi="Garamond"/>
          <w:sz w:val="22"/>
          <w:szCs w:val="22"/>
        </w:rPr>
        <w:t xml:space="preserve"> business and investment </w:t>
      </w:r>
      <w:r w:rsidR="00F10FA6">
        <w:rPr>
          <w:rFonts w:ascii="Garamond" w:hAnsi="Garamond"/>
          <w:sz w:val="22"/>
          <w:szCs w:val="22"/>
        </w:rPr>
        <w:t>climate</w:t>
      </w:r>
      <w:r w:rsidRPr="00E66AD8">
        <w:rPr>
          <w:rFonts w:ascii="Garamond" w:hAnsi="Garamond"/>
          <w:sz w:val="22"/>
          <w:szCs w:val="22"/>
        </w:rPr>
        <w:t>.</w:t>
      </w:r>
      <w:r w:rsidR="00F10FA6">
        <w:rPr>
          <w:rFonts w:ascii="Garamond" w:hAnsi="Garamond"/>
          <w:sz w:val="22"/>
          <w:szCs w:val="22"/>
        </w:rPr>
        <w:t xml:space="preserve"> </w:t>
      </w:r>
    </w:p>
    <w:p w14:paraId="46D78B52" w14:textId="77777777" w:rsidR="00124193" w:rsidRPr="00124193" w:rsidRDefault="00124193" w:rsidP="00124193">
      <w:pPr>
        <w:autoSpaceDE w:val="0"/>
        <w:autoSpaceDN w:val="0"/>
        <w:adjustRightInd w:val="0"/>
        <w:spacing w:after="120" w:line="360" w:lineRule="auto"/>
        <w:jc w:val="both"/>
        <w:rPr>
          <w:rFonts w:ascii="Garamond" w:hAnsi="Garamond"/>
          <w:sz w:val="22"/>
          <w:szCs w:val="22"/>
        </w:rPr>
      </w:pPr>
      <w:r w:rsidRPr="00124193">
        <w:rPr>
          <w:rFonts w:ascii="Garamond" w:hAnsi="Garamond"/>
          <w:sz w:val="22"/>
          <w:szCs w:val="22"/>
        </w:rPr>
        <w:t xml:space="preserve">It should be noted that net impact </w:t>
      </w:r>
      <w:r>
        <w:rPr>
          <w:rFonts w:ascii="Garamond" w:hAnsi="Garamond"/>
          <w:sz w:val="22"/>
          <w:szCs w:val="22"/>
        </w:rPr>
        <w:t>of the aforementioned risks o</w:t>
      </w:r>
      <w:r w:rsidRPr="00124193">
        <w:rPr>
          <w:rFonts w:ascii="Garamond" w:hAnsi="Garamond"/>
          <w:sz w:val="22"/>
          <w:szCs w:val="22"/>
        </w:rPr>
        <w:t xml:space="preserve">n the economic growth </w:t>
      </w:r>
      <w:r w:rsidR="00947522">
        <w:rPr>
          <w:rFonts w:ascii="Garamond" w:hAnsi="Garamond"/>
          <w:sz w:val="22"/>
          <w:szCs w:val="22"/>
        </w:rPr>
        <w:t xml:space="preserve">is </w:t>
      </w:r>
      <w:r>
        <w:rPr>
          <w:rFonts w:ascii="Garamond" w:hAnsi="Garamond"/>
          <w:sz w:val="22"/>
          <w:szCs w:val="22"/>
        </w:rPr>
        <w:t>trend</w:t>
      </w:r>
      <w:r w:rsidR="00947522">
        <w:rPr>
          <w:rFonts w:ascii="Garamond" w:hAnsi="Garamond"/>
          <w:sz w:val="22"/>
          <w:szCs w:val="22"/>
        </w:rPr>
        <w:t xml:space="preserve">ing </w:t>
      </w:r>
      <w:r w:rsidRPr="00124193">
        <w:rPr>
          <w:rFonts w:ascii="Garamond" w:hAnsi="Garamond"/>
          <w:sz w:val="22"/>
          <w:szCs w:val="22"/>
        </w:rPr>
        <w:t>some</w:t>
      </w:r>
      <w:r>
        <w:rPr>
          <w:rFonts w:ascii="Garamond" w:hAnsi="Garamond"/>
          <w:sz w:val="22"/>
          <w:szCs w:val="22"/>
        </w:rPr>
        <w:t>how</w:t>
      </w:r>
      <w:r w:rsidRPr="00124193">
        <w:rPr>
          <w:rFonts w:ascii="Garamond" w:hAnsi="Garamond"/>
          <w:sz w:val="22"/>
          <w:szCs w:val="22"/>
        </w:rPr>
        <w:t xml:space="preserve"> </w:t>
      </w:r>
      <w:r>
        <w:rPr>
          <w:rFonts w:ascii="Garamond" w:hAnsi="Garamond"/>
          <w:sz w:val="22"/>
          <w:szCs w:val="22"/>
        </w:rPr>
        <w:t>downward</w:t>
      </w:r>
      <w:r w:rsidRPr="00124193">
        <w:rPr>
          <w:rFonts w:ascii="Garamond" w:hAnsi="Garamond"/>
          <w:sz w:val="22"/>
          <w:szCs w:val="22"/>
        </w:rPr>
        <w:t xml:space="preserve"> (see </w:t>
      </w:r>
      <w:r>
        <w:rPr>
          <w:rFonts w:ascii="Garamond" w:hAnsi="Garamond"/>
          <w:sz w:val="22"/>
          <w:szCs w:val="22"/>
        </w:rPr>
        <w:t>Chart</w:t>
      </w:r>
      <w:r w:rsidRPr="00124193">
        <w:rPr>
          <w:rFonts w:ascii="Garamond" w:hAnsi="Garamond"/>
          <w:sz w:val="22"/>
          <w:szCs w:val="22"/>
        </w:rPr>
        <w:t xml:space="preserve"> 2).</w:t>
      </w:r>
    </w:p>
    <w:p w14:paraId="5608AF37" w14:textId="77777777" w:rsidR="00124193" w:rsidRDefault="00124193" w:rsidP="00933B63">
      <w:pPr>
        <w:autoSpaceDE w:val="0"/>
        <w:autoSpaceDN w:val="0"/>
        <w:adjustRightInd w:val="0"/>
        <w:spacing w:after="120" w:line="360" w:lineRule="auto"/>
        <w:jc w:val="both"/>
        <w:rPr>
          <w:rFonts w:ascii="Garamond" w:hAnsi="Garamond"/>
          <w:b/>
          <w:color w:val="0070C0"/>
          <w:sz w:val="22"/>
          <w:szCs w:val="22"/>
        </w:rPr>
      </w:pPr>
    </w:p>
    <w:p w14:paraId="2636B66F"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 ACTUAL DEVELOPMENTS IN Q</w:t>
      </w:r>
      <w:r w:rsidR="005843A1">
        <w:rPr>
          <w:rFonts w:ascii="Garamond" w:hAnsi="Garamond"/>
          <w:b/>
          <w:color w:val="0070C0"/>
          <w:sz w:val="22"/>
          <w:szCs w:val="22"/>
        </w:rPr>
        <w:t>4</w:t>
      </w:r>
      <w:r w:rsidRPr="00EE5F0F">
        <w:rPr>
          <w:rFonts w:ascii="Garamond" w:hAnsi="Garamond"/>
          <w:b/>
          <w:color w:val="0070C0"/>
          <w:sz w:val="22"/>
          <w:szCs w:val="22"/>
        </w:rPr>
        <w:t>, 201</w:t>
      </w:r>
      <w:r w:rsidR="00872F1A" w:rsidRPr="00EE5F0F">
        <w:rPr>
          <w:rFonts w:ascii="Garamond" w:hAnsi="Garamond"/>
          <w:b/>
          <w:color w:val="0070C0"/>
          <w:sz w:val="22"/>
          <w:szCs w:val="22"/>
        </w:rPr>
        <w:t>8</w:t>
      </w:r>
    </w:p>
    <w:p w14:paraId="1C0197EB"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 Inflation</w:t>
      </w:r>
    </w:p>
    <w:p w14:paraId="042DD2D0"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3.1.1. Fulfilment of the inflation target</w:t>
      </w:r>
    </w:p>
    <w:p w14:paraId="6CFD3121" w14:textId="5C82CBE1" w:rsidR="006F2DA8" w:rsidRPr="00924A9E" w:rsidRDefault="00760609" w:rsidP="00933B63">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F</w:t>
      </w:r>
      <w:r w:rsidR="00FE7435">
        <w:rPr>
          <w:rFonts w:ascii="Garamond" w:hAnsi="Garamond"/>
          <w:b/>
          <w:sz w:val="22"/>
          <w:szCs w:val="22"/>
        </w:rPr>
        <w:t>ulfilment of the inflation target in a</w:t>
      </w:r>
      <w:r w:rsidR="00A374BA" w:rsidRPr="00FE7435">
        <w:rPr>
          <w:rFonts w:ascii="Garamond" w:hAnsi="Garamond"/>
          <w:b/>
          <w:sz w:val="22"/>
          <w:szCs w:val="22"/>
        </w:rPr>
        <w:t xml:space="preserve"> </w:t>
      </w:r>
      <w:r w:rsidR="00FE7435" w:rsidRPr="00FE7435">
        <w:rPr>
          <w:rFonts w:ascii="Garamond" w:hAnsi="Garamond"/>
          <w:b/>
          <w:sz w:val="22"/>
          <w:szCs w:val="22"/>
        </w:rPr>
        <w:t>preceding</w:t>
      </w:r>
      <w:r w:rsidR="00530CFA" w:rsidRPr="00FE7435">
        <w:rPr>
          <w:rFonts w:ascii="Garamond" w:hAnsi="Garamond"/>
          <w:b/>
          <w:sz w:val="22"/>
          <w:szCs w:val="22"/>
        </w:rPr>
        <w:t xml:space="preserve"> </w:t>
      </w:r>
      <w:r w:rsidR="00FE7435">
        <w:rPr>
          <w:rFonts w:ascii="Garamond" w:hAnsi="Garamond"/>
          <w:b/>
          <w:sz w:val="22"/>
          <w:szCs w:val="22"/>
        </w:rPr>
        <w:t>1</w:t>
      </w:r>
      <w:r w:rsidR="00530CFA" w:rsidRPr="00FE7435">
        <w:rPr>
          <w:rFonts w:ascii="Garamond" w:hAnsi="Garamond"/>
          <w:b/>
          <w:sz w:val="22"/>
          <w:szCs w:val="22"/>
        </w:rPr>
        <w:t>-year horizon</w:t>
      </w:r>
      <w:r w:rsidR="00C5414D" w:rsidRPr="00FE7435">
        <w:rPr>
          <w:rFonts w:ascii="Garamond" w:hAnsi="Garamond"/>
          <w:b/>
          <w:sz w:val="22"/>
          <w:szCs w:val="22"/>
        </w:rPr>
        <w:t xml:space="preserve"> </w:t>
      </w:r>
      <w:r w:rsidR="005843A1">
        <w:rPr>
          <w:rFonts w:ascii="Garamond" w:hAnsi="Garamond"/>
          <w:b/>
          <w:sz w:val="22"/>
          <w:szCs w:val="22"/>
        </w:rPr>
        <w:t xml:space="preserve">(which covers the entire year 2018) </w:t>
      </w:r>
      <w:r>
        <w:rPr>
          <w:rFonts w:ascii="Garamond" w:hAnsi="Garamond"/>
          <w:sz w:val="22"/>
          <w:szCs w:val="22"/>
        </w:rPr>
        <w:t>suggested t</w:t>
      </w:r>
      <w:r w:rsidRPr="00760609">
        <w:rPr>
          <w:rFonts w:ascii="Garamond" w:hAnsi="Garamond"/>
          <w:sz w:val="22"/>
          <w:szCs w:val="22"/>
        </w:rPr>
        <w:t>hat</w:t>
      </w:r>
      <w:r w:rsidR="00530CFA" w:rsidRPr="00FE7435">
        <w:rPr>
          <w:rFonts w:ascii="Garamond" w:hAnsi="Garamond"/>
          <w:b/>
          <w:sz w:val="22"/>
          <w:szCs w:val="22"/>
        </w:rPr>
        <w:t xml:space="preserve"> </w:t>
      </w:r>
      <w:r w:rsidR="00A6694B" w:rsidRPr="00FE7435">
        <w:rPr>
          <w:rFonts w:ascii="Garamond" w:hAnsi="Garamond"/>
          <w:sz w:val="22"/>
          <w:szCs w:val="22"/>
        </w:rPr>
        <w:t xml:space="preserve">the </w:t>
      </w:r>
      <w:r w:rsidR="00146A2B" w:rsidRPr="00FE7435">
        <w:rPr>
          <w:rFonts w:ascii="Garamond" w:hAnsi="Garamond"/>
          <w:sz w:val="22"/>
          <w:szCs w:val="22"/>
        </w:rPr>
        <w:t>inflation environment would further be</w:t>
      </w:r>
      <w:r w:rsidR="00146A2B">
        <w:rPr>
          <w:rFonts w:ascii="Garamond" w:hAnsi="Garamond"/>
          <w:sz w:val="22"/>
          <w:szCs w:val="22"/>
        </w:rPr>
        <w:t xml:space="preserve"> expanding </w:t>
      </w:r>
      <w:r w:rsidR="005843A1">
        <w:rPr>
          <w:rFonts w:ascii="Garamond" w:hAnsi="Garamond"/>
          <w:sz w:val="22"/>
          <w:szCs w:val="22"/>
        </w:rPr>
        <w:t>during the year</w:t>
      </w:r>
      <w:r w:rsidR="00CE5358">
        <w:rPr>
          <w:rFonts w:ascii="Garamond" w:hAnsi="Garamond"/>
          <w:sz w:val="22"/>
          <w:szCs w:val="22"/>
        </w:rPr>
        <w:t xml:space="preserve">, mainly </w:t>
      </w:r>
      <w:r w:rsidR="005843A1">
        <w:rPr>
          <w:rFonts w:ascii="Garamond" w:hAnsi="Garamond"/>
          <w:sz w:val="22"/>
          <w:szCs w:val="22"/>
        </w:rPr>
        <w:t xml:space="preserve">driven </w:t>
      </w:r>
      <w:r w:rsidR="00827D7C">
        <w:rPr>
          <w:rFonts w:ascii="Garamond" w:hAnsi="Garamond"/>
          <w:sz w:val="22"/>
          <w:szCs w:val="22"/>
        </w:rPr>
        <w:t xml:space="preserve">by </w:t>
      </w:r>
      <w:r w:rsidR="005843A1" w:rsidRPr="00CE5358">
        <w:rPr>
          <w:rFonts w:ascii="Garamond" w:hAnsi="Garamond"/>
          <w:sz w:val="22"/>
          <w:szCs w:val="22"/>
        </w:rPr>
        <w:t xml:space="preserve">inflationary </w:t>
      </w:r>
      <w:r w:rsidR="005843A1">
        <w:rPr>
          <w:rFonts w:ascii="Garamond" w:hAnsi="Garamond"/>
          <w:sz w:val="22"/>
          <w:szCs w:val="22"/>
        </w:rPr>
        <w:t>effects transmitting f</w:t>
      </w:r>
      <w:r w:rsidR="005843A1" w:rsidRPr="00CE5358">
        <w:rPr>
          <w:rFonts w:ascii="Garamond" w:hAnsi="Garamond"/>
          <w:sz w:val="22"/>
          <w:szCs w:val="22"/>
        </w:rPr>
        <w:t>rom world commodity markets</w:t>
      </w:r>
      <w:r w:rsidR="005843A1">
        <w:rPr>
          <w:rFonts w:ascii="Garamond" w:hAnsi="Garamond"/>
          <w:sz w:val="22"/>
          <w:szCs w:val="22"/>
        </w:rPr>
        <w:t xml:space="preserve"> </w:t>
      </w:r>
      <w:r w:rsidR="00827D7C">
        <w:rPr>
          <w:rFonts w:ascii="Garamond" w:hAnsi="Garamond"/>
          <w:sz w:val="22"/>
          <w:szCs w:val="22"/>
        </w:rPr>
        <w:t xml:space="preserve">and invigorated </w:t>
      </w:r>
      <w:r w:rsidR="00CE5358">
        <w:rPr>
          <w:rFonts w:ascii="Garamond" w:hAnsi="Garamond"/>
          <w:sz w:val="22"/>
          <w:szCs w:val="22"/>
        </w:rPr>
        <w:t>domestic demand</w:t>
      </w:r>
      <w:r w:rsidR="00827D7C">
        <w:rPr>
          <w:rFonts w:ascii="Garamond" w:hAnsi="Garamond"/>
          <w:sz w:val="22"/>
          <w:szCs w:val="22"/>
        </w:rPr>
        <w:t xml:space="preserve"> thanks to the</w:t>
      </w:r>
      <w:r w:rsidR="00CE5358" w:rsidRPr="00CE5358">
        <w:rPr>
          <w:rFonts w:ascii="Garamond" w:hAnsi="Garamond"/>
          <w:sz w:val="22"/>
          <w:szCs w:val="22"/>
        </w:rPr>
        <w:t xml:space="preserve"> </w:t>
      </w:r>
      <w:r w:rsidR="00CE5358">
        <w:rPr>
          <w:rFonts w:ascii="Garamond" w:hAnsi="Garamond"/>
          <w:sz w:val="22"/>
          <w:szCs w:val="22"/>
        </w:rPr>
        <w:t xml:space="preserve">expansionary </w:t>
      </w:r>
      <w:r w:rsidR="00CE5358" w:rsidRPr="00CE5358">
        <w:rPr>
          <w:rFonts w:ascii="Garamond" w:hAnsi="Garamond"/>
          <w:sz w:val="22"/>
          <w:szCs w:val="22"/>
        </w:rPr>
        <w:t>monetary policy implemented by the Central Bank</w:t>
      </w:r>
      <w:r w:rsidR="00CE5358">
        <w:rPr>
          <w:rFonts w:ascii="Garamond" w:hAnsi="Garamond"/>
          <w:sz w:val="22"/>
          <w:szCs w:val="22"/>
        </w:rPr>
        <w:t xml:space="preserve">, </w:t>
      </w:r>
      <w:r w:rsidR="00146A2B">
        <w:rPr>
          <w:rFonts w:ascii="Garamond" w:hAnsi="Garamond"/>
          <w:sz w:val="22"/>
          <w:szCs w:val="22"/>
        </w:rPr>
        <w:t>according to Q</w:t>
      </w:r>
      <w:r w:rsidR="005843A1">
        <w:rPr>
          <w:rFonts w:ascii="Garamond" w:hAnsi="Garamond"/>
          <w:sz w:val="22"/>
          <w:szCs w:val="22"/>
        </w:rPr>
        <w:t>1</w:t>
      </w:r>
      <w:r w:rsidR="00146A2B">
        <w:rPr>
          <w:rFonts w:ascii="Garamond" w:hAnsi="Garamond"/>
          <w:sz w:val="22"/>
          <w:szCs w:val="22"/>
        </w:rPr>
        <w:t>, 201</w:t>
      </w:r>
      <w:r w:rsidR="005843A1">
        <w:rPr>
          <w:rFonts w:ascii="Garamond" w:hAnsi="Garamond"/>
          <w:sz w:val="22"/>
          <w:szCs w:val="22"/>
        </w:rPr>
        <w:t>8</w:t>
      </w:r>
      <w:r w:rsidR="00146A2B">
        <w:rPr>
          <w:rFonts w:ascii="Garamond" w:hAnsi="Garamond"/>
          <w:sz w:val="22"/>
          <w:szCs w:val="22"/>
        </w:rPr>
        <w:t xml:space="preserve"> </w:t>
      </w:r>
      <w:r w:rsidR="00CE5358">
        <w:rPr>
          <w:rFonts w:ascii="Garamond" w:hAnsi="Garamond"/>
          <w:sz w:val="22"/>
          <w:szCs w:val="22"/>
        </w:rPr>
        <w:t xml:space="preserve">Monetary Policy Program. The estimation was </w:t>
      </w:r>
      <w:r w:rsidR="00CE5358" w:rsidRPr="00CE5358">
        <w:rPr>
          <w:rFonts w:ascii="Garamond" w:hAnsi="Garamond"/>
          <w:sz w:val="22"/>
          <w:szCs w:val="22"/>
        </w:rPr>
        <w:t xml:space="preserve">that </w:t>
      </w:r>
      <w:r w:rsidR="00CE5358">
        <w:rPr>
          <w:rFonts w:ascii="Garamond" w:hAnsi="Garamond"/>
          <w:sz w:val="22"/>
          <w:szCs w:val="22"/>
        </w:rPr>
        <w:t xml:space="preserve">altered </w:t>
      </w:r>
      <w:r w:rsidR="00CE5358" w:rsidRPr="00CE5358">
        <w:rPr>
          <w:rFonts w:ascii="Garamond" w:hAnsi="Garamond"/>
          <w:sz w:val="22"/>
          <w:szCs w:val="22"/>
        </w:rPr>
        <w:t xml:space="preserve">customs </w:t>
      </w:r>
      <w:r w:rsidR="00CE5358">
        <w:rPr>
          <w:rFonts w:ascii="Garamond" w:hAnsi="Garamond"/>
          <w:sz w:val="22"/>
          <w:szCs w:val="22"/>
        </w:rPr>
        <w:t xml:space="preserve">and </w:t>
      </w:r>
      <w:r w:rsidR="00CE5358" w:rsidRPr="00CE5358">
        <w:rPr>
          <w:rFonts w:ascii="Garamond" w:hAnsi="Garamond"/>
          <w:sz w:val="22"/>
          <w:szCs w:val="22"/>
        </w:rPr>
        <w:t xml:space="preserve">excise </w:t>
      </w:r>
      <w:r w:rsidR="00A02C65">
        <w:rPr>
          <w:rFonts w:ascii="Garamond" w:hAnsi="Garamond"/>
          <w:sz w:val="22"/>
          <w:szCs w:val="22"/>
        </w:rPr>
        <w:t xml:space="preserve">duty </w:t>
      </w:r>
      <w:r w:rsidR="00CE5358" w:rsidRPr="00CE5358">
        <w:rPr>
          <w:rFonts w:ascii="Garamond" w:hAnsi="Garamond"/>
          <w:sz w:val="22"/>
          <w:szCs w:val="22"/>
        </w:rPr>
        <w:t>rates on certain goods w</w:t>
      </w:r>
      <w:r w:rsidR="00EE2BAD">
        <w:rPr>
          <w:rFonts w:ascii="Garamond" w:hAnsi="Garamond"/>
          <w:sz w:val="22"/>
          <w:szCs w:val="22"/>
        </w:rPr>
        <w:t>ould</w:t>
      </w:r>
      <w:r w:rsidR="00CE5358" w:rsidRPr="00CE5358">
        <w:rPr>
          <w:rFonts w:ascii="Garamond" w:hAnsi="Garamond"/>
          <w:sz w:val="22"/>
          <w:szCs w:val="22"/>
        </w:rPr>
        <w:t xml:space="preserve"> have a limited inflationary effect</w:t>
      </w:r>
      <w:r w:rsidR="00EE2BAD">
        <w:rPr>
          <w:rFonts w:ascii="Garamond" w:hAnsi="Garamond"/>
          <w:sz w:val="22"/>
          <w:szCs w:val="22"/>
        </w:rPr>
        <w:t xml:space="preserve"> in the short run,</w:t>
      </w:r>
      <w:r w:rsidR="00CE5358" w:rsidRPr="00CE5358">
        <w:rPr>
          <w:rFonts w:ascii="Garamond" w:hAnsi="Garamond"/>
          <w:sz w:val="22"/>
          <w:szCs w:val="22"/>
        </w:rPr>
        <w:t xml:space="preserve"> </w:t>
      </w:r>
      <w:r w:rsidR="00827D7C">
        <w:rPr>
          <w:rFonts w:ascii="Garamond" w:hAnsi="Garamond"/>
          <w:sz w:val="22"/>
          <w:szCs w:val="22"/>
        </w:rPr>
        <w:t>and a</w:t>
      </w:r>
      <w:r w:rsidR="00827D7C" w:rsidRPr="00827D7C">
        <w:rPr>
          <w:rFonts w:ascii="Garamond" w:hAnsi="Garamond"/>
          <w:sz w:val="22"/>
          <w:szCs w:val="22"/>
        </w:rPr>
        <w:t>dditional inflation expectations</w:t>
      </w:r>
      <w:r w:rsidR="00827D7C">
        <w:rPr>
          <w:rFonts w:ascii="Garamond" w:hAnsi="Garamond"/>
          <w:sz w:val="22"/>
          <w:szCs w:val="22"/>
        </w:rPr>
        <w:t xml:space="preserve"> in end-2017</w:t>
      </w:r>
      <w:r w:rsidR="00827D7C" w:rsidRPr="00827D7C">
        <w:rPr>
          <w:rFonts w:ascii="Garamond" w:hAnsi="Garamond"/>
          <w:sz w:val="22"/>
          <w:szCs w:val="22"/>
        </w:rPr>
        <w:t xml:space="preserve">, </w:t>
      </w:r>
      <w:r w:rsidR="00827D7C">
        <w:rPr>
          <w:rFonts w:ascii="Garamond" w:hAnsi="Garamond"/>
          <w:sz w:val="22"/>
          <w:szCs w:val="22"/>
        </w:rPr>
        <w:t>temporary in</w:t>
      </w:r>
      <w:r w:rsidR="00827D7C" w:rsidRPr="00CE5358">
        <w:rPr>
          <w:rFonts w:ascii="Garamond" w:hAnsi="Garamond"/>
          <w:sz w:val="22"/>
          <w:szCs w:val="22"/>
        </w:rPr>
        <w:t xml:space="preserve"> nature</w:t>
      </w:r>
      <w:r w:rsidR="00827D7C" w:rsidRPr="00827D7C">
        <w:rPr>
          <w:rFonts w:ascii="Garamond" w:hAnsi="Garamond"/>
          <w:sz w:val="22"/>
          <w:szCs w:val="22"/>
        </w:rPr>
        <w:t xml:space="preserve"> </w:t>
      </w:r>
      <w:r w:rsidR="00827D7C">
        <w:rPr>
          <w:rFonts w:ascii="Garamond" w:hAnsi="Garamond"/>
          <w:sz w:val="22"/>
          <w:szCs w:val="22"/>
        </w:rPr>
        <w:t xml:space="preserve">as they resulted from increased prices on </w:t>
      </w:r>
      <w:r w:rsidR="00AB27E7">
        <w:rPr>
          <w:rFonts w:ascii="Garamond" w:hAnsi="Garamond"/>
          <w:sz w:val="22"/>
          <w:szCs w:val="22"/>
        </w:rPr>
        <w:t xml:space="preserve">individual </w:t>
      </w:r>
      <w:r w:rsidR="00827D7C">
        <w:rPr>
          <w:rFonts w:ascii="Garamond" w:hAnsi="Garamond"/>
          <w:sz w:val="22"/>
          <w:szCs w:val="22"/>
        </w:rPr>
        <w:t xml:space="preserve">products, </w:t>
      </w:r>
      <w:r w:rsidR="00EE2BAD">
        <w:rPr>
          <w:rFonts w:ascii="Garamond" w:hAnsi="Garamond"/>
          <w:sz w:val="22"/>
          <w:szCs w:val="22"/>
        </w:rPr>
        <w:t xml:space="preserve">would be phasing out starting </w:t>
      </w:r>
      <w:r w:rsidR="005D1330" w:rsidRPr="00CE5358">
        <w:rPr>
          <w:rFonts w:ascii="Garamond" w:hAnsi="Garamond"/>
          <w:sz w:val="22"/>
          <w:szCs w:val="22"/>
        </w:rPr>
        <w:t>201</w:t>
      </w:r>
      <w:r w:rsidR="005D1330">
        <w:rPr>
          <w:rFonts w:ascii="Sylfaen" w:hAnsi="Sylfaen"/>
          <w:sz w:val="22"/>
          <w:szCs w:val="22"/>
          <w:lang w:val="hy-AM"/>
        </w:rPr>
        <w:t>8</w:t>
      </w:r>
      <w:r w:rsidR="00CE5358" w:rsidRPr="00CE5358">
        <w:rPr>
          <w:rFonts w:ascii="Garamond" w:hAnsi="Garamond"/>
          <w:sz w:val="22"/>
          <w:szCs w:val="22"/>
        </w:rPr>
        <w:t>.</w:t>
      </w:r>
      <w:r w:rsidR="00924A9E">
        <w:rPr>
          <w:rFonts w:ascii="Garamond" w:hAnsi="Garamond"/>
          <w:sz w:val="22"/>
          <w:szCs w:val="22"/>
        </w:rPr>
        <w:t xml:space="preserve"> To ensure the sustainability of demand, the </w:t>
      </w:r>
      <w:r w:rsidR="00924A9E" w:rsidRPr="00924A9E">
        <w:rPr>
          <w:rFonts w:ascii="Garamond" w:hAnsi="Garamond"/>
          <w:b/>
          <w:sz w:val="22"/>
          <w:szCs w:val="22"/>
        </w:rPr>
        <w:t>monetary policy</w:t>
      </w:r>
      <w:r w:rsidR="00924A9E">
        <w:rPr>
          <w:rFonts w:ascii="Garamond" w:hAnsi="Garamond"/>
          <w:b/>
          <w:sz w:val="22"/>
          <w:szCs w:val="22"/>
        </w:rPr>
        <w:t xml:space="preserve"> stance</w:t>
      </w:r>
      <w:r w:rsidR="00924A9E" w:rsidRPr="00924A9E">
        <w:rPr>
          <w:rFonts w:ascii="Garamond" w:hAnsi="Garamond"/>
          <w:b/>
          <w:sz w:val="22"/>
          <w:szCs w:val="22"/>
        </w:rPr>
        <w:t xml:space="preserve"> would </w:t>
      </w:r>
      <w:r w:rsidR="00924A9E">
        <w:rPr>
          <w:rFonts w:ascii="Garamond" w:hAnsi="Garamond"/>
          <w:b/>
          <w:sz w:val="22"/>
          <w:szCs w:val="22"/>
        </w:rPr>
        <w:t>have to remain e</w:t>
      </w:r>
      <w:r w:rsidR="00924A9E" w:rsidRPr="00924A9E">
        <w:rPr>
          <w:rFonts w:ascii="Garamond" w:hAnsi="Garamond"/>
          <w:b/>
          <w:sz w:val="22"/>
          <w:szCs w:val="22"/>
        </w:rPr>
        <w:t>xpansionary</w:t>
      </w:r>
      <w:r w:rsidR="009D05A1" w:rsidRPr="009D05A1">
        <w:rPr>
          <w:rFonts w:ascii="Garamond" w:hAnsi="Garamond"/>
          <w:sz w:val="22"/>
          <w:szCs w:val="22"/>
        </w:rPr>
        <w:t>,</w:t>
      </w:r>
      <w:r w:rsidR="00924A9E">
        <w:rPr>
          <w:rFonts w:ascii="Garamond" w:hAnsi="Garamond"/>
          <w:b/>
          <w:sz w:val="22"/>
          <w:szCs w:val="22"/>
        </w:rPr>
        <w:t xml:space="preserve"> </w:t>
      </w:r>
      <w:r w:rsidR="00924A9E">
        <w:rPr>
          <w:rFonts w:ascii="Garamond" w:hAnsi="Garamond"/>
          <w:sz w:val="22"/>
          <w:szCs w:val="22"/>
        </w:rPr>
        <w:t xml:space="preserve">according to </w:t>
      </w:r>
      <w:r w:rsidR="00924A9E">
        <w:rPr>
          <w:rFonts w:ascii="Garamond" w:hAnsi="Garamond"/>
          <w:sz w:val="22"/>
          <w:szCs w:val="22"/>
        </w:rPr>
        <w:lastRenderedPageBreak/>
        <w:t>the Program</w:t>
      </w:r>
      <w:r w:rsidR="009D05A1">
        <w:rPr>
          <w:rFonts w:ascii="Garamond" w:hAnsi="Garamond"/>
          <w:sz w:val="22"/>
          <w:szCs w:val="22"/>
        </w:rPr>
        <w:t>,</w:t>
      </w:r>
      <w:r w:rsidR="00924A9E">
        <w:rPr>
          <w:rFonts w:ascii="Garamond" w:hAnsi="Garamond"/>
          <w:sz w:val="22"/>
          <w:szCs w:val="22"/>
        </w:rPr>
        <w:t xml:space="preserve"> but </w:t>
      </w:r>
      <w:r w:rsidR="006F2DA8">
        <w:rPr>
          <w:rFonts w:ascii="Garamond" w:hAnsi="Garamond"/>
          <w:sz w:val="22"/>
          <w:szCs w:val="22"/>
        </w:rPr>
        <w:t xml:space="preserve">in the </w:t>
      </w:r>
      <w:r w:rsidR="00924A9E">
        <w:rPr>
          <w:rFonts w:ascii="Garamond" w:hAnsi="Garamond"/>
          <w:sz w:val="22"/>
          <w:szCs w:val="22"/>
        </w:rPr>
        <w:t>course of the year</w:t>
      </w:r>
      <w:r w:rsidR="009D05A1">
        <w:rPr>
          <w:rFonts w:ascii="Garamond" w:hAnsi="Garamond"/>
          <w:sz w:val="22"/>
          <w:szCs w:val="22"/>
        </w:rPr>
        <w:t>, as inflation rebound</w:t>
      </w:r>
      <w:r w:rsidR="00862751">
        <w:rPr>
          <w:rFonts w:ascii="Garamond" w:hAnsi="Garamond"/>
          <w:sz w:val="22"/>
          <w:szCs w:val="22"/>
        </w:rPr>
        <w:t>ed</w:t>
      </w:r>
      <w:r w:rsidR="009D05A1">
        <w:rPr>
          <w:rFonts w:ascii="Garamond" w:hAnsi="Garamond"/>
          <w:sz w:val="22"/>
          <w:szCs w:val="22"/>
        </w:rPr>
        <w:t xml:space="preserve">, </w:t>
      </w:r>
      <w:r w:rsidR="009161D6" w:rsidRPr="006F2DA8">
        <w:rPr>
          <w:rFonts w:ascii="Garamond" w:hAnsi="Garamond"/>
          <w:b/>
          <w:sz w:val="22"/>
          <w:szCs w:val="22"/>
        </w:rPr>
        <w:t>expansionary monetary</w:t>
      </w:r>
      <w:r w:rsidR="009D05A1">
        <w:rPr>
          <w:rFonts w:ascii="Garamond" w:hAnsi="Garamond"/>
          <w:b/>
          <w:sz w:val="22"/>
          <w:szCs w:val="22"/>
        </w:rPr>
        <w:t xml:space="preserve"> environment </w:t>
      </w:r>
      <w:r w:rsidR="00862751">
        <w:rPr>
          <w:rFonts w:ascii="Garamond" w:hAnsi="Garamond"/>
          <w:b/>
          <w:sz w:val="22"/>
          <w:szCs w:val="22"/>
        </w:rPr>
        <w:t xml:space="preserve">had to </w:t>
      </w:r>
      <w:r w:rsidR="009D05A1">
        <w:rPr>
          <w:rFonts w:ascii="Garamond" w:hAnsi="Garamond"/>
          <w:b/>
          <w:sz w:val="22"/>
          <w:szCs w:val="22"/>
        </w:rPr>
        <w:t xml:space="preserve">phase out </w:t>
      </w:r>
      <w:r w:rsidR="006F2DA8" w:rsidRPr="009D05A1">
        <w:rPr>
          <w:rFonts w:ascii="Garamond" w:hAnsi="Garamond"/>
          <w:b/>
          <w:sz w:val="22"/>
          <w:szCs w:val="22"/>
        </w:rPr>
        <w:t>graduall</w:t>
      </w:r>
      <w:r w:rsidR="009D05A1" w:rsidRPr="009D05A1">
        <w:rPr>
          <w:rFonts w:ascii="Garamond" w:hAnsi="Garamond"/>
          <w:b/>
          <w:sz w:val="22"/>
          <w:szCs w:val="22"/>
        </w:rPr>
        <w:t>y</w:t>
      </w:r>
      <w:r w:rsidR="009D05A1">
        <w:rPr>
          <w:rFonts w:ascii="Garamond" w:hAnsi="Garamond"/>
          <w:sz w:val="22"/>
          <w:szCs w:val="22"/>
        </w:rPr>
        <w:t xml:space="preserve">, fulfilling </w:t>
      </w:r>
      <w:r w:rsidR="009D05A1" w:rsidRPr="009D05A1">
        <w:rPr>
          <w:rFonts w:ascii="Garamond" w:hAnsi="Garamond"/>
          <w:sz w:val="22"/>
          <w:szCs w:val="22"/>
        </w:rPr>
        <w:t>the mid-term price stability objective</w:t>
      </w:r>
      <w:r w:rsidR="006F2DA8">
        <w:rPr>
          <w:rFonts w:ascii="Garamond" w:hAnsi="Garamond"/>
          <w:sz w:val="22"/>
          <w:szCs w:val="22"/>
        </w:rPr>
        <w:t xml:space="preserve">. </w:t>
      </w:r>
    </w:p>
    <w:p w14:paraId="4852A856" w14:textId="77777777" w:rsidR="00BC4021" w:rsidRDefault="00BD7776" w:rsidP="00933B63">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As </w:t>
      </w:r>
      <w:r w:rsidR="006428B8" w:rsidRPr="006428B8">
        <w:rPr>
          <w:rFonts w:ascii="Garamond" w:hAnsi="Garamond"/>
          <w:sz w:val="22"/>
          <w:szCs w:val="22"/>
        </w:rPr>
        <w:t xml:space="preserve">actual developments </w:t>
      </w:r>
      <w:r w:rsidR="009D05A1">
        <w:rPr>
          <w:rFonts w:ascii="Garamond" w:hAnsi="Garamond"/>
          <w:sz w:val="22"/>
          <w:szCs w:val="22"/>
        </w:rPr>
        <w:t xml:space="preserve">in 2018 </w:t>
      </w:r>
      <w:r w:rsidR="006428B8">
        <w:rPr>
          <w:rFonts w:ascii="Garamond" w:hAnsi="Garamond"/>
          <w:sz w:val="22"/>
          <w:szCs w:val="22"/>
        </w:rPr>
        <w:t>showed</w:t>
      </w:r>
      <w:r>
        <w:rPr>
          <w:rFonts w:ascii="Garamond" w:hAnsi="Garamond"/>
          <w:sz w:val="22"/>
          <w:szCs w:val="22"/>
        </w:rPr>
        <w:t>,</w:t>
      </w:r>
      <w:r w:rsidR="006428B8">
        <w:rPr>
          <w:rFonts w:ascii="Garamond" w:hAnsi="Garamond"/>
          <w:sz w:val="22"/>
          <w:szCs w:val="22"/>
        </w:rPr>
        <w:t xml:space="preserve"> </w:t>
      </w:r>
      <w:r w:rsidR="009D05A1">
        <w:rPr>
          <w:rFonts w:ascii="Garamond" w:hAnsi="Garamond"/>
          <w:sz w:val="22"/>
          <w:szCs w:val="22"/>
        </w:rPr>
        <w:t xml:space="preserve">the </w:t>
      </w:r>
      <w:r>
        <w:rPr>
          <w:rFonts w:ascii="Garamond" w:hAnsi="Garamond"/>
          <w:sz w:val="22"/>
          <w:szCs w:val="22"/>
        </w:rPr>
        <w:t xml:space="preserve">risks </w:t>
      </w:r>
      <w:r w:rsidR="009D05A1" w:rsidRPr="009D05A1">
        <w:rPr>
          <w:rFonts w:ascii="Garamond" w:hAnsi="Garamond"/>
          <w:sz w:val="22"/>
          <w:szCs w:val="22"/>
        </w:rPr>
        <w:t xml:space="preserve">have </w:t>
      </w:r>
      <w:r w:rsidR="009D05A1">
        <w:rPr>
          <w:rFonts w:ascii="Garamond" w:hAnsi="Garamond"/>
          <w:sz w:val="22"/>
          <w:szCs w:val="22"/>
        </w:rPr>
        <w:t xml:space="preserve">materialized </w:t>
      </w:r>
      <w:r>
        <w:rPr>
          <w:rFonts w:ascii="Garamond" w:hAnsi="Garamond"/>
          <w:sz w:val="22"/>
          <w:szCs w:val="22"/>
        </w:rPr>
        <w:t>early in</w:t>
      </w:r>
      <w:r w:rsidR="009D05A1" w:rsidRPr="009D05A1">
        <w:rPr>
          <w:rFonts w:ascii="Garamond" w:hAnsi="Garamond"/>
          <w:sz w:val="22"/>
          <w:szCs w:val="22"/>
        </w:rPr>
        <w:t xml:space="preserve"> the year</w:t>
      </w:r>
      <w:r w:rsidR="003F0DF2">
        <w:rPr>
          <w:rFonts w:ascii="Garamond" w:hAnsi="Garamond"/>
          <w:sz w:val="22"/>
          <w:szCs w:val="22"/>
        </w:rPr>
        <w:t>:</w:t>
      </w:r>
      <w:r>
        <w:rPr>
          <w:rFonts w:ascii="Garamond" w:hAnsi="Garamond"/>
          <w:sz w:val="22"/>
          <w:szCs w:val="22"/>
        </w:rPr>
        <w:t xml:space="preserve"> </w:t>
      </w:r>
      <w:r w:rsidR="009D05A1" w:rsidRPr="009D05A1">
        <w:rPr>
          <w:rFonts w:ascii="Garamond" w:hAnsi="Garamond"/>
          <w:sz w:val="22"/>
          <w:szCs w:val="22"/>
        </w:rPr>
        <w:t>th</w:t>
      </w:r>
      <w:r>
        <w:rPr>
          <w:rFonts w:ascii="Garamond" w:hAnsi="Garamond"/>
          <w:sz w:val="22"/>
          <w:szCs w:val="22"/>
        </w:rPr>
        <w:t xml:space="preserve">e demand, relatively high in </w:t>
      </w:r>
      <w:r w:rsidR="009D05A1" w:rsidRPr="009D05A1">
        <w:rPr>
          <w:rFonts w:ascii="Garamond" w:hAnsi="Garamond"/>
          <w:sz w:val="22"/>
          <w:szCs w:val="22"/>
        </w:rPr>
        <w:t>the previous year</w:t>
      </w:r>
      <w:r>
        <w:rPr>
          <w:rFonts w:ascii="Garamond" w:hAnsi="Garamond"/>
          <w:sz w:val="22"/>
          <w:szCs w:val="22"/>
        </w:rPr>
        <w:t>,</w:t>
      </w:r>
      <w:r w:rsidR="009D05A1" w:rsidRPr="009D05A1">
        <w:rPr>
          <w:rFonts w:ascii="Garamond" w:hAnsi="Garamond"/>
          <w:sz w:val="22"/>
          <w:szCs w:val="22"/>
        </w:rPr>
        <w:t xml:space="preserve"> </w:t>
      </w:r>
      <w:r>
        <w:rPr>
          <w:rFonts w:ascii="Garamond" w:hAnsi="Garamond"/>
          <w:sz w:val="22"/>
          <w:szCs w:val="22"/>
        </w:rPr>
        <w:t xml:space="preserve">proved </w:t>
      </w:r>
      <w:r w:rsidR="009D05A1" w:rsidRPr="009D05A1">
        <w:rPr>
          <w:rFonts w:ascii="Garamond" w:hAnsi="Garamond"/>
          <w:sz w:val="22"/>
          <w:szCs w:val="22"/>
        </w:rPr>
        <w:t xml:space="preserve">temporary </w:t>
      </w:r>
      <w:r>
        <w:rPr>
          <w:rFonts w:ascii="Garamond" w:hAnsi="Garamond"/>
          <w:sz w:val="22"/>
          <w:szCs w:val="22"/>
        </w:rPr>
        <w:t xml:space="preserve">in nature and came somewhat weaker </w:t>
      </w:r>
      <w:r w:rsidR="009D05A1" w:rsidRPr="009D05A1">
        <w:rPr>
          <w:rFonts w:ascii="Garamond" w:hAnsi="Garamond"/>
          <w:sz w:val="22"/>
          <w:szCs w:val="22"/>
        </w:rPr>
        <w:t xml:space="preserve">at the </w:t>
      </w:r>
      <w:r>
        <w:rPr>
          <w:rFonts w:ascii="Garamond" w:hAnsi="Garamond"/>
          <w:sz w:val="22"/>
          <w:szCs w:val="22"/>
        </w:rPr>
        <w:t xml:space="preserve">start of the year; </w:t>
      </w:r>
      <w:r w:rsidR="003F0DF2">
        <w:rPr>
          <w:rFonts w:ascii="Garamond" w:hAnsi="Garamond"/>
          <w:sz w:val="22"/>
          <w:szCs w:val="22"/>
        </w:rPr>
        <w:t xml:space="preserve">it </w:t>
      </w:r>
      <w:r w:rsidR="009D05A1" w:rsidRPr="009D05A1">
        <w:rPr>
          <w:rFonts w:ascii="Garamond" w:hAnsi="Garamond"/>
          <w:sz w:val="22"/>
          <w:szCs w:val="22"/>
        </w:rPr>
        <w:t xml:space="preserve">further </w:t>
      </w:r>
      <w:r w:rsidR="003F0DF2">
        <w:rPr>
          <w:rFonts w:ascii="Garamond" w:hAnsi="Garamond"/>
          <w:sz w:val="22"/>
          <w:szCs w:val="22"/>
        </w:rPr>
        <w:t xml:space="preserve">slowed incurring the impact of </w:t>
      </w:r>
      <w:r w:rsidR="009D05A1" w:rsidRPr="009D05A1">
        <w:rPr>
          <w:rFonts w:ascii="Garamond" w:hAnsi="Garamond"/>
          <w:sz w:val="22"/>
          <w:szCs w:val="22"/>
        </w:rPr>
        <w:t xml:space="preserve">the </w:t>
      </w:r>
      <w:r w:rsidR="003F0DF2">
        <w:rPr>
          <w:rFonts w:ascii="Garamond" w:hAnsi="Garamond"/>
          <w:sz w:val="22"/>
          <w:szCs w:val="22"/>
        </w:rPr>
        <w:t>Government’</w:t>
      </w:r>
      <w:r w:rsidR="009D05A1" w:rsidRPr="009D05A1">
        <w:rPr>
          <w:rFonts w:ascii="Garamond" w:hAnsi="Garamond"/>
          <w:sz w:val="22"/>
          <w:szCs w:val="22"/>
        </w:rPr>
        <w:t xml:space="preserve">s </w:t>
      </w:r>
      <w:r w:rsidR="003F0DF2">
        <w:rPr>
          <w:rFonts w:ascii="Garamond" w:hAnsi="Garamond"/>
          <w:sz w:val="22"/>
          <w:szCs w:val="22"/>
        </w:rPr>
        <w:t xml:space="preserve">contractionary </w:t>
      </w:r>
      <w:r w:rsidR="009D05A1" w:rsidRPr="009D05A1">
        <w:rPr>
          <w:rFonts w:ascii="Garamond" w:hAnsi="Garamond"/>
          <w:sz w:val="22"/>
          <w:szCs w:val="22"/>
        </w:rPr>
        <w:t xml:space="preserve">fiscal policy and </w:t>
      </w:r>
      <w:r w:rsidR="003F0DF2">
        <w:rPr>
          <w:rFonts w:ascii="Garamond" w:hAnsi="Garamond"/>
          <w:sz w:val="22"/>
          <w:szCs w:val="22"/>
        </w:rPr>
        <w:t xml:space="preserve">considerably </w:t>
      </w:r>
      <w:r w:rsidR="009D05A1" w:rsidRPr="009D05A1">
        <w:rPr>
          <w:rFonts w:ascii="Garamond" w:hAnsi="Garamond"/>
          <w:sz w:val="22"/>
          <w:szCs w:val="22"/>
        </w:rPr>
        <w:t>weaken</w:t>
      </w:r>
      <w:r w:rsidR="003F0DF2">
        <w:rPr>
          <w:rFonts w:ascii="Garamond" w:hAnsi="Garamond"/>
          <w:sz w:val="22"/>
          <w:szCs w:val="22"/>
        </w:rPr>
        <w:t xml:space="preserve">ed </w:t>
      </w:r>
      <w:r w:rsidR="009D05A1" w:rsidRPr="009D05A1">
        <w:rPr>
          <w:rFonts w:ascii="Garamond" w:hAnsi="Garamond"/>
          <w:sz w:val="22"/>
          <w:szCs w:val="22"/>
        </w:rPr>
        <w:t xml:space="preserve">inflation environment in the outside world. </w:t>
      </w:r>
      <w:r w:rsidR="003F0DF2">
        <w:rPr>
          <w:rFonts w:ascii="Garamond" w:hAnsi="Garamond"/>
          <w:sz w:val="22"/>
          <w:szCs w:val="22"/>
        </w:rPr>
        <w:t>Furthermore, t</w:t>
      </w:r>
      <w:r w:rsidR="009D05A1" w:rsidRPr="009D05A1">
        <w:rPr>
          <w:rFonts w:ascii="Garamond" w:hAnsi="Garamond"/>
          <w:sz w:val="22"/>
          <w:szCs w:val="22"/>
        </w:rPr>
        <w:t xml:space="preserve">he above developments were reflected in </w:t>
      </w:r>
      <w:r w:rsidR="003F0DF2">
        <w:rPr>
          <w:rFonts w:ascii="Garamond" w:hAnsi="Garamond"/>
          <w:sz w:val="22"/>
          <w:szCs w:val="22"/>
        </w:rPr>
        <w:t xml:space="preserve">both the core and headline inflation behaviors.  </w:t>
      </w:r>
    </w:p>
    <w:p w14:paraId="2610D412" w14:textId="77777777" w:rsidR="00E52EA2" w:rsidRDefault="003F0DF2" w:rsidP="00933B63">
      <w:pPr>
        <w:autoSpaceDE w:val="0"/>
        <w:autoSpaceDN w:val="0"/>
        <w:adjustRightInd w:val="0"/>
        <w:spacing w:after="120" w:line="360" w:lineRule="auto"/>
        <w:jc w:val="both"/>
        <w:rPr>
          <w:rFonts w:ascii="Garamond" w:hAnsi="Garamond"/>
          <w:sz w:val="22"/>
          <w:szCs w:val="22"/>
        </w:rPr>
      </w:pPr>
      <w:r>
        <w:rPr>
          <w:rFonts w:ascii="Garamond" w:hAnsi="Garamond"/>
          <w:sz w:val="22"/>
          <w:szCs w:val="22"/>
        </w:rPr>
        <w:t>It is worth mention</w:t>
      </w:r>
      <w:r w:rsidR="00A750B9">
        <w:rPr>
          <w:rFonts w:ascii="Garamond" w:hAnsi="Garamond"/>
          <w:sz w:val="22"/>
          <w:szCs w:val="22"/>
        </w:rPr>
        <w:t>ing</w:t>
      </w:r>
      <w:r>
        <w:rPr>
          <w:rFonts w:ascii="Garamond" w:hAnsi="Garamond"/>
          <w:sz w:val="22"/>
          <w:szCs w:val="22"/>
        </w:rPr>
        <w:t xml:space="preserve"> that </w:t>
      </w:r>
      <w:r w:rsidR="003B4967">
        <w:rPr>
          <w:rFonts w:ascii="Garamond" w:hAnsi="Garamond"/>
          <w:sz w:val="22"/>
          <w:szCs w:val="22"/>
        </w:rPr>
        <w:t xml:space="preserve">inflation </w:t>
      </w:r>
      <w:r w:rsidR="00BC4021">
        <w:rPr>
          <w:rFonts w:ascii="Garamond" w:hAnsi="Garamond"/>
          <w:sz w:val="22"/>
          <w:szCs w:val="22"/>
        </w:rPr>
        <w:t>deviate</w:t>
      </w:r>
      <w:r>
        <w:rPr>
          <w:rFonts w:ascii="Garamond" w:hAnsi="Garamond"/>
          <w:sz w:val="22"/>
          <w:szCs w:val="22"/>
        </w:rPr>
        <w:t>d to a certain extent</w:t>
      </w:r>
      <w:r w:rsidR="00BC4021">
        <w:rPr>
          <w:rFonts w:ascii="Garamond" w:hAnsi="Garamond"/>
          <w:sz w:val="22"/>
          <w:szCs w:val="22"/>
        </w:rPr>
        <w:t xml:space="preserve"> from </w:t>
      </w:r>
      <w:r w:rsidR="00A750B9">
        <w:rPr>
          <w:rFonts w:ascii="Garamond" w:hAnsi="Garamond"/>
          <w:sz w:val="22"/>
          <w:szCs w:val="22"/>
        </w:rPr>
        <w:t xml:space="preserve">its gradual-recovery scenario. </w:t>
      </w:r>
      <w:r w:rsidR="00A750B9" w:rsidRPr="00A750B9">
        <w:rPr>
          <w:rFonts w:ascii="Garamond" w:hAnsi="Garamond"/>
          <w:sz w:val="22"/>
          <w:szCs w:val="22"/>
        </w:rPr>
        <w:t xml:space="preserve">Thus, </w:t>
      </w:r>
      <w:r w:rsidR="00A750B9">
        <w:rPr>
          <w:rFonts w:ascii="Garamond" w:hAnsi="Garamond"/>
          <w:sz w:val="22"/>
          <w:szCs w:val="22"/>
        </w:rPr>
        <w:t>i</w:t>
      </w:r>
      <w:r w:rsidR="00A750B9" w:rsidRPr="00A750B9">
        <w:rPr>
          <w:rFonts w:ascii="Garamond" w:hAnsi="Garamond"/>
          <w:sz w:val="22"/>
          <w:szCs w:val="22"/>
        </w:rPr>
        <w:t>n the first quarter</w:t>
      </w:r>
      <w:r w:rsidR="00A750B9">
        <w:rPr>
          <w:rFonts w:ascii="Garamond" w:hAnsi="Garamond"/>
          <w:sz w:val="22"/>
          <w:szCs w:val="22"/>
        </w:rPr>
        <w:t xml:space="preserve"> of 2018</w:t>
      </w:r>
      <w:r w:rsidR="00A750B9" w:rsidRPr="00A750B9">
        <w:rPr>
          <w:rFonts w:ascii="Garamond" w:hAnsi="Garamond"/>
          <w:sz w:val="22"/>
          <w:szCs w:val="22"/>
        </w:rPr>
        <w:t>, as expected, the inflation environment expanded</w:t>
      </w:r>
      <w:r w:rsidR="00A750B9">
        <w:rPr>
          <w:rFonts w:ascii="Garamond" w:hAnsi="Garamond"/>
          <w:sz w:val="22"/>
          <w:szCs w:val="22"/>
        </w:rPr>
        <w:t xml:space="preserve">, with </w:t>
      </w:r>
      <w:r w:rsidR="00A750B9" w:rsidRPr="00A750B9">
        <w:rPr>
          <w:rFonts w:ascii="Garamond" w:hAnsi="Garamond"/>
          <w:sz w:val="22"/>
          <w:szCs w:val="22"/>
        </w:rPr>
        <w:t xml:space="preserve">the 12-month inflation </w:t>
      </w:r>
      <w:r w:rsidR="00A750B9">
        <w:rPr>
          <w:rFonts w:ascii="Garamond" w:hAnsi="Garamond"/>
          <w:sz w:val="22"/>
          <w:szCs w:val="22"/>
        </w:rPr>
        <w:t xml:space="preserve">rate risen to 3.7 in March </w:t>
      </w:r>
      <w:r w:rsidR="00A750B9" w:rsidRPr="00A750B9">
        <w:rPr>
          <w:rFonts w:ascii="Garamond" w:hAnsi="Garamond"/>
          <w:sz w:val="22"/>
          <w:szCs w:val="22"/>
        </w:rPr>
        <w:t>from 2.6% at the beginning of the year.</w:t>
      </w:r>
      <w:r w:rsidR="00A750B9">
        <w:rPr>
          <w:rFonts w:ascii="Garamond" w:hAnsi="Garamond"/>
          <w:sz w:val="22"/>
          <w:szCs w:val="22"/>
        </w:rPr>
        <w:t xml:space="preserve"> The second and third quarters saw the inflation deviate from its </w:t>
      </w:r>
      <w:r w:rsidR="00E52EA2">
        <w:rPr>
          <w:rFonts w:ascii="Garamond" w:hAnsi="Garamond"/>
          <w:sz w:val="22"/>
          <w:szCs w:val="22"/>
        </w:rPr>
        <w:t xml:space="preserve">previous quarter’s </w:t>
      </w:r>
      <w:r w:rsidR="00A750B9">
        <w:rPr>
          <w:rFonts w:ascii="Garamond" w:hAnsi="Garamond"/>
          <w:sz w:val="22"/>
          <w:szCs w:val="22"/>
        </w:rPr>
        <w:t>baseline scenario</w:t>
      </w:r>
      <w:r w:rsidR="00E52EA2">
        <w:rPr>
          <w:rFonts w:ascii="Garamond" w:hAnsi="Garamond"/>
          <w:sz w:val="22"/>
          <w:szCs w:val="22"/>
        </w:rPr>
        <w:t xml:space="preserve"> – driven </w:t>
      </w:r>
      <w:r w:rsidR="00BC24CE">
        <w:rPr>
          <w:rFonts w:ascii="Garamond" w:hAnsi="Garamond"/>
          <w:sz w:val="22"/>
          <w:szCs w:val="22"/>
        </w:rPr>
        <w:t xml:space="preserve">by </w:t>
      </w:r>
      <w:r w:rsidR="00625745" w:rsidRPr="003B4967">
        <w:rPr>
          <w:rFonts w:ascii="Garamond" w:hAnsi="Garamond"/>
          <w:sz w:val="22"/>
          <w:szCs w:val="22"/>
        </w:rPr>
        <w:t>agricultural product</w:t>
      </w:r>
      <w:r w:rsidR="00625745">
        <w:rPr>
          <w:rFonts w:ascii="Garamond" w:hAnsi="Garamond"/>
          <w:sz w:val="22"/>
          <w:szCs w:val="22"/>
        </w:rPr>
        <w:t xml:space="preserve"> prices that fluctuated because of earlier </w:t>
      </w:r>
      <w:r w:rsidR="00FA6495">
        <w:rPr>
          <w:rFonts w:ascii="Garamond" w:hAnsi="Garamond"/>
          <w:sz w:val="22"/>
          <w:szCs w:val="22"/>
        </w:rPr>
        <w:t xml:space="preserve">developed </w:t>
      </w:r>
      <w:r w:rsidR="00A750B9">
        <w:rPr>
          <w:rFonts w:ascii="Garamond" w:hAnsi="Garamond"/>
          <w:sz w:val="22"/>
          <w:szCs w:val="22"/>
        </w:rPr>
        <w:t xml:space="preserve">crop </w:t>
      </w:r>
      <w:r w:rsidR="00625745">
        <w:rPr>
          <w:rFonts w:ascii="Garamond" w:hAnsi="Garamond"/>
          <w:sz w:val="22"/>
          <w:szCs w:val="22"/>
        </w:rPr>
        <w:t>seasonality</w:t>
      </w:r>
      <w:r w:rsidR="00E52EA2">
        <w:rPr>
          <w:rFonts w:ascii="Garamond" w:hAnsi="Garamond"/>
          <w:sz w:val="22"/>
          <w:szCs w:val="22"/>
        </w:rPr>
        <w:t>,</w:t>
      </w:r>
      <w:r w:rsidR="00A750B9">
        <w:rPr>
          <w:rFonts w:ascii="Garamond" w:hAnsi="Garamond"/>
          <w:sz w:val="22"/>
          <w:szCs w:val="22"/>
        </w:rPr>
        <w:t xml:space="preserve"> </w:t>
      </w:r>
      <w:r w:rsidR="00BC24CE">
        <w:rPr>
          <w:rFonts w:ascii="Garamond" w:hAnsi="Garamond"/>
          <w:sz w:val="22"/>
          <w:szCs w:val="22"/>
        </w:rPr>
        <w:t xml:space="preserve">the </w:t>
      </w:r>
      <w:r w:rsidR="003B4967" w:rsidRPr="003B4967">
        <w:rPr>
          <w:rFonts w:ascii="Garamond" w:hAnsi="Garamond"/>
          <w:sz w:val="22"/>
          <w:szCs w:val="22"/>
        </w:rPr>
        <w:t xml:space="preserve">12-month </w:t>
      </w:r>
      <w:r w:rsidR="00BC24CE">
        <w:rPr>
          <w:rFonts w:ascii="Garamond" w:hAnsi="Garamond"/>
          <w:sz w:val="22"/>
          <w:szCs w:val="22"/>
        </w:rPr>
        <w:t xml:space="preserve">inflation </w:t>
      </w:r>
      <w:r w:rsidR="003B4967" w:rsidRPr="003B4967">
        <w:rPr>
          <w:rFonts w:ascii="Garamond" w:hAnsi="Garamond"/>
          <w:sz w:val="22"/>
          <w:szCs w:val="22"/>
        </w:rPr>
        <w:t xml:space="preserve">slowed down </w:t>
      </w:r>
      <w:r w:rsidR="00BC24CE">
        <w:rPr>
          <w:rFonts w:ascii="Garamond" w:hAnsi="Garamond"/>
          <w:sz w:val="22"/>
          <w:szCs w:val="22"/>
        </w:rPr>
        <w:t xml:space="preserve">to 0.9% in end-June </w:t>
      </w:r>
      <w:r w:rsidR="00A750B9">
        <w:rPr>
          <w:rFonts w:ascii="Garamond" w:hAnsi="Garamond"/>
          <w:sz w:val="22"/>
          <w:szCs w:val="22"/>
        </w:rPr>
        <w:t>but</w:t>
      </w:r>
      <w:r w:rsidR="00BC24CE" w:rsidRPr="00BC24CE">
        <w:rPr>
          <w:rFonts w:ascii="Garamond" w:hAnsi="Garamond"/>
          <w:sz w:val="22"/>
          <w:szCs w:val="22"/>
        </w:rPr>
        <w:t xml:space="preserve"> then </w:t>
      </w:r>
      <w:r w:rsidR="00BC24CE">
        <w:rPr>
          <w:rFonts w:ascii="Garamond" w:hAnsi="Garamond"/>
          <w:sz w:val="22"/>
          <w:szCs w:val="22"/>
        </w:rPr>
        <w:t xml:space="preserve">rebounded to 3.5% </w:t>
      </w:r>
      <w:r w:rsidR="00E52EA2">
        <w:rPr>
          <w:rFonts w:ascii="Garamond" w:hAnsi="Garamond"/>
          <w:sz w:val="22"/>
          <w:szCs w:val="22"/>
        </w:rPr>
        <w:t>in end-</w:t>
      </w:r>
      <w:r w:rsidR="00BC24CE">
        <w:rPr>
          <w:rFonts w:ascii="Garamond" w:hAnsi="Garamond"/>
          <w:sz w:val="22"/>
          <w:szCs w:val="22"/>
        </w:rPr>
        <w:t>September.</w:t>
      </w:r>
      <w:r w:rsidR="00890E8A">
        <w:rPr>
          <w:rFonts w:ascii="Garamond" w:hAnsi="Garamond"/>
          <w:sz w:val="22"/>
          <w:szCs w:val="22"/>
        </w:rPr>
        <w:t xml:space="preserve"> </w:t>
      </w:r>
      <w:r w:rsidR="0077221F">
        <w:rPr>
          <w:rFonts w:ascii="Garamond" w:hAnsi="Garamond"/>
          <w:sz w:val="22"/>
          <w:szCs w:val="22"/>
        </w:rPr>
        <w:t xml:space="preserve">A contractionary </w:t>
      </w:r>
      <w:r w:rsidR="00E52EA2" w:rsidRPr="00E52EA2">
        <w:rPr>
          <w:rFonts w:ascii="Garamond" w:hAnsi="Garamond"/>
          <w:sz w:val="22"/>
          <w:szCs w:val="22"/>
        </w:rPr>
        <w:t xml:space="preserve">fiscal policy </w:t>
      </w:r>
      <w:r w:rsidR="0077221F">
        <w:rPr>
          <w:rFonts w:ascii="Garamond" w:hAnsi="Garamond"/>
          <w:sz w:val="22"/>
          <w:szCs w:val="22"/>
        </w:rPr>
        <w:t xml:space="preserve">implemented instead of </w:t>
      </w:r>
      <w:r w:rsidR="00E52EA2" w:rsidRPr="00E52EA2">
        <w:rPr>
          <w:rFonts w:ascii="Garamond" w:hAnsi="Garamond"/>
          <w:sz w:val="22"/>
          <w:szCs w:val="22"/>
        </w:rPr>
        <w:t xml:space="preserve">the planned one was another factor </w:t>
      </w:r>
      <w:r w:rsidR="00694CA5">
        <w:rPr>
          <w:rFonts w:ascii="Garamond" w:hAnsi="Garamond"/>
          <w:sz w:val="22"/>
          <w:szCs w:val="22"/>
        </w:rPr>
        <w:t>that let the inflation run below the anticipation</w:t>
      </w:r>
      <w:r w:rsidR="00E52EA2" w:rsidRPr="00E52EA2">
        <w:rPr>
          <w:rFonts w:ascii="Garamond" w:hAnsi="Garamond"/>
          <w:sz w:val="22"/>
          <w:szCs w:val="22"/>
        </w:rPr>
        <w:t xml:space="preserve"> over the mentioned period. </w:t>
      </w:r>
      <w:r w:rsidR="00694CA5">
        <w:rPr>
          <w:rFonts w:ascii="Garamond" w:hAnsi="Garamond"/>
          <w:sz w:val="22"/>
          <w:szCs w:val="22"/>
        </w:rPr>
        <w:t xml:space="preserve">This development was further induced by </w:t>
      </w:r>
      <w:r w:rsidR="00E52EA2" w:rsidRPr="00E52EA2">
        <w:rPr>
          <w:rFonts w:ascii="Garamond" w:hAnsi="Garamond"/>
          <w:sz w:val="22"/>
          <w:szCs w:val="22"/>
        </w:rPr>
        <w:t xml:space="preserve">significant weakening of the inflation environment </w:t>
      </w:r>
      <w:r w:rsidR="00694CA5">
        <w:rPr>
          <w:rFonts w:ascii="Garamond" w:hAnsi="Garamond"/>
          <w:sz w:val="22"/>
          <w:szCs w:val="22"/>
        </w:rPr>
        <w:t xml:space="preserve">in the external sector in the fourth quarter, again pushing </w:t>
      </w:r>
      <w:r w:rsidR="00E52EA2" w:rsidRPr="00E52EA2">
        <w:rPr>
          <w:rFonts w:ascii="Garamond" w:hAnsi="Garamond"/>
          <w:sz w:val="22"/>
          <w:szCs w:val="22"/>
        </w:rPr>
        <w:t xml:space="preserve">the 12-month inflation </w:t>
      </w:r>
      <w:r w:rsidR="00694CA5">
        <w:rPr>
          <w:rFonts w:ascii="Garamond" w:hAnsi="Garamond"/>
          <w:sz w:val="22"/>
          <w:szCs w:val="22"/>
        </w:rPr>
        <w:t xml:space="preserve">down, to </w:t>
      </w:r>
      <w:r w:rsidR="00E52EA2" w:rsidRPr="00E52EA2">
        <w:rPr>
          <w:rFonts w:ascii="Garamond" w:hAnsi="Garamond"/>
          <w:sz w:val="22"/>
          <w:szCs w:val="22"/>
        </w:rPr>
        <w:t xml:space="preserve">1.8% </w:t>
      </w:r>
      <w:r w:rsidR="00694CA5">
        <w:rPr>
          <w:rFonts w:ascii="Garamond" w:hAnsi="Garamond"/>
          <w:sz w:val="22"/>
          <w:szCs w:val="22"/>
        </w:rPr>
        <w:t>in end-</w:t>
      </w:r>
      <w:r w:rsidR="00E52EA2" w:rsidRPr="00E52EA2">
        <w:rPr>
          <w:rFonts w:ascii="Garamond" w:hAnsi="Garamond"/>
          <w:sz w:val="22"/>
          <w:szCs w:val="22"/>
        </w:rPr>
        <w:t>December.</w:t>
      </w:r>
    </w:p>
    <w:p w14:paraId="6EA46E6F" w14:textId="77777777" w:rsidR="00C560A5" w:rsidRDefault="00890E8A" w:rsidP="00933B63">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the </w:t>
      </w:r>
      <w:r w:rsidRPr="00890E8A">
        <w:rPr>
          <w:rFonts w:ascii="Garamond" w:hAnsi="Garamond"/>
          <w:sz w:val="22"/>
          <w:szCs w:val="22"/>
        </w:rPr>
        <w:t>monetary policy</w:t>
      </w:r>
      <w:r>
        <w:rPr>
          <w:rFonts w:ascii="Garamond" w:hAnsi="Garamond"/>
          <w:sz w:val="22"/>
          <w:szCs w:val="22"/>
        </w:rPr>
        <w:t xml:space="preserve"> impact point of view however, more pronounced is the </w:t>
      </w:r>
      <w:r w:rsidRPr="00890E8A">
        <w:rPr>
          <w:rFonts w:ascii="Garamond" w:hAnsi="Garamond"/>
          <w:sz w:val="22"/>
          <w:szCs w:val="22"/>
        </w:rPr>
        <w:t xml:space="preserve">quarterly behavior of </w:t>
      </w:r>
      <w:r>
        <w:rPr>
          <w:rFonts w:ascii="Garamond" w:hAnsi="Garamond"/>
          <w:sz w:val="22"/>
          <w:szCs w:val="22"/>
        </w:rPr>
        <w:t xml:space="preserve">core </w:t>
      </w:r>
      <w:r w:rsidRPr="00890E8A">
        <w:rPr>
          <w:rFonts w:ascii="Garamond" w:hAnsi="Garamond"/>
          <w:sz w:val="22"/>
          <w:szCs w:val="22"/>
        </w:rPr>
        <w:t>inflation</w:t>
      </w:r>
      <w:r w:rsidR="008B0BF7">
        <w:rPr>
          <w:rFonts w:ascii="Garamond" w:hAnsi="Garamond"/>
          <w:sz w:val="22"/>
          <w:szCs w:val="22"/>
        </w:rPr>
        <w:t>. It, too, has grown at the beginning of the year influenced by</w:t>
      </w:r>
      <w:r w:rsidR="008B0BF7" w:rsidRPr="008B0BF7">
        <w:rPr>
          <w:rFonts w:ascii="Garamond" w:hAnsi="Garamond"/>
          <w:sz w:val="22"/>
          <w:szCs w:val="22"/>
        </w:rPr>
        <w:t xml:space="preserve"> temporary </w:t>
      </w:r>
      <w:r w:rsidR="008B0BF7">
        <w:rPr>
          <w:rFonts w:ascii="Garamond" w:hAnsi="Garamond"/>
          <w:sz w:val="22"/>
          <w:szCs w:val="22"/>
        </w:rPr>
        <w:t xml:space="preserve">extra household </w:t>
      </w:r>
      <w:r w:rsidR="008B0BF7" w:rsidRPr="008B0BF7">
        <w:rPr>
          <w:rFonts w:ascii="Garamond" w:hAnsi="Garamond"/>
          <w:sz w:val="22"/>
          <w:szCs w:val="22"/>
        </w:rPr>
        <w:t xml:space="preserve">inflation expectations at the end of </w:t>
      </w:r>
      <w:r w:rsidR="008B0BF7">
        <w:rPr>
          <w:rFonts w:ascii="Garamond" w:hAnsi="Garamond"/>
          <w:sz w:val="22"/>
          <w:szCs w:val="22"/>
        </w:rPr>
        <w:t xml:space="preserve">previous </w:t>
      </w:r>
      <w:r w:rsidR="008B0BF7" w:rsidRPr="008B0BF7">
        <w:rPr>
          <w:rFonts w:ascii="Garamond" w:hAnsi="Garamond"/>
          <w:sz w:val="22"/>
          <w:szCs w:val="22"/>
        </w:rPr>
        <w:t xml:space="preserve">year and </w:t>
      </w:r>
      <w:r w:rsidR="008B0BF7">
        <w:rPr>
          <w:rFonts w:ascii="Garamond" w:hAnsi="Garamond"/>
          <w:sz w:val="22"/>
          <w:szCs w:val="22"/>
        </w:rPr>
        <w:t xml:space="preserve">expansionary </w:t>
      </w:r>
      <w:r w:rsidR="008B0BF7" w:rsidRPr="008B0BF7">
        <w:rPr>
          <w:rFonts w:ascii="Garamond" w:hAnsi="Garamond"/>
          <w:sz w:val="22"/>
          <w:szCs w:val="22"/>
        </w:rPr>
        <w:t>monetary policy implemented by the C</w:t>
      </w:r>
      <w:r w:rsidR="008B0BF7">
        <w:rPr>
          <w:rFonts w:ascii="Garamond" w:hAnsi="Garamond"/>
          <w:sz w:val="22"/>
          <w:szCs w:val="22"/>
        </w:rPr>
        <w:t>entral Bank</w:t>
      </w:r>
      <w:r w:rsidR="008B0BF7" w:rsidRPr="008B0BF7">
        <w:rPr>
          <w:rFonts w:ascii="Garamond" w:hAnsi="Garamond"/>
          <w:sz w:val="22"/>
          <w:szCs w:val="22"/>
        </w:rPr>
        <w:t>. Later</w:t>
      </w:r>
      <w:r w:rsidR="009D1727">
        <w:rPr>
          <w:rFonts w:ascii="Garamond" w:hAnsi="Garamond"/>
          <w:sz w:val="22"/>
          <w:szCs w:val="22"/>
        </w:rPr>
        <w:t xml:space="preserve"> on</w:t>
      </w:r>
      <w:r w:rsidR="008B0BF7" w:rsidRPr="008B0BF7">
        <w:rPr>
          <w:rFonts w:ascii="Garamond" w:hAnsi="Garamond"/>
          <w:sz w:val="22"/>
          <w:szCs w:val="22"/>
        </w:rPr>
        <w:t xml:space="preserve">, when the </w:t>
      </w:r>
      <w:r w:rsidR="008B0BF7">
        <w:rPr>
          <w:rFonts w:ascii="Garamond" w:hAnsi="Garamond"/>
          <w:sz w:val="22"/>
          <w:szCs w:val="22"/>
        </w:rPr>
        <w:t>extra</w:t>
      </w:r>
      <w:r w:rsidR="008B0BF7" w:rsidRPr="008B0BF7">
        <w:rPr>
          <w:rFonts w:ascii="Garamond" w:hAnsi="Garamond"/>
          <w:sz w:val="22"/>
          <w:szCs w:val="22"/>
        </w:rPr>
        <w:t xml:space="preserve"> inflation expectations </w:t>
      </w:r>
      <w:r w:rsidR="008B0BF7">
        <w:rPr>
          <w:rFonts w:ascii="Garamond" w:hAnsi="Garamond"/>
          <w:sz w:val="22"/>
          <w:szCs w:val="22"/>
        </w:rPr>
        <w:t xml:space="preserve">waned out </w:t>
      </w:r>
      <w:r w:rsidR="008B0BF7" w:rsidRPr="008B0BF7">
        <w:rPr>
          <w:rFonts w:ascii="Garamond" w:hAnsi="Garamond"/>
          <w:sz w:val="22"/>
          <w:szCs w:val="22"/>
        </w:rPr>
        <w:t xml:space="preserve">and the </w:t>
      </w:r>
      <w:r w:rsidR="008B0BF7">
        <w:rPr>
          <w:rFonts w:ascii="Garamond" w:hAnsi="Garamond"/>
          <w:sz w:val="22"/>
          <w:szCs w:val="22"/>
        </w:rPr>
        <w:t xml:space="preserve">said </w:t>
      </w:r>
      <w:r w:rsidR="008B0BF7" w:rsidRPr="008B0BF7">
        <w:rPr>
          <w:rFonts w:ascii="Garamond" w:hAnsi="Garamond"/>
          <w:sz w:val="22"/>
          <w:szCs w:val="22"/>
        </w:rPr>
        <w:t>deflation</w:t>
      </w:r>
      <w:r w:rsidR="008B0BF7">
        <w:rPr>
          <w:rFonts w:ascii="Garamond" w:hAnsi="Garamond"/>
          <w:sz w:val="22"/>
          <w:szCs w:val="22"/>
        </w:rPr>
        <w:t xml:space="preserve">ary patterns </w:t>
      </w:r>
      <w:r w:rsidR="008B0BF7" w:rsidRPr="008B0BF7">
        <w:rPr>
          <w:rFonts w:ascii="Garamond" w:hAnsi="Garamond"/>
          <w:sz w:val="22"/>
          <w:szCs w:val="22"/>
        </w:rPr>
        <w:t xml:space="preserve">emerged, </w:t>
      </w:r>
      <w:r w:rsidR="008B0BF7">
        <w:rPr>
          <w:rFonts w:ascii="Garamond" w:hAnsi="Garamond"/>
          <w:sz w:val="22"/>
          <w:szCs w:val="22"/>
        </w:rPr>
        <w:t xml:space="preserve">core inflation started to decline gradually, as well. </w:t>
      </w:r>
      <w:r w:rsidR="008B0BF7" w:rsidRPr="008B0BF7">
        <w:rPr>
          <w:rFonts w:ascii="Garamond" w:hAnsi="Garamond"/>
          <w:sz w:val="22"/>
          <w:szCs w:val="22"/>
        </w:rPr>
        <w:t xml:space="preserve">As a result, the 12-month </w:t>
      </w:r>
      <w:r w:rsidR="008B0BF7">
        <w:rPr>
          <w:rFonts w:ascii="Garamond" w:hAnsi="Garamond"/>
          <w:sz w:val="22"/>
          <w:szCs w:val="22"/>
        </w:rPr>
        <w:t xml:space="preserve">core </w:t>
      </w:r>
      <w:r w:rsidR="008B0BF7" w:rsidRPr="008B0BF7">
        <w:rPr>
          <w:rFonts w:ascii="Garamond" w:hAnsi="Garamond"/>
          <w:sz w:val="22"/>
          <w:szCs w:val="22"/>
        </w:rPr>
        <w:t xml:space="preserve">inflation </w:t>
      </w:r>
      <w:r w:rsidR="008B0BF7">
        <w:rPr>
          <w:rFonts w:ascii="Garamond" w:hAnsi="Garamond"/>
          <w:sz w:val="22"/>
          <w:szCs w:val="22"/>
        </w:rPr>
        <w:t xml:space="preserve">increased to 4.9 at the end of March from </w:t>
      </w:r>
      <w:r w:rsidR="008B0BF7" w:rsidRPr="008B0BF7">
        <w:rPr>
          <w:rFonts w:ascii="Garamond" w:hAnsi="Garamond"/>
          <w:sz w:val="22"/>
          <w:szCs w:val="22"/>
        </w:rPr>
        <w:t xml:space="preserve">3.6% at the beginning of the year and </w:t>
      </w:r>
      <w:r w:rsidR="009D1727">
        <w:rPr>
          <w:rFonts w:ascii="Garamond" w:hAnsi="Garamond"/>
          <w:sz w:val="22"/>
          <w:szCs w:val="22"/>
        </w:rPr>
        <w:t xml:space="preserve">then </w:t>
      </w:r>
      <w:r w:rsidR="008B0BF7" w:rsidRPr="008B0BF7">
        <w:rPr>
          <w:rFonts w:ascii="Garamond" w:hAnsi="Garamond"/>
          <w:sz w:val="22"/>
          <w:szCs w:val="22"/>
        </w:rPr>
        <w:t xml:space="preserve">dropped to 2.6% at the </w:t>
      </w:r>
      <w:r w:rsidR="009D1727">
        <w:rPr>
          <w:rFonts w:ascii="Garamond" w:hAnsi="Garamond"/>
          <w:sz w:val="22"/>
          <w:szCs w:val="22"/>
        </w:rPr>
        <w:t>year</w:t>
      </w:r>
      <w:r w:rsidR="008B0BF7" w:rsidRPr="008B0BF7">
        <w:rPr>
          <w:rFonts w:ascii="Garamond" w:hAnsi="Garamond"/>
          <w:sz w:val="22"/>
          <w:szCs w:val="22"/>
        </w:rPr>
        <w:t xml:space="preserve">end, </w:t>
      </w:r>
      <w:r w:rsidR="009D1727">
        <w:rPr>
          <w:rFonts w:ascii="Garamond" w:hAnsi="Garamond"/>
          <w:sz w:val="22"/>
          <w:szCs w:val="22"/>
        </w:rPr>
        <w:t>pointing to the</w:t>
      </w:r>
      <w:r w:rsidR="008B0BF7" w:rsidRPr="008B0BF7">
        <w:rPr>
          <w:rFonts w:ascii="Garamond" w:hAnsi="Garamond"/>
          <w:sz w:val="22"/>
          <w:szCs w:val="22"/>
        </w:rPr>
        <w:t xml:space="preserve"> mitigat</w:t>
      </w:r>
      <w:r w:rsidR="009D1727">
        <w:rPr>
          <w:rFonts w:ascii="Garamond" w:hAnsi="Garamond"/>
          <w:sz w:val="22"/>
          <w:szCs w:val="22"/>
        </w:rPr>
        <w:t xml:space="preserve">ed </w:t>
      </w:r>
      <w:r w:rsidR="008B0BF7" w:rsidRPr="008B0BF7">
        <w:rPr>
          <w:rFonts w:ascii="Garamond" w:hAnsi="Garamond"/>
          <w:sz w:val="22"/>
          <w:szCs w:val="22"/>
        </w:rPr>
        <w:t>inflation expectations.</w:t>
      </w:r>
      <w:r w:rsidR="008B0BF7">
        <w:rPr>
          <w:rFonts w:ascii="Garamond" w:hAnsi="Garamond"/>
          <w:sz w:val="22"/>
          <w:szCs w:val="22"/>
        </w:rPr>
        <w:t xml:space="preserve">  </w:t>
      </w:r>
    </w:p>
    <w:p w14:paraId="352D857F" w14:textId="77777777" w:rsidR="00C501EB" w:rsidRDefault="00397003" w:rsidP="00933B63">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view of the </w:t>
      </w:r>
      <w:r w:rsidR="009D1727">
        <w:rPr>
          <w:rFonts w:ascii="Garamond" w:hAnsi="Garamond"/>
          <w:sz w:val="22"/>
          <w:szCs w:val="22"/>
        </w:rPr>
        <w:t xml:space="preserve">actual </w:t>
      </w:r>
      <w:r w:rsidRPr="00EE5F0F">
        <w:rPr>
          <w:rFonts w:ascii="Garamond" w:hAnsi="Garamond"/>
          <w:sz w:val="22"/>
          <w:szCs w:val="22"/>
        </w:rPr>
        <w:t xml:space="preserve">macroeconomic </w:t>
      </w:r>
      <w:r w:rsidR="009D1727">
        <w:rPr>
          <w:rFonts w:ascii="Garamond" w:hAnsi="Garamond"/>
          <w:sz w:val="22"/>
          <w:szCs w:val="22"/>
        </w:rPr>
        <w:t xml:space="preserve">developments </w:t>
      </w:r>
      <w:r w:rsidRPr="00EE5F0F">
        <w:rPr>
          <w:rFonts w:ascii="Garamond" w:hAnsi="Garamond"/>
          <w:sz w:val="22"/>
          <w:szCs w:val="22"/>
        </w:rPr>
        <w:t xml:space="preserve">and </w:t>
      </w:r>
      <w:r w:rsidR="009D1727">
        <w:rPr>
          <w:rFonts w:ascii="Garamond" w:hAnsi="Garamond"/>
          <w:sz w:val="22"/>
          <w:szCs w:val="22"/>
        </w:rPr>
        <w:t>non-</w:t>
      </w:r>
      <w:r w:rsidRPr="00EE5F0F">
        <w:rPr>
          <w:rFonts w:ascii="Garamond" w:hAnsi="Garamond"/>
          <w:sz w:val="22"/>
          <w:szCs w:val="22"/>
        </w:rPr>
        <w:t xml:space="preserve">inflationary </w:t>
      </w:r>
      <w:r w:rsidR="004C508A">
        <w:rPr>
          <w:rFonts w:ascii="Garamond" w:hAnsi="Garamond"/>
          <w:sz w:val="22"/>
          <w:szCs w:val="22"/>
        </w:rPr>
        <w:t xml:space="preserve">patterns </w:t>
      </w:r>
      <w:r w:rsidR="00764595">
        <w:rPr>
          <w:rFonts w:ascii="Garamond" w:hAnsi="Garamond"/>
          <w:sz w:val="22"/>
          <w:szCs w:val="22"/>
        </w:rPr>
        <w:t xml:space="preserve">anticipated </w:t>
      </w:r>
      <w:r w:rsidR="009D1727">
        <w:rPr>
          <w:rFonts w:ascii="Garamond" w:hAnsi="Garamond"/>
          <w:sz w:val="22"/>
          <w:szCs w:val="22"/>
        </w:rPr>
        <w:t>from external domestic economies, t</w:t>
      </w:r>
      <w:r w:rsidRPr="00EE5F0F">
        <w:rPr>
          <w:rFonts w:ascii="Garamond" w:hAnsi="Garamond"/>
          <w:sz w:val="22"/>
          <w:szCs w:val="22"/>
        </w:rPr>
        <w:t xml:space="preserve">he </w:t>
      </w:r>
      <w:r w:rsidRPr="009D1727">
        <w:rPr>
          <w:rFonts w:ascii="Garamond" w:hAnsi="Garamond"/>
          <w:b/>
          <w:sz w:val="22"/>
          <w:szCs w:val="22"/>
        </w:rPr>
        <w:t>Central Bank ha</w:t>
      </w:r>
      <w:r w:rsidR="00AB265B" w:rsidRPr="009D1727">
        <w:rPr>
          <w:rFonts w:ascii="Garamond" w:hAnsi="Garamond"/>
          <w:b/>
          <w:sz w:val="22"/>
          <w:szCs w:val="22"/>
        </w:rPr>
        <w:t>s</w:t>
      </w:r>
      <w:r w:rsidR="009D1727" w:rsidRPr="009D1727">
        <w:rPr>
          <w:rFonts w:ascii="Garamond" w:hAnsi="Garamond"/>
          <w:b/>
          <w:sz w:val="22"/>
          <w:szCs w:val="22"/>
        </w:rPr>
        <w:t xml:space="preserve"> kept </w:t>
      </w:r>
      <w:r w:rsidRPr="009D1727">
        <w:rPr>
          <w:rFonts w:ascii="Garamond" w:hAnsi="Garamond"/>
          <w:b/>
          <w:sz w:val="22"/>
          <w:szCs w:val="22"/>
        </w:rPr>
        <w:t xml:space="preserve">monetary conditions </w:t>
      </w:r>
      <w:r w:rsidR="009D1727" w:rsidRPr="009D1727">
        <w:rPr>
          <w:rFonts w:ascii="Garamond" w:hAnsi="Garamond"/>
          <w:b/>
          <w:sz w:val="22"/>
          <w:szCs w:val="22"/>
        </w:rPr>
        <w:t>expansionary over 2018 by leaving</w:t>
      </w:r>
      <w:r w:rsidR="009D1727">
        <w:rPr>
          <w:rFonts w:ascii="Garamond" w:hAnsi="Garamond"/>
          <w:sz w:val="22"/>
          <w:szCs w:val="22"/>
        </w:rPr>
        <w:t xml:space="preserve"> </w:t>
      </w:r>
      <w:r w:rsidRPr="00EE5F0F">
        <w:rPr>
          <w:rFonts w:ascii="Garamond" w:hAnsi="Garamond"/>
          <w:b/>
          <w:sz w:val="22"/>
          <w:szCs w:val="22"/>
        </w:rPr>
        <w:t xml:space="preserve">the refinancing rate </w:t>
      </w:r>
      <w:r w:rsidR="009D1727">
        <w:rPr>
          <w:rFonts w:ascii="Garamond" w:hAnsi="Garamond"/>
          <w:b/>
          <w:sz w:val="22"/>
          <w:szCs w:val="22"/>
        </w:rPr>
        <w:t xml:space="preserve">unchanged, </w:t>
      </w:r>
      <w:r w:rsidRPr="00EE5F0F">
        <w:rPr>
          <w:rFonts w:ascii="Garamond" w:hAnsi="Garamond"/>
          <w:b/>
          <w:sz w:val="22"/>
          <w:szCs w:val="22"/>
        </w:rPr>
        <w:t xml:space="preserve">at </w:t>
      </w:r>
      <w:r w:rsidR="00874BA9">
        <w:rPr>
          <w:rFonts w:ascii="Garamond" w:hAnsi="Garamond"/>
          <w:b/>
          <w:sz w:val="22"/>
          <w:szCs w:val="22"/>
        </w:rPr>
        <w:t xml:space="preserve">a </w:t>
      </w:r>
      <w:r w:rsidRPr="00EE5F0F">
        <w:rPr>
          <w:rFonts w:ascii="Garamond" w:hAnsi="Garamond"/>
          <w:b/>
          <w:sz w:val="22"/>
          <w:szCs w:val="22"/>
        </w:rPr>
        <w:t>6%</w:t>
      </w:r>
      <w:r w:rsidR="00874BA9">
        <w:rPr>
          <w:rFonts w:ascii="Garamond" w:hAnsi="Garamond"/>
          <w:b/>
          <w:sz w:val="22"/>
          <w:szCs w:val="22"/>
        </w:rPr>
        <w:t xml:space="preserve"> level</w:t>
      </w:r>
      <w:r w:rsidR="00764595" w:rsidRPr="00764595">
        <w:rPr>
          <w:rFonts w:ascii="Garamond" w:hAnsi="Garamond"/>
          <w:b/>
          <w:sz w:val="22"/>
          <w:szCs w:val="22"/>
        </w:rPr>
        <w:t>.</w:t>
      </w:r>
      <w:r w:rsidR="00764595">
        <w:rPr>
          <w:rFonts w:ascii="Garamond" w:hAnsi="Garamond"/>
          <w:sz w:val="22"/>
          <w:szCs w:val="22"/>
        </w:rPr>
        <w:t xml:space="preserve"> </w:t>
      </w:r>
      <w:r w:rsidR="00C501EB">
        <w:rPr>
          <w:rFonts w:ascii="Garamond" w:hAnsi="Garamond"/>
          <w:sz w:val="22"/>
          <w:szCs w:val="22"/>
        </w:rPr>
        <w:t>Such a monetary policy, t</w:t>
      </w:r>
      <w:r w:rsidR="00764595" w:rsidRPr="00764595">
        <w:rPr>
          <w:rFonts w:ascii="Garamond" w:hAnsi="Garamond"/>
          <w:sz w:val="22"/>
          <w:szCs w:val="22"/>
        </w:rPr>
        <w:t>he C</w:t>
      </w:r>
      <w:r w:rsidR="00764595">
        <w:rPr>
          <w:rFonts w:ascii="Garamond" w:hAnsi="Garamond"/>
          <w:sz w:val="22"/>
          <w:szCs w:val="22"/>
        </w:rPr>
        <w:t xml:space="preserve">entral </w:t>
      </w:r>
      <w:r w:rsidR="00764595" w:rsidRPr="00764595">
        <w:rPr>
          <w:rFonts w:ascii="Garamond" w:hAnsi="Garamond"/>
          <w:sz w:val="22"/>
          <w:szCs w:val="22"/>
        </w:rPr>
        <w:t>B</w:t>
      </w:r>
      <w:r w:rsidR="00764595">
        <w:rPr>
          <w:rFonts w:ascii="Garamond" w:hAnsi="Garamond"/>
          <w:sz w:val="22"/>
          <w:szCs w:val="22"/>
        </w:rPr>
        <w:t xml:space="preserve">ank </w:t>
      </w:r>
      <w:r w:rsidR="00C501EB">
        <w:rPr>
          <w:rFonts w:ascii="Garamond" w:hAnsi="Garamond"/>
          <w:sz w:val="22"/>
          <w:szCs w:val="22"/>
        </w:rPr>
        <w:t>reckoned, is rather expansionary</w:t>
      </w:r>
      <w:r w:rsidR="00764595" w:rsidRPr="00764595">
        <w:rPr>
          <w:rFonts w:ascii="Garamond" w:hAnsi="Garamond"/>
          <w:sz w:val="22"/>
          <w:szCs w:val="22"/>
        </w:rPr>
        <w:t xml:space="preserve"> (as </w:t>
      </w:r>
      <w:r w:rsidR="00C501EB">
        <w:rPr>
          <w:rFonts w:ascii="Garamond" w:hAnsi="Garamond"/>
          <w:sz w:val="22"/>
          <w:szCs w:val="22"/>
        </w:rPr>
        <w:t xml:space="preserve">central banks of </w:t>
      </w:r>
      <w:r w:rsidR="00764595" w:rsidRPr="00764595">
        <w:rPr>
          <w:rFonts w:ascii="Garamond" w:hAnsi="Garamond"/>
          <w:sz w:val="22"/>
          <w:szCs w:val="22"/>
        </w:rPr>
        <w:t xml:space="preserve">the </w:t>
      </w:r>
      <w:r w:rsidR="00C501EB">
        <w:rPr>
          <w:rFonts w:ascii="Garamond" w:hAnsi="Garamond"/>
          <w:sz w:val="22"/>
          <w:szCs w:val="22"/>
        </w:rPr>
        <w:t>world’</w:t>
      </w:r>
      <w:r w:rsidR="00764595" w:rsidRPr="00764595">
        <w:rPr>
          <w:rFonts w:ascii="Garamond" w:hAnsi="Garamond"/>
          <w:sz w:val="22"/>
          <w:szCs w:val="22"/>
        </w:rPr>
        <w:t xml:space="preserve">s leading countries </w:t>
      </w:r>
      <w:r w:rsidR="00C501EB">
        <w:rPr>
          <w:rFonts w:ascii="Garamond" w:hAnsi="Garamond"/>
          <w:sz w:val="22"/>
          <w:szCs w:val="22"/>
        </w:rPr>
        <w:t xml:space="preserve">also </w:t>
      </w:r>
      <w:r w:rsidR="00764595" w:rsidRPr="00764595">
        <w:rPr>
          <w:rFonts w:ascii="Garamond" w:hAnsi="Garamond"/>
          <w:sz w:val="22"/>
          <w:szCs w:val="22"/>
        </w:rPr>
        <w:t>t</w:t>
      </w:r>
      <w:r w:rsidR="00C501EB">
        <w:rPr>
          <w:rFonts w:ascii="Garamond" w:hAnsi="Garamond"/>
          <w:sz w:val="22"/>
          <w:szCs w:val="22"/>
        </w:rPr>
        <w:t xml:space="preserve">ightened their </w:t>
      </w:r>
      <w:r w:rsidR="00764595" w:rsidRPr="00764595">
        <w:rPr>
          <w:rFonts w:ascii="Garamond" w:hAnsi="Garamond"/>
          <w:sz w:val="22"/>
          <w:szCs w:val="22"/>
        </w:rPr>
        <w:t xml:space="preserve">monetary conditions during the year) and </w:t>
      </w:r>
      <w:r w:rsidR="00C501EB">
        <w:rPr>
          <w:rFonts w:ascii="Garamond" w:hAnsi="Garamond"/>
          <w:sz w:val="22"/>
          <w:szCs w:val="22"/>
        </w:rPr>
        <w:t xml:space="preserve">fosters the growing of </w:t>
      </w:r>
      <w:r w:rsidR="00764595" w:rsidRPr="00764595">
        <w:rPr>
          <w:rFonts w:ascii="Garamond" w:hAnsi="Garamond"/>
          <w:sz w:val="22"/>
          <w:szCs w:val="22"/>
        </w:rPr>
        <w:t>domestic demand in the forecast horizon</w:t>
      </w:r>
      <w:r w:rsidR="00C501EB">
        <w:rPr>
          <w:rFonts w:ascii="Garamond" w:hAnsi="Garamond"/>
          <w:sz w:val="22"/>
          <w:szCs w:val="22"/>
        </w:rPr>
        <w:t xml:space="preserve"> and helps the </w:t>
      </w:r>
      <w:r w:rsidR="00764595" w:rsidRPr="00764595">
        <w:rPr>
          <w:rFonts w:ascii="Garamond" w:hAnsi="Garamond"/>
          <w:sz w:val="22"/>
          <w:szCs w:val="22"/>
        </w:rPr>
        <w:t xml:space="preserve">inflation </w:t>
      </w:r>
      <w:r w:rsidR="00C501EB">
        <w:rPr>
          <w:rFonts w:ascii="Garamond" w:hAnsi="Garamond"/>
          <w:sz w:val="22"/>
          <w:szCs w:val="22"/>
        </w:rPr>
        <w:t xml:space="preserve">stabilize around its target. </w:t>
      </w:r>
    </w:p>
    <w:p w14:paraId="2E6725A4" w14:textId="77777777" w:rsidR="005515AB" w:rsidRDefault="005D2F99" w:rsidP="00933B63">
      <w:pPr>
        <w:autoSpaceDE w:val="0"/>
        <w:autoSpaceDN w:val="0"/>
        <w:adjustRightInd w:val="0"/>
        <w:spacing w:after="120" w:line="360" w:lineRule="auto"/>
        <w:jc w:val="both"/>
        <w:rPr>
          <w:rFonts w:ascii="Garamond" w:hAnsi="Garamond"/>
          <w:sz w:val="22"/>
          <w:szCs w:val="22"/>
        </w:rPr>
      </w:pPr>
      <w:r>
        <w:rPr>
          <w:rFonts w:ascii="Garamond" w:hAnsi="Garamond"/>
          <w:sz w:val="22"/>
          <w:szCs w:val="22"/>
        </w:rPr>
        <w:t>Remarkably, in the second half of the year t</w:t>
      </w:r>
      <w:r w:rsidR="00C501EB">
        <w:rPr>
          <w:rFonts w:ascii="Garamond" w:hAnsi="Garamond"/>
          <w:sz w:val="22"/>
          <w:szCs w:val="22"/>
        </w:rPr>
        <w:t>he</w:t>
      </w:r>
      <w:r w:rsidR="00874BA9" w:rsidRPr="00874BA9">
        <w:rPr>
          <w:rFonts w:ascii="Garamond" w:hAnsi="Garamond"/>
          <w:sz w:val="22"/>
          <w:szCs w:val="22"/>
        </w:rPr>
        <w:t xml:space="preserve"> risks </w:t>
      </w:r>
      <w:r w:rsidR="00874BA9">
        <w:rPr>
          <w:rFonts w:ascii="Garamond" w:hAnsi="Garamond"/>
          <w:sz w:val="22"/>
          <w:szCs w:val="22"/>
        </w:rPr>
        <w:t>to</w:t>
      </w:r>
      <w:r w:rsidR="00874BA9" w:rsidRPr="00874BA9">
        <w:rPr>
          <w:rFonts w:ascii="Garamond" w:hAnsi="Garamond"/>
          <w:sz w:val="22"/>
          <w:szCs w:val="22"/>
        </w:rPr>
        <w:t xml:space="preserve"> inflation </w:t>
      </w:r>
      <w:r>
        <w:rPr>
          <w:rFonts w:ascii="Garamond" w:hAnsi="Garamond"/>
          <w:sz w:val="22"/>
          <w:szCs w:val="22"/>
        </w:rPr>
        <w:t xml:space="preserve">deviating from its projection path </w:t>
      </w:r>
      <w:r w:rsidR="00874BA9" w:rsidRPr="00874BA9">
        <w:rPr>
          <w:rFonts w:ascii="Garamond" w:hAnsi="Garamond"/>
          <w:sz w:val="22"/>
          <w:szCs w:val="22"/>
        </w:rPr>
        <w:t xml:space="preserve">were </w:t>
      </w:r>
      <w:r>
        <w:rPr>
          <w:rFonts w:ascii="Garamond" w:hAnsi="Garamond"/>
          <w:sz w:val="22"/>
          <w:szCs w:val="22"/>
        </w:rPr>
        <w:t xml:space="preserve">mostly </w:t>
      </w:r>
      <w:r w:rsidR="007D081C">
        <w:rPr>
          <w:rFonts w:ascii="Garamond" w:hAnsi="Garamond"/>
          <w:sz w:val="22"/>
          <w:szCs w:val="22"/>
        </w:rPr>
        <w:t>on a downside trend</w:t>
      </w:r>
      <w:r>
        <w:rPr>
          <w:rFonts w:ascii="Garamond" w:hAnsi="Garamond"/>
          <w:sz w:val="22"/>
          <w:szCs w:val="22"/>
        </w:rPr>
        <w:t xml:space="preserve">, driven </w:t>
      </w:r>
      <w:r w:rsidRPr="005D2F99">
        <w:rPr>
          <w:rFonts w:ascii="Garamond" w:hAnsi="Garamond"/>
          <w:sz w:val="22"/>
          <w:szCs w:val="22"/>
        </w:rPr>
        <w:t>by external factors (low</w:t>
      </w:r>
      <w:r>
        <w:rPr>
          <w:rFonts w:ascii="Garamond" w:hAnsi="Garamond"/>
          <w:sz w:val="22"/>
          <w:szCs w:val="22"/>
        </w:rPr>
        <w:t>er-than-expected</w:t>
      </w:r>
      <w:r w:rsidRPr="005D2F99">
        <w:rPr>
          <w:rFonts w:ascii="Garamond" w:hAnsi="Garamond"/>
          <w:sz w:val="22"/>
          <w:szCs w:val="22"/>
        </w:rPr>
        <w:t xml:space="preserve"> inflation </w:t>
      </w:r>
      <w:r>
        <w:rPr>
          <w:rFonts w:ascii="Garamond" w:hAnsi="Garamond"/>
          <w:sz w:val="22"/>
          <w:szCs w:val="22"/>
        </w:rPr>
        <w:t xml:space="preserve">environment </w:t>
      </w:r>
      <w:r w:rsidRPr="005D2F99">
        <w:rPr>
          <w:rFonts w:ascii="Garamond" w:hAnsi="Garamond"/>
          <w:sz w:val="22"/>
          <w:szCs w:val="22"/>
        </w:rPr>
        <w:t xml:space="preserve">and </w:t>
      </w:r>
      <w:r>
        <w:rPr>
          <w:rFonts w:ascii="Garamond" w:hAnsi="Garamond"/>
          <w:sz w:val="22"/>
          <w:szCs w:val="22"/>
        </w:rPr>
        <w:t>sluggish d</w:t>
      </w:r>
      <w:r w:rsidRPr="005D2F99">
        <w:rPr>
          <w:rFonts w:ascii="Garamond" w:hAnsi="Garamond"/>
          <w:sz w:val="22"/>
          <w:szCs w:val="22"/>
        </w:rPr>
        <w:t xml:space="preserve">emand) and domestic </w:t>
      </w:r>
      <w:r>
        <w:rPr>
          <w:rFonts w:ascii="Garamond" w:hAnsi="Garamond"/>
          <w:sz w:val="22"/>
          <w:szCs w:val="22"/>
        </w:rPr>
        <w:t xml:space="preserve">factors </w:t>
      </w:r>
      <w:r w:rsidRPr="005D2F99">
        <w:rPr>
          <w:rFonts w:ascii="Garamond" w:hAnsi="Garamond"/>
          <w:sz w:val="22"/>
          <w:szCs w:val="22"/>
        </w:rPr>
        <w:t>(w</w:t>
      </w:r>
      <w:r>
        <w:rPr>
          <w:rFonts w:ascii="Garamond" w:hAnsi="Garamond"/>
          <w:sz w:val="22"/>
          <w:szCs w:val="22"/>
        </w:rPr>
        <w:t>eaker-than-expected domestic</w:t>
      </w:r>
      <w:r w:rsidRPr="005D2F99">
        <w:rPr>
          <w:rFonts w:ascii="Garamond" w:hAnsi="Garamond"/>
          <w:sz w:val="22"/>
          <w:szCs w:val="22"/>
        </w:rPr>
        <w:t xml:space="preserve"> demand </w:t>
      </w:r>
      <w:r>
        <w:rPr>
          <w:rFonts w:ascii="Garamond" w:hAnsi="Garamond"/>
          <w:sz w:val="22"/>
          <w:szCs w:val="22"/>
        </w:rPr>
        <w:t xml:space="preserve">resulting from </w:t>
      </w:r>
      <w:r w:rsidRPr="005D2F99">
        <w:rPr>
          <w:rFonts w:ascii="Garamond" w:hAnsi="Garamond"/>
          <w:sz w:val="22"/>
          <w:szCs w:val="22"/>
        </w:rPr>
        <w:t xml:space="preserve">more </w:t>
      </w:r>
      <w:r>
        <w:rPr>
          <w:rFonts w:ascii="Garamond" w:hAnsi="Garamond"/>
          <w:sz w:val="22"/>
          <w:szCs w:val="22"/>
        </w:rPr>
        <w:t xml:space="preserve">contractionary </w:t>
      </w:r>
      <w:r w:rsidRPr="005D2F99">
        <w:rPr>
          <w:rFonts w:ascii="Garamond" w:hAnsi="Garamond"/>
          <w:sz w:val="22"/>
          <w:szCs w:val="22"/>
        </w:rPr>
        <w:t>fiscal policy</w:t>
      </w:r>
      <w:r>
        <w:rPr>
          <w:rFonts w:ascii="Garamond" w:hAnsi="Garamond"/>
          <w:sz w:val="22"/>
          <w:szCs w:val="22"/>
        </w:rPr>
        <w:t xml:space="preserve"> implementation</w:t>
      </w:r>
      <w:r w:rsidRPr="005D2F99">
        <w:rPr>
          <w:rFonts w:ascii="Garamond" w:hAnsi="Garamond"/>
          <w:sz w:val="22"/>
          <w:szCs w:val="22"/>
        </w:rPr>
        <w:t xml:space="preserve">). </w:t>
      </w:r>
      <w:r>
        <w:rPr>
          <w:rFonts w:ascii="Garamond" w:hAnsi="Garamond"/>
          <w:sz w:val="22"/>
          <w:szCs w:val="22"/>
        </w:rPr>
        <w:t>T</w:t>
      </w:r>
      <w:r w:rsidRPr="005D2F99">
        <w:rPr>
          <w:rFonts w:ascii="Garamond" w:hAnsi="Garamond"/>
          <w:sz w:val="22"/>
          <w:szCs w:val="22"/>
        </w:rPr>
        <w:t>he inflation environment has considerably mitigated</w:t>
      </w:r>
      <w:r>
        <w:rPr>
          <w:rFonts w:ascii="Garamond" w:hAnsi="Garamond"/>
          <w:sz w:val="22"/>
          <w:szCs w:val="22"/>
        </w:rPr>
        <w:t xml:space="preserve"> in the face of existing risks</w:t>
      </w:r>
      <w:r w:rsidRPr="005D2F99">
        <w:rPr>
          <w:rFonts w:ascii="Garamond" w:hAnsi="Garamond"/>
          <w:sz w:val="22"/>
          <w:szCs w:val="22"/>
        </w:rPr>
        <w:t xml:space="preserve"> </w:t>
      </w:r>
      <w:r>
        <w:rPr>
          <w:rFonts w:ascii="Garamond" w:hAnsi="Garamond"/>
          <w:sz w:val="22"/>
          <w:szCs w:val="22"/>
        </w:rPr>
        <w:lastRenderedPageBreak/>
        <w:t xml:space="preserve">as </w:t>
      </w:r>
      <w:r w:rsidRPr="005D2F99">
        <w:rPr>
          <w:rFonts w:ascii="Garamond" w:hAnsi="Garamond"/>
          <w:sz w:val="22"/>
          <w:szCs w:val="22"/>
        </w:rPr>
        <w:t>the C</w:t>
      </w:r>
      <w:r>
        <w:rPr>
          <w:rFonts w:ascii="Garamond" w:hAnsi="Garamond"/>
          <w:sz w:val="22"/>
          <w:szCs w:val="22"/>
        </w:rPr>
        <w:t xml:space="preserve">entral </w:t>
      </w:r>
      <w:r w:rsidRPr="005D2F99">
        <w:rPr>
          <w:rFonts w:ascii="Garamond" w:hAnsi="Garamond"/>
          <w:sz w:val="22"/>
          <w:szCs w:val="22"/>
        </w:rPr>
        <w:t>B</w:t>
      </w:r>
      <w:r>
        <w:rPr>
          <w:rFonts w:ascii="Garamond" w:hAnsi="Garamond"/>
          <w:sz w:val="22"/>
          <w:szCs w:val="22"/>
        </w:rPr>
        <w:t>ank</w:t>
      </w:r>
      <w:r w:rsidR="005515AB">
        <w:rPr>
          <w:rFonts w:ascii="Garamond" w:hAnsi="Garamond"/>
          <w:sz w:val="22"/>
          <w:szCs w:val="22"/>
        </w:rPr>
        <w:t>, in</w:t>
      </w:r>
      <w:r w:rsidRPr="005D2F99">
        <w:rPr>
          <w:rFonts w:ascii="Garamond" w:hAnsi="Garamond"/>
          <w:sz w:val="22"/>
          <w:szCs w:val="22"/>
        </w:rPr>
        <w:t xml:space="preserve"> </w:t>
      </w:r>
      <w:r w:rsidR="005515AB" w:rsidRPr="005D2F99">
        <w:rPr>
          <w:rFonts w:ascii="Garamond" w:hAnsi="Garamond"/>
          <w:sz w:val="22"/>
          <w:szCs w:val="22"/>
        </w:rPr>
        <w:t>pursu</w:t>
      </w:r>
      <w:r w:rsidR="005515AB">
        <w:rPr>
          <w:rFonts w:ascii="Garamond" w:hAnsi="Garamond"/>
          <w:sz w:val="22"/>
          <w:szCs w:val="22"/>
        </w:rPr>
        <w:t xml:space="preserve">it of the </w:t>
      </w:r>
      <w:r w:rsidR="005515AB" w:rsidRPr="005D2F99">
        <w:rPr>
          <w:rFonts w:ascii="Garamond" w:hAnsi="Garamond"/>
          <w:sz w:val="22"/>
          <w:szCs w:val="22"/>
        </w:rPr>
        <w:t>inflation targeting in the mid-term</w:t>
      </w:r>
      <w:r w:rsidR="005515AB">
        <w:rPr>
          <w:rFonts w:ascii="Garamond" w:hAnsi="Garamond"/>
          <w:sz w:val="22"/>
          <w:szCs w:val="22"/>
        </w:rPr>
        <w:t xml:space="preserve"> perspective, kept the monetary conditions expansionary by </w:t>
      </w:r>
      <w:r w:rsidR="005515AB" w:rsidRPr="005D2F99">
        <w:rPr>
          <w:rFonts w:ascii="Garamond" w:hAnsi="Garamond"/>
          <w:sz w:val="22"/>
          <w:szCs w:val="22"/>
        </w:rPr>
        <w:t xml:space="preserve">leaving the refinancing rate unchanged </w:t>
      </w:r>
      <w:r w:rsidR="005515AB">
        <w:rPr>
          <w:rFonts w:ascii="Garamond" w:hAnsi="Garamond"/>
          <w:sz w:val="22"/>
          <w:szCs w:val="22"/>
        </w:rPr>
        <w:t>and opening the stimulus horizon wider.</w:t>
      </w:r>
    </w:p>
    <w:p w14:paraId="461BC983" w14:textId="77777777" w:rsidR="009321C8" w:rsidRPr="00EE5F0F" w:rsidRDefault="00196199" w:rsidP="00933B63">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 </w:t>
      </w:r>
    </w:p>
    <w:p w14:paraId="330E84A0" w14:textId="77777777" w:rsidR="001E301B" w:rsidRPr="00EE5F0F" w:rsidRDefault="001E301B"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3.1.2. Prices</w:t>
      </w:r>
    </w:p>
    <w:p w14:paraId="4F02C664" w14:textId="77777777" w:rsidR="00BB7433"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Consumer prices:</w:t>
      </w:r>
      <w:r w:rsidRPr="00EE5F0F">
        <w:rPr>
          <w:rFonts w:ascii="Garamond" w:hAnsi="Garamond"/>
          <w:sz w:val="22"/>
          <w:szCs w:val="22"/>
        </w:rPr>
        <w:t xml:space="preserve"> There was </w:t>
      </w:r>
      <w:r w:rsidR="005515AB">
        <w:rPr>
          <w:rFonts w:ascii="Garamond" w:hAnsi="Garamond"/>
          <w:b/>
          <w:sz w:val="22"/>
          <w:szCs w:val="22"/>
        </w:rPr>
        <w:t>2</w:t>
      </w:r>
      <w:r w:rsidR="004E7901" w:rsidRPr="004E7901">
        <w:rPr>
          <w:rFonts w:ascii="Garamond" w:hAnsi="Garamond"/>
          <w:b/>
          <w:sz w:val="22"/>
          <w:szCs w:val="22"/>
        </w:rPr>
        <w:t>.</w:t>
      </w:r>
      <w:r w:rsidR="005515AB">
        <w:rPr>
          <w:rFonts w:ascii="Garamond" w:hAnsi="Garamond"/>
          <w:b/>
          <w:sz w:val="22"/>
          <w:szCs w:val="22"/>
        </w:rPr>
        <w:t>6</w:t>
      </w:r>
      <w:r w:rsidRPr="004E7901">
        <w:rPr>
          <w:rFonts w:ascii="Garamond" w:hAnsi="Garamond"/>
          <w:b/>
          <w:sz w:val="22"/>
          <w:szCs w:val="22"/>
        </w:rPr>
        <w:t xml:space="preserve">% </w:t>
      </w:r>
      <w:r w:rsidR="005515AB">
        <w:rPr>
          <w:rFonts w:ascii="Garamond" w:hAnsi="Garamond"/>
          <w:b/>
          <w:sz w:val="22"/>
          <w:szCs w:val="22"/>
        </w:rPr>
        <w:t>in</w:t>
      </w:r>
      <w:r w:rsidRPr="004E7901">
        <w:rPr>
          <w:rFonts w:ascii="Garamond" w:hAnsi="Garamond"/>
          <w:b/>
          <w:sz w:val="22"/>
          <w:szCs w:val="22"/>
        </w:rPr>
        <w:t>flation</w:t>
      </w:r>
      <w:r w:rsidRPr="00EE5F0F">
        <w:rPr>
          <w:rFonts w:ascii="Garamond" w:hAnsi="Garamond"/>
          <w:sz w:val="22"/>
          <w:szCs w:val="22"/>
        </w:rPr>
        <w:t xml:space="preserve"> recorded in the </w:t>
      </w:r>
      <w:r w:rsidR="005515AB">
        <w:rPr>
          <w:rFonts w:ascii="Garamond" w:hAnsi="Garamond"/>
          <w:sz w:val="22"/>
          <w:szCs w:val="22"/>
        </w:rPr>
        <w:t>fourth</w:t>
      </w:r>
      <w:r w:rsidRPr="00EE5F0F">
        <w:rPr>
          <w:rFonts w:ascii="Garamond" w:hAnsi="Garamond"/>
          <w:sz w:val="22"/>
          <w:szCs w:val="22"/>
        </w:rPr>
        <w:t xml:space="preserve"> quarter of 2018, </w:t>
      </w:r>
      <w:r w:rsidR="003720FB">
        <w:rPr>
          <w:rFonts w:ascii="Garamond" w:hAnsi="Garamond"/>
          <w:sz w:val="22"/>
          <w:szCs w:val="22"/>
        </w:rPr>
        <w:t xml:space="preserve">largely </w:t>
      </w:r>
      <w:r w:rsidRPr="00EE5F0F">
        <w:rPr>
          <w:rFonts w:ascii="Garamond" w:hAnsi="Garamond"/>
          <w:sz w:val="22"/>
          <w:szCs w:val="22"/>
        </w:rPr>
        <w:t xml:space="preserve">driven by </w:t>
      </w:r>
      <w:r w:rsidR="005515AB">
        <w:rPr>
          <w:rFonts w:ascii="Garamond" w:hAnsi="Garamond"/>
          <w:sz w:val="22"/>
          <w:szCs w:val="22"/>
        </w:rPr>
        <w:t>a 4.</w:t>
      </w:r>
      <w:r w:rsidR="004E7901">
        <w:rPr>
          <w:rFonts w:ascii="Garamond" w:hAnsi="Garamond"/>
          <w:sz w:val="22"/>
          <w:szCs w:val="22"/>
        </w:rPr>
        <w:t>9</w:t>
      </w:r>
      <w:r w:rsidRPr="00EE5F0F">
        <w:rPr>
          <w:rFonts w:ascii="Garamond" w:hAnsi="Garamond"/>
          <w:sz w:val="22"/>
          <w:szCs w:val="22"/>
        </w:rPr>
        <w:t xml:space="preserve">% </w:t>
      </w:r>
      <w:r w:rsidR="00BB7433">
        <w:rPr>
          <w:rFonts w:ascii="Garamond" w:hAnsi="Garamond"/>
          <w:sz w:val="22"/>
          <w:szCs w:val="22"/>
        </w:rPr>
        <w:t xml:space="preserve">price </w:t>
      </w:r>
      <w:r w:rsidR="005515AB">
        <w:rPr>
          <w:rFonts w:ascii="Garamond" w:hAnsi="Garamond"/>
          <w:sz w:val="22"/>
          <w:szCs w:val="22"/>
        </w:rPr>
        <w:t xml:space="preserve">rise </w:t>
      </w:r>
      <w:r w:rsidRPr="00EE5F0F">
        <w:rPr>
          <w:rFonts w:ascii="Garamond" w:hAnsi="Garamond"/>
          <w:sz w:val="22"/>
          <w:szCs w:val="22"/>
        </w:rPr>
        <w:t xml:space="preserve">in </w:t>
      </w:r>
      <w:r w:rsidR="005515AB">
        <w:rPr>
          <w:rFonts w:ascii="Garamond" w:hAnsi="Garamond"/>
          <w:sz w:val="22"/>
          <w:szCs w:val="22"/>
        </w:rPr>
        <w:t>commodity group “Food and non-alcohol</w:t>
      </w:r>
      <w:r w:rsidR="00BB7433">
        <w:rPr>
          <w:rFonts w:ascii="Garamond" w:hAnsi="Garamond"/>
          <w:sz w:val="22"/>
          <w:szCs w:val="22"/>
        </w:rPr>
        <w:t>ic beverage</w:t>
      </w:r>
      <w:r w:rsidR="005515AB">
        <w:rPr>
          <w:rFonts w:ascii="Garamond" w:hAnsi="Garamond"/>
          <w:sz w:val="22"/>
          <w:szCs w:val="22"/>
        </w:rPr>
        <w:t>”</w:t>
      </w:r>
      <w:r w:rsidR="00BB7433">
        <w:rPr>
          <w:rFonts w:ascii="Garamond" w:hAnsi="Garamond"/>
          <w:sz w:val="22"/>
          <w:szCs w:val="22"/>
        </w:rPr>
        <w:t xml:space="preserve"> (including “Alcoholic beverage and tobacco”). </w:t>
      </w:r>
      <w:r w:rsidR="00556AD8">
        <w:rPr>
          <w:rFonts w:ascii="Garamond" w:hAnsi="Garamond"/>
          <w:sz w:val="22"/>
          <w:szCs w:val="22"/>
        </w:rPr>
        <w:t>Similarly, n</w:t>
      </w:r>
      <w:r w:rsidR="00556AD8" w:rsidRPr="00556AD8">
        <w:rPr>
          <w:rFonts w:ascii="Garamond" w:hAnsi="Garamond"/>
          <w:sz w:val="22"/>
          <w:szCs w:val="22"/>
        </w:rPr>
        <w:t xml:space="preserve">on-food and service tariffs </w:t>
      </w:r>
      <w:r w:rsidR="00556AD8">
        <w:rPr>
          <w:rFonts w:ascii="Garamond" w:hAnsi="Garamond"/>
          <w:sz w:val="22"/>
          <w:szCs w:val="22"/>
        </w:rPr>
        <w:t xml:space="preserve">have </w:t>
      </w:r>
      <w:r w:rsidR="00BB7433">
        <w:rPr>
          <w:rFonts w:ascii="Garamond" w:hAnsi="Garamond"/>
          <w:sz w:val="22"/>
          <w:szCs w:val="22"/>
        </w:rPr>
        <w:t xml:space="preserve">increased </w:t>
      </w:r>
      <w:r w:rsidR="00556AD8" w:rsidRPr="00556AD8">
        <w:rPr>
          <w:rFonts w:ascii="Garamond" w:hAnsi="Garamond"/>
          <w:sz w:val="22"/>
          <w:szCs w:val="22"/>
        </w:rPr>
        <w:t xml:space="preserve">by </w:t>
      </w:r>
      <w:r w:rsidR="00BB7433">
        <w:rPr>
          <w:rFonts w:ascii="Garamond" w:hAnsi="Garamond"/>
          <w:sz w:val="22"/>
          <w:szCs w:val="22"/>
        </w:rPr>
        <w:t>1</w:t>
      </w:r>
      <w:r w:rsidR="00556AD8" w:rsidRPr="00556AD8">
        <w:rPr>
          <w:rFonts w:ascii="Garamond" w:hAnsi="Garamond"/>
          <w:sz w:val="22"/>
          <w:szCs w:val="22"/>
        </w:rPr>
        <w:t>.</w:t>
      </w:r>
      <w:r w:rsidR="00BB7433">
        <w:rPr>
          <w:rFonts w:ascii="Garamond" w:hAnsi="Garamond"/>
          <w:sz w:val="22"/>
          <w:szCs w:val="22"/>
        </w:rPr>
        <w:t>8</w:t>
      </w:r>
      <w:r w:rsidR="00556AD8" w:rsidRPr="00556AD8">
        <w:rPr>
          <w:rFonts w:ascii="Garamond" w:hAnsi="Garamond"/>
          <w:sz w:val="22"/>
          <w:szCs w:val="22"/>
        </w:rPr>
        <w:t>% and 0.</w:t>
      </w:r>
      <w:r w:rsidR="00BB7433">
        <w:rPr>
          <w:rFonts w:ascii="Garamond" w:hAnsi="Garamond"/>
          <w:sz w:val="22"/>
          <w:szCs w:val="22"/>
        </w:rPr>
        <w:t>2</w:t>
      </w:r>
      <w:r w:rsidR="00556AD8" w:rsidRPr="00556AD8">
        <w:rPr>
          <w:rFonts w:ascii="Garamond" w:hAnsi="Garamond"/>
          <w:sz w:val="22"/>
          <w:szCs w:val="22"/>
        </w:rPr>
        <w:t>%, respectively (contributi</w:t>
      </w:r>
      <w:r w:rsidR="00DE0ADC">
        <w:rPr>
          <w:rFonts w:ascii="Garamond" w:hAnsi="Garamond"/>
          <w:sz w:val="22"/>
          <w:szCs w:val="22"/>
        </w:rPr>
        <w:t xml:space="preserve">on to the </w:t>
      </w:r>
      <w:r w:rsidR="00556AD8" w:rsidRPr="00556AD8">
        <w:rPr>
          <w:rFonts w:ascii="Garamond" w:hAnsi="Garamond"/>
          <w:sz w:val="22"/>
          <w:szCs w:val="22"/>
        </w:rPr>
        <w:t>quarter</w:t>
      </w:r>
      <w:r w:rsidR="00DE0ADC">
        <w:rPr>
          <w:rFonts w:ascii="Garamond" w:hAnsi="Garamond"/>
          <w:sz w:val="22"/>
          <w:szCs w:val="22"/>
        </w:rPr>
        <w:t xml:space="preserve">’s </w:t>
      </w:r>
      <w:r w:rsidR="00BB7433">
        <w:rPr>
          <w:rFonts w:ascii="Garamond" w:hAnsi="Garamond"/>
          <w:sz w:val="22"/>
          <w:szCs w:val="22"/>
        </w:rPr>
        <w:t>headline inflation</w:t>
      </w:r>
      <w:r w:rsidR="00DE0ADC">
        <w:rPr>
          <w:rFonts w:ascii="Garamond" w:hAnsi="Garamond"/>
          <w:sz w:val="22"/>
          <w:szCs w:val="22"/>
        </w:rPr>
        <w:t>:</w:t>
      </w:r>
      <w:r w:rsidR="001B14CC">
        <w:rPr>
          <w:rFonts w:ascii="Garamond" w:hAnsi="Garamond"/>
          <w:sz w:val="22"/>
          <w:szCs w:val="22"/>
        </w:rPr>
        <w:t xml:space="preserve"> </w:t>
      </w:r>
      <w:r w:rsidR="00BB7433">
        <w:rPr>
          <w:rFonts w:ascii="Garamond" w:hAnsi="Garamond"/>
          <w:sz w:val="22"/>
          <w:szCs w:val="22"/>
        </w:rPr>
        <w:t xml:space="preserve">close to </w:t>
      </w:r>
      <w:r w:rsidR="00556AD8" w:rsidRPr="00556AD8">
        <w:rPr>
          <w:rFonts w:ascii="Garamond" w:hAnsi="Garamond"/>
          <w:sz w:val="22"/>
          <w:szCs w:val="22"/>
        </w:rPr>
        <w:t>0</w:t>
      </w:r>
      <w:r w:rsidR="00BB7433">
        <w:rPr>
          <w:rFonts w:ascii="Garamond" w:hAnsi="Garamond"/>
          <w:sz w:val="22"/>
          <w:szCs w:val="22"/>
        </w:rPr>
        <w:t>.45</w:t>
      </w:r>
      <w:r w:rsidR="00556AD8" w:rsidRPr="00556AD8">
        <w:rPr>
          <w:rFonts w:ascii="Garamond" w:hAnsi="Garamond"/>
          <w:sz w:val="22"/>
          <w:szCs w:val="22"/>
        </w:rPr>
        <w:t xml:space="preserve"> p</w:t>
      </w:r>
      <w:r w:rsidR="00DE0ADC">
        <w:rPr>
          <w:rFonts w:ascii="Garamond" w:hAnsi="Garamond"/>
          <w:sz w:val="22"/>
          <w:szCs w:val="22"/>
        </w:rPr>
        <w:t>p</w:t>
      </w:r>
      <w:r w:rsidR="00556AD8" w:rsidRPr="00556AD8">
        <w:rPr>
          <w:rFonts w:ascii="Garamond" w:hAnsi="Garamond"/>
          <w:sz w:val="22"/>
          <w:szCs w:val="22"/>
        </w:rPr>
        <w:t xml:space="preserve">). </w:t>
      </w:r>
      <w:r w:rsidR="00BB7433">
        <w:rPr>
          <w:rFonts w:ascii="Garamond" w:hAnsi="Garamond"/>
          <w:sz w:val="22"/>
          <w:szCs w:val="22"/>
        </w:rPr>
        <w:t>Specifically, price inflation in the group “</w:t>
      </w:r>
      <w:r w:rsidR="00BB7433" w:rsidRPr="00BB7433">
        <w:rPr>
          <w:rFonts w:ascii="Garamond" w:hAnsi="Garamond"/>
          <w:sz w:val="22"/>
          <w:szCs w:val="22"/>
        </w:rPr>
        <w:t>Food and non-alcoholic beverage</w:t>
      </w:r>
      <w:r w:rsidR="00BB7433">
        <w:rPr>
          <w:rFonts w:ascii="Garamond" w:hAnsi="Garamond"/>
          <w:sz w:val="22"/>
          <w:szCs w:val="22"/>
        </w:rPr>
        <w:t xml:space="preserve">” has been fueled by </w:t>
      </w:r>
      <w:r w:rsidR="00BB7433" w:rsidRPr="00BB7433">
        <w:rPr>
          <w:rFonts w:ascii="Garamond" w:hAnsi="Garamond"/>
          <w:sz w:val="22"/>
          <w:szCs w:val="22"/>
        </w:rPr>
        <w:t>fruit, vegetable and meat product</w:t>
      </w:r>
      <w:r w:rsidR="00BB7433">
        <w:rPr>
          <w:rFonts w:ascii="Garamond" w:hAnsi="Garamond"/>
          <w:sz w:val="22"/>
          <w:szCs w:val="22"/>
        </w:rPr>
        <w:t xml:space="preserve"> price</w:t>
      </w:r>
      <w:r w:rsidR="00E23235">
        <w:rPr>
          <w:rFonts w:ascii="Garamond" w:hAnsi="Garamond"/>
          <w:sz w:val="22"/>
          <w:szCs w:val="22"/>
        </w:rPr>
        <w:t>s</w:t>
      </w:r>
      <w:r w:rsidR="00BB7433">
        <w:rPr>
          <w:rFonts w:ascii="Garamond" w:hAnsi="Garamond"/>
          <w:sz w:val="22"/>
          <w:szCs w:val="22"/>
        </w:rPr>
        <w:t xml:space="preserve"> </w:t>
      </w:r>
      <w:r w:rsidR="00E23235">
        <w:rPr>
          <w:rFonts w:ascii="Garamond" w:hAnsi="Garamond"/>
          <w:sz w:val="22"/>
          <w:szCs w:val="22"/>
        </w:rPr>
        <w:t xml:space="preserve">grown </w:t>
      </w:r>
      <w:r w:rsidR="00BB7433" w:rsidRPr="00BB7433">
        <w:rPr>
          <w:rFonts w:ascii="Garamond" w:hAnsi="Garamond"/>
          <w:sz w:val="22"/>
          <w:szCs w:val="22"/>
        </w:rPr>
        <w:t>by 16.8%, 37.4% and 1.7%, respectively (contributi</w:t>
      </w:r>
      <w:r w:rsidR="00BB7433">
        <w:rPr>
          <w:rFonts w:ascii="Garamond" w:hAnsi="Garamond"/>
          <w:sz w:val="22"/>
          <w:szCs w:val="22"/>
        </w:rPr>
        <w:t>on</w:t>
      </w:r>
      <w:r w:rsidR="00BB7433" w:rsidRPr="00BB7433">
        <w:rPr>
          <w:rFonts w:ascii="Garamond" w:hAnsi="Garamond"/>
          <w:sz w:val="22"/>
          <w:szCs w:val="22"/>
        </w:rPr>
        <w:t xml:space="preserve"> to the </w:t>
      </w:r>
      <w:r w:rsidR="00BB7433">
        <w:rPr>
          <w:rFonts w:ascii="Garamond" w:hAnsi="Garamond"/>
          <w:sz w:val="22"/>
          <w:szCs w:val="22"/>
        </w:rPr>
        <w:t xml:space="preserve">quarter’s headline </w:t>
      </w:r>
      <w:r w:rsidR="00BB7433" w:rsidRPr="00BB7433">
        <w:rPr>
          <w:rFonts w:ascii="Garamond" w:hAnsi="Garamond"/>
          <w:sz w:val="22"/>
          <w:szCs w:val="22"/>
        </w:rPr>
        <w:t>inflation</w:t>
      </w:r>
      <w:r w:rsidR="00BB7433">
        <w:rPr>
          <w:rFonts w:ascii="Garamond" w:hAnsi="Garamond"/>
          <w:sz w:val="22"/>
          <w:szCs w:val="22"/>
        </w:rPr>
        <w:t>:</w:t>
      </w:r>
      <w:r w:rsidR="00BB7433" w:rsidRPr="00BB7433">
        <w:rPr>
          <w:rFonts w:ascii="Garamond" w:hAnsi="Garamond"/>
          <w:sz w:val="22"/>
          <w:szCs w:val="22"/>
        </w:rPr>
        <w:t xml:space="preserve"> about 2.7 p</w:t>
      </w:r>
      <w:r w:rsidR="00BB7433">
        <w:rPr>
          <w:rFonts w:ascii="Garamond" w:hAnsi="Garamond"/>
          <w:sz w:val="22"/>
          <w:szCs w:val="22"/>
        </w:rPr>
        <w:t>p</w:t>
      </w:r>
      <w:r w:rsidR="00BB7433" w:rsidRPr="00BB7433">
        <w:rPr>
          <w:rFonts w:ascii="Garamond" w:hAnsi="Garamond"/>
          <w:sz w:val="22"/>
          <w:szCs w:val="22"/>
        </w:rPr>
        <w:t>).</w:t>
      </w:r>
    </w:p>
    <w:p w14:paraId="3881C31E" w14:textId="77777777" w:rsidR="0046389E" w:rsidRDefault="00E23235"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quarterly non-food price inflation is almost entirely due to prices in </w:t>
      </w:r>
      <w:r w:rsidR="0046389E">
        <w:rPr>
          <w:rFonts w:ascii="Garamond" w:hAnsi="Garamond"/>
          <w:sz w:val="22"/>
          <w:szCs w:val="22"/>
        </w:rPr>
        <w:t>commodity groups “</w:t>
      </w:r>
      <w:r w:rsidR="0046389E" w:rsidRPr="00556AD8">
        <w:rPr>
          <w:rFonts w:ascii="Garamond" w:hAnsi="Garamond"/>
          <w:sz w:val="22"/>
          <w:szCs w:val="22"/>
        </w:rPr>
        <w:t>Cloth</w:t>
      </w:r>
      <w:r w:rsidR="0046389E">
        <w:rPr>
          <w:rFonts w:ascii="Garamond" w:hAnsi="Garamond"/>
          <w:sz w:val="22"/>
          <w:szCs w:val="22"/>
        </w:rPr>
        <w:t>es”</w:t>
      </w:r>
      <w:r>
        <w:rPr>
          <w:rFonts w:ascii="Garamond" w:hAnsi="Garamond"/>
          <w:sz w:val="22"/>
          <w:szCs w:val="22"/>
        </w:rPr>
        <w:t xml:space="preserve"> and “</w:t>
      </w:r>
      <w:r w:rsidRPr="00556AD8">
        <w:rPr>
          <w:rFonts w:ascii="Garamond" w:hAnsi="Garamond"/>
          <w:sz w:val="22"/>
          <w:szCs w:val="22"/>
        </w:rPr>
        <w:t>Footwear</w:t>
      </w:r>
      <w:r>
        <w:rPr>
          <w:rFonts w:ascii="Garamond" w:hAnsi="Garamond"/>
          <w:sz w:val="22"/>
          <w:szCs w:val="22"/>
        </w:rPr>
        <w:t>”</w:t>
      </w:r>
      <w:r w:rsidR="00183633">
        <w:rPr>
          <w:rFonts w:ascii="Garamond" w:hAnsi="Garamond"/>
          <w:sz w:val="22"/>
          <w:szCs w:val="22"/>
        </w:rPr>
        <w:t xml:space="preserve"> grown </w:t>
      </w:r>
      <w:r>
        <w:rPr>
          <w:rFonts w:ascii="Garamond" w:hAnsi="Garamond"/>
          <w:sz w:val="22"/>
          <w:szCs w:val="22"/>
        </w:rPr>
        <w:t>by 9</w:t>
      </w:r>
      <w:r w:rsidR="0046389E">
        <w:rPr>
          <w:rFonts w:ascii="Garamond" w:hAnsi="Garamond"/>
          <w:sz w:val="22"/>
          <w:szCs w:val="22"/>
        </w:rPr>
        <w:t>.</w:t>
      </w:r>
      <w:r>
        <w:rPr>
          <w:rFonts w:ascii="Garamond" w:hAnsi="Garamond"/>
          <w:sz w:val="22"/>
          <w:szCs w:val="22"/>
        </w:rPr>
        <w:t>5</w:t>
      </w:r>
      <w:r w:rsidR="0046389E">
        <w:rPr>
          <w:rFonts w:ascii="Garamond" w:hAnsi="Garamond"/>
          <w:sz w:val="22"/>
          <w:szCs w:val="22"/>
        </w:rPr>
        <w:t>% and</w:t>
      </w:r>
      <w:r w:rsidR="00183633">
        <w:rPr>
          <w:rFonts w:ascii="Garamond" w:hAnsi="Garamond"/>
          <w:sz w:val="22"/>
          <w:szCs w:val="22"/>
        </w:rPr>
        <w:t xml:space="preserve"> </w:t>
      </w:r>
      <w:r>
        <w:rPr>
          <w:rFonts w:ascii="Garamond" w:hAnsi="Garamond"/>
          <w:sz w:val="22"/>
          <w:szCs w:val="22"/>
        </w:rPr>
        <w:t>11</w:t>
      </w:r>
      <w:r w:rsidR="0046389E">
        <w:rPr>
          <w:rFonts w:ascii="Garamond" w:hAnsi="Garamond"/>
          <w:sz w:val="22"/>
          <w:szCs w:val="22"/>
        </w:rPr>
        <w:t>.5%</w:t>
      </w:r>
      <w:r w:rsidR="00183633">
        <w:rPr>
          <w:rFonts w:ascii="Garamond" w:hAnsi="Garamond"/>
          <w:sz w:val="22"/>
          <w:szCs w:val="22"/>
        </w:rPr>
        <w:t>, respectively</w:t>
      </w:r>
      <w:r>
        <w:rPr>
          <w:rFonts w:ascii="Garamond" w:hAnsi="Garamond"/>
          <w:sz w:val="22"/>
          <w:szCs w:val="22"/>
        </w:rPr>
        <w:t xml:space="preserve"> (contribution to </w:t>
      </w:r>
      <w:r w:rsidRPr="00BB7433">
        <w:rPr>
          <w:rFonts w:ascii="Garamond" w:hAnsi="Garamond"/>
          <w:sz w:val="22"/>
          <w:szCs w:val="22"/>
        </w:rPr>
        <w:t xml:space="preserve">the </w:t>
      </w:r>
      <w:r>
        <w:rPr>
          <w:rFonts w:ascii="Garamond" w:hAnsi="Garamond"/>
          <w:sz w:val="22"/>
          <w:szCs w:val="22"/>
        </w:rPr>
        <w:t xml:space="preserve">quarter’s headline </w:t>
      </w:r>
      <w:r w:rsidRPr="00BB7433">
        <w:rPr>
          <w:rFonts w:ascii="Garamond" w:hAnsi="Garamond"/>
          <w:sz w:val="22"/>
          <w:szCs w:val="22"/>
        </w:rPr>
        <w:t>inflation</w:t>
      </w:r>
      <w:r>
        <w:rPr>
          <w:rFonts w:ascii="Garamond" w:hAnsi="Garamond"/>
          <w:sz w:val="22"/>
          <w:szCs w:val="22"/>
        </w:rPr>
        <w:t>:</w:t>
      </w:r>
      <w:r w:rsidRPr="00BB7433">
        <w:rPr>
          <w:rFonts w:ascii="Garamond" w:hAnsi="Garamond"/>
          <w:sz w:val="22"/>
          <w:szCs w:val="22"/>
        </w:rPr>
        <w:t xml:space="preserve"> about </w:t>
      </w:r>
      <w:r w:rsidR="00183633">
        <w:rPr>
          <w:rFonts w:ascii="Garamond" w:hAnsi="Garamond"/>
          <w:sz w:val="22"/>
          <w:szCs w:val="22"/>
        </w:rPr>
        <w:t>0</w:t>
      </w:r>
      <w:r w:rsidRPr="00BB7433">
        <w:rPr>
          <w:rFonts w:ascii="Garamond" w:hAnsi="Garamond"/>
          <w:sz w:val="22"/>
          <w:szCs w:val="22"/>
        </w:rPr>
        <w:t>.</w:t>
      </w:r>
      <w:r w:rsidR="00183633">
        <w:rPr>
          <w:rFonts w:ascii="Garamond" w:hAnsi="Garamond"/>
          <w:sz w:val="22"/>
          <w:szCs w:val="22"/>
        </w:rPr>
        <w:t>4</w:t>
      </w:r>
      <w:r w:rsidRPr="00BB7433">
        <w:rPr>
          <w:rFonts w:ascii="Garamond" w:hAnsi="Garamond"/>
          <w:sz w:val="22"/>
          <w:szCs w:val="22"/>
        </w:rPr>
        <w:t xml:space="preserve"> p</w:t>
      </w:r>
      <w:r>
        <w:rPr>
          <w:rFonts w:ascii="Garamond" w:hAnsi="Garamond"/>
          <w:sz w:val="22"/>
          <w:szCs w:val="22"/>
        </w:rPr>
        <w:t>p</w:t>
      </w:r>
      <w:r w:rsidR="00183633">
        <w:rPr>
          <w:rFonts w:ascii="Garamond" w:hAnsi="Garamond"/>
          <w:sz w:val="22"/>
          <w:szCs w:val="22"/>
        </w:rPr>
        <w:t>). The prices in the group “Fuel” have dropped by 0.6% in the meanwhile.</w:t>
      </w:r>
      <w:r w:rsidR="0046389E">
        <w:rPr>
          <w:rFonts w:ascii="Garamond" w:hAnsi="Garamond"/>
          <w:sz w:val="22"/>
          <w:szCs w:val="22"/>
        </w:rPr>
        <w:t xml:space="preserve"> </w:t>
      </w:r>
      <w:r w:rsidR="00DE0ADC">
        <w:rPr>
          <w:rFonts w:ascii="Garamond" w:hAnsi="Garamond"/>
          <w:sz w:val="22"/>
          <w:szCs w:val="22"/>
        </w:rPr>
        <w:t xml:space="preserve"> </w:t>
      </w:r>
    </w:p>
    <w:p w14:paraId="6527391A" w14:textId="77777777" w:rsidR="00183633" w:rsidRDefault="00183633"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H</w:t>
      </w:r>
      <w:r w:rsidRPr="00183633">
        <w:rPr>
          <w:rFonts w:ascii="Garamond" w:hAnsi="Garamond"/>
          <w:sz w:val="22"/>
          <w:szCs w:val="22"/>
        </w:rPr>
        <w:t>ousing utilit</w:t>
      </w:r>
      <w:r>
        <w:rPr>
          <w:rFonts w:ascii="Garamond" w:hAnsi="Garamond"/>
          <w:sz w:val="22"/>
          <w:szCs w:val="22"/>
        </w:rPr>
        <w:t xml:space="preserve">y tariffs </w:t>
      </w:r>
      <w:r w:rsidRPr="00183633">
        <w:rPr>
          <w:rFonts w:ascii="Garamond" w:hAnsi="Garamond"/>
          <w:sz w:val="22"/>
          <w:szCs w:val="22"/>
        </w:rPr>
        <w:t xml:space="preserve">have </w:t>
      </w:r>
      <w:r>
        <w:rPr>
          <w:rFonts w:ascii="Garamond" w:hAnsi="Garamond"/>
          <w:sz w:val="22"/>
          <w:szCs w:val="22"/>
        </w:rPr>
        <w:t xml:space="preserve">risen </w:t>
      </w:r>
      <w:r w:rsidRPr="00183633">
        <w:rPr>
          <w:rFonts w:ascii="Garamond" w:hAnsi="Garamond"/>
          <w:sz w:val="22"/>
          <w:szCs w:val="22"/>
        </w:rPr>
        <w:t>noticeably</w:t>
      </w:r>
      <w:r>
        <w:rPr>
          <w:rFonts w:ascii="Garamond" w:hAnsi="Garamond"/>
          <w:sz w:val="22"/>
          <w:szCs w:val="22"/>
        </w:rPr>
        <w:t>, by</w:t>
      </w:r>
      <w:r w:rsidRPr="00183633">
        <w:rPr>
          <w:rFonts w:ascii="Garamond" w:hAnsi="Garamond"/>
          <w:sz w:val="22"/>
          <w:szCs w:val="22"/>
        </w:rPr>
        <w:t xml:space="preserve"> 0.8% (contribution to the </w:t>
      </w:r>
      <w:r>
        <w:rPr>
          <w:rFonts w:ascii="Garamond" w:hAnsi="Garamond"/>
          <w:sz w:val="22"/>
          <w:szCs w:val="22"/>
        </w:rPr>
        <w:t>quarter’s headline</w:t>
      </w:r>
      <w:r w:rsidRPr="00183633">
        <w:rPr>
          <w:rFonts w:ascii="Garamond" w:hAnsi="Garamond"/>
          <w:sz w:val="22"/>
          <w:szCs w:val="22"/>
        </w:rPr>
        <w:t xml:space="preserve"> inflation</w:t>
      </w:r>
      <w:r>
        <w:rPr>
          <w:rFonts w:ascii="Garamond" w:hAnsi="Garamond"/>
          <w:sz w:val="22"/>
          <w:szCs w:val="22"/>
        </w:rPr>
        <w:t>:</w:t>
      </w:r>
      <w:r w:rsidRPr="00183633">
        <w:rPr>
          <w:rFonts w:ascii="Garamond" w:hAnsi="Garamond"/>
          <w:sz w:val="22"/>
          <w:szCs w:val="22"/>
        </w:rPr>
        <w:t xml:space="preserve"> about 0.1 p</w:t>
      </w:r>
      <w:r>
        <w:rPr>
          <w:rFonts w:ascii="Garamond" w:hAnsi="Garamond"/>
          <w:sz w:val="22"/>
          <w:szCs w:val="22"/>
        </w:rPr>
        <w:t>p</w:t>
      </w:r>
      <w:r w:rsidRPr="00183633">
        <w:rPr>
          <w:rFonts w:ascii="Garamond" w:hAnsi="Garamond"/>
          <w:sz w:val="22"/>
          <w:szCs w:val="22"/>
        </w:rPr>
        <w:t xml:space="preserve">), while air </w:t>
      </w:r>
      <w:r>
        <w:rPr>
          <w:rFonts w:ascii="Garamond" w:hAnsi="Garamond"/>
          <w:sz w:val="22"/>
          <w:szCs w:val="22"/>
        </w:rPr>
        <w:t>fare</w:t>
      </w:r>
      <w:r w:rsidR="001563A7">
        <w:rPr>
          <w:rFonts w:ascii="Garamond" w:hAnsi="Garamond"/>
          <w:sz w:val="22"/>
          <w:szCs w:val="22"/>
        </w:rPr>
        <w:t>s</w:t>
      </w:r>
      <w:r>
        <w:rPr>
          <w:rFonts w:ascii="Garamond" w:hAnsi="Garamond"/>
          <w:sz w:val="22"/>
          <w:szCs w:val="22"/>
        </w:rPr>
        <w:t xml:space="preserve"> </w:t>
      </w:r>
      <w:r w:rsidRPr="00183633">
        <w:rPr>
          <w:rFonts w:ascii="Garamond" w:hAnsi="Garamond"/>
          <w:sz w:val="22"/>
          <w:szCs w:val="22"/>
        </w:rPr>
        <w:t xml:space="preserve">and </w:t>
      </w:r>
      <w:r w:rsidR="001563A7">
        <w:rPr>
          <w:rFonts w:ascii="Garamond" w:hAnsi="Garamond"/>
          <w:sz w:val="22"/>
          <w:szCs w:val="22"/>
        </w:rPr>
        <w:t xml:space="preserve">health </w:t>
      </w:r>
      <w:r w:rsidRPr="00183633">
        <w:rPr>
          <w:rFonts w:ascii="Garamond" w:hAnsi="Garamond"/>
          <w:sz w:val="22"/>
          <w:szCs w:val="22"/>
        </w:rPr>
        <w:t>service</w:t>
      </w:r>
      <w:r>
        <w:rPr>
          <w:rFonts w:ascii="Garamond" w:hAnsi="Garamond"/>
          <w:sz w:val="22"/>
          <w:szCs w:val="22"/>
        </w:rPr>
        <w:t xml:space="preserve"> fees </w:t>
      </w:r>
      <w:r w:rsidRPr="00183633">
        <w:rPr>
          <w:rFonts w:ascii="Garamond" w:hAnsi="Garamond"/>
          <w:sz w:val="22"/>
          <w:szCs w:val="22"/>
        </w:rPr>
        <w:t xml:space="preserve">have </w:t>
      </w:r>
      <w:r w:rsidR="001563A7">
        <w:rPr>
          <w:rFonts w:ascii="Garamond" w:hAnsi="Garamond"/>
          <w:sz w:val="22"/>
          <w:szCs w:val="22"/>
        </w:rPr>
        <w:t>fallen to a certain extent, by</w:t>
      </w:r>
      <w:r w:rsidRPr="00183633">
        <w:rPr>
          <w:rFonts w:ascii="Garamond" w:hAnsi="Garamond"/>
          <w:sz w:val="22"/>
          <w:szCs w:val="22"/>
        </w:rPr>
        <w:t xml:space="preserve"> 0.7% and 0.3%</w:t>
      </w:r>
      <w:r w:rsidR="001563A7">
        <w:rPr>
          <w:rFonts w:ascii="Garamond" w:hAnsi="Garamond"/>
          <w:sz w:val="22"/>
          <w:szCs w:val="22"/>
        </w:rPr>
        <w:t>, respectively</w:t>
      </w:r>
      <w:r w:rsidRPr="00183633">
        <w:rPr>
          <w:rFonts w:ascii="Garamond" w:hAnsi="Garamond"/>
          <w:sz w:val="22"/>
          <w:szCs w:val="22"/>
        </w:rPr>
        <w:t>.</w:t>
      </w:r>
    </w:p>
    <w:p w14:paraId="2CC6872B" w14:textId="77777777" w:rsidR="008564A8" w:rsidRDefault="008564A8" w:rsidP="00781ACF">
      <w:pPr>
        <w:autoSpaceDE w:val="0"/>
        <w:autoSpaceDN w:val="0"/>
        <w:adjustRightInd w:val="0"/>
        <w:spacing w:after="120" w:line="360" w:lineRule="auto"/>
        <w:jc w:val="both"/>
        <w:rPr>
          <w:rFonts w:ascii="Garamond" w:hAnsi="Garamond"/>
          <w:b/>
          <w:color w:val="C00000"/>
          <w:sz w:val="22"/>
          <w:szCs w:val="22"/>
        </w:rPr>
      </w:pPr>
    </w:p>
    <w:p w14:paraId="573C459A" w14:textId="77777777" w:rsidR="00183633" w:rsidRDefault="008564A8" w:rsidP="00781ACF">
      <w:pPr>
        <w:autoSpaceDE w:val="0"/>
        <w:autoSpaceDN w:val="0"/>
        <w:adjustRightInd w:val="0"/>
        <w:spacing w:after="120" w:line="360" w:lineRule="auto"/>
        <w:jc w:val="both"/>
        <w:rPr>
          <w:rFonts w:ascii="Garamond" w:hAnsi="Garamond"/>
          <w:sz w:val="22"/>
          <w:szCs w:val="22"/>
        </w:rPr>
      </w:pPr>
      <w:r w:rsidRPr="008B5651">
        <w:rPr>
          <w:rFonts w:ascii="Garamond" w:hAnsi="Garamond"/>
          <w:b/>
          <w:color w:val="C00000"/>
          <w:sz w:val="22"/>
          <w:szCs w:val="22"/>
        </w:rPr>
        <w:t>Table 4</w:t>
      </w:r>
      <w:r>
        <w:rPr>
          <w:rFonts w:ascii="Garamond" w:hAnsi="Garamond"/>
          <w:b/>
          <w:color w:val="C00000"/>
          <w:sz w:val="22"/>
          <w:szCs w:val="22"/>
        </w:rPr>
        <w:t>:</w:t>
      </w:r>
    </w:p>
    <w:p w14:paraId="3E46FBA3" w14:textId="77777777" w:rsidR="008564A8" w:rsidRDefault="001F2209" w:rsidP="008564A8">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008564A8" w:rsidRPr="00EE5F0F">
        <w:rPr>
          <w:rFonts w:ascii="Garamond" w:hAnsi="Garamond"/>
          <w:sz w:val="22"/>
          <w:szCs w:val="22"/>
        </w:rPr>
        <w:t xml:space="preserve">he 12-month inflation rate amounted to </w:t>
      </w:r>
      <w:r w:rsidR="008564A8">
        <w:rPr>
          <w:rFonts w:ascii="Garamond" w:hAnsi="Garamond"/>
          <w:sz w:val="22"/>
          <w:szCs w:val="22"/>
        </w:rPr>
        <w:t>1.8</w:t>
      </w:r>
      <w:r w:rsidR="008564A8" w:rsidRPr="00EE5F0F">
        <w:rPr>
          <w:rFonts w:ascii="Garamond" w:hAnsi="Garamond"/>
          <w:sz w:val="22"/>
          <w:szCs w:val="22"/>
        </w:rPr>
        <w:t xml:space="preserve">% in </w:t>
      </w:r>
      <w:r w:rsidR="008564A8">
        <w:rPr>
          <w:rFonts w:ascii="Garamond" w:hAnsi="Garamond"/>
          <w:sz w:val="22"/>
          <w:szCs w:val="22"/>
        </w:rPr>
        <w:t xml:space="preserve">December </w:t>
      </w:r>
      <w:r w:rsidR="008564A8" w:rsidRPr="00EE5F0F">
        <w:rPr>
          <w:rFonts w:ascii="Garamond" w:hAnsi="Garamond"/>
          <w:sz w:val="22"/>
          <w:szCs w:val="22"/>
        </w:rPr>
        <w:t>of 2018</w:t>
      </w:r>
      <w:r>
        <w:rPr>
          <w:rFonts w:ascii="Garamond" w:hAnsi="Garamond"/>
          <w:sz w:val="22"/>
          <w:szCs w:val="22"/>
        </w:rPr>
        <w:t>,</w:t>
      </w:r>
      <w:r w:rsidR="008564A8" w:rsidRPr="00EE5F0F">
        <w:rPr>
          <w:rFonts w:ascii="Garamond" w:hAnsi="Garamond"/>
          <w:sz w:val="22"/>
          <w:szCs w:val="22"/>
        </w:rPr>
        <w:t xml:space="preserve"> instead of </w:t>
      </w:r>
      <w:r w:rsidR="008564A8">
        <w:rPr>
          <w:rFonts w:ascii="Garamond" w:hAnsi="Garamond"/>
          <w:sz w:val="22"/>
          <w:szCs w:val="22"/>
        </w:rPr>
        <w:t xml:space="preserve">a 2.7% target outlined </w:t>
      </w:r>
      <w:r w:rsidR="00D7789C">
        <w:rPr>
          <w:rFonts w:ascii="Garamond" w:hAnsi="Garamond"/>
          <w:sz w:val="22"/>
          <w:szCs w:val="22"/>
        </w:rPr>
        <w:t xml:space="preserve">in </w:t>
      </w:r>
      <w:r w:rsidR="008564A8">
        <w:rPr>
          <w:rFonts w:ascii="Garamond" w:hAnsi="Garamond"/>
          <w:sz w:val="22"/>
          <w:szCs w:val="22"/>
        </w:rPr>
        <w:t>the fourth quarter’s MP program</w:t>
      </w:r>
      <w:r>
        <w:rPr>
          <w:rFonts w:ascii="Garamond" w:hAnsi="Garamond"/>
          <w:sz w:val="22"/>
          <w:szCs w:val="22"/>
        </w:rPr>
        <w:t xml:space="preserve">, with seasonally-sensitive </w:t>
      </w:r>
      <w:r w:rsidR="003B756E">
        <w:rPr>
          <w:rFonts w:ascii="Garamond" w:hAnsi="Garamond"/>
          <w:sz w:val="22"/>
          <w:szCs w:val="22"/>
        </w:rPr>
        <w:t xml:space="preserve">agricultural product </w:t>
      </w:r>
      <w:r w:rsidR="003B756E" w:rsidRPr="003B756E">
        <w:rPr>
          <w:rFonts w:ascii="Garamond" w:hAnsi="Garamond"/>
          <w:sz w:val="22"/>
          <w:szCs w:val="22"/>
        </w:rPr>
        <w:t>price</w:t>
      </w:r>
      <w:r w:rsidR="003B756E">
        <w:rPr>
          <w:rFonts w:ascii="Garamond" w:hAnsi="Garamond"/>
          <w:sz w:val="22"/>
          <w:szCs w:val="22"/>
        </w:rPr>
        <w:t xml:space="preserve"> growth </w:t>
      </w:r>
      <w:r w:rsidR="00D7789C">
        <w:rPr>
          <w:rFonts w:ascii="Garamond" w:hAnsi="Garamond"/>
          <w:sz w:val="22"/>
          <w:szCs w:val="22"/>
        </w:rPr>
        <w:t>making up</w:t>
      </w:r>
      <w:r w:rsidR="003B756E">
        <w:rPr>
          <w:rFonts w:ascii="Garamond" w:hAnsi="Garamond"/>
          <w:sz w:val="22"/>
          <w:szCs w:val="22"/>
        </w:rPr>
        <w:t xml:space="preserve"> -</w:t>
      </w:r>
      <w:r w:rsidR="003B756E" w:rsidRPr="003B756E">
        <w:rPr>
          <w:rFonts w:ascii="Garamond" w:hAnsi="Garamond"/>
          <w:sz w:val="22"/>
          <w:szCs w:val="22"/>
        </w:rPr>
        <w:t>1.6%</w:t>
      </w:r>
      <w:r w:rsidR="003B756E">
        <w:rPr>
          <w:rFonts w:ascii="Garamond" w:hAnsi="Garamond"/>
          <w:sz w:val="22"/>
          <w:szCs w:val="22"/>
        </w:rPr>
        <w:t xml:space="preserve"> y/y</w:t>
      </w:r>
      <w:r w:rsidR="003B756E" w:rsidRPr="003B756E">
        <w:rPr>
          <w:rFonts w:ascii="Garamond" w:hAnsi="Garamond"/>
          <w:sz w:val="22"/>
          <w:szCs w:val="22"/>
        </w:rPr>
        <w:t>, regulated services</w:t>
      </w:r>
      <w:r w:rsidR="003B756E">
        <w:rPr>
          <w:rFonts w:ascii="Garamond" w:hAnsi="Garamond"/>
          <w:sz w:val="22"/>
          <w:szCs w:val="22"/>
        </w:rPr>
        <w:t>,</w:t>
      </w:r>
      <w:r w:rsidR="003B756E" w:rsidRPr="003B756E">
        <w:rPr>
          <w:rFonts w:ascii="Garamond" w:hAnsi="Garamond"/>
          <w:sz w:val="22"/>
          <w:szCs w:val="22"/>
        </w:rPr>
        <w:t xml:space="preserve"> 0.3%, and </w:t>
      </w:r>
      <w:r w:rsidR="003B756E">
        <w:rPr>
          <w:rFonts w:ascii="Garamond" w:hAnsi="Garamond"/>
          <w:sz w:val="22"/>
          <w:szCs w:val="22"/>
        </w:rPr>
        <w:t xml:space="preserve">core </w:t>
      </w:r>
      <w:r w:rsidR="003B756E" w:rsidRPr="003B756E">
        <w:rPr>
          <w:rFonts w:ascii="Garamond" w:hAnsi="Garamond"/>
          <w:sz w:val="22"/>
          <w:szCs w:val="22"/>
        </w:rPr>
        <w:t>inflation</w:t>
      </w:r>
      <w:r w:rsidR="003B756E">
        <w:rPr>
          <w:rFonts w:ascii="Garamond" w:hAnsi="Garamond"/>
          <w:sz w:val="22"/>
          <w:szCs w:val="22"/>
        </w:rPr>
        <w:t>,</w:t>
      </w:r>
      <w:r w:rsidR="003B756E" w:rsidRPr="003B756E">
        <w:rPr>
          <w:rFonts w:ascii="Garamond" w:hAnsi="Garamond"/>
          <w:sz w:val="22"/>
          <w:szCs w:val="22"/>
        </w:rPr>
        <w:t xml:space="preserve"> 2.6%. </w:t>
      </w:r>
      <w:r w:rsidR="00B5279A">
        <w:rPr>
          <w:rFonts w:ascii="Garamond" w:hAnsi="Garamond"/>
          <w:sz w:val="22"/>
          <w:szCs w:val="22"/>
        </w:rPr>
        <w:t xml:space="preserve">Note </w:t>
      </w:r>
      <w:r w:rsidR="003B756E" w:rsidRPr="003B756E">
        <w:rPr>
          <w:rFonts w:ascii="Garamond" w:hAnsi="Garamond"/>
          <w:sz w:val="22"/>
          <w:szCs w:val="22"/>
        </w:rPr>
        <w:t>that</w:t>
      </w:r>
      <w:r w:rsidR="00B5279A">
        <w:rPr>
          <w:rFonts w:ascii="Garamond" w:hAnsi="Garamond"/>
          <w:sz w:val="22"/>
          <w:szCs w:val="22"/>
        </w:rPr>
        <w:t xml:space="preserve"> the core inflation indicator</w:t>
      </w:r>
      <w:r w:rsidR="0083416E">
        <w:rPr>
          <w:rFonts w:ascii="Garamond" w:hAnsi="Garamond"/>
          <w:sz w:val="22"/>
          <w:szCs w:val="22"/>
        </w:rPr>
        <w:t>,</w:t>
      </w:r>
      <w:r w:rsidR="00B5279A">
        <w:rPr>
          <w:rFonts w:ascii="Garamond" w:hAnsi="Garamond"/>
          <w:sz w:val="22"/>
          <w:szCs w:val="22"/>
        </w:rPr>
        <w:t xml:space="preserve"> too</w:t>
      </w:r>
      <w:r w:rsidR="0083416E">
        <w:rPr>
          <w:rFonts w:ascii="Garamond" w:hAnsi="Garamond"/>
          <w:sz w:val="22"/>
          <w:szCs w:val="22"/>
        </w:rPr>
        <w:t>,</w:t>
      </w:r>
      <w:r w:rsidR="00B5279A">
        <w:rPr>
          <w:rFonts w:ascii="Garamond" w:hAnsi="Garamond"/>
          <w:sz w:val="22"/>
          <w:szCs w:val="22"/>
        </w:rPr>
        <w:t xml:space="preserve"> has embrac</w:t>
      </w:r>
      <w:r w:rsidR="00B5279A" w:rsidRPr="00B5279A">
        <w:rPr>
          <w:rFonts w:ascii="Garamond" w:hAnsi="Garamond"/>
          <w:sz w:val="22"/>
          <w:szCs w:val="22"/>
        </w:rPr>
        <w:t xml:space="preserve">ed </w:t>
      </w:r>
      <w:r w:rsidR="003B756E" w:rsidRPr="00B5279A">
        <w:rPr>
          <w:rFonts w:ascii="Garamond" w:hAnsi="Garamond"/>
          <w:sz w:val="22"/>
          <w:szCs w:val="22"/>
        </w:rPr>
        <w:t xml:space="preserve">the effects of some </w:t>
      </w:r>
      <w:r w:rsidR="00D7789C" w:rsidRPr="00B5279A">
        <w:rPr>
          <w:rFonts w:ascii="Garamond" w:hAnsi="Garamond"/>
          <w:sz w:val="22"/>
          <w:szCs w:val="22"/>
        </w:rPr>
        <w:t xml:space="preserve">supply-side </w:t>
      </w:r>
      <w:r w:rsidR="003B756E" w:rsidRPr="00B5279A">
        <w:rPr>
          <w:rFonts w:ascii="Garamond" w:hAnsi="Garamond"/>
          <w:sz w:val="22"/>
          <w:szCs w:val="22"/>
        </w:rPr>
        <w:t>shock</w:t>
      </w:r>
      <w:r w:rsidR="00D7789C" w:rsidRPr="00B5279A">
        <w:rPr>
          <w:rFonts w:ascii="Garamond" w:hAnsi="Garamond"/>
          <w:sz w:val="22"/>
          <w:szCs w:val="22"/>
        </w:rPr>
        <w:t>s</w:t>
      </w:r>
      <w:r w:rsidR="003B756E" w:rsidRPr="00B5279A">
        <w:rPr>
          <w:rFonts w:ascii="Garamond" w:hAnsi="Garamond"/>
          <w:sz w:val="22"/>
          <w:szCs w:val="22"/>
        </w:rPr>
        <w:t xml:space="preserve"> </w:t>
      </w:r>
      <w:r w:rsidR="00B5279A" w:rsidRPr="00B5279A">
        <w:rPr>
          <w:rFonts w:ascii="Garamond" w:hAnsi="Garamond"/>
          <w:sz w:val="22"/>
          <w:szCs w:val="22"/>
        </w:rPr>
        <w:t xml:space="preserve">observable during </w:t>
      </w:r>
      <w:r w:rsidR="003B756E" w:rsidRPr="00B5279A">
        <w:rPr>
          <w:rFonts w:ascii="Garamond" w:hAnsi="Garamond"/>
          <w:sz w:val="22"/>
          <w:szCs w:val="22"/>
        </w:rPr>
        <w:t xml:space="preserve">the year. </w:t>
      </w:r>
      <w:r w:rsidR="00B5279A">
        <w:rPr>
          <w:rFonts w:ascii="Garamond" w:hAnsi="Garamond"/>
          <w:sz w:val="22"/>
          <w:szCs w:val="22"/>
        </w:rPr>
        <w:t>Specifically</w:t>
      </w:r>
      <w:r w:rsidR="003B756E" w:rsidRPr="00B5279A">
        <w:rPr>
          <w:rFonts w:ascii="Garamond" w:hAnsi="Garamond"/>
          <w:sz w:val="22"/>
          <w:szCs w:val="22"/>
        </w:rPr>
        <w:t>, the</w:t>
      </w:r>
      <w:r w:rsidR="003B756E" w:rsidRPr="003B756E">
        <w:rPr>
          <w:rFonts w:ascii="Garamond" w:hAnsi="Garamond"/>
          <w:sz w:val="22"/>
          <w:szCs w:val="22"/>
        </w:rPr>
        <w:t xml:space="preserve"> </w:t>
      </w:r>
      <w:r w:rsidR="00B5279A">
        <w:rPr>
          <w:rFonts w:ascii="Garamond" w:hAnsi="Garamond"/>
          <w:sz w:val="22"/>
          <w:szCs w:val="22"/>
        </w:rPr>
        <w:t xml:space="preserve">combined </w:t>
      </w:r>
      <w:r w:rsidR="003B756E" w:rsidRPr="003B756E">
        <w:rPr>
          <w:rFonts w:ascii="Garamond" w:hAnsi="Garamond"/>
          <w:sz w:val="22"/>
          <w:szCs w:val="22"/>
        </w:rPr>
        <w:t xml:space="preserve">impact of </w:t>
      </w:r>
      <w:r w:rsidR="00B5279A">
        <w:rPr>
          <w:rFonts w:ascii="Garamond" w:hAnsi="Garamond"/>
          <w:sz w:val="22"/>
          <w:szCs w:val="22"/>
        </w:rPr>
        <w:t xml:space="preserve">the change in </w:t>
      </w:r>
      <w:r w:rsidR="003B756E" w:rsidRPr="003B756E">
        <w:rPr>
          <w:rFonts w:ascii="Garamond" w:hAnsi="Garamond"/>
          <w:sz w:val="22"/>
          <w:szCs w:val="22"/>
        </w:rPr>
        <w:t xml:space="preserve">excise tax, customs </w:t>
      </w:r>
      <w:r w:rsidR="00B5279A">
        <w:rPr>
          <w:rFonts w:ascii="Garamond" w:hAnsi="Garamond"/>
          <w:sz w:val="22"/>
          <w:szCs w:val="22"/>
        </w:rPr>
        <w:t xml:space="preserve">duty, of the rise in prices of meat products (beef in particular) and of the decline in </w:t>
      </w:r>
      <w:r w:rsidR="003B756E" w:rsidRPr="003B756E">
        <w:rPr>
          <w:rFonts w:ascii="Garamond" w:hAnsi="Garamond"/>
          <w:sz w:val="22"/>
          <w:szCs w:val="22"/>
        </w:rPr>
        <w:t xml:space="preserve">prices </w:t>
      </w:r>
      <w:r w:rsidR="00B5279A">
        <w:rPr>
          <w:rFonts w:ascii="Garamond" w:hAnsi="Garamond"/>
          <w:sz w:val="22"/>
          <w:szCs w:val="22"/>
        </w:rPr>
        <w:t xml:space="preserve">of </w:t>
      </w:r>
      <w:r w:rsidR="003B756E" w:rsidRPr="003B756E">
        <w:rPr>
          <w:rFonts w:ascii="Garamond" w:hAnsi="Garamond"/>
          <w:sz w:val="22"/>
          <w:szCs w:val="22"/>
        </w:rPr>
        <w:t>import</w:t>
      </w:r>
      <w:r w:rsidR="00B5279A">
        <w:rPr>
          <w:rFonts w:ascii="Garamond" w:hAnsi="Garamond"/>
          <w:sz w:val="22"/>
          <w:szCs w:val="22"/>
        </w:rPr>
        <w:t>ed</w:t>
      </w:r>
      <w:r w:rsidR="003B756E" w:rsidRPr="003B756E">
        <w:rPr>
          <w:rFonts w:ascii="Garamond" w:hAnsi="Garamond"/>
          <w:sz w:val="22"/>
          <w:szCs w:val="22"/>
        </w:rPr>
        <w:t xml:space="preserve"> goods</w:t>
      </w:r>
      <w:r w:rsidR="00B5279A">
        <w:rPr>
          <w:rFonts w:ascii="Garamond" w:hAnsi="Garamond"/>
          <w:sz w:val="22"/>
          <w:szCs w:val="22"/>
        </w:rPr>
        <w:t xml:space="preserve"> on inflation is estimated to be </w:t>
      </w:r>
      <w:r w:rsidR="003B756E" w:rsidRPr="003B756E">
        <w:rPr>
          <w:rFonts w:ascii="Garamond" w:hAnsi="Garamond"/>
          <w:sz w:val="22"/>
          <w:szCs w:val="22"/>
        </w:rPr>
        <w:t>0.8 p</w:t>
      </w:r>
      <w:r w:rsidR="00B5279A">
        <w:rPr>
          <w:rFonts w:ascii="Garamond" w:hAnsi="Garamond"/>
          <w:sz w:val="22"/>
          <w:szCs w:val="22"/>
        </w:rPr>
        <w:t>p positive</w:t>
      </w:r>
      <w:r w:rsidR="008564A8">
        <w:rPr>
          <w:rFonts w:ascii="Garamond" w:hAnsi="Garamond"/>
          <w:sz w:val="22"/>
          <w:szCs w:val="22"/>
        </w:rPr>
        <w:t>.</w:t>
      </w:r>
    </w:p>
    <w:p w14:paraId="44307C20" w14:textId="77777777" w:rsidR="005C339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According to the </w:t>
      </w:r>
      <w:r w:rsidR="004F65E2">
        <w:rPr>
          <w:rFonts w:ascii="Garamond" w:hAnsi="Garamond"/>
          <w:sz w:val="22"/>
          <w:szCs w:val="22"/>
        </w:rPr>
        <w:t xml:space="preserve">official </w:t>
      </w:r>
      <w:r w:rsidRPr="00EE5F0F">
        <w:rPr>
          <w:rFonts w:ascii="Garamond" w:hAnsi="Garamond"/>
          <w:sz w:val="22"/>
          <w:szCs w:val="22"/>
        </w:rPr>
        <w:t xml:space="preserve">data issued by the </w:t>
      </w:r>
      <w:r w:rsidR="004F65E2">
        <w:rPr>
          <w:rFonts w:ascii="Garamond" w:hAnsi="Garamond"/>
          <w:sz w:val="22"/>
          <w:szCs w:val="22"/>
        </w:rPr>
        <w:t>Republic of Armenia Statistics Committee</w:t>
      </w:r>
      <w:r w:rsidRPr="00EE5F0F">
        <w:rPr>
          <w:rFonts w:ascii="Garamond" w:hAnsi="Garamond"/>
          <w:sz w:val="22"/>
          <w:szCs w:val="22"/>
        </w:rPr>
        <w:t xml:space="preserve">, there was </w:t>
      </w:r>
      <w:r w:rsidR="00787AE0">
        <w:rPr>
          <w:rFonts w:ascii="Garamond" w:hAnsi="Garamond"/>
          <w:sz w:val="22"/>
          <w:szCs w:val="22"/>
        </w:rPr>
        <w:t>1</w:t>
      </w:r>
      <w:r w:rsidRPr="00EE5F0F">
        <w:rPr>
          <w:rFonts w:ascii="Garamond" w:hAnsi="Garamond"/>
          <w:sz w:val="22"/>
          <w:szCs w:val="22"/>
        </w:rPr>
        <w:t>.</w:t>
      </w:r>
      <w:r w:rsidR="00787AE0">
        <w:rPr>
          <w:rFonts w:ascii="Garamond" w:hAnsi="Garamond"/>
          <w:sz w:val="22"/>
          <w:szCs w:val="22"/>
        </w:rPr>
        <w:t>8</w:t>
      </w:r>
      <w:r w:rsidRPr="00EE5F0F">
        <w:rPr>
          <w:rFonts w:ascii="Garamond" w:hAnsi="Garamond"/>
          <w:sz w:val="22"/>
          <w:szCs w:val="22"/>
        </w:rPr>
        <w:t>%</w:t>
      </w:r>
      <w:r w:rsidR="00452460">
        <w:rPr>
          <w:rFonts w:ascii="Garamond" w:hAnsi="Garamond"/>
          <w:sz w:val="22"/>
          <w:szCs w:val="22"/>
        </w:rPr>
        <w:t xml:space="preserve"> in</w:t>
      </w:r>
      <w:r w:rsidRPr="00EE5F0F">
        <w:rPr>
          <w:rFonts w:ascii="Garamond" w:hAnsi="Garamond"/>
          <w:sz w:val="22"/>
          <w:szCs w:val="22"/>
        </w:rPr>
        <w:t xml:space="preserve">flation in </w:t>
      </w:r>
      <w:r w:rsidR="00787AE0">
        <w:rPr>
          <w:rFonts w:ascii="Garamond" w:hAnsi="Garamond"/>
          <w:sz w:val="22"/>
          <w:szCs w:val="22"/>
        </w:rPr>
        <w:t>January</w:t>
      </w:r>
      <w:r w:rsidRPr="00EE5F0F">
        <w:rPr>
          <w:rFonts w:ascii="Garamond" w:hAnsi="Garamond"/>
          <w:sz w:val="22"/>
          <w:szCs w:val="22"/>
        </w:rPr>
        <w:t xml:space="preserve"> of 201</w:t>
      </w:r>
      <w:r w:rsidR="00787AE0">
        <w:rPr>
          <w:rFonts w:ascii="Garamond" w:hAnsi="Garamond"/>
          <w:sz w:val="22"/>
          <w:szCs w:val="22"/>
        </w:rPr>
        <w:t>9</w:t>
      </w:r>
      <w:r w:rsidRPr="00EE5F0F">
        <w:rPr>
          <w:rFonts w:ascii="Garamond" w:hAnsi="Garamond"/>
          <w:sz w:val="22"/>
          <w:szCs w:val="22"/>
        </w:rPr>
        <w:t xml:space="preserve">, mainly due to </w:t>
      </w:r>
      <w:r w:rsidR="005C339F">
        <w:rPr>
          <w:rFonts w:ascii="Garamond" w:hAnsi="Garamond"/>
          <w:sz w:val="22"/>
          <w:szCs w:val="22"/>
        </w:rPr>
        <w:t xml:space="preserve">a 4.6% price increase </w:t>
      </w:r>
      <w:r w:rsidRPr="00EE5F0F">
        <w:rPr>
          <w:rFonts w:ascii="Garamond" w:hAnsi="Garamond"/>
          <w:sz w:val="22"/>
          <w:szCs w:val="22"/>
        </w:rPr>
        <w:t xml:space="preserve">in group </w:t>
      </w:r>
      <w:r w:rsidR="005C339F">
        <w:rPr>
          <w:rFonts w:ascii="Garamond" w:hAnsi="Garamond"/>
          <w:sz w:val="22"/>
          <w:szCs w:val="22"/>
        </w:rPr>
        <w:t xml:space="preserve">“Food and non-alcohol beverage”, with </w:t>
      </w:r>
      <w:r w:rsidR="005C339F" w:rsidRPr="005C339F">
        <w:rPr>
          <w:rFonts w:ascii="Garamond" w:hAnsi="Garamond"/>
          <w:sz w:val="22"/>
          <w:szCs w:val="22"/>
        </w:rPr>
        <w:t xml:space="preserve">the 12-month inflation rate </w:t>
      </w:r>
      <w:r w:rsidR="005C339F">
        <w:rPr>
          <w:rFonts w:ascii="Garamond" w:hAnsi="Garamond"/>
          <w:sz w:val="22"/>
          <w:szCs w:val="22"/>
        </w:rPr>
        <w:t xml:space="preserve">having </w:t>
      </w:r>
      <w:r w:rsidR="005C339F" w:rsidRPr="005C339F">
        <w:rPr>
          <w:rFonts w:ascii="Garamond" w:hAnsi="Garamond"/>
          <w:sz w:val="22"/>
          <w:szCs w:val="22"/>
        </w:rPr>
        <w:t>dropped sharply in January to 0.8%.</w:t>
      </w:r>
      <w:r w:rsidR="005C339F">
        <w:rPr>
          <w:rFonts w:ascii="Garamond" w:hAnsi="Garamond"/>
          <w:sz w:val="22"/>
          <w:szCs w:val="22"/>
        </w:rPr>
        <w:t xml:space="preserve"> </w:t>
      </w:r>
    </w:p>
    <w:p w14:paraId="13169E49" w14:textId="77777777" w:rsidR="005C339F" w:rsidRDefault="005C339F" w:rsidP="00781ACF">
      <w:pPr>
        <w:autoSpaceDE w:val="0"/>
        <w:autoSpaceDN w:val="0"/>
        <w:adjustRightInd w:val="0"/>
        <w:spacing w:after="120" w:line="360" w:lineRule="auto"/>
        <w:jc w:val="both"/>
        <w:rPr>
          <w:rFonts w:ascii="Garamond" w:hAnsi="Garamond"/>
          <w:sz w:val="22"/>
          <w:szCs w:val="22"/>
        </w:rPr>
      </w:pPr>
      <w:r w:rsidRPr="005C339F">
        <w:rPr>
          <w:rFonts w:ascii="Garamond" w:hAnsi="Garamond"/>
          <w:sz w:val="22"/>
          <w:szCs w:val="22"/>
        </w:rPr>
        <w:t>In</w:t>
      </w:r>
      <w:r>
        <w:rPr>
          <w:rFonts w:ascii="Garamond" w:hAnsi="Garamond"/>
          <w:sz w:val="22"/>
          <w:szCs w:val="22"/>
        </w:rPr>
        <w:t>flation in</w:t>
      </w:r>
      <w:r w:rsidRPr="005C339F">
        <w:rPr>
          <w:rFonts w:ascii="Garamond" w:hAnsi="Garamond"/>
          <w:sz w:val="22"/>
          <w:szCs w:val="22"/>
        </w:rPr>
        <w:t xml:space="preserve"> </w:t>
      </w:r>
      <w:r>
        <w:rPr>
          <w:rFonts w:ascii="Garamond" w:hAnsi="Garamond"/>
          <w:sz w:val="22"/>
          <w:szCs w:val="22"/>
        </w:rPr>
        <w:t>F</w:t>
      </w:r>
      <w:r w:rsidRPr="005C339F">
        <w:rPr>
          <w:rFonts w:ascii="Garamond" w:hAnsi="Garamond"/>
          <w:sz w:val="22"/>
          <w:szCs w:val="22"/>
        </w:rPr>
        <w:t>ebruary</w:t>
      </w:r>
      <w:r>
        <w:rPr>
          <w:rFonts w:ascii="Garamond" w:hAnsi="Garamond"/>
          <w:sz w:val="22"/>
          <w:szCs w:val="22"/>
        </w:rPr>
        <w:t xml:space="preserve"> of 2019 was</w:t>
      </w:r>
      <w:r w:rsidRPr="005C339F">
        <w:rPr>
          <w:rFonts w:ascii="Garamond" w:hAnsi="Garamond"/>
          <w:sz w:val="22"/>
          <w:szCs w:val="22"/>
        </w:rPr>
        <w:t xml:space="preserve"> 0.6%, </w:t>
      </w:r>
      <w:r>
        <w:rPr>
          <w:rFonts w:ascii="Garamond" w:hAnsi="Garamond"/>
          <w:sz w:val="22"/>
          <w:szCs w:val="22"/>
        </w:rPr>
        <w:t xml:space="preserve">largely driven by increased </w:t>
      </w:r>
      <w:r w:rsidRPr="00535270">
        <w:rPr>
          <w:rFonts w:ascii="Garamond" w:hAnsi="Garamond"/>
          <w:sz w:val="22"/>
          <w:szCs w:val="22"/>
        </w:rPr>
        <w:t xml:space="preserve">prices </w:t>
      </w:r>
      <w:r>
        <w:rPr>
          <w:rFonts w:ascii="Garamond" w:hAnsi="Garamond"/>
          <w:sz w:val="22"/>
          <w:szCs w:val="22"/>
        </w:rPr>
        <w:t>in groups “F</w:t>
      </w:r>
      <w:r w:rsidRPr="00535270">
        <w:rPr>
          <w:rFonts w:ascii="Garamond" w:hAnsi="Garamond"/>
          <w:sz w:val="22"/>
          <w:szCs w:val="22"/>
        </w:rPr>
        <w:t>ruit</w:t>
      </w:r>
      <w:r>
        <w:rPr>
          <w:rFonts w:ascii="Garamond" w:hAnsi="Garamond"/>
          <w:sz w:val="22"/>
          <w:szCs w:val="22"/>
        </w:rPr>
        <w:t>”</w:t>
      </w:r>
      <w:r w:rsidRPr="00535270">
        <w:rPr>
          <w:rFonts w:ascii="Garamond" w:hAnsi="Garamond"/>
          <w:sz w:val="22"/>
          <w:szCs w:val="22"/>
        </w:rPr>
        <w:t xml:space="preserve"> and </w:t>
      </w:r>
      <w:r>
        <w:rPr>
          <w:rFonts w:ascii="Garamond" w:hAnsi="Garamond"/>
          <w:sz w:val="22"/>
          <w:szCs w:val="22"/>
        </w:rPr>
        <w:t>“V</w:t>
      </w:r>
      <w:r w:rsidRPr="00535270">
        <w:rPr>
          <w:rFonts w:ascii="Garamond" w:hAnsi="Garamond"/>
          <w:sz w:val="22"/>
          <w:szCs w:val="22"/>
        </w:rPr>
        <w:t>egetable</w:t>
      </w:r>
      <w:r>
        <w:rPr>
          <w:rFonts w:ascii="Garamond" w:hAnsi="Garamond"/>
          <w:sz w:val="22"/>
          <w:szCs w:val="22"/>
        </w:rPr>
        <w:t>” by 1</w:t>
      </w:r>
      <w:r w:rsidRPr="00535270">
        <w:rPr>
          <w:rFonts w:ascii="Garamond" w:hAnsi="Garamond"/>
          <w:sz w:val="22"/>
          <w:szCs w:val="22"/>
        </w:rPr>
        <w:t>.</w:t>
      </w:r>
      <w:r>
        <w:rPr>
          <w:rFonts w:ascii="Garamond" w:hAnsi="Garamond"/>
          <w:sz w:val="22"/>
          <w:szCs w:val="22"/>
        </w:rPr>
        <w:t>7</w:t>
      </w:r>
      <w:r w:rsidRPr="00535270">
        <w:rPr>
          <w:rFonts w:ascii="Garamond" w:hAnsi="Garamond"/>
          <w:sz w:val="22"/>
          <w:szCs w:val="22"/>
        </w:rPr>
        <w:t>% and 7.</w:t>
      </w:r>
      <w:r>
        <w:rPr>
          <w:rFonts w:ascii="Garamond" w:hAnsi="Garamond"/>
          <w:sz w:val="22"/>
          <w:szCs w:val="22"/>
        </w:rPr>
        <w:t>4</w:t>
      </w:r>
      <w:r w:rsidRPr="00535270">
        <w:rPr>
          <w:rFonts w:ascii="Garamond" w:hAnsi="Garamond"/>
          <w:sz w:val="22"/>
          <w:szCs w:val="22"/>
        </w:rPr>
        <w:t>%, respectively</w:t>
      </w:r>
      <w:r w:rsidRPr="005C339F">
        <w:rPr>
          <w:rFonts w:ascii="Garamond" w:hAnsi="Garamond"/>
          <w:sz w:val="22"/>
          <w:szCs w:val="22"/>
        </w:rPr>
        <w:t xml:space="preserve"> (contributi</w:t>
      </w:r>
      <w:r>
        <w:rPr>
          <w:rFonts w:ascii="Garamond" w:hAnsi="Garamond"/>
          <w:sz w:val="22"/>
          <w:szCs w:val="22"/>
        </w:rPr>
        <w:t>on t</w:t>
      </w:r>
      <w:r w:rsidRPr="005C339F">
        <w:rPr>
          <w:rFonts w:ascii="Garamond" w:hAnsi="Garamond"/>
          <w:sz w:val="22"/>
          <w:szCs w:val="22"/>
        </w:rPr>
        <w:t>o the overall increase in consumer prices</w:t>
      </w:r>
      <w:r>
        <w:rPr>
          <w:rFonts w:ascii="Garamond" w:hAnsi="Garamond"/>
          <w:sz w:val="22"/>
          <w:szCs w:val="22"/>
        </w:rPr>
        <w:t>:</w:t>
      </w:r>
      <w:r w:rsidRPr="005C339F">
        <w:rPr>
          <w:rFonts w:ascii="Garamond" w:hAnsi="Garamond"/>
          <w:sz w:val="22"/>
          <w:szCs w:val="22"/>
        </w:rPr>
        <w:t xml:space="preserve"> 0.5 p</w:t>
      </w:r>
      <w:r>
        <w:rPr>
          <w:rFonts w:ascii="Garamond" w:hAnsi="Garamond"/>
          <w:sz w:val="22"/>
          <w:szCs w:val="22"/>
        </w:rPr>
        <w:t>p</w:t>
      </w:r>
      <w:r w:rsidRPr="005C339F">
        <w:rPr>
          <w:rFonts w:ascii="Garamond" w:hAnsi="Garamond"/>
          <w:sz w:val="22"/>
          <w:szCs w:val="22"/>
        </w:rPr>
        <w:t xml:space="preserve">). As a result, the 12-month inflation rate </w:t>
      </w:r>
      <w:r>
        <w:rPr>
          <w:rFonts w:ascii="Garamond" w:hAnsi="Garamond"/>
          <w:sz w:val="22"/>
          <w:szCs w:val="22"/>
        </w:rPr>
        <w:t xml:space="preserve">rebounded </w:t>
      </w:r>
      <w:r w:rsidR="00F44E5F">
        <w:rPr>
          <w:rFonts w:ascii="Garamond" w:hAnsi="Garamond"/>
          <w:sz w:val="22"/>
          <w:szCs w:val="22"/>
        </w:rPr>
        <w:t>t</w:t>
      </w:r>
      <w:r w:rsidRPr="005C339F">
        <w:rPr>
          <w:rFonts w:ascii="Garamond" w:hAnsi="Garamond"/>
          <w:sz w:val="22"/>
          <w:szCs w:val="22"/>
        </w:rPr>
        <w:t>o 1.9% in February.</w:t>
      </w:r>
    </w:p>
    <w:p w14:paraId="65C31502" w14:textId="19F52406" w:rsidR="000C1208"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Import prices:</w:t>
      </w:r>
      <w:r w:rsidR="00543AF2">
        <w:rPr>
          <w:rFonts w:ascii="Garamond" w:hAnsi="Garamond"/>
          <w:sz w:val="22"/>
          <w:szCs w:val="22"/>
        </w:rPr>
        <w:t xml:space="preserve"> The </w:t>
      </w:r>
      <w:r w:rsidR="00DA4B55">
        <w:rPr>
          <w:rFonts w:ascii="Garamond" w:hAnsi="Garamond"/>
          <w:sz w:val="22"/>
          <w:szCs w:val="22"/>
        </w:rPr>
        <w:t xml:space="preserve">change of </w:t>
      </w:r>
      <w:r w:rsidR="00543AF2">
        <w:rPr>
          <w:rFonts w:ascii="Garamond" w:hAnsi="Garamond"/>
          <w:sz w:val="22"/>
          <w:szCs w:val="22"/>
        </w:rPr>
        <w:t xml:space="preserve">dollar prices of import of </w:t>
      </w:r>
      <w:r w:rsidRPr="00EE5F0F">
        <w:rPr>
          <w:rFonts w:ascii="Garamond" w:hAnsi="Garamond"/>
          <w:sz w:val="22"/>
          <w:szCs w:val="22"/>
        </w:rPr>
        <w:t xml:space="preserve">goods to Armenia </w:t>
      </w:r>
      <w:r w:rsidR="00DA4B55">
        <w:rPr>
          <w:rFonts w:ascii="Garamond" w:hAnsi="Garamond"/>
          <w:sz w:val="22"/>
          <w:szCs w:val="22"/>
        </w:rPr>
        <w:t>was</w:t>
      </w:r>
      <w:r w:rsidR="00F44E5F">
        <w:rPr>
          <w:rFonts w:ascii="Garamond" w:hAnsi="Garamond"/>
          <w:sz w:val="22"/>
          <w:szCs w:val="22"/>
        </w:rPr>
        <w:t xml:space="preserve">almost a zero in </w:t>
      </w:r>
      <w:r w:rsidRPr="00EE5F0F">
        <w:rPr>
          <w:rFonts w:ascii="Garamond" w:hAnsi="Garamond"/>
          <w:sz w:val="22"/>
          <w:szCs w:val="22"/>
        </w:rPr>
        <w:t xml:space="preserve">the </w:t>
      </w:r>
      <w:r w:rsidR="00F44E5F">
        <w:rPr>
          <w:rFonts w:ascii="Garamond" w:hAnsi="Garamond"/>
          <w:sz w:val="22"/>
          <w:szCs w:val="22"/>
        </w:rPr>
        <w:t>fourth</w:t>
      </w:r>
      <w:r w:rsidRPr="00EE5F0F">
        <w:rPr>
          <w:rFonts w:ascii="Garamond" w:hAnsi="Garamond"/>
          <w:sz w:val="22"/>
          <w:szCs w:val="22"/>
        </w:rPr>
        <w:t xml:space="preserve"> quarter of 2018</w:t>
      </w:r>
      <w:r w:rsidR="00F44E5F">
        <w:rPr>
          <w:rFonts w:ascii="Garamond" w:hAnsi="Garamond"/>
          <w:sz w:val="22"/>
          <w:szCs w:val="22"/>
        </w:rPr>
        <w:t xml:space="preserve">. The </w:t>
      </w:r>
      <w:r w:rsidR="00F44E5F" w:rsidRPr="00F44E5F">
        <w:rPr>
          <w:rFonts w:ascii="Garamond" w:hAnsi="Garamond"/>
          <w:sz w:val="22"/>
          <w:szCs w:val="22"/>
        </w:rPr>
        <w:t xml:space="preserve">dollar prices </w:t>
      </w:r>
      <w:r w:rsidR="00F44E5F">
        <w:rPr>
          <w:rFonts w:ascii="Garamond" w:hAnsi="Garamond"/>
          <w:sz w:val="22"/>
          <w:szCs w:val="22"/>
        </w:rPr>
        <w:t xml:space="preserve">of </w:t>
      </w:r>
      <w:r w:rsidR="00F44E5F" w:rsidRPr="00F44E5F">
        <w:rPr>
          <w:rFonts w:ascii="Garamond" w:hAnsi="Garamond"/>
          <w:sz w:val="22"/>
          <w:szCs w:val="22"/>
        </w:rPr>
        <w:t xml:space="preserve">consumer goods </w:t>
      </w:r>
      <w:r w:rsidR="00F44E5F">
        <w:rPr>
          <w:rFonts w:ascii="Garamond" w:hAnsi="Garamond"/>
          <w:sz w:val="22"/>
          <w:szCs w:val="22"/>
        </w:rPr>
        <w:t xml:space="preserve">have </w:t>
      </w:r>
      <w:r w:rsidR="00A06C09">
        <w:rPr>
          <w:rFonts w:ascii="Garamond" w:hAnsi="Garamond"/>
          <w:sz w:val="22"/>
          <w:szCs w:val="22"/>
        </w:rPr>
        <w:t>increased</w:t>
      </w:r>
      <w:r w:rsidR="00F44E5F">
        <w:rPr>
          <w:rFonts w:ascii="Garamond" w:hAnsi="Garamond"/>
          <w:sz w:val="22"/>
          <w:szCs w:val="22"/>
        </w:rPr>
        <w:t xml:space="preserve"> </w:t>
      </w:r>
      <w:r w:rsidR="00F44E5F" w:rsidRPr="00F44E5F">
        <w:rPr>
          <w:rFonts w:ascii="Garamond" w:hAnsi="Garamond"/>
          <w:sz w:val="22"/>
          <w:szCs w:val="22"/>
        </w:rPr>
        <w:t>0.3%</w:t>
      </w:r>
      <w:r w:rsidR="00F44E5F">
        <w:rPr>
          <w:rFonts w:ascii="Garamond" w:hAnsi="Garamond"/>
          <w:sz w:val="22"/>
          <w:szCs w:val="22"/>
        </w:rPr>
        <w:t xml:space="preserve"> q/q and those of </w:t>
      </w:r>
      <w:r w:rsidR="00F44E5F" w:rsidRPr="00F44E5F">
        <w:rPr>
          <w:rFonts w:ascii="Garamond" w:hAnsi="Garamond"/>
          <w:sz w:val="22"/>
          <w:szCs w:val="22"/>
        </w:rPr>
        <w:t xml:space="preserve">import of </w:t>
      </w:r>
      <w:r w:rsidR="00F44E5F">
        <w:rPr>
          <w:rFonts w:ascii="Garamond" w:hAnsi="Garamond"/>
          <w:sz w:val="22"/>
          <w:szCs w:val="22"/>
        </w:rPr>
        <w:t xml:space="preserve">ore and </w:t>
      </w:r>
      <w:r w:rsidR="00F44E5F" w:rsidRPr="00F44E5F">
        <w:rPr>
          <w:rFonts w:ascii="Garamond" w:hAnsi="Garamond"/>
          <w:sz w:val="22"/>
          <w:szCs w:val="22"/>
        </w:rPr>
        <w:lastRenderedPageBreak/>
        <w:t>mineral</w:t>
      </w:r>
      <w:r w:rsidR="00F44E5F">
        <w:rPr>
          <w:rFonts w:ascii="Garamond" w:hAnsi="Garamond"/>
          <w:sz w:val="22"/>
          <w:szCs w:val="22"/>
        </w:rPr>
        <w:t xml:space="preserve">s </w:t>
      </w:r>
      <w:r w:rsidR="00F44E5F" w:rsidRPr="00F44E5F">
        <w:rPr>
          <w:rFonts w:ascii="Garamond" w:hAnsi="Garamond"/>
          <w:sz w:val="22"/>
          <w:szCs w:val="22"/>
        </w:rPr>
        <w:t>decreased by 0.7%</w:t>
      </w:r>
      <w:r w:rsidR="00F44E5F">
        <w:rPr>
          <w:rFonts w:ascii="Garamond" w:hAnsi="Garamond"/>
          <w:sz w:val="22"/>
          <w:szCs w:val="22"/>
        </w:rPr>
        <w:t xml:space="preserve"> q/q.</w:t>
      </w:r>
      <w:r w:rsidR="00F44E5F" w:rsidRPr="00F44E5F">
        <w:rPr>
          <w:rFonts w:ascii="Garamond" w:hAnsi="Garamond"/>
          <w:sz w:val="22"/>
          <w:szCs w:val="22"/>
        </w:rPr>
        <w:t xml:space="preserve"> The latter </w:t>
      </w:r>
      <w:r w:rsidR="000A2F3A">
        <w:rPr>
          <w:rFonts w:ascii="Garamond" w:hAnsi="Garamond"/>
          <w:sz w:val="22"/>
          <w:szCs w:val="22"/>
        </w:rPr>
        <w:t>decrease was driven by the</w:t>
      </w:r>
      <w:r w:rsidR="00F44E5F" w:rsidRPr="00F44E5F">
        <w:rPr>
          <w:rFonts w:ascii="Garamond" w:hAnsi="Garamond"/>
          <w:sz w:val="22"/>
          <w:szCs w:val="22"/>
        </w:rPr>
        <w:t xml:space="preserve"> </w:t>
      </w:r>
      <w:r w:rsidR="000A2F3A">
        <w:rPr>
          <w:rFonts w:ascii="Garamond" w:hAnsi="Garamond"/>
          <w:sz w:val="22"/>
          <w:szCs w:val="22"/>
        </w:rPr>
        <w:t xml:space="preserve">fall in </w:t>
      </w:r>
      <w:r w:rsidR="00F44E5F" w:rsidRPr="00F44E5F">
        <w:rPr>
          <w:rFonts w:ascii="Garamond" w:hAnsi="Garamond"/>
          <w:sz w:val="22"/>
          <w:szCs w:val="22"/>
        </w:rPr>
        <w:t xml:space="preserve">wheat and oil prices during the quarter. The </w:t>
      </w:r>
      <w:r w:rsidR="00085F36">
        <w:rPr>
          <w:rFonts w:ascii="Garamond" w:hAnsi="Garamond"/>
          <w:sz w:val="22"/>
          <w:szCs w:val="22"/>
        </w:rPr>
        <w:t xml:space="preserve">overall </w:t>
      </w:r>
      <w:r w:rsidR="00F44E5F" w:rsidRPr="00F44E5F">
        <w:rPr>
          <w:rFonts w:ascii="Garamond" w:hAnsi="Garamond"/>
          <w:sz w:val="22"/>
          <w:szCs w:val="22"/>
        </w:rPr>
        <w:t>impact of the</w:t>
      </w:r>
      <w:r w:rsidR="00085F36">
        <w:rPr>
          <w:rFonts w:ascii="Garamond" w:hAnsi="Garamond"/>
          <w:sz w:val="22"/>
          <w:szCs w:val="22"/>
        </w:rPr>
        <w:t>se</w:t>
      </w:r>
      <w:r w:rsidR="00F44E5F" w:rsidRPr="00F44E5F">
        <w:rPr>
          <w:rFonts w:ascii="Garamond" w:hAnsi="Garamond"/>
          <w:sz w:val="22"/>
          <w:szCs w:val="22"/>
        </w:rPr>
        <w:t xml:space="preserve"> developments on prices of imported goods </w:t>
      </w:r>
      <w:r w:rsidR="00085F36">
        <w:rPr>
          <w:rFonts w:ascii="Garamond" w:hAnsi="Garamond"/>
          <w:sz w:val="22"/>
          <w:szCs w:val="22"/>
        </w:rPr>
        <w:t xml:space="preserve">to </w:t>
      </w:r>
      <w:r w:rsidR="00F44E5F" w:rsidRPr="00F44E5F">
        <w:rPr>
          <w:rFonts w:ascii="Garamond" w:hAnsi="Garamond"/>
          <w:sz w:val="22"/>
          <w:szCs w:val="22"/>
        </w:rPr>
        <w:t xml:space="preserve">Armenia is almost unchanged compared with the previous quarter. At the same time, the dollar prices </w:t>
      </w:r>
      <w:r w:rsidR="00085F36">
        <w:rPr>
          <w:rFonts w:ascii="Garamond" w:hAnsi="Garamond"/>
          <w:sz w:val="22"/>
          <w:szCs w:val="22"/>
        </w:rPr>
        <w:t xml:space="preserve">of </w:t>
      </w:r>
      <w:r w:rsidR="00F44E5F" w:rsidRPr="00F44E5F">
        <w:rPr>
          <w:rFonts w:ascii="Garamond" w:hAnsi="Garamond"/>
          <w:sz w:val="22"/>
          <w:szCs w:val="22"/>
        </w:rPr>
        <w:t>import of goods and services are still lower</w:t>
      </w:r>
      <w:r w:rsidR="00085F36">
        <w:rPr>
          <w:rFonts w:ascii="Garamond" w:hAnsi="Garamond"/>
          <w:sz w:val="22"/>
          <w:szCs w:val="22"/>
        </w:rPr>
        <w:t>,</w:t>
      </w:r>
      <w:r w:rsidR="00F44E5F" w:rsidRPr="00F44E5F">
        <w:rPr>
          <w:rFonts w:ascii="Garamond" w:hAnsi="Garamond"/>
          <w:sz w:val="22"/>
          <w:szCs w:val="22"/>
        </w:rPr>
        <w:t xml:space="preserve"> by 2.5%</w:t>
      </w:r>
      <w:r w:rsidR="00085F36">
        <w:rPr>
          <w:rFonts w:ascii="Garamond" w:hAnsi="Garamond"/>
          <w:sz w:val="22"/>
          <w:szCs w:val="22"/>
        </w:rPr>
        <w:t>,</w:t>
      </w:r>
      <w:r w:rsidR="00F44E5F" w:rsidRPr="00F44E5F">
        <w:rPr>
          <w:rFonts w:ascii="Garamond" w:hAnsi="Garamond"/>
          <w:sz w:val="22"/>
          <w:szCs w:val="22"/>
        </w:rPr>
        <w:t xml:space="preserve"> </w:t>
      </w:r>
      <w:r w:rsidR="00085F36">
        <w:rPr>
          <w:rFonts w:ascii="Garamond" w:hAnsi="Garamond"/>
          <w:sz w:val="22"/>
          <w:szCs w:val="22"/>
        </w:rPr>
        <w:t xml:space="preserve">relative to </w:t>
      </w:r>
      <w:r w:rsidR="00F44E5F" w:rsidRPr="00F44E5F">
        <w:rPr>
          <w:rFonts w:ascii="Garamond" w:hAnsi="Garamond"/>
          <w:sz w:val="22"/>
          <w:szCs w:val="22"/>
        </w:rPr>
        <w:t>the same quarter of the previous year.</w:t>
      </w:r>
    </w:p>
    <w:p w14:paraId="0809DA4D" w14:textId="77777777" w:rsidR="00085F36" w:rsidRDefault="00085F36" w:rsidP="00781ACF">
      <w:pPr>
        <w:autoSpaceDE w:val="0"/>
        <w:autoSpaceDN w:val="0"/>
        <w:adjustRightInd w:val="0"/>
        <w:spacing w:after="120" w:line="360" w:lineRule="auto"/>
        <w:jc w:val="both"/>
        <w:rPr>
          <w:rFonts w:ascii="Garamond" w:hAnsi="Garamond"/>
          <w:b/>
          <w:color w:val="0070C0"/>
          <w:sz w:val="22"/>
          <w:szCs w:val="22"/>
        </w:rPr>
      </w:pPr>
    </w:p>
    <w:p w14:paraId="7D087703" w14:textId="77777777" w:rsidR="00781ACF" w:rsidRPr="00EE5F0F"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 Economic developments</w:t>
      </w:r>
    </w:p>
    <w:p w14:paraId="48CAB363" w14:textId="77777777" w:rsidR="00781ACF" w:rsidRPr="00EE5F0F"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3.2.1. Economy position</w:t>
      </w:r>
    </w:p>
    <w:tbl>
      <w:tblPr>
        <w:tblStyle w:val="TableGrid"/>
        <w:tblW w:w="0" w:type="auto"/>
        <w:tblLook w:val="04A0" w:firstRow="1" w:lastRow="0" w:firstColumn="1" w:lastColumn="0" w:noHBand="0" w:noVBand="1"/>
      </w:tblPr>
      <w:tblGrid>
        <w:gridCol w:w="5561"/>
      </w:tblGrid>
      <w:tr w:rsidR="00B0344D" w14:paraId="6B50C532" w14:textId="77777777" w:rsidTr="00B0344D">
        <w:trPr>
          <w:trHeight w:val="492"/>
        </w:trPr>
        <w:tc>
          <w:tcPr>
            <w:tcW w:w="5561" w:type="dxa"/>
          </w:tcPr>
          <w:p w14:paraId="2350BC33" w14:textId="77777777" w:rsidR="00B0344D" w:rsidRPr="00B0344D" w:rsidRDefault="00B0344D" w:rsidP="00B0344D">
            <w:pPr>
              <w:autoSpaceDE w:val="0"/>
              <w:autoSpaceDN w:val="0"/>
              <w:adjustRightInd w:val="0"/>
              <w:spacing w:after="120" w:line="360" w:lineRule="auto"/>
              <w:jc w:val="both"/>
              <w:rPr>
                <w:rFonts w:ascii="Garamond" w:hAnsi="Garamond"/>
                <w:color w:val="002060"/>
                <w:sz w:val="20"/>
                <w:szCs w:val="20"/>
              </w:rPr>
            </w:pPr>
            <w:r w:rsidRPr="00B0344D">
              <w:rPr>
                <w:rFonts w:ascii="Garamond" w:hAnsi="Garamond"/>
                <w:color w:val="002060"/>
                <w:sz w:val="20"/>
                <w:szCs w:val="20"/>
              </w:rPr>
              <w:t>In the fourth quarter of 2018</w:t>
            </w:r>
            <w:r>
              <w:rPr>
                <w:rFonts w:ascii="Garamond" w:hAnsi="Garamond"/>
                <w:color w:val="002060"/>
                <w:sz w:val="20"/>
                <w:szCs w:val="20"/>
              </w:rPr>
              <w:t>,</w:t>
            </w:r>
            <w:r w:rsidRPr="00B0344D">
              <w:rPr>
                <w:rFonts w:ascii="Garamond" w:hAnsi="Garamond"/>
                <w:color w:val="002060"/>
                <w:sz w:val="20"/>
                <w:szCs w:val="20"/>
              </w:rPr>
              <w:t xml:space="preserve"> the GDP gap is estimated as negative.</w:t>
            </w:r>
          </w:p>
        </w:tc>
      </w:tr>
    </w:tbl>
    <w:p w14:paraId="14A9F2BF" w14:textId="77777777" w:rsidR="00B0344D" w:rsidRDefault="00B0344D" w:rsidP="00781ACF">
      <w:pPr>
        <w:autoSpaceDE w:val="0"/>
        <w:autoSpaceDN w:val="0"/>
        <w:adjustRightInd w:val="0"/>
        <w:spacing w:after="120" w:line="360" w:lineRule="auto"/>
        <w:jc w:val="both"/>
        <w:rPr>
          <w:rFonts w:ascii="Garamond" w:hAnsi="Garamond"/>
          <w:b/>
          <w:sz w:val="22"/>
          <w:szCs w:val="22"/>
        </w:rPr>
      </w:pPr>
    </w:p>
    <w:p w14:paraId="56D24C4C" w14:textId="6C73BCF0" w:rsidR="00781ACF" w:rsidRDefault="002D378F" w:rsidP="00781ACF">
      <w:pPr>
        <w:autoSpaceDE w:val="0"/>
        <w:autoSpaceDN w:val="0"/>
        <w:adjustRightInd w:val="0"/>
        <w:spacing w:after="120" w:line="360" w:lineRule="auto"/>
        <w:jc w:val="both"/>
        <w:rPr>
          <w:rFonts w:ascii="Garamond" w:hAnsi="Garamond"/>
          <w:sz w:val="22"/>
          <w:szCs w:val="22"/>
        </w:rPr>
      </w:pPr>
      <w:r>
        <w:rPr>
          <w:rFonts w:ascii="Garamond" w:hAnsi="Garamond"/>
          <w:b/>
          <w:sz w:val="22"/>
          <w:szCs w:val="22"/>
        </w:rPr>
        <w:t>T</w:t>
      </w:r>
      <w:r w:rsidRPr="00EE5F0F">
        <w:rPr>
          <w:rFonts w:ascii="Garamond" w:hAnsi="Garamond"/>
          <w:b/>
          <w:sz w:val="22"/>
          <w:szCs w:val="22"/>
        </w:rPr>
        <w:t xml:space="preserve">he </w:t>
      </w:r>
      <w:r w:rsidR="00403AC4">
        <w:rPr>
          <w:rFonts w:ascii="Garamond" w:hAnsi="Garamond"/>
          <w:b/>
          <w:sz w:val="22"/>
          <w:szCs w:val="22"/>
        </w:rPr>
        <w:t xml:space="preserve">estimation of the </w:t>
      </w:r>
      <w:r w:rsidRPr="00EE5F0F">
        <w:rPr>
          <w:rFonts w:ascii="Garamond" w:hAnsi="Garamond"/>
          <w:b/>
          <w:sz w:val="22"/>
          <w:szCs w:val="22"/>
        </w:rPr>
        <w:t xml:space="preserve">GDP </w:t>
      </w:r>
      <w:r>
        <w:rPr>
          <w:rFonts w:ascii="Garamond" w:hAnsi="Garamond"/>
          <w:b/>
          <w:sz w:val="22"/>
          <w:szCs w:val="22"/>
        </w:rPr>
        <w:t>gap is negative i</w:t>
      </w:r>
      <w:r w:rsidR="007B2D60">
        <w:rPr>
          <w:rFonts w:ascii="Garamond" w:hAnsi="Garamond"/>
          <w:b/>
          <w:sz w:val="22"/>
          <w:szCs w:val="22"/>
        </w:rPr>
        <w:t xml:space="preserve">n the </w:t>
      </w:r>
      <w:r w:rsidR="00B0344D">
        <w:rPr>
          <w:rFonts w:ascii="Garamond" w:hAnsi="Garamond"/>
          <w:b/>
          <w:sz w:val="22"/>
          <w:szCs w:val="22"/>
        </w:rPr>
        <w:t>fourth</w:t>
      </w:r>
      <w:r w:rsidR="007B2D60">
        <w:rPr>
          <w:rFonts w:ascii="Garamond" w:hAnsi="Garamond"/>
          <w:b/>
          <w:sz w:val="22"/>
          <w:szCs w:val="22"/>
        </w:rPr>
        <w:t xml:space="preserve"> quarter of 2018</w:t>
      </w:r>
      <w:r w:rsidR="00A06C09">
        <w:rPr>
          <w:rFonts w:ascii="Garamond" w:hAnsi="Garamond"/>
          <w:b/>
          <w:sz w:val="22"/>
          <w:szCs w:val="22"/>
        </w:rPr>
        <w:t xml:space="preserve">. </w:t>
      </w:r>
      <w:r w:rsidR="00A06C09">
        <w:rPr>
          <w:rFonts w:ascii="Garamond" w:hAnsi="Garamond"/>
          <w:sz w:val="22"/>
          <w:szCs w:val="22"/>
        </w:rPr>
        <w:t>Alt</w:t>
      </w:r>
      <w:r w:rsidR="00403AC4" w:rsidRPr="00403AC4">
        <w:rPr>
          <w:rFonts w:ascii="Garamond" w:hAnsi="Garamond"/>
          <w:sz w:val="22"/>
          <w:szCs w:val="22"/>
        </w:rPr>
        <w:t xml:space="preserve">hough </w:t>
      </w:r>
      <w:r w:rsidR="00403AC4">
        <w:rPr>
          <w:rFonts w:ascii="Garamond" w:hAnsi="Garamond"/>
          <w:b/>
          <w:sz w:val="22"/>
          <w:szCs w:val="22"/>
        </w:rPr>
        <w:t>h</w:t>
      </w:r>
      <w:r w:rsidR="00403AC4" w:rsidRPr="00403AC4">
        <w:rPr>
          <w:rFonts w:ascii="Garamond" w:hAnsi="Garamond"/>
          <w:sz w:val="22"/>
          <w:szCs w:val="22"/>
        </w:rPr>
        <w:t>igh</w:t>
      </w:r>
      <w:r w:rsidR="00403AC4">
        <w:rPr>
          <w:rFonts w:ascii="Garamond" w:hAnsi="Garamond"/>
          <w:sz w:val="22"/>
          <w:szCs w:val="22"/>
        </w:rPr>
        <w:t xml:space="preserve">er-than-anticipated </w:t>
      </w:r>
      <w:r w:rsidR="00403AC4" w:rsidRPr="00403AC4">
        <w:rPr>
          <w:rFonts w:ascii="Garamond" w:hAnsi="Garamond"/>
          <w:sz w:val="22"/>
          <w:szCs w:val="22"/>
        </w:rPr>
        <w:t xml:space="preserve">economic growth and </w:t>
      </w:r>
      <w:r w:rsidR="00403AC4">
        <w:rPr>
          <w:rFonts w:ascii="Garamond" w:hAnsi="Garamond"/>
          <w:sz w:val="22"/>
          <w:szCs w:val="22"/>
        </w:rPr>
        <w:t xml:space="preserve">accelerated </w:t>
      </w:r>
      <w:r w:rsidR="00403AC4" w:rsidRPr="00403AC4">
        <w:rPr>
          <w:rFonts w:ascii="Garamond" w:hAnsi="Garamond"/>
          <w:sz w:val="22"/>
          <w:szCs w:val="22"/>
        </w:rPr>
        <w:t xml:space="preserve">private consumption in the fourth quarter of 2018 (see </w:t>
      </w:r>
      <w:r w:rsidR="00403AC4">
        <w:rPr>
          <w:rFonts w:ascii="Garamond" w:hAnsi="Garamond"/>
          <w:sz w:val="22"/>
          <w:szCs w:val="22"/>
        </w:rPr>
        <w:t>sub</w:t>
      </w:r>
      <w:r w:rsidR="00403AC4" w:rsidRPr="00403AC4">
        <w:rPr>
          <w:rFonts w:ascii="Garamond" w:hAnsi="Garamond"/>
          <w:sz w:val="22"/>
          <w:szCs w:val="22"/>
        </w:rPr>
        <w:t>section</w:t>
      </w:r>
      <w:r w:rsidR="00A06C09">
        <w:rPr>
          <w:rFonts w:ascii="Garamond" w:hAnsi="Garamond"/>
          <w:sz w:val="22"/>
          <w:szCs w:val="22"/>
        </w:rPr>
        <w:t xml:space="preserve">s 3.2.2 and 3.2.3) </w:t>
      </w:r>
      <w:r w:rsidR="00403AC4">
        <w:rPr>
          <w:rFonts w:ascii="Garamond" w:hAnsi="Garamond"/>
          <w:sz w:val="22"/>
          <w:szCs w:val="22"/>
        </w:rPr>
        <w:t xml:space="preserve">facilitated an upside </w:t>
      </w:r>
      <w:r w:rsidR="00403AC4" w:rsidRPr="00403AC4">
        <w:rPr>
          <w:rFonts w:ascii="Garamond" w:hAnsi="Garamond"/>
          <w:sz w:val="22"/>
          <w:szCs w:val="22"/>
        </w:rPr>
        <w:t xml:space="preserve">revision </w:t>
      </w:r>
      <w:r w:rsidR="00403AC4">
        <w:rPr>
          <w:rFonts w:ascii="Garamond" w:hAnsi="Garamond"/>
          <w:sz w:val="22"/>
          <w:szCs w:val="22"/>
        </w:rPr>
        <w:t xml:space="preserve">to </w:t>
      </w:r>
      <w:r w:rsidR="00403AC4" w:rsidRPr="00403AC4">
        <w:rPr>
          <w:rFonts w:ascii="Garamond" w:hAnsi="Garamond"/>
          <w:sz w:val="22"/>
          <w:szCs w:val="22"/>
        </w:rPr>
        <w:t xml:space="preserve">the GDP gap, </w:t>
      </w:r>
      <w:r w:rsidR="00403AC4">
        <w:rPr>
          <w:rFonts w:ascii="Garamond" w:hAnsi="Garamond"/>
          <w:sz w:val="22"/>
          <w:szCs w:val="22"/>
        </w:rPr>
        <w:t xml:space="preserve">it is </w:t>
      </w:r>
      <w:r w:rsidR="00A06C09">
        <w:rPr>
          <w:rFonts w:ascii="Garamond" w:hAnsi="Garamond"/>
          <w:sz w:val="22"/>
          <w:szCs w:val="22"/>
        </w:rPr>
        <w:t xml:space="preserve">nevertheless </w:t>
      </w:r>
      <w:r w:rsidR="00403AC4">
        <w:rPr>
          <w:rFonts w:ascii="Garamond" w:hAnsi="Garamond"/>
          <w:sz w:val="22"/>
          <w:szCs w:val="22"/>
        </w:rPr>
        <w:t>estimated to remain considerably negative due to a</w:t>
      </w:r>
      <w:r w:rsidR="00403AC4" w:rsidRPr="00403AC4">
        <w:rPr>
          <w:rFonts w:ascii="Garamond" w:hAnsi="Garamond"/>
          <w:sz w:val="22"/>
          <w:szCs w:val="22"/>
        </w:rPr>
        <w:t xml:space="preserve"> </w:t>
      </w:r>
      <w:r w:rsidR="00403AC4">
        <w:rPr>
          <w:rFonts w:ascii="Garamond" w:hAnsi="Garamond"/>
          <w:sz w:val="22"/>
          <w:szCs w:val="22"/>
        </w:rPr>
        <w:t>number o</w:t>
      </w:r>
      <w:r w:rsidR="00403AC4" w:rsidRPr="00403AC4">
        <w:rPr>
          <w:rFonts w:ascii="Garamond" w:hAnsi="Garamond"/>
          <w:sz w:val="22"/>
          <w:szCs w:val="22"/>
        </w:rPr>
        <w:t>f factors</w:t>
      </w:r>
      <w:r w:rsidR="00A06C09">
        <w:rPr>
          <w:rFonts w:ascii="Garamond" w:hAnsi="Garamond"/>
          <w:sz w:val="22"/>
          <w:szCs w:val="22"/>
        </w:rPr>
        <w:t>;</w:t>
      </w:r>
      <w:r w:rsidR="00403AC4" w:rsidRPr="00403AC4">
        <w:rPr>
          <w:rFonts w:ascii="Garamond" w:hAnsi="Garamond"/>
          <w:sz w:val="22"/>
          <w:szCs w:val="22"/>
        </w:rPr>
        <w:t xml:space="preserve"> </w:t>
      </w:r>
      <w:r w:rsidR="00A06C09">
        <w:rPr>
          <w:rFonts w:ascii="Garamond" w:hAnsi="Garamond"/>
          <w:sz w:val="22"/>
          <w:szCs w:val="22"/>
        </w:rPr>
        <w:t>this</w:t>
      </w:r>
      <w:r w:rsidR="00403AC4" w:rsidRPr="00403AC4">
        <w:rPr>
          <w:rFonts w:ascii="Garamond" w:hAnsi="Garamond"/>
          <w:sz w:val="22"/>
          <w:szCs w:val="22"/>
        </w:rPr>
        <w:t xml:space="preserve"> </w:t>
      </w:r>
      <w:r w:rsidR="00A06C09">
        <w:rPr>
          <w:rFonts w:ascii="Garamond" w:hAnsi="Garamond"/>
          <w:sz w:val="22"/>
          <w:szCs w:val="22"/>
        </w:rPr>
        <w:t xml:space="preserve">is </w:t>
      </w:r>
      <w:r w:rsidR="00403AC4" w:rsidRPr="00403AC4">
        <w:rPr>
          <w:rFonts w:ascii="Garamond" w:hAnsi="Garamond"/>
          <w:sz w:val="22"/>
          <w:szCs w:val="22"/>
        </w:rPr>
        <w:t xml:space="preserve">consistent with </w:t>
      </w:r>
      <w:r w:rsidR="00403AC4">
        <w:rPr>
          <w:rFonts w:ascii="Garamond" w:hAnsi="Garamond"/>
          <w:sz w:val="22"/>
          <w:szCs w:val="22"/>
        </w:rPr>
        <w:t xml:space="preserve">a </w:t>
      </w:r>
      <w:r w:rsidR="00403AC4" w:rsidRPr="00403AC4">
        <w:rPr>
          <w:rFonts w:ascii="Garamond" w:hAnsi="Garamond"/>
          <w:sz w:val="22"/>
          <w:szCs w:val="22"/>
        </w:rPr>
        <w:t>low inflation environment in the consumer market and reflect</w:t>
      </w:r>
      <w:r w:rsidR="001B4328">
        <w:rPr>
          <w:rFonts w:ascii="Garamond" w:hAnsi="Garamond"/>
          <w:sz w:val="22"/>
          <w:szCs w:val="22"/>
        </w:rPr>
        <w:t>s</w:t>
      </w:r>
      <w:r w:rsidR="00403AC4" w:rsidRPr="00403AC4">
        <w:rPr>
          <w:rFonts w:ascii="Garamond" w:hAnsi="Garamond"/>
          <w:sz w:val="22"/>
          <w:szCs w:val="22"/>
        </w:rPr>
        <w:t xml:space="preserve"> the slow</w:t>
      </w:r>
      <w:r w:rsidR="001B4328">
        <w:rPr>
          <w:rFonts w:ascii="Garamond" w:hAnsi="Garamond"/>
          <w:sz w:val="22"/>
          <w:szCs w:val="22"/>
        </w:rPr>
        <w:t xml:space="preserve">ing of the core inflation rate </w:t>
      </w:r>
      <w:r w:rsidR="00403AC4" w:rsidRPr="00403AC4">
        <w:rPr>
          <w:rFonts w:ascii="Garamond" w:hAnsi="Garamond"/>
          <w:sz w:val="22"/>
          <w:szCs w:val="22"/>
        </w:rPr>
        <w:t>(see section II.</w:t>
      </w:r>
      <w:r w:rsidR="001B4328">
        <w:rPr>
          <w:rFonts w:ascii="Garamond" w:hAnsi="Garamond"/>
          <w:sz w:val="22"/>
          <w:szCs w:val="22"/>
        </w:rPr>
        <w:t>2.</w:t>
      </w:r>
      <w:r w:rsidR="00403AC4" w:rsidRPr="00403AC4">
        <w:rPr>
          <w:rFonts w:ascii="Garamond" w:hAnsi="Garamond"/>
          <w:sz w:val="22"/>
          <w:szCs w:val="22"/>
        </w:rPr>
        <w:t xml:space="preserve">1). In particular, </w:t>
      </w:r>
      <w:r w:rsidR="001B4328">
        <w:rPr>
          <w:rFonts w:ascii="Garamond" w:hAnsi="Garamond"/>
          <w:sz w:val="22"/>
          <w:szCs w:val="22"/>
        </w:rPr>
        <w:t xml:space="preserve">a contractionary </w:t>
      </w:r>
      <w:r w:rsidR="001B4328" w:rsidRPr="00403AC4">
        <w:rPr>
          <w:rFonts w:ascii="Garamond" w:hAnsi="Garamond"/>
          <w:sz w:val="22"/>
          <w:szCs w:val="22"/>
        </w:rPr>
        <w:t>fiscal policy in the fourth quarter of 2018, de</w:t>
      </w:r>
      <w:r w:rsidR="001B4328">
        <w:rPr>
          <w:rFonts w:ascii="Garamond" w:hAnsi="Garamond"/>
          <w:sz w:val="22"/>
          <w:szCs w:val="22"/>
        </w:rPr>
        <w:t xml:space="preserve">preciated </w:t>
      </w:r>
      <w:r w:rsidR="001B4328" w:rsidRPr="00403AC4">
        <w:rPr>
          <w:rFonts w:ascii="Garamond" w:hAnsi="Garamond"/>
          <w:sz w:val="22"/>
          <w:szCs w:val="22"/>
        </w:rPr>
        <w:t xml:space="preserve">exchange rates </w:t>
      </w:r>
      <w:r w:rsidR="001B4328">
        <w:rPr>
          <w:rFonts w:ascii="Garamond" w:hAnsi="Garamond"/>
          <w:sz w:val="22"/>
          <w:szCs w:val="22"/>
        </w:rPr>
        <w:t>in the economies of p</w:t>
      </w:r>
      <w:r w:rsidR="001B4328" w:rsidRPr="00403AC4">
        <w:rPr>
          <w:rFonts w:ascii="Garamond" w:hAnsi="Garamond"/>
          <w:sz w:val="22"/>
          <w:szCs w:val="22"/>
        </w:rPr>
        <w:t>artner countries, the weakening of external demand and</w:t>
      </w:r>
      <w:r w:rsidR="001B4328">
        <w:rPr>
          <w:rFonts w:ascii="Garamond" w:hAnsi="Garamond"/>
          <w:sz w:val="22"/>
          <w:szCs w:val="22"/>
        </w:rPr>
        <w:t xml:space="preserve"> </w:t>
      </w:r>
      <w:r w:rsidR="00A06C09">
        <w:rPr>
          <w:rFonts w:ascii="Garamond" w:hAnsi="Garamond"/>
          <w:sz w:val="22"/>
          <w:szCs w:val="22"/>
        </w:rPr>
        <w:t xml:space="preserve">less-than-expected </w:t>
      </w:r>
      <w:r w:rsidR="001B4328" w:rsidRPr="00403AC4">
        <w:rPr>
          <w:rFonts w:ascii="Garamond" w:hAnsi="Garamond"/>
          <w:sz w:val="22"/>
          <w:szCs w:val="22"/>
        </w:rPr>
        <w:t>remittances</w:t>
      </w:r>
      <w:r w:rsidR="001B4328">
        <w:rPr>
          <w:rFonts w:ascii="Garamond" w:hAnsi="Garamond"/>
          <w:sz w:val="22"/>
          <w:szCs w:val="22"/>
        </w:rPr>
        <w:t xml:space="preserve"> </w:t>
      </w:r>
      <w:r w:rsidR="001B4328" w:rsidRPr="00403AC4">
        <w:rPr>
          <w:rFonts w:ascii="Garamond" w:hAnsi="Garamond"/>
          <w:sz w:val="22"/>
          <w:szCs w:val="22"/>
        </w:rPr>
        <w:t>in real terms</w:t>
      </w:r>
      <w:r w:rsidR="001B4328">
        <w:rPr>
          <w:rFonts w:ascii="Garamond" w:hAnsi="Garamond"/>
          <w:sz w:val="22"/>
          <w:szCs w:val="22"/>
        </w:rPr>
        <w:t xml:space="preserve"> all have </w:t>
      </w:r>
      <w:r w:rsidR="001B4328" w:rsidRPr="00086E60">
        <w:rPr>
          <w:rFonts w:ascii="Garamond" w:hAnsi="Garamond"/>
          <w:sz w:val="22"/>
          <w:szCs w:val="22"/>
        </w:rPr>
        <w:t xml:space="preserve">contributed to the </w:t>
      </w:r>
      <w:r w:rsidR="001B4328">
        <w:rPr>
          <w:rFonts w:ascii="Garamond" w:hAnsi="Garamond"/>
          <w:sz w:val="22"/>
          <w:szCs w:val="22"/>
        </w:rPr>
        <w:t xml:space="preserve">shaping of a </w:t>
      </w:r>
      <w:r w:rsidR="001B4328" w:rsidRPr="00086E60">
        <w:rPr>
          <w:rFonts w:ascii="Garamond" w:hAnsi="Garamond"/>
          <w:sz w:val="22"/>
          <w:szCs w:val="22"/>
        </w:rPr>
        <w:t>negative GDP gap</w:t>
      </w:r>
      <w:r w:rsidR="001B4328">
        <w:rPr>
          <w:rFonts w:ascii="Garamond" w:hAnsi="Garamond"/>
          <w:sz w:val="22"/>
          <w:szCs w:val="22"/>
        </w:rPr>
        <w:t xml:space="preserve"> </w:t>
      </w:r>
      <w:r w:rsidR="00403AC4" w:rsidRPr="00403AC4">
        <w:rPr>
          <w:rFonts w:ascii="Garamond" w:hAnsi="Garamond"/>
          <w:sz w:val="22"/>
          <w:szCs w:val="22"/>
        </w:rPr>
        <w:t xml:space="preserve">in spite of the </w:t>
      </w:r>
      <w:r w:rsidR="001B4328">
        <w:rPr>
          <w:rFonts w:ascii="Garamond" w:hAnsi="Garamond"/>
          <w:sz w:val="22"/>
          <w:szCs w:val="22"/>
        </w:rPr>
        <w:t xml:space="preserve">expansionary </w:t>
      </w:r>
      <w:r w:rsidR="00403AC4" w:rsidRPr="00403AC4">
        <w:rPr>
          <w:rFonts w:ascii="Garamond" w:hAnsi="Garamond"/>
          <w:sz w:val="22"/>
          <w:szCs w:val="22"/>
        </w:rPr>
        <w:t>monetary policy implemented by the Central Bank</w:t>
      </w:r>
      <w:r w:rsidR="001B4328">
        <w:rPr>
          <w:rFonts w:ascii="Garamond" w:hAnsi="Garamond"/>
          <w:sz w:val="22"/>
          <w:szCs w:val="22"/>
        </w:rPr>
        <w:t xml:space="preserve">. </w:t>
      </w:r>
    </w:p>
    <w:p w14:paraId="5CC5E150" w14:textId="77777777" w:rsidR="00371990" w:rsidRPr="00EE5F0F" w:rsidRDefault="00371990" w:rsidP="00781ACF">
      <w:pPr>
        <w:autoSpaceDE w:val="0"/>
        <w:autoSpaceDN w:val="0"/>
        <w:adjustRightInd w:val="0"/>
        <w:spacing w:after="120" w:line="360" w:lineRule="auto"/>
        <w:jc w:val="both"/>
        <w:rPr>
          <w:rFonts w:ascii="Garamond" w:hAnsi="Garamond"/>
          <w:sz w:val="22"/>
          <w:szCs w:val="22"/>
        </w:rPr>
      </w:pPr>
    </w:p>
    <w:p w14:paraId="2E61B4DF" w14:textId="77777777" w:rsidR="00781ACF" w:rsidRPr="00EE5F0F"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3.2.2. The expenditures aspect of the economy</w:t>
      </w:r>
    </w:p>
    <w:p w14:paraId="75649DAF" w14:textId="77777777" w:rsidR="00781ACF" w:rsidRPr="00EE5F0F" w:rsidRDefault="00E21DBB"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EE5F0F">
        <w:rPr>
          <w:rFonts w:ascii="Garamond" w:hAnsi="Garamond"/>
          <w:sz w:val="22"/>
          <w:szCs w:val="22"/>
        </w:rPr>
        <w:t xml:space="preserve">he growth rate of </w:t>
      </w:r>
      <w:r>
        <w:rPr>
          <w:rFonts w:ascii="Garamond" w:hAnsi="Garamond"/>
          <w:sz w:val="22"/>
          <w:szCs w:val="22"/>
        </w:rPr>
        <w:t xml:space="preserve">private </w:t>
      </w:r>
      <w:r w:rsidRPr="00EE5F0F">
        <w:rPr>
          <w:rFonts w:ascii="Garamond" w:hAnsi="Garamond"/>
          <w:sz w:val="22"/>
          <w:szCs w:val="22"/>
        </w:rPr>
        <w:t xml:space="preserve">demand </w:t>
      </w:r>
      <w:r w:rsidR="0080412F">
        <w:rPr>
          <w:rFonts w:ascii="Garamond" w:hAnsi="Garamond"/>
          <w:sz w:val="22"/>
          <w:szCs w:val="22"/>
        </w:rPr>
        <w:t xml:space="preserve">persisted </w:t>
      </w:r>
      <w:r>
        <w:rPr>
          <w:rFonts w:ascii="Garamond" w:hAnsi="Garamond"/>
          <w:sz w:val="22"/>
          <w:szCs w:val="22"/>
        </w:rPr>
        <w:t xml:space="preserve">high </w:t>
      </w:r>
      <w:r w:rsidR="0080412F">
        <w:rPr>
          <w:rFonts w:ascii="Garamond" w:hAnsi="Garamond"/>
          <w:sz w:val="22"/>
          <w:szCs w:val="22"/>
        </w:rPr>
        <w:t>over</w:t>
      </w:r>
      <w:r w:rsidR="00A44FBE">
        <w:rPr>
          <w:rFonts w:ascii="Garamond" w:hAnsi="Garamond"/>
          <w:sz w:val="22"/>
          <w:szCs w:val="22"/>
        </w:rPr>
        <w:t xml:space="preserve"> </w:t>
      </w:r>
      <w:r w:rsidR="00781ACF" w:rsidRPr="00EE5F0F">
        <w:rPr>
          <w:rFonts w:ascii="Garamond" w:hAnsi="Garamond"/>
          <w:sz w:val="22"/>
          <w:szCs w:val="22"/>
        </w:rPr>
        <w:t xml:space="preserve">the </w:t>
      </w:r>
      <w:r w:rsidR="0080412F">
        <w:rPr>
          <w:rFonts w:ascii="Garamond" w:hAnsi="Garamond"/>
          <w:sz w:val="22"/>
          <w:szCs w:val="22"/>
        </w:rPr>
        <w:t>fourth</w:t>
      </w:r>
      <w:r w:rsidR="00781ACF" w:rsidRPr="00EE5F0F">
        <w:rPr>
          <w:rFonts w:ascii="Garamond" w:hAnsi="Garamond"/>
          <w:sz w:val="22"/>
          <w:szCs w:val="22"/>
        </w:rPr>
        <w:t xml:space="preserve"> quarter of 2018</w:t>
      </w:r>
      <w:r>
        <w:rPr>
          <w:rFonts w:ascii="Garamond" w:hAnsi="Garamond"/>
          <w:sz w:val="22"/>
          <w:szCs w:val="22"/>
        </w:rPr>
        <w:t>.</w:t>
      </w:r>
      <w:r w:rsidR="00781ACF" w:rsidRPr="00EE5F0F">
        <w:rPr>
          <w:rFonts w:ascii="Garamond" w:hAnsi="Garamond"/>
          <w:sz w:val="22"/>
          <w:szCs w:val="22"/>
        </w:rPr>
        <w:t xml:space="preserve"> With a </w:t>
      </w:r>
      <w:r w:rsidR="00A8130D">
        <w:rPr>
          <w:rFonts w:ascii="Garamond" w:hAnsi="Garamond"/>
          <w:sz w:val="22"/>
          <w:szCs w:val="22"/>
        </w:rPr>
        <w:t>3</w:t>
      </w:r>
      <w:r w:rsidR="00781ACF" w:rsidRPr="00EE5F0F">
        <w:rPr>
          <w:rFonts w:ascii="Garamond" w:hAnsi="Garamond"/>
          <w:sz w:val="22"/>
          <w:szCs w:val="22"/>
        </w:rPr>
        <w:t>.</w:t>
      </w:r>
      <w:r w:rsidR="0080412F">
        <w:rPr>
          <w:rFonts w:ascii="Garamond" w:hAnsi="Garamond"/>
          <w:sz w:val="22"/>
          <w:szCs w:val="22"/>
        </w:rPr>
        <w:t>4</w:t>
      </w:r>
      <w:r w:rsidR="00781ACF" w:rsidRPr="00EE5F0F">
        <w:rPr>
          <w:rFonts w:ascii="Garamond" w:hAnsi="Garamond"/>
          <w:sz w:val="22"/>
          <w:szCs w:val="22"/>
        </w:rPr>
        <w:t>% economic growth</w:t>
      </w:r>
      <w:r w:rsidR="00837208">
        <w:rPr>
          <w:rFonts w:ascii="Garamond" w:hAnsi="Garamond"/>
          <w:sz w:val="22"/>
          <w:szCs w:val="22"/>
        </w:rPr>
        <w:t>,</w:t>
      </w:r>
      <w:r w:rsidR="0080412F">
        <w:rPr>
          <w:rFonts w:ascii="Garamond" w:hAnsi="Garamond"/>
          <w:sz w:val="22"/>
          <w:szCs w:val="22"/>
        </w:rPr>
        <w:t xml:space="preserve"> </w:t>
      </w:r>
      <w:r w:rsidR="00781ACF" w:rsidRPr="00EE5F0F">
        <w:rPr>
          <w:rFonts w:ascii="Garamond" w:hAnsi="Garamond"/>
          <w:sz w:val="22"/>
          <w:szCs w:val="22"/>
        </w:rPr>
        <w:t xml:space="preserve">private spending </w:t>
      </w:r>
      <w:r w:rsidR="00837208">
        <w:rPr>
          <w:rFonts w:ascii="Garamond" w:hAnsi="Garamond"/>
          <w:sz w:val="22"/>
          <w:szCs w:val="22"/>
        </w:rPr>
        <w:t xml:space="preserve">posted </w:t>
      </w:r>
      <w:r w:rsidR="00A8130D">
        <w:rPr>
          <w:rFonts w:ascii="Garamond" w:hAnsi="Garamond"/>
          <w:sz w:val="22"/>
          <w:szCs w:val="22"/>
        </w:rPr>
        <w:t>an estimated 9.</w:t>
      </w:r>
      <w:r w:rsidR="00837208">
        <w:rPr>
          <w:rFonts w:ascii="Garamond" w:hAnsi="Garamond"/>
          <w:sz w:val="22"/>
          <w:szCs w:val="22"/>
        </w:rPr>
        <w:t>3</w:t>
      </w:r>
      <w:r w:rsidR="00781ACF" w:rsidRPr="00EE5F0F">
        <w:rPr>
          <w:rFonts w:ascii="Garamond" w:hAnsi="Garamond"/>
          <w:sz w:val="22"/>
          <w:szCs w:val="22"/>
        </w:rPr>
        <w:t>%</w:t>
      </w:r>
      <w:r w:rsidR="00837208">
        <w:rPr>
          <w:rFonts w:ascii="Garamond" w:hAnsi="Garamond"/>
          <w:sz w:val="22"/>
          <w:szCs w:val="22"/>
        </w:rPr>
        <w:t xml:space="preserve"> growth in the reporting quarter</w:t>
      </w:r>
      <w:r w:rsidR="00FC104B">
        <w:rPr>
          <w:rFonts w:ascii="Garamond" w:hAnsi="Garamond"/>
          <w:sz w:val="22"/>
          <w:szCs w:val="22"/>
        </w:rPr>
        <w:t xml:space="preserve">, which is </w:t>
      </w:r>
      <w:r w:rsidR="00FC104B" w:rsidRPr="00FC104B">
        <w:rPr>
          <w:rFonts w:ascii="Garamond" w:hAnsi="Garamond"/>
          <w:sz w:val="22"/>
          <w:szCs w:val="22"/>
        </w:rPr>
        <w:t xml:space="preserve">not </w:t>
      </w:r>
      <w:r w:rsidR="00FC104B">
        <w:rPr>
          <w:rFonts w:ascii="Garamond" w:hAnsi="Garamond"/>
          <w:sz w:val="22"/>
          <w:szCs w:val="22"/>
        </w:rPr>
        <w:t xml:space="preserve">a notable </w:t>
      </w:r>
      <w:r w:rsidR="00FC104B" w:rsidRPr="00FC104B">
        <w:rPr>
          <w:rFonts w:ascii="Garamond" w:hAnsi="Garamond"/>
          <w:sz w:val="22"/>
          <w:szCs w:val="22"/>
        </w:rPr>
        <w:t>deviat</w:t>
      </w:r>
      <w:r w:rsidR="00FC104B">
        <w:rPr>
          <w:rFonts w:ascii="Garamond" w:hAnsi="Garamond"/>
          <w:sz w:val="22"/>
          <w:szCs w:val="22"/>
        </w:rPr>
        <w:t xml:space="preserve">ion </w:t>
      </w:r>
      <w:r w:rsidR="00FC104B" w:rsidRPr="00FC104B">
        <w:rPr>
          <w:rFonts w:ascii="Garamond" w:hAnsi="Garamond"/>
          <w:sz w:val="22"/>
          <w:szCs w:val="22"/>
        </w:rPr>
        <w:t>from the previous forecast</w:t>
      </w:r>
      <w:r w:rsidR="00FC104B">
        <w:rPr>
          <w:rFonts w:ascii="Garamond" w:hAnsi="Garamond"/>
          <w:sz w:val="22"/>
          <w:szCs w:val="22"/>
        </w:rPr>
        <w:t>. C</w:t>
      </w:r>
      <w:r w:rsidR="00FC104B" w:rsidRPr="00FC104B">
        <w:rPr>
          <w:rFonts w:ascii="Garamond" w:hAnsi="Garamond"/>
          <w:sz w:val="22"/>
          <w:szCs w:val="22"/>
        </w:rPr>
        <w:t>ompared to the previous estimate</w:t>
      </w:r>
      <w:r w:rsidR="00FC104B">
        <w:rPr>
          <w:rFonts w:ascii="Garamond" w:hAnsi="Garamond"/>
          <w:sz w:val="22"/>
          <w:szCs w:val="22"/>
        </w:rPr>
        <w:t>, however</w:t>
      </w:r>
      <w:r w:rsidR="00FC104B" w:rsidRPr="00FC104B">
        <w:rPr>
          <w:rFonts w:ascii="Garamond" w:hAnsi="Garamond"/>
          <w:sz w:val="22"/>
          <w:szCs w:val="22"/>
        </w:rPr>
        <w:t>, the structure</w:t>
      </w:r>
      <w:r w:rsidR="00FC104B">
        <w:rPr>
          <w:rFonts w:ascii="Garamond" w:hAnsi="Garamond"/>
          <w:sz w:val="22"/>
          <w:szCs w:val="22"/>
        </w:rPr>
        <w:t xml:space="preserve"> of private demand has changed – the </w:t>
      </w:r>
      <w:r w:rsidR="00E2695E">
        <w:rPr>
          <w:rFonts w:ascii="Garamond" w:hAnsi="Garamond"/>
          <w:sz w:val="22"/>
          <w:szCs w:val="22"/>
        </w:rPr>
        <w:t xml:space="preserve">growth rate </w:t>
      </w:r>
      <w:r w:rsidR="00FC104B">
        <w:rPr>
          <w:rFonts w:ascii="Garamond" w:hAnsi="Garamond"/>
          <w:sz w:val="22"/>
          <w:szCs w:val="22"/>
        </w:rPr>
        <w:t xml:space="preserve">of </w:t>
      </w:r>
      <w:r w:rsidR="00FC104B" w:rsidRPr="00FC104B">
        <w:rPr>
          <w:rFonts w:ascii="Garamond" w:hAnsi="Garamond"/>
          <w:sz w:val="22"/>
          <w:szCs w:val="22"/>
        </w:rPr>
        <w:t xml:space="preserve">private consumption accelerated and </w:t>
      </w:r>
      <w:r w:rsidR="00FC104B">
        <w:rPr>
          <w:rFonts w:ascii="Garamond" w:hAnsi="Garamond"/>
          <w:sz w:val="22"/>
          <w:szCs w:val="22"/>
        </w:rPr>
        <w:t xml:space="preserve">that of </w:t>
      </w:r>
      <w:r w:rsidR="00FC104B" w:rsidRPr="00FC104B">
        <w:rPr>
          <w:rFonts w:ascii="Garamond" w:hAnsi="Garamond"/>
          <w:sz w:val="22"/>
          <w:szCs w:val="22"/>
        </w:rPr>
        <w:t>private investment</w:t>
      </w:r>
      <w:r w:rsidR="00FC104B">
        <w:rPr>
          <w:rFonts w:ascii="Garamond" w:hAnsi="Garamond"/>
          <w:sz w:val="22"/>
          <w:szCs w:val="22"/>
        </w:rPr>
        <w:t xml:space="preserve"> slowed down</w:t>
      </w:r>
      <w:r w:rsidR="00FC104B" w:rsidRPr="00FC104B">
        <w:rPr>
          <w:rFonts w:ascii="Garamond" w:hAnsi="Garamond"/>
          <w:sz w:val="22"/>
          <w:szCs w:val="22"/>
        </w:rPr>
        <w:t>.</w:t>
      </w:r>
      <w:r w:rsidR="00781ACF" w:rsidRPr="00EE5F0F">
        <w:rPr>
          <w:rFonts w:ascii="Garamond" w:hAnsi="Garamond"/>
          <w:sz w:val="22"/>
          <w:szCs w:val="22"/>
        </w:rPr>
        <w:t xml:space="preserve">  </w:t>
      </w:r>
    </w:p>
    <w:p w14:paraId="30023823" w14:textId="77777777" w:rsidR="00831D7D" w:rsidRDefault="00411436"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Remarkably, </w:t>
      </w:r>
      <w:r w:rsidR="008A514E">
        <w:rPr>
          <w:rFonts w:ascii="Garamond" w:hAnsi="Garamond"/>
          <w:sz w:val="22"/>
          <w:szCs w:val="22"/>
        </w:rPr>
        <w:t>a</w:t>
      </w:r>
      <w:r w:rsidR="00E37D1E">
        <w:rPr>
          <w:rFonts w:ascii="Garamond" w:hAnsi="Garamond"/>
          <w:sz w:val="22"/>
          <w:szCs w:val="22"/>
        </w:rPr>
        <w:t xml:space="preserve"> 9</w:t>
      </w:r>
      <w:r w:rsidR="00E2695E">
        <w:rPr>
          <w:rFonts w:ascii="Garamond" w:hAnsi="Garamond"/>
          <w:sz w:val="22"/>
          <w:szCs w:val="22"/>
        </w:rPr>
        <w:t>.</w:t>
      </w:r>
      <w:r w:rsidR="00E37D1E">
        <w:rPr>
          <w:rFonts w:ascii="Garamond" w:hAnsi="Garamond"/>
          <w:sz w:val="22"/>
          <w:szCs w:val="22"/>
        </w:rPr>
        <w:t>3</w:t>
      </w:r>
      <w:r w:rsidR="00E2695E">
        <w:rPr>
          <w:rFonts w:ascii="Garamond" w:hAnsi="Garamond"/>
          <w:sz w:val="22"/>
          <w:szCs w:val="22"/>
        </w:rPr>
        <w:t xml:space="preserve">% growth of private </w:t>
      </w:r>
      <w:r w:rsidR="00E37D1E">
        <w:rPr>
          <w:rFonts w:ascii="Garamond" w:hAnsi="Garamond"/>
          <w:sz w:val="22"/>
          <w:szCs w:val="22"/>
        </w:rPr>
        <w:t>spending in the fourth quarter of 2018</w:t>
      </w:r>
      <w:r w:rsidR="00E2695E" w:rsidRPr="00EC636E">
        <w:rPr>
          <w:rFonts w:ascii="Garamond" w:hAnsi="Garamond"/>
          <w:sz w:val="22"/>
          <w:szCs w:val="22"/>
        </w:rPr>
        <w:t xml:space="preserve"> </w:t>
      </w:r>
      <w:r w:rsidR="00E2695E">
        <w:rPr>
          <w:rFonts w:ascii="Garamond" w:hAnsi="Garamond"/>
          <w:sz w:val="22"/>
          <w:szCs w:val="22"/>
        </w:rPr>
        <w:t>owe</w:t>
      </w:r>
      <w:r w:rsidR="00E37D1E">
        <w:rPr>
          <w:rFonts w:ascii="Garamond" w:hAnsi="Garamond"/>
          <w:sz w:val="22"/>
          <w:szCs w:val="22"/>
        </w:rPr>
        <w:t>s</w:t>
      </w:r>
      <w:r w:rsidR="00E2695E">
        <w:rPr>
          <w:rFonts w:ascii="Garamond" w:hAnsi="Garamond"/>
          <w:sz w:val="22"/>
          <w:szCs w:val="22"/>
        </w:rPr>
        <w:t xml:space="preserve"> to </w:t>
      </w:r>
      <w:r w:rsidR="008A514E">
        <w:rPr>
          <w:rFonts w:ascii="Garamond" w:hAnsi="Garamond"/>
          <w:sz w:val="22"/>
          <w:szCs w:val="22"/>
        </w:rPr>
        <w:t>an</w:t>
      </w:r>
      <w:r w:rsidR="00E37D1E">
        <w:rPr>
          <w:rFonts w:ascii="Garamond" w:hAnsi="Garamond"/>
          <w:sz w:val="22"/>
          <w:szCs w:val="22"/>
        </w:rPr>
        <w:t xml:space="preserve"> </w:t>
      </w:r>
      <w:r w:rsidR="00E37D1E" w:rsidRPr="00E37D1E">
        <w:rPr>
          <w:rFonts w:ascii="Garamond" w:hAnsi="Garamond"/>
          <w:sz w:val="22"/>
          <w:szCs w:val="22"/>
        </w:rPr>
        <w:t xml:space="preserve">8.3% </w:t>
      </w:r>
      <w:r w:rsidR="00E37D1E">
        <w:rPr>
          <w:rFonts w:ascii="Garamond" w:hAnsi="Garamond"/>
          <w:sz w:val="22"/>
          <w:szCs w:val="22"/>
        </w:rPr>
        <w:t xml:space="preserve">increase in </w:t>
      </w:r>
      <w:r w:rsidR="00E37D1E" w:rsidRPr="00E37D1E">
        <w:rPr>
          <w:rFonts w:ascii="Garamond" w:hAnsi="Garamond"/>
          <w:sz w:val="22"/>
          <w:szCs w:val="22"/>
        </w:rPr>
        <w:t xml:space="preserve">private consumption and </w:t>
      </w:r>
      <w:r w:rsidR="008A514E">
        <w:rPr>
          <w:rFonts w:ascii="Garamond" w:hAnsi="Garamond"/>
          <w:sz w:val="22"/>
          <w:szCs w:val="22"/>
        </w:rPr>
        <w:t xml:space="preserve">a </w:t>
      </w:r>
      <w:r w:rsidR="00E37D1E" w:rsidRPr="00E37D1E">
        <w:rPr>
          <w:rFonts w:ascii="Garamond" w:hAnsi="Garamond"/>
          <w:sz w:val="22"/>
          <w:szCs w:val="22"/>
        </w:rPr>
        <w:t xml:space="preserve">13.5% </w:t>
      </w:r>
      <w:r w:rsidR="00E37D1E">
        <w:rPr>
          <w:rFonts w:ascii="Garamond" w:hAnsi="Garamond"/>
          <w:sz w:val="22"/>
          <w:szCs w:val="22"/>
        </w:rPr>
        <w:t xml:space="preserve">increase in </w:t>
      </w:r>
      <w:r w:rsidR="00E37D1E" w:rsidRPr="00E37D1E">
        <w:rPr>
          <w:rFonts w:ascii="Garamond" w:hAnsi="Garamond"/>
          <w:sz w:val="22"/>
          <w:szCs w:val="22"/>
        </w:rPr>
        <w:t>private investment.</w:t>
      </w:r>
      <w:r w:rsidR="00E37D1E">
        <w:rPr>
          <w:rFonts w:ascii="Garamond" w:hAnsi="Garamond"/>
          <w:sz w:val="22"/>
          <w:szCs w:val="22"/>
        </w:rPr>
        <w:t xml:space="preserve"> </w:t>
      </w:r>
      <w:r w:rsidR="00E37D1E" w:rsidRPr="00E37D1E">
        <w:rPr>
          <w:rFonts w:ascii="Garamond" w:hAnsi="Garamond"/>
          <w:sz w:val="22"/>
          <w:szCs w:val="22"/>
        </w:rPr>
        <w:t xml:space="preserve">In </w:t>
      </w:r>
      <w:r w:rsidR="00E37D1E">
        <w:rPr>
          <w:rFonts w:ascii="Garamond" w:hAnsi="Garamond"/>
          <w:sz w:val="22"/>
          <w:szCs w:val="22"/>
        </w:rPr>
        <w:t>recent quarters</w:t>
      </w:r>
      <w:r w:rsidR="00E37D1E" w:rsidRPr="00E37D1E">
        <w:rPr>
          <w:rFonts w:ascii="Garamond" w:hAnsi="Garamond"/>
          <w:sz w:val="22"/>
          <w:szCs w:val="22"/>
        </w:rPr>
        <w:t>, there has been a steady increase in l</w:t>
      </w:r>
      <w:r w:rsidR="00E37D1E">
        <w:rPr>
          <w:rFonts w:ascii="Garamond" w:hAnsi="Garamond"/>
          <w:sz w:val="22"/>
          <w:szCs w:val="22"/>
        </w:rPr>
        <w:t xml:space="preserve">ending </w:t>
      </w:r>
      <w:r w:rsidR="00E37D1E" w:rsidRPr="00E37D1E">
        <w:rPr>
          <w:rFonts w:ascii="Garamond" w:hAnsi="Garamond"/>
          <w:sz w:val="22"/>
          <w:szCs w:val="22"/>
        </w:rPr>
        <w:t>to households as compared with the growth of business l</w:t>
      </w:r>
      <w:r w:rsidR="00E37D1E">
        <w:rPr>
          <w:rFonts w:ascii="Garamond" w:hAnsi="Garamond"/>
          <w:sz w:val="22"/>
          <w:szCs w:val="22"/>
        </w:rPr>
        <w:t>oans</w:t>
      </w:r>
      <w:r w:rsidR="00E37D1E" w:rsidRPr="00E37D1E">
        <w:rPr>
          <w:rFonts w:ascii="Garamond" w:hAnsi="Garamond"/>
          <w:sz w:val="22"/>
          <w:szCs w:val="22"/>
        </w:rPr>
        <w:t xml:space="preserve">, which is partly </w:t>
      </w:r>
      <w:r w:rsidR="00E37D1E">
        <w:rPr>
          <w:rFonts w:ascii="Garamond" w:hAnsi="Garamond"/>
          <w:sz w:val="22"/>
          <w:szCs w:val="22"/>
        </w:rPr>
        <w:t xml:space="preserve">attributable to higher </w:t>
      </w:r>
      <w:r w:rsidR="00E37D1E" w:rsidRPr="00E37D1E">
        <w:rPr>
          <w:rFonts w:ascii="Garamond" w:hAnsi="Garamond"/>
          <w:sz w:val="22"/>
          <w:szCs w:val="22"/>
        </w:rPr>
        <w:t>consumption</w:t>
      </w:r>
      <w:r w:rsidR="00E37D1E">
        <w:rPr>
          <w:rFonts w:ascii="Garamond" w:hAnsi="Garamond"/>
          <w:sz w:val="22"/>
          <w:szCs w:val="22"/>
        </w:rPr>
        <w:t xml:space="preserve"> and lower</w:t>
      </w:r>
      <w:r w:rsidR="00E37D1E" w:rsidRPr="00E37D1E">
        <w:rPr>
          <w:rFonts w:ascii="Garamond" w:hAnsi="Garamond"/>
          <w:sz w:val="22"/>
          <w:szCs w:val="22"/>
        </w:rPr>
        <w:t xml:space="preserve"> investment</w:t>
      </w:r>
      <w:r w:rsidR="00E37D1E">
        <w:rPr>
          <w:rFonts w:ascii="Garamond" w:hAnsi="Garamond"/>
          <w:sz w:val="22"/>
          <w:szCs w:val="22"/>
        </w:rPr>
        <w:t xml:space="preserve"> dynamics</w:t>
      </w:r>
      <w:r w:rsidR="00E37D1E" w:rsidRPr="00E37D1E">
        <w:rPr>
          <w:rFonts w:ascii="Garamond" w:hAnsi="Garamond"/>
          <w:sz w:val="22"/>
          <w:szCs w:val="22"/>
        </w:rPr>
        <w:t>.</w:t>
      </w:r>
      <w:r w:rsidR="00E37D1E">
        <w:rPr>
          <w:rFonts w:ascii="Garamond" w:hAnsi="Garamond"/>
          <w:sz w:val="22"/>
          <w:szCs w:val="22"/>
        </w:rPr>
        <w:t xml:space="preserve"> </w:t>
      </w:r>
      <w:r>
        <w:rPr>
          <w:rFonts w:ascii="Garamond" w:hAnsi="Garamond"/>
          <w:sz w:val="22"/>
          <w:szCs w:val="22"/>
        </w:rPr>
        <w:t xml:space="preserve">It is worth mentioning that </w:t>
      </w:r>
      <w:r w:rsidR="00B2087D">
        <w:rPr>
          <w:rFonts w:ascii="Garamond" w:hAnsi="Garamond"/>
          <w:sz w:val="22"/>
          <w:szCs w:val="22"/>
        </w:rPr>
        <w:t xml:space="preserve">high </w:t>
      </w:r>
      <w:r w:rsidRPr="00411436">
        <w:rPr>
          <w:rFonts w:ascii="Garamond" w:hAnsi="Garamond"/>
          <w:sz w:val="22"/>
          <w:szCs w:val="22"/>
        </w:rPr>
        <w:t xml:space="preserve">growth in private investment </w:t>
      </w:r>
      <w:r>
        <w:rPr>
          <w:rFonts w:ascii="Garamond" w:hAnsi="Garamond"/>
          <w:sz w:val="22"/>
          <w:szCs w:val="22"/>
        </w:rPr>
        <w:t xml:space="preserve">observable </w:t>
      </w:r>
      <w:r w:rsidRPr="00411436">
        <w:rPr>
          <w:rFonts w:ascii="Garamond" w:hAnsi="Garamond"/>
          <w:sz w:val="22"/>
          <w:szCs w:val="22"/>
        </w:rPr>
        <w:t xml:space="preserve">since the beginning of 2018 </w:t>
      </w:r>
      <w:r>
        <w:rPr>
          <w:rFonts w:ascii="Garamond" w:hAnsi="Garamond"/>
          <w:sz w:val="22"/>
          <w:szCs w:val="22"/>
        </w:rPr>
        <w:t xml:space="preserve">has been </w:t>
      </w:r>
      <w:r w:rsidRPr="00411436">
        <w:rPr>
          <w:rFonts w:ascii="Garamond" w:hAnsi="Garamond"/>
          <w:sz w:val="22"/>
          <w:szCs w:val="22"/>
        </w:rPr>
        <w:t>m</w:t>
      </w:r>
      <w:r w:rsidR="00B2087D">
        <w:rPr>
          <w:rFonts w:ascii="Garamond" w:hAnsi="Garamond"/>
          <w:sz w:val="22"/>
          <w:szCs w:val="22"/>
        </w:rPr>
        <w:t xml:space="preserve">ostly determined by strong growth in </w:t>
      </w:r>
      <w:r w:rsidR="00E2695E">
        <w:rPr>
          <w:rFonts w:ascii="Garamond" w:hAnsi="Garamond"/>
          <w:sz w:val="22"/>
          <w:szCs w:val="22"/>
        </w:rPr>
        <w:t>tangible working capital inventories</w:t>
      </w:r>
      <w:r w:rsidR="00B2087D">
        <w:rPr>
          <w:rFonts w:ascii="Garamond" w:hAnsi="Garamond"/>
          <w:sz w:val="22"/>
          <w:szCs w:val="22"/>
        </w:rPr>
        <w:t xml:space="preserve"> which also slowed down in the reporting quarter. </w:t>
      </w:r>
    </w:p>
    <w:p w14:paraId="60307067" w14:textId="77777777" w:rsidR="00781ACF" w:rsidRPr="00EE5F0F" w:rsidRDefault="00831D7D"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lastRenderedPageBreak/>
        <w:t xml:space="preserve">In </w:t>
      </w:r>
      <w:r w:rsidRPr="00EE5F0F">
        <w:rPr>
          <w:rFonts w:ascii="Garamond" w:hAnsi="Garamond"/>
          <w:sz w:val="22"/>
          <w:szCs w:val="22"/>
        </w:rPr>
        <w:t xml:space="preserve">the </w:t>
      </w:r>
      <w:r w:rsidR="00B2087D">
        <w:rPr>
          <w:rFonts w:ascii="Garamond" w:hAnsi="Garamond"/>
          <w:sz w:val="22"/>
          <w:szCs w:val="22"/>
        </w:rPr>
        <w:t>fourth quarter o</w:t>
      </w:r>
      <w:r>
        <w:rPr>
          <w:rFonts w:ascii="Garamond" w:hAnsi="Garamond"/>
          <w:sz w:val="22"/>
          <w:szCs w:val="22"/>
        </w:rPr>
        <w:t xml:space="preserve">f 2018, </w:t>
      </w:r>
      <w:r w:rsidR="00781ACF" w:rsidRPr="00EE5F0F">
        <w:rPr>
          <w:rFonts w:ascii="Garamond" w:hAnsi="Garamond"/>
          <w:sz w:val="22"/>
          <w:szCs w:val="22"/>
        </w:rPr>
        <w:t xml:space="preserve">private </w:t>
      </w:r>
      <w:r w:rsidR="00B2087D">
        <w:rPr>
          <w:rFonts w:ascii="Garamond" w:hAnsi="Garamond"/>
          <w:sz w:val="22"/>
          <w:szCs w:val="22"/>
        </w:rPr>
        <w:t>consumption i</w:t>
      </w:r>
      <w:r>
        <w:rPr>
          <w:rFonts w:ascii="Garamond" w:hAnsi="Garamond"/>
          <w:sz w:val="22"/>
          <w:szCs w:val="22"/>
        </w:rPr>
        <w:t xml:space="preserve">s </w:t>
      </w:r>
      <w:r w:rsidR="00B2087D">
        <w:rPr>
          <w:rFonts w:ascii="Garamond" w:hAnsi="Garamond"/>
          <w:sz w:val="22"/>
          <w:szCs w:val="22"/>
        </w:rPr>
        <w:t xml:space="preserve">close to </w:t>
      </w:r>
      <w:r w:rsidR="00781ACF" w:rsidRPr="00EE5F0F">
        <w:rPr>
          <w:rFonts w:ascii="Garamond" w:hAnsi="Garamond"/>
          <w:sz w:val="22"/>
          <w:szCs w:val="22"/>
        </w:rPr>
        <w:t xml:space="preserve">its </w:t>
      </w:r>
      <w:r>
        <w:rPr>
          <w:rFonts w:ascii="Garamond" w:hAnsi="Garamond"/>
          <w:sz w:val="22"/>
          <w:szCs w:val="22"/>
        </w:rPr>
        <w:t>potential value</w:t>
      </w:r>
      <w:r w:rsidR="00B2087D">
        <w:rPr>
          <w:rFonts w:ascii="Garamond" w:hAnsi="Garamond"/>
          <w:sz w:val="22"/>
          <w:szCs w:val="22"/>
        </w:rPr>
        <w:t xml:space="preserve">, so </w:t>
      </w:r>
      <w:r w:rsidR="00B2087D" w:rsidRPr="00B2087D">
        <w:rPr>
          <w:rFonts w:ascii="Garamond" w:hAnsi="Garamond"/>
          <w:sz w:val="22"/>
          <w:szCs w:val="22"/>
        </w:rPr>
        <w:t xml:space="preserve">significant inflationary or deflationary pressures are not </w:t>
      </w:r>
      <w:r w:rsidR="00B2087D">
        <w:rPr>
          <w:rFonts w:ascii="Garamond" w:hAnsi="Garamond"/>
          <w:sz w:val="22"/>
          <w:szCs w:val="22"/>
        </w:rPr>
        <w:t xml:space="preserve">likely. </w:t>
      </w:r>
    </w:p>
    <w:p w14:paraId="3D550984"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B2087D">
        <w:rPr>
          <w:rFonts w:ascii="Garamond" w:hAnsi="Garamond"/>
          <w:sz w:val="22"/>
          <w:szCs w:val="22"/>
        </w:rPr>
        <w:t>fourth quarter</w:t>
      </w:r>
      <w:r w:rsidRPr="00EE5F0F">
        <w:rPr>
          <w:rFonts w:ascii="Garamond" w:hAnsi="Garamond"/>
          <w:sz w:val="22"/>
          <w:szCs w:val="22"/>
        </w:rPr>
        <w:t xml:space="preserve"> of 2018, </w:t>
      </w:r>
      <w:r w:rsidR="00B2087D" w:rsidRPr="00B2087D">
        <w:rPr>
          <w:rFonts w:ascii="Garamond" w:hAnsi="Garamond"/>
          <w:sz w:val="22"/>
          <w:szCs w:val="22"/>
        </w:rPr>
        <w:t xml:space="preserve">the </w:t>
      </w:r>
      <w:r w:rsidR="00B2087D">
        <w:rPr>
          <w:rFonts w:ascii="Garamond" w:hAnsi="Garamond"/>
          <w:sz w:val="22"/>
          <w:szCs w:val="22"/>
        </w:rPr>
        <w:t xml:space="preserve">growth of real </w:t>
      </w:r>
      <w:r w:rsidR="00B2087D" w:rsidRPr="00B2087D">
        <w:rPr>
          <w:rFonts w:ascii="Garamond" w:hAnsi="Garamond"/>
          <w:sz w:val="22"/>
          <w:szCs w:val="22"/>
        </w:rPr>
        <w:t>export and import</w:t>
      </w:r>
      <w:r w:rsidR="00B2087D">
        <w:rPr>
          <w:rFonts w:ascii="Garamond" w:hAnsi="Garamond"/>
          <w:sz w:val="22"/>
          <w:szCs w:val="22"/>
        </w:rPr>
        <w:t xml:space="preserve"> volumes has slowed down </w:t>
      </w:r>
      <w:r w:rsidR="00B2087D" w:rsidRPr="00B2087D">
        <w:rPr>
          <w:rFonts w:ascii="Garamond" w:hAnsi="Garamond"/>
          <w:sz w:val="22"/>
          <w:szCs w:val="22"/>
        </w:rPr>
        <w:t xml:space="preserve">compared to </w:t>
      </w:r>
      <w:r w:rsidR="00ED54BB">
        <w:rPr>
          <w:rFonts w:ascii="Garamond" w:hAnsi="Garamond"/>
          <w:sz w:val="22"/>
          <w:szCs w:val="22"/>
        </w:rPr>
        <w:t xml:space="preserve">strong </w:t>
      </w:r>
      <w:r w:rsidR="00B2087D" w:rsidRPr="00B2087D">
        <w:rPr>
          <w:rFonts w:ascii="Garamond" w:hAnsi="Garamond"/>
          <w:sz w:val="22"/>
          <w:szCs w:val="22"/>
        </w:rPr>
        <w:t xml:space="preserve">growth </w:t>
      </w:r>
      <w:r w:rsidR="00B2087D">
        <w:rPr>
          <w:rFonts w:ascii="Garamond" w:hAnsi="Garamond"/>
          <w:sz w:val="22"/>
          <w:szCs w:val="22"/>
        </w:rPr>
        <w:t xml:space="preserve">observable </w:t>
      </w:r>
      <w:r w:rsidR="00B2087D" w:rsidRPr="00B2087D">
        <w:rPr>
          <w:rFonts w:ascii="Garamond" w:hAnsi="Garamond"/>
          <w:sz w:val="22"/>
          <w:szCs w:val="22"/>
        </w:rPr>
        <w:t>in the beginning of the year</w:t>
      </w:r>
      <w:r w:rsidR="00B2087D">
        <w:rPr>
          <w:rFonts w:ascii="Garamond" w:hAnsi="Garamond"/>
          <w:sz w:val="22"/>
          <w:szCs w:val="22"/>
        </w:rPr>
        <w:t>,</w:t>
      </w:r>
      <w:r w:rsidR="00B2087D" w:rsidRPr="00B2087D">
        <w:rPr>
          <w:rFonts w:ascii="Garamond" w:hAnsi="Garamond"/>
          <w:sz w:val="22"/>
          <w:szCs w:val="22"/>
        </w:rPr>
        <w:t xml:space="preserve"> especially </w:t>
      </w:r>
      <w:r w:rsidR="00B2087D">
        <w:rPr>
          <w:rFonts w:ascii="Garamond" w:hAnsi="Garamond"/>
          <w:sz w:val="22"/>
          <w:szCs w:val="22"/>
        </w:rPr>
        <w:t xml:space="preserve">on the part of </w:t>
      </w:r>
      <w:r w:rsidR="00B2087D" w:rsidRPr="00B2087D">
        <w:rPr>
          <w:rFonts w:ascii="Garamond" w:hAnsi="Garamond"/>
          <w:sz w:val="22"/>
          <w:szCs w:val="22"/>
        </w:rPr>
        <w:t xml:space="preserve">import. The increase in real volumes of export has </w:t>
      </w:r>
      <w:r w:rsidR="00ED54BB">
        <w:rPr>
          <w:rFonts w:ascii="Garamond" w:hAnsi="Garamond"/>
          <w:sz w:val="22"/>
          <w:szCs w:val="22"/>
        </w:rPr>
        <w:t xml:space="preserve">somewhat </w:t>
      </w:r>
      <w:r w:rsidR="00B2087D" w:rsidRPr="00B2087D">
        <w:rPr>
          <w:rFonts w:ascii="Garamond" w:hAnsi="Garamond"/>
          <w:sz w:val="22"/>
          <w:szCs w:val="22"/>
        </w:rPr>
        <w:t>exceeded th</w:t>
      </w:r>
      <w:r w:rsidR="00ED54BB">
        <w:rPr>
          <w:rFonts w:ascii="Garamond" w:hAnsi="Garamond"/>
          <w:sz w:val="22"/>
          <w:szCs w:val="22"/>
        </w:rPr>
        <w:t xml:space="preserve">ose of </w:t>
      </w:r>
      <w:r w:rsidR="00B2087D" w:rsidRPr="00B2087D">
        <w:rPr>
          <w:rFonts w:ascii="Garamond" w:hAnsi="Garamond"/>
          <w:sz w:val="22"/>
          <w:szCs w:val="22"/>
        </w:rPr>
        <w:t>import.</w:t>
      </w:r>
      <w:r w:rsidR="00ED54BB">
        <w:rPr>
          <w:rFonts w:ascii="Garamond" w:hAnsi="Garamond"/>
          <w:sz w:val="22"/>
          <w:szCs w:val="22"/>
        </w:rPr>
        <w:t xml:space="preserve"> As a result, the contribution of </w:t>
      </w:r>
      <w:r w:rsidR="00ED54BB" w:rsidRPr="00ED54BB">
        <w:rPr>
          <w:rFonts w:ascii="Garamond" w:hAnsi="Garamond"/>
          <w:sz w:val="22"/>
          <w:szCs w:val="22"/>
        </w:rPr>
        <w:t>net real export</w:t>
      </w:r>
      <w:r w:rsidR="00ED54BB">
        <w:rPr>
          <w:rFonts w:ascii="Garamond" w:hAnsi="Garamond"/>
          <w:sz w:val="22"/>
          <w:szCs w:val="22"/>
        </w:rPr>
        <w:t xml:space="preserve"> to the GDP has been </w:t>
      </w:r>
      <w:r w:rsidR="00ED54BB" w:rsidRPr="00ED54BB">
        <w:rPr>
          <w:rFonts w:ascii="Garamond" w:hAnsi="Garamond"/>
          <w:sz w:val="22"/>
          <w:szCs w:val="22"/>
        </w:rPr>
        <w:t xml:space="preserve">almost zero </w:t>
      </w:r>
      <w:r w:rsidR="00A06C09">
        <w:rPr>
          <w:rFonts w:ascii="Garamond" w:hAnsi="Garamond"/>
          <w:sz w:val="22"/>
          <w:szCs w:val="22"/>
        </w:rPr>
        <w:t xml:space="preserve">following the </w:t>
      </w:r>
      <w:r w:rsidR="00ED54BB" w:rsidRPr="00ED54BB">
        <w:rPr>
          <w:rFonts w:ascii="Garamond" w:hAnsi="Garamond"/>
          <w:sz w:val="22"/>
          <w:szCs w:val="22"/>
        </w:rPr>
        <w:t>negative contr</w:t>
      </w:r>
      <w:r w:rsidR="00ED54BB">
        <w:rPr>
          <w:rFonts w:ascii="Garamond" w:hAnsi="Garamond"/>
          <w:sz w:val="22"/>
          <w:szCs w:val="22"/>
        </w:rPr>
        <w:t xml:space="preserve">ibutions reported in </w:t>
      </w:r>
      <w:r w:rsidR="00ED54BB" w:rsidRPr="00ED54BB">
        <w:rPr>
          <w:rFonts w:ascii="Garamond" w:hAnsi="Garamond"/>
          <w:sz w:val="22"/>
          <w:szCs w:val="22"/>
        </w:rPr>
        <w:t>previous quarters.</w:t>
      </w:r>
      <w:r w:rsidR="00ED54BB">
        <w:rPr>
          <w:rFonts w:ascii="Garamond" w:hAnsi="Garamond"/>
          <w:sz w:val="22"/>
          <w:szCs w:val="22"/>
        </w:rPr>
        <w:t xml:space="preserve"> </w:t>
      </w:r>
      <w:r w:rsidR="00ED54BB" w:rsidRPr="00ED54BB">
        <w:rPr>
          <w:rFonts w:ascii="Garamond" w:hAnsi="Garamond"/>
          <w:sz w:val="22"/>
          <w:szCs w:val="22"/>
        </w:rPr>
        <w:t xml:space="preserve">Thus, </w:t>
      </w:r>
      <w:r w:rsidR="00ED54BB">
        <w:rPr>
          <w:rFonts w:ascii="Garamond" w:hAnsi="Garamond"/>
          <w:sz w:val="22"/>
          <w:szCs w:val="22"/>
        </w:rPr>
        <w:t>i</w:t>
      </w:r>
      <w:r w:rsidR="00ED54BB" w:rsidRPr="00ED54BB">
        <w:rPr>
          <w:rFonts w:ascii="Garamond" w:hAnsi="Garamond"/>
          <w:sz w:val="22"/>
          <w:szCs w:val="22"/>
        </w:rPr>
        <w:t>n the fourth quarter</w:t>
      </w:r>
      <w:r w:rsidR="00ED54BB">
        <w:rPr>
          <w:rFonts w:ascii="Garamond" w:hAnsi="Garamond"/>
          <w:sz w:val="22"/>
          <w:szCs w:val="22"/>
        </w:rPr>
        <w:t xml:space="preserve"> of 2018 </w:t>
      </w:r>
      <w:r w:rsidR="00ED54BB" w:rsidRPr="00ED54BB">
        <w:rPr>
          <w:rFonts w:ascii="Garamond" w:hAnsi="Garamond"/>
          <w:sz w:val="22"/>
          <w:szCs w:val="22"/>
        </w:rPr>
        <w:t xml:space="preserve">the real </w:t>
      </w:r>
      <w:r w:rsidR="00ED54BB">
        <w:rPr>
          <w:rFonts w:ascii="Garamond" w:hAnsi="Garamond"/>
          <w:sz w:val="22"/>
          <w:szCs w:val="22"/>
        </w:rPr>
        <w:t xml:space="preserve">growth of </w:t>
      </w:r>
      <w:r w:rsidR="00ED54BB" w:rsidRPr="00ED54BB">
        <w:rPr>
          <w:rFonts w:ascii="Garamond" w:hAnsi="Garamond"/>
          <w:sz w:val="22"/>
          <w:szCs w:val="22"/>
        </w:rPr>
        <w:t xml:space="preserve">export of goods and services </w:t>
      </w:r>
      <w:r w:rsidR="00ED54BB">
        <w:rPr>
          <w:rFonts w:ascii="Garamond" w:hAnsi="Garamond"/>
          <w:sz w:val="22"/>
          <w:szCs w:val="22"/>
        </w:rPr>
        <w:t xml:space="preserve">amounted to </w:t>
      </w:r>
      <w:r w:rsidR="00ED54BB" w:rsidRPr="00ED54BB">
        <w:rPr>
          <w:rFonts w:ascii="Garamond" w:hAnsi="Garamond"/>
          <w:sz w:val="22"/>
          <w:szCs w:val="22"/>
        </w:rPr>
        <w:t>2.3%</w:t>
      </w:r>
      <w:r w:rsidR="00ED54BB">
        <w:rPr>
          <w:rFonts w:ascii="Garamond" w:hAnsi="Garamond"/>
          <w:sz w:val="22"/>
          <w:szCs w:val="22"/>
        </w:rPr>
        <w:t xml:space="preserve"> y/y</w:t>
      </w:r>
      <w:r w:rsidR="00ED54BB" w:rsidRPr="00ED54BB">
        <w:rPr>
          <w:rFonts w:ascii="Garamond" w:hAnsi="Garamond"/>
          <w:sz w:val="22"/>
          <w:szCs w:val="22"/>
        </w:rPr>
        <w:t xml:space="preserve">, while the real </w:t>
      </w:r>
      <w:r w:rsidR="00ED54BB">
        <w:rPr>
          <w:rFonts w:ascii="Garamond" w:hAnsi="Garamond"/>
          <w:sz w:val="22"/>
          <w:szCs w:val="22"/>
        </w:rPr>
        <w:t xml:space="preserve">growth of </w:t>
      </w:r>
      <w:r w:rsidR="00ED54BB" w:rsidRPr="00ED54BB">
        <w:rPr>
          <w:rFonts w:ascii="Garamond" w:hAnsi="Garamond"/>
          <w:sz w:val="22"/>
          <w:szCs w:val="22"/>
        </w:rPr>
        <w:t>import of goods and services</w:t>
      </w:r>
      <w:r w:rsidR="00A421B3">
        <w:rPr>
          <w:rFonts w:ascii="Garamond" w:hAnsi="Garamond"/>
          <w:sz w:val="22"/>
          <w:szCs w:val="22"/>
        </w:rPr>
        <w:t xml:space="preserve"> reached 0</w:t>
      </w:r>
      <w:r w:rsidR="00ED54BB" w:rsidRPr="00ED54BB">
        <w:rPr>
          <w:rFonts w:ascii="Garamond" w:hAnsi="Garamond"/>
          <w:sz w:val="22"/>
          <w:szCs w:val="22"/>
        </w:rPr>
        <w:t xml:space="preserve">.6%. It should be noted that the growth of import of </w:t>
      </w:r>
      <w:r w:rsidR="009953EF">
        <w:rPr>
          <w:rFonts w:ascii="Garamond" w:hAnsi="Garamond"/>
          <w:sz w:val="22"/>
          <w:szCs w:val="22"/>
        </w:rPr>
        <w:t xml:space="preserve">goods with their </w:t>
      </w:r>
      <w:r w:rsidR="00ED54BB" w:rsidRPr="00ED54BB">
        <w:rPr>
          <w:rFonts w:ascii="Garamond" w:hAnsi="Garamond"/>
          <w:sz w:val="22"/>
          <w:szCs w:val="22"/>
        </w:rPr>
        <w:t xml:space="preserve">major </w:t>
      </w:r>
      <w:r w:rsidR="009953EF">
        <w:rPr>
          <w:rFonts w:ascii="Garamond" w:hAnsi="Garamond"/>
          <w:sz w:val="22"/>
          <w:szCs w:val="22"/>
        </w:rPr>
        <w:t xml:space="preserve">share in imports structure </w:t>
      </w:r>
      <w:r w:rsidR="00ED54BB" w:rsidRPr="00ED54BB">
        <w:rPr>
          <w:rFonts w:ascii="Garamond" w:hAnsi="Garamond"/>
          <w:sz w:val="22"/>
          <w:szCs w:val="22"/>
        </w:rPr>
        <w:t>slowed down in the fourth quarter</w:t>
      </w:r>
      <w:r w:rsidR="009953EF">
        <w:rPr>
          <w:rFonts w:ascii="Garamond" w:hAnsi="Garamond"/>
          <w:sz w:val="22"/>
          <w:szCs w:val="22"/>
        </w:rPr>
        <w:t>. T</w:t>
      </w:r>
      <w:r w:rsidR="00ED54BB" w:rsidRPr="00ED54BB">
        <w:rPr>
          <w:rFonts w:ascii="Garamond" w:hAnsi="Garamond"/>
          <w:sz w:val="22"/>
          <w:szCs w:val="22"/>
        </w:rPr>
        <w:t xml:space="preserve">he </w:t>
      </w:r>
      <w:r w:rsidR="009953EF">
        <w:rPr>
          <w:rFonts w:ascii="Garamond" w:hAnsi="Garamond"/>
          <w:sz w:val="22"/>
          <w:szCs w:val="22"/>
        </w:rPr>
        <w:t xml:space="preserve">real </w:t>
      </w:r>
      <w:r w:rsidR="00ED54BB" w:rsidRPr="00ED54BB">
        <w:rPr>
          <w:rFonts w:ascii="Garamond" w:hAnsi="Garamond"/>
          <w:sz w:val="22"/>
          <w:szCs w:val="22"/>
        </w:rPr>
        <w:t xml:space="preserve">growth of export and import of goods and services </w:t>
      </w:r>
      <w:r w:rsidR="009953EF">
        <w:rPr>
          <w:rFonts w:ascii="Garamond" w:hAnsi="Garamond"/>
          <w:sz w:val="22"/>
          <w:szCs w:val="22"/>
        </w:rPr>
        <w:t xml:space="preserve">over 2018 has been </w:t>
      </w:r>
      <w:r w:rsidR="00ED54BB" w:rsidRPr="00ED54BB">
        <w:rPr>
          <w:rFonts w:ascii="Garamond" w:hAnsi="Garamond"/>
          <w:sz w:val="22"/>
          <w:szCs w:val="22"/>
        </w:rPr>
        <w:t>5.2% and 10.9%</w:t>
      </w:r>
      <w:r w:rsidR="009953EF">
        <w:rPr>
          <w:rFonts w:ascii="Garamond" w:hAnsi="Garamond"/>
          <w:sz w:val="22"/>
          <w:szCs w:val="22"/>
        </w:rPr>
        <w:t>,</w:t>
      </w:r>
      <w:r w:rsidR="00ED54BB" w:rsidRPr="00ED54BB">
        <w:rPr>
          <w:rFonts w:ascii="Garamond" w:hAnsi="Garamond"/>
          <w:sz w:val="22"/>
          <w:szCs w:val="22"/>
        </w:rPr>
        <w:t xml:space="preserve"> respectively.</w:t>
      </w:r>
      <w:r w:rsidR="009953EF">
        <w:rPr>
          <w:rFonts w:ascii="Garamond" w:hAnsi="Garamond"/>
          <w:sz w:val="22"/>
          <w:szCs w:val="22"/>
        </w:rPr>
        <w:t xml:space="preserve"> </w:t>
      </w:r>
    </w:p>
    <w:p w14:paraId="025AEE97" w14:textId="77777777" w:rsidR="00781AC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9953EF">
        <w:rPr>
          <w:rFonts w:ascii="Garamond" w:hAnsi="Garamond"/>
          <w:sz w:val="22"/>
          <w:szCs w:val="22"/>
        </w:rPr>
        <w:t>fourth</w:t>
      </w:r>
      <w:r w:rsidRPr="00EE5F0F">
        <w:rPr>
          <w:rFonts w:ascii="Garamond" w:hAnsi="Garamond"/>
          <w:sz w:val="22"/>
          <w:szCs w:val="22"/>
        </w:rPr>
        <w:t xml:space="preserve"> quarter of 2018, net remittances of individuals (seasonal workers’ income and personal transfers inclusive)</w:t>
      </w:r>
      <w:r w:rsidR="000C1208">
        <w:rPr>
          <w:rFonts w:ascii="Garamond" w:hAnsi="Garamond"/>
          <w:sz w:val="22"/>
          <w:szCs w:val="22"/>
        </w:rPr>
        <w:t xml:space="preserve"> in </w:t>
      </w:r>
      <w:r w:rsidR="00FD0ABE">
        <w:rPr>
          <w:rFonts w:ascii="Garamond" w:hAnsi="Garamond"/>
          <w:sz w:val="22"/>
          <w:szCs w:val="22"/>
        </w:rPr>
        <w:t>US dollars</w:t>
      </w:r>
      <w:r w:rsidRPr="00EE5F0F">
        <w:rPr>
          <w:rFonts w:ascii="Garamond" w:hAnsi="Garamond"/>
          <w:sz w:val="22"/>
          <w:szCs w:val="22"/>
        </w:rPr>
        <w:t xml:space="preserve"> </w:t>
      </w:r>
      <w:r w:rsidR="004D2425">
        <w:rPr>
          <w:rFonts w:ascii="Garamond" w:hAnsi="Garamond"/>
          <w:sz w:val="22"/>
          <w:szCs w:val="22"/>
        </w:rPr>
        <w:t>narrowed t</w:t>
      </w:r>
      <w:r w:rsidRPr="00EE5F0F">
        <w:rPr>
          <w:rFonts w:ascii="Garamond" w:hAnsi="Garamond"/>
          <w:sz w:val="22"/>
          <w:szCs w:val="22"/>
        </w:rPr>
        <w:t xml:space="preserve">o an estimated </w:t>
      </w:r>
      <w:r w:rsidR="009953EF">
        <w:rPr>
          <w:rFonts w:ascii="Garamond" w:hAnsi="Garamond"/>
          <w:sz w:val="22"/>
          <w:szCs w:val="22"/>
        </w:rPr>
        <w:t>7</w:t>
      </w:r>
      <w:r w:rsidRPr="00EE5F0F">
        <w:rPr>
          <w:rFonts w:ascii="Garamond" w:hAnsi="Garamond"/>
          <w:sz w:val="22"/>
          <w:szCs w:val="22"/>
        </w:rPr>
        <w:t>.</w:t>
      </w:r>
      <w:r w:rsidR="009953EF">
        <w:rPr>
          <w:rFonts w:ascii="Garamond" w:hAnsi="Garamond"/>
          <w:sz w:val="22"/>
          <w:szCs w:val="22"/>
        </w:rPr>
        <w:t>1</w:t>
      </w:r>
      <w:r w:rsidRPr="00EE5F0F">
        <w:rPr>
          <w:rFonts w:ascii="Garamond" w:hAnsi="Garamond"/>
          <w:sz w:val="22"/>
          <w:szCs w:val="22"/>
        </w:rPr>
        <w:t xml:space="preserve">% y/y, as the </w:t>
      </w:r>
      <w:r w:rsidR="00FD0ABE">
        <w:rPr>
          <w:rFonts w:ascii="Garamond" w:hAnsi="Garamond"/>
          <w:sz w:val="22"/>
          <w:szCs w:val="22"/>
        </w:rPr>
        <w:t xml:space="preserve">Russian </w:t>
      </w:r>
      <w:r w:rsidRPr="00EE5F0F">
        <w:rPr>
          <w:rFonts w:ascii="Garamond" w:hAnsi="Garamond"/>
          <w:sz w:val="22"/>
          <w:szCs w:val="22"/>
        </w:rPr>
        <w:t xml:space="preserve">ruble exchange rate </w:t>
      </w:r>
      <w:r w:rsidR="00FD0ABE">
        <w:rPr>
          <w:rFonts w:ascii="Garamond" w:hAnsi="Garamond"/>
          <w:sz w:val="22"/>
          <w:szCs w:val="22"/>
        </w:rPr>
        <w:t xml:space="preserve">continued </w:t>
      </w:r>
      <w:r w:rsidR="00E90953">
        <w:rPr>
          <w:rFonts w:ascii="Garamond" w:hAnsi="Garamond"/>
          <w:sz w:val="22"/>
          <w:szCs w:val="22"/>
        </w:rPr>
        <w:t>de</w:t>
      </w:r>
      <w:r w:rsidRPr="00EE5F0F">
        <w:rPr>
          <w:rFonts w:ascii="Garamond" w:hAnsi="Garamond"/>
          <w:sz w:val="22"/>
          <w:szCs w:val="22"/>
        </w:rPr>
        <w:t>preciat</w:t>
      </w:r>
      <w:r w:rsidR="00FD0ABE">
        <w:rPr>
          <w:rFonts w:ascii="Garamond" w:hAnsi="Garamond"/>
          <w:sz w:val="22"/>
          <w:szCs w:val="22"/>
        </w:rPr>
        <w:t xml:space="preserve">ing </w:t>
      </w:r>
      <w:r w:rsidRPr="00EE5F0F">
        <w:rPr>
          <w:rFonts w:ascii="Garamond" w:hAnsi="Garamond"/>
          <w:sz w:val="22"/>
          <w:szCs w:val="22"/>
        </w:rPr>
        <w:t>versus the US dollar.</w:t>
      </w:r>
      <w:r w:rsidR="009953EF">
        <w:rPr>
          <w:rFonts w:ascii="Garamond" w:hAnsi="Garamond"/>
          <w:sz w:val="22"/>
          <w:szCs w:val="22"/>
        </w:rPr>
        <w:t xml:space="preserve"> </w:t>
      </w:r>
      <w:r w:rsidR="004D2425">
        <w:rPr>
          <w:rFonts w:ascii="Garamond" w:hAnsi="Garamond"/>
          <w:sz w:val="22"/>
          <w:szCs w:val="22"/>
        </w:rPr>
        <w:t xml:space="preserve">For </w:t>
      </w:r>
      <w:r w:rsidR="009953EF" w:rsidRPr="009953EF">
        <w:rPr>
          <w:rFonts w:ascii="Garamond" w:hAnsi="Garamond"/>
          <w:sz w:val="22"/>
          <w:szCs w:val="22"/>
        </w:rPr>
        <w:t>2018</w:t>
      </w:r>
      <w:r w:rsidR="004D2425">
        <w:rPr>
          <w:rFonts w:ascii="Garamond" w:hAnsi="Garamond"/>
          <w:sz w:val="22"/>
          <w:szCs w:val="22"/>
        </w:rPr>
        <w:t xml:space="preserve">, the decrease is an estimated </w:t>
      </w:r>
      <w:r w:rsidR="009953EF" w:rsidRPr="009953EF">
        <w:rPr>
          <w:rFonts w:ascii="Garamond" w:hAnsi="Garamond"/>
          <w:sz w:val="22"/>
          <w:szCs w:val="22"/>
        </w:rPr>
        <w:t>1.5%.</w:t>
      </w:r>
    </w:p>
    <w:p w14:paraId="757FBDF7" w14:textId="77777777" w:rsidR="00E90953" w:rsidRPr="00EE5F0F" w:rsidRDefault="004D2425"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Pr="00EE5F0F">
        <w:rPr>
          <w:rFonts w:ascii="Garamond" w:hAnsi="Garamond"/>
          <w:sz w:val="22"/>
          <w:szCs w:val="22"/>
        </w:rPr>
        <w:t xml:space="preserve">n the </w:t>
      </w:r>
      <w:r>
        <w:rPr>
          <w:rFonts w:ascii="Garamond" w:hAnsi="Garamond"/>
          <w:sz w:val="22"/>
          <w:szCs w:val="22"/>
        </w:rPr>
        <w:t xml:space="preserve">fourth </w:t>
      </w:r>
      <w:r w:rsidRPr="00EE5F0F">
        <w:rPr>
          <w:rFonts w:ascii="Garamond" w:hAnsi="Garamond"/>
          <w:sz w:val="22"/>
          <w:szCs w:val="22"/>
        </w:rPr>
        <w:t>quarter of 201</w:t>
      </w:r>
      <w:r>
        <w:rPr>
          <w:rFonts w:ascii="Garamond" w:hAnsi="Garamond"/>
          <w:sz w:val="22"/>
          <w:szCs w:val="22"/>
        </w:rPr>
        <w:t xml:space="preserve">8, </w:t>
      </w:r>
      <w:r w:rsidR="0016421D" w:rsidRPr="00EE5F0F">
        <w:rPr>
          <w:rFonts w:ascii="Garamond" w:hAnsi="Garamond"/>
          <w:sz w:val="22"/>
          <w:szCs w:val="22"/>
        </w:rPr>
        <w:t xml:space="preserve">the current account deficit-to-GDP ratio </w:t>
      </w:r>
      <w:r>
        <w:rPr>
          <w:rFonts w:ascii="Garamond" w:hAnsi="Garamond"/>
          <w:sz w:val="22"/>
          <w:szCs w:val="22"/>
        </w:rPr>
        <w:t xml:space="preserve">dropped </w:t>
      </w:r>
      <w:r w:rsidR="0016421D" w:rsidRPr="00EE5F0F">
        <w:rPr>
          <w:rFonts w:ascii="Garamond" w:hAnsi="Garamond"/>
          <w:sz w:val="22"/>
          <w:szCs w:val="22"/>
        </w:rPr>
        <w:t xml:space="preserve">by about </w:t>
      </w:r>
      <w:r w:rsidR="0016421D">
        <w:rPr>
          <w:rFonts w:ascii="Garamond" w:hAnsi="Garamond"/>
          <w:sz w:val="22"/>
          <w:szCs w:val="22"/>
        </w:rPr>
        <w:t>0</w:t>
      </w:r>
      <w:r>
        <w:rPr>
          <w:rFonts w:ascii="Garamond" w:hAnsi="Garamond"/>
          <w:sz w:val="22"/>
          <w:szCs w:val="22"/>
        </w:rPr>
        <w:t>.7 pp</w:t>
      </w:r>
      <w:r w:rsidR="0016421D" w:rsidRPr="0016421D">
        <w:rPr>
          <w:rFonts w:ascii="Garamond" w:hAnsi="Garamond"/>
          <w:sz w:val="22"/>
          <w:szCs w:val="22"/>
        </w:rPr>
        <w:t xml:space="preserve">, </w:t>
      </w:r>
      <w:r>
        <w:rPr>
          <w:rFonts w:ascii="Garamond" w:hAnsi="Garamond"/>
          <w:sz w:val="22"/>
          <w:szCs w:val="22"/>
        </w:rPr>
        <w:t xml:space="preserve">according to estimations, due to shrinking </w:t>
      </w:r>
      <w:r w:rsidRPr="004D2425">
        <w:rPr>
          <w:rFonts w:ascii="Garamond" w:hAnsi="Garamond"/>
          <w:sz w:val="22"/>
          <w:szCs w:val="22"/>
        </w:rPr>
        <w:t xml:space="preserve">foreign trade balance deficit. As a result, the </w:t>
      </w:r>
      <w:r w:rsidRPr="00EE5F0F">
        <w:rPr>
          <w:rFonts w:ascii="Garamond" w:hAnsi="Garamond"/>
          <w:sz w:val="22"/>
          <w:szCs w:val="22"/>
        </w:rPr>
        <w:t>current account deficit-to-GDP</w:t>
      </w:r>
      <w:r>
        <w:rPr>
          <w:rFonts w:ascii="Garamond" w:hAnsi="Garamond"/>
          <w:sz w:val="22"/>
          <w:szCs w:val="22"/>
        </w:rPr>
        <w:t xml:space="preserve"> </w:t>
      </w:r>
      <w:r w:rsidRPr="004D2425">
        <w:rPr>
          <w:rFonts w:ascii="Garamond" w:hAnsi="Garamond"/>
          <w:sz w:val="22"/>
          <w:szCs w:val="22"/>
        </w:rPr>
        <w:t xml:space="preserve">ratio </w:t>
      </w:r>
      <w:r>
        <w:rPr>
          <w:rFonts w:ascii="Garamond" w:hAnsi="Garamond"/>
          <w:sz w:val="22"/>
          <w:szCs w:val="22"/>
        </w:rPr>
        <w:t xml:space="preserve">in 2018 </w:t>
      </w:r>
      <w:r w:rsidRPr="004D2425">
        <w:rPr>
          <w:rFonts w:ascii="Garamond" w:hAnsi="Garamond"/>
          <w:sz w:val="22"/>
          <w:szCs w:val="22"/>
        </w:rPr>
        <w:t>is estimated at around 8.2%.</w:t>
      </w:r>
    </w:p>
    <w:p w14:paraId="40A7A5E4" w14:textId="77777777" w:rsidR="006A3AB4"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Fiscal policy</w:t>
      </w:r>
      <w:r w:rsidR="00610E19">
        <w:rPr>
          <w:rStyle w:val="FootnoteReference"/>
          <w:rFonts w:ascii="Garamond" w:hAnsi="Garamond"/>
          <w:b/>
          <w:sz w:val="22"/>
          <w:szCs w:val="22"/>
        </w:rPr>
        <w:footnoteReference w:customMarkFollows="1" w:id="5"/>
        <w:t>8</w:t>
      </w:r>
      <w:r w:rsidRPr="00EE5F0F">
        <w:rPr>
          <w:rFonts w:ascii="Garamond" w:hAnsi="Garamond"/>
          <w:b/>
          <w:sz w:val="22"/>
          <w:szCs w:val="22"/>
        </w:rPr>
        <w:t xml:space="preserve">: </w:t>
      </w:r>
      <w:r w:rsidRPr="00EE5F0F">
        <w:rPr>
          <w:rFonts w:ascii="Garamond" w:hAnsi="Garamond"/>
          <w:sz w:val="22"/>
          <w:szCs w:val="22"/>
        </w:rPr>
        <w:t xml:space="preserve">In the </w:t>
      </w:r>
      <w:r w:rsidR="0025574B">
        <w:rPr>
          <w:rFonts w:ascii="Garamond" w:hAnsi="Garamond"/>
          <w:sz w:val="22"/>
          <w:szCs w:val="22"/>
        </w:rPr>
        <w:t>fourth</w:t>
      </w:r>
      <w:r w:rsidR="0022067B">
        <w:rPr>
          <w:rFonts w:ascii="Garamond" w:hAnsi="Garamond"/>
          <w:sz w:val="22"/>
          <w:szCs w:val="22"/>
        </w:rPr>
        <w:t xml:space="preserve"> quarter of 2018, the state b</w:t>
      </w:r>
      <w:r w:rsidRPr="00EE5F0F">
        <w:rPr>
          <w:rFonts w:ascii="Garamond" w:hAnsi="Garamond"/>
          <w:sz w:val="22"/>
          <w:szCs w:val="22"/>
        </w:rPr>
        <w:t>udget performed with actual expenditures and revenues deviat</w:t>
      </w:r>
      <w:r w:rsidR="0022067B">
        <w:rPr>
          <w:rFonts w:ascii="Garamond" w:hAnsi="Garamond"/>
          <w:sz w:val="22"/>
          <w:szCs w:val="22"/>
        </w:rPr>
        <w:t xml:space="preserve">ing </w:t>
      </w:r>
      <w:r w:rsidRPr="00EE5F0F">
        <w:rPr>
          <w:rFonts w:ascii="Garamond" w:hAnsi="Garamond"/>
          <w:sz w:val="22"/>
          <w:szCs w:val="22"/>
        </w:rPr>
        <w:t>from the Central Bank’s projections</w:t>
      </w:r>
      <w:r w:rsidR="00610E19">
        <w:rPr>
          <w:rStyle w:val="FootnoteReference"/>
          <w:rFonts w:ascii="Garamond" w:hAnsi="Garamond"/>
          <w:sz w:val="22"/>
          <w:szCs w:val="22"/>
        </w:rPr>
        <w:footnoteReference w:customMarkFollows="1" w:id="6"/>
        <w:t>9</w:t>
      </w:r>
      <w:r w:rsidRPr="00EE5F0F">
        <w:rPr>
          <w:rFonts w:ascii="Garamond" w:hAnsi="Garamond"/>
          <w:sz w:val="22"/>
          <w:szCs w:val="22"/>
        </w:rPr>
        <w:t xml:space="preserve">. </w:t>
      </w:r>
      <w:r w:rsidR="003A3F08">
        <w:rPr>
          <w:rFonts w:ascii="Garamond" w:hAnsi="Garamond"/>
          <w:sz w:val="22"/>
          <w:szCs w:val="22"/>
        </w:rPr>
        <w:t>T</w:t>
      </w:r>
      <w:r w:rsidR="0025574B" w:rsidRPr="0025574B">
        <w:rPr>
          <w:rFonts w:ascii="Garamond" w:hAnsi="Garamond"/>
          <w:sz w:val="22"/>
          <w:szCs w:val="22"/>
        </w:rPr>
        <w:t>he</w:t>
      </w:r>
      <w:r w:rsidR="0025574B">
        <w:rPr>
          <w:rFonts w:ascii="Garamond" w:hAnsi="Garamond"/>
          <w:sz w:val="22"/>
          <w:szCs w:val="22"/>
        </w:rPr>
        <w:t xml:space="preserve"> quarter saw more </w:t>
      </w:r>
      <w:r w:rsidR="0025574B" w:rsidRPr="0025574B">
        <w:rPr>
          <w:rFonts w:ascii="Garamond" w:hAnsi="Garamond"/>
          <w:sz w:val="22"/>
          <w:szCs w:val="22"/>
        </w:rPr>
        <w:t>revenue</w:t>
      </w:r>
      <w:r w:rsidR="0025574B">
        <w:rPr>
          <w:rFonts w:ascii="Garamond" w:hAnsi="Garamond"/>
          <w:sz w:val="22"/>
          <w:szCs w:val="22"/>
        </w:rPr>
        <w:t xml:space="preserve"> collection </w:t>
      </w:r>
      <w:r w:rsidR="0025574B" w:rsidRPr="0025574B">
        <w:rPr>
          <w:rFonts w:ascii="Garamond" w:hAnsi="Garamond"/>
          <w:sz w:val="22"/>
          <w:szCs w:val="22"/>
        </w:rPr>
        <w:t xml:space="preserve">and </w:t>
      </w:r>
      <w:r w:rsidR="0025574B">
        <w:rPr>
          <w:rFonts w:ascii="Garamond" w:hAnsi="Garamond"/>
          <w:sz w:val="22"/>
          <w:szCs w:val="22"/>
        </w:rPr>
        <w:t>more</w:t>
      </w:r>
      <w:r w:rsidR="0025574B" w:rsidRPr="0025574B">
        <w:rPr>
          <w:rFonts w:ascii="Garamond" w:hAnsi="Garamond"/>
          <w:sz w:val="22"/>
          <w:szCs w:val="22"/>
        </w:rPr>
        <w:t xml:space="preserve"> </w:t>
      </w:r>
      <w:r w:rsidR="0025574B">
        <w:rPr>
          <w:rFonts w:ascii="Garamond" w:hAnsi="Garamond"/>
          <w:sz w:val="22"/>
          <w:szCs w:val="22"/>
        </w:rPr>
        <w:t xml:space="preserve">expenditures against the quarterly </w:t>
      </w:r>
      <w:r w:rsidR="0025574B" w:rsidRPr="0025574B">
        <w:rPr>
          <w:rFonts w:ascii="Garamond" w:hAnsi="Garamond"/>
          <w:sz w:val="22"/>
          <w:szCs w:val="22"/>
        </w:rPr>
        <w:t>project</w:t>
      </w:r>
      <w:r w:rsidR="0025574B">
        <w:rPr>
          <w:rFonts w:ascii="Garamond" w:hAnsi="Garamond"/>
          <w:sz w:val="22"/>
          <w:szCs w:val="22"/>
        </w:rPr>
        <w:t>ions</w:t>
      </w:r>
      <w:r w:rsidR="0025574B" w:rsidRPr="0025574B">
        <w:rPr>
          <w:rFonts w:ascii="Garamond" w:hAnsi="Garamond"/>
          <w:sz w:val="22"/>
          <w:szCs w:val="22"/>
        </w:rPr>
        <w:t>.</w:t>
      </w:r>
      <w:r w:rsidR="0025574B">
        <w:rPr>
          <w:rFonts w:ascii="Garamond" w:hAnsi="Garamond"/>
          <w:sz w:val="22"/>
          <w:szCs w:val="22"/>
        </w:rPr>
        <w:t xml:space="preserve"> </w:t>
      </w:r>
      <w:r w:rsidR="003A3F08">
        <w:rPr>
          <w:rFonts w:ascii="Garamond" w:hAnsi="Garamond"/>
          <w:sz w:val="22"/>
          <w:szCs w:val="22"/>
        </w:rPr>
        <w:t>As a result,</w:t>
      </w:r>
      <w:r w:rsidR="000B4A00">
        <w:rPr>
          <w:rFonts w:ascii="Garamond" w:hAnsi="Garamond"/>
          <w:sz w:val="22"/>
          <w:szCs w:val="22"/>
        </w:rPr>
        <w:t xml:space="preserve"> t</w:t>
      </w:r>
      <w:r w:rsidRPr="00EE5F0F">
        <w:rPr>
          <w:rFonts w:ascii="Garamond" w:hAnsi="Garamond"/>
          <w:sz w:val="22"/>
          <w:szCs w:val="22"/>
        </w:rPr>
        <w:t>he fiscal policy</w:t>
      </w:r>
      <w:r w:rsidR="006A3AB4">
        <w:rPr>
          <w:rFonts w:ascii="Garamond" w:hAnsi="Garamond"/>
          <w:sz w:val="22"/>
          <w:szCs w:val="22"/>
        </w:rPr>
        <w:t>’s</w:t>
      </w:r>
      <w:r w:rsidRPr="00EE5F0F">
        <w:rPr>
          <w:rFonts w:ascii="Garamond" w:hAnsi="Garamond"/>
          <w:sz w:val="22"/>
          <w:szCs w:val="22"/>
        </w:rPr>
        <w:t xml:space="preserve"> imp</w:t>
      </w:r>
      <w:r w:rsidR="006A3AB4">
        <w:rPr>
          <w:rFonts w:ascii="Garamond" w:hAnsi="Garamond"/>
          <w:sz w:val="22"/>
          <w:szCs w:val="22"/>
        </w:rPr>
        <w:t>act</w:t>
      </w:r>
      <w:r w:rsidR="003A3F08">
        <w:rPr>
          <w:rFonts w:ascii="Garamond" w:hAnsi="Garamond"/>
          <w:sz w:val="22"/>
          <w:szCs w:val="22"/>
        </w:rPr>
        <w:t xml:space="preserve"> on aggregate demand i</w:t>
      </w:r>
      <w:r w:rsidRPr="00EE5F0F">
        <w:rPr>
          <w:rFonts w:ascii="Garamond" w:hAnsi="Garamond"/>
          <w:sz w:val="22"/>
          <w:szCs w:val="22"/>
        </w:rPr>
        <w:t xml:space="preserve">s an estimated </w:t>
      </w:r>
      <w:r w:rsidR="000B4A00">
        <w:rPr>
          <w:rFonts w:ascii="Garamond" w:hAnsi="Garamond"/>
          <w:sz w:val="22"/>
          <w:szCs w:val="22"/>
        </w:rPr>
        <w:t>2</w:t>
      </w:r>
      <w:r w:rsidRPr="00EE5F0F">
        <w:rPr>
          <w:rFonts w:ascii="Garamond" w:hAnsi="Garamond"/>
          <w:sz w:val="22"/>
          <w:szCs w:val="22"/>
        </w:rPr>
        <w:t>.</w:t>
      </w:r>
      <w:r w:rsidR="0025574B">
        <w:rPr>
          <w:rFonts w:ascii="Garamond" w:hAnsi="Garamond"/>
          <w:sz w:val="22"/>
          <w:szCs w:val="22"/>
        </w:rPr>
        <w:t>8</w:t>
      </w:r>
      <w:r w:rsidRPr="00EE5F0F">
        <w:rPr>
          <w:rFonts w:ascii="Garamond" w:hAnsi="Garamond"/>
          <w:sz w:val="22"/>
          <w:szCs w:val="22"/>
        </w:rPr>
        <w:t xml:space="preserve"> pp contractionary instead of the predicted </w:t>
      </w:r>
      <w:r w:rsidR="0025574B">
        <w:rPr>
          <w:rFonts w:ascii="Garamond" w:hAnsi="Garamond"/>
          <w:sz w:val="22"/>
          <w:szCs w:val="22"/>
        </w:rPr>
        <w:t>3</w:t>
      </w:r>
      <w:r w:rsidRPr="00EE5F0F">
        <w:rPr>
          <w:rFonts w:ascii="Garamond" w:hAnsi="Garamond"/>
          <w:sz w:val="22"/>
          <w:szCs w:val="22"/>
        </w:rPr>
        <w:t>.</w:t>
      </w:r>
      <w:r w:rsidR="0025574B">
        <w:rPr>
          <w:rFonts w:ascii="Garamond" w:hAnsi="Garamond"/>
          <w:sz w:val="22"/>
          <w:szCs w:val="22"/>
        </w:rPr>
        <w:t>3</w:t>
      </w:r>
      <w:r w:rsidRPr="00EE5F0F">
        <w:rPr>
          <w:rFonts w:ascii="Garamond" w:hAnsi="Garamond"/>
          <w:sz w:val="22"/>
          <w:szCs w:val="22"/>
        </w:rPr>
        <w:t xml:space="preserve"> pp </w:t>
      </w:r>
      <w:r w:rsidR="006A3AB4">
        <w:rPr>
          <w:rFonts w:ascii="Garamond" w:hAnsi="Garamond"/>
          <w:sz w:val="22"/>
          <w:szCs w:val="22"/>
        </w:rPr>
        <w:t>contractionary</w:t>
      </w:r>
      <w:r w:rsidR="000B4A00">
        <w:rPr>
          <w:rFonts w:ascii="Garamond" w:hAnsi="Garamond"/>
          <w:sz w:val="22"/>
          <w:szCs w:val="22"/>
        </w:rPr>
        <w:t xml:space="preserve">, </w:t>
      </w:r>
      <w:r w:rsidR="000B4A00" w:rsidRPr="00EE5F0F">
        <w:rPr>
          <w:rFonts w:ascii="Garamond" w:hAnsi="Garamond"/>
          <w:sz w:val="22"/>
          <w:szCs w:val="22"/>
        </w:rPr>
        <w:t xml:space="preserve">for the </w:t>
      </w:r>
      <w:r w:rsidR="0025574B">
        <w:rPr>
          <w:rFonts w:ascii="Garamond" w:hAnsi="Garamond"/>
          <w:sz w:val="22"/>
          <w:szCs w:val="22"/>
        </w:rPr>
        <w:t>fourth</w:t>
      </w:r>
      <w:r w:rsidR="000B4A00">
        <w:rPr>
          <w:rFonts w:ascii="Garamond" w:hAnsi="Garamond"/>
          <w:sz w:val="22"/>
          <w:szCs w:val="22"/>
        </w:rPr>
        <w:t xml:space="preserve"> quarter</w:t>
      </w:r>
      <w:r w:rsidRPr="00EE5F0F">
        <w:rPr>
          <w:rFonts w:ascii="Garamond" w:hAnsi="Garamond"/>
          <w:sz w:val="22"/>
          <w:szCs w:val="22"/>
        </w:rPr>
        <w:t>.</w:t>
      </w:r>
      <w:r w:rsidR="006A3AB4">
        <w:rPr>
          <w:rFonts w:ascii="Garamond" w:hAnsi="Garamond"/>
          <w:sz w:val="22"/>
          <w:szCs w:val="22"/>
        </w:rPr>
        <w:t xml:space="preserve"> </w:t>
      </w:r>
    </w:p>
    <w:p w14:paraId="7A9401A7" w14:textId="77777777" w:rsidR="00242EA6" w:rsidRPr="00EE5F0F" w:rsidRDefault="00242EA6" w:rsidP="00242EA6">
      <w:pPr>
        <w:autoSpaceDE w:val="0"/>
        <w:autoSpaceDN w:val="0"/>
        <w:adjustRightInd w:val="0"/>
        <w:spacing w:after="120" w:line="360" w:lineRule="auto"/>
        <w:jc w:val="both"/>
        <w:rPr>
          <w:rFonts w:ascii="Garamond" w:hAnsi="Garamond"/>
          <w:color w:val="000000"/>
          <w:sz w:val="22"/>
          <w:szCs w:val="22"/>
        </w:rPr>
      </w:pPr>
      <w:r w:rsidRPr="00EE5F0F">
        <w:rPr>
          <w:rFonts w:ascii="Garamond" w:hAnsi="Garamond"/>
          <w:color w:val="000000"/>
          <w:sz w:val="22"/>
          <w:szCs w:val="22"/>
        </w:rPr>
        <w:t xml:space="preserve">In the </w:t>
      </w:r>
      <w:r w:rsidR="003A3F08">
        <w:rPr>
          <w:rFonts w:ascii="Garamond" w:hAnsi="Garamond"/>
          <w:color w:val="000000"/>
          <w:sz w:val="22"/>
          <w:szCs w:val="22"/>
        </w:rPr>
        <w:t>fourth</w:t>
      </w:r>
      <w:r w:rsidRPr="00EE5F0F">
        <w:rPr>
          <w:rFonts w:ascii="Garamond" w:hAnsi="Garamond"/>
          <w:color w:val="000000"/>
          <w:sz w:val="22"/>
          <w:szCs w:val="22"/>
        </w:rPr>
        <w:t xml:space="preserve"> quarter of 2018, budget revenues </w:t>
      </w:r>
      <w:r w:rsidR="00F74134">
        <w:rPr>
          <w:rFonts w:ascii="Garamond" w:hAnsi="Garamond"/>
          <w:color w:val="000000"/>
          <w:sz w:val="22"/>
          <w:szCs w:val="22"/>
        </w:rPr>
        <w:t>totaled 103</w:t>
      </w:r>
      <w:r w:rsidRPr="00EE5F0F">
        <w:rPr>
          <w:rFonts w:ascii="Garamond" w:hAnsi="Garamond"/>
          <w:color w:val="000000"/>
          <w:sz w:val="22"/>
          <w:szCs w:val="22"/>
        </w:rPr>
        <w:t xml:space="preserve">% </w:t>
      </w:r>
      <w:r w:rsidR="00501718">
        <w:rPr>
          <w:rFonts w:ascii="Garamond" w:hAnsi="Garamond"/>
          <w:color w:val="000000"/>
          <w:sz w:val="22"/>
          <w:szCs w:val="22"/>
        </w:rPr>
        <w:t xml:space="preserve">and tax revenues, </w:t>
      </w:r>
      <w:r w:rsidR="00F74134">
        <w:rPr>
          <w:rFonts w:ascii="Garamond" w:hAnsi="Garamond"/>
          <w:color w:val="000000"/>
          <w:sz w:val="22"/>
          <w:szCs w:val="22"/>
        </w:rPr>
        <w:t>102</w:t>
      </w:r>
      <w:r w:rsidRPr="00EE5F0F">
        <w:rPr>
          <w:rFonts w:ascii="Garamond" w:hAnsi="Garamond"/>
          <w:color w:val="000000"/>
          <w:sz w:val="22"/>
          <w:szCs w:val="22"/>
        </w:rPr>
        <w:t>%</w:t>
      </w:r>
      <w:r w:rsidR="00501718">
        <w:rPr>
          <w:rFonts w:ascii="Garamond" w:hAnsi="Garamond"/>
          <w:color w:val="000000"/>
          <w:sz w:val="22"/>
          <w:szCs w:val="22"/>
        </w:rPr>
        <w:t>,</w:t>
      </w:r>
      <w:r w:rsidRPr="00EE5F0F">
        <w:rPr>
          <w:rFonts w:ascii="Garamond" w:hAnsi="Garamond"/>
          <w:color w:val="000000"/>
          <w:sz w:val="22"/>
          <w:szCs w:val="22"/>
        </w:rPr>
        <w:t xml:space="preserve"> of the p</w:t>
      </w:r>
      <w:r w:rsidR="00501718">
        <w:rPr>
          <w:rFonts w:ascii="Garamond" w:hAnsi="Garamond"/>
          <w:color w:val="000000"/>
          <w:sz w:val="22"/>
          <w:szCs w:val="22"/>
        </w:rPr>
        <w:t xml:space="preserve">rojection. </w:t>
      </w:r>
      <w:r w:rsidR="00F74134">
        <w:rPr>
          <w:rFonts w:ascii="Garamond" w:hAnsi="Garamond"/>
          <w:color w:val="000000"/>
          <w:sz w:val="22"/>
          <w:szCs w:val="22"/>
        </w:rPr>
        <w:t>Apart from more revenue collection</w:t>
      </w:r>
      <w:r w:rsidR="00F74134" w:rsidRPr="00F74134">
        <w:rPr>
          <w:rFonts w:ascii="Garamond" w:hAnsi="Garamond"/>
          <w:color w:val="000000"/>
          <w:sz w:val="22"/>
          <w:szCs w:val="22"/>
        </w:rPr>
        <w:t xml:space="preserve">, </w:t>
      </w:r>
      <w:r w:rsidR="00F74134">
        <w:rPr>
          <w:rFonts w:ascii="Garamond" w:hAnsi="Garamond"/>
          <w:color w:val="000000"/>
          <w:sz w:val="22"/>
          <w:szCs w:val="22"/>
        </w:rPr>
        <w:t>t</w:t>
      </w:r>
      <w:r w:rsidR="00F74134" w:rsidRPr="00F74134">
        <w:rPr>
          <w:rFonts w:ascii="Garamond" w:hAnsi="Garamond"/>
          <w:color w:val="000000"/>
          <w:sz w:val="22"/>
          <w:szCs w:val="22"/>
        </w:rPr>
        <w:t>he</w:t>
      </w:r>
      <w:r w:rsidR="00F74134">
        <w:rPr>
          <w:rFonts w:ascii="Garamond" w:hAnsi="Garamond"/>
          <w:color w:val="000000"/>
          <w:sz w:val="22"/>
          <w:szCs w:val="22"/>
        </w:rPr>
        <w:t xml:space="preserve"> unified </w:t>
      </w:r>
      <w:r w:rsidR="00F74134" w:rsidRPr="00F74134">
        <w:rPr>
          <w:rFonts w:ascii="Garamond" w:hAnsi="Garamond"/>
          <w:color w:val="000000"/>
          <w:sz w:val="22"/>
          <w:szCs w:val="22"/>
        </w:rPr>
        <w:t xml:space="preserve">tax account </w:t>
      </w:r>
      <w:r w:rsidR="00F74134">
        <w:rPr>
          <w:rFonts w:ascii="Garamond" w:hAnsi="Garamond"/>
          <w:color w:val="000000"/>
          <w:sz w:val="22"/>
          <w:szCs w:val="22"/>
        </w:rPr>
        <w:t xml:space="preserve">has </w:t>
      </w:r>
      <w:r w:rsidR="00F74134" w:rsidRPr="00F74134">
        <w:rPr>
          <w:rFonts w:ascii="Garamond" w:hAnsi="Garamond"/>
          <w:color w:val="000000"/>
          <w:sz w:val="22"/>
          <w:szCs w:val="22"/>
        </w:rPr>
        <w:t xml:space="preserve">increased </w:t>
      </w:r>
      <w:r w:rsidR="00F74134">
        <w:rPr>
          <w:rFonts w:ascii="Garamond" w:hAnsi="Garamond"/>
          <w:color w:val="000000"/>
          <w:sz w:val="22"/>
          <w:szCs w:val="22"/>
        </w:rPr>
        <w:t xml:space="preserve">as well (growing by AMD </w:t>
      </w:r>
      <w:r w:rsidR="00F74134" w:rsidRPr="00F74134">
        <w:rPr>
          <w:rFonts w:ascii="Garamond" w:hAnsi="Garamond"/>
          <w:color w:val="000000"/>
          <w:sz w:val="22"/>
          <w:szCs w:val="22"/>
        </w:rPr>
        <w:t>16.2 billion</w:t>
      </w:r>
      <w:r w:rsidR="00F74134">
        <w:rPr>
          <w:rFonts w:ascii="Garamond" w:hAnsi="Garamond"/>
          <w:color w:val="000000"/>
          <w:sz w:val="22"/>
          <w:szCs w:val="22"/>
        </w:rPr>
        <w:t xml:space="preserve"> over the fourth quarter, it reached almost AMD </w:t>
      </w:r>
      <w:r w:rsidR="00F74134" w:rsidRPr="00F74134">
        <w:rPr>
          <w:rFonts w:ascii="Garamond" w:hAnsi="Garamond"/>
          <w:color w:val="000000"/>
          <w:sz w:val="22"/>
          <w:szCs w:val="22"/>
        </w:rPr>
        <w:t xml:space="preserve">48.0 billion </w:t>
      </w:r>
      <w:r w:rsidR="00AC5A09">
        <w:rPr>
          <w:rFonts w:ascii="Garamond" w:hAnsi="Garamond"/>
          <w:color w:val="000000"/>
          <w:sz w:val="22"/>
          <w:szCs w:val="22"/>
        </w:rPr>
        <w:t>at the end of the year</w:t>
      </w:r>
      <w:r w:rsidR="00F74134" w:rsidRPr="00F74134">
        <w:rPr>
          <w:rFonts w:ascii="Garamond" w:hAnsi="Garamond"/>
          <w:color w:val="000000"/>
          <w:sz w:val="22"/>
          <w:szCs w:val="22"/>
        </w:rPr>
        <w:t xml:space="preserve">), the </w:t>
      </w:r>
      <w:r w:rsidR="00AC5A09">
        <w:rPr>
          <w:rFonts w:ascii="Garamond" w:hAnsi="Garamond"/>
          <w:color w:val="000000"/>
          <w:sz w:val="22"/>
          <w:szCs w:val="22"/>
        </w:rPr>
        <w:t xml:space="preserve">impact of which has been considered </w:t>
      </w:r>
      <w:r w:rsidR="00F74134" w:rsidRPr="00F74134">
        <w:rPr>
          <w:rFonts w:ascii="Garamond" w:hAnsi="Garamond"/>
          <w:color w:val="000000"/>
          <w:sz w:val="22"/>
          <w:szCs w:val="22"/>
        </w:rPr>
        <w:t xml:space="preserve">in </w:t>
      </w:r>
      <w:r w:rsidR="00AC5A09">
        <w:rPr>
          <w:rFonts w:ascii="Garamond" w:hAnsi="Garamond"/>
          <w:color w:val="000000"/>
          <w:sz w:val="22"/>
          <w:szCs w:val="22"/>
        </w:rPr>
        <w:t xml:space="preserve">the </w:t>
      </w:r>
      <w:r w:rsidR="00F74134" w:rsidRPr="00F74134">
        <w:rPr>
          <w:rFonts w:ascii="Garamond" w:hAnsi="Garamond"/>
          <w:color w:val="000000"/>
          <w:sz w:val="22"/>
          <w:szCs w:val="22"/>
        </w:rPr>
        <w:t>revenue</w:t>
      </w:r>
      <w:r w:rsidR="00AC5A09">
        <w:rPr>
          <w:rFonts w:ascii="Garamond" w:hAnsi="Garamond"/>
          <w:color w:val="000000"/>
          <w:sz w:val="22"/>
          <w:szCs w:val="22"/>
        </w:rPr>
        <w:t xml:space="preserve"> impulse</w:t>
      </w:r>
      <w:r w:rsidR="00F74134" w:rsidRPr="00F74134">
        <w:rPr>
          <w:rFonts w:ascii="Garamond" w:hAnsi="Garamond"/>
          <w:color w:val="000000"/>
          <w:sz w:val="22"/>
          <w:szCs w:val="22"/>
        </w:rPr>
        <w:t>. As a result, the revenue i</w:t>
      </w:r>
      <w:r w:rsidR="00AC5A09">
        <w:rPr>
          <w:rFonts w:ascii="Garamond" w:hAnsi="Garamond"/>
          <w:color w:val="000000"/>
          <w:sz w:val="22"/>
          <w:szCs w:val="22"/>
        </w:rPr>
        <w:t>mpulse w</w:t>
      </w:r>
      <w:r w:rsidR="00F74134" w:rsidRPr="00F74134">
        <w:rPr>
          <w:rFonts w:ascii="Garamond" w:hAnsi="Garamond"/>
          <w:color w:val="000000"/>
          <w:sz w:val="22"/>
          <w:szCs w:val="22"/>
        </w:rPr>
        <w:t>as 3.1 p</w:t>
      </w:r>
      <w:r w:rsidR="00AC5A09">
        <w:rPr>
          <w:rFonts w:ascii="Garamond" w:hAnsi="Garamond"/>
          <w:color w:val="000000"/>
          <w:sz w:val="22"/>
          <w:szCs w:val="22"/>
        </w:rPr>
        <w:t>p contractionary</w:t>
      </w:r>
      <w:r w:rsidR="00F74134" w:rsidRPr="00F74134">
        <w:rPr>
          <w:rFonts w:ascii="Garamond" w:hAnsi="Garamond"/>
          <w:color w:val="000000"/>
          <w:sz w:val="22"/>
          <w:szCs w:val="22"/>
        </w:rPr>
        <w:t xml:space="preserve">, instead of </w:t>
      </w:r>
      <w:r w:rsidR="00AC5A09">
        <w:rPr>
          <w:rFonts w:ascii="Garamond" w:hAnsi="Garamond"/>
          <w:color w:val="000000"/>
          <w:sz w:val="22"/>
          <w:szCs w:val="22"/>
        </w:rPr>
        <w:t xml:space="preserve">predicted </w:t>
      </w:r>
      <w:r w:rsidR="00F74134" w:rsidRPr="00F74134">
        <w:rPr>
          <w:rFonts w:ascii="Garamond" w:hAnsi="Garamond"/>
          <w:color w:val="000000"/>
          <w:sz w:val="22"/>
          <w:szCs w:val="22"/>
        </w:rPr>
        <w:t xml:space="preserve">1.2 </w:t>
      </w:r>
      <w:r w:rsidR="00AC5A09">
        <w:rPr>
          <w:rFonts w:ascii="Garamond" w:hAnsi="Garamond"/>
          <w:color w:val="000000"/>
          <w:sz w:val="22"/>
          <w:szCs w:val="22"/>
        </w:rPr>
        <w:t>pp contractionary</w:t>
      </w:r>
      <w:r w:rsidR="00F74134" w:rsidRPr="00F74134">
        <w:rPr>
          <w:rFonts w:ascii="Garamond" w:hAnsi="Garamond"/>
          <w:color w:val="000000"/>
          <w:sz w:val="22"/>
          <w:szCs w:val="22"/>
        </w:rPr>
        <w:t>.</w:t>
      </w:r>
      <w:r w:rsidR="00AC5A09">
        <w:rPr>
          <w:rFonts w:ascii="Garamond" w:hAnsi="Garamond"/>
          <w:color w:val="000000"/>
          <w:sz w:val="22"/>
          <w:szCs w:val="22"/>
        </w:rPr>
        <w:t xml:space="preserve"> </w:t>
      </w:r>
    </w:p>
    <w:p w14:paraId="1B105E1A" w14:textId="77777777" w:rsidR="00242EA6" w:rsidRPr="0022067B" w:rsidRDefault="00242EA6" w:rsidP="00242EA6">
      <w:pPr>
        <w:autoSpaceDE w:val="0"/>
        <w:autoSpaceDN w:val="0"/>
        <w:adjustRightInd w:val="0"/>
        <w:spacing w:after="120" w:line="360" w:lineRule="auto"/>
        <w:jc w:val="both"/>
        <w:rPr>
          <w:rFonts w:ascii="Garamond" w:hAnsi="Garamond"/>
          <w:color w:val="000000"/>
          <w:sz w:val="22"/>
          <w:szCs w:val="22"/>
        </w:rPr>
      </w:pPr>
      <w:r w:rsidRPr="00EE5F0F">
        <w:rPr>
          <w:rFonts w:ascii="Garamond" w:hAnsi="Garamond"/>
          <w:sz w:val="22"/>
          <w:szCs w:val="22"/>
        </w:rPr>
        <w:t xml:space="preserve">The state budget expenditures </w:t>
      </w:r>
      <w:r w:rsidR="00AC5A09">
        <w:rPr>
          <w:rFonts w:ascii="Garamond" w:hAnsi="Garamond"/>
          <w:sz w:val="22"/>
          <w:szCs w:val="22"/>
        </w:rPr>
        <w:t>amounted to</w:t>
      </w:r>
      <w:r w:rsidR="0022067B">
        <w:rPr>
          <w:rFonts w:ascii="Garamond" w:hAnsi="Garamond"/>
          <w:sz w:val="22"/>
          <w:szCs w:val="22"/>
        </w:rPr>
        <w:t xml:space="preserve"> </w:t>
      </w:r>
      <w:r w:rsidR="00AC5A09">
        <w:rPr>
          <w:rFonts w:ascii="Garamond" w:hAnsi="Garamond"/>
          <w:sz w:val="22"/>
          <w:szCs w:val="22"/>
        </w:rPr>
        <w:t>106</w:t>
      </w:r>
      <w:r w:rsidRPr="00EE5F0F">
        <w:rPr>
          <w:rFonts w:ascii="Garamond" w:hAnsi="Garamond"/>
          <w:sz w:val="22"/>
          <w:szCs w:val="22"/>
        </w:rPr>
        <w:t xml:space="preserve">% of the </w:t>
      </w:r>
      <w:r w:rsidR="00AC5A09">
        <w:rPr>
          <w:rFonts w:ascii="Garamond" w:hAnsi="Garamond"/>
          <w:sz w:val="22"/>
          <w:szCs w:val="22"/>
        </w:rPr>
        <w:t xml:space="preserve">Central Bank </w:t>
      </w:r>
      <w:r w:rsidRPr="00EE5F0F">
        <w:rPr>
          <w:rFonts w:ascii="Garamond" w:hAnsi="Garamond"/>
          <w:sz w:val="22"/>
          <w:szCs w:val="22"/>
        </w:rPr>
        <w:t>projection</w:t>
      </w:r>
      <w:r w:rsidR="00AC5A09">
        <w:rPr>
          <w:rFonts w:ascii="Garamond" w:hAnsi="Garamond"/>
          <w:sz w:val="22"/>
          <w:szCs w:val="22"/>
        </w:rPr>
        <w:t>, pushing t</w:t>
      </w:r>
      <w:r w:rsidR="00AC5A09" w:rsidRPr="00AC5A09">
        <w:rPr>
          <w:rFonts w:ascii="Garamond" w:hAnsi="Garamond"/>
          <w:sz w:val="22"/>
          <w:szCs w:val="22"/>
        </w:rPr>
        <w:t>he expen</w:t>
      </w:r>
      <w:r w:rsidR="00AC5A09">
        <w:rPr>
          <w:rFonts w:ascii="Garamond" w:hAnsi="Garamond"/>
          <w:sz w:val="22"/>
          <w:szCs w:val="22"/>
        </w:rPr>
        <w:t xml:space="preserve">ditures </w:t>
      </w:r>
      <w:r w:rsidR="00AC5A09" w:rsidRPr="00AC5A09">
        <w:rPr>
          <w:rFonts w:ascii="Garamond" w:hAnsi="Garamond"/>
          <w:sz w:val="22"/>
          <w:szCs w:val="22"/>
        </w:rPr>
        <w:t xml:space="preserve">impulse </w:t>
      </w:r>
      <w:r w:rsidR="008A514E">
        <w:rPr>
          <w:rFonts w:ascii="Garamond" w:hAnsi="Garamond"/>
          <w:sz w:val="22"/>
          <w:szCs w:val="22"/>
        </w:rPr>
        <w:t xml:space="preserve">to report </w:t>
      </w:r>
      <w:r w:rsidR="00AC5A09">
        <w:rPr>
          <w:rFonts w:ascii="Garamond" w:hAnsi="Garamond"/>
          <w:sz w:val="22"/>
          <w:szCs w:val="22"/>
        </w:rPr>
        <w:t xml:space="preserve">a slightly expansionary impact instead of anticipated </w:t>
      </w:r>
      <w:r w:rsidR="00E24346">
        <w:rPr>
          <w:rFonts w:ascii="Garamond" w:hAnsi="Garamond"/>
          <w:sz w:val="22"/>
          <w:szCs w:val="22"/>
        </w:rPr>
        <w:t xml:space="preserve">contractionary. </w:t>
      </w:r>
      <w:r w:rsidRPr="00EE5F0F">
        <w:rPr>
          <w:rFonts w:ascii="Garamond" w:hAnsi="Garamond"/>
          <w:color w:val="000000"/>
          <w:sz w:val="22"/>
          <w:szCs w:val="22"/>
        </w:rPr>
        <w:t xml:space="preserve">In the expenditures structure </w:t>
      </w:r>
      <w:r w:rsidR="005708C3">
        <w:rPr>
          <w:rFonts w:ascii="Garamond" w:hAnsi="Garamond"/>
          <w:color w:val="000000"/>
          <w:sz w:val="22"/>
          <w:szCs w:val="22"/>
        </w:rPr>
        <w:t xml:space="preserve">of the budget </w:t>
      </w:r>
      <w:r w:rsidRPr="00EE5F0F">
        <w:rPr>
          <w:rFonts w:ascii="Garamond" w:hAnsi="Garamond"/>
          <w:color w:val="000000"/>
          <w:sz w:val="22"/>
          <w:szCs w:val="22"/>
        </w:rPr>
        <w:t xml:space="preserve">in the </w:t>
      </w:r>
      <w:r w:rsidR="00E24346">
        <w:rPr>
          <w:rFonts w:ascii="Garamond" w:hAnsi="Garamond"/>
          <w:color w:val="000000"/>
          <w:sz w:val="22"/>
          <w:szCs w:val="22"/>
        </w:rPr>
        <w:t>fourth</w:t>
      </w:r>
      <w:r w:rsidRPr="00EE5F0F">
        <w:rPr>
          <w:rFonts w:ascii="Garamond" w:hAnsi="Garamond"/>
          <w:sz w:val="22"/>
          <w:szCs w:val="22"/>
        </w:rPr>
        <w:t xml:space="preserve"> quarter of 2018, </w:t>
      </w:r>
      <w:r w:rsidRPr="00EE5F0F">
        <w:rPr>
          <w:rFonts w:ascii="Garamond" w:hAnsi="Garamond"/>
          <w:b/>
          <w:sz w:val="22"/>
          <w:szCs w:val="22"/>
        </w:rPr>
        <w:t>government consumption</w:t>
      </w:r>
      <w:r w:rsidRPr="00EE5F0F">
        <w:rPr>
          <w:rFonts w:ascii="Garamond" w:hAnsi="Garamond"/>
          <w:sz w:val="22"/>
          <w:szCs w:val="22"/>
        </w:rPr>
        <w:t xml:space="preserve"> was below the predicted figure by </w:t>
      </w:r>
      <w:r w:rsidR="00E24346">
        <w:rPr>
          <w:rFonts w:ascii="Garamond" w:hAnsi="Garamond"/>
          <w:sz w:val="22"/>
          <w:szCs w:val="22"/>
        </w:rPr>
        <w:t>nearly 8</w:t>
      </w:r>
      <w:r w:rsidRPr="00EE5F0F">
        <w:rPr>
          <w:rFonts w:ascii="Garamond" w:hAnsi="Garamond"/>
          <w:sz w:val="22"/>
          <w:szCs w:val="22"/>
        </w:rPr>
        <w:t>%</w:t>
      </w:r>
      <w:r w:rsidR="003D59B0">
        <w:rPr>
          <w:rFonts w:ascii="Garamond" w:hAnsi="Garamond"/>
          <w:sz w:val="22"/>
          <w:szCs w:val="22"/>
        </w:rPr>
        <w:t xml:space="preserve">. The </w:t>
      </w:r>
      <w:r w:rsidRPr="00EE5F0F">
        <w:rPr>
          <w:rFonts w:ascii="Garamond" w:hAnsi="Garamond"/>
          <w:sz w:val="22"/>
          <w:szCs w:val="22"/>
        </w:rPr>
        <w:t xml:space="preserve">expenditures on item </w:t>
      </w:r>
      <w:r w:rsidRPr="00EE5F0F">
        <w:rPr>
          <w:rFonts w:ascii="Garamond" w:hAnsi="Garamond"/>
          <w:b/>
          <w:sz w:val="22"/>
          <w:szCs w:val="22"/>
        </w:rPr>
        <w:t>“Transactions with non-financial assets”</w:t>
      </w:r>
      <w:r w:rsidRPr="00EE5F0F">
        <w:rPr>
          <w:rFonts w:ascii="Garamond" w:hAnsi="Garamond"/>
          <w:sz w:val="22"/>
          <w:szCs w:val="22"/>
        </w:rPr>
        <w:t xml:space="preserve"> </w:t>
      </w:r>
      <w:r w:rsidR="00E24346">
        <w:rPr>
          <w:rFonts w:ascii="Garamond" w:hAnsi="Garamond"/>
          <w:sz w:val="22"/>
          <w:szCs w:val="22"/>
        </w:rPr>
        <w:t>were 48</w:t>
      </w:r>
      <w:r w:rsidR="003D59B0">
        <w:rPr>
          <w:rFonts w:ascii="Garamond" w:hAnsi="Garamond"/>
          <w:sz w:val="22"/>
          <w:szCs w:val="22"/>
        </w:rPr>
        <w:t xml:space="preserve">% </w:t>
      </w:r>
      <w:r w:rsidR="00E24346">
        <w:rPr>
          <w:rFonts w:ascii="Garamond" w:hAnsi="Garamond"/>
          <w:sz w:val="22"/>
          <w:szCs w:val="22"/>
        </w:rPr>
        <w:t xml:space="preserve">more </w:t>
      </w:r>
      <w:r w:rsidR="00E24346">
        <w:rPr>
          <w:rFonts w:ascii="Garamond" w:hAnsi="Garamond"/>
          <w:sz w:val="22"/>
          <w:szCs w:val="22"/>
        </w:rPr>
        <w:lastRenderedPageBreak/>
        <w:t>than t</w:t>
      </w:r>
      <w:r w:rsidR="003D59B0">
        <w:rPr>
          <w:rFonts w:ascii="Garamond" w:hAnsi="Garamond"/>
          <w:sz w:val="22"/>
          <w:szCs w:val="22"/>
        </w:rPr>
        <w:t>he</w:t>
      </w:r>
      <w:r w:rsidRPr="00EE5F0F">
        <w:rPr>
          <w:rFonts w:ascii="Garamond" w:hAnsi="Garamond"/>
          <w:sz w:val="22"/>
          <w:szCs w:val="22"/>
        </w:rPr>
        <w:t xml:space="preserve"> project</w:t>
      </w:r>
      <w:r w:rsidR="00E24346">
        <w:rPr>
          <w:rFonts w:ascii="Garamond" w:hAnsi="Garamond"/>
          <w:sz w:val="22"/>
          <w:szCs w:val="22"/>
        </w:rPr>
        <w:t>ion</w:t>
      </w:r>
      <w:r w:rsidR="003D59B0">
        <w:rPr>
          <w:rFonts w:ascii="Garamond" w:hAnsi="Garamond"/>
          <w:sz w:val="22"/>
          <w:szCs w:val="22"/>
        </w:rPr>
        <w:t xml:space="preserve">, which is explained by </w:t>
      </w:r>
      <w:r w:rsidR="00E24346">
        <w:rPr>
          <w:rFonts w:ascii="Garamond" w:hAnsi="Garamond"/>
          <w:sz w:val="22"/>
          <w:szCs w:val="22"/>
        </w:rPr>
        <w:t>higher p</w:t>
      </w:r>
      <w:r w:rsidR="003D59B0" w:rsidRPr="003D59B0">
        <w:rPr>
          <w:rFonts w:ascii="Garamond" w:hAnsi="Garamond"/>
          <w:sz w:val="22"/>
          <w:szCs w:val="22"/>
        </w:rPr>
        <w:t xml:space="preserve">erformance of </w:t>
      </w:r>
      <w:r w:rsidR="003D59B0">
        <w:rPr>
          <w:rFonts w:ascii="Garamond" w:hAnsi="Garamond"/>
          <w:sz w:val="22"/>
          <w:szCs w:val="22"/>
        </w:rPr>
        <w:t xml:space="preserve">the programs implemented </w:t>
      </w:r>
      <w:r w:rsidR="005708C3">
        <w:rPr>
          <w:rFonts w:ascii="Garamond" w:hAnsi="Garamond"/>
          <w:sz w:val="22"/>
          <w:szCs w:val="22"/>
        </w:rPr>
        <w:t>under foreign assistance</w:t>
      </w:r>
      <w:r w:rsidR="003D59B0">
        <w:rPr>
          <w:rFonts w:ascii="Garamond" w:hAnsi="Garamond"/>
          <w:sz w:val="22"/>
          <w:szCs w:val="22"/>
        </w:rPr>
        <w:t>.</w:t>
      </w:r>
      <w:r w:rsidRPr="00EE5F0F">
        <w:rPr>
          <w:rFonts w:ascii="Garamond" w:hAnsi="Garamond"/>
          <w:sz w:val="22"/>
          <w:szCs w:val="22"/>
        </w:rPr>
        <w:t xml:space="preserve"> For the quarter, </w:t>
      </w:r>
      <w:r w:rsidR="000E283C">
        <w:rPr>
          <w:rFonts w:ascii="Garamond" w:hAnsi="Garamond"/>
          <w:sz w:val="22"/>
          <w:szCs w:val="22"/>
        </w:rPr>
        <w:t>the expenditures impulse was 0</w:t>
      </w:r>
      <w:r w:rsidR="001A3C0A">
        <w:rPr>
          <w:rFonts w:ascii="Garamond" w:hAnsi="Garamond"/>
          <w:sz w:val="22"/>
          <w:szCs w:val="22"/>
        </w:rPr>
        <w:t>.</w:t>
      </w:r>
      <w:r w:rsidR="000E283C">
        <w:rPr>
          <w:rFonts w:ascii="Garamond" w:hAnsi="Garamond"/>
          <w:sz w:val="22"/>
          <w:szCs w:val="22"/>
        </w:rPr>
        <w:t>3</w:t>
      </w:r>
      <w:r w:rsidRPr="00EE5F0F">
        <w:rPr>
          <w:rFonts w:ascii="Garamond" w:hAnsi="Garamond"/>
          <w:sz w:val="22"/>
          <w:szCs w:val="22"/>
        </w:rPr>
        <w:t xml:space="preserve"> pp </w:t>
      </w:r>
      <w:r w:rsidR="000E283C">
        <w:rPr>
          <w:rFonts w:ascii="Garamond" w:hAnsi="Garamond"/>
          <w:sz w:val="22"/>
          <w:szCs w:val="22"/>
        </w:rPr>
        <w:t>expansionary</w:t>
      </w:r>
      <w:r w:rsidRPr="00EE5F0F">
        <w:rPr>
          <w:rFonts w:ascii="Garamond" w:hAnsi="Garamond"/>
          <w:sz w:val="22"/>
          <w:szCs w:val="22"/>
        </w:rPr>
        <w:t xml:space="preserve"> instead of the forecast </w:t>
      </w:r>
      <w:r w:rsidR="000E283C">
        <w:rPr>
          <w:rFonts w:ascii="Garamond" w:hAnsi="Garamond"/>
          <w:sz w:val="22"/>
          <w:szCs w:val="22"/>
        </w:rPr>
        <w:t>2</w:t>
      </w:r>
      <w:r w:rsidRPr="00EE5F0F">
        <w:rPr>
          <w:rFonts w:ascii="Garamond" w:hAnsi="Garamond"/>
          <w:sz w:val="22"/>
          <w:szCs w:val="22"/>
        </w:rPr>
        <w:t>.</w:t>
      </w:r>
      <w:r w:rsidR="000E283C">
        <w:rPr>
          <w:rFonts w:ascii="Garamond" w:hAnsi="Garamond"/>
          <w:sz w:val="22"/>
          <w:szCs w:val="22"/>
        </w:rPr>
        <w:t>1</w:t>
      </w:r>
      <w:r w:rsidRPr="00EE5F0F">
        <w:rPr>
          <w:rFonts w:ascii="Garamond" w:hAnsi="Garamond"/>
          <w:sz w:val="22"/>
          <w:szCs w:val="22"/>
        </w:rPr>
        <w:t xml:space="preserve"> pp </w:t>
      </w:r>
      <w:r w:rsidR="005708C3">
        <w:rPr>
          <w:rFonts w:ascii="Garamond" w:hAnsi="Garamond"/>
          <w:sz w:val="22"/>
          <w:szCs w:val="22"/>
        </w:rPr>
        <w:t>contractionary.</w:t>
      </w:r>
      <w:r w:rsidRPr="00EE5F0F">
        <w:rPr>
          <w:rFonts w:ascii="Garamond" w:hAnsi="Garamond"/>
          <w:sz w:val="22"/>
          <w:szCs w:val="22"/>
        </w:rPr>
        <w:t xml:space="preserve"> </w:t>
      </w:r>
    </w:p>
    <w:p w14:paraId="5DF6DDCA" w14:textId="77777777" w:rsidR="006A3AB4" w:rsidRDefault="00242EA6" w:rsidP="00242EA6">
      <w:pPr>
        <w:autoSpaceDE w:val="0"/>
        <w:autoSpaceDN w:val="0"/>
        <w:adjustRightInd w:val="0"/>
        <w:spacing w:after="120" w:line="360" w:lineRule="auto"/>
        <w:jc w:val="both"/>
        <w:rPr>
          <w:rFonts w:ascii="Garamond" w:hAnsi="Garamond"/>
          <w:bCs/>
          <w:iCs/>
          <w:color w:val="000000"/>
          <w:sz w:val="22"/>
          <w:szCs w:val="22"/>
        </w:rPr>
      </w:pPr>
      <w:r w:rsidRPr="00EE5F0F">
        <w:rPr>
          <w:rFonts w:ascii="Garamond" w:hAnsi="Garamond"/>
          <w:sz w:val="22"/>
          <w:szCs w:val="22"/>
        </w:rPr>
        <w:t xml:space="preserve">With </w:t>
      </w:r>
      <w:r w:rsidRPr="00EE5F0F">
        <w:rPr>
          <w:rFonts w:ascii="Garamond" w:hAnsi="Garamond"/>
          <w:bCs/>
          <w:iCs/>
          <w:color w:val="000000"/>
          <w:sz w:val="22"/>
          <w:szCs w:val="22"/>
        </w:rPr>
        <w:t xml:space="preserve">revenues and expenditures performance described above, the state budget generated a </w:t>
      </w:r>
      <w:r w:rsidR="00916F0F">
        <w:rPr>
          <w:rFonts w:ascii="Garamond" w:hAnsi="Garamond"/>
          <w:bCs/>
          <w:iCs/>
          <w:color w:val="000000"/>
          <w:sz w:val="22"/>
          <w:szCs w:val="22"/>
        </w:rPr>
        <w:t>deficit</w:t>
      </w:r>
      <w:r w:rsidR="007059B1">
        <w:rPr>
          <w:rFonts w:ascii="Garamond" w:hAnsi="Garamond"/>
          <w:bCs/>
          <w:iCs/>
          <w:color w:val="000000"/>
          <w:sz w:val="22"/>
          <w:szCs w:val="22"/>
        </w:rPr>
        <w:t xml:space="preserve"> </w:t>
      </w:r>
      <w:r w:rsidRPr="00EE5F0F">
        <w:rPr>
          <w:rFonts w:ascii="Garamond" w:hAnsi="Garamond"/>
          <w:bCs/>
          <w:iCs/>
          <w:color w:val="000000"/>
          <w:sz w:val="22"/>
          <w:szCs w:val="22"/>
        </w:rPr>
        <w:t xml:space="preserve">of </w:t>
      </w:r>
      <w:r w:rsidR="00D87037">
        <w:rPr>
          <w:rFonts w:ascii="Garamond" w:hAnsi="Garamond"/>
          <w:bCs/>
          <w:iCs/>
          <w:color w:val="000000"/>
          <w:sz w:val="22"/>
          <w:szCs w:val="22"/>
        </w:rPr>
        <w:t>roughly A</w:t>
      </w:r>
      <w:r w:rsidRPr="00EE5F0F">
        <w:rPr>
          <w:rFonts w:ascii="Garamond" w:hAnsi="Garamond"/>
          <w:bCs/>
          <w:iCs/>
          <w:color w:val="000000"/>
          <w:sz w:val="22"/>
          <w:szCs w:val="22"/>
        </w:rPr>
        <w:t xml:space="preserve">MD </w:t>
      </w:r>
      <w:r w:rsidR="000E283C">
        <w:rPr>
          <w:rFonts w:ascii="Garamond" w:hAnsi="Garamond"/>
          <w:bCs/>
          <w:iCs/>
          <w:color w:val="000000"/>
          <w:sz w:val="22"/>
          <w:szCs w:val="22"/>
        </w:rPr>
        <w:t>87</w:t>
      </w:r>
      <w:r w:rsidR="00916F0F">
        <w:rPr>
          <w:rFonts w:ascii="Garamond" w:hAnsi="Garamond"/>
          <w:bCs/>
          <w:iCs/>
          <w:color w:val="000000"/>
          <w:sz w:val="22"/>
          <w:szCs w:val="22"/>
        </w:rPr>
        <w:t>.0</w:t>
      </w:r>
      <w:r w:rsidRPr="00EE5F0F">
        <w:rPr>
          <w:rFonts w:ascii="Garamond" w:hAnsi="Garamond"/>
          <w:bCs/>
          <w:iCs/>
          <w:color w:val="000000"/>
          <w:sz w:val="22"/>
          <w:szCs w:val="22"/>
        </w:rPr>
        <w:t xml:space="preserve"> billion in the </w:t>
      </w:r>
      <w:r w:rsidR="000E283C">
        <w:rPr>
          <w:rFonts w:ascii="Garamond" w:hAnsi="Garamond"/>
          <w:bCs/>
          <w:iCs/>
          <w:color w:val="000000"/>
          <w:sz w:val="22"/>
          <w:szCs w:val="22"/>
        </w:rPr>
        <w:t>fourth</w:t>
      </w:r>
      <w:r w:rsidRPr="00EE5F0F">
        <w:rPr>
          <w:rFonts w:ascii="Garamond" w:hAnsi="Garamond"/>
          <w:bCs/>
          <w:iCs/>
          <w:color w:val="000000"/>
          <w:sz w:val="22"/>
          <w:szCs w:val="22"/>
        </w:rPr>
        <w:t xml:space="preserve"> quarter of 2018</w:t>
      </w:r>
      <w:r w:rsidR="00AC5C9B">
        <w:rPr>
          <w:rFonts w:ascii="Garamond" w:hAnsi="Garamond"/>
          <w:bCs/>
          <w:iCs/>
          <w:color w:val="000000"/>
          <w:sz w:val="22"/>
          <w:szCs w:val="22"/>
        </w:rPr>
        <w:t xml:space="preserve">, instead of AMD </w:t>
      </w:r>
      <w:r w:rsidR="000E283C">
        <w:rPr>
          <w:rFonts w:ascii="Garamond" w:hAnsi="Garamond"/>
          <w:bCs/>
          <w:iCs/>
          <w:color w:val="000000"/>
          <w:sz w:val="22"/>
          <w:szCs w:val="22"/>
        </w:rPr>
        <w:t>58</w:t>
      </w:r>
      <w:r w:rsidR="00AC5C9B" w:rsidRPr="00AC5C9B">
        <w:rPr>
          <w:rFonts w:ascii="Garamond" w:hAnsi="Garamond"/>
          <w:bCs/>
          <w:iCs/>
          <w:color w:val="000000"/>
          <w:sz w:val="22"/>
          <w:szCs w:val="22"/>
        </w:rPr>
        <w:t>.</w:t>
      </w:r>
      <w:r w:rsidR="000E283C">
        <w:rPr>
          <w:rFonts w:ascii="Garamond" w:hAnsi="Garamond"/>
          <w:bCs/>
          <w:iCs/>
          <w:color w:val="000000"/>
          <w:sz w:val="22"/>
          <w:szCs w:val="22"/>
        </w:rPr>
        <w:t>0</w:t>
      </w:r>
      <w:r w:rsidR="00AC5C9B" w:rsidRPr="00AC5C9B">
        <w:rPr>
          <w:rFonts w:ascii="Garamond" w:hAnsi="Garamond"/>
          <w:bCs/>
          <w:iCs/>
          <w:color w:val="000000"/>
          <w:sz w:val="22"/>
          <w:szCs w:val="22"/>
        </w:rPr>
        <w:t xml:space="preserve"> billion </w:t>
      </w:r>
      <w:r w:rsidR="000E283C">
        <w:rPr>
          <w:rFonts w:ascii="Garamond" w:hAnsi="Garamond"/>
          <w:bCs/>
          <w:iCs/>
          <w:color w:val="000000"/>
          <w:sz w:val="22"/>
          <w:szCs w:val="22"/>
        </w:rPr>
        <w:t>estimated by the Central Bank</w:t>
      </w:r>
      <w:r w:rsidR="00AC5C9B" w:rsidRPr="00AC5C9B">
        <w:rPr>
          <w:rFonts w:ascii="Garamond" w:hAnsi="Garamond"/>
          <w:bCs/>
          <w:iCs/>
          <w:color w:val="000000"/>
          <w:sz w:val="22"/>
          <w:szCs w:val="22"/>
        </w:rPr>
        <w:t xml:space="preserve">. </w:t>
      </w:r>
    </w:p>
    <w:p w14:paraId="62A7801F" w14:textId="77777777" w:rsidR="006A3AB4" w:rsidRPr="00E43FE8" w:rsidRDefault="003D237E" w:rsidP="006A3AB4">
      <w:pPr>
        <w:autoSpaceDE w:val="0"/>
        <w:autoSpaceDN w:val="0"/>
        <w:adjustRightInd w:val="0"/>
        <w:spacing w:after="120" w:line="360" w:lineRule="auto"/>
        <w:jc w:val="both"/>
        <w:rPr>
          <w:rFonts w:ascii="Garamond" w:hAnsi="Garamond"/>
          <w:sz w:val="22"/>
          <w:szCs w:val="22"/>
        </w:rPr>
      </w:pPr>
      <w:r w:rsidRPr="003D237E">
        <w:rPr>
          <w:rFonts w:ascii="Garamond" w:hAnsi="Garamond"/>
          <w:iCs/>
          <w:sz w:val="22"/>
          <w:szCs w:val="22"/>
        </w:rPr>
        <w:t xml:space="preserve">In 2018, </w:t>
      </w:r>
      <w:r>
        <w:rPr>
          <w:rFonts w:ascii="Garamond" w:hAnsi="Garamond"/>
          <w:iCs/>
          <w:sz w:val="22"/>
          <w:szCs w:val="22"/>
        </w:rPr>
        <w:t xml:space="preserve">relative to the previous year, </w:t>
      </w:r>
      <w:r w:rsidRPr="003D237E">
        <w:rPr>
          <w:rFonts w:ascii="Garamond" w:hAnsi="Garamond"/>
          <w:iCs/>
          <w:sz w:val="22"/>
          <w:szCs w:val="22"/>
        </w:rPr>
        <w:t>the tax</w:t>
      </w:r>
      <w:r>
        <w:rPr>
          <w:rFonts w:ascii="Garamond" w:hAnsi="Garamond"/>
          <w:iCs/>
          <w:sz w:val="22"/>
          <w:szCs w:val="22"/>
        </w:rPr>
        <w:t>-to-</w:t>
      </w:r>
      <w:r w:rsidRPr="003D237E">
        <w:rPr>
          <w:rFonts w:ascii="Garamond" w:hAnsi="Garamond"/>
          <w:iCs/>
          <w:sz w:val="22"/>
          <w:szCs w:val="22"/>
        </w:rPr>
        <w:t xml:space="preserve">GDP </w:t>
      </w:r>
      <w:r>
        <w:rPr>
          <w:rFonts w:ascii="Garamond" w:hAnsi="Garamond"/>
          <w:iCs/>
          <w:sz w:val="22"/>
          <w:szCs w:val="22"/>
        </w:rPr>
        <w:t xml:space="preserve">ratio has </w:t>
      </w:r>
      <w:r w:rsidRPr="003D237E">
        <w:rPr>
          <w:rFonts w:ascii="Garamond" w:hAnsi="Garamond"/>
          <w:iCs/>
          <w:sz w:val="22"/>
          <w:szCs w:val="22"/>
        </w:rPr>
        <w:t>increased by 0.2 p</w:t>
      </w:r>
      <w:r>
        <w:rPr>
          <w:rFonts w:ascii="Garamond" w:hAnsi="Garamond"/>
          <w:iCs/>
          <w:sz w:val="22"/>
          <w:szCs w:val="22"/>
        </w:rPr>
        <w:t>p to 20.9%;</w:t>
      </w:r>
      <w:r w:rsidRPr="003D237E">
        <w:rPr>
          <w:rFonts w:ascii="Garamond" w:hAnsi="Garamond"/>
          <w:iCs/>
          <w:sz w:val="22"/>
          <w:szCs w:val="22"/>
        </w:rPr>
        <w:t xml:space="preserve"> </w:t>
      </w:r>
      <w:r>
        <w:rPr>
          <w:rFonts w:ascii="Garamond" w:hAnsi="Garamond"/>
          <w:iCs/>
          <w:sz w:val="22"/>
          <w:szCs w:val="22"/>
        </w:rPr>
        <w:t xml:space="preserve">the </w:t>
      </w:r>
      <w:r w:rsidRPr="003D237E">
        <w:rPr>
          <w:rFonts w:ascii="Garamond" w:hAnsi="Garamond"/>
          <w:iCs/>
          <w:sz w:val="22"/>
          <w:szCs w:val="22"/>
        </w:rPr>
        <w:t>deficit</w:t>
      </w:r>
      <w:r>
        <w:rPr>
          <w:rFonts w:ascii="Garamond" w:hAnsi="Garamond"/>
          <w:iCs/>
          <w:sz w:val="22"/>
          <w:szCs w:val="22"/>
        </w:rPr>
        <w:t xml:space="preserve">-to-GDP ratio has dropped by </w:t>
      </w:r>
      <w:r w:rsidRPr="003D237E">
        <w:rPr>
          <w:rFonts w:ascii="Garamond" w:hAnsi="Garamond"/>
          <w:iCs/>
          <w:sz w:val="22"/>
          <w:szCs w:val="22"/>
        </w:rPr>
        <w:t>3.1</w:t>
      </w:r>
      <w:r>
        <w:rPr>
          <w:rFonts w:ascii="Garamond" w:hAnsi="Garamond"/>
          <w:iCs/>
          <w:sz w:val="22"/>
          <w:szCs w:val="22"/>
        </w:rPr>
        <w:t xml:space="preserve"> pp to 1.7</w:t>
      </w:r>
      <w:r w:rsidRPr="003D237E">
        <w:rPr>
          <w:rFonts w:ascii="Garamond" w:hAnsi="Garamond"/>
          <w:iCs/>
          <w:sz w:val="22"/>
          <w:szCs w:val="22"/>
        </w:rPr>
        <w:t xml:space="preserve">%. </w:t>
      </w:r>
      <w:r w:rsidR="00A1216F">
        <w:rPr>
          <w:rFonts w:ascii="Garamond" w:hAnsi="Garamond"/>
          <w:iCs/>
          <w:sz w:val="22"/>
          <w:szCs w:val="22"/>
        </w:rPr>
        <w:t xml:space="preserve">In view of the annual results, the </w:t>
      </w:r>
      <w:r w:rsidRPr="003D237E">
        <w:rPr>
          <w:rFonts w:ascii="Garamond" w:hAnsi="Garamond"/>
          <w:iCs/>
          <w:sz w:val="22"/>
          <w:szCs w:val="22"/>
        </w:rPr>
        <w:t xml:space="preserve">fiscal policy </w:t>
      </w:r>
      <w:r w:rsidR="00A1216F">
        <w:rPr>
          <w:rFonts w:ascii="Garamond" w:hAnsi="Garamond"/>
          <w:iCs/>
          <w:sz w:val="22"/>
          <w:szCs w:val="22"/>
        </w:rPr>
        <w:t xml:space="preserve">has </w:t>
      </w:r>
      <w:r w:rsidRPr="003D237E">
        <w:rPr>
          <w:rFonts w:ascii="Garamond" w:hAnsi="Garamond"/>
          <w:iCs/>
          <w:sz w:val="22"/>
          <w:szCs w:val="22"/>
        </w:rPr>
        <w:t xml:space="preserve">had a 2.9 </w:t>
      </w:r>
      <w:r w:rsidR="00A1216F">
        <w:rPr>
          <w:rFonts w:ascii="Garamond" w:hAnsi="Garamond"/>
          <w:iCs/>
          <w:sz w:val="22"/>
          <w:szCs w:val="22"/>
        </w:rPr>
        <w:t xml:space="preserve">contractionary impact </w:t>
      </w:r>
      <w:r w:rsidRPr="003D237E">
        <w:rPr>
          <w:rFonts w:ascii="Garamond" w:hAnsi="Garamond"/>
          <w:iCs/>
          <w:sz w:val="22"/>
          <w:szCs w:val="22"/>
        </w:rPr>
        <w:t>due to both revenues and expenditure</w:t>
      </w:r>
      <w:r w:rsidR="00A1216F">
        <w:rPr>
          <w:rFonts w:ascii="Garamond" w:hAnsi="Garamond"/>
          <w:iCs/>
          <w:sz w:val="22"/>
          <w:szCs w:val="22"/>
        </w:rPr>
        <w:t>s impulses</w:t>
      </w:r>
      <w:r w:rsidRPr="003D237E">
        <w:rPr>
          <w:rFonts w:ascii="Garamond" w:hAnsi="Garamond"/>
          <w:iCs/>
          <w:sz w:val="22"/>
          <w:szCs w:val="22"/>
        </w:rPr>
        <w:t>.</w:t>
      </w:r>
    </w:p>
    <w:p w14:paraId="4EEB1B20" w14:textId="77777777" w:rsidR="006A3AB4" w:rsidRPr="00EE5F0F" w:rsidRDefault="006A3AB4" w:rsidP="00242EA6">
      <w:pPr>
        <w:autoSpaceDE w:val="0"/>
        <w:autoSpaceDN w:val="0"/>
        <w:adjustRightInd w:val="0"/>
        <w:spacing w:after="120" w:line="360" w:lineRule="auto"/>
        <w:jc w:val="both"/>
        <w:rPr>
          <w:rFonts w:ascii="Garamond" w:hAnsi="Garamond"/>
          <w:b/>
          <w:bCs/>
          <w:iCs/>
          <w:color w:val="0070C0"/>
          <w:sz w:val="22"/>
          <w:szCs w:val="22"/>
        </w:rPr>
      </w:pPr>
    </w:p>
    <w:p w14:paraId="2C7C69C0"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bCs/>
          <w:iCs/>
          <w:color w:val="0070C0"/>
          <w:sz w:val="22"/>
          <w:szCs w:val="22"/>
        </w:rPr>
        <w:t xml:space="preserve">3.2.3. The production </w:t>
      </w:r>
      <w:r w:rsidRPr="00EE5F0F">
        <w:rPr>
          <w:rFonts w:ascii="Garamond" w:hAnsi="Garamond"/>
          <w:b/>
          <w:color w:val="0070C0"/>
          <w:sz w:val="22"/>
          <w:szCs w:val="22"/>
        </w:rPr>
        <w:t>aspect of the economy</w:t>
      </w:r>
    </w:p>
    <w:p w14:paraId="3BF1BD65" w14:textId="1C514FA1" w:rsidR="00080015" w:rsidRDefault="00080015"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080015">
        <w:rPr>
          <w:rFonts w:ascii="Garamond" w:hAnsi="Garamond"/>
          <w:sz w:val="22"/>
          <w:szCs w:val="22"/>
        </w:rPr>
        <w:t xml:space="preserve">he economic growth </w:t>
      </w:r>
      <w:r>
        <w:rPr>
          <w:rFonts w:ascii="Garamond" w:hAnsi="Garamond"/>
          <w:sz w:val="22"/>
          <w:szCs w:val="22"/>
        </w:rPr>
        <w:t>i</w:t>
      </w:r>
      <w:r w:rsidRPr="00080015">
        <w:rPr>
          <w:rFonts w:ascii="Garamond" w:hAnsi="Garamond"/>
          <w:sz w:val="22"/>
          <w:szCs w:val="22"/>
        </w:rPr>
        <w:t>n the fourth quarter of 2018</w:t>
      </w:r>
      <w:r>
        <w:rPr>
          <w:rFonts w:ascii="Garamond" w:hAnsi="Garamond"/>
          <w:sz w:val="22"/>
          <w:szCs w:val="22"/>
        </w:rPr>
        <w:t xml:space="preserve"> amounted to 3.4%</w:t>
      </w:r>
      <w:r w:rsidRPr="00080015">
        <w:rPr>
          <w:rFonts w:ascii="Garamond" w:hAnsi="Garamond"/>
          <w:sz w:val="22"/>
          <w:szCs w:val="22"/>
        </w:rPr>
        <w:t xml:space="preserve">, higher than forecast </w:t>
      </w:r>
      <w:r>
        <w:rPr>
          <w:rFonts w:ascii="Garamond" w:hAnsi="Garamond"/>
          <w:sz w:val="22"/>
          <w:szCs w:val="22"/>
        </w:rPr>
        <w:t xml:space="preserve">by </w:t>
      </w:r>
      <w:r w:rsidRPr="00080015">
        <w:rPr>
          <w:rFonts w:ascii="Garamond" w:hAnsi="Garamond"/>
          <w:sz w:val="22"/>
          <w:szCs w:val="22"/>
        </w:rPr>
        <w:t>the Central Bank. The deviation was m</w:t>
      </w:r>
      <w:r>
        <w:rPr>
          <w:rFonts w:ascii="Garamond" w:hAnsi="Garamond"/>
          <w:sz w:val="22"/>
          <w:szCs w:val="22"/>
        </w:rPr>
        <w:t>ostly attributable to the services</w:t>
      </w:r>
      <w:r w:rsidR="008A514E">
        <w:rPr>
          <w:rFonts w:ascii="Garamond" w:hAnsi="Garamond"/>
          <w:sz w:val="22"/>
          <w:szCs w:val="22"/>
        </w:rPr>
        <w:t xml:space="preserve"> – with </w:t>
      </w:r>
      <w:r w:rsidR="00754FF8">
        <w:rPr>
          <w:rFonts w:ascii="Garamond" w:hAnsi="Garamond"/>
          <w:sz w:val="22"/>
          <w:szCs w:val="22"/>
        </w:rPr>
        <w:t xml:space="preserve">more </w:t>
      </w:r>
      <w:r w:rsidRPr="00080015">
        <w:rPr>
          <w:rFonts w:ascii="Garamond" w:hAnsi="Garamond"/>
          <w:sz w:val="22"/>
          <w:szCs w:val="22"/>
        </w:rPr>
        <w:t xml:space="preserve">positive </w:t>
      </w:r>
      <w:r w:rsidR="00754FF8">
        <w:rPr>
          <w:rFonts w:ascii="Garamond" w:hAnsi="Garamond"/>
          <w:sz w:val="22"/>
          <w:szCs w:val="22"/>
        </w:rPr>
        <w:t xml:space="preserve">developments than anticipated. The sector reported as much as </w:t>
      </w:r>
      <w:r w:rsidRPr="00080015">
        <w:rPr>
          <w:rFonts w:ascii="Garamond" w:hAnsi="Garamond"/>
          <w:sz w:val="22"/>
          <w:szCs w:val="22"/>
        </w:rPr>
        <w:t>10.7%</w:t>
      </w:r>
      <w:r w:rsidR="00754FF8">
        <w:rPr>
          <w:rFonts w:ascii="Garamond" w:hAnsi="Garamond"/>
          <w:sz w:val="22"/>
          <w:szCs w:val="22"/>
        </w:rPr>
        <w:t xml:space="preserve"> growth in the fourth quarter of 2018</w:t>
      </w:r>
      <w:r w:rsidRPr="00080015">
        <w:rPr>
          <w:rFonts w:ascii="Garamond" w:hAnsi="Garamond"/>
          <w:sz w:val="22"/>
          <w:szCs w:val="22"/>
        </w:rPr>
        <w:t xml:space="preserve">, </w:t>
      </w:r>
      <w:r w:rsidR="00754FF8">
        <w:rPr>
          <w:rFonts w:ascii="Garamond" w:hAnsi="Garamond"/>
          <w:sz w:val="22"/>
          <w:szCs w:val="22"/>
        </w:rPr>
        <w:t xml:space="preserve">driven by strong lending and </w:t>
      </w:r>
      <w:r w:rsidR="00997A5C">
        <w:rPr>
          <w:rFonts w:ascii="Garamond" w:hAnsi="Garamond"/>
          <w:sz w:val="22"/>
          <w:szCs w:val="22"/>
        </w:rPr>
        <w:t xml:space="preserve">invigorated </w:t>
      </w:r>
      <w:r w:rsidR="00754FF8">
        <w:rPr>
          <w:rFonts w:ascii="Garamond" w:hAnsi="Garamond"/>
          <w:sz w:val="22"/>
          <w:szCs w:val="22"/>
        </w:rPr>
        <w:t>in</w:t>
      </w:r>
      <w:r w:rsidRPr="00080015">
        <w:rPr>
          <w:rFonts w:ascii="Garamond" w:hAnsi="Garamond"/>
          <w:sz w:val="22"/>
          <w:szCs w:val="22"/>
        </w:rPr>
        <w:t xml:space="preserve">ternational tourism. The industry growth was 1.1%, which </w:t>
      </w:r>
      <w:r w:rsidR="00997A5C">
        <w:rPr>
          <w:rFonts w:ascii="Garamond" w:hAnsi="Garamond"/>
          <w:sz w:val="22"/>
          <w:szCs w:val="22"/>
        </w:rPr>
        <w:t xml:space="preserve">remained </w:t>
      </w:r>
      <w:r w:rsidR="00754FF8">
        <w:rPr>
          <w:rFonts w:ascii="Garamond" w:hAnsi="Garamond"/>
          <w:sz w:val="22"/>
          <w:szCs w:val="22"/>
        </w:rPr>
        <w:t xml:space="preserve">virtually </w:t>
      </w:r>
      <w:r w:rsidR="00997A5C">
        <w:rPr>
          <w:rFonts w:ascii="Garamond" w:hAnsi="Garamond"/>
          <w:sz w:val="22"/>
          <w:szCs w:val="22"/>
        </w:rPr>
        <w:t xml:space="preserve">intact against </w:t>
      </w:r>
      <w:r w:rsidRPr="00080015">
        <w:rPr>
          <w:rFonts w:ascii="Garamond" w:hAnsi="Garamond"/>
          <w:sz w:val="22"/>
          <w:szCs w:val="22"/>
        </w:rPr>
        <w:t xml:space="preserve">previous </w:t>
      </w:r>
      <w:r w:rsidR="00997A5C">
        <w:rPr>
          <w:rFonts w:ascii="Garamond" w:hAnsi="Garamond"/>
          <w:sz w:val="22"/>
          <w:szCs w:val="22"/>
        </w:rPr>
        <w:t xml:space="preserve">estimation by the </w:t>
      </w:r>
      <w:r w:rsidR="00754FF8">
        <w:rPr>
          <w:rFonts w:ascii="Garamond" w:hAnsi="Garamond"/>
          <w:sz w:val="22"/>
          <w:szCs w:val="22"/>
        </w:rPr>
        <w:t>Central Bank</w:t>
      </w:r>
      <w:r w:rsidR="00997A5C">
        <w:rPr>
          <w:rFonts w:ascii="Garamond" w:hAnsi="Garamond"/>
          <w:sz w:val="22"/>
          <w:szCs w:val="22"/>
        </w:rPr>
        <w:t xml:space="preserve">. Moreover, despite </w:t>
      </w:r>
      <w:r w:rsidR="00912B02">
        <w:rPr>
          <w:rFonts w:ascii="Garamond" w:hAnsi="Garamond"/>
          <w:sz w:val="22"/>
          <w:szCs w:val="22"/>
        </w:rPr>
        <w:t xml:space="preserve">a </w:t>
      </w:r>
      <w:r w:rsidR="00997A5C">
        <w:rPr>
          <w:rFonts w:ascii="Garamond" w:hAnsi="Garamond"/>
          <w:sz w:val="22"/>
          <w:szCs w:val="22"/>
        </w:rPr>
        <w:t>shrink</w:t>
      </w:r>
      <w:r w:rsidR="00912B02">
        <w:rPr>
          <w:rFonts w:ascii="Garamond" w:hAnsi="Garamond"/>
          <w:sz w:val="22"/>
          <w:szCs w:val="22"/>
        </w:rPr>
        <w:t xml:space="preserve">age in </w:t>
      </w:r>
      <w:r w:rsidR="00997A5C">
        <w:rPr>
          <w:rFonts w:ascii="Garamond" w:hAnsi="Garamond"/>
          <w:sz w:val="22"/>
          <w:szCs w:val="22"/>
        </w:rPr>
        <w:t>mining, th</w:t>
      </w:r>
      <w:r w:rsidR="00997A5C" w:rsidRPr="00997A5C">
        <w:rPr>
          <w:rFonts w:ascii="Garamond" w:hAnsi="Garamond"/>
          <w:sz w:val="22"/>
          <w:szCs w:val="22"/>
        </w:rPr>
        <w:t xml:space="preserve">e </w:t>
      </w:r>
      <w:r w:rsidR="00997A5C">
        <w:rPr>
          <w:rFonts w:ascii="Garamond" w:hAnsi="Garamond"/>
          <w:sz w:val="22"/>
          <w:szCs w:val="22"/>
        </w:rPr>
        <w:t>growth</w:t>
      </w:r>
      <w:r w:rsidR="008219A7">
        <w:rPr>
          <w:rFonts w:ascii="Garamond" w:hAnsi="Garamond"/>
          <w:sz w:val="22"/>
          <w:szCs w:val="22"/>
        </w:rPr>
        <w:t xml:space="preserve"> in manufacturing </w:t>
      </w:r>
      <w:r w:rsidR="00912B02">
        <w:rPr>
          <w:rFonts w:ascii="Garamond" w:hAnsi="Garamond"/>
          <w:sz w:val="22"/>
          <w:szCs w:val="22"/>
        </w:rPr>
        <w:t xml:space="preserve">has been the main </w:t>
      </w:r>
      <w:r w:rsidR="00997A5C" w:rsidRPr="00997A5C">
        <w:rPr>
          <w:rFonts w:ascii="Garamond" w:hAnsi="Garamond"/>
          <w:sz w:val="22"/>
          <w:szCs w:val="22"/>
        </w:rPr>
        <w:t>contribut</w:t>
      </w:r>
      <w:r w:rsidR="00912B02">
        <w:rPr>
          <w:rFonts w:ascii="Garamond" w:hAnsi="Garamond"/>
          <w:sz w:val="22"/>
          <w:szCs w:val="22"/>
        </w:rPr>
        <w:t xml:space="preserve">ion </w:t>
      </w:r>
      <w:r w:rsidR="00997A5C" w:rsidRPr="00997A5C">
        <w:rPr>
          <w:rFonts w:ascii="Garamond" w:hAnsi="Garamond"/>
          <w:sz w:val="22"/>
          <w:szCs w:val="22"/>
        </w:rPr>
        <w:t xml:space="preserve">to the </w:t>
      </w:r>
      <w:r w:rsidR="00997A5C">
        <w:rPr>
          <w:rFonts w:ascii="Garamond" w:hAnsi="Garamond"/>
          <w:sz w:val="22"/>
          <w:szCs w:val="22"/>
        </w:rPr>
        <w:t>industry sector</w:t>
      </w:r>
      <w:r w:rsidR="00997A5C" w:rsidRPr="00997A5C">
        <w:rPr>
          <w:rFonts w:ascii="Garamond" w:hAnsi="Garamond"/>
          <w:sz w:val="22"/>
          <w:szCs w:val="22"/>
        </w:rPr>
        <w:t>.</w:t>
      </w:r>
      <w:r w:rsidR="00912B02">
        <w:rPr>
          <w:rFonts w:ascii="Garamond" w:hAnsi="Garamond"/>
          <w:sz w:val="22"/>
          <w:szCs w:val="22"/>
        </w:rPr>
        <w:t xml:space="preserve"> O</w:t>
      </w:r>
      <w:r w:rsidRPr="00080015">
        <w:rPr>
          <w:rFonts w:ascii="Garamond" w:hAnsi="Garamond"/>
          <w:sz w:val="22"/>
          <w:szCs w:val="22"/>
        </w:rPr>
        <w:t>ther sectors of the economy have contributed</w:t>
      </w:r>
      <w:r w:rsidR="00912B02">
        <w:rPr>
          <w:rFonts w:ascii="Garamond" w:hAnsi="Garamond"/>
          <w:sz w:val="22"/>
          <w:szCs w:val="22"/>
        </w:rPr>
        <w:t xml:space="preserve"> negatively to economic growth; in the reporting quarter </w:t>
      </w:r>
      <w:r w:rsidRPr="00080015">
        <w:rPr>
          <w:rFonts w:ascii="Garamond" w:hAnsi="Garamond"/>
          <w:sz w:val="22"/>
          <w:szCs w:val="22"/>
        </w:rPr>
        <w:t xml:space="preserve">in particular, the </w:t>
      </w:r>
      <w:r w:rsidR="00912B02">
        <w:rPr>
          <w:rFonts w:ascii="Garamond" w:hAnsi="Garamond"/>
          <w:sz w:val="22"/>
          <w:szCs w:val="22"/>
        </w:rPr>
        <w:t>decline</w:t>
      </w:r>
      <w:r w:rsidRPr="00080015">
        <w:rPr>
          <w:rFonts w:ascii="Garamond" w:hAnsi="Garamond"/>
          <w:sz w:val="22"/>
          <w:szCs w:val="22"/>
        </w:rPr>
        <w:t xml:space="preserve"> in agriculture was 13.7% and </w:t>
      </w:r>
      <w:r w:rsidR="00912B02">
        <w:rPr>
          <w:rFonts w:ascii="Garamond" w:hAnsi="Garamond"/>
          <w:sz w:val="22"/>
          <w:szCs w:val="22"/>
        </w:rPr>
        <w:t xml:space="preserve">in </w:t>
      </w:r>
      <w:r w:rsidRPr="00080015">
        <w:rPr>
          <w:rFonts w:ascii="Garamond" w:hAnsi="Garamond"/>
          <w:sz w:val="22"/>
          <w:szCs w:val="22"/>
        </w:rPr>
        <w:t>construction</w:t>
      </w:r>
      <w:r w:rsidR="00912B02">
        <w:rPr>
          <w:rFonts w:ascii="Garamond" w:hAnsi="Garamond"/>
          <w:sz w:val="22"/>
          <w:szCs w:val="22"/>
        </w:rPr>
        <w:t>,</w:t>
      </w:r>
      <w:r w:rsidRPr="00080015">
        <w:rPr>
          <w:rFonts w:ascii="Garamond" w:hAnsi="Garamond"/>
          <w:sz w:val="22"/>
          <w:szCs w:val="22"/>
        </w:rPr>
        <w:t xml:space="preserve"> 2.7%.</w:t>
      </w:r>
    </w:p>
    <w:tbl>
      <w:tblPr>
        <w:tblStyle w:val="TableGrid"/>
        <w:tblW w:w="0" w:type="auto"/>
        <w:tblLook w:val="04A0" w:firstRow="1" w:lastRow="0" w:firstColumn="1" w:lastColumn="0" w:noHBand="0" w:noVBand="1"/>
      </w:tblPr>
      <w:tblGrid>
        <w:gridCol w:w="5118"/>
      </w:tblGrid>
      <w:tr w:rsidR="00997A5C" w14:paraId="2A0CACEE" w14:textId="77777777" w:rsidTr="00997A5C">
        <w:trPr>
          <w:trHeight w:val="383"/>
        </w:trPr>
        <w:tc>
          <w:tcPr>
            <w:tcW w:w="5118" w:type="dxa"/>
          </w:tcPr>
          <w:p w14:paraId="43FBB2F1" w14:textId="77777777" w:rsidR="00997A5C" w:rsidRPr="00912B02" w:rsidRDefault="00912B02" w:rsidP="00912B02">
            <w:pPr>
              <w:autoSpaceDE w:val="0"/>
              <w:autoSpaceDN w:val="0"/>
              <w:adjustRightInd w:val="0"/>
              <w:spacing w:after="120" w:line="360" w:lineRule="auto"/>
              <w:jc w:val="both"/>
              <w:rPr>
                <w:rFonts w:ascii="Garamond" w:hAnsi="Garamond"/>
                <w:color w:val="002060"/>
                <w:sz w:val="20"/>
                <w:szCs w:val="20"/>
              </w:rPr>
            </w:pPr>
            <w:r w:rsidRPr="00912B02">
              <w:rPr>
                <w:rFonts w:ascii="Garamond" w:hAnsi="Garamond"/>
                <w:color w:val="002060"/>
                <w:sz w:val="20"/>
                <w:szCs w:val="20"/>
              </w:rPr>
              <w:t>In the fourth quarter of 2018, the economic growth was higher than forecast</w:t>
            </w:r>
            <w:r>
              <w:rPr>
                <w:rFonts w:ascii="Garamond" w:hAnsi="Garamond"/>
                <w:color w:val="002060"/>
                <w:sz w:val="20"/>
                <w:szCs w:val="20"/>
              </w:rPr>
              <w:t xml:space="preserve">ed by </w:t>
            </w:r>
            <w:r w:rsidRPr="00912B02">
              <w:rPr>
                <w:rFonts w:ascii="Garamond" w:hAnsi="Garamond"/>
                <w:color w:val="002060"/>
                <w:sz w:val="20"/>
                <w:szCs w:val="20"/>
              </w:rPr>
              <w:t>the Central Bank</w:t>
            </w:r>
            <w:r>
              <w:rPr>
                <w:rFonts w:ascii="Garamond" w:hAnsi="Garamond"/>
                <w:color w:val="002060"/>
                <w:sz w:val="20"/>
                <w:szCs w:val="20"/>
              </w:rPr>
              <w:t xml:space="preserve">, making up </w:t>
            </w:r>
            <w:r w:rsidRPr="00912B02">
              <w:rPr>
                <w:rFonts w:ascii="Garamond" w:hAnsi="Garamond"/>
                <w:color w:val="002060"/>
                <w:sz w:val="20"/>
                <w:szCs w:val="20"/>
              </w:rPr>
              <w:t>3.4%.</w:t>
            </w:r>
          </w:p>
        </w:tc>
      </w:tr>
    </w:tbl>
    <w:p w14:paraId="4352F715" w14:textId="77777777" w:rsidR="00080015" w:rsidRDefault="00080015" w:rsidP="00242EA6">
      <w:pPr>
        <w:autoSpaceDE w:val="0"/>
        <w:autoSpaceDN w:val="0"/>
        <w:adjustRightInd w:val="0"/>
        <w:spacing w:after="120" w:line="360" w:lineRule="auto"/>
        <w:jc w:val="both"/>
        <w:rPr>
          <w:rFonts w:ascii="Garamond" w:hAnsi="Garamond"/>
          <w:sz w:val="22"/>
          <w:szCs w:val="22"/>
        </w:rPr>
      </w:pPr>
    </w:p>
    <w:p w14:paraId="60DDCB8D" w14:textId="77777777" w:rsidR="00C623D0" w:rsidRDefault="00C623D0"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There is anticipation that services will continue to be the main driver to economic growth over </w:t>
      </w:r>
      <w:r w:rsidRPr="00C623D0">
        <w:rPr>
          <w:rFonts w:ascii="Garamond" w:hAnsi="Garamond"/>
          <w:sz w:val="22"/>
          <w:szCs w:val="22"/>
        </w:rPr>
        <w:t xml:space="preserve">the first quarter of 2019, </w:t>
      </w:r>
      <w:r>
        <w:rPr>
          <w:rFonts w:ascii="Garamond" w:hAnsi="Garamond"/>
          <w:sz w:val="22"/>
          <w:szCs w:val="22"/>
        </w:rPr>
        <w:t xml:space="preserve">supported by high </w:t>
      </w:r>
      <w:r w:rsidRPr="00C623D0">
        <w:rPr>
          <w:rFonts w:ascii="Garamond" w:hAnsi="Garamond"/>
          <w:sz w:val="22"/>
          <w:szCs w:val="22"/>
        </w:rPr>
        <w:t xml:space="preserve">economic activity </w:t>
      </w:r>
      <w:r>
        <w:rPr>
          <w:rFonts w:ascii="Garamond" w:hAnsi="Garamond"/>
          <w:sz w:val="22"/>
          <w:szCs w:val="22"/>
        </w:rPr>
        <w:t xml:space="preserve">indicators for </w:t>
      </w:r>
      <w:r w:rsidRPr="00C623D0">
        <w:rPr>
          <w:rFonts w:ascii="Garamond" w:hAnsi="Garamond"/>
          <w:sz w:val="22"/>
          <w:szCs w:val="22"/>
        </w:rPr>
        <w:t>January</w:t>
      </w:r>
      <w:r>
        <w:rPr>
          <w:rFonts w:ascii="Garamond" w:hAnsi="Garamond"/>
          <w:sz w:val="22"/>
          <w:szCs w:val="22"/>
        </w:rPr>
        <w:t xml:space="preserve"> (with </w:t>
      </w:r>
      <w:r w:rsidRPr="00C623D0">
        <w:rPr>
          <w:rFonts w:ascii="Garamond" w:hAnsi="Garamond"/>
          <w:sz w:val="22"/>
          <w:szCs w:val="22"/>
        </w:rPr>
        <w:t>19.3%</w:t>
      </w:r>
      <w:r>
        <w:rPr>
          <w:rFonts w:ascii="Garamond" w:hAnsi="Garamond"/>
          <w:sz w:val="22"/>
          <w:szCs w:val="22"/>
        </w:rPr>
        <w:t xml:space="preserve"> growth</w:t>
      </w:r>
      <w:r w:rsidRPr="00C623D0">
        <w:rPr>
          <w:rFonts w:ascii="Garamond" w:hAnsi="Garamond"/>
          <w:sz w:val="22"/>
          <w:szCs w:val="22"/>
        </w:rPr>
        <w:t xml:space="preserve"> in trade and 15.6%</w:t>
      </w:r>
      <w:r>
        <w:rPr>
          <w:rFonts w:ascii="Garamond" w:hAnsi="Garamond"/>
          <w:sz w:val="22"/>
          <w:szCs w:val="22"/>
        </w:rPr>
        <w:t xml:space="preserve"> growth</w:t>
      </w:r>
      <w:r w:rsidRPr="00C623D0">
        <w:rPr>
          <w:rFonts w:ascii="Garamond" w:hAnsi="Garamond"/>
          <w:sz w:val="22"/>
          <w:szCs w:val="22"/>
        </w:rPr>
        <w:t xml:space="preserve"> in services</w:t>
      </w:r>
      <w:r>
        <w:rPr>
          <w:rFonts w:ascii="Garamond" w:hAnsi="Garamond"/>
          <w:sz w:val="22"/>
          <w:szCs w:val="22"/>
        </w:rPr>
        <w:t>)</w:t>
      </w:r>
      <w:r w:rsidRPr="00C623D0">
        <w:rPr>
          <w:rFonts w:ascii="Garamond" w:hAnsi="Garamond"/>
          <w:sz w:val="22"/>
          <w:szCs w:val="22"/>
        </w:rPr>
        <w:t xml:space="preserve">. It should be noted that high growth </w:t>
      </w:r>
      <w:r>
        <w:rPr>
          <w:rFonts w:ascii="Garamond" w:hAnsi="Garamond"/>
          <w:sz w:val="22"/>
          <w:szCs w:val="22"/>
        </w:rPr>
        <w:t>in</w:t>
      </w:r>
      <w:r w:rsidRPr="00C623D0">
        <w:rPr>
          <w:rFonts w:ascii="Garamond" w:hAnsi="Garamond"/>
          <w:sz w:val="22"/>
          <w:szCs w:val="22"/>
        </w:rPr>
        <w:t xml:space="preserve"> services can partly </w:t>
      </w:r>
      <w:r>
        <w:rPr>
          <w:rFonts w:ascii="Garamond" w:hAnsi="Garamond"/>
          <w:sz w:val="22"/>
          <w:szCs w:val="22"/>
        </w:rPr>
        <w:t xml:space="preserve">be determined </w:t>
      </w:r>
      <w:r w:rsidRPr="00C623D0">
        <w:rPr>
          <w:rFonts w:ascii="Garamond" w:hAnsi="Garamond"/>
          <w:sz w:val="22"/>
          <w:szCs w:val="22"/>
        </w:rPr>
        <w:t>by reduction of shadow economy as a result of tax administration, which has not yet affected the inflationary environment.</w:t>
      </w:r>
    </w:p>
    <w:p w14:paraId="37D6C1C8" w14:textId="77777777" w:rsidR="00242EA6" w:rsidRPr="00EE5F0F" w:rsidRDefault="00194D78"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In the fourth quarter of 2018, relative to the same reference period last year, t</w:t>
      </w:r>
      <w:r w:rsidR="00242EA6" w:rsidRPr="00EE5F0F">
        <w:rPr>
          <w:rFonts w:ascii="Garamond" w:hAnsi="Garamond"/>
          <w:sz w:val="22"/>
          <w:szCs w:val="22"/>
        </w:rPr>
        <w:t xml:space="preserve">he productivity, calculated as real </w:t>
      </w:r>
      <w:r w:rsidR="002F6593">
        <w:rPr>
          <w:rFonts w:ascii="Garamond" w:hAnsi="Garamond"/>
          <w:sz w:val="22"/>
          <w:szCs w:val="22"/>
        </w:rPr>
        <w:t xml:space="preserve">value added </w:t>
      </w:r>
      <w:r w:rsidR="00242EA6" w:rsidRPr="00EE5F0F">
        <w:rPr>
          <w:rFonts w:ascii="Garamond" w:hAnsi="Garamond"/>
          <w:sz w:val="22"/>
          <w:szCs w:val="22"/>
        </w:rPr>
        <w:t>per hour</w:t>
      </w:r>
      <w:r w:rsidR="002C0A14">
        <w:rPr>
          <w:rFonts w:ascii="Garamond" w:hAnsi="Garamond"/>
          <w:sz w:val="22"/>
          <w:szCs w:val="22"/>
        </w:rPr>
        <w:t xml:space="preserve"> worked</w:t>
      </w:r>
      <w:r w:rsidR="00242EA6" w:rsidRPr="00EE5F0F">
        <w:rPr>
          <w:rFonts w:ascii="Garamond" w:hAnsi="Garamond"/>
          <w:sz w:val="22"/>
          <w:szCs w:val="22"/>
        </w:rPr>
        <w:t xml:space="preserve">, </w:t>
      </w:r>
      <w:r w:rsidR="002F6593">
        <w:rPr>
          <w:rFonts w:ascii="Garamond" w:hAnsi="Garamond"/>
          <w:sz w:val="22"/>
          <w:szCs w:val="22"/>
        </w:rPr>
        <w:t xml:space="preserve">has </w:t>
      </w:r>
      <w:r>
        <w:rPr>
          <w:rFonts w:ascii="Garamond" w:hAnsi="Garamond"/>
          <w:sz w:val="22"/>
          <w:szCs w:val="22"/>
        </w:rPr>
        <w:t>increased by 0.7%, according to th</w:t>
      </w:r>
      <w:r w:rsidR="002F6593" w:rsidRPr="00EE5F0F">
        <w:rPr>
          <w:rFonts w:ascii="Garamond" w:hAnsi="Garamond"/>
          <w:sz w:val="22"/>
          <w:szCs w:val="22"/>
        </w:rPr>
        <w:t>e Central Bank estimat</w:t>
      </w:r>
      <w:r w:rsidR="00F37BF2">
        <w:rPr>
          <w:rFonts w:ascii="Garamond" w:hAnsi="Garamond"/>
          <w:sz w:val="22"/>
          <w:szCs w:val="22"/>
        </w:rPr>
        <w:t>ions</w:t>
      </w:r>
      <w:r>
        <w:rPr>
          <w:rFonts w:ascii="Garamond" w:hAnsi="Garamond"/>
          <w:sz w:val="22"/>
          <w:szCs w:val="22"/>
        </w:rPr>
        <w:t xml:space="preserve">. </w:t>
      </w:r>
      <w:r w:rsidRPr="00194D78">
        <w:rPr>
          <w:rFonts w:ascii="Garamond" w:hAnsi="Garamond"/>
          <w:sz w:val="22"/>
          <w:szCs w:val="22"/>
        </w:rPr>
        <w:t xml:space="preserve">The moderate increase in productivity is </w:t>
      </w:r>
      <w:r>
        <w:rPr>
          <w:rFonts w:ascii="Garamond" w:hAnsi="Garamond"/>
          <w:sz w:val="22"/>
          <w:szCs w:val="22"/>
        </w:rPr>
        <w:t xml:space="preserve">consistent with </w:t>
      </w:r>
      <w:r w:rsidRPr="00194D78">
        <w:rPr>
          <w:rFonts w:ascii="Garamond" w:hAnsi="Garamond"/>
          <w:sz w:val="22"/>
          <w:szCs w:val="22"/>
        </w:rPr>
        <w:t xml:space="preserve">the </w:t>
      </w:r>
      <w:r>
        <w:rPr>
          <w:rFonts w:ascii="Garamond" w:hAnsi="Garamond"/>
          <w:sz w:val="22"/>
          <w:szCs w:val="22"/>
        </w:rPr>
        <w:t xml:space="preserve">economic </w:t>
      </w:r>
      <w:r w:rsidRPr="00194D78">
        <w:rPr>
          <w:rFonts w:ascii="Garamond" w:hAnsi="Garamond"/>
          <w:sz w:val="22"/>
          <w:szCs w:val="22"/>
        </w:rPr>
        <w:t xml:space="preserve">developments described above, as it has been </w:t>
      </w:r>
      <w:r>
        <w:rPr>
          <w:rFonts w:ascii="Garamond" w:hAnsi="Garamond"/>
          <w:sz w:val="22"/>
          <w:szCs w:val="22"/>
        </w:rPr>
        <w:t xml:space="preserve">concurrent with the growth in services, a </w:t>
      </w:r>
      <w:r w:rsidRPr="00603119">
        <w:rPr>
          <w:rFonts w:ascii="Garamond" w:hAnsi="Garamond"/>
          <w:sz w:val="22"/>
          <w:szCs w:val="22"/>
        </w:rPr>
        <w:t xml:space="preserve">relatively </w:t>
      </w:r>
      <w:r>
        <w:rPr>
          <w:rFonts w:ascii="Garamond" w:hAnsi="Garamond"/>
          <w:sz w:val="22"/>
          <w:szCs w:val="22"/>
        </w:rPr>
        <w:t xml:space="preserve">more </w:t>
      </w:r>
      <w:r w:rsidRPr="00603119">
        <w:rPr>
          <w:rFonts w:ascii="Garamond" w:hAnsi="Garamond"/>
          <w:sz w:val="22"/>
          <w:szCs w:val="22"/>
        </w:rPr>
        <w:t>labor-intensive</w:t>
      </w:r>
      <w:r>
        <w:rPr>
          <w:rFonts w:ascii="Garamond" w:hAnsi="Garamond"/>
          <w:sz w:val="22"/>
          <w:szCs w:val="22"/>
        </w:rPr>
        <w:t>,</w:t>
      </w:r>
      <w:r w:rsidRPr="00603119">
        <w:rPr>
          <w:rFonts w:ascii="Garamond" w:hAnsi="Garamond"/>
          <w:sz w:val="22"/>
          <w:szCs w:val="22"/>
        </w:rPr>
        <w:t xml:space="preserve"> limited-productiv</w:t>
      </w:r>
      <w:r>
        <w:rPr>
          <w:rFonts w:ascii="Garamond" w:hAnsi="Garamond"/>
          <w:sz w:val="22"/>
          <w:szCs w:val="22"/>
        </w:rPr>
        <w:t>ity sector.</w:t>
      </w:r>
    </w:p>
    <w:p w14:paraId="44D4DC2A"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lastRenderedPageBreak/>
        <w:t>3.2.4. Labor market</w:t>
      </w:r>
      <w:r w:rsidR="00194D78">
        <w:rPr>
          <w:rStyle w:val="FootnoteReference"/>
          <w:rFonts w:ascii="Garamond" w:hAnsi="Garamond"/>
          <w:b/>
          <w:color w:val="0070C0"/>
          <w:sz w:val="22"/>
          <w:szCs w:val="22"/>
        </w:rPr>
        <w:footnoteReference w:customMarkFollows="1" w:id="7"/>
        <w:t>10</w:t>
      </w:r>
    </w:p>
    <w:p w14:paraId="350F0E2D" w14:textId="766888FC" w:rsidR="00242EA6" w:rsidRPr="00EE5F0F" w:rsidRDefault="00B805F6"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Economic growth in t</w:t>
      </w:r>
      <w:r w:rsidR="003E2223">
        <w:rPr>
          <w:rFonts w:ascii="Garamond" w:hAnsi="Garamond"/>
          <w:sz w:val="22"/>
          <w:szCs w:val="22"/>
        </w:rPr>
        <w:t>he fourth quarter</w:t>
      </w:r>
      <w:r>
        <w:rPr>
          <w:rFonts w:ascii="Garamond" w:hAnsi="Garamond"/>
          <w:sz w:val="22"/>
          <w:szCs w:val="22"/>
        </w:rPr>
        <w:t xml:space="preserve"> came along with a decline in labor productivity</w:t>
      </w:r>
      <w:r>
        <w:rPr>
          <w:rStyle w:val="FootnoteReference"/>
          <w:rFonts w:ascii="Garamond" w:hAnsi="Garamond"/>
          <w:sz w:val="22"/>
          <w:szCs w:val="22"/>
        </w:rPr>
        <w:footnoteReference w:customMarkFollows="1" w:id="8"/>
        <w:t>11</w:t>
      </w:r>
      <w:r w:rsidR="00BF06EF">
        <w:rPr>
          <w:rFonts w:ascii="Garamond" w:hAnsi="Garamond"/>
          <w:sz w:val="22"/>
          <w:szCs w:val="22"/>
        </w:rPr>
        <w:t xml:space="preserve">, </w:t>
      </w:r>
      <w:r w:rsidR="003E2223">
        <w:rPr>
          <w:rFonts w:ascii="Garamond" w:hAnsi="Garamond"/>
          <w:sz w:val="22"/>
          <w:szCs w:val="22"/>
        </w:rPr>
        <w:t>s</w:t>
      </w:r>
      <w:r w:rsidR="00BF06EF">
        <w:rPr>
          <w:rFonts w:ascii="Garamond" w:hAnsi="Garamond"/>
          <w:sz w:val="22"/>
          <w:szCs w:val="22"/>
        </w:rPr>
        <w:t>o the a</w:t>
      </w:r>
      <w:r w:rsidR="00737DD5" w:rsidRPr="00737DD5">
        <w:rPr>
          <w:rFonts w:ascii="Garamond" w:hAnsi="Garamond"/>
          <w:sz w:val="22"/>
          <w:szCs w:val="22"/>
        </w:rPr>
        <w:t xml:space="preserve">verage nominal wage </w:t>
      </w:r>
      <w:r w:rsidR="00BF06EF">
        <w:rPr>
          <w:rFonts w:ascii="Garamond" w:hAnsi="Garamond"/>
          <w:sz w:val="22"/>
          <w:szCs w:val="22"/>
        </w:rPr>
        <w:t xml:space="preserve">growth </w:t>
      </w:r>
      <w:r w:rsidR="00737DD5" w:rsidRPr="00737DD5">
        <w:rPr>
          <w:rFonts w:ascii="Garamond" w:hAnsi="Garamond"/>
          <w:sz w:val="22"/>
          <w:szCs w:val="22"/>
        </w:rPr>
        <w:t xml:space="preserve">in the private sector will </w:t>
      </w:r>
      <w:r w:rsidR="00BF06EF">
        <w:rPr>
          <w:rFonts w:ascii="Garamond" w:hAnsi="Garamond"/>
          <w:sz w:val="22"/>
          <w:szCs w:val="22"/>
        </w:rPr>
        <w:t xml:space="preserve">possibly </w:t>
      </w:r>
      <w:r w:rsidR="00737DD5" w:rsidRPr="00737DD5">
        <w:rPr>
          <w:rFonts w:ascii="Garamond" w:hAnsi="Garamond"/>
          <w:sz w:val="22"/>
          <w:szCs w:val="22"/>
        </w:rPr>
        <w:t xml:space="preserve">be slightly lower than </w:t>
      </w:r>
      <w:r w:rsidR="00BF06EF">
        <w:rPr>
          <w:rFonts w:ascii="Garamond" w:hAnsi="Garamond"/>
          <w:sz w:val="22"/>
          <w:szCs w:val="22"/>
        </w:rPr>
        <w:t xml:space="preserve">forecasted </w:t>
      </w:r>
      <w:r w:rsidR="00737DD5" w:rsidRPr="00737DD5">
        <w:rPr>
          <w:rFonts w:ascii="Garamond" w:hAnsi="Garamond"/>
          <w:sz w:val="22"/>
          <w:szCs w:val="22"/>
        </w:rPr>
        <w:t>previous</w:t>
      </w:r>
      <w:r w:rsidR="00BF06EF">
        <w:rPr>
          <w:rFonts w:ascii="Garamond" w:hAnsi="Garamond"/>
          <w:sz w:val="22"/>
          <w:szCs w:val="22"/>
        </w:rPr>
        <w:t>ly</w:t>
      </w:r>
      <w:r w:rsidR="00737DD5" w:rsidRPr="00737DD5">
        <w:rPr>
          <w:rFonts w:ascii="Garamond" w:hAnsi="Garamond"/>
          <w:sz w:val="22"/>
          <w:szCs w:val="22"/>
        </w:rPr>
        <w:t xml:space="preserve"> and the</w:t>
      </w:r>
      <w:r w:rsidR="00BF06EF">
        <w:rPr>
          <w:rFonts w:ascii="Garamond" w:hAnsi="Garamond"/>
          <w:sz w:val="22"/>
          <w:szCs w:val="22"/>
        </w:rPr>
        <w:t xml:space="preserve"> demand for </w:t>
      </w:r>
      <w:r w:rsidR="00737DD5" w:rsidRPr="00737DD5">
        <w:rPr>
          <w:rFonts w:ascii="Garamond" w:hAnsi="Garamond"/>
          <w:sz w:val="22"/>
          <w:szCs w:val="22"/>
        </w:rPr>
        <w:t>labor s</w:t>
      </w:r>
      <w:r w:rsidR="00BF06EF">
        <w:rPr>
          <w:rFonts w:ascii="Garamond" w:hAnsi="Garamond"/>
          <w:sz w:val="22"/>
          <w:szCs w:val="22"/>
        </w:rPr>
        <w:t>omewhat</w:t>
      </w:r>
      <w:r w:rsidR="00737DD5" w:rsidRPr="00737DD5">
        <w:rPr>
          <w:rFonts w:ascii="Garamond" w:hAnsi="Garamond"/>
          <w:sz w:val="22"/>
          <w:szCs w:val="22"/>
        </w:rPr>
        <w:t xml:space="preserve"> higher</w:t>
      </w:r>
      <w:r w:rsidR="00BF06EF">
        <w:rPr>
          <w:rFonts w:ascii="Garamond" w:hAnsi="Garamond"/>
          <w:sz w:val="22"/>
          <w:szCs w:val="22"/>
        </w:rPr>
        <w:t>,</w:t>
      </w:r>
      <w:r w:rsidR="00737DD5" w:rsidRPr="00737DD5">
        <w:rPr>
          <w:rFonts w:ascii="Garamond" w:hAnsi="Garamond"/>
          <w:sz w:val="22"/>
          <w:szCs w:val="22"/>
        </w:rPr>
        <w:t xml:space="preserve"> as more resources are needed </w:t>
      </w:r>
      <w:r w:rsidR="00BF06EF">
        <w:rPr>
          <w:rFonts w:ascii="Garamond" w:hAnsi="Garamond"/>
          <w:sz w:val="22"/>
          <w:szCs w:val="22"/>
        </w:rPr>
        <w:t>to meet the existing demand amid declining productivity.</w:t>
      </w:r>
      <w:r w:rsidR="00BF06EF" w:rsidRPr="00BF06EF">
        <w:rPr>
          <w:rFonts w:ascii="Garamond" w:hAnsi="Garamond"/>
          <w:sz w:val="22"/>
          <w:szCs w:val="22"/>
        </w:rPr>
        <w:t xml:space="preserve"> </w:t>
      </w:r>
      <w:r w:rsidR="00BF06EF">
        <w:rPr>
          <w:rFonts w:ascii="Garamond" w:hAnsi="Garamond"/>
          <w:sz w:val="22"/>
          <w:szCs w:val="22"/>
        </w:rPr>
        <w:t>As a result, in the fourth quarter of 2018 the</w:t>
      </w:r>
      <w:r w:rsidR="00BF06EF" w:rsidRPr="00085001">
        <w:rPr>
          <w:rFonts w:ascii="Garamond" w:hAnsi="Garamond"/>
          <w:sz w:val="22"/>
          <w:szCs w:val="22"/>
        </w:rPr>
        <w:t xml:space="preserve"> </w:t>
      </w:r>
      <w:r w:rsidR="00BF06EF">
        <w:rPr>
          <w:rFonts w:ascii="Garamond" w:hAnsi="Garamond"/>
          <w:sz w:val="22"/>
          <w:szCs w:val="22"/>
        </w:rPr>
        <w:t>private sector nominal wage</w:t>
      </w:r>
      <w:r w:rsidR="00BF06EF" w:rsidRPr="00085001">
        <w:rPr>
          <w:rFonts w:ascii="Garamond" w:hAnsi="Garamond"/>
          <w:sz w:val="22"/>
          <w:szCs w:val="22"/>
        </w:rPr>
        <w:t xml:space="preserve"> </w:t>
      </w:r>
      <w:r w:rsidR="00BF06EF">
        <w:rPr>
          <w:rFonts w:ascii="Garamond" w:hAnsi="Garamond"/>
          <w:sz w:val="22"/>
          <w:szCs w:val="22"/>
        </w:rPr>
        <w:t xml:space="preserve">growth was revised some 0.2 pp </w:t>
      </w:r>
      <w:r w:rsidR="00214F8D">
        <w:rPr>
          <w:rFonts w:ascii="Garamond" w:hAnsi="Garamond"/>
          <w:sz w:val="22"/>
          <w:szCs w:val="22"/>
        </w:rPr>
        <w:t xml:space="preserve">downward </w:t>
      </w:r>
      <w:r w:rsidR="00BF06EF">
        <w:rPr>
          <w:rFonts w:ascii="Garamond" w:hAnsi="Garamond"/>
          <w:sz w:val="22"/>
          <w:szCs w:val="22"/>
        </w:rPr>
        <w:t xml:space="preserve">to </w:t>
      </w:r>
      <w:r w:rsidR="000D1F44" w:rsidRPr="00737DD5">
        <w:rPr>
          <w:rFonts w:ascii="Garamond" w:hAnsi="Garamond"/>
          <w:sz w:val="22"/>
          <w:szCs w:val="22"/>
        </w:rPr>
        <w:t>an estimated 6.0%</w:t>
      </w:r>
      <w:r w:rsidR="00BF06EF">
        <w:rPr>
          <w:rFonts w:ascii="Garamond" w:hAnsi="Garamond"/>
          <w:sz w:val="22"/>
          <w:szCs w:val="22"/>
        </w:rPr>
        <w:t xml:space="preserve">. </w:t>
      </w:r>
    </w:p>
    <w:p w14:paraId="1D9FA2CD" w14:textId="77777777" w:rsidR="00242EA6" w:rsidRDefault="00BF06EF"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With economic growth and productivity developments</w:t>
      </w:r>
      <w:r w:rsidR="004F787B">
        <w:rPr>
          <w:rFonts w:ascii="Garamond" w:hAnsi="Garamond"/>
          <w:sz w:val="22"/>
          <w:szCs w:val="22"/>
        </w:rPr>
        <w:t xml:space="preserve"> mentioned above</w:t>
      </w:r>
      <w:r>
        <w:rPr>
          <w:rFonts w:ascii="Garamond" w:hAnsi="Garamond"/>
          <w:sz w:val="22"/>
          <w:szCs w:val="22"/>
        </w:rPr>
        <w:t>, t</w:t>
      </w:r>
      <w:r w:rsidR="00242EA6" w:rsidRPr="00EE5F0F">
        <w:rPr>
          <w:rFonts w:ascii="Garamond" w:hAnsi="Garamond"/>
          <w:sz w:val="22"/>
          <w:szCs w:val="22"/>
        </w:rPr>
        <w:t xml:space="preserve">he unemployment rate </w:t>
      </w:r>
      <w:r w:rsidR="004F787B">
        <w:rPr>
          <w:rFonts w:ascii="Garamond" w:hAnsi="Garamond"/>
          <w:sz w:val="22"/>
          <w:szCs w:val="22"/>
        </w:rPr>
        <w:t>i</w:t>
      </w:r>
      <w:r w:rsidR="00242EA6" w:rsidRPr="00EE5F0F">
        <w:rPr>
          <w:rFonts w:ascii="Garamond" w:hAnsi="Garamond"/>
          <w:sz w:val="22"/>
          <w:szCs w:val="22"/>
        </w:rPr>
        <w:t>s an estimated 1</w:t>
      </w:r>
      <w:r w:rsidR="004F787B">
        <w:rPr>
          <w:rFonts w:ascii="Garamond" w:hAnsi="Garamond"/>
          <w:sz w:val="22"/>
          <w:szCs w:val="22"/>
        </w:rPr>
        <w:t>6</w:t>
      </w:r>
      <w:r w:rsidR="00242EA6" w:rsidRPr="00EE5F0F">
        <w:rPr>
          <w:rFonts w:ascii="Garamond" w:hAnsi="Garamond"/>
          <w:sz w:val="22"/>
          <w:szCs w:val="22"/>
        </w:rPr>
        <w:t xml:space="preserve">% </w:t>
      </w:r>
      <w:r w:rsidR="00107BCE">
        <w:rPr>
          <w:rFonts w:ascii="Garamond" w:hAnsi="Garamond"/>
          <w:sz w:val="22"/>
          <w:szCs w:val="22"/>
        </w:rPr>
        <w:t>in</w:t>
      </w:r>
      <w:r w:rsidR="00242EA6" w:rsidRPr="00EE5F0F">
        <w:rPr>
          <w:rFonts w:ascii="Garamond" w:hAnsi="Garamond"/>
          <w:sz w:val="22"/>
          <w:szCs w:val="22"/>
        </w:rPr>
        <w:t xml:space="preserve"> the </w:t>
      </w:r>
      <w:r w:rsidR="004F787B">
        <w:rPr>
          <w:rFonts w:ascii="Garamond" w:hAnsi="Garamond"/>
          <w:sz w:val="22"/>
          <w:szCs w:val="22"/>
        </w:rPr>
        <w:t>fourth</w:t>
      </w:r>
      <w:r w:rsidR="00242EA6" w:rsidRPr="00EE5F0F">
        <w:rPr>
          <w:rFonts w:ascii="Garamond" w:hAnsi="Garamond"/>
          <w:sz w:val="22"/>
          <w:szCs w:val="22"/>
        </w:rPr>
        <w:t xml:space="preserve"> quarter of 2018, which is </w:t>
      </w:r>
      <w:r w:rsidR="00107BCE">
        <w:rPr>
          <w:rFonts w:ascii="Garamond" w:hAnsi="Garamond"/>
          <w:sz w:val="22"/>
          <w:szCs w:val="22"/>
        </w:rPr>
        <w:t>0.</w:t>
      </w:r>
      <w:r w:rsidR="004F787B">
        <w:rPr>
          <w:rFonts w:ascii="Garamond" w:hAnsi="Garamond"/>
          <w:sz w:val="22"/>
          <w:szCs w:val="22"/>
        </w:rPr>
        <w:t>2</w:t>
      </w:r>
      <w:r w:rsidR="00107BCE">
        <w:rPr>
          <w:rFonts w:ascii="Garamond" w:hAnsi="Garamond"/>
          <w:sz w:val="22"/>
          <w:szCs w:val="22"/>
        </w:rPr>
        <w:t xml:space="preserve"> pp </w:t>
      </w:r>
      <w:r w:rsidR="004F787B">
        <w:rPr>
          <w:rFonts w:ascii="Garamond" w:hAnsi="Garamond"/>
          <w:sz w:val="22"/>
          <w:szCs w:val="22"/>
        </w:rPr>
        <w:t>below</w:t>
      </w:r>
      <w:r w:rsidR="00107BCE">
        <w:rPr>
          <w:rFonts w:ascii="Garamond" w:hAnsi="Garamond"/>
          <w:sz w:val="22"/>
          <w:szCs w:val="22"/>
        </w:rPr>
        <w:t xml:space="preserve"> the indicator outlined in </w:t>
      </w:r>
      <w:r w:rsidR="008E1204">
        <w:rPr>
          <w:rFonts w:ascii="Garamond" w:hAnsi="Garamond"/>
          <w:sz w:val="22"/>
          <w:szCs w:val="22"/>
        </w:rPr>
        <w:t xml:space="preserve">the </w:t>
      </w:r>
      <w:r w:rsidR="00242EA6" w:rsidRPr="00EE5F0F">
        <w:rPr>
          <w:rFonts w:ascii="Garamond" w:hAnsi="Garamond"/>
          <w:sz w:val="22"/>
          <w:szCs w:val="22"/>
        </w:rPr>
        <w:t>previous forecast</w:t>
      </w:r>
      <w:r w:rsidR="00CC70D3">
        <w:rPr>
          <w:rFonts w:ascii="Garamond" w:hAnsi="Garamond"/>
          <w:sz w:val="22"/>
          <w:szCs w:val="22"/>
        </w:rPr>
        <w:t>.</w:t>
      </w:r>
      <w:r w:rsidR="00242EA6" w:rsidRPr="00EE5F0F">
        <w:rPr>
          <w:rFonts w:ascii="Garamond" w:hAnsi="Garamond"/>
          <w:sz w:val="22"/>
          <w:szCs w:val="22"/>
        </w:rPr>
        <w:t xml:space="preserve"> </w:t>
      </w:r>
    </w:p>
    <w:tbl>
      <w:tblPr>
        <w:tblStyle w:val="TableGrid"/>
        <w:tblW w:w="0" w:type="auto"/>
        <w:tblLook w:val="04A0" w:firstRow="1" w:lastRow="0" w:firstColumn="1" w:lastColumn="0" w:noHBand="0" w:noVBand="1"/>
      </w:tblPr>
      <w:tblGrid>
        <w:gridCol w:w="5598"/>
      </w:tblGrid>
      <w:tr w:rsidR="004F787B" w14:paraId="67CEE12E" w14:textId="77777777" w:rsidTr="004F787B">
        <w:tc>
          <w:tcPr>
            <w:tcW w:w="5598" w:type="dxa"/>
          </w:tcPr>
          <w:p w14:paraId="10354CC5" w14:textId="77777777" w:rsidR="004F787B" w:rsidRPr="004F787B" w:rsidRDefault="004F787B" w:rsidP="004F787B">
            <w:pPr>
              <w:autoSpaceDE w:val="0"/>
              <w:autoSpaceDN w:val="0"/>
              <w:adjustRightInd w:val="0"/>
              <w:spacing w:after="120" w:line="360" w:lineRule="auto"/>
              <w:jc w:val="both"/>
              <w:rPr>
                <w:rFonts w:ascii="Garamond" w:hAnsi="Garamond"/>
                <w:color w:val="002060"/>
                <w:sz w:val="20"/>
                <w:szCs w:val="20"/>
              </w:rPr>
            </w:pPr>
            <w:r>
              <w:rPr>
                <w:rFonts w:ascii="Garamond" w:hAnsi="Garamond"/>
                <w:color w:val="002060"/>
                <w:sz w:val="20"/>
                <w:szCs w:val="20"/>
              </w:rPr>
              <w:t>In</w:t>
            </w:r>
            <w:r w:rsidRPr="004F787B">
              <w:rPr>
                <w:rFonts w:ascii="Garamond" w:hAnsi="Garamond"/>
                <w:color w:val="002060"/>
                <w:sz w:val="20"/>
                <w:szCs w:val="20"/>
              </w:rPr>
              <w:t xml:space="preserve"> the fourth quarter</w:t>
            </w:r>
            <w:r>
              <w:rPr>
                <w:rFonts w:ascii="Garamond" w:hAnsi="Garamond"/>
                <w:color w:val="002060"/>
                <w:sz w:val="20"/>
                <w:szCs w:val="20"/>
              </w:rPr>
              <w:t xml:space="preserve"> of 2018</w:t>
            </w:r>
            <w:r w:rsidRPr="004F787B">
              <w:rPr>
                <w:rFonts w:ascii="Garamond" w:hAnsi="Garamond"/>
                <w:color w:val="002060"/>
                <w:sz w:val="20"/>
                <w:szCs w:val="20"/>
              </w:rPr>
              <w:t xml:space="preserve">, the Board </w:t>
            </w:r>
            <w:r>
              <w:rPr>
                <w:rFonts w:ascii="Garamond" w:hAnsi="Garamond"/>
                <w:color w:val="002060"/>
                <w:sz w:val="20"/>
                <w:szCs w:val="20"/>
              </w:rPr>
              <w:t xml:space="preserve">of the Central Bank again </w:t>
            </w:r>
            <w:r w:rsidRPr="004F787B">
              <w:rPr>
                <w:rFonts w:ascii="Garamond" w:hAnsi="Garamond"/>
                <w:color w:val="002060"/>
                <w:sz w:val="20"/>
                <w:szCs w:val="20"/>
              </w:rPr>
              <w:t>left the refinancing rate unchanged</w:t>
            </w:r>
            <w:r>
              <w:rPr>
                <w:rFonts w:ascii="Garamond" w:hAnsi="Garamond"/>
                <w:color w:val="002060"/>
                <w:sz w:val="20"/>
                <w:szCs w:val="20"/>
              </w:rPr>
              <w:t>,</w:t>
            </w:r>
            <w:r w:rsidRPr="004F787B">
              <w:rPr>
                <w:rFonts w:ascii="Garamond" w:hAnsi="Garamond"/>
                <w:color w:val="002060"/>
                <w:sz w:val="20"/>
                <w:szCs w:val="20"/>
              </w:rPr>
              <w:t xml:space="preserve"> at 6%.</w:t>
            </w:r>
          </w:p>
        </w:tc>
      </w:tr>
    </w:tbl>
    <w:p w14:paraId="06A183B9" w14:textId="77777777" w:rsidR="004F787B" w:rsidRPr="00EE5F0F" w:rsidRDefault="004F787B" w:rsidP="00242EA6">
      <w:pPr>
        <w:autoSpaceDE w:val="0"/>
        <w:autoSpaceDN w:val="0"/>
        <w:adjustRightInd w:val="0"/>
        <w:spacing w:after="120" w:line="360" w:lineRule="auto"/>
        <w:jc w:val="both"/>
        <w:rPr>
          <w:rFonts w:ascii="Garamond" w:hAnsi="Garamond"/>
          <w:sz w:val="22"/>
          <w:szCs w:val="22"/>
        </w:rPr>
      </w:pPr>
    </w:p>
    <w:p w14:paraId="7D46F3CB"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4F787B">
        <w:rPr>
          <w:rFonts w:ascii="Garamond" w:hAnsi="Garamond"/>
          <w:sz w:val="22"/>
          <w:szCs w:val="22"/>
        </w:rPr>
        <w:t>reporting period</w:t>
      </w:r>
      <w:r w:rsidRPr="00EE5F0F">
        <w:rPr>
          <w:rFonts w:ascii="Garamond" w:hAnsi="Garamond"/>
          <w:sz w:val="22"/>
          <w:szCs w:val="22"/>
        </w:rPr>
        <w:t xml:space="preserve">, unit labor costs of the firms have </w:t>
      </w:r>
      <w:r w:rsidR="005F6455">
        <w:rPr>
          <w:rFonts w:ascii="Garamond" w:hAnsi="Garamond"/>
          <w:sz w:val="22"/>
          <w:szCs w:val="22"/>
        </w:rPr>
        <w:t xml:space="preserve">grown by </w:t>
      </w:r>
      <w:r w:rsidR="004F787B">
        <w:rPr>
          <w:rFonts w:ascii="Garamond" w:hAnsi="Garamond"/>
          <w:sz w:val="22"/>
          <w:szCs w:val="22"/>
        </w:rPr>
        <w:t>8</w:t>
      </w:r>
      <w:r w:rsidR="005F6455">
        <w:rPr>
          <w:rFonts w:ascii="Garamond" w:hAnsi="Garamond"/>
          <w:sz w:val="22"/>
          <w:szCs w:val="22"/>
        </w:rPr>
        <w:t>.</w:t>
      </w:r>
      <w:r w:rsidR="004F0AC9">
        <w:rPr>
          <w:rFonts w:ascii="Garamond" w:hAnsi="Garamond"/>
          <w:sz w:val="22"/>
          <w:szCs w:val="22"/>
        </w:rPr>
        <w:t>5</w:t>
      </w:r>
      <w:r w:rsidRPr="00EE5F0F">
        <w:rPr>
          <w:rFonts w:ascii="Garamond" w:hAnsi="Garamond"/>
          <w:sz w:val="22"/>
          <w:szCs w:val="22"/>
        </w:rPr>
        <w:t xml:space="preserve">%, </w:t>
      </w:r>
      <w:r w:rsidR="004F787B">
        <w:rPr>
          <w:rFonts w:ascii="Garamond" w:hAnsi="Garamond"/>
          <w:sz w:val="22"/>
          <w:szCs w:val="22"/>
        </w:rPr>
        <w:t xml:space="preserve">with </w:t>
      </w:r>
      <w:r w:rsidRPr="00EE5F0F">
        <w:rPr>
          <w:rFonts w:ascii="Garamond" w:hAnsi="Garamond"/>
          <w:sz w:val="22"/>
          <w:szCs w:val="22"/>
        </w:rPr>
        <w:t xml:space="preserve">the </w:t>
      </w:r>
      <w:r w:rsidR="008F5BE1" w:rsidRPr="00EE5F0F">
        <w:rPr>
          <w:rFonts w:ascii="Garamond" w:hAnsi="Garamond"/>
          <w:sz w:val="22"/>
          <w:szCs w:val="22"/>
        </w:rPr>
        <w:t>private sector wage growth</w:t>
      </w:r>
      <w:r w:rsidR="008F5BE1">
        <w:rPr>
          <w:rFonts w:ascii="Garamond" w:hAnsi="Garamond"/>
          <w:sz w:val="22"/>
          <w:szCs w:val="22"/>
        </w:rPr>
        <w:t xml:space="preserve"> rate having </w:t>
      </w:r>
      <w:r w:rsidR="004F0AC9">
        <w:rPr>
          <w:rFonts w:ascii="Garamond" w:hAnsi="Garamond"/>
          <w:sz w:val="22"/>
          <w:szCs w:val="22"/>
        </w:rPr>
        <w:t>accelerat</w:t>
      </w:r>
      <w:r w:rsidR="008F5BE1">
        <w:rPr>
          <w:rFonts w:ascii="Garamond" w:hAnsi="Garamond"/>
          <w:sz w:val="22"/>
          <w:szCs w:val="22"/>
        </w:rPr>
        <w:t xml:space="preserve">ed in relation to the </w:t>
      </w:r>
      <w:r w:rsidRPr="00EE5F0F">
        <w:rPr>
          <w:rFonts w:ascii="Garamond" w:hAnsi="Garamond"/>
          <w:sz w:val="22"/>
          <w:szCs w:val="22"/>
        </w:rPr>
        <w:t>outpu</w:t>
      </w:r>
      <w:r w:rsidR="004F787B">
        <w:rPr>
          <w:rFonts w:ascii="Garamond" w:hAnsi="Garamond"/>
          <w:sz w:val="22"/>
          <w:szCs w:val="22"/>
        </w:rPr>
        <w:t xml:space="preserve">t growth rate per unit of labor; </w:t>
      </w:r>
      <w:r w:rsidR="004F787B" w:rsidRPr="004F787B">
        <w:rPr>
          <w:rFonts w:ascii="Garamond" w:hAnsi="Garamond"/>
          <w:sz w:val="22"/>
          <w:szCs w:val="22"/>
        </w:rPr>
        <w:t>weak inflationary pressures from the labor market</w:t>
      </w:r>
      <w:r w:rsidR="00414CB6">
        <w:rPr>
          <w:rFonts w:ascii="Garamond" w:hAnsi="Garamond"/>
          <w:sz w:val="22"/>
          <w:szCs w:val="22"/>
        </w:rPr>
        <w:t xml:space="preserve"> are likely, as a result</w:t>
      </w:r>
      <w:r w:rsidR="004F787B" w:rsidRPr="004F787B">
        <w:rPr>
          <w:rFonts w:ascii="Garamond" w:hAnsi="Garamond"/>
          <w:sz w:val="22"/>
          <w:szCs w:val="22"/>
        </w:rPr>
        <w:t>.</w:t>
      </w:r>
    </w:p>
    <w:p w14:paraId="2603BDAA"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p>
    <w:p w14:paraId="788FF39A"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3.3. Financial market developments</w:t>
      </w:r>
    </w:p>
    <w:p w14:paraId="45815AC6" w14:textId="77777777" w:rsidR="009D336B" w:rsidRPr="00EE5F0F" w:rsidRDefault="00242EA6" w:rsidP="00334AFE">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 xml:space="preserve">In the </w:t>
      </w:r>
      <w:r w:rsidR="00414CB6">
        <w:rPr>
          <w:rFonts w:ascii="Garamond" w:hAnsi="Garamond"/>
          <w:b/>
          <w:sz w:val="22"/>
          <w:szCs w:val="22"/>
        </w:rPr>
        <w:t>fourth</w:t>
      </w:r>
      <w:r w:rsidRPr="00EE5F0F">
        <w:rPr>
          <w:rFonts w:ascii="Garamond" w:hAnsi="Garamond"/>
          <w:b/>
          <w:sz w:val="22"/>
          <w:szCs w:val="22"/>
        </w:rPr>
        <w:t xml:space="preserve"> quarter of 2018, the Central Bank </w:t>
      </w:r>
      <w:r w:rsidR="00414CB6">
        <w:rPr>
          <w:rFonts w:ascii="Garamond" w:hAnsi="Garamond"/>
          <w:b/>
          <w:sz w:val="22"/>
          <w:szCs w:val="22"/>
        </w:rPr>
        <w:t xml:space="preserve">Board </w:t>
      </w:r>
      <w:r w:rsidRPr="00EE5F0F">
        <w:rPr>
          <w:rFonts w:ascii="Garamond" w:hAnsi="Garamond"/>
          <w:b/>
          <w:sz w:val="22"/>
          <w:szCs w:val="22"/>
        </w:rPr>
        <w:t>decided to leave the refinancing rate unchanged, at a 6% level.</w:t>
      </w:r>
      <w:r w:rsidR="00334AFE" w:rsidRPr="00EE5F0F">
        <w:rPr>
          <w:rFonts w:ascii="Garamond" w:hAnsi="Garamond"/>
          <w:b/>
          <w:sz w:val="22"/>
          <w:szCs w:val="22"/>
        </w:rPr>
        <w:t xml:space="preserve"> </w:t>
      </w:r>
    </w:p>
    <w:p w14:paraId="0E843347" w14:textId="77777777" w:rsidR="00242EA6" w:rsidRDefault="00414CB6"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w:t>
      </w:r>
      <w:r w:rsidRPr="00414CB6">
        <w:rPr>
          <w:rFonts w:ascii="Garamond" w:hAnsi="Garamond"/>
          <w:sz w:val="22"/>
          <w:szCs w:val="22"/>
        </w:rPr>
        <w:t xml:space="preserve">November and December, the </w:t>
      </w:r>
      <w:r>
        <w:rPr>
          <w:rFonts w:ascii="Garamond" w:hAnsi="Garamond"/>
          <w:sz w:val="22"/>
          <w:szCs w:val="22"/>
        </w:rPr>
        <w:t>Central Bank</w:t>
      </w:r>
      <w:r w:rsidRPr="00414CB6">
        <w:rPr>
          <w:rFonts w:ascii="Garamond" w:hAnsi="Garamond"/>
          <w:sz w:val="22"/>
          <w:szCs w:val="22"/>
        </w:rPr>
        <w:t xml:space="preserve"> </w:t>
      </w:r>
      <w:r>
        <w:rPr>
          <w:rFonts w:ascii="Garamond" w:hAnsi="Garamond"/>
          <w:sz w:val="22"/>
          <w:szCs w:val="22"/>
        </w:rPr>
        <w:t xml:space="preserve">Board preferred to </w:t>
      </w:r>
      <w:r w:rsidRPr="00414CB6">
        <w:rPr>
          <w:rFonts w:ascii="Garamond" w:hAnsi="Garamond"/>
          <w:sz w:val="22"/>
          <w:szCs w:val="22"/>
        </w:rPr>
        <w:t>leaving the refinancing rate un</w:t>
      </w:r>
      <w:r>
        <w:rPr>
          <w:rFonts w:ascii="Garamond" w:hAnsi="Garamond"/>
          <w:sz w:val="22"/>
          <w:szCs w:val="22"/>
        </w:rPr>
        <w:t>altered, estimating that the</w:t>
      </w:r>
      <w:r w:rsidR="00B93B36">
        <w:rPr>
          <w:rFonts w:ascii="Garamond" w:hAnsi="Garamond"/>
          <w:sz w:val="22"/>
          <w:szCs w:val="22"/>
        </w:rPr>
        <w:t xml:space="preserve"> policy rate’s </w:t>
      </w:r>
      <w:r>
        <w:rPr>
          <w:rFonts w:ascii="Garamond" w:hAnsi="Garamond"/>
          <w:sz w:val="22"/>
          <w:szCs w:val="22"/>
        </w:rPr>
        <w:t>current level</w:t>
      </w:r>
      <w:r w:rsidR="00B93B36">
        <w:rPr>
          <w:rFonts w:ascii="Garamond" w:hAnsi="Garamond"/>
          <w:sz w:val="22"/>
          <w:szCs w:val="22"/>
        </w:rPr>
        <w:t xml:space="preserve"> </w:t>
      </w:r>
      <w:r>
        <w:rPr>
          <w:rFonts w:ascii="Garamond" w:hAnsi="Garamond"/>
          <w:sz w:val="22"/>
          <w:szCs w:val="22"/>
        </w:rPr>
        <w:t>is stimulating enough for the inflation to follow a path to gradual recovery</w:t>
      </w:r>
      <w:r w:rsidR="00B93B36">
        <w:rPr>
          <w:rFonts w:ascii="Garamond" w:hAnsi="Garamond"/>
          <w:sz w:val="22"/>
          <w:szCs w:val="22"/>
        </w:rPr>
        <w:t xml:space="preserve">. </w:t>
      </w:r>
      <w:r w:rsidR="004B3EA5">
        <w:rPr>
          <w:rFonts w:ascii="Garamond" w:hAnsi="Garamond"/>
          <w:sz w:val="22"/>
          <w:szCs w:val="22"/>
        </w:rPr>
        <w:t xml:space="preserve">In </w:t>
      </w:r>
      <w:r w:rsidR="00B93B36">
        <w:rPr>
          <w:rFonts w:ascii="Garamond" w:hAnsi="Garamond"/>
          <w:sz w:val="22"/>
          <w:szCs w:val="22"/>
        </w:rPr>
        <w:t>view of predicted macroeconomic developments, maintaining monetary conditions expansionary for a longer period has been considered in the context of mid-term price stability, expecting that the inflation will remain low and stabilize around its 4% target at the end of forecast horizon. Looking to the existing inflationary risks</w:t>
      </w:r>
      <w:r w:rsidR="00C65D3C">
        <w:rPr>
          <w:rFonts w:ascii="Garamond" w:hAnsi="Garamond"/>
          <w:sz w:val="22"/>
          <w:szCs w:val="22"/>
        </w:rPr>
        <w:t xml:space="preserve">, </w:t>
      </w:r>
      <w:r w:rsidR="00C65D3C" w:rsidRPr="00C65D3C">
        <w:rPr>
          <w:rFonts w:ascii="Garamond" w:hAnsi="Garamond"/>
          <w:sz w:val="22"/>
          <w:szCs w:val="22"/>
        </w:rPr>
        <w:t xml:space="preserve">which were mostly on </w:t>
      </w:r>
      <w:r w:rsidR="00C65D3C">
        <w:rPr>
          <w:rFonts w:ascii="Garamond" w:hAnsi="Garamond"/>
          <w:sz w:val="22"/>
          <w:szCs w:val="22"/>
        </w:rPr>
        <w:t xml:space="preserve">a downside trend, </w:t>
      </w:r>
      <w:r w:rsidR="00C65D3C" w:rsidRPr="00C65D3C">
        <w:rPr>
          <w:rFonts w:ascii="Garamond" w:hAnsi="Garamond"/>
          <w:sz w:val="22"/>
          <w:szCs w:val="22"/>
        </w:rPr>
        <w:t xml:space="preserve">the </w:t>
      </w:r>
      <w:r w:rsidR="00C65D3C">
        <w:rPr>
          <w:rFonts w:ascii="Garamond" w:hAnsi="Garamond"/>
          <w:sz w:val="22"/>
          <w:szCs w:val="22"/>
        </w:rPr>
        <w:t xml:space="preserve">Board announced that </w:t>
      </w:r>
      <w:r w:rsidR="00217481">
        <w:rPr>
          <w:rFonts w:ascii="Garamond" w:hAnsi="Garamond"/>
          <w:sz w:val="22"/>
          <w:szCs w:val="22"/>
        </w:rPr>
        <w:t xml:space="preserve">if </w:t>
      </w:r>
      <w:r w:rsidR="00C65D3C">
        <w:rPr>
          <w:rFonts w:ascii="Garamond" w:hAnsi="Garamond"/>
          <w:sz w:val="22"/>
          <w:szCs w:val="22"/>
        </w:rPr>
        <w:t xml:space="preserve">such </w:t>
      </w:r>
      <w:r w:rsidR="006C281A">
        <w:rPr>
          <w:rFonts w:ascii="Garamond" w:hAnsi="Garamond"/>
          <w:sz w:val="22"/>
          <w:szCs w:val="22"/>
        </w:rPr>
        <w:t xml:space="preserve">risks </w:t>
      </w:r>
      <w:r w:rsidR="00C65D3C">
        <w:rPr>
          <w:rFonts w:ascii="Garamond" w:hAnsi="Garamond"/>
          <w:sz w:val="22"/>
          <w:szCs w:val="22"/>
        </w:rPr>
        <w:t xml:space="preserve">emerged, </w:t>
      </w:r>
      <w:r w:rsidR="00D81FC2">
        <w:rPr>
          <w:rFonts w:ascii="Garamond" w:hAnsi="Garamond"/>
          <w:sz w:val="22"/>
          <w:szCs w:val="22"/>
        </w:rPr>
        <w:t xml:space="preserve">the Central Bank would </w:t>
      </w:r>
      <w:r w:rsidR="00C65D3C">
        <w:rPr>
          <w:rFonts w:ascii="Garamond" w:hAnsi="Garamond"/>
          <w:sz w:val="22"/>
          <w:szCs w:val="22"/>
        </w:rPr>
        <w:t xml:space="preserve">steer the monetary policy direction </w:t>
      </w:r>
      <w:r w:rsidR="00194EA3">
        <w:rPr>
          <w:rFonts w:ascii="Garamond" w:hAnsi="Garamond"/>
          <w:sz w:val="22"/>
          <w:szCs w:val="22"/>
        </w:rPr>
        <w:t>accordingly</w:t>
      </w:r>
      <w:r w:rsidR="00C65D3C">
        <w:rPr>
          <w:rFonts w:ascii="Garamond" w:hAnsi="Garamond"/>
          <w:sz w:val="22"/>
          <w:szCs w:val="22"/>
        </w:rPr>
        <w:t xml:space="preserve">, while </w:t>
      </w:r>
      <w:r w:rsidR="00D81FC2">
        <w:rPr>
          <w:rFonts w:ascii="Garamond" w:hAnsi="Garamond"/>
          <w:sz w:val="22"/>
          <w:szCs w:val="22"/>
        </w:rPr>
        <w:t>ensuring price stability.</w:t>
      </w:r>
      <w:r w:rsidR="00242EA6" w:rsidRPr="00EE5F0F">
        <w:rPr>
          <w:rFonts w:ascii="Garamond" w:hAnsi="Garamond"/>
          <w:sz w:val="22"/>
          <w:szCs w:val="22"/>
        </w:rPr>
        <w:t xml:space="preserve"> </w:t>
      </w:r>
    </w:p>
    <w:p w14:paraId="00AFDA01" w14:textId="77777777" w:rsidR="00C65D3C" w:rsidRDefault="00C65D3C" w:rsidP="00242EA6">
      <w:pPr>
        <w:autoSpaceDE w:val="0"/>
        <w:autoSpaceDN w:val="0"/>
        <w:adjustRightInd w:val="0"/>
        <w:spacing w:after="120" w:line="360" w:lineRule="auto"/>
        <w:jc w:val="both"/>
        <w:rPr>
          <w:rFonts w:ascii="Garamond" w:hAnsi="Garamond"/>
          <w:b/>
          <w:color w:val="C00000"/>
          <w:sz w:val="22"/>
          <w:szCs w:val="22"/>
        </w:rPr>
      </w:pPr>
    </w:p>
    <w:p w14:paraId="754AF61B" w14:textId="77777777" w:rsidR="00194EA3" w:rsidRPr="00EE5F0F" w:rsidRDefault="00194EA3" w:rsidP="00242EA6">
      <w:pPr>
        <w:autoSpaceDE w:val="0"/>
        <w:autoSpaceDN w:val="0"/>
        <w:adjustRightInd w:val="0"/>
        <w:spacing w:after="120" w:line="360" w:lineRule="auto"/>
        <w:jc w:val="both"/>
        <w:rPr>
          <w:rFonts w:ascii="Garamond" w:hAnsi="Garamond"/>
          <w:sz w:val="22"/>
          <w:szCs w:val="22"/>
        </w:rPr>
      </w:pPr>
      <w:r>
        <w:rPr>
          <w:rFonts w:ascii="Garamond" w:hAnsi="Garamond"/>
          <w:b/>
          <w:color w:val="C00000"/>
          <w:sz w:val="22"/>
          <w:szCs w:val="22"/>
        </w:rPr>
        <w:lastRenderedPageBreak/>
        <w:t>Table 5:</w:t>
      </w:r>
    </w:p>
    <w:p w14:paraId="57D06E48" w14:textId="77777777" w:rsidR="001C08CC" w:rsidRDefault="00275357" w:rsidP="00062BF6">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275357">
        <w:rPr>
          <w:rFonts w:ascii="Garamond" w:hAnsi="Garamond"/>
          <w:sz w:val="22"/>
          <w:szCs w:val="22"/>
        </w:rPr>
        <w:t xml:space="preserve">he financial market </w:t>
      </w:r>
      <w:r w:rsidR="00C65D3C">
        <w:rPr>
          <w:rFonts w:ascii="Garamond" w:hAnsi="Garamond"/>
          <w:sz w:val="22"/>
          <w:szCs w:val="22"/>
        </w:rPr>
        <w:t xml:space="preserve">continued </w:t>
      </w:r>
      <w:r w:rsidR="005C761F">
        <w:rPr>
          <w:rFonts w:ascii="Garamond" w:hAnsi="Garamond"/>
          <w:sz w:val="22"/>
          <w:szCs w:val="22"/>
        </w:rPr>
        <w:t>perform</w:t>
      </w:r>
      <w:r w:rsidR="00C65D3C">
        <w:rPr>
          <w:rFonts w:ascii="Garamond" w:hAnsi="Garamond"/>
          <w:sz w:val="22"/>
          <w:szCs w:val="22"/>
        </w:rPr>
        <w:t xml:space="preserve">ing </w:t>
      </w:r>
      <w:r w:rsidRPr="00275357">
        <w:rPr>
          <w:rFonts w:ascii="Garamond" w:hAnsi="Garamond"/>
          <w:sz w:val="22"/>
          <w:szCs w:val="22"/>
        </w:rPr>
        <w:t>st</w:t>
      </w:r>
      <w:r w:rsidR="005C761F">
        <w:rPr>
          <w:rFonts w:ascii="Garamond" w:hAnsi="Garamond"/>
          <w:sz w:val="22"/>
          <w:szCs w:val="22"/>
        </w:rPr>
        <w:t>ead</w:t>
      </w:r>
      <w:r w:rsidR="00C65D3C">
        <w:rPr>
          <w:rFonts w:ascii="Garamond" w:hAnsi="Garamond"/>
          <w:sz w:val="22"/>
          <w:szCs w:val="22"/>
        </w:rPr>
        <w:t>il</w:t>
      </w:r>
      <w:r w:rsidR="005C761F">
        <w:rPr>
          <w:rFonts w:ascii="Garamond" w:hAnsi="Garamond"/>
          <w:sz w:val="22"/>
          <w:szCs w:val="22"/>
        </w:rPr>
        <w:t xml:space="preserve">y </w:t>
      </w:r>
      <w:r w:rsidR="00C65D3C">
        <w:rPr>
          <w:rFonts w:ascii="Garamond" w:hAnsi="Garamond"/>
          <w:sz w:val="22"/>
          <w:szCs w:val="22"/>
        </w:rPr>
        <w:t>during</w:t>
      </w:r>
      <w:r w:rsidR="005C761F">
        <w:rPr>
          <w:rFonts w:ascii="Garamond" w:hAnsi="Garamond"/>
          <w:sz w:val="22"/>
          <w:szCs w:val="22"/>
        </w:rPr>
        <w:t xml:space="preserve"> the </w:t>
      </w:r>
      <w:r w:rsidR="00C65D3C">
        <w:rPr>
          <w:rFonts w:ascii="Garamond" w:hAnsi="Garamond"/>
          <w:sz w:val="22"/>
          <w:szCs w:val="22"/>
        </w:rPr>
        <w:t>fourth</w:t>
      </w:r>
      <w:r w:rsidR="005C761F">
        <w:rPr>
          <w:rFonts w:ascii="Garamond" w:hAnsi="Garamond"/>
          <w:sz w:val="22"/>
          <w:szCs w:val="22"/>
        </w:rPr>
        <w:t xml:space="preserve"> quarter of 2018, with </w:t>
      </w:r>
      <w:r w:rsidRPr="00275357">
        <w:rPr>
          <w:rFonts w:ascii="Garamond" w:hAnsi="Garamond"/>
          <w:sz w:val="22"/>
          <w:szCs w:val="22"/>
        </w:rPr>
        <w:t xml:space="preserve">short-term </w:t>
      </w:r>
      <w:r w:rsidR="005C761F">
        <w:rPr>
          <w:rFonts w:ascii="Garamond" w:hAnsi="Garamond"/>
          <w:sz w:val="22"/>
          <w:szCs w:val="22"/>
        </w:rPr>
        <w:t xml:space="preserve">market rates shaped </w:t>
      </w:r>
      <w:r w:rsidRPr="00275357">
        <w:rPr>
          <w:rFonts w:ascii="Garamond" w:hAnsi="Garamond"/>
          <w:sz w:val="22"/>
          <w:szCs w:val="22"/>
        </w:rPr>
        <w:t>around the policy rate</w:t>
      </w:r>
      <w:r w:rsidR="005C761F">
        <w:rPr>
          <w:rFonts w:ascii="Garamond" w:hAnsi="Garamond"/>
          <w:sz w:val="22"/>
          <w:szCs w:val="22"/>
        </w:rPr>
        <w:t xml:space="preserve"> of the Central Bank</w:t>
      </w:r>
      <w:r w:rsidRPr="00275357">
        <w:rPr>
          <w:rFonts w:ascii="Garamond" w:hAnsi="Garamond"/>
          <w:sz w:val="22"/>
          <w:szCs w:val="22"/>
        </w:rPr>
        <w:t xml:space="preserve">. </w:t>
      </w:r>
      <w:r w:rsidR="00C65D3C">
        <w:rPr>
          <w:rFonts w:ascii="Garamond" w:hAnsi="Garamond"/>
          <w:sz w:val="22"/>
          <w:szCs w:val="22"/>
        </w:rPr>
        <w:t xml:space="preserve">To </w:t>
      </w:r>
      <w:r w:rsidR="00C65D3C" w:rsidRPr="00C65D3C">
        <w:rPr>
          <w:rFonts w:ascii="Garamond" w:hAnsi="Garamond"/>
          <w:sz w:val="22"/>
          <w:szCs w:val="22"/>
        </w:rPr>
        <w:t xml:space="preserve">keep short-term interest rates </w:t>
      </w:r>
      <w:r w:rsidR="00C65D3C">
        <w:rPr>
          <w:rFonts w:ascii="Garamond" w:hAnsi="Garamond"/>
          <w:sz w:val="22"/>
          <w:szCs w:val="22"/>
        </w:rPr>
        <w:t>around t</w:t>
      </w:r>
      <w:r w:rsidR="00C65D3C" w:rsidRPr="00C65D3C">
        <w:rPr>
          <w:rFonts w:ascii="Garamond" w:hAnsi="Garamond"/>
          <w:sz w:val="22"/>
          <w:szCs w:val="22"/>
        </w:rPr>
        <w:t xml:space="preserve">he </w:t>
      </w:r>
      <w:r w:rsidR="00C65D3C">
        <w:rPr>
          <w:rFonts w:ascii="Garamond" w:hAnsi="Garamond"/>
          <w:sz w:val="22"/>
          <w:szCs w:val="22"/>
        </w:rPr>
        <w:t xml:space="preserve">refinancing rate, </w:t>
      </w:r>
      <w:r w:rsidR="00C65D3C" w:rsidRPr="00C65D3C">
        <w:rPr>
          <w:rFonts w:ascii="Garamond" w:hAnsi="Garamond"/>
          <w:sz w:val="22"/>
          <w:szCs w:val="22"/>
        </w:rPr>
        <w:t xml:space="preserve">the Central Bank </w:t>
      </w:r>
      <w:r w:rsidR="00C65D3C">
        <w:rPr>
          <w:rFonts w:ascii="Garamond" w:hAnsi="Garamond"/>
          <w:sz w:val="22"/>
          <w:szCs w:val="22"/>
        </w:rPr>
        <w:t>a</w:t>
      </w:r>
      <w:r w:rsidR="00C65D3C" w:rsidRPr="00C65D3C">
        <w:rPr>
          <w:rFonts w:ascii="Garamond" w:hAnsi="Garamond"/>
          <w:sz w:val="22"/>
          <w:szCs w:val="22"/>
        </w:rPr>
        <w:t xml:space="preserve">lmost </w:t>
      </w:r>
      <w:r w:rsidR="00C65D3C">
        <w:rPr>
          <w:rFonts w:ascii="Garamond" w:hAnsi="Garamond"/>
          <w:sz w:val="22"/>
          <w:szCs w:val="22"/>
        </w:rPr>
        <w:t xml:space="preserve">entirely </w:t>
      </w:r>
      <w:r w:rsidR="00C65D3C" w:rsidRPr="00C65D3C">
        <w:rPr>
          <w:rFonts w:ascii="Garamond" w:hAnsi="Garamond"/>
          <w:sz w:val="22"/>
          <w:szCs w:val="22"/>
        </w:rPr>
        <w:t xml:space="preserve">satisfied </w:t>
      </w:r>
      <w:r w:rsidR="00C65D3C">
        <w:rPr>
          <w:rFonts w:ascii="Garamond" w:hAnsi="Garamond"/>
          <w:sz w:val="22"/>
          <w:szCs w:val="22"/>
        </w:rPr>
        <w:t xml:space="preserve">the </w:t>
      </w:r>
      <w:r w:rsidR="00C65D3C" w:rsidRPr="00C65D3C">
        <w:rPr>
          <w:rFonts w:ascii="Garamond" w:hAnsi="Garamond"/>
          <w:sz w:val="22"/>
          <w:szCs w:val="22"/>
        </w:rPr>
        <w:t xml:space="preserve">demand for liquidity </w:t>
      </w:r>
      <w:r w:rsidR="00C65D3C">
        <w:rPr>
          <w:rFonts w:ascii="Garamond" w:hAnsi="Garamond"/>
          <w:sz w:val="22"/>
          <w:szCs w:val="22"/>
        </w:rPr>
        <w:t xml:space="preserve">during the quarter through its </w:t>
      </w:r>
      <w:r w:rsidR="00C65D3C" w:rsidRPr="00C65D3C">
        <w:rPr>
          <w:rFonts w:ascii="Garamond" w:hAnsi="Garamond"/>
          <w:sz w:val="22"/>
          <w:szCs w:val="22"/>
        </w:rPr>
        <w:t xml:space="preserve">liquidity </w:t>
      </w:r>
      <w:r w:rsidR="00C65D3C">
        <w:rPr>
          <w:rFonts w:ascii="Garamond" w:hAnsi="Garamond"/>
          <w:sz w:val="22"/>
          <w:szCs w:val="22"/>
        </w:rPr>
        <w:t xml:space="preserve">injection </w:t>
      </w:r>
      <w:r w:rsidR="00C65D3C" w:rsidRPr="00C65D3C">
        <w:rPr>
          <w:rFonts w:ascii="Garamond" w:hAnsi="Garamond"/>
          <w:sz w:val="22"/>
          <w:szCs w:val="22"/>
        </w:rPr>
        <w:t>tools.</w:t>
      </w:r>
      <w:r w:rsidR="00C65D3C">
        <w:rPr>
          <w:rFonts w:ascii="Garamond" w:hAnsi="Garamond"/>
          <w:sz w:val="22"/>
          <w:szCs w:val="22"/>
        </w:rPr>
        <w:t xml:space="preserve"> T</w:t>
      </w:r>
      <w:r w:rsidR="00C65D3C" w:rsidRPr="00EE5F0F">
        <w:rPr>
          <w:rFonts w:ascii="Garamond" w:hAnsi="Garamond"/>
          <w:sz w:val="22"/>
          <w:szCs w:val="22"/>
        </w:rPr>
        <w:t xml:space="preserve">he </w:t>
      </w:r>
      <w:r w:rsidR="001C08CC">
        <w:rPr>
          <w:rFonts w:ascii="Garamond" w:hAnsi="Garamond"/>
          <w:sz w:val="22"/>
          <w:szCs w:val="22"/>
        </w:rPr>
        <w:t xml:space="preserve">quarterly </w:t>
      </w:r>
      <w:r w:rsidR="00C65D3C" w:rsidRPr="00EE5F0F">
        <w:rPr>
          <w:rFonts w:ascii="Garamond" w:hAnsi="Garamond"/>
          <w:sz w:val="22"/>
          <w:szCs w:val="22"/>
        </w:rPr>
        <w:t xml:space="preserve">interbank repo </w:t>
      </w:r>
      <w:r w:rsidR="00C65D3C">
        <w:rPr>
          <w:rFonts w:ascii="Garamond" w:hAnsi="Garamond"/>
          <w:sz w:val="22"/>
          <w:szCs w:val="22"/>
        </w:rPr>
        <w:t xml:space="preserve">(up to 7-day) </w:t>
      </w:r>
      <w:r w:rsidR="00C65D3C" w:rsidRPr="00EE5F0F">
        <w:rPr>
          <w:rFonts w:ascii="Garamond" w:hAnsi="Garamond"/>
          <w:sz w:val="22"/>
          <w:szCs w:val="22"/>
        </w:rPr>
        <w:t xml:space="preserve">rate </w:t>
      </w:r>
      <w:r w:rsidR="001C08CC">
        <w:rPr>
          <w:rFonts w:ascii="Garamond" w:hAnsi="Garamond"/>
          <w:sz w:val="22"/>
          <w:szCs w:val="22"/>
        </w:rPr>
        <w:t xml:space="preserve">was </w:t>
      </w:r>
      <w:r w:rsidR="00C65D3C">
        <w:rPr>
          <w:rFonts w:ascii="Garamond" w:hAnsi="Garamond"/>
          <w:sz w:val="22"/>
          <w:szCs w:val="22"/>
        </w:rPr>
        <w:t>6</w:t>
      </w:r>
      <w:r w:rsidR="00C65D3C" w:rsidRPr="00EE5F0F">
        <w:rPr>
          <w:rFonts w:ascii="Garamond" w:hAnsi="Garamond"/>
          <w:sz w:val="22"/>
          <w:szCs w:val="22"/>
        </w:rPr>
        <w:t>.</w:t>
      </w:r>
      <w:r w:rsidR="00C65D3C">
        <w:rPr>
          <w:rFonts w:ascii="Garamond" w:hAnsi="Garamond"/>
          <w:sz w:val="22"/>
          <w:szCs w:val="22"/>
        </w:rPr>
        <w:t>1</w:t>
      </w:r>
      <w:r w:rsidR="001C08CC">
        <w:rPr>
          <w:rFonts w:ascii="Garamond" w:hAnsi="Garamond"/>
          <w:sz w:val="22"/>
          <w:szCs w:val="22"/>
        </w:rPr>
        <w:t>5</w:t>
      </w:r>
      <w:r w:rsidR="00C65D3C" w:rsidRPr="00EE5F0F">
        <w:rPr>
          <w:rFonts w:ascii="Garamond" w:hAnsi="Garamond"/>
          <w:sz w:val="22"/>
          <w:szCs w:val="22"/>
        </w:rPr>
        <w:t>%</w:t>
      </w:r>
      <w:r w:rsidR="001C08CC">
        <w:rPr>
          <w:rFonts w:ascii="Garamond" w:hAnsi="Garamond"/>
          <w:sz w:val="22"/>
          <w:szCs w:val="22"/>
        </w:rPr>
        <w:t>.</w:t>
      </w:r>
    </w:p>
    <w:p w14:paraId="7223AAED" w14:textId="77777777" w:rsidR="00A64428" w:rsidRDefault="001C08CC" w:rsidP="00062BF6">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1C08CC">
        <w:rPr>
          <w:rFonts w:ascii="Garamond" w:hAnsi="Garamond"/>
          <w:sz w:val="22"/>
          <w:szCs w:val="22"/>
        </w:rPr>
        <w:t xml:space="preserve">he financial market participants </w:t>
      </w:r>
      <w:r>
        <w:rPr>
          <w:rFonts w:ascii="Garamond" w:hAnsi="Garamond"/>
          <w:sz w:val="22"/>
          <w:szCs w:val="22"/>
        </w:rPr>
        <w:t xml:space="preserve">also demonstrated stable expectations over the quarter, with no </w:t>
      </w:r>
      <w:r w:rsidRPr="001C08CC">
        <w:rPr>
          <w:rFonts w:ascii="Garamond" w:hAnsi="Garamond"/>
          <w:sz w:val="22"/>
          <w:szCs w:val="22"/>
        </w:rPr>
        <w:t xml:space="preserve">significant </w:t>
      </w:r>
      <w:r>
        <w:rPr>
          <w:rFonts w:ascii="Garamond" w:hAnsi="Garamond"/>
          <w:sz w:val="22"/>
          <w:szCs w:val="22"/>
        </w:rPr>
        <w:t xml:space="preserve">shifts noticeable with regard to the </w:t>
      </w:r>
      <w:r w:rsidRPr="001C08CC">
        <w:rPr>
          <w:rFonts w:ascii="Garamond" w:hAnsi="Garamond"/>
          <w:sz w:val="22"/>
          <w:szCs w:val="22"/>
        </w:rPr>
        <w:t>yield of government bonds</w:t>
      </w:r>
      <w:r>
        <w:rPr>
          <w:rFonts w:ascii="Garamond" w:hAnsi="Garamond"/>
          <w:sz w:val="22"/>
          <w:szCs w:val="22"/>
        </w:rPr>
        <w:t xml:space="preserve">, as a result. </w:t>
      </w:r>
      <w:r w:rsidRPr="001C08CC">
        <w:rPr>
          <w:rFonts w:ascii="Garamond" w:hAnsi="Garamond"/>
          <w:sz w:val="22"/>
          <w:szCs w:val="22"/>
        </w:rPr>
        <w:t xml:space="preserve">The yields of </w:t>
      </w:r>
      <w:r>
        <w:rPr>
          <w:rFonts w:ascii="Garamond" w:hAnsi="Garamond"/>
          <w:sz w:val="22"/>
          <w:szCs w:val="22"/>
        </w:rPr>
        <w:t>T-bills have shaped around the</w:t>
      </w:r>
      <w:r w:rsidRPr="001C08CC">
        <w:rPr>
          <w:rFonts w:ascii="Garamond" w:hAnsi="Garamond"/>
          <w:sz w:val="22"/>
          <w:szCs w:val="22"/>
        </w:rPr>
        <w:t xml:space="preserve"> C</w:t>
      </w:r>
      <w:r>
        <w:rPr>
          <w:rFonts w:ascii="Garamond" w:hAnsi="Garamond"/>
          <w:sz w:val="22"/>
          <w:szCs w:val="22"/>
        </w:rPr>
        <w:t xml:space="preserve">entral </w:t>
      </w:r>
      <w:r w:rsidRPr="001C08CC">
        <w:rPr>
          <w:rFonts w:ascii="Garamond" w:hAnsi="Garamond"/>
          <w:sz w:val="22"/>
          <w:szCs w:val="22"/>
        </w:rPr>
        <w:t>B</w:t>
      </w:r>
      <w:r>
        <w:rPr>
          <w:rFonts w:ascii="Garamond" w:hAnsi="Garamond"/>
          <w:sz w:val="22"/>
          <w:szCs w:val="22"/>
        </w:rPr>
        <w:t>ank’s</w:t>
      </w:r>
      <w:r w:rsidRPr="001C08CC">
        <w:rPr>
          <w:rFonts w:ascii="Garamond" w:hAnsi="Garamond"/>
          <w:sz w:val="22"/>
          <w:szCs w:val="22"/>
        </w:rPr>
        <w:t xml:space="preserve"> policy rate, </w:t>
      </w:r>
      <w:r>
        <w:rPr>
          <w:rFonts w:ascii="Garamond" w:hAnsi="Garamond"/>
          <w:sz w:val="22"/>
          <w:szCs w:val="22"/>
        </w:rPr>
        <w:t xml:space="preserve">showing patterns typical of the money </w:t>
      </w:r>
      <w:r w:rsidRPr="001C08CC">
        <w:rPr>
          <w:rFonts w:ascii="Garamond" w:hAnsi="Garamond"/>
          <w:sz w:val="22"/>
          <w:szCs w:val="22"/>
        </w:rPr>
        <w:t>market</w:t>
      </w:r>
      <w:r>
        <w:rPr>
          <w:rFonts w:ascii="Garamond" w:hAnsi="Garamond"/>
          <w:sz w:val="22"/>
          <w:szCs w:val="22"/>
        </w:rPr>
        <w:t>.</w:t>
      </w:r>
      <w:r w:rsidR="00062BF6" w:rsidRPr="001C08CC">
        <w:rPr>
          <w:rFonts w:ascii="Garamond" w:hAnsi="Garamond"/>
          <w:sz w:val="22"/>
          <w:szCs w:val="22"/>
        </w:rPr>
        <w:t xml:space="preserve"> </w:t>
      </w:r>
    </w:p>
    <w:p w14:paraId="5D614014" w14:textId="77777777" w:rsidR="00AA49B4" w:rsidRPr="001C08CC" w:rsidRDefault="00AA49B4" w:rsidP="00062BF6">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With </w:t>
      </w:r>
      <w:r w:rsidRPr="00AA49B4">
        <w:rPr>
          <w:rFonts w:ascii="Garamond" w:hAnsi="Garamond"/>
          <w:sz w:val="22"/>
          <w:szCs w:val="22"/>
        </w:rPr>
        <w:t xml:space="preserve">a high level of capitalization of the banking system and </w:t>
      </w:r>
      <w:r>
        <w:rPr>
          <w:rFonts w:ascii="Garamond" w:hAnsi="Garamond"/>
          <w:sz w:val="22"/>
          <w:szCs w:val="22"/>
        </w:rPr>
        <w:t xml:space="preserve">expansionary </w:t>
      </w:r>
      <w:r w:rsidRPr="00AA49B4">
        <w:rPr>
          <w:rFonts w:ascii="Garamond" w:hAnsi="Garamond"/>
          <w:sz w:val="22"/>
          <w:szCs w:val="22"/>
        </w:rPr>
        <w:t>monetary policy pursued by the C</w:t>
      </w:r>
      <w:r>
        <w:rPr>
          <w:rFonts w:ascii="Garamond" w:hAnsi="Garamond"/>
          <w:sz w:val="22"/>
          <w:szCs w:val="22"/>
        </w:rPr>
        <w:t xml:space="preserve">entral </w:t>
      </w:r>
      <w:r w:rsidRPr="00AA49B4">
        <w:rPr>
          <w:rFonts w:ascii="Garamond" w:hAnsi="Garamond"/>
          <w:sz w:val="22"/>
          <w:szCs w:val="22"/>
        </w:rPr>
        <w:t>B</w:t>
      </w:r>
      <w:r>
        <w:rPr>
          <w:rFonts w:ascii="Garamond" w:hAnsi="Garamond"/>
          <w:sz w:val="22"/>
          <w:szCs w:val="22"/>
        </w:rPr>
        <w:t>ank</w:t>
      </w:r>
      <w:r w:rsidRPr="00AA49B4">
        <w:rPr>
          <w:rFonts w:ascii="Garamond" w:hAnsi="Garamond"/>
          <w:sz w:val="22"/>
          <w:szCs w:val="22"/>
        </w:rPr>
        <w:t xml:space="preserve">, </w:t>
      </w:r>
      <w:r>
        <w:rPr>
          <w:rFonts w:ascii="Garamond" w:hAnsi="Garamond"/>
          <w:sz w:val="22"/>
          <w:szCs w:val="22"/>
        </w:rPr>
        <w:t>bank lending tended to grow by volume d</w:t>
      </w:r>
      <w:r w:rsidRPr="00AA49B4">
        <w:rPr>
          <w:rFonts w:ascii="Garamond" w:hAnsi="Garamond"/>
          <w:sz w:val="22"/>
          <w:szCs w:val="22"/>
        </w:rPr>
        <w:t>uring the fourth quarter</w:t>
      </w:r>
      <w:r>
        <w:rPr>
          <w:rFonts w:ascii="Garamond" w:hAnsi="Garamond"/>
          <w:sz w:val="22"/>
          <w:szCs w:val="22"/>
        </w:rPr>
        <w:t xml:space="preserve"> of 2018. Notwithstanding </w:t>
      </w:r>
      <w:r w:rsidRPr="00AA49B4">
        <w:rPr>
          <w:rFonts w:ascii="Garamond" w:hAnsi="Garamond"/>
          <w:sz w:val="22"/>
          <w:szCs w:val="22"/>
        </w:rPr>
        <w:t xml:space="preserve">the slowdown in lending to </w:t>
      </w:r>
      <w:r>
        <w:rPr>
          <w:rFonts w:ascii="Garamond" w:hAnsi="Garamond"/>
          <w:sz w:val="22"/>
          <w:szCs w:val="22"/>
        </w:rPr>
        <w:t>firms</w:t>
      </w:r>
      <w:r w:rsidRPr="00AA49B4">
        <w:rPr>
          <w:rFonts w:ascii="Garamond" w:hAnsi="Garamond"/>
          <w:sz w:val="22"/>
          <w:szCs w:val="22"/>
        </w:rPr>
        <w:t xml:space="preserve">, </w:t>
      </w:r>
      <w:r w:rsidR="000C10D2">
        <w:rPr>
          <w:rFonts w:ascii="Garamond" w:hAnsi="Garamond"/>
          <w:sz w:val="22"/>
          <w:szCs w:val="22"/>
        </w:rPr>
        <w:t xml:space="preserve">further easing of </w:t>
      </w:r>
      <w:r>
        <w:rPr>
          <w:rFonts w:ascii="Garamond" w:hAnsi="Garamond"/>
          <w:sz w:val="22"/>
          <w:szCs w:val="22"/>
        </w:rPr>
        <w:t>terms and procedures for loan provision,</w:t>
      </w:r>
      <w:r w:rsidR="000C10D2">
        <w:rPr>
          <w:rFonts w:ascii="Garamond" w:hAnsi="Garamond"/>
          <w:sz w:val="22"/>
          <w:szCs w:val="22"/>
        </w:rPr>
        <w:t xml:space="preserve"> falling interest rates boosted up t</w:t>
      </w:r>
      <w:r w:rsidRPr="00AA49B4">
        <w:rPr>
          <w:rFonts w:ascii="Garamond" w:hAnsi="Garamond"/>
          <w:sz w:val="22"/>
          <w:szCs w:val="22"/>
        </w:rPr>
        <w:t>he overall lending</w:t>
      </w:r>
      <w:r w:rsidR="000C10D2">
        <w:rPr>
          <w:rFonts w:ascii="Garamond" w:hAnsi="Garamond"/>
          <w:sz w:val="22"/>
          <w:szCs w:val="22"/>
        </w:rPr>
        <w:t xml:space="preserve"> over the quarter, supported</w:t>
      </w:r>
      <w:r w:rsidRPr="00AA49B4">
        <w:rPr>
          <w:rFonts w:ascii="Garamond" w:hAnsi="Garamond"/>
          <w:sz w:val="22"/>
          <w:szCs w:val="22"/>
        </w:rPr>
        <w:t xml:space="preserve"> </w:t>
      </w:r>
      <w:r w:rsidR="000C10D2">
        <w:rPr>
          <w:rFonts w:ascii="Garamond" w:hAnsi="Garamond"/>
          <w:sz w:val="22"/>
          <w:szCs w:val="22"/>
        </w:rPr>
        <w:t xml:space="preserve">by </w:t>
      </w:r>
      <w:r w:rsidRPr="00AA49B4">
        <w:rPr>
          <w:rFonts w:ascii="Garamond" w:hAnsi="Garamond"/>
          <w:sz w:val="22"/>
          <w:szCs w:val="22"/>
        </w:rPr>
        <w:t xml:space="preserve">the growth in consumer and mortgage loans. The quarterly </w:t>
      </w:r>
      <w:r w:rsidR="000C10D2">
        <w:rPr>
          <w:rFonts w:ascii="Garamond" w:hAnsi="Garamond"/>
          <w:sz w:val="22"/>
          <w:szCs w:val="22"/>
        </w:rPr>
        <w:t>l</w:t>
      </w:r>
      <w:r w:rsidRPr="00AA49B4">
        <w:rPr>
          <w:rFonts w:ascii="Garamond" w:hAnsi="Garamond"/>
          <w:sz w:val="22"/>
          <w:szCs w:val="22"/>
        </w:rPr>
        <w:t xml:space="preserve">ending </w:t>
      </w:r>
      <w:r w:rsidR="000C10D2">
        <w:rPr>
          <w:rFonts w:ascii="Garamond" w:hAnsi="Garamond"/>
          <w:sz w:val="22"/>
          <w:szCs w:val="22"/>
        </w:rPr>
        <w:t xml:space="preserve">growth indicator amounted to </w:t>
      </w:r>
      <w:r w:rsidRPr="00AA49B4">
        <w:rPr>
          <w:rFonts w:ascii="Garamond" w:hAnsi="Garamond"/>
          <w:sz w:val="22"/>
          <w:szCs w:val="22"/>
        </w:rPr>
        <w:t>3.7%</w:t>
      </w:r>
      <w:r w:rsidR="000C10D2">
        <w:rPr>
          <w:rFonts w:ascii="Garamond" w:hAnsi="Garamond"/>
          <w:sz w:val="22"/>
          <w:szCs w:val="22"/>
        </w:rPr>
        <w:t xml:space="preserve"> owing to a</w:t>
      </w:r>
      <w:r w:rsidRPr="00AA49B4">
        <w:rPr>
          <w:rFonts w:ascii="Garamond" w:hAnsi="Garamond"/>
          <w:sz w:val="22"/>
          <w:szCs w:val="22"/>
        </w:rPr>
        <w:t xml:space="preserve"> 10.5% increase </w:t>
      </w:r>
      <w:r w:rsidR="000C10D2">
        <w:rPr>
          <w:rFonts w:ascii="Garamond" w:hAnsi="Garamond"/>
          <w:sz w:val="22"/>
          <w:szCs w:val="22"/>
        </w:rPr>
        <w:t>in loans provided in local currency</w:t>
      </w:r>
      <w:r w:rsidRPr="00AA49B4">
        <w:rPr>
          <w:rFonts w:ascii="Garamond" w:hAnsi="Garamond"/>
          <w:sz w:val="22"/>
          <w:szCs w:val="22"/>
        </w:rPr>
        <w:t xml:space="preserve">. The 12-month growth of total lending to the economy </w:t>
      </w:r>
      <w:r w:rsidR="000C10D2">
        <w:rPr>
          <w:rFonts w:ascii="Garamond" w:hAnsi="Garamond"/>
          <w:sz w:val="22"/>
          <w:szCs w:val="22"/>
        </w:rPr>
        <w:t xml:space="preserve">in </w:t>
      </w:r>
      <w:r w:rsidR="000C10D2" w:rsidRPr="00AA49B4">
        <w:rPr>
          <w:rFonts w:ascii="Garamond" w:hAnsi="Garamond"/>
          <w:sz w:val="22"/>
          <w:szCs w:val="22"/>
        </w:rPr>
        <w:t xml:space="preserve">December </w:t>
      </w:r>
      <w:r w:rsidR="000C10D2">
        <w:rPr>
          <w:rFonts w:ascii="Garamond" w:hAnsi="Garamond"/>
          <w:sz w:val="22"/>
          <w:szCs w:val="22"/>
        </w:rPr>
        <w:t xml:space="preserve">of </w:t>
      </w:r>
      <w:r w:rsidR="000C10D2" w:rsidRPr="00AA49B4">
        <w:rPr>
          <w:rFonts w:ascii="Garamond" w:hAnsi="Garamond"/>
          <w:sz w:val="22"/>
          <w:szCs w:val="22"/>
        </w:rPr>
        <w:t xml:space="preserve">2018 </w:t>
      </w:r>
      <w:r w:rsidR="000C10D2">
        <w:rPr>
          <w:rFonts w:ascii="Garamond" w:hAnsi="Garamond"/>
          <w:sz w:val="22"/>
          <w:szCs w:val="22"/>
        </w:rPr>
        <w:t xml:space="preserve">reached </w:t>
      </w:r>
      <w:r w:rsidRPr="00AA49B4">
        <w:rPr>
          <w:rFonts w:ascii="Garamond" w:hAnsi="Garamond"/>
          <w:sz w:val="22"/>
          <w:szCs w:val="22"/>
        </w:rPr>
        <w:t xml:space="preserve">17.2%. </w:t>
      </w:r>
      <w:r w:rsidR="000C10D2">
        <w:rPr>
          <w:rFonts w:ascii="Garamond" w:hAnsi="Garamond"/>
          <w:sz w:val="22"/>
          <w:szCs w:val="22"/>
        </w:rPr>
        <w:t xml:space="preserve">The falling of </w:t>
      </w:r>
      <w:r w:rsidRPr="00AA49B4">
        <w:rPr>
          <w:rFonts w:ascii="Garamond" w:hAnsi="Garamond"/>
          <w:sz w:val="22"/>
          <w:szCs w:val="22"/>
        </w:rPr>
        <w:t>interest rates was m</w:t>
      </w:r>
      <w:r w:rsidR="000C10D2">
        <w:rPr>
          <w:rFonts w:ascii="Garamond" w:hAnsi="Garamond"/>
          <w:sz w:val="22"/>
          <w:szCs w:val="22"/>
        </w:rPr>
        <w:t>ore expressly demonstrable with local currency loans provided to individuals</w:t>
      </w:r>
      <w:r w:rsidRPr="00AA49B4">
        <w:rPr>
          <w:rFonts w:ascii="Garamond" w:hAnsi="Garamond"/>
          <w:sz w:val="22"/>
          <w:szCs w:val="22"/>
        </w:rPr>
        <w:t>.</w:t>
      </w:r>
    </w:p>
    <w:p w14:paraId="76E43460" w14:textId="77777777" w:rsidR="00ED1126" w:rsidRPr="00EE5F0F" w:rsidRDefault="00ED1126" w:rsidP="00F40F99">
      <w:pPr>
        <w:spacing w:line="360" w:lineRule="auto"/>
        <w:jc w:val="both"/>
        <w:rPr>
          <w:rFonts w:ascii="Garamond" w:hAnsi="Garamond"/>
          <w:b/>
          <w:sz w:val="22"/>
          <w:szCs w:val="22"/>
        </w:rPr>
      </w:pPr>
    </w:p>
    <w:p w14:paraId="2BBA4368" w14:textId="77777777" w:rsidR="00ED1126" w:rsidRPr="00EE5F0F" w:rsidRDefault="00ED1126" w:rsidP="00F40F99">
      <w:pPr>
        <w:spacing w:line="360" w:lineRule="auto"/>
        <w:jc w:val="both"/>
        <w:rPr>
          <w:rFonts w:ascii="Garamond" w:hAnsi="Garamond"/>
          <w:b/>
          <w:sz w:val="22"/>
          <w:szCs w:val="22"/>
        </w:rPr>
      </w:pPr>
    </w:p>
    <w:p w14:paraId="23B8C26D" w14:textId="77777777" w:rsidR="00ED1126" w:rsidRPr="00EE5F0F" w:rsidRDefault="00ED1126" w:rsidP="00F40F99">
      <w:pPr>
        <w:spacing w:line="360" w:lineRule="auto"/>
        <w:jc w:val="both"/>
        <w:rPr>
          <w:rFonts w:ascii="Garamond" w:hAnsi="Garamond"/>
          <w:b/>
          <w:sz w:val="22"/>
          <w:szCs w:val="22"/>
        </w:rPr>
      </w:pPr>
    </w:p>
    <w:p w14:paraId="02079AAE" w14:textId="77777777" w:rsidR="00563050" w:rsidRPr="00163C85" w:rsidRDefault="00563050" w:rsidP="00563050">
      <w:pPr>
        <w:spacing w:line="360" w:lineRule="auto"/>
        <w:jc w:val="center"/>
        <w:rPr>
          <w:rFonts w:ascii="Garamond" w:hAnsi="Garamond"/>
          <w:b/>
          <w:bCs/>
          <w:color w:val="0070C0"/>
          <w:sz w:val="22"/>
          <w:szCs w:val="22"/>
        </w:rPr>
      </w:pPr>
      <w:r w:rsidRPr="00163C85">
        <w:rPr>
          <w:rFonts w:ascii="Garamond" w:hAnsi="Garamond"/>
          <w:b/>
          <w:bCs/>
          <w:color w:val="0070C0"/>
          <w:sz w:val="22"/>
          <w:szCs w:val="22"/>
        </w:rPr>
        <w:t xml:space="preserve">BOARD </w:t>
      </w:r>
      <w:r>
        <w:rPr>
          <w:rFonts w:ascii="Garamond" w:hAnsi="Garamond"/>
          <w:b/>
          <w:bCs/>
          <w:color w:val="0070C0"/>
          <w:sz w:val="22"/>
          <w:szCs w:val="22"/>
        </w:rPr>
        <w:t xml:space="preserve">MEETING </w:t>
      </w:r>
      <w:r w:rsidRPr="00163C85">
        <w:rPr>
          <w:rFonts w:ascii="Garamond" w:hAnsi="Garamond"/>
          <w:b/>
          <w:bCs/>
          <w:color w:val="0070C0"/>
          <w:sz w:val="22"/>
          <w:szCs w:val="22"/>
        </w:rPr>
        <w:t>OF THE CBA</w:t>
      </w:r>
    </w:p>
    <w:p w14:paraId="78C5B8D5" w14:textId="77777777" w:rsidR="00563050" w:rsidRPr="00163C85" w:rsidRDefault="00563050" w:rsidP="00563050">
      <w:pPr>
        <w:spacing w:line="360" w:lineRule="auto"/>
        <w:jc w:val="center"/>
        <w:rPr>
          <w:rFonts w:ascii="Garamond" w:hAnsi="Garamond"/>
          <w:b/>
          <w:bCs/>
          <w:color w:val="0070C0"/>
          <w:sz w:val="22"/>
          <w:szCs w:val="22"/>
        </w:rPr>
      </w:pPr>
    </w:p>
    <w:p w14:paraId="5450C95A" w14:textId="77777777" w:rsidR="00563050" w:rsidRPr="00163C85" w:rsidRDefault="00563050" w:rsidP="00563050">
      <w:pPr>
        <w:spacing w:line="360" w:lineRule="auto"/>
        <w:jc w:val="center"/>
        <w:rPr>
          <w:rFonts w:ascii="Garamond" w:hAnsi="Garamond"/>
          <w:b/>
          <w:bCs/>
          <w:color w:val="0070C0"/>
          <w:sz w:val="22"/>
          <w:szCs w:val="22"/>
        </w:rPr>
      </w:pPr>
      <w:r w:rsidRPr="00163C85">
        <w:rPr>
          <w:rFonts w:ascii="Garamond" w:hAnsi="Garamond"/>
          <w:b/>
          <w:bCs/>
          <w:color w:val="0070C0"/>
          <w:sz w:val="22"/>
          <w:szCs w:val="22"/>
        </w:rPr>
        <w:t>MINUTES</w:t>
      </w:r>
    </w:p>
    <w:p w14:paraId="3A4969EC" w14:textId="77777777" w:rsidR="00563050" w:rsidRPr="00163C85" w:rsidRDefault="00563050" w:rsidP="00563050">
      <w:pPr>
        <w:spacing w:line="360" w:lineRule="auto"/>
        <w:jc w:val="center"/>
        <w:rPr>
          <w:rFonts w:ascii="Garamond" w:hAnsi="Garamond"/>
          <w:b/>
          <w:bCs/>
          <w:sz w:val="22"/>
          <w:szCs w:val="22"/>
        </w:rPr>
      </w:pPr>
      <w:r w:rsidRPr="00163C85">
        <w:rPr>
          <w:rFonts w:ascii="Garamond" w:hAnsi="Garamond"/>
          <w:b/>
          <w:bCs/>
          <w:color w:val="0070C0"/>
          <w:sz w:val="22"/>
          <w:szCs w:val="22"/>
        </w:rPr>
        <w:t>(</w:t>
      </w:r>
      <w:r>
        <w:rPr>
          <w:rFonts w:ascii="Garamond" w:hAnsi="Garamond"/>
          <w:b/>
          <w:bCs/>
          <w:color w:val="0070C0"/>
          <w:sz w:val="22"/>
          <w:szCs w:val="22"/>
        </w:rPr>
        <w:t>12</w:t>
      </w:r>
      <w:r w:rsidRPr="00163C85">
        <w:rPr>
          <w:rFonts w:ascii="Garamond" w:hAnsi="Garamond"/>
          <w:b/>
          <w:bCs/>
          <w:color w:val="0070C0"/>
          <w:sz w:val="22"/>
          <w:szCs w:val="22"/>
        </w:rPr>
        <w:t>.</w:t>
      </w:r>
      <w:r>
        <w:rPr>
          <w:rFonts w:ascii="Garamond" w:hAnsi="Garamond"/>
          <w:b/>
          <w:bCs/>
          <w:color w:val="0070C0"/>
          <w:sz w:val="22"/>
          <w:szCs w:val="22"/>
        </w:rPr>
        <w:t>03</w:t>
      </w:r>
      <w:r w:rsidRPr="00163C85">
        <w:rPr>
          <w:rFonts w:ascii="Garamond" w:hAnsi="Garamond"/>
          <w:b/>
          <w:bCs/>
          <w:color w:val="0070C0"/>
          <w:sz w:val="22"/>
          <w:szCs w:val="22"/>
        </w:rPr>
        <w:t>.201</w:t>
      </w:r>
      <w:r>
        <w:rPr>
          <w:rFonts w:ascii="Garamond" w:hAnsi="Garamond"/>
          <w:b/>
          <w:bCs/>
          <w:color w:val="0070C0"/>
          <w:sz w:val="22"/>
          <w:szCs w:val="22"/>
        </w:rPr>
        <w:t>9</w:t>
      </w:r>
      <w:r w:rsidRPr="00163C85">
        <w:rPr>
          <w:rFonts w:ascii="Garamond" w:hAnsi="Garamond"/>
          <w:b/>
          <w:bCs/>
          <w:color w:val="0070C0"/>
          <w:sz w:val="22"/>
          <w:szCs w:val="22"/>
        </w:rPr>
        <w:t>)</w:t>
      </w:r>
    </w:p>
    <w:p w14:paraId="2D714F9D" w14:textId="77777777" w:rsidR="00563050" w:rsidRPr="00163C85" w:rsidRDefault="00563050" w:rsidP="00563050">
      <w:pPr>
        <w:spacing w:line="360" w:lineRule="auto"/>
        <w:jc w:val="center"/>
        <w:rPr>
          <w:rFonts w:ascii="Garamond" w:hAnsi="Garamond"/>
          <w:b/>
          <w:bCs/>
          <w:sz w:val="22"/>
          <w:szCs w:val="22"/>
        </w:rPr>
      </w:pPr>
    </w:p>
    <w:p w14:paraId="6F07FB72" w14:textId="77777777" w:rsidR="00563050" w:rsidRPr="00163C85" w:rsidRDefault="00563050" w:rsidP="00563050">
      <w:pPr>
        <w:spacing w:line="360" w:lineRule="auto"/>
        <w:jc w:val="center"/>
        <w:rPr>
          <w:rFonts w:ascii="Garamond" w:hAnsi="Garamond"/>
          <w:color w:val="0070C0"/>
          <w:sz w:val="22"/>
          <w:szCs w:val="22"/>
        </w:rPr>
      </w:pPr>
      <w:r w:rsidRPr="00163C85">
        <w:rPr>
          <w:rFonts w:ascii="Garamond" w:hAnsi="Garamond"/>
          <w:b/>
          <w:bCs/>
          <w:color w:val="0070C0"/>
          <w:sz w:val="22"/>
          <w:szCs w:val="22"/>
        </w:rPr>
        <w:t>On the Refinancing Rate</w:t>
      </w:r>
    </w:p>
    <w:p w14:paraId="20463436" w14:textId="77777777" w:rsidR="00563050" w:rsidRPr="00163C85" w:rsidRDefault="00563050" w:rsidP="00563050">
      <w:pPr>
        <w:spacing w:line="360" w:lineRule="auto"/>
        <w:jc w:val="center"/>
        <w:rPr>
          <w:rFonts w:ascii="Garamond" w:hAnsi="Garamond"/>
          <w:sz w:val="22"/>
          <w:szCs w:val="22"/>
        </w:rPr>
      </w:pPr>
    </w:p>
    <w:p w14:paraId="404DAF65" w14:textId="77777777" w:rsidR="00563050" w:rsidRPr="00F4105E" w:rsidRDefault="00563050" w:rsidP="00563050">
      <w:pPr>
        <w:pStyle w:val="BodyText"/>
        <w:spacing w:line="360" w:lineRule="auto"/>
        <w:jc w:val="center"/>
        <w:rPr>
          <w:rFonts w:ascii="Sylfaen" w:hAnsi="Sylfaen"/>
          <w:b/>
          <w:lang w:val="hy-AM"/>
        </w:rPr>
      </w:pPr>
      <w:r w:rsidRPr="00163C85">
        <w:rPr>
          <w:rFonts w:ascii="Garamond" w:hAnsi="Garamond"/>
          <w:b/>
        </w:rPr>
        <w:t xml:space="preserve">The CBA Board Meeting of </w:t>
      </w:r>
      <w:r>
        <w:rPr>
          <w:rFonts w:ascii="Garamond" w:hAnsi="Garamond"/>
          <w:b/>
        </w:rPr>
        <w:t>March</w:t>
      </w:r>
      <w:r w:rsidRPr="00163C85">
        <w:rPr>
          <w:rFonts w:ascii="Garamond" w:hAnsi="Garamond"/>
          <w:b/>
          <w:bCs/>
        </w:rPr>
        <w:t xml:space="preserve"> </w:t>
      </w:r>
      <w:r>
        <w:rPr>
          <w:rFonts w:ascii="Garamond" w:hAnsi="Garamond"/>
          <w:b/>
          <w:bCs/>
        </w:rPr>
        <w:t>12</w:t>
      </w:r>
      <w:r w:rsidRPr="00163C85">
        <w:rPr>
          <w:rFonts w:ascii="Garamond" w:hAnsi="Garamond"/>
          <w:b/>
          <w:bCs/>
        </w:rPr>
        <w:t>, 201</w:t>
      </w:r>
      <w:r>
        <w:rPr>
          <w:rFonts w:ascii="Garamond" w:hAnsi="Garamond"/>
          <w:b/>
          <w:bCs/>
        </w:rPr>
        <w:t>9</w:t>
      </w:r>
      <w:r w:rsidRPr="00163C85">
        <w:rPr>
          <w:rFonts w:ascii="Garamond" w:hAnsi="Garamond"/>
          <w:b/>
        </w:rPr>
        <w:t xml:space="preserve"> attended by Deputy Chairm</w:t>
      </w:r>
      <w:r>
        <w:rPr>
          <w:rFonts w:ascii="Garamond" w:hAnsi="Garamond"/>
          <w:b/>
        </w:rPr>
        <w:t>e</w:t>
      </w:r>
      <w:r w:rsidRPr="00163C85">
        <w:rPr>
          <w:rFonts w:ascii="Garamond" w:hAnsi="Garamond"/>
          <w:b/>
        </w:rPr>
        <w:t xml:space="preserve">n </w:t>
      </w:r>
      <w:r>
        <w:rPr>
          <w:rFonts w:ascii="Garamond" w:hAnsi="Garamond"/>
          <w:b/>
        </w:rPr>
        <w:t>Nerses Yeritsyan and Vakhtang Abrahamyan</w:t>
      </w:r>
      <w:r w:rsidRPr="00163C85">
        <w:rPr>
          <w:rFonts w:ascii="Garamond" w:hAnsi="Garamond"/>
          <w:b/>
        </w:rPr>
        <w:t>, and Board Members Ashot Mkrtchyan, Arthur Stepanyan</w:t>
      </w:r>
      <w:r>
        <w:rPr>
          <w:rFonts w:ascii="Garamond" w:hAnsi="Garamond"/>
          <w:b/>
        </w:rPr>
        <w:t>, Armenak Darbinyan, Oleg Aghasyan, and Martin Galstyan</w:t>
      </w:r>
    </w:p>
    <w:p w14:paraId="7F4E7CDF" w14:textId="77777777" w:rsidR="00563050" w:rsidRPr="00163C85" w:rsidRDefault="00563050" w:rsidP="00563050">
      <w:pPr>
        <w:spacing w:line="360" w:lineRule="auto"/>
        <w:jc w:val="both"/>
        <w:rPr>
          <w:rFonts w:ascii="Garamond" w:hAnsi="Garamond"/>
          <w:sz w:val="22"/>
          <w:szCs w:val="22"/>
        </w:rPr>
      </w:pPr>
    </w:p>
    <w:p w14:paraId="01196649" w14:textId="77777777" w:rsidR="00563050" w:rsidRPr="00163C85" w:rsidRDefault="00563050" w:rsidP="00563050">
      <w:pPr>
        <w:spacing w:line="360" w:lineRule="auto"/>
        <w:jc w:val="both"/>
        <w:rPr>
          <w:rFonts w:ascii="Garamond" w:hAnsi="Garamond"/>
          <w:sz w:val="22"/>
          <w:szCs w:val="22"/>
        </w:rPr>
      </w:pPr>
      <w:r w:rsidRPr="00163C85">
        <w:rPr>
          <w:rFonts w:ascii="Garamond" w:hAnsi="Garamond"/>
          <w:sz w:val="22"/>
          <w:szCs w:val="22"/>
        </w:rPr>
        <w:t xml:space="preserve">The Board meeting opened with presentation of the </w:t>
      </w:r>
      <w:r>
        <w:rPr>
          <w:rFonts w:ascii="Garamond" w:hAnsi="Garamond"/>
          <w:sz w:val="22"/>
          <w:szCs w:val="22"/>
        </w:rPr>
        <w:t>Situation Report as of March</w:t>
      </w:r>
      <w:r w:rsidRPr="00163C85">
        <w:rPr>
          <w:rFonts w:ascii="Garamond" w:hAnsi="Garamond"/>
          <w:sz w:val="22"/>
          <w:szCs w:val="22"/>
        </w:rPr>
        <w:t xml:space="preserve"> </w:t>
      </w:r>
      <w:r>
        <w:rPr>
          <w:rFonts w:ascii="Garamond" w:hAnsi="Garamond"/>
          <w:sz w:val="22"/>
          <w:szCs w:val="22"/>
        </w:rPr>
        <w:t>12</w:t>
      </w:r>
      <w:r w:rsidRPr="00163C85">
        <w:rPr>
          <w:rFonts w:ascii="Garamond" w:hAnsi="Garamond"/>
          <w:bCs/>
          <w:sz w:val="22"/>
          <w:szCs w:val="22"/>
        </w:rPr>
        <w:t>, 201</w:t>
      </w:r>
      <w:r>
        <w:rPr>
          <w:rFonts w:ascii="Garamond" w:hAnsi="Garamond"/>
          <w:bCs/>
          <w:sz w:val="22"/>
          <w:szCs w:val="22"/>
        </w:rPr>
        <w:t>9</w:t>
      </w:r>
      <w:r w:rsidRPr="00163C85">
        <w:rPr>
          <w:rFonts w:ascii="Garamond" w:hAnsi="Garamond"/>
          <w:sz w:val="22"/>
          <w:szCs w:val="22"/>
        </w:rPr>
        <w:t xml:space="preserve">. It addressed </w:t>
      </w:r>
      <w:r>
        <w:rPr>
          <w:rFonts w:ascii="Garamond" w:hAnsi="Garamond"/>
          <w:sz w:val="22"/>
          <w:szCs w:val="22"/>
        </w:rPr>
        <w:t xml:space="preserve">the </w:t>
      </w:r>
      <w:r w:rsidRPr="00163C85">
        <w:rPr>
          <w:rFonts w:ascii="Garamond" w:hAnsi="Garamond"/>
          <w:sz w:val="22"/>
          <w:szCs w:val="22"/>
        </w:rPr>
        <w:t xml:space="preserve">developments on </w:t>
      </w:r>
      <w:r>
        <w:rPr>
          <w:rFonts w:ascii="Garamond" w:hAnsi="Garamond"/>
          <w:sz w:val="22"/>
          <w:szCs w:val="22"/>
        </w:rPr>
        <w:t xml:space="preserve">the </w:t>
      </w:r>
      <w:r w:rsidRPr="00163C85">
        <w:rPr>
          <w:rFonts w:ascii="Garamond" w:hAnsi="Garamond"/>
          <w:sz w:val="22"/>
          <w:szCs w:val="22"/>
        </w:rPr>
        <w:t xml:space="preserve">inflation, external environment and real, fiscal and monetary sectors of the economy. </w:t>
      </w:r>
    </w:p>
    <w:p w14:paraId="4675A7F4" w14:textId="77777777" w:rsidR="00563050" w:rsidRPr="00163C85" w:rsidRDefault="00563050" w:rsidP="00563050">
      <w:pPr>
        <w:spacing w:line="360" w:lineRule="auto"/>
        <w:jc w:val="both"/>
        <w:rPr>
          <w:rFonts w:ascii="Garamond" w:hAnsi="Garamond"/>
          <w:sz w:val="22"/>
          <w:szCs w:val="22"/>
        </w:rPr>
      </w:pPr>
    </w:p>
    <w:p w14:paraId="2AB926A4" w14:textId="77777777" w:rsidR="00563050" w:rsidRDefault="00563050" w:rsidP="00563050">
      <w:pPr>
        <w:spacing w:line="360" w:lineRule="auto"/>
        <w:jc w:val="both"/>
        <w:rPr>
          <w:rFonts w:ascii="Garamond" w:hAnsi="Garamond"/>
          <w:sz w:val="22"/>
          <w:szCs w:val="22"/>
        </w:rPr>
      </w:pPr>
      <w:r>
        <w:rPr>
          <w:rFonts w:ascii="Garamond" w:hAnsi="Garamond"/>
          <w:sz w:val="22"/>
          <w:szCs w:val="22"/>
        </w:rPr>
        <w:lastRenderedPageBreak/>
        <w:t xml:space="preserve">There was </w:t>
      </w:r>
      <w:r w:rsidRPr="00F4105E">
        <w:rPr>
          <w:rFonts w:ascii="Garamond" w:hAnsi="Garamond"/>
          <w:b/>
          <w:sz w:val="22"/>
          <w:szCs w:val="22"/>
        </w:rPr>
        <w:t>0.6% inflation in February of 2019, which was totally due to changed prices in commodity group “Food and non-alcoholic beverage”</w:t>
      </w:r>
      <w:r w:rsidRPr="00FC09E1">
        <w:rPr>
          <w:rFonts w:ascii="Garamond" w:hAnsi="Garamond"/>
          <w:b/>
          <w:sz w:val="22"/>
          <w:szCs w:val="22"/>
        </w:rPr>
        <w:t>.</w:t>
      </w:r>
      <w:r>
        <w:rPr>
          <w:rFonts w:ascii="Garamond" w:hAnsi="Garamond"/>
          <w:sz w:val="22"/>
          <w:szCs w:val="22"/>
        </w:rPr>
        <w:t xml:space="preserve"> In particular, in groups such as “</w:t>
      </w:r>
      <w:r w:rsidRPr="0068746F">
        <w:rPr>
          <w:rFonts w:ascii="Garamond" w:hAnsi="Garamond"/>
          <w:sz w:val="22"/>
          <w:szCs w:val="22"/>
        </w:rPr>
        <w:t>Fruit</w:t>
      </w:r>
      <w:r>
        <w:rPr>
          <w:rFonts w:ascii="Garamond" w:hAnsi="Garamond"/>
          <w:sz w:val="22"/>
          <w:szCs w:val="22"/>
        </w:rPr>
        <w:t>” and</w:t>
      </w:r>
      <w:r w:rsidRPr="0068746F">
        <w:rPr>
          <w:rFonts w:ascii="Garamond" w:hAnsi="Garamond"/>
          <w:sz w:val="22"/>
          <w:szCs w:val="22"/>
        </w:rPr>
        <w:t xml:space="preserve"> </w:t>
      </w:r>
      <w:r>
        <w:rPr>
          <w:rFonts w:ascii="Garamond" w:hAnsi="Garamond"/>
          <w:sz w:val="22"/>
          <w:szCs w:val="22"/>
        </w:rPr>
        <w:t>“</w:t>
      </w:r>
      <w:r w:rsidRPr="0068746F">
        <w:rPr>
          <w:rFonts w:ascii="Garamond" w:hAnsi="Garamond"/>
          <w:sz w:val="22"/>
          <w:szCs w:val="22"/>
        </w:rPr>
        <w:t>Vegetable</w:t>
      </w:r>
      <w:r>
        <w:rPr>
          <w:rFonts w:ascii="Garamond" w:hAnsi="Garamond"/>
          <w:sz w:val="22"/>
          <w:szCs w:val="22"/>
        </w:rPr>
        <w:t>” the prices grew during the month by 1.7% and 7.4%, respectively (with a combined contribution of 0.5 pp to the</w:t>
      </w:r>
      <w:r w:rsidRPr="00163C85">
        <w:rPr>
          <w:rFonts w:ascii="Garamond" w:hAnsi="Garamond"/>
          <w:sz w:val="22"/>
          <w:szCs w:val="22"/>
        </w:rPr>
        <w:t xml:space="preserve"> </w:t>
      </w:r>
      <w:r>
        <w:rPr>
          <w:rFonts w:ascii="Garamond" w:hAnsi="Garamond"/>
          <w:sz w:val="22"/>
          <w:szCs w:val="22"/>
        </w:rPr>
        <w:t xml:space="preserve">month’s </w:t>
      </w:r>
      <w:r w:rsidRPr="00163C85">
        <w:rPr>
          <w:rFonts w:ascii="Garamond" w:hAnsi="Garamond"/>
          <w:sz w:val="22"/>
          <w:szCs w:val="22"/>
        </w:rPr>
        <w:t>inflation</w:t>
      </w:r>
      <w:r>
        <w:rPr>
          <w:rFonts w:ascii="Garamond" w:hAnsi="Garamond"/>
          <w:sz w:val="22"/>
          <w:szCs w:val="22"/>
        </w:rPr>
        <w:t>).</w:t>
      </w:r>
      <w:r w:rsidRPr="0068746F">
        <w:rPr>
          <w:rFonts w:ascii="Garamond" w:hAnsi="Garamond"/>
          <w:sz w:val="22"/>
          <w:szCs w:val="22"/>
        </w:rPr>
        <w:t xml:space="preserve"> </w:t>
      </w:r>
      <w:r>
        <w:rPr>
          <w:rFonts w:ascii="Garamond" w:hAnsi="Garamond"/>
          <w:sz w:val="22"/>
          <w:szCs w:val="22"/>
        </w:rPr>
        <w:t>In February, n</w:t>
      </w:r>
      <w:r w:rsidRPr="00F4105E">
        <w:rPr>
          <w:rFonts w:ascii="Garamond" w:hAnsi="Garamond"/>
          <w:sz w:val="22"/>
          <w:szCs w:val="22"/>
        </w:rPr>
        <w:t xml:space="preserve">on-food prices and </w:t>
      </w:r>
      <w:r>
        <w:rPr>
          <w:rFonts w:ascii="Garamond" w:hAnsi="Garamond"/>
          <w:sz w:val="22"/>
          <w:szCs w:val="22"/>
        </w:rPr>
        <w:t xml:space="preserve">service </w:t>
      </w:r>
      <w:r w:rsidRPr="00F4105E">
        <w:rPr>
          <w:rFonts w:ascii="Garamond" w:hAnsi="Garamond"/>
          <w:sz w:val="22"/>
          <w:szCs w:val="22"/>
        </w:rPr>
        <w:t xml:space="preserve">tariffs declined by 0.4% and 0.1%, respectively. As a result, </w:t>
      </w:r>
      <w:r w:rsidRPr="00B04B64">
        <w:rPr>
          <w:rFonts w:ascii="Garamond" w:hAnsi="Garamond"/>
          <w:sz w:val="22"/>
          <w:szCs w:val="22"/>
        </w:rPr>
        <w:t xml:space="preserve">the 12-month inflation </w:t>
      </w:r>
      <w:r>
        <w:rPr>
          <w:rFonts w:ascii="Garamond" w:hAnsi="Garamond"/>
          <w:sz w:val="22"/>
          <w:szCs w:val="22"/>
        </w:rPr>
        <w:t xml:space="preserve">rate grew during the month, amounting to 1.9% as opposed to </w:t>
      </w:r>
      <w:r w:rsidRPr="00F4105E">
        <w:rPr>
          <w:rFonts w:ascii="Garamond" w:hAnsi="Garamond"/>
          <w:sz w:val="22"/>
          <w:szCs w:val="22"/>
        </w:rPr>
        <w:t xml:space="preserve">0.5% deflation </w:t>
      </w:r>
      <w:r>
        <w:rPr>
          <w:rFonts w:ascii="Garamond" w:hAnsi="Garamond"/>
          <w:sz w:val="22"/>
          <w:szCs w:val="22"/>
        </w:rPr>
        <w:t>registered for</w:t>
      </w:r>
      <w:r w:rsidRPr="00F4105E">
        <w:rPr>
          <w:rFonts w:ascii="Garamond" w:hAnsi="Garamond"/>
          <w:sz w:val="22"/>
          <w:szCs w:val="22"/>
        </w:rPr>
        <w:t xml:space="preserve"> the same month of the previous year</w:t>
      </w:r>
      <w:r>
        <w:rPr>
          <w:rFonts w:ascii="Garamond" w:hAnsi="Garamond"/>
          <w:sz w:val="22"/>
          <w:szCs w:val="22"/>
        </w:rPr>
        <w:t xml:space="preserve">. </w:t>
      </w:r>
      <w:r w:rsidRPr="00F4105E">
        <w:rPr>
          <w:rFonts w:ascii="Garamond" w:hAnsi="Garamond"/>
          <w:sz w:val="22"/>
          <w:szCs w:val="22"/>
        </w:rPr>
        <w:t xml:space="preserve">Unlike </w:t>
      </w:r>
      <w:r>
        <w:rPr>
          <w:rFonts w:ascii="Garamond" w:hAnsi="Garamond"/>
          <w:sz w:val="22"/>
          <w:szCs w:val="22"/>
        </w:rPr>
        <w:t xml:space="preserve">headline inflation, the </w:t>
      </w:r>
      <w:r w:rsidRPr="00FC09E1">
        <w:rPr>
          <w:rFonts w:ascii="Garamond" w:hAnsi="Garamond"/>
          <w:b/>
          <w:sz w:val="22"/>
          <w:szCs w:val="22"/>
        </w:rPr>
        <w:t>12-month core inflation continued reducing during the month</w:t>
      </w:r>
      <w:r>
        <w:rPr>
          <w:rFonts w:ascii="Garamond" w:hAnsi="Garamond"/>
          <w:b/>
          <w:sz w:val="22"/>
          <w:szCs w:val="22"/>
        </w:rPr>
        <w:t>,</w:t>
      </w:r>
      <w:r w:rsidRPr="00FC09E1">
        <w:rPr>
          <w:rFonts w:ascii="Garamond" w:hAnsi="Garamond"/>
          <w:b/>
          <w:sz w:val="22"/>
          <w:szCs w:val="22"/>
        </w:rPr>
        <w:t xml:space="preserve"> to 1.3% compared </w:t>
      </w:r>
      <w:r>
        <w:rPr>
          <w:rFonts w:ascii="Garamond" w:hAnsi="Garamond"/>
          <w:b/>
          <w:sz w:val="22"/>
          <w:szCs w:val="22"/>
        </w:rPr>
        <w:t xml:space="preserve">with </w:t>
      </w:r>
      <w:r w:rsidRPr="00FC09E1">
        <w:rPr>
          <w:rFonts w:ascii="Garamond" w:hAnsi="Garamond"/>
          <w:b/>
          <w:sz w:val="22"/>
          <w:szCs w:val="22"/>
        </w:rPr>
        <w:t>2.6% recorded for the start of the year.</w:t>
      </w:r>
      <w:r w:rsidRPr="00692BD5">
        <w:rPr>
          <w:rFonts w:ascii="Garamond" w:hAnsi="Garamond"/>
          <w:sz w:val="22"/>
          <w:szCs w:val="22"/>
        </w:rPr>
        <w:t xml:space="preserve"> </w:t>
      </w:r>
    </w:p>
    <w:p w14:paraId="1C0C2F35" w14:textId="77777777" w:rsidR="00563050" w:rsidRPr="00163C85" w:rsidRDefault="00563050" w:rsidP="00563050">
      <w:pPr>
        <w:spacing w:line="360" w:lineRule="auto"/>
        <w:jc w:val="both"/>
        <w:rPr>
          <w:rFonts w:ascii="Garamond" w:hAnsi="Garamond"/>
          <w:sz w:val="22"/>
          <w:szCs w:val="22"/>
        </w:rPr>
      </w:pPr>
    </w:p>
    <w:p w14:paraId="1A7BBEA0" w14:textId="77777777" w:rsidR="00563050" w:rsidRDefault="00563050" w:rsidP="00563050">
      <w:pPr>
        <w:spacing w:line="360" w:lineRule="auto"/>
        <w:jc w:val="both"/>
        <w:rPr>
          <w:rFonts w:ascii="Garamond" w:hAnsi="Garamond"/>
          <w:sz w:val="22"/>
          <w:szCs w:val="22"/>
        </w:rPr>
      </w:pPr>
      <w:r>
        <w:rPr>
          <w:rFonts w:ascii="Garamond" w:hAnsi="Garamond"/>
          <w:sz w:val="22"/>
          <w:szCs w:val="22"/>
        </w:rPr>
        <w:t>A</w:t>
      </w:r>
      <w:r w:rsidRPr="00163C85">
        <w:rPr>
          <w:rFonts w:ascii="Garamond" w:hAnsi="Garamond"/>
          <w:sz w:val="22"/>
          <w:szCs w:val="22"/>
        </w:rPr>
        <w:t>ddress</w:t>
      </w:r>
      <w:r>
        <w:rPr>
          <w:rFonts w:ascii="Garamond" w:hAnsi="Garamond"/>
          <w:sz w:val="22"/>
          <w:szCs w:val="22"/>
        </w:rPr>
        <w:t xml:space="preserve">ing </w:t>
      </w:r>
      <w:r w:rsidRPr="00163C85">
        <w:rPr>
          <w:rFonts w:ascii="Garamond" w:hAnsi="Garamond"/>
          <w:sz w:val="22"/>
          <w:szCs w:val="22"/>
        </w:rPr>
        <w:t xml:space="preserve">the </w:t>
      </w:r>
      <w:r>
        <w:rPr>
          <w:rFonts w:ascii="Garamond" w:hAnsi="Garamond"/>
          <w:sz w:val="22"/>
          <w:szCs w:val="22"/>
        </w:rPr>
        <w:t xml:space="preserve">current </w:t>
      </w:r>
      <w:r w:rsidRPr="00163C85">
        <w:rPr>
          <w:rFonts w:ascii="Garamond" w:hAnsi="Garamond"/>
          <w:sz w:val="22"/>
          <w:szCs w:val="22"/>
        </w:rPr>
        <w:t xml:space="preserve">economic </w:t>
      </w:r>
      <w:r>
        <w:rPr>
          <w:rFonts w:ascii="Garamond" w:hAnsi="Garamond"/>
          <w:sz w:val="22"/>
          <w:szCs w:val="22"/>
        </w:rPr>
        <w:t xml:space="preserve">environment, the Board stated that </w:t>
      </w:r>
      <w:r w:rsidRPr="00FD36BB">
        <w:rPr>
          <w:rFonts w:ascii="Garamond" w:hAnsi="Garamond"/>
          <w:sz w:val="22"/>
          <w:szCs w:val="22"/>
        </w:rPr>
        <w:t xml:space="preserve">economic </w:t>
      </w:r>
      <w:r>
        <w:rPr>
          <w:rFonts w:ascii="Garamond" w:hAnsi="Garamond"/>
          <w:sz w:val="22"/>
          <w:szCs w:val="22"/>
        </w:rPr>
        <w:t xml:space="preserve">activity </w:t>
      </w:r>
      <w:r w:rsidRPr="00774AD0">
        <w:rPr>
          <w:rFonts w:ascii="Garamond" w:hAnsi="Garamond"/>
          <w:b/>
          <w:sz w:val="22"/>
          <w:szCs w:val="22"/>
        </w:rPr>
        <w:t>in the fourth quarter of 2018 was higher-than-expected, owing to the growth in services, trade and construction,</w:t>
      </w:r>
      <w:r w:rsidRPr="00774AD0">
        <w:rPr>
          <w:rFonts w:ascii="Garamond" w:hAnsi="Garamond"/>
          <w:sz w:val="22"/>
          <w:szCs w:val="22"/>
        </w:rPr>
        <w:t xml:space="preserve"> as a result of which the year </w:t>
      </w:r>
      <w:r>
        <w:rPr>
          <w:rFonts w:ascii="Garamond" w:hAnsi="Garamond"/>
          <w:sz w:val="22"/>
          <w:szCs w:val="22"/>
        </w:rPr>
        <w:t xml:space="preserve">ended with a </w:t>
      </w:r>
      <w:r w:rsidRPr="00774AD0">
        <w:rPr>
          <w:rFonts w:ascii="Garamond" w:hAnsi="Garamond"/>
          <w:sz w:val="22"/>
          <w:szCs w:val="22"/>
        </w:rPr>
        <w:t>5.2% economic growth.</w:t>
      </w:r>
      <w:r>
        <w:rPr>
          <w:rFonts w:ascii="Garamond" w:hAnsi="Garamond"/>
          <w:sz w:val="22"/>
          <w:szCs w:val="22"/>
        </w:rPr>
        <w:t xml:space="preserve"> </w:t>
      </w:r>
      <w:r w:rsidRPr="00774AD0">
        <w:rPr>
          <w:rFonts w:ascii="Garamond" w:hAnsi="Garamond"/>
          <w:sz w:val="22"/>
          <w:szCs w:val="22"/>
        </w:rPr>
        <w:t xml:space="preserve">From </w:t>
      </w:r>
      <w:r>
        <w:rPr>
          <w:rFonts w:ascii="Garamond" w:hAnsi="Garamond"/>
          <w:sz w:val="22"/>
          <w:szCs w:val="22"/>
        </w:rPr>
        <w:t xml:space="preserve">a demand </w:t>
      </w:r>
      <w:r w:rsidRPr="00774AD0">
        <w:rPr>
          <w:rFonts w:ascii="Garamond" w:hAnsi="Garamond"/>
          <w:sz w:val="22"/>
          <w:szCs w:val="22"/>
        </w:rPr>
        <w:t>point of view</w:t>
      </w:r>
      <w:r>
        <w:rPr>
          <w:rFonts w:ascii="Garamond" w:hAnsi="Garamond"/>
          <w:sz w:val="22"/>
          <w:szCs w:val="22"/>
        </w:rPr>
        <w:t>,</w:t>
      </w:r>
      <w:r w:rsidRPr="00774AD0">
        <w:rPr>
          <w:rFonts w:ascii="Garamond" w:hAnsi="Garamond"/>
          <w:sz w:val="22"/>
          <w:szCs w:val="22"/>
        </w:rPr>
        <w:t xml:space="preserve"> th</w:t>
      </w:r>
      <w:r>
        <w:rPr>
          <w:rFonts w:ascii="Garamond" w:hAnsi="Garamond"/>
          <w:sz w:val="22"/>
          <w:szCs w:val="22"/>
        </w:rPr>
        <w:t>at</w:t>
      </w:r>
      <w:r w:rsidRPr="00774AD0">
        <w:rPr>
          <w:rFonts w:ascii="Garamond" w:hAnsi="Garamond"/>
          <w:sz w:val="22"/>
          <w:szCs w:val="22"/>
        </w:rPr>
        <w:t xml:space="preserve"> </w:t>
      </w:r>
      <w:r>
        <w:rPr>
          <w:rFonts w:ascii="Garamond" w:hAnsi="Garamond"/>
          <w:sz w:val="22"/>
          <w:szCs w:val="22"/>
        </w:rPr>
        <w:t xml:space="preserve">was </w:t>
      </w:r>
      <w:r w:rsidRPr="00774AD0">
        <w:rPr>
          <w:rFonts w:ascii="Garamond" w:hAnsi="Garamond"/>
          <w:sz w:val="22"/>
          <w:szCs w:val="22"/>
        </w:rPr>
        <w:t xml:space="preserve">reflected </w:t>
      </w:r>
      <w:r>
        <w:rPr>
          <w:rFonts w:ascii="Garamond" w:hAnsi="Garamond"/>
          <w:sz w:val="22"/>
          <w:szCs w:val="22"/>
        </w:rPr>
        <w:t>in strong priv</w:t>
      </w:r>
      <w:r w:rsidRPr="00774AD0">
        <w:rPr>
          <w:rFonts w:ascii="Garamond" w:hAnsi="Garamond"/>
          <w:sz w:val="22"/>
          <w:szCs w:val="22"/>
        </w:rPr>
        <w:t>ate consumption</w:t>
      </w:r>
      <w:r>
        <w:rPr>
          <w:rFonts w:ascii="Garamond" w:hAnsi="Garamond"/>
          <w:sz w:val="22"/>
          <w:szCs w:val="22"/>
        </w:rPr>
        <w:t xml:space="preserve"> growth</w:t>
      </w:r>
      <w:r w:rsidRPr="00774AD0">
        <w:rPr>
          <w:rFonts w:ascii="Garamond" w:hAnsi="Garamond"/>
          <w:sz w:val="22"/>
          <w:szCs w:val="22"/>
        </w:rPr>
        <w:t xml:space="preserve">, </w:t>
      </w:r>
      <w:r>
        <w:rPr>
          <w:rFonts w:ascii="Garamond" w:hAnsi="Garamond"/>
          <w:sz w:val="22"/>
          <w:szCs w:val="22"/>
        </w:rPr>
        <w:t xml:space="preserve">which was largely driven by </w:t>
      </w:r>
      <w:r w:rsidRPr="00774AD0">
        <w:rPr>
          <w:rFonts w:ascii="Garamond" w:hAnsi="Garamond"/>
          <w:sz w:val="22"/>
          <w:szCs w:val="22"/>
        </w:rPr>
        <w:t>grow</w:t>
      </w:r>
      <w:r>
        <w:rPr>
          <w:rFonts w:ascii="Garamond" w:hAnsi="Garamond"/>
          <w:sz w:val="22"/>
          <w:szCs w:val="22"/>
        </w:rPr>
        <w:t xml:space="preserve">n </w:t>
      </w:r>
      <w:r w:rsidRPr="00774AD0">
        <w:rPr>
          <w:rFonts w:ascii="Garamond" w:hAnsi="Garamond"/>
          <w:sz w:val="22"/>
          <w:szCs w:val="22"/>
        </w:rPr>
        <w:t>lending to the economy.</w:t>
      </w:r>
      <w:r>
        <w:rPr>
          <w:rFonts w:ascii="Garamond" w:hAnsi="Garamond"/>
          <w:sz w:val="22"/>
          <w:szCs w:val="22"/>
        </w:rPr>
        <w:t xml:space="preserve"> At the same time, the </w:t>
      </w:r>
      <w:r w:rsidRPr="00774AD0">
        <w:rPr>
          <w:rFonts w:ascii="Garamond" w:hAnsi="Garamond"/>
          <w:b/>
          <w:sz w:val="22"/>
          <w:szCs w:val="22"/>
        </w:rPr>
        <w:t xml:space="preserve">domestic demand growth was somewhat </w:t>
      </w:r>
      <w:r>
        <w:rPr>
          <w:rFonts w:ascii="Garamond" w:hAnsi="Garamond"/>
          <w:b/>
          <w:sz w:val="22"/>
          <w:szCs w:val="22"/>
        </w:rPr>
        <w:t xml:space="preserve">contracted </w:t>
      </w:r>
      <w:r w:rsidRPr="00774AD0">
        <w:rPr>
          <w:rFonts w:ascii="Garamond" w:hAnsi="Garamond"/>
          <w:b/>
          <w:sz w:val="22"/>
          <w:szCs w:val="22"/>
        </w:rPr>
        <w:t>by the impact of the implemented fiscal policy.</w:t>
      </w:r>
      <w:r w:rsidRPr="00774AD0">
        <w:rPr>
          <w:rFonts w:ascii="Garamond" w:hAnsi="Garamond"/>
          <w:sz w:val="22"/>
          <w:szCs w:val="22"/>
        </w:rPr>
        <w:t xml:space="preserve"> These trends </w:t>
      </w:r>
      <w:r>
        <w:rPr>
          <w:rFonts w:ascii="Garamond" w:hAnsi="Garamond"/>
          <w:sz w:val="22"/>
          <w:szCs w:val="22"/>
        </w:rPr>
        <w:t xml:space="preserve">persisted in early </w:t>
      </w:r>
      <w:r w:rsidRPr="00774AD0">
        <w:rPr>
          <w:rFonts w:ascii="Garamond" w:hAnsi="Garamond"/>
          <w:sz w:val="22"/>
          <w:szCs w:val="22"/>
        </w:rPr>
        <w:t>2019</w:t>
      </w:r>
      <w:r>
        <w:rPr>
          <w:rFonts w:ascii="Garamond" w:hAnsi="Garamond"/>
          <w:sz w:val="22"/>
          <w:szCs w:val="22"/>
        </w:rPr>
        <w:t>: i</w:t>
      </w:r>
      <w:r w:rsidRPr="00774AD0">
        <w:rPr>
          <w:rFonts w:ascii="Garamond" w:hAnsi="Garamond"/>
          <w:sz w:val="22"/>
          <w:szCs w:val="22"/>
        </w:rPr>
        <w:t xml:space="preserve">n January, </w:t>
      </w:r>
      <w:r>
        <w:rPr>
          <w:rFonts w:ascii="Garamond" w:hAnsi="Garamond"/>
          <w:sz w:val="22"/>
          <w:szCs w:val="22"/>
        </w:rPr>
        <w:t xml:space="preserve">relative to the previous period last year, </w:t>
      </w:r>
      <w:r w:rsidRPr="00774AD0">
        <w:rPr>
          <w:rFonts w:ascii="Garamond" w:hAnsi="Garamond"/>
          <w:sz w:val="22"/>
          <w:szCs w:val="22"/>
        </w:rPr>
        <w:t>the economic activity ind</w:t>
      </w:r>
      <w:r>
        <w:rPr>
          <w:rFonts w:ascii="Garamond" w:hAnsi="Garamond"/>
          <w:sz w:val="22"/>
          <w:szCs w:val="22"/>
        </w:rPr>
        <w:t xml:space="preserve">icator has </w:t>
      </w:r>
      <w:r w:rsidRPr="00774AD0">
        <w:rPr>
          <w:rFonts w:ascii="Garamond" w:hAnsi="Garamond"/>
          <w:sz w:val="22"/>
          <w:szCs w:val="22"/>
        </w:rPr>
        <w:t>also exceeded the expected level</w:t>
      </w:r>
      <w:r>
        <w:rPr>
          <w:rFonts w:ascii="Garamond" w:hAnsi="Garamond"/>
          <w:sz w:val="22"/>
          <w:szCs w:val="22"/>
        </w:rPr>
        <w:t>, reaching</w:t>
      </w:r>
      <w:r w:rsidRPr="00774AD0">
        <w:rPr>
          <w:rFonts w:ascii="Garamond" w:hAnsi="Garamond"/>
          <w:sz w:val="22"/>
          <w:szCs w:val="22"/>
        </w:rPr>
        <w:t xml:space="preserve"> 6.1%, </w:t>
      </w:r>
      <w:r>
        <w:rPr>
          <w:rFonts w:ascii="Garamond" w:hAnsi="Garamond"/>
          <w:sz w:val="22"/>
          <w:szCs w:val="22"/>
        </w:rPr>
        <w:t xml:space="preserve">based on which the </w:t>
      </w:r>
      <w:r w:rsidRPr="00774AD0">
        <w:rPr>
          <w:rFonts w:ascii="Garamond" w:hAnsi="Garamond"/>
          <w:sz w:val="22"/>
          <w:szCs w:val="22"/>
        </w:rPr>
        <w:t xml:space="preserve">CBA </w:t>
      </w:r>
      <w:r>
        <w:rPr>
          <w:rFonts w:ascii="Garamond" w:hAnsi="Garamond"/>
          <w:sz w:val="22"/>
          <w:szCs w:val="22"/>
        </w:rPr>
        <w:t xml:space="preserve">made upside revision to </w:t>
      </w:r>
      <w:r w:rsidRPr="00774AD0">
        <w:rPr>
          <w:rFonts w:ascii="Garamond" w:hAnsi="Garamond"/>
          <w:sz w:val="22"/>
          <w:szCs w:val="22"/>
        </w:rPr>
        <w:t xml:space="preserve">the </w:t>
      </w:r>
      <w:r>
        <w:rPr>
          <w:rFonts w:ascii="Garamond" w:hAnsi="Garamond"/>
          <w:sz w:val="22"/>
          <w:szCs w:val="22"/>
        </w:rPr>
        <w:t xml:space="preserve">growth </w:t>
      </w:r>
      <w:r w:rsidRPr="00774AD0">
        <w:rPr>
          <w:rFonts w:ascii="Garamond" w:hAnsi="Garamond"/>
          <w:sz w:val="22"/>
          <w:szCs w:val="22"/>
        </w:rPr>
        <w:t>forecast for the first quarter</w:t>
      </w:r>
      <w:r>
        <w:rPr>
          <w:rFonts w:ascii="Garamond" w:hAnsi="Garamond"/>
          <w:sz w:val="22"/>
          <w:szCs w:val="22"/>
        </w:rPr>
        <w:t>,</w:t>
      </w:r>
      <w:r w:rsidRPr="00774AD0">
        <w:rPr>
          <w:rFonts w:ascii="Garamond" w:hAnsi="Garamond"/>
          <w:sz w:val="22"/>
          <w:szCs w:val="22"/>
        </w:rPr>
        <w:t xml:space="preserve"> </w:t>
      </w:r>
      <w:r>
        <w:rPr>
          <w:rFonts w:ascii="Garamond" w:hAnsi="Garamond"/>
          <w:sz w:val="22"/>
          <w:szCs w:val="22"/>
        </w:rPr>
        <w:t xml:space="preserve">hence </w:t>
      </w:r>
      <w:r w:rsidRPr="00774AD0">
        <w:rPr>
          <w:rFonts w:ascii="Garamond" w:hAnsi="Garamond"/>
          <w:sz w:val="22"/>
          <w:szCs w:val="22"/>
        </w:rPr>
        <w:t>for the year.</w:t>
      </w:r>
    </w:p>
    <w:p w14:paraId="184CC6B6" w14:textId="77777777" w:rsidR="00563050" w:rsidRDefault="00563050" w:rsidP="00563050">
      <w:pPr>
        <w:spacing w:line="360" w:lineRule="auto"/>
        <w:jc w:val="both"/>
        <w:rPr>
          <w:rFonts w:ascii="Garamond" w:hAnsi="Garamond"/>
          <w:sz w:val="22"/>
          <w:szCs w:val="22"/>
        </w:rPr>
      </w:pPr>
    </w:p>
    <w:p w14:paraId="546FEBA3" w14:textId="77777777" w:rsidR="00563050" w:rsidRDefault="00563050" w:rsidP="00563050">
      <w:pPr>
        <w:spacing w:line="360" w:lineRule="auto"/>
        <w:jc w:val="both"/>
        <w:rPr>
          <w:rFonts w:ascii="Garamond" w:hAnsi="Garamond"/>
          <w:sz w:val="22"/>
          <w:szCs w:val="22"/>
        </w:rPr>
      </w:pPr>
      <w:r>
        <w:rPr>
          <w:rFonts w:ascii="Garamond" w:hAnsi="Garamond"/>
          <w:sz w:val="22"/>
          <w:szCs w:val="22"/>
        </w:rPr>
        <w:t>T</w:t>
      </w:r>
      <w:r w:rsidRPr="00163C85">
        <w:rPr>
          <w:rFonts w:ascii="Garamond" w:hAnsi="Garamond"/>
          <w:sz w:val="22"/>
          <w:szCs w:val="22"/>
        </w:rPr>
        <w:t xml:space="preserve">he Board </w:t>
      </w:r>
      <w:r>
        <w:rPr>
          <w:rFonts w:ascii="Garamond" w:hAnsi="Garamond"/>
          <w:sz w:val="22"/>
          <w:szCs w:val="22"/>
        </w:rPr>
        <w:t>looked to the latest ex</w:t>
      </w:r>
      <w:r w:rsidRPr="00163C85">
        <w:rPr>
          <w:rFonts w:ascii="Garamond" w:hAnsi="Garamond"/>
          <w:sz w:val="22"/>
          <w:szCs w:val="22"/>
        </w:rPr>
        <w:t>ternal sector developments</w:t>
      </w:r>
      <w:r w:rsidRPr="00074499">
        <w:t xml:space="preserve"> </w:t>
      </w:r>
      <w:r w:rsidRPr="00074499">
        <w:rPr>
          <w:rFonts w:ascii="Garamond" w:hAnsi="Garamond"/>
          <w:sz w:val="22"/>
          <w:szCs w:val="22"/>
        </w:rPr>
        <w:t xml:space="preserve">which are </w:t>
      </w:r>
      <w:r>
        <w:rPr>
          <w:rFonts w:ascii="Garamond" w:hAnsi="Garamond"/>
          <w:sz w:val="22"/>
          <w:szCs w:val="22"/>
        </w:rPr>
        <w:t xml:space="preserve">pointing to </w:t>
      </w:r>
      <w:r w:rsidRPr="00074499">
        <w:rPr>
          <w:rFonts w:ascii="Garamond" w:hAnsi="Garamond"/>
          <w:sz w:val="22"/>
          <w:szCs w:val="22"/>
        </w:rPr>
        <w:t xml:space="preserve">slowdowns in global economic growth, </w:t>
      </w:r>
      <w:r>
        <w:rPr>
          <w:rFonts w:ascii="Garamond" w:hAnsi="Garamond"/>
          <w:sz w:val="22"/>
          <w:szCs w:val="22"/>
        </w:rPr>
        <w:t>as t</w:t>
      </w:r>
      <w:r w:rsidRPr="00074499">
        <w:rPr>
          <w:rFonts w:ascii="Garamond" w:hAnsi="Garamond"/>
          <w:sz w:val="22"/>
          <w:szCs w:val="22"/>
        </w:rPr>
        <w:t>he global demand</w:t>
      </w:r>
      <w:r>
        <w:rPr>
          <w:rFonts w:ascii="Garamond" w:hAnsi="Garamond"/>
          <w:sz w:val="22"/>
          <w:szCs w:val="22"/>
        </w:rPr>
        <w:t xml:space="preserve"> slackened. I</w:t>
      </w:r>
      <w:r w:rsidRPr="00526399">
        <w:rPr>
          <w:rFonts w:ascii="Garamond" w:hAnsi="Garamond"/>
          <w:sz w:val="22"/>
          <w:szCs w:val="22"/>
        </w:rPr>
        <w:t>nfluence</w:t>
      </w:r>
      <w:r>
        <w:rPr>
          <w:rFonts w:ascii="Garamond" w:hAnsi="Garamond"/>
          <w:sz w:val="22"/>
          <w:szCs w:val="22"/>
        </w:rPr>
        <w:t xml:space="preserve">d by the </w:t>
      </w:r>
      <w:r w:rsidRPr="00526399">
        <w:rPr>
          <w:rFonts w:ascii="Garamond" w:hAnsi="Garamond"/>
          <w:sz w:val="22"/>
          <w:szCs w:val="22"/>
        </w:rPr>
        <w:t xml:space="preserve">latter, </w:t>
      </w:r>
      <w:r w:rsidRPr="00F205AF">
        <w:rPr>
          <w:rFonts w:ascii="Garamond" w:hAnsi="Garamond"/>
          <w:b/>
          <w:sz w:val="22"/>
          <w:szCs w:val="22"/>
        </w:rPr>
        <w:t>the inflation environment in the international markets of raw materials and food products has weakened</w:t>
      </w:r>
      <w:r w:rsidRPr="00526399">
        <w:rPr>
          <w:rFonts w:ascii="Garamond" w:hAnsi="Garamond"/>
          <w:sz w:val="22"/>
          <w:szCs w:val="22"/>
        </w:rPr>
        <w:t>, except for copper and sugar</w:t>
      </w:r>
      <w:r>
        <w:rPr>
          <w:rFonts w:ascii="Garamond" w:hAnsi="Garamond"/>
          <w:sz w:val="22"/>
          <w:szCs w:val="22"/>
        </w:rPr>
        <w:t xml:space="preserve"> prices</w:t>
      </w:r>
      <w:r w:rsidRPr="00526399">
        <w:rPr>
          <w:rFonts w:ascii="Garamond" w:hAnsi="Garamond"/>
          <w:sz w:val="22"/>
          <w:szCs w:val="22"/>
        </w:rPr>
        <w:t xml:space="preserve"> which continue to grow. In this situation, the US Fed</w:t>
      </w:r>
      <w:r>
        <w:rPr>
          <w:rFonts w:ascii="Garamond" w:hAnsi="Garamond"/>
          <w:sz w:val="22"/>
          <w:szCs w:val="22"/>
        </w:rPr>
        <w:t>eral Reserve</w:t>
      </w:r>
      <w:r w:rsidRPr="00526399">
        <w:rPr>
          <w:rFonts w:ascii="Garamond" w:hAnsi="Garamond"/>
          <w:sz w:val="22"/>
          <w:szCs w:val="22"/>
        </w:rPr>
        <w:t xml:space="preserve"> and the E</w:t>
      </w:r>
      <w:r>
        <w:rPr>
          <w:rFonts w:ascii="Garamond" w:hAnsi="Garamond"/>
          <w:sz w:val="22"/>
          <w:szCs w:val="22"/>
        </w:rPr>
        <w:t xml:space="preserve">uropean Central Bank </w:t>
      </w:r>
      <w:r w:rsidRPr="00526399">
        <w:rPr>
          <w:rFonts w:ascii="Garamond" w:hAnsi="Garamond"/>
          <w:sz w:val="22"/>
          <w:szCs w:val="22"/>
        </w:rPr>
        <w:t>stated that</w:t>
      </w:r>
      <w:r>
        <w:rPr>
          <w:rFonts w:ascii="Garamond" w:hAnsi="Garamond"/>
          <w:sz w:val="22"/>
          <w:szCs w:val="22"/>
        </w:rPr>
        <w:t>,</w:t>
      </w:r>
      <w:r w:rsidRPr="00526399">
        <w:rPr>
          <w:rFonts w:ascii="Garamond" w:hAnsi="Garamond"/>
          <w:sz w:val="22"/>
          <w:szCs w:val="22"/>
        </w:rPr>
        <w:t xml:space="preserve"> in </w:t>
      </w:r>
      <w:r>
        <w:rPr>
          <w:rFonts w:ascii="Garamond" w:hAnsi="Garamond"/>
          <w:sz w:val="22"/>
          <w:szCs w:val="22"/>
        </w:rPr>
        <w:t xml:space="preserve">response to </w:t>
      </w:r>
      <w:r w:rsidRPr="00526399">
        <w:rPr>
          <w:rFonts w:ascii="Garamond" w:hAnsi="Garamond"/>
          <w:sz w:val="22"/>
          <w:szCs w:val="22"/>
        </w:rPr>
        <w:t xml:space="preserve">the slowdown in economic growth and inflation, the </w:t>
      </w:r>
      <w:r>
        <w:rPr>
          <w:rFonts w:ascii="Garamond" w:hAnsi="Garamond"/>
          <w:sz w:val="22"/>
          <w:szCs w:val="22"/>
        </w:rPr>
        <w:t xml:space="preserve">former is set to postpone and the latter to get </w:t>
      </w:r>
      <w:r w:rsidRPr="00526399">
        <w:rPr>
          <w:rFonts w:ascii="Garamond" w:hAnsi="Garamond"/>
          <w:sz w:val="22"/>
          <w:szCs w:val="22"/>
        </w:rPr>
        <w:t>slow</w:t>
      </w:r>
      <w:r>
        <w:rPr>
          <w:rFonts w:ascii="Garamond" w:hAnsi="Garamond"/>
          <w:sz w:val="22"/>
          <w:szCs w:val="22"/>
        </w:rPr>
        <w:t xml:space="preserve">er with </w:t>
      </w:r>
      <w:r w:rsidRPr="00526399">
        <w:rPr>
          <w:rFonts w:ascii="Garamond" w:hAnsi="Garamond"/>
          <w:sz w:val="22"/>
          <w:szCs w:val="22"/>
        </w:rPr>
        <w:t>the adjustment of monetary conditions</w:t>
      </w:r>
      <w:r>
        <w:rPr>
          <w:rFonts w:ascii="Garamond" w:hAnsi="Garamond"/>
          <w:sz w:val="22"/>
          <w:szCs w:val="22"/>
        </w:rPr>
        <w:t xml:space="preserve">, while the ECB </w:t>
      </w:r>
      <w:r w:rsidRPr="00526399">
        <w:rPr>
          <w:rFonts w:ascii="Garamond" w:hAnsi="Garamond"/>
          <w:sz w:val="22"/>
          <w:szCs w:val="22"/>
        </w:rPr>
        <w:t xml:space="preserve">would </w:t>
      </w:r>
      <w:r>
        <w:rPr>
          <w:rFonts w:ascii="Garamond" w:hAnsi="Garamond"/>
          <w:sz w:val="22"/>
          <w:szCs w:val="22"/>
        </w:rPr>
        <w:t xml:space="preserve">further be concluding </w:t>
      </w:r>
      <w:r w:rsidRPr="00526399">
        <w:rPr>
          <w:rFonts w:ascii="Garamond" w:hAnsi="Garamond"/>
          <w:sz w:val="22"/>
          <w:szCs w:val="22"/>
        </w:rPr>
        <w:t xml:space="preserve">long-term repo agreements. The Central Bank of Russia will </w:t>
      </w:r>
      <w:r>
        <w:rPr>
          <w:rFonts w:ascii="Garamond" w:hAnsi="Garamond"/>
          <w:sz w:val="22"/>
          <w:szCs w:val="22"/>
        </w:rPr>
        <w:t xml:space="preserve">keep </w:t>
      </w:r>
      <w:r w:rsidRPr="00526399">
        <w:rPr>
          <w:rFonts w:ascii="Garamond" w:hAnsi="Garamond"/>
          <w:sz w:val="22"/>
          <w:szCs w:val="22"/>
        </w:rPr>
        <w:t xml:space="preserve">monetary </w:t>
      </w:r>
      <w:r>
        <w:rPr>
          <w:rFonts w:ascii="Garamond" w:hAnsi="Garamond"/>
          <w:sz w:val="22"/>
          <w:szCs w:val="22"/>
        </w:rPr>
        <w:t xml:space="preserve">conditions contractionary, </w:t>
      </w:r>
      <w:r w:rsidRPr="00526399">
        <w:rPr>
          <w:rFonts w:ascii="Garamond" w:hAnsi="Garamond"/>
          <w:sz w:val="22"/>
          <w:szCs w:val="22"/>
        </w:rPr>
        <w:t xml:space="preserve">as </w:t>
      </w:r>
      <w:r>
        <w:rPr>
          <w:rFonts w:ascii="Garamond" w:hAnsi="Garamond"/>
          <w:sz w:val="22"/>
          <w:szCs w:val="22"/>
        </w:rPr>
        <w:t xml:space="preserve">both </w:t>
      </w:r>
      <w:r w:rsidRPr="00526399">
        <w:rPr>
          <w:rFonts w:ascii="Garamond" w:hAnsi="Garamond"/>
          <w:sz w:val="22"/>
          <w:szCs w:val="22"/>
        </w:rPr>
        <w:t>inflation and inflation expectations are still high and exceed the target</w:t>
      </w:r>
      <w:r>
        <w:rPr>
          <w:rFonts w:ascii="Garamond" w:hAnsi="Garamond"/>
          <w:sz w:val="22"/>
          <w:szCs w:val="22"/>
        </w:rPr>
        <w:t xml:space="preserve"> value</w:t>
      </w:r>
      <w:r w:rsidRPr="00526399">
        <w:rPr>
          <w:rFonts w:ascii="Garamond" w:hAnsi="Garamond"/>
          <w:sz w:val="22"/>
          <w:szCs w:val="22"/>
        </w:rPr>
        <w:t>.</w:t>
      </w:r>
      <w:r>
        <w:rPr>
          <w:rFonts w:ascii="Garamond" w:hAnsi="Garamond"/>
          <w:sz w:val="22"/>
          <w:szCs w:val="22"/>
        </w:rPr>
        <w:t xml:space="preserve"> </w:t>
      </w:r>
    </w:p>
    <w:p w14:paraId="64AFBCE8" w14:textId="77777777" w:rsidR="00563050" w:rsidRDefault="00563050" w:rsidP="00563050">
      <w:pPr>
        <w:spacing w:line="360" w:lineRule="auto"/>
        <w:jc w:val="both"/>
        <w:rPr>
          <w:rFonts w:ascii="Garamond" w:hAnsi="Garamond"/>
          <w:sz w:val="22"/>
          <w:szCs w:val="22"/>
        </w:rPr>
      </w:pPr>
      <w:r>
        <w:rPr>
          <w:rFonts w:ascii="Garamond" w:hAnsi="Garamond"/>
          <w:sz w:val="22"/>
          <w:szCs w:val="22"/>
        </w:rPr>
        <w:t xml:space="preserve"> </w:t>
      </w:r>
    </w:p>
    <w:p w14:paraId="44EEF150" w14:textId="77777777" w:rsidR="00563050" w:rsidRPr="00163C85" w:rsidRDefault="00563050" w:rsidP="00563050">
      <w:pPr>
        <w:spacing w:line="360" w:lineRule="auto"/>
        <w:jc w:val="both"/>
        <w:rPr>
          <w:rFonts w:ascii="Garamond" w:hAnsi="Garamond"/>
          <w:sz w:val="22"/>
          <w:szCs w:val="22"/>
        </w:rPr>
      </w:pPr>
      <w:r>
        <w:rPr>
          <w:rFonts w:ascii="Garamond" w:hAnsi="Garamond"/>
          <w:sz w:val="22"/>
          <w:szCs w:val="22"/>
        </w:rPr>
        <w:t>T</w:t>
      </w:r>
      <w:r w:rsidRPr="00163C85">
        <w:rPr>
          <w:rFonts w:ascii="Garamond" w:hAnsi="Garamond"/>
          <w:sz w:val="22"/>
          <w:szCs w:val="22"/>
        </w:rPr>
        <w:t>he developments in the domestic financial market</w:t>
      </w:r>
      <w:r>
        <w:rPr>
          <w:rFonts w:ascii="Garamond" w:hAnsi="Garamond"/>
          <w:sz w:val="22"/>
          <w:szCs w:val="22"/>
        </w:rPr>
        <w:t xml:space="preserve"> were touched upon. The Board admitted that </w:t>
      </w:r>
      <w:r w:rsidRPr="008B0F64">
        <w:rPr>
          <w:rFonts w:ascii="Garamond" w:hAnsi="Garamond"/>
          <w:b/>
          <w:sz w:val="22"/>
          <w:szCs w:val="22"/>
        </w:rPr>
        <w:t>interest rates in the financial market dropped in early of the year</w:t>
      </w:r>
      <w:r w:rsidRPr="008B0F64">
        <w:rPr>
          <w:rFonts w:ascii="Garamond" w:hAnsi="Garamond"/>
          <w:sz w:val="22"/>
          <w:szCs w:val="22"/>
        </w:rPr>
        <w:t xml:space="preserve"> in line with </w:t>
      </w:r>
      <w:r>
        <w:rPr>
          <w:rFonts w:ascii="Garamond" w:hAnsi="Garamond"/>
          <w:sz w:val="22"/>
          <w:szCs w:val="22"/>
        </w:rPr>
        <w:t xml:space="preserve">the refinancing </w:t>
      </w:r>
      <w:r w:rsidRPr="008B0F64">
        <w:rPr>
          <w:rFonts w:ascii="Garamond" w:hAnsi="Garamond"/>
          <w:sz w:val="22"/>
          <w:szCs w:val="22"/>
        </w:rPr>
        <w:t xml:space="preserve">rate </w:t>
      </w:r>
      <w:r>
        <w:rPr>
          <w:rFonts w:ascii="Garamond" w:hAnsi="Garamond"/>
          <w:sz w:val="22"/>
          <w:szCs w:val="22"/>
        </w:rPr>
        <w:t>that was lowered in</w:t>
      </w:r>
      <w:r w:rsidRPr="008B0F64">
        <w:rPr>
          <w:rFonts w:ascii="Garamond" w:hAnsi="Garamond"/>
          <w:sz w:val="22"/>
          <w:szCs w:val="22"/>
        </w:rPr>
        <w:t xml:space="preserve"> January, </w:t>
      </w:r>
      <w:r w:rsidRPr="008B0F64">
        <w:rPr>
          <w:rFonts w:ascii="Garamond" w:hAnsi="Garamond"/>
          <w:b/>
          <w:sz w:val="22"/>
          <w:szCs w:val="22"/>
        </w:rPr>
        <w:t xml:space="preserve">helping </w:t>
      </w:r>
      <w:r>
        <w:rPr>
          <w:rFonts w:ascii="Garamond" w:hAnsi="Garamond"/>
          <w:b/>
          <w:sz w:val="22"/>
          <w:szCs w:val="22"/>
        </w:rPr>
        <w:t xml:space="preserve">the </w:t>
      </w:r>
      <w:r w:rsidRPr="008B0F64">
        <w:rPr>
          <w:rFonts w:ascii="Garamond" w:hAnsi="Garamond"/>
          <w:b/>
          <w:sz w:val="22"/>
          <w:szCs w:val="22"/>
        </w:rPr>
        <w:t>interest rates shape around the policy rate</w:t>
      </w:r>
      <w:r>
        <w:rPr>
          <w:rFonts w:ascii="Garamond" w:hAnsi="Garamond"/>
          <w:b/>
          <w:sz w:val="22"/>
          <w:szCs w:val="22"/>
        </w:rPr>
        <w:t>.</w:t>
      </w:r>
      <w:r w:rsidRPr="00163C85">
        <w:rPr>
          <w:rFonts w:ascii="Garamond" w:hAnsi="Garamond"/>
          <w:sz w:val="22"/>
          <w:szCs w:val="22"/>
        </w:rPr>
        <w:t xml:space="preserve"> </w:t>
      </w:r>
    </w:p>
    <w:p w14:paraId="1DAC6C85" w14:textId="77777777" w:rsidR="00563050" w:rsidRPr="00163C85" w:rsidRDefault="00563050" w:rsidP="00563050">
      <w:pPr>
        <w:spacing w:line="360" w:lineRule="auto"/>
        <w:jc w:val="both"/>
        <w:rPr>
          <w:rFonts w:ascii="Garamond" w:hAnsi="Garamond"/>
          <w:sz w:val="22"/>
          <w:szCs w:val="22"/>
        </w:rPr>
      </w:pPr>
    </w:p>
    <w:p w14:paraId="7ACBF7B7" w14:textId="77777777" w:rsidR="00563050" w:rsidRPr="00E31D23" w:rsidRDefault="00563050" w:rsidP="00563050">
      <w:pPr>
        <w:spacing w:line="360" w:lineRule="auto"/>
        <w:jc w:val="both"/>
        <w:rPr>
          <w:rFonts w:ascii="Garamond" w:hAnsi="Garamond"/>
          <w:b/>
          <w:sz w:val="22"/>
          <w:szCs w:val="22"/>
        </w:rPr>
      </w:pPr>
      <w:r w:rsidRPr="00163C85">
        <w:rPr>
          <w:rFonts w:ascii="Garamond" w:hAnsi="Garamond"/>
          <w:sz w:val="22"/>
          <w:szCs w:val="22"/>
        </w:rPr>
        <w:t xml:space="preserve">Following </w:t>
      </w:r>
      <w:r>
        <w:rPr>
          <w:rFonts w:ascii="Garamond" w:hAnsi="Garamond"/>
          <w:sz w:val="22"/>
          <w:szCs w:val="22"/>
        </w:rPr>
        <w:t xml:space="preserve">the discussion </w:t>
      </w:r>
      <w:r w:rsidRPr="00163C85">
        <w:rPr>
          <w:rFonts w:ascii="Garamond" w:hAnsi="Garamond"/>
          <w:sz w:val="22"/>
          <w:szCs w:val="22"/>
        </w:rPr>
        <w:t xml:space="preserve">of the Situation Report and </w:t>
      </w:r>
      <w:r>
        <w:rPr>
          <w:rFonts w:ascii="Garamond" w:hAnsi="Garamond"/>
          <w:sz w:val="22"/>
          <w:szCs w:val="22"/>
        </w:rPr>
        <w:t xml:space="preserve">of the </w:t>
      </w:r>
      <w:r w:rsidRPr="00163C85">
        <w:rPr>
          <w:rFonts w:ascii="Garamond" w:hAnsi="Garamond"/>
          <w:sz w:val="22"/>
          <w:szCs w:val="22"/>
        </w:rPr>
        <w:t>developments in exte</w:t>
      </w:r>
      <w:r>
        <w:rPr>
          <w:rFonts w:ascii="Garamond" w:hAnsi="Garamond"/>
          <w:sz w:val="22"/>
          <w:szCs w:val="22"/>
        </w:rPr>
        <w:t xml:space="preserve">rnal and domestic macroeconomic </w:t>
      </w:r>
      <w:r w:rsidRPr="00163C85">
        <w:rPr>
          <w:rFonts w:ascii="Garamond" w:hAnsi="Garamond"/>
          <w:sz w:val="22"/>
          <w:szCs w:val="22"/>
        </w:rPr>
        <w:t>environments, the Board began addressing the monetary policy directions and making a decision on the interest rate</w:t>
      </w:r>
      <w:r w:rsidRPr="007E496A">
        <w:rPr>
          <w:rFonts w:ascii="Garamond" w:hAnsi="Garamond"/>
          <w:sz w:val="22"/>
          <w:szCs w:val="22"/>
        </w:rPr>
        <w:t xml:space="preserve">. </w:t>
      </w:r>
      <w:r w:rsidRPr="00C0375D">
        <w:rPr>
          <w:rFonts w:ascii="Garamond" w:hAnsi="Garamond"/>
          <w:sz w:val="22"/>
          <w:szCs w:val="22"/>
        </w:rPr>
        <w:t xml:space="preserve">The options whether the refinancing rate is to be left unchanged or lowered were considered. </w:t>
      </w:r>
      <w:r>
        <w:rPr>
          <w:rFonts w:ascii="Garamond" w:hAnsi="Garamond"/>
          <w:sz w:val="22"/>
          <w:szCs w:val="22"/>
        </w:rPr>
        <w:t xml:space="preserve">In the current situation, </w:t>
      </w:r>
      <w:r w:rsidRPr="00C02601">
        <w:rPr>
          <w:rFonts w:ascii="Garamond" w:hAnsi="Garamond"/>
          <w:sz w:val="22"/>
          <w:szCs w:val="22"/>
        </w:rPr>
        <w:t xml:space="preserve">gradual recovery of inflation </w:t>
      </w:r>
      <w:r>
        <w:rPr>
          <w:rFonts w:ascii="Garamond" w:hAnsi="Garamond"/>
          <w:sz w:val="22"/>
          <w:szCs w:val="22"/>
        </w:rPr>
        <w:t xml:space="preserve">is preferable by the Board since </w:t>
      </w:r>
      <w:r w:rsidRPr="00C02601">
        <w:rPr>
          <w:rFonts w:ascii="Garamond" w:hAnsi="Garamond"/>
          <w:sz w:val="22"/>
          <w:szCs w:val="22"/>
        </w:rPr>
        <w:t xml:space="preserve">low inflation </w:t>
      </w:r>
      <w:r w:rsidRPr="00C02601">
        <w:rPr>
          <w:rFonts w:ascii="Garamond" w:hAnsi="Garamond"/>
          <w:sz w:val="22"/>
          <w:szCs w:val="22"/>
        </w:rPr>
        <w:lastRenderedPageBreak/>
        <w:t>contributes to anchoring long-term inflation expectations and maintaining</w:t>
      </w:r>
      <w:r>
        <w:rPr>
          <w:rFonts w:ascii="Garamond" w:hAnsi="Garamond"/>
          <w:sz w:val="22"/>
          <w:szCs w:val="22"/>
        </w:rPr>
        <w:t xml:space="preserve"> the purchasing power of income. Also, in view of the lack of considerable </w:t>
      </w:r>
      <w:r w:rsidRPr="007E496A">
        <w:rPr>
          <w:rFonts w:ascii="Garamond" w:hAnsi="Garamond"/>
          <w:sz w:val="22"/>
          <w:szCs w:val="22"/>
        </w:rPr>
        <w:t xml:space="preserve">inflationary </w:t>
      </w:r>
      <w:r>
        <w:rPr>
          <w:rFonts w:ascii="Garamond" w:hAnsi="Garamond"/>
          <w:sz w:val="22"/>
          <w:szCs w:val="22"/>
        </w:rPr>
        <w:t xml:space="preserve">effects </w:t>
      </w:r>
      <w:r w:rsidRPr="007E496A">
        <w:rPr>
          <w:rFonts w:ascii="Garamond" w:hAnsi="Garamond"/>
          <w:sz w:val="22"/>
          <w:szCs w:val="22"/>
        </w:rPr>
        <w:t xml:space="preserve">from external and </w:t>
      </w:r>
      <w:r>
        <w:rPr>
          <w:rFonts w:ascii="Garamond" w:hAnsi="Garamond"/>
          <w:sz w:val="22"/>
          <w:szCs w:val="22"/>
        </w:rPr>
        <w:t xml:space="preserve">domestic </w:t>
      </w:r>
      <w:r w:rsidRPr="007E496A">
        <w:rPr>
          <w:rFonts w:ascii="Garamond" w:hAnsi="Garamond"/>
          <w:sz w:val="22"/>
          <w:szCs w:val="22"/>
        </w:rPr>
        <w:t>economies</w:t>
      </w:r>
      <w:r>
        <w:rPr>
          <w:rFonts w:ascii="Garamond" w:hAnsi="Garamond"/>
          <w:sz w:val="22"/>
          <w:szCs w:val="22"/>
        </w:rPr>
        <w:t xml:space="preserve"> in the upcoming period because of persistently weak </w:t>
      </w:r>
      <w:r w:rsidRPr="00C02601">
        <w:rPr>
          <w:rFonts w:ascii="Garamond" w:hAnsi="Garamond"/>
          <w:sz w:val="22"/>
          <w:szCs w:val="22"/>
        </w:rPr>
        <w:t>global and domestic demand, and that the current interest rate</w:t>
      </w:r>
      <w:r>
        <w:rPr>
          <w:rFonts w:ascii="Garamond" w:hAnsi="Garamond"/>
          <w:sz w:val="22"/>
          <w:szCs w:val="22"/>
        </w:rPr>
        <w:t xml:space="preserve"> is still estimated to be rather expansionary on the back of </w:t>
      </w:r>
      <w:r w:rsidRPr="00C02601">
        <w:rPr>
          <w:rFonts w:ascii="Garamond" w:hAnsi="Garamond"/>
          <w:sz w:val="22"/>
          <w:szCs w:val="22"/>
        </w:rPr>
        <w:t xml:space="preserve">interest rate </w:t>
      </w:r>
      <w:r>
        <w:rPr>
          <w:rFonts w:ascii="Garamond" w:hAnsi="Garamond"/>
          <w:sz w:val="22"/>
          <w:szCs w:val="22"/>
        </w:rPr>
        <w:t xml:space="preserve">rise </w:t>
      </w:r>
      <w:r w:rsidRPr="00C02601">
        <w:rPr>
          <w:rFonts w:ascii="Garamond" w:hAnsi="Garamond"/>
          <w:sz w:val="22"/>
          <w:szCs w:val="22"/>
        </w:rPr>
        <w:t xml:space="preserve">by major trading partner countries, </w:t>
      </w:r>
      <w:r>
        <w:rPr>
          <w:rFonts w:ascii="Garamond" w:hAnsi="Garamond"/>
          <w:sz w:val="22"/>
          <w:szCs w:val="22"/>
        </w:rPr>
        <w:t>the Board finds it reasonable to leave the interest rate unchanged. The Board has a consensus that i</w:t>
      </w:r>
      <w:r w:rsidRPr="003F201B">
        <w:rPr>
          <w:rFonts w:ascii="Garamond" w:hAnsi="Garamond"/>
          <w:sz w:val="22"/>
          <w:szCs w:val="22"/>
        </w:rPr>
        <w:t xml:space="preserve">n view of predictable macroeconomic developments, </w:t>
      </w:r>
      <w:r>
        <w:rPr>
          <w:rFonts w:ascii="Garamond" w:hAnsi="Garamond"/>
          <w:sz w:val="22"/>
          <w:szCs w:val="22"/>
        </w:rPr>
        <w:t xml:space="preserve">the </w:t>
      </w:r>
      <w:r w:rsidRPr="003F201B">
        <w:rPr>
          <w:rFonts w:ascii="Garamond" w:hAnsi="Garamond"/>
          <w:sz w:val="22"/>
          <w:szCs w:val="22"/>
        </w:rPr>
        <w:t xml:space="preserve">monetary conditions </w:t>
      </w:r>
      <w:r>
        <w:rPr>
          <w:rFonts w:ascii="Garamond" w:hAnsi="Garamond"/>
          <w:sz w:val="22"/>
          <w:szCs w:val="22"/>
        </w:rPr>
        <w:t xml:space="preserve">have to </w:t>
      </w:r>
      <w:r w:rsidRPr="003F201B">
        <w:rPr>
          <w:rFonts w:ascii="Garamond" w:hAnsi="Garamond"/>
          <w:sz w:val="22"/>
          <w:szCs w:val="22"/>
        </w:rPr>
        <w:t>be kept expansionary for a</w:t>
      </w:r>
      <w:r>
        <w:rPr>
          <w:rFonts w:ascii="Garamond" w:hAnsi="Garamond"/>
          <w:sz w:val="22"/>
          <w:szCs w:val="22"/>
        </w:rPr>
        <w:t>s</w:t>
      </w:r>
      <w:r w:rsidRPr="003F201B">
        <w:rPr>
          <w:rFonts w:ascii="Garamond" w:hAnsi="Garamond"/>
          <w:sz w:val="22"/>
          <w:szCs w:val="22"/>
        </w:rPr>
        <w:t xml:space="preserve"> long</w:t>
      </w:r>
      <w:r>
        <w:rPr>
          <w:rFonts w:ascii="Garamond" w:hAnsi="Garamond"/>
          <w:sz w:val="22"/>
          <w:szCs w:val="22"/>
        </w:rPr>
        <w:t xml:space="preserve"> as required, in fulfillment of the inflation target in the medium run. </w:t>
      </w:r>
      <w:r w:rsidRPr="00B15DA0">
        <w:rPr>
          <w:rFonts w:ascii="Garamond" w:hAnsi="Garamond"/>
          <w:b/>
          <w:sz w:val="22"/>
          <w:szCs w:val="22"/>
        </w:rPr>
        <w:t xml:space="preserve">As a result, the </w:t>
      </w:r>
      <w:r>
        <w:rPr>
          <w:rFonts w:ascii="Garamond" w:hAnsi="Garamond"/>
          <w:b/>
          <w:sz w:val="22"/>
          <w:szCs w:val="22"/>
        </w:rPr>
        <w:t>expectation is that, in the coming months the inflation will run below the target, stabilizing around the established</w:t>
      </w:r>
      <w:r w:rsidRPr="00163C85">
        <w:rPr>
          <w:rFonts w:ascii="Garamond" w:hAnsi="Garamond"/>
          <w:b/>
          <w:sz w:val="22"/>
          <w:szCs w:val="22"/>
        </w:rPr>
        <w:t xml:space="preserve"> </w:t>
      </w:r>
      <w:r>
        <w:rPr>
          <w:rFonts w:ascii="Garamond" w:hAnsi="Garamond"/>
          <w:b/>
          <w:sz w:val="22"/>
          <w:szCs w:val="22"/>
        </w:rPr>
        <w:t xml:space="preserve">value later on. </w:t>
      </w:r>
    </w:p>
    <w:p w14:paraId="7DEB19AB" w14:textId="77777777" w:rsidR="00563050" w:rsidRPr="00163C85" w:rsidRDefault="00563050" w:rsidP="00563050">
      <w:pPr>
        <w:spacing w:line="360" w:lineRule="auto"/>
        <w:jc w:val="both"/>
        <w:rPr>
          <w:rFonts w:ascii="Garamond" w:hAnsi="Garamond"/>
          <w:sz w:val="22"/>
          <w:szCs w:val="22"/>
        </w:rPr>
      </w:pPr>
    </w:p>
    <w:p w14:paraId="3F44AE6E" w14:textId="77777777" w:rsidR="00563050" w:rsidRDefault="00563050" w:rsidP="00563050">
      <w:pPr>
        <w:spacing w:line="360" w:lineRule="auto"/>
        <w:jc w:val="both"/>
        <w:rPr>
          <w:rFonts w:ascii="Garamond" w:hAnsi="Garamond"/>
          <w:sz w:val="22"/>
          <w:szCs w:val="22"/>
        </w:rPr>
      </w:pPr>
      <w:r>
        <w:rPr>
          <w:rFonts w:ascii="Garamond" w:hAnsi="Garamond"/>
          <w:sz w:val="22"/>
          <w:szCs w:val="22"/>
        </w:rPr>
        <w:t>T</w:t>
      </w:r>
      <w:r w:rsidRPr="000453EF">
        <w:rPr>
          <w:rFonts w:ascii="Garamond" w:hAnsi="Garamond"/>
          <w:sz w:val="22"/>
          <w:szCs w:val="22"/>
        </w:rPr>
        <w:t xml:space="preserve">he Board also </w:t>
      </w:r>
      <w:r>
        <w:rPr>
          <w:rFonts w:ascii="Garamond" w:hAnsi="Garamond"/>
          <w:sz w:val="22"/>
          <w:szCs w:val="22"/>
        </w:rPr>
        <w:t xml:space="preserve">referred to existing </w:t>
      </w:r>
      <w:r w:rsidRPr="000453EF">
        <w:rPr>
          <w:rFonts w:ascii="Garamond" w:hAnsi="Garamond"/>
          <w:sz w:val="22"/>
          <w:szCs w:val="22"/>
        </w:rPr>
        <w:t>inflation</w:t>
      </w:r>
      <w:r>
        <w:rPr>
          <w:rFonts w:ascii="Garamond" w:hAnsi="Garamond"/>
          <w:sz w:val="22"/>
          <w:szCs w:val="22"/>
        </w:rPr>
        <w:t>ary</w:t>
      </w:r>
      <w:r w:rsidRPr="000453EF">
        <w:rPr>
          <w:rFonts w:ascii="Garamond" w:hAnsi="Garamond"/>
          <w:sz w:val="22"/>
          <w:szCs w:val="22"/>
        </w:rPr>
        <w:t xml:space="preserve"> risks</w:t>
      </w:r>
      <w:r>
        <w:rPr>
          <w:rFonts w:ascii="Garamond" w:hAnsi="Garamond"/>
          <w:sz w:val="22"/>
          <w:szCs w:val="22"/>
        </w:rPr>
        <w:t xml:space="preserve">; these are mostly on a downside path and associated with spillover </w:t>
      </w:r>
      <w:r w:rsidRPr="00EC36C2">
        <w:rPr>
          <w:rFonts w:ascii="Garamond" w:hAnsi="Garamond"/>
          <w:sz w:val="22"/>
          <w:szCs w:val="22"/>
        </w:rPr>
        <w:t>effects o</w:t>
      </w:r>
      <w:r>
        <w:rPr>
          <w:rFonts w:ascii="Garamond" w:hAnsi="Garamond"/>
          <w:sz w:val="22"/>
          <w:szCs w:val="22"/>
        </w:rPr>
        <w:t xml:space="preserve">n domestic prices due to more-than-anticipated deflationary environment in the external sector, on the one hand, and </w:t>
      </w:r>
      <w:r w:rsidRPr="00F36971">
        <w:rPr>
          <w:rFonts w:ascii="Garamond" w:hAnsi="Garamond"/>
          <w:sz w:val="22"/>
          <w:szCs w:val="22"/>
        </w:rPr>
        <w:t>weakening of economic activity in Armenia as compared to the baseline scenario</w:t>
      </w:r>
      <w:r>
        <w:rPr>
          <w:rFonts w:ascii="Garamond" w:hAnsi="Garamond"/>
          <w:sz w:val="22"/>
          <w:szCs w:val="22"/>
        </w:rPr>
        <w:t xml:space="preserve">, on the other. </w:t>
      </w:r>
      <w:r w:rsidRPr="000453EF">
        <w:rPr>
          <w:rFonts w:ascii="Garamond" w:hAnsi="Garamond"/>
          <w:sz w:val="22"/>
          <w:szCs w:val="22"/>
        </w:rPr>
        <w:t>I</w:t>
      </w:r>
      <w:r>
        <w:rPr>
          <w:rFonts w:ascii="Garamond" w:hAnsi="Garamond"/>
          <w:sz w:val="22"/>
          <w:szCs w:val="22"/>
        </w:rPr>
        <w:t xml:space="preserve">n the event </w:t>
      </w:r>
      <w:r w:rsidRPr="000453EF">
        <w:rPr>
          <w:rFonts w:ascii="Garamond" w:hAnsi="Garamond"/>
          <w:sz w:val="22"/>
          <w:szCs w:val="22"/>
        </w:rPr>
        <w:t>these risks</w:t>
      </w:r>
      <w:r>
        <w:rPr>
          <w:rFonts w:ascii="Garamond" w:hAnsi="Garamond"/>
          <w:sz w:val="22"/>
          <w:szCs w:val="22"/>
        </w:rPr>
        <w:t xml:space="preserve"> materialize</w:t>
      </w:r>
      <w:r w:rsidRPr="000453EF">
        <w:rPr>
          <w:rFonts w:ascii="Garamond" w:hAnsi="Garamond"/>
          <w:sz w:val="22"/>
          <w:szCs w:val="22"/>
        </w:rPr>
        <w:t xml:space="preserve">, </w:t>
      </w:r>
      <w:r>
        <w:rPr>
          <w:rFonts w:ascii="Garamond" w:hAnsi="Garamond"/>
          <w:sz w:val="22"/>
          <w:szCs w:val="22"/>
        </w:rPr>
        <w:t xml:space="preserve">an appropriate </w:t>
      </w:r>
      <w:r w:rsidRPr="000453EF">
        <w:rPr>
          <w:rFonts w:ascii="Garamond" w:hAnsi="Garamond"/>
          <w:sz w:val="22"/>
          <w:szCs w:val="22"/>
        </w:rPr>
        <w:t xml:space="preserve">monetary policy </w:t>
      </w:r>
      <w:r>
        <w:rPr>
          <w:rFonts w:ascii="Garamond" w:hAnsi="Garamond"/>
          <w:sz w:val="22"/>
          <w:szCs w:val="22"/>
        </w:rPr>
        <w:t xml:space="preserve">response will follow in order to </w:t>
      </w:r>
      <w:r w:rsidRPr="000453EF">
        <w:rPr>
          <w:rFonts w:ascii="Garamond" w:hAnsi="Garamond"/>
          <w:sz w:val="22"/>
          <w:szCs w:val="22"/>
        </w:rPr>
        <w:t>ensur</w:t>
      </w:r>
      <w:r>
        <w:rPr>
          <w:rFonts w:ascii="Garamond" w:hAnsi="Garamond"/>
          <w:sz w:val="22"/>
          <w:szCs w:val="22"/>
        </w:rPr>
        <w:t xml:space="preserve">e </w:t>
      </w:r>
      <w:r w:rsidRPr="000453EF">
        <w:rPr>
          <w:rFonts w:ascii="Garamond" w:hAnsi="Garamond"/>
          <w:sz w:val="22"/>
          <w:szCs w:val="22"/>
        </w:rPr>
        <w:t>price stability</w:t>
      </w:r>
      <w:r>
        <w:rPr>
          <w:rFonts w:ascii="Garamond" w:hAnsi="Garamond"/>
          <w:sz w:val="22"/>
          <w:szCs w:val="22"/>
        </w:rPr>
        <w:t xml:space="preserve"> in the medium-term perspective</w:t>
      </w:r>
      <w:r w:rsidRPr="000453EF">
        <w:rPr>
          <w:rFonts w:ascii="Garamond" w:hAnsi="Garamond"/>
          <w:sz w:val="22"/>
          <w:szCs w:val="22"/>
        </w:rPr>
        <w:t>.</w:t>
      </w:r>
    </w:p>
    <w:p w14:paraId="48E48ECC" w14:textId="77777777" w:rsidR="00563050" w:rsidRDefault="00563050" w:rsidP="00563050">
      <w:pPr>
        <w:spacing w:line="360" w:lineRule="auto"/>
        <w:jc w:val="both"/>
        <w:rPr>
          <w:rFonts w:ascii="Garamond" w:hAnsi="Garamond"/>
          <w:sz w:val="22"/>
          <w:szCs w:val="22"/>
        </w:rPr>
      </w:pPr>
    </w:p>
    <w:p w14:paraId="034703FA" w14:textId="77777777" w:rsidR="007A3B46" w:rsidRPr="00163C85" w:rsidRDefault="00563050" w:rsidP="00563050">
      <w:pPr>
        <w:spacing w:line="360" w:lineRule="auto"/>
        <w:jc w:val="both"/>
        <w:rPr>
          <w:rFonts w:ascii="Garamond" w:hAnsi="Garamond"/>
          <w:sz w:val="22"/>
          <w:szCs w:val="22"/>
        </w:rPr>
      </w:pPr>
      <w:r w:rsidRPr="00163C85">
        <w:rPr>
          <w:rFonts w:ascii="Garamond" w:hAnsi="Garamond"/>
          <w:sz w:val="22"/>
          <w:szCs w:val="22"/>
        </w:rPr>
        <w:t>The Board approved the decision on interest rates of monetary instruments of the Central Bank and the proposed press release, which are attached hereto.</w:t>
      </w:r>
    </w:p>
    <w:p w14:paraId="56703575" w14:textId="77777777" w:rsidR="007A3B46" w:rsidRPr="00163C85" w:rsidRDefault="007A3B46" w:rsidP="007A3B46">
      <w:pPr>
        <w:spacing w:line="360" w:lineRule="auto"/>
        <w:jc w:val="center"/>
        <w:rPr>
          <w:rFonts w:ascii="Garamond" w:hAnsi="Garamond"/>
          <w:b/>
          <w:sz w:val="22"/>
          <w:szCs w:val="22"/>
        </w:rPr>
      </w:pPr>
    </w:p>
    <w:p w14:paraId="29BFA6B8" w14:textId="77777777" w:rsidR="007A3B46" w:rsidRPr="00163C85" w:rsidRDefault="007A3B46" w:rsidP="007A3B46">
      <w:pPr>
        <w:spacing w:line="360" w:lineRule="auto"/>
        <w:jc w:val="center"/>
        <w:rPr>
          <w:rFonts w:ascii="Garamond" w:hAnsi="Garamond"/>
          <w:b/>
          <w:sz w:val="22"/>
          <w:szCs w:val="22"/>
        </w:rPr>
      </w:pPr>
    </w:p>
    <w:p w14:paraId="386BA9D3" w14:textId="77777777" w:rsidR="007A3B46" w:rsidRPr="00163C85" w:rsidRDefault="007A3B46" w:rsidP="007A3B46">
      <w:pPr>
        <w:spacing w:line="360" w:lineRule="auto"/>
        <w:jc w:val="center"/>
        <w:rPr>
          <w:rFonts w:ascii="Garamond" w:hAnsi="Garamond"/>
          <w:b/>
          <w:sz w:val="22"/>
          <w:szCs w:val="22"/>
        </w:rPr>
      </w:pPr>
    </w:p>
    <w:p w14:paraId="155EDA59" w14:textId="77777777" w:rsidR="007A3B46" w:rsidRPr="00163C85" w:rsidRDefault="007A3B46" w:rsidP="007A3B46">
      <w:pPr>
        <w:spacing w:line="360" w:lineRule="auto"/>
        <w:jc w:val="both"/>
        <w:rPr>
          <w:rFonts w:ascii="Garamond" w:hAnsi="Garamond"/>
          <w:b/>
          <w:color w:val="0070C0"/>
          <w:sz w:val="22"/>
          <w:szCs w:val="22"/>
        </w:rPr>
      </w:pPr>
    </w:p>
    <w:p w14:paraId="72EB41E0" w14:textId="77777777" w:rsidR="007A3B46" w:rsidRPr="00163C85" w:rsidRDefault="007A3B46" w:rsidP="007A3B46">
      <w:pPr>
        <w:spacing w:line="360" w:lineRule="auto"/>
        <w:jc w:val="both"/>
        <w:rPr>
          <w:rFonts w:ascii="Garamond" w:hAnsi="Garamond"/>
          <w:b/>
          <w:color w:val="0070C0"/>
          <w:sz w:val="22"/>
          <w:szCs w:val="22"/>
        </w:rPr>
      </w:pPr>
    </w:p>
    <w:p w14:paraId="464B1B65" w14:textId="77777777" w:rsidR="007A3B46" w:rsidRPr="00163C85" w:rsidRDefault="007A3B46" w:rsidP="007A3B46">
      <w:pPr>
        <w:spacing w:line="360" w:lineRule="auto"/>
        <w:jc w:val="both"/>
        <w:rPr>
          <w:rFonts w:ascii="Garamond" w:hAnsi="Garamond"/>
          <w:b/>
          <w:color w:val="0070C0"/>
          <w:sz w:val="22"/>
          <w:szCs w:val="22"/>
        </w:rPr>
      </w:pPr>
    </w:p>
    <w:p w14:paraId="4A66D69F" w14:textId="77777777" w:rsidR="007A3B46" w:rsidRPr="00163C85" w:rsidRDefault="007A3B46" w:rsidP="007A3B46">
      <w:pPr>
        <w:spacing w:line="360" w:lineRule="auto"/>
        <w:jc w:val="both"/>
        <w:rPr>
          <w:rFonts w:ascii="Garamond" w:hAnsi="Garamond"/>
          <w:b/>
          <w:color w:val="0070C0"/>
          <w:sz w:val="22"/>
          <w:szCs w:val="22"/>
        </w:rPr>
      </w:pPr>
    </w:p>
    <w:p w14:paraId="66445EF0" w14:textId="77777777" w:rsidR="007A3B46" w:rsidRPr="00163C85" w:rsidRDefault="007A3B46" w:rsidP="007A3B46">
      <w:pPr>
        <w:spacing w:line="360" w:lineRule="auto"/>
        <w:jc w:val="both"/>
        <w:rPr>
          <w:rFonts w:ascii="Garamond" w:hAnsi="Garamond"/>
          <w:b/>
          <w:color w:val="0070C0"/>
          <w:sz w:val="22"/>
          <w:szCs w:val="22"/>
        </w:rPr>
      </w:pPr>
    </w:p>
    <w:p w14:paraId="67FAFA79" w14:textId="77777777" w:rsidR="007A3B46" w:rsidRPr="00163C85" w:rsidRDefault="007A3B46" w:rsidP="007A3B46">
      <w:pPr>
        <w:spacing w:line="360" w:lineRule="auto"/>
        <w:jc w:val="both"/>
        <w:rPr>
          <w:rFonts w:ascii="Garamond" w:hAnsi="Garamond"/>
          <w:b/>
          <w:color w:val="0070C0"/>
          <w:sz w:val="22"/>
          <w:szCs w:val="22"/>
        </w:rPr>
      </w:pPr>
    </w:p>
    <w:p w14:paraId="2267D345" w14:textId="77777777" w:rsidR="007A3B46" w:rsidRPr="00163C85" w:rsidRDefault="007A3B46" w:rsidP="007A3B46">
      <w:pPr>
        <w:spacing w:line="360" w:lineRule="auto"/>
        <w:jc w:val="both"/>
        <w:rPr>
          <w:rFonts w:ascii="Garamond" w:hAnsi="Garamond"/>
          <w:b/>
          <w:color w:val="0070C0"/>
          <w:sz w:val="22"/>
          <w:szCs w:val="22"/>
        </w:rPr>
      </w:pPr>
    </w:p>
    <w:p w14:paraId="0420B358" w14:textId="77777777" w:rsidR="007A3B46" w:rsidRPr="00163C85" w:rsidRDefault="007A3B46" w:rsidP="007A3B46">
      <w:pPr>
        <w:spacing w:line="360" w:lineRule="auto"/>
        <w:jc w:val="both"/>
        <w:rPr>
          <w:rFonts w:ascii="Garamond" w:hAnsi="Garamond"/>
          <w:b/>
          <w:color w:val="0070C0"/>
          <w:sz w:val="22"/>
          <w:szCs w:val="22"/>
        </w:rPr>
      </w:pPr>
    </w:p>
    <w:p w14:paraId="758CF010" w14:textId="77777777" w:rsidR="007A3B46" w:rsidRDefault="007A3B46" w:rsidP="007A3B46">
      <w:pPr>
        <w:spacing w:line="360" w:lineRule="auto"/>
        <w:jc w:val="both"/>
        <w:rPr>
          <w:rFonts w:ascii="Garamond" w:hAnsi="Garamond"/>
          <w:b/>
          <w:color w:val="0070C0"/>
          <w:sz w:val="22"/>
          <w:szCs w:val="22"/>
        </w:rPr>
      </w:pPr>
    </w:p>
    <w:p w14:paraId="3AE27F63" w14:textId="77777777" w:rsidR="00993B9C" w:rsidRDefault="00993B9C" w:rsidP="007A3B46">
      <w:pPr>
        <w:spacing w:line="360" w:lineRule="auto"/>
        <w:jc w:val="both"/>
        <w:rPr>
          <w:rFonts w:ascii="Garamond" w:hAnsi="Garamond"/>
          <w:b/>
          <w:color w:val="0070C0"/>
          <w:sz w:val="22"/>
          <w:szCs w:val="22"/>
        </w:rPr>
      </w:pPr>
    </w:p>
    <w:p w14:paraId="1E3DD042" w14:textId="77777777" w:rsidR="00993B9C" w:rsidRDefault="00993B9C" w:rsidP="00993B9C">
      <w:pPr>
        <w:spacing w:line="360" w:lineRule="auto"/>
        <w:jc w:val="center"/>
        <w:rPr>
          <w:rFonts w:ascii="Garamond" w:hAnsi="Garamond"/>
          <w:b/>
          <w:color w:val="0070C0"/>
          <w:sz w:val="22"/>
          <w:szCs w:val="22"/>
        </w:rPr>
      </w:pPr>
      <w:r>
        <w:rPr>
          <w:rFonts w:ascii="Garamond" w:hAnsi="Garamond"/>
          <w:b/>
          <w:color w:val="0070C0"/>
          <w:sz w:val="22"/>
          <w:szCs w:val="22"/>
        </w:rPr>
        <w:t>Board of the Central Bank of Armenia</w:t>
      </w:r>
    </w:p>
    <w:p w14:paraId="446B3EE8" w14:textId="77777777" w:rsidR="00993B9C" w:rsidRDefault="00993B9C" w:rsidP="00993B9C">
      <w:pPr>
        <w:spacing w:line="360" w:lineRule="auto"/>
        <w:jc w:val="center"/>
        <w:rPr>
          <w:rFonts w:ascii="Garamond" w:hAnsi="Garamond"/>
          <w:b/>
          <w:color w:val="0070C0"/>
          <w:sz w:val="22"/>
          <w:szCs w:val="22"/>
        </w:rPr>
      </w:pPr>
      <w:r>
        <w:rPr>
          <w:rFonts w:ascii="Garamond" w:hAnsi="Garamond"/>
          <w:b/>
          <w:color w:val="0070C0"/>
          <w:sz w:val="22"/>
          <w:szCs w:val="22"/>
        </w:rPr>
        <w:t>RESOLUTION</w:t>
      </w:r>
    </w:p>
    <w:p w14:paraId="61591655" w14:textId="77777777" w:rsidR="007A3B46" w:rsidRPr="00163C85" w:rsidRDefault="007A3B46" w:rsidP="00993B9C">
      <w:pPr>
        <w:spacing w:line="360" w:lineRule="auto"/>
        <w:jc w:val="center"/>
        <w:rPr>
          <w:rFonts w:ascii="Garamond" w:hAnsi="Garamond"/>
          <w:b/>
          <w:color w:val="0070C0"/>
          <w:sz w:val="22"/>
          <w:szCs w:val="22"/>
        </w:rPr>
      </w:pPr>
      <w:r w:rsidRPr="00163C85">
        <w:rPr>
          <w:rFonts w:ascii="Garamond" w:hAnsi="Garamond"/>
          <w:b/>
          <w:color w:val="0070C0"/>
          <w:sz w:val="22"/>
          <w:szCs w:val="22"/>
        </w:rPr>
        <w:t>Interest Rate</w:t>
      </w:r>
      <w:r w:rsidR="00993B9C">
        <w:rPr>
          <w:rFonts w:ascii="Garamond" w:hAnsi="Garamond"/>
          <w:b/>
          <w:color w:val="0070C0"/>
          <w:sz w:val="22"/>
          <w:szCs w:val="22"/>
        </w:rPr>
        <w:t>s of Operations by the Central Bank of the Republic of Armenia in the Financial Market</w:t>
      </w:r>
    </w:p>
    <w:p w14:paraId="31BAA2BB" w14:textId="77777777" w:rsidR="007A3B46" w:rsidRPr="00163C85" w:rsidRDefault="007A3B46" w:rsidP="007A3B46">
      <w:pPr>
        <w:spacing w:line="360" w:lineRule="auto"/>
        <w:jc w:val="center"/>
        <w:rPr>
          <w:rFonts w:ascii="Garamond" w:hAnsi="Garamond"/>
          <w:sz w:val="22"/>
          <w:szCs w:val="22"/>
        </w:rPr>
      </w:pPr>
    </w:p>
    <w:p w14:paraId="6001B054"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lastRenderedPageBreak/>
        <w:t xml:space="preserve">By virtue of Article 20 (c) of the Republic of Armenia Law on the Central Bank, the Board of the Central Bank of the Republic of Armenia </w:t>
      </w:r>
      <w:r w:rsidRPr="00163C85">
        <w:rPr>
          <w:rFonts w:ascii="Garamond" w:hAnsi="Garamond"/>
          <w:b/>
          <w:sz w:val="22"/>
          <w:szCs w:val="22"/>
        </w:rPr>
        <w:t>enacts:</w:t>
      </w:r>
    </w:p>
    <w:p w14:paraId="3BD682E6"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1.</w:t>
      </w:r>
      <w:r w:rsidRPr="00163C85">
        <w:rPr>
          <w:rFonts w:ascii="Garamond" w:hAnsi="Garamond"/>
          <w:sz w:val="22"/>
          <w:szCs w:val="22"/>
        </w:rPr>
        <w:tab/>
      </w:r>
      <w:r>
        <w:rPr>
          <w:rFonts w:ascii="Garamond" w:hAnsi="Garamond"/>
          <w:sz w:val="22"/>
          <w:szCs w:val="22"/>
        </w:rPr>
        <w:t xml:space="preserve">To leave </w:t>
      </w:r>
      <w:r w:rsidRPr="00163C85">
        <w:rPr>
          <w:rFonts w:ascii="Garamond" w:hAnsi="Garamond"/>
          <w:sz w:val="22"/>
          <w:szCs w:val="22"/>
        </w:rPr>
        <w:t xml:space="preserve">the refinancing rate of the Central Bank of the Republic of Armenia </w:t>
      </w:r>
      <w:r>
        <w:rPr>
          <w:rFonts w:ascii="Garamond" w:hAnsi="Garamond"/>
          <w:sz w:val="22"/>
          <w:szCs w:val="22"/>
        </w:rPr>
        <w:t>unchanged, 5</w:t>
      </w:r>
      <w:r w:rsidRPr="00163C85">
        <w:rPr>
          <w:rFonts w:ascii="Garamond" w:hAnsi="Garamond"/>
          <w:sz w:val="22"/>
          <w:szCs w:val="22"/>
        </w:rPr>
        <w:t>.</w:t>
      </w:r>
      <w:r>
        <w:rPr>
          <w:rFonts w:ascii="Garamond" w:hAnsi="Garamond"/>
          <w:sz w:val="22"/>
          <w:szCs w:val="22"/>
        </w:rPr>
        <w:t>75</w:t>
      </w:r>
      <w:r w:rsidRPr="00163C85">
        <w:rPr>
          <w:rFonts w:ascii="Garamond" w:hAnsi="Garamond"/>
          <w:sz w:val="22"/>
          <w:szCs w:val="22"/>
        </w:rPr>
        <w:t>%.</w:t>
      </w:r>
    </w:p>
    <w:p w14:paraId="2F68791D"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2.</w:t>
      </w:r>
      <w:r w:rsidRPr="00163C85">
        <w:rPr>
          <w:rFonts w:ascii="Garamond" w:hAnsi="Garamond"/>
          <w:sz w:val="22"/>
          <w:szCs w:val="22"/>
        </w:rPr>
        <w:tab/>
        <w:t>To the Financial Department of the Central Bank of the Republic of Armenia to carry out operations in the financial market of the Republic of Armenia, using the interest rates, as follows:</w:t>
      </w:r>
    </w:p>
    <w:p w14:paraId="55FB12EB"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2.1</w:t>
      </w:r>
      <w:r w:rsidRPr="00163C85">
        <w:rPr>
          <w:rFonts w:ascii="Garamond" w:hAnsi="Garamond"/>
          <w:sz w:val="22"/>
          <w:szCs w:val="22"/>
        </w:rPr>
        <w:tab/>
        <w:t>Lombard facility rate offered by the Central Bank to be 7.</w:t>
      </w:r>
      <w:r>
        <w:rPr>
          <w:rFonts w:ascii="Garamond" w:hAnsi="Garamond"/>
          <w:sz w:val="22"/>
          <w:szCs w:val="22"/>
        </w:rPr>
        <w:t>2</w:t>
      </w:r>
      <w:r w:rsidRPr="00163C85">
        <w:rPr>
          <w:rFonts w:ascii="Garamond" w:hAnsi="Garamond"/>
          <w:sz w:val="22"/>
          <w:szCs w:val="22"/>
        </w:rPr>
        <w:t>5%.</w:t>
      </w:r>
    </w:p>
    <w:p w14:paraId="1C11A2DB"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2.2.</w:t>
      </w:r>
      <w:r w:rsidRPr="00163C85">
        <w:rPr>
          <w:rFonts w:ascii="Garamond" w:hAnsi="Garamond"/>
          <w:sz w:val="22"/>
          <w:szCs w:val="22"/>
        </w:rPr>
        <w:tab/>
        <w:t>Deposit facility rate offered by the Central Bank to be 4.</w:t>
      </w:r>
      <w:r>
        <w:rPr>
          <w:rFonts w:ascii="Garamond" w:hAnsi="Garamond"/>
          <w:sz w:val="22"/>
          <w:szCs w:val="22"/>
        </w:rPr>
        <w:t>2</w:t>
      </w:r>
      <w:r w:rsidRPr="00163C85">
        <w:rPr>
          <w:rFonts w:ascii="Garamond" w:hAnsi="Garamond"/>
          <w:sz w:val="22"/>
          <w:szCs w:val="22"/>
        </w:rPr>
        <w:t>5%.</w:t>
      </w:r>
    </w:p>
    <w:p w14:paraId="6BA16B18"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3.</w:t>
      </w:r>
      <w:r w:rsidRPr="00163C85">
        <w:rPr>
          <w:rFonts w:ascii="Garamond" w:hAnsi="Garamond"/>
          <w:sz w:val="22"/>
          <w:szCs w:val="22"/>
        </w:rPr>
        <w:tab/>
        <w:t>This decision shall take force on the day following the adoption thereof.</w:t>
      </w:r>
    </w:p>
    <w:p w14:paraId="2A96791F" w14:textId="77777777" w:rsidR="00993B9C" w:rsidRPr="00163C85" w:rsidRDefault="00993B9C" w:rsidP="00993B9C">
      <w:pPr>
        <w:spacing w:line="360" w:lineRule="auto"/>
        <w:jc w:val="both"/>
        <w:rPr>
          <w:rFonts w:ascii="Garamond" w:hAnsi="Garamond"/>
          <w:sz w:val="22"/>
          <w:szCs w:val="22"/>
        </w:rPr>
      </w:pPr>
    </w:p>
    <w:p w14:paraId="69B16869" w14:textId="77777777" w:rsidR="00993B9C" w:rsidRPr="00163C85" w:rsidRDefault="00993B9C" w:rsidP="00993B9C">
      <w:pPr>
        <w:spacing w:line="360" w:lineRule="auto"/>
        <w:jc w:val="both"/>
        <w:rPr>
          <w:rFonts w:ascii="Garamond" w:hAnsi="Garamond"/>
          <w:b/>
          <w:sz w:val="22"/>
          <w:szCs w:val="22"/>
        </w:rPr>
      </w:pPr>
      <w:r>
        <w:rPr>
          <w:rFonts w:ascii="Garamond" w:hAnsi="Garamond"/>
          <w:b/>
          <w:sz w:val="22"/>
          <w:szCs w:val="22"/>
        </w:rPr>
        <w:t>Nerses Yeritsyan</w:t>
      </w:r>
      <w:r w:rsidRPr="00163C85">
        <w:rPr>
          <w:rFonts w:ascii="Garamond" w:hAnsi="Garamond"/>
          <w:b/>
          <w:sz w:val="22"/>
          <w:szCs w:val="22"/>
        </w:rPr>
        <w:t>,</w:t>
      </w:r>
    </w:p>
    <w:p w14:paraId="55FF6F4A" w14:textId="77777777" w:rsidR="00993B9C" w:rsidRPr="00163C85" w:rsidRDefault="00993B9C" w:rsidP="00993B9C">
      <w:pPr>
        <w:spacing w:line="360" w:lineRule="auto"/>
        <w:jc w:val="both"/>
        <w:rPr>
          <w:rFonts w:ascii="Garamond" w:hAnsi="Garamond"/>
          <w:b/>
          <w:sz w:val="22"/>
          <w:szCs w:val="22"/>
        </w:rPr>
      </w:pPr>
      <w:r>
        <w:rPr>
          <w:rFonts w:ascii="Garamond" w:hAnsi="Garamond"/>
          <w:b/>
          <w:sz w:val="22"/>
          <w:szCs w:val="22"/>
        </w:rPr>
        <w:t xml:space="preserve">Deputy </w:t>
      </w:r>
      <w:r w:rsidRPr="00163C85">
        <w:rPr>
          <w:rFonts w:ascii="Garamond" w:hAnsi="Garamond"/>
          <w:b/>
          <w:sz w:val="22"/>
          <w:szCs w:val="22"/>
        </w:rPr>
        <w:t>Chairman of the Central Bank</w:t>
      </w:r>
    </w:p>
    <w:p w14:paraId="435D6058" w14:textId="77777777" w:rsidR="00993B9C" w:rsidRPr="00163C85" w:rsidRDefault="00993B9C" w:rsidP="00993B9C">
      <w:pPr>
        <w:spacing w:line="360" w:lineRule="auto"/>
        <w:jc w:val="both"/>
        <w:rPr>
          <w:rFonts w:ascii="Garamond" w:hAnsi="Garamond"/>
          <w:b/>
          <w:sz w:val="22"/>
          <w:szCs w:val="22"/>
        </w:rPr>
      </w:pPr>
    </w:p>
    <w:p w14:paraId="7045F079" w14:textId="77777777" w:rsidR="00993B9C" w:rsidRPr="00163C85" w:rsidRDefault="00993B9C" w:rsidP="00993B9C">
      <w:pPr>
        <w:spacing w:line="360" w:lineRule="auto"/>
        <w:jc w:val="both"/>
        <w:rPr>
          <w:rFonts w:ascii="Garamond" w:hAnsi="Garamond"/>
          <w:sz w:val="22"/>
          <w:szCs w:val="22"/>
        </w:rPr>
      </w:pPr>
      <w:r>
        <w:rPr>
          <w:rFonts w:ascii="Garamond" w:hAnsi="Garamond"/>
          <w:b/>
          <w:sz w:val="22"/>
          <w:szCs w:val="22"/>
        </w:rPr>
        <w:t>March</w:t>
      </w:r>
      <w:r w:rsidRPr="00163C85">
        <w:rPr>
          <w:rFonts w:ascii="Garamond" w:hAnsi="Garamond"/>
          <w:b/>
          <w:sz w:val="22"/>
          <w:szCs w:val="22"/>
        </w:rPr>
        <w:t xml:space="preserve"> </w:t>
      </w:r>
      <w:r>
        <w:rPr>
          <w:rFonts w:ascii="Garamond" w:hAnsi="Garamond"/>
          <w:b/>
          <w:sz w:val="22"/>
          <w:szCs w:val="22"/>
        </w:rPr>
        <w:t>12</w:t>
      </w:r>
      <w:r w:rsidRPr="00163C85">
        <w:rPr>
          <w:rFonts w:ascii="Garamond" w:hAnsi="Garamond"/>
          <w:b/>
          <w:sz w:val="22"/>
          <w:szCs w:val="22"/>
        </w:rPr>
        <w:t>, 201</w:t>
      </w:r>
      <w:r>
        <w:rPr>
          <w:rFonts w:ascii="Garamond" w:hAnsi="Garamond"/>
          <w:b/>
          <w:sz w:val="22"/>
          <w:szCs w:val="22"/>
        </w:rPr>
        <w:t>9</w:t>
      </w:r>
    </w:p>
    <w:p w14:paraId="4627505C"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c. Yerevan</w:t>
      </w:r>
    </w:p>
    <w:p w14:paraId="6D42C3BE" w14:textId="77777777" w:rsidR="00993B9C" w:rsidRPr="00163C85" w:rsidRDefault="00993B9C" w:rsidP="00993B9C">
      <w:pPr>
        <w:spacing w:line="360" w:lineRule="auto"/>
        <w:jc w:val="center"/>
        <w:rPr>
          <w:rFonts w:ascii="Garamond" w:hAnsi="Garamond"/>
          <w:b/>
          <w:color w:val="0070C0"/>
          <w:sz w:val="22"/>
          <w:szCs w:val="22"/>
        </w:rPr>
      </w:pPr>
    </w:p>
    <w:p w14:paraId="355C4690" w14:textId="77777777" w:rsidR="00993B9C" w:rsidRPr="00163C85" w:rsidRDefault="00993B9C" w:rsidP="00993B9C">
      <w:pPr>
        <w:spacing w:line="360" w:lineRule="auto"/>
        <w:jc w:val="center"/>
        <w:rPr>
          <w:rFonts w:ascii="Garamond" w:hAnsi="Garamond"/>
          <w:b/>
          <w:color w:val="0070C0"/>
          <w:sz w:val="22"/>
          <w:szCs w:val="22"/>
        </w:rPr>
      </w:pPr>
    </w:p>
    <w:p w14:paraId="300BC394" w14:textId="77777777" w:rsidR="00993B9C" w:rsidRPr="00163C85" w:rsidRDefault="00993B9C" w:rsidP="00993B9C">
      <w:pPr>
        <w:spacing w:line="360" w:lineRule="auto"/>
        <w:jc w:val="center"/>
        <w:rPr>
          <w:rFonts w:ascii="Garamond" w:hAnsi="Garamond"/>
          <w:b/>
          <w:color w:val="0070C0"/>
          <w:sz w:val="22"/>
          <w:szCs w:val="22"/>
        </w:rPr>
      </w:pPr>
    </w:p>
    <w:p w14:paraId="4E5AC042" w14:textId="77777777" w:rsidR="00993B9C" w:rsidRPr="00163C85" w:rsidRDefault="00993B9C" w:rsidP="00993B9C">
      <w:pPr>
        <w:spacing w:line="360" w:lineRule="auto"/>
        <w:jc w:val="center"/>
        <w:rPr>
          <w:rFonts w:ascii="Garamond" w:hAnsi="Garamond"/>
          <w:b/>
          <w:color w:val="0070C0"/>
          <w:sz w:val="22"/>
          <w:szCs w:val="22"/>
        </w:rPr>
      </w:pPr>
    </w:p>
    <w:p w14:paraId="0A8E865C" w14:textId="77777777" w:rsidR="00993B9C" w:rsidRPr="00163C85" w:rsidRDefault="00993B9C" w:rsidP="00993B9C">
      <w:pPr>
        <w:spacing w:line="360" w:lineRule="auto"/>
        <w:jc w:val="center"/>
        <w:rPr>
          <w:rFonts w:ascii="Garamond" w:hAnsi="Garamond"/>
          <w:b/>
          <w:color w:val="0070C0"/>
          <w:sz w:val="22"/>
          <w:szCs w:val="22"/>
        </w:rPr>
      </w:pPr>
    </w:p>
    <w:p w14:paraId="18C53DDB" w14:textId="77777777" w:rsidR="00993B9C" w:rsidRPr="00163C85" w:rsidRDefault="00993B9C" w:rsidP="00993B9C">
      <w:pPr>
        <w:spacing w:line="360" w:lineRule="auto"/>
        <w:jc w:val="center"/>
        <w:rPr>
          <w:rFonts w:ascii="Garamond" w:hAnsi="Garamond"/>
          <w:b/>
          <w:color w:val="0070C0"/>
          <w:sz w:val="22"/>
          <w:szCs w:val="22"/>
        </w:rPr>
      </w:pPr>
    </w:p>
    <w:p w14:paraId="61E2CA81" w14:textId="77777777" w:rsidR="00993B9C" w:rsidRPr="00163C85" w:rsidRDefault="00993B9C" w:rsidP="00993B9C">
      <w:pPr>
        <w:spacing w:line="360" w:lineRule="auto"/>
        <w:jc w:val="center"/>
        <w:rPr>
          <w:rFonts w:ascii="Garamond" w:hAnsi="Garamond"/>
          <w:b/>
          <w:color w:val="0070C0"/>
          <w:sz w:val="22"/>
          <w:szCs w:val="22"/>
        </w:rPr>
      </w:pPr>
    </w:p>
    <w:p w14:paraId="547FAFCC" w14:textId="77777777" w:rsidR="00993B9C" w:rsidRPr="00163C85" w:rsidRDefault="00993B9C" w:rsidP="00993B9C">
      <w:pPr>
        <w:spacing w:line="360" w:lineRule="auto"/>
        <w:jc w:val="center"/>
        <w:rPr>
          <w:rFonts w:ascii="Garamond" w:hAnsi="Garamond"/>
          <w:b/>
          <w:color w:val="0070C0"/>
          <w:sz w:val="22"/>
          <w:szCs w:val="22"/>
        </w:rPr>
      </w:pPr>
    </w:p>
    <w:p w14:paraId="41880564" w14:textId="77777777" w:rsidR="00993B9C" w:rsidRPr="00163C85" w:rsidRDefault="00993B9C" w:rsidP="00993B9C">
      <w:pPr>
        <w:spacing w:line="360" w:lineRule="auto"/>
        <w:jc w:val="center"/>
        <w:rPr>
          <w:rFonts w:ascii="Garamond" w:hAnsi="Garamond"/>
          <w:b/>
          <w:color w:val="0070C0"/>
          <w:sz w:val="22"/>
          <w:szCs w:val="22"/>
        </w:rPr>
      </w:pPr>
    </w:p>
    <w:p w14:paraId="1A43B6D4" w14:textId="77777777" w:rsidR="00993B9C" w:rsidRPr="00163C85" w:rsidRDefault="00993B9C" w:rsidP="00993B9C">
      <w:pPr>
        <w:jc w:val="center"/>
        <w:rPr>
          <w:rFonts w:ascii="Garamond" w:hAnsi="Garamond"/>
          <w:b/>
          <w:color w:val="0070C0"/>
          <w:sz w:val="22"/>
          <w:szCs w:val="22"/>
        </w:rPr>
      </w:pPr>
    </w:p>
    <w:p w14:paraId="32C9B344" w14:textId="77777777" w:rsidR="00993B9C" w:rsidRPr="00163C85" w:rsidRDefault="00993B9C" w:rsidP="00993B9C">
      <w:pPr>
        <w:jc w:val="center"/>
        <w:rPr>
          <w:rFonts w:ascii="Garamond" w:hAnsi="Garamond"/>
          <w:b/>
          <w:color w:val="0070C0"/>
          <w:sz w:val="22"/>
          <w:szCs w:val="22"/>
        </w:rPr>
      </w:pPr>
    </w:p>
    <w:p w14:paraId="7EEEFFC8" w14:textId="77777777" w:rsidR="00993B9C" w:rsidRPr="00163C85" w:rsidRDefault="00993B9C" w:rsidP="00993B9C">
      <w:pPr>
        <w:jc w:val="center"/>
        <w:rPr>
          <w:rFonts w:ascii="Garamond" w:hAnsi="Garamond"/>
          <w:b/>
          <w:color w:val="0070C0"/>
          <w:sz w:val="22"/>
          <w:szCs w:val="22"/>
        </w:rPr>
      </w:pPr>
    </w:p>
    <w:p w14:paraId="31D791D2" w14:textId="77777777" w:rsidR="00993B9C" w:rsidRPr="00163C85" w:rsidRDefault="00993B9C" w:rsidP="00993B9C">
      <w:pPr>
        <w:jc w:val="center"/>
        <w:rPr>
          <w:rFonts w:ascii="Garamond" w:hAnsi="Garamond"/>
          <w:b/>
          <w:color w:val="0070C0"/>
          <w:sz w:val="22"/>
          <w:szCs w:val="22"/>
        </w:rPr>
      </w:pPr>
    </w:p>
    <w:p w14:paraId="3601EA00" w14:textId="77777777" w:rsidR="00993B9C" w:rsidRPr="00163C85" w:rsidRDefault="00993B9C" w:rsidP="00993B9C">
      <w:pPr>
        <w:jc w:val="center"/>
        <w:rPr>
          <w:rFonts w:ascii="Garamond" w:hAnsi="Garamond"/>
          <w:b/>
          <w:color w:val="0070C0"/>
          <w:sz w:val="22"/>
          <w:szCs w:val="22"/>
        </w:rPr>
      </w:pPr>
    </w:p>
    <w:p w14:paraId="027ACB22" w14:textId="77777777" w:rsidR="00993B9C" w:rsidRPr="00B16FA4" w:rsidRDefault="00993B9C" w:rsidP="00993B9C">
      <w:pPr>
        <w:jc w:val="center"/>
        <w:rPr>
          <w:rFonts w:ascii="Garamond" w:hAnsi="Garamond"/>
          <w:b/>
          <w:color w:val="0070C0"/>
          <w:sz w:val="22"/>
          <w:szCs w:val="22"/>
        </w:rPr>
      </w:pPr>
      <w:r w:rsidRPr="00B16FA4">
        <w:rPr>
          <w:rFonts w:ascii="Garamond" w:hAnsi="Garamond"/>
          <w:b/>
          <w:color w:val="0070C0"/>
          <w:sz w:val="22"/>
          <w:szCs w:val="22"/>
        </w:rPr>
        <w:t>PRESS RELEASE</w:t>
      </w:r>
    </w:p>
    <w:p w14:paraId="3BCF959E" w14:textId="77777777" w:rsidR="00993B9C" w:rsidRPr="00B16FA4" w:rsidRDefault="00993B9C" w:rsidP="00993B9C">
      <w:pPr>
        <w:jc w:val="center"/>
        <w:rPr>
          <w:rFonts w:ascii="Garamond" w:hAnsi="Garamond"/>
          <w:sz w:val="22"/>
          <w:szCs w:val="22"/>
        </w:rPr>
      </w:pPr>
      <w:r>
        <w:rPr>
          <w:rFonts w:ascii="Garamond" w:hAnsi="Garamond"/>
          <w:b/>
          <w:color w:val="0070C0"/>
          <w:sz w:val="22"/>
          <w:szCs w:val="22"/>
        </w:rPr>
        <w:t>12</w:t>
      </w:r>
      <w:r w:rsidRPr="00B16FA4">
        <w:rPr>
          <w:rFonts w:ascii="Garamond" w:hAnsi="Garamond"/>
          <w:b/>
          <w:color w:val="0070C0"/>
          <w:sz w:val="22"/>
          <w:szCs w:val="22"/>
        </w:rPr>
        <w:t>.</w:t>
      </w:r>
      <w:r>
        <w:rPr>
          <w:rFonts w:ascii="Garamond" w:hAnsi="Garamond"/>
          <w:b/>
          <w:color w:val="0070C0"/>
          <w:sz w:val="22"/>
          <w:szCs w:val="22"/>
        </w:rPr>
        <w:t>03</w:t>
      </w:r>
      <w:r w:rsidRPr="00B16FA4">
        <w:rPr>
          <w:rFonts w:ascii="Garamond" w:hAnsi="Garamond"/>
          <w:b/>
          <w:color w:val="0070C0"/>
          <w:sz w:val="22"/>
          <w:szCs w:val="22"/>
        </w:rPr>
        <w:t>.201</w:t>
      </w:r>
      <w:r>
        <w:rPr>
          <w:rFonts w:ascii="Garamond" w:hAnsi="Garamond"/>
          <w:b/>
          <w:color w:val="0070C0"/>
          <w:sz w:val="22"/>
          <w:szCs w:val="22"/>
        </w:rPr>
        <w:t>9</w:t>
      </w:r>
    </w:p>
    <w:p w14:paraId="25ABA612" w14:textId="77777777" w:rsidR="00993B9C" w:rsidRPr="00B16FA4" w:rsidRDefault="00993B9C" w:rsidP="00993B9C">
      <w:pPr>
        <w:jc w:val="both"/>
        <w:rPr>
          <w:rFonts w:ascii="Garamond" w:hAnsi="Garamond"/>
          <w:sz w:val="22"/>
          <w:szCs w:val="22"/>
        </w:rPr>
      </w:pPr>
    </w:p>
    <w:p w14:paraId="450EB896" w14:textId="77777777" w:rsidR="00993B9C" w:rsidRDefault="00993B9C" w:rsidP="00993B9C">
      <w:pPr>
        <w:jc w:val="both"/>
        <w:rPr>
          <w:rFonts w:ascii="Garamond" w:hAnsi="Garamond"/>
        </w:rPr>
      </w:pPr>
    </w:p>
    <w:p w14:paraId="60CC273C" w14:textId="77777777" w:rsidR="00993B9C" w:rsidRPr="00B16FA4" w:rsidRDefault="00993B9C" w:rsidP="00993B9C">
      <w:pPr>
        <w:jc w:val="both"/>
        <w:rPr>
          <w:rFonts w:ascii="Garamond" w:hAnsi="Garamond"/>
        </w:rPr>
      </w:pPr>
      <w:r>
        <w:rPr>
          <w:rFonts w:ascii="Garamond" w:hAnsi="Garamond"/>
        </w:rPr>
        <w:t>In</w:t>
      </w:r>
      <w:r w:rsidRPr="00B16FA4">
        <w:rPr>
          <w:rFonts w:ascii="Garamond" w:hAnsi="Garamond"/>
        </w:rPr>
        <w:t xml:space="preserve"> the </w:t>
      </w:r>
      <w:r>
        <w:rPr>
          <w:rFonts w:ascii="Garamond" w:hAnsi="Garamond"/>
        </w:rPr>
        <w:t>March 12,</w:t>
      </w:r>
      <w:r w:rsidRPr="00B16FA4">
        <w:rPr>
          <w:rFonts w:ascii="Garamond" w:hAnsi="Garamond"/>
        </w:rPr>
        <w:t xml:space="preserve"> 201</w:t>
      </w:r>
      <w:r>
        <w:rPr>
          <w:rFonts w:ascii="Garamond" w:hAnsi="Garamond"/>
        </w:rPr>
        <w:t>9</w:t>
      </w:r>
      <w:r w:rsidRPr="00B16FA4">
        <w:rPr>
          <w:rFonts w:ascii="Garamond" w:hAnsi="Garamond"/>
        </w:rPr>
        <w:t xml:space="preserve"> meeting, the Board of the Central Bank of Armenia</w:t>
      </w:r>
      <w:r>
        <w:rPr>
          <w:rFonts w:ascii="Garamond" w:hAnsi="Garamond"/>
        </w:rPr>
        <w:t xml:space="preserve"> (CBA) </w:t>
      </w:r>
      <w:r w:rsidRPr="00B16FA4">
        <w:rPr>
          <w:rFonts w:ascii="Garamond" w:hAnsi="Garamond"/>
        </w:rPr>
        <w:t xml:space="preserve">decided to </w:t>
      </w:r>
      <w:r>
        <w:rPr>
          <w:rFonts w:ascii="Garamond" w:hAnsi="Garamond"/>
        </w:rPr>
        <w:t xml:space="preserve">leave </w:t>
      </w:r>
      <w:r w:rsidRPr="00B16FA4">
        <w:rPr>
          <w:rFonts w:ascii="Garamond" w:hAnsi="Garamond"/>
        </w:rPr>
        <w:t xml:space="preserve">the refinancing rate </w:t>
      </w:r>
      <w:r>
        <w:rPr>
          <w:rFonts w:ascii="Garamond" w:hAnsi="Garamond"/>
        </w:rPr>
        <w:t>unchanged, at a 5.75</w:t>
      </w:r>
      <w:r w:rsidRPr="00B16FA4">
        <w:rPr>
          <w:rFonts w:ascii="Garamond" w:hAnsi="Garamond"/>
        </w:rPr>
        <w:t>%</w:t>
      </w:r>
      <w:r>
        <w:rPr>
          <w:rFonts w:ascii="Garamond" w:hAnsi="Garamond"/>
        </w:rPr>
        <w:t xml:space="preserve"> level</w:t>
      </w:r>
      <w:r w:rsidRPr="00B16FA4">
        <w:rPr>
          <w:rFonts w:ascii="Garamond" w:hAnsi="Garamond"/>
        </w:rPr>
        <w:t>.</w:t>
      </w:r>
    </w:p>
    <w:p w14:paraId="130A1359" w14:textId="77777777" w:rsidR="00993B9C" w:rsidRPr="00B16FA4" w:rsidRDefault="00993B9C" w:rsidP="00993B9C">
      <w:pPr>
        <w:jc w:val="both"/>
        <w:rPr>
          <w:rFonts w:ascii="Garamond" w:hAnsi="Garamond"/>
        </w:rPr>
      </w:pPr>
    </w:p>
    <w:p w14:paraId="0494FC0D" w14:textId="77777777" w:rsidR="00993B9C" w:rsidRDefault="00993B9C" w:rsidP="00993B9C">
      <w:pPr>
        <w:jc w:val="both"/>
        <w:rPr>
          <w:rFonts w:ascii="Garamond" w:hAnsi="Garamond"/>
        </w:rPr>
      </w:pPr>
      <w:r w:rsidRPr="00B16FA4">
        <w:rPr>
          <w:rFonts w:ascii="Garamond" w:hAnsi="Garamond"/>
        </w:rPr>
        <w:t xml:space="preserve">There was </w:t>
      </w:r>
      <w:r>
        <w:rPr>
          <w:rFonts w:ascii="Garamond" w:hAnsi="Garamond"/>
        </w:rPr>
        <w:t>0</w:t>
      </w:r>
      <w:r w:rsidRPr="00B16FA4">
        <w:rPr>
          <w:rFonts w:ascii="Garamond" w:hAnsi="Garamond"/>
        </w:rPr>
        <w:t>.</w:t>
      </w:r>
      <w:r>
        <w:rPr>
          <w:rFonts w:ascii="Garamond" w:hAnsi="Garamond"/>
        </w:rPr>
        <w:t>6</w:t>
      </w:r>
      <w:r w:rsidRPr="00B16FA4">
        <w:rPr>
          <w:rFonts w:ascii="Garamond" w:hAnsi="Garamond"/>
        </w:rPr>
        <w:t xml:space="preserve">% </w:t>
      </w:r>
      <w:r>
        <w:rPr>
          <w:rFonts w:ascii="Garamond" w:hAnsi="Garamond"/>
        </w:rPr>
        <w:t>in</w:t>
      </w:r>
      <w:r w:rsidRPr="00B16FA4">
        <w:rPr>
          <w:rFonts w:ascii="Garamond" w:hAnsi="Garamond"/>
        </w:rPr>
        <w:t xml:space="preserve">flation in </w:t>
      </w:r>
      <w:r>
        <w:rPr>
          <w:rFonts w:ascii="Garamond" w:hAnsi="Garamond"/>
        </w:rPr>
        <w:t>February</w:t>
      </w:r>
      <w:r w:rsidRPr="00B16FA4">
        <w:rPr>
          <w:rFonts w:ascii="Garamond" w:hAnsi="Garamond"/>
        </w:rPr>
        <w:t xml:space="preserve"> of 201</w:t>
      </w:r>
      <w:r>
        <w:rPr>
          <w:rFonts w:ascii="Garamond" w:hAnsi="Garamond"/>
        </w:rPr>
        <w:t xml:space="preserve">9, compared with 0.5% deflation registered in the same month of 2018, in which case </w:t>
      </w:r>
      <w:r w:rsidRPr="00B16FA4">
        <w:rPr>
          <w:rFonts w:ascii="Garamond" w:hAnsi="Garamond"/>
        </w:rPr>
        <w:t xml:space="preserve">the 12-month inflation rate </w:t>
      </w:r>
      <w:r>
        <w:rPr>
          <w:rFonts w:ascii="Garamond" w:hAnsi="Garamond"/>
        </w:rPr>
        <w:t>has increased, amounting to 1</w:t>
      </w:r>
      <w:r w:rsidRPr="00B16FA4">
        <w:rPr>
          <w:rFonts w:ascii="Garamond" w:hAnsi="Garamond"/>
        </w:rPr>
        <w:t>.</w:t>
      </w:r>
      <w:r>
        <w:rPr>
          <w:rFonts w:ascii="Garamond" w:hAnsi="Garamond"/>
        </w:rPr>
        <w:t>9</w:t>
      </w:r>
      <w:r w:rsidRPr="00B16FA4">
        <w:rPr>
          <w:rFonts w:ascii="Garamond" w:hAnsi="Garamond"/>
        </w:rPr>
        <w:t>%</w:t>
      </w:r>
      <w:r>
        <w:rPr>
          <w:rFonts w:ascii="Garamond" w:hAnsi="Garamond"/>
        </w:rPr>
        <w:t xml:space="preserve">. The rise in prices of seasonal products </w:t>
      </w:r>
      <w:r w:rsidRPr="00390F48">
        <w:rPr>
          <w:rFonts w:ascii="Garamond" w:hAnsi="Garamond"/>
        </w:rPr>
        <w:t>ha</w:t>
      </w:r>
      <w:r>
        <w:rPr>
          <w:rFonts w:ascii="Garamond" w:hAnsi="Garamond"/>
        </w:rPr>
        <w:t xml:space="preserve">s totally contributed to the month’s inflation. </w:t>
      </w:r>
    </w:p>
    <w:p w14:paraId="62963378" w14:textId="77777777" w:rsidR="00993B9C" w:rsidRPr="00B16FA4" w:rsidRDefault="00993B9C" w:rsidP="00993B9C">
      <w:pPr>
        <w:jc w:val="both"/>
        <w:rPr>
          <w:rFonts w:ascii="Garamond" w:hAnsi="Garamond"/>
        </w:rPr>
      </w:pPr>
    </w:p>
    <w:p w14:paraId="37417E00" w14:textId="77777777" w:rsidR="00993B9C" w:rsidRDefault="00993B9C" w:rsidP="00993B9C">
      <w:pPr>
        <w:jc w:val="both"/>
        <w:rPr>
          <w:rFonts w:ascii="Garamond" w:hAnsi="Garamond"/>
        </w:rPr>
      </w:pPr>
      <w:r>
        <w:rPr>
          <w:rFonts w:ascii="Garamond" w:hAnsi="Garamond"/>
        </w:rPr>
        <w:lastRenderedPageBreak/>
        <w:t>As g</w:t>
      </w:r>
      <w:r w:rsidRPr="00B16FA4">
        <w:rPr>
          <w:rFonts w:ascii="Garamond" w:hAnsi="Garamond"/>
        </w:rPr>
        <w:t xml:space="preserve">lobal economic growth </w:t>
      </w:r>
      <w:r>
        <w:rPr>
          <w:rFonts w:ascii="Garamond" w:hAnsi="Garamond"/>
        </w:rPr>
        <w:t xml:space="preserve">rates are slowing down, the </w:t>
      </w:r>
      <w:r w:rsidRPr="00AB0C45">
        <w:rPr>
          <w:rFonts w:ascii="Garamond" w:hAnsi="Garamond"/>
        </w:rPr>
        <w:t xml:space="preserve">global demand has somewhat weakened, with </w:t>
      </w:r>
      <w:r>
        <w:rPr>
          <w:rFonts w:ascii="Garamond" w:hAnsi="Garamond"/>
        </w:rPr>
        <w:t xml:space="preserve">a </w:t>
      </w:r>
      <w:r w:rsidRPr="00AB0C45">
        <w:rPr>
          <w:rFonts w:ascii="Garamond" w:hAnsi="Garamond"/>
        </w:rPr>
        <w:t xml:space="preserve">low inflation environment </w:t>
      </w:r>
      <w:r>
        <w:rPr>
          <w:rFonts w:ascii="Garamond" w:hAnsi="Garamond"/>
        </w:rPr>
        <w:t xml:space="preserve">persisting in </w:t>
      </w:r>
      <w:r w:rsidRPr="00AB0C45">
        <w:rPr>
          <w:rFonts w:ascii="Garamond" w:hAnsi="Garamond"/>
        </w:rPr>
        <w:t>international markets of basic commodities.</w:t>
      </w:r>
      <w:r>
        <w:rPr>
          <w:rFonts w:ascii="Garamond" w:hAnsi="Garamond"/>
        </w:rPr>
        <w:t xml:space="preserve"> In the meantime, c</w:t>
      </w:r>
      <w:r w:rsidRPr="00AB0C45">
        <w:rPr>
          <w:rFonts w:ascii="Garamond" w:hAnsi="Garamond"/>
        </w:rPr>
        <w:t xml:space="preserve">entral banks </w:t>
      </w:r>
      <w:r>
        <w:rPr>
          <w:rFonts w:ascii="Garamond" w:hAnsi="Garamond"/>
        </w:rPr>
        <w:t xml:space="preserve">of leading countries </w:t>
      </w:r>
      <w:r w:rsidRPr="00AB0C45">
        <w:rPr>
          <w:rFonts w:ascii="Garamond" w:hAnsi="Garamond"/>
        </w:rPr>
        <w:t xml:space="preserve">temporarily </w:t>
      </w:r>
      <w:r>
        <w:rPr>
          <w:rFonts w:ascii="Garamond" w:hAnsi="Garamond"/>
        </w:rPr>
        <w:t xml:space="preserve">withheld from </w:t>
      </w:r>
      <w:r w:rsidRPr="00AB0C45">
        <w:rPr>
          <w:rFonts w:ascii="Garamond" w:hAnsi="Garamond"/>
        </w:rPr>
        <w:t>adjust</w:t>
      </w:r>
      <w:r>
        <w:rPr>
          <w:rFonts w:ascii="Garamond" w:hAnsi="Garamond"/>
        </w:rPr>
        <w:t>ing their</w:t>
      </w:r>
      <w:r w:rsidRPr="00AB0C45">
        <w:rPr>
          <w:rFonts w:ascii="Garamond" w:hAnsi="Garamond"/>
        </w:rPr>
        <w:t xml:space="preserve"> monetary conditions.</w:t>
      </w:r>
      <w:r>
        <w:rPr>
          <w:rFonts w:ascii="Garamond" w:hAnsi="Garamond"/>
        </w:rPr>
        <w:t xml:space="preserve"> In view of these developments, the Board of the CBA </w:t>
      </w:r>
      <w:r w:rsidRPr="002E73C1">
        <w:rPr>
          <w:rFonts w:ascii="Garamond" w:hAnsi="Garamond"/>
        </w:rPr>
        <w:t xml:space="preserve">considers that </w:t>
      </w:r>
      <w:r>
        <w:rPr>
          <w:rFonts w:ascii="Garamond" w:hAnsi="Garamond"/>
        </w:rPr>
        <w:t xml:space="preserve">no </w:t>
      </w:r>
      <w:r w:rsidRPr="002E73C1">
        <w:rPr>
          <w:rFonts w:ascii="Garamond" w:hAnsi="Garamond"/>
        </w:rPr>
        <w:t xml:space="preserve">inflationary pressures </w:t>
      </w:r>
      <w:r>
        <w:rPr>
          <w:rFonts w:ascii="Garamond" w:hAnsi="Garamond"/>
        </w:rPr>
        <w:t xml:space="preserve">from the external sector </w:t>
      </w:r>
      <w:r w:rsidRPr="002E73C1">
        <w:rPr>
          <w:rFonts w:ascii="Garamond" w:hAnsi="Garamond"/>
        </w:rPr>
        <w:t xml:space="preserve">are </w:t>
      </w:r>
      <w:r>
        <w:rPr>
          <w:rFonts w:ascii="Garamond" w:hAnsi="Garamond"/>
        </w:rPr>
        <w:t xml:space="preserve">likely </w:t>
      </w:r>
      <w:r w:rsidRPr="002E73C1">
        <w:rPr>
          <w:rFonts w:ascii="Garamond" w:hAnsi="Garamond"/>
        </w:rPr>
        <w:t xml:space="preserve">in the </w:t>
      </w:r>
      <w:r>
        <w:rPr>
          <w:rFonts w:ascii="Garamond" w:hAnsi="Garamond"/>
        </w:rPr>
        <w:t>up</w:t>
      </w:r>
      <w:r w:rsidRPr="002E73C1">
        <w:rPr>
          <w:rFonts w:ascii="Garamond" w:hAnsi="Garamond"/>
        </w:rPr>
        <w:t>coming months.</w:t>
      </w:r>
      <w:r>
        <w:rPr>
          <w:rFonts w:ascii="Garamond" w:hAnsi="Garamond"/>
        </w:rPr>
        <w:t xml:space="preserve"> </w:t>
      </w:r>
    </w:p>
    <w:p w14:paraId="668BA60E" w14:textId="77777777" w:rsidR="00993B9C" w:rsidRDefault="00993B9C" w:rsidP="00993B9C">
      <w:pPr>
        <w:jc w:val="both"/>
        <w:rPr>
          <w:rFonts w:ascii="Garamond" w:hAnsi="Garamond"/>
        </w:rPr>
      </w:pPr>
    </w:p>
    <w:p w14:paraId="166E620C" w14:textId="77777777" w:rsidR="00993B9C" w:rsidRDefault="00993B9C" w:rsidP="00993B9C">
      <w:pPr>
        <w:jc w:val="both"/>
        <w:rPr>
          <w:rFonts w:ascii="Garamond" w:hAnsi="Garamond"/>
        </w:rPr>
      </w:pPr>
      <w:r>
        <w:rPr>
          <w:rFonts w:ascii="Garamond" w:hAnsi="Garamond"/>
        </w:rPr>
        <w:t xml:space="preserve">The Board states that, according to Q4, 2018 actual results, the economic activity has been higher than expected, which was </w:t>
      </w:r>
      <w:r w:rsidRPr="001D4C19">
        <w:rPr>
          <w:rFonts w:ascii="Garamond" w:hAnsi="Garamond"/>
        </w:rPr>
        <w:t>driven mainly by the high growth in private consumption.</w:t>
      </w:r>
      <w:r>
        <w:rPr>
          <w:rFonts w:ascii="Garamond" w:hAnsi="Garamond"/>
        </w:rPr>
        <w:t xml:space="preserve"> </w:t>
      </w:r>
      <w:r w:rsidRPr="001D4C19">
        <w:rPr>
          <w:rFonts w:ascii="Garamond" w:hAnsi="Garamond"/>
        </w:rPr>
        <w:t>The relatively high economic activity was also observ</w:t>
      </w:r>
      <w:r>
        <w:rPr>
          <w:rFonts w:ascii="Garamond" w:hAnsi="Garamond"/>
        </w:rPr>
        <w:t xml:space="preserve">able at the start of </w:t>
      </w:r>
      <w:r w:rsidRPr="001D4C19">
        <w:rPr>
          <w:rFonts w:ascii="Garamond" w:hAnsi="Garamond"/>
        </w:rPr>
        <w:t>2019</w:t>
      </w:r>
      <w:r>
        <w:rPr>
          <w:rFonts w:ascii="Garamond" w:hAnsi="Garamond"/>
        </w:rPr>
        <w:t xml:space="preserve">; it made up </w:t>
      </w:r>
      <w:r w:rsidRPr="001D4C19">
        <w:rPr>
          <w:rFonts w:ascii="Garamond" w:hAnsi="Garamond"/>
        </w:rPr>
        <w:t>6.1% in January. It should be noted that at the beginning of the year</w:t>
      </w:r>
      <w:r>
        <w:rPr>
          <w:rFonts w:ascii="Garamond" w:hAnsi="Garamond"/>
        </w:rPr>
        <w:t xml:space="preserve"> too</w:t>
      </w:r>
      <w:r w:rsidRPr="001D4C19">
        <w:rPr>
          <w:rFonts w:ascii="Garamond" w:hAnsi="Garamond"/>
        </w:rPr>
        <w:t xml:space="preserve">, </w:t>
      </w:r>
      <w:r>
        <w:rPr>
          <w:rFonts w:ascii="Garamond" w:hAnsi="Garamond"/>
        </w:rPr>
        <w:t xml:space="preserve">the </w:t>
      </w:r>
      <w:r w:rsidRPr="001D4C19">
        <w:rPr>
          <w:rFonts w:ascii="Garamond" w:hAnsi="Garamond"/>
        </w:rPr>
        <w:t xml:space="preserve">fiscal policy continues to have a </w:t>
      </w:r>
      <w:r>
        <w:rPr>
          <w:rFonts w:ascii="Garamond" w:hAnsi="Garamond"/>
        </w:rPr>
        <w:t xml:space="preserve">contractionary </w:t>
      </w:r>
      <w:r w:rsidRPr="001D4C19">
        <w:rPr>
          <w:rFonts w:ascii="Garamond" w:hAnsi="Garamond"/>
        </w:rPr>
        <w:t xml:space="preserve">effect on the domestic demand, which, according to the CBA estimation, will </w:t>
      </w:r>
      <w:r>
        <w:rPr>
          <w:rFonts w:ascii="Garamond" w:hAnsi="Garamond"/>
        </w:rPr>
        <w:t xml:space="preserve">phase out over </w:t>
      </w:r>
      <w:r w:rsidRPr="001D4C19">
        <w:rPr>
          <w:rFonts w:ascii="Garamond" w:hAnsi="Garamond"/>
        </w:rPr>
        <w:t>the first half of the year.</w:t>
      </w:r>
      <w:r>
        <w:rPr>
          <w:rFonts w:ascii="Garamond" w:hAnsi="Garamond"/>
        </w:rPr>
        <w:t xml:space="preserve"> </w:t>
      </w:r>
    </w:p>
    <w:p w14:paraId="23B41C9C" w14:textId="77777777" w:rsidR="00993B9C" w:rsidRDefault="00993B9C" w:rsidP="00993B9C">
      <w:pPr>
        <w:jc w:val="both"/>
        <w:rPr>
          <w:rFonts w:ascii="Garamond" w:hAnsi="Garamond"/>
        </w:rPr>
      </w:pPr>
    </w:p>
    <w:p w14:paraId="4FBA53A1" w14:textId="77777777" w:rsidR="00993B9C" w:rsidRDefault="00993B9C" w:rsidP="00993B9C">
      <w:pPr>
        <w:jc w:val="both"/>
        <w:rPr>
          <w:rFonts w:ascii="Garamond" w:hAnsi="Garamond"/>
        </w:rPr>
      </w:pPr>
      <w:r>
        <w:rPr>
          <w:rFonts w:ascii="Garamond" w:hAnsi="Garamond"/>
        </w:rPr>
        <w:t xml:space="preserve">In consideration of the current situation, the Board has a preference for </w:t>
      </w:r>
      <w:r w:rsidRPr="00070643">
        <w:rPr>
          <w:rFonts w:ascii="Garamond" w:hAnsi="Garamond"/>
        </w:rPr>
        <w:t>the gradual recovery of inflation</w:t>
      </w:r>
      <w:r>
        <w:rPr>
          <w:rFonts w:ascii="Garamond" w:hAnsi="Garamond"/>
        </w:rPr>
        <w:t xml:space="preserve">, as </w:t>
      </w:r>
      <w:r w:rsidRPr="00070643">
        <w:rPr>
          <w:rFonts w:ascii="Garamond" w:hAnsi="Garamond"/>
        </w:rPr>
        <w:t xml:space="preserve">low inflation contributes to anchoring long-term inflation expectations and maintaining </w:t>
      </w:r>
      <w:r>
        <w:rPr>
          <w:rFonts w:ascii="Garamond" w:hAnsi="Garamond"/>
        </w:rPr>
        <w:t xml:space="preserve">purchasing power of incomes. Taking into account the aforementioned trends, the Board finds it reasonable to keep </w:t>
      </w:r>
      <w:r w:rsidRPr="006A725C">
        <w:rPr>
          <w:rFonts w:ascii="Garamond" w:hAnsi="Garamond"/>
        </w:rPr>
        <w:t>monetary</w:t>
      </w:r>
      <w:r>
        <w:rPr>
          <w:rFonts w:ascii="Garamond" w:hAnsi="Garamond"/>
        </w:rPr>
        <w:t xml:space="preserve"> </w:t>
      </w:r>
      <w:r w:rsidRPr="006A725C">
        <w:rPr>
          <w:rFonts w:ascii="Garamond" w:hAnsi="Garamond"/>
        </w:rPr>
        <w:t>conditions</w:t>
      </w:r>
      <w:r>
        <w:rPr>
          <w:rFonts w:ascii="Garamond" w:hAnsi="Garamond"/>
        </w:rPr>
        <w:t xml:space="preserve"> expansionary</w:t>
      </w:r>
      <w:r w:rsidRPr="006A725C">
        <w:rPr>
          <w:rFonts w:ascii="Garamond" w:hAnsi="Garamond"/>
        </w:rPr>
        <w:t>, leaving the refinancing rate unchanged.</w:t>
      </w:r>
      <w:r>
        <w:rPr>
          <w:rFonts w:ascii="Garamond" w:hAnsi="Garamond"/>
        </w:rPr>
        <w:t xml:space="preserve"> At the same time, </w:t>
      </w:r>
      <w:r w:rsidRPr="00330B4B">
        <w:rPr>
          <w:rFonts w:ascii="Garamond" w:hAnsi="Garamond"/>
        </w:rPr>
        <w:t>in view of the anticipated macroeconomic developments</w:t>
      </w:r>
      <w:r>
        <w:rPr>
          <w:rFonts w:ascii="Garamond" w:hAnsi="Garamond"/>
        </w:rPr>
        <w:t>,</w:t>
      </w:r>
      <w:r w:rsidRPr="00330B4B">
        <w:rPr>
          <w:rFonts w:ascii="Garamond" w:hAnsi="Garamond"/>
        </w:rPr>
        <w:t xml:space="preserve"> </w:t>
      </w:r>
      <w:r>
        <w:rPr>
          <w:rFonts w:ascii="Garamond" w:hAnsi="Garamond"/>
        </w:rPr>
        <w:t xml:space="preserve">to leave monetary conditions expansionary for a long period of time will be needed for maintaining </w:t>
      </w:r>
      <w:r w:rsidRPr="0005283E">
        <w:rPr>
          <w:rFonts w:ascii="Garamond" w:hAnsi="Garamond"/>
        </w:rPr>
        <w:t xml:space="preserve">price stability </w:t>
      </w:r>
      <w:r>
        <w:rPr>
          <w:rFonts w:ascii="Garamond" w:hAnsi="Garamond"/>
        </w:rPr>
        <w:t xml:space="preserve">in the medium run. </w:t>
      </w:r>
      <w:r w:rsidRPr="00B16FA4">
        <w:rPr>
          <w:rFonts w:ascii="Garamond" w:hAnsi="Garamond"/>
        </w:rPr>
        <w:t>As a result, the expectation is that</w:t>
      </w:r>
      <w:r>
        <w:rPr>
          <w:rFonts w:ascii="Garamond" w:hAnsi="Garamond"/>
        </w:rPr>
        <w:t xml:space="preserve"> the</w:t>
      </w:r>
      <w:r w:rsidRPr="00B16FA4">
        <w:rPr>
          <w:rFonts w:ascii="Garamond" w:hAnsi="Garamond"/>
        </w:rPr>
        <w:t xml:space="preserve"> inflation will </w:t>
      </w:r>
      <w:r>
        <w:rPr>
          <w:rFonts w:ascii="Garamond" w:hAnsi="Garamond"/>
        </w:rPr>
        <w:t xml:space="preserve">be running below the target but later </w:t>
      </w:r>
      <w:r w:rsidRPr="00B16FA4">
        <w:rPr>
          <w:rFonts w:ascii="Garamond" w:hAnsi="Garamond"/>
        </w:rPr>
        <w:t xml:space="preserve">stabilizing around the </w:t>
      </w:r>
      <w:r>
        <w:rPr>
          <w:rFonts w:ascii="Garamond" w:hAnsi="Garamond"/>
        </w:rPr>
        <w:t>target value in the coming months</w:t>
      </w:r>
      <w:r w:rsidRPr="00B16FA4">
        <w:rPr>
          <w:rFonts w:ascii="Garamond" w:hAnsi="Garamond"/>
        </w:rPr>
        <w:t>.</w:t>
      </w:r>
    </w:p>
    <w:p w14:paraId="3A2721DA" w14:textId="77777777" w:rsidR="00993B9C" w:rsidRDefault="00993B9C" w:rsidP="00993B9C">
      <w:pPr>
        <w:jc w:val="both"/>
        <w:rPr>
          <w:rFonts w:ascii="Garamond" w:hAnsi="Garamond"/>
        </w:rPr>
      </w:pPr>
    </w:p>
    <w:p w14:paraId="0A4A8449" w14:textId="77777777" w:rsidR="00993B9C" w:rsidRPr="00B16FA4" w:rsidRDefault="00993B9C" w:rsidP="00993B9C">
      <w:pPr>
        <w:jc w:val="both"/>
        <w:rPr>
          <w:rFonts w:ascii="Garamond" w:hAnsi="Garamond"/>
        </w:rPr>
      </w:pPr>
      <w:r>
        <w:rPr>
          <w:rFonts w:ascii="Garamond" w:hAnsi="Garamond"/>
        </w:rPr>
        <w:t xml:space="preserve">Risks to </w:t>
      </w:r>
      <w:r w:rsidRPr="00B16FA4">
        <w:rPr>
          <w:rFonts w:ascii="Garamond" w:hAnsi="Garamond"/>
        </w:rPr>
        <w:t>fulfill</w:t>
      </w:r>
      <w:r>
        <w:rPr>
          <w:rFonts w:ascii="Garamond" w:hAnsi="Garamond"/>
        </w:rPr>
        <w:t xml:space="preserve">ment of </w:t>
      </w:r>
      <w:r w:rsidRPr="00B16FA4">
        <w:rPr>
          <w:rFonts w:ascii="Garamond" w:hAnsi="Garamond"/>
        </w:rPr>
        <w:t>the inflation target</w:t>
      </w:r>
      <w:r w:rsidRPr="00810772">
        <w:rPr>
          <w:rFonts w:ascii="Garamond" w:hAnsi="Garamond"/>
        </w:rPr>
        <w:t xml:space="preserve"> </w:t>
      </w:r>
      <w:r>
        <w:rPr>
          <w:rFonts w:ascii="Garamond" w:hAnsi="Garamond"/>
        </w:rPr>
        <w:t xml:space="preserve">in the forecast horizon are assessed still downside, </w:t>
      </w:r>
      <w:r w:rsidRPr="00900855">
        <w:rPr>
          <w:rFonts w:ascii="Garamond" w:hAnsi="Garamond"/>
        </w:rPr>
        <w:t xml:space="preserve">due to </w:t>
      </w:r>
      <w:r>
        <w:rPr>
          <w:rFonts w:ascii="Garamond" w:hAnsi="Garamond"/>
        </w:rPr>
        <w:t xml:space="preserve">both </w:t>
      </w:r>
      <w:r w:rsidRPr="00900855">
        <w:rPr>
          <w:rFonts w:ascii="Garamond" w:hAnsi="Garamond"/>
        </w:rPr>
        <w:t>external and internal factors.</w:t>
      </w:r>
      <w:r>
        <w:rPr>
          <w:rFonts w:ascii="Garamond" w:hAnsi="Garamond"/>
        </w:rPr>
        <w:t xml:space="preserve"> An adequate monetary policy response will come along if such risks emerge, in order to maintain price stability in the medium run</w:t>
      </w:r>
      <w:r w:rsidRPr="00B16FA4">
        <w:rPr>
          <w:rFonts w:ascii="Garamond" w:hAnsi="Garamond"/>
        </w:rPr>
        <w:t>.</w:t>
      </w:r>
    </w:p>
    <w:p w14:paraId="67C1A10F" w14:textId="77777777" w:rsidR="00993B9C" w:rsidRPr="00B16FA4" w:rsidRDefault="00993B9C" w:rsidP="00993B9C">
      <w:pPr>
        <w:jc w:val="both"/>
        <w:rPr>
          <w:rFonts w:ascii="Garamond" w:hAnsi="Garamond"/>
          <w:b/>
          <w:sz w:val="20"/>
        </w:rPr>
      </w:pPr>
    </w:p>
    <w:p w14:paraId="0A4CB3AA" w14:textId="77777777" w:rsidR="00993B9C" w:rsidRPr="00B16FA4" w:rsidRDefault="00993B9C" w:rsidP="00993B9C">
      <w:pPr>
        <w:jc w:val="both"/>
        <w:rPr>
          <w:rFonts w:ascii="Garamond" w:hAnsi="Garamond"/>
          <w:color w:val="C00000"/>
        </w:rPr>
      </w:pPr>
      <w:r w:rsidRPr="00B16FA4">
        <w:rPr>
          <w:rFonts w:ascii="Garamond" w:hAnsi="Garamond"/>
          <w:color w:val="C00000"/>
        </w:rPr>
        <w:t>…………………………………………………………………………………………………</w:t>
      </w:r>
      <w:r>
        <w:rPr>
          <w:rFonts w:ascii="Garamond" w:hAnsi="Garamond"/>
          <w:color w:val="C00000"/>
        </w:rPr>
        <w:t>..</w:t>
      </w:r>
      <w:r w:rsidRPr="00B16FA4">
        <w:rPr>
          <w:rFonts w:ascii="Garamond" w:hAnsi="Garamond"/>
          <w:color w:val="C00000"/>
        </w:rPr>
        <w:t>….</w:t>
      </w:r>
    </w:p>
    <w:p w14:paraId="3B9533DC" w14:textId="77777777" w:rsidR="00FA549B" w:rsidRPr="00EE5F0F" w:rsidRDefault="00993B9C" w:rsidP="00993B9C">
      <w:pPr>
        <w:spacing w:line="360" w:lineRule="auto"/>
        <w:jc w:val="both"/>
        <w:rPr>
          <w:rFonts w:ascii="Garamond" w:hAnsi="Garamond"/>
          <w:sz w:val="22"/>
          <w:szCs w:val="22"/>
        </w:rPr>
      </w:pPr>
      <w:r w:rsidRPr="00B16FA4">
        <w:rPr>
          <w:rFonts w:ascii="Garamond" w:hAnsi="Garamond"/>
        </w:rPr>
        <w:t>Press Service of the Central Bank of Armenia</w:t>
      </w:r>
    </w:p>
    <w:sectPr w:rsidR="00FA549B" w:rsidRPr="00EE5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079A9" w14:textId="77777777" w:rsidR="00C1506D" w:rsidRDefault="00C1506D" w:rsidP="00EE619D">
      <w:r>
        <w:separator/>
      </w:r>
    </w:p>
  </w:endnote>
  <w:endnote w:type="continuationSeparator" w:id="0">
    <w:p w14:paraId="62D831B0" w14:textId="77777777" w:rsidR="00C1506D" w:rsidRDefault="00C1506D" w:rsidP="00EE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HEA Grapalat">
    <w:panose1 w:val="02000506050000020003"/>
    <w:charset w:val="00"/>
    <w:family w:val="modern"/>
    <w:notTrueType/>
    <w:pitch w:val="variable"/>
    <w:sig w:usb0="A00006AF" w:usb1="5000204B"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Armenian">
    <w:panose1 w:val="020B060402020202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C8FC2" w14:textId="77777777" w:rsidR="00C1506D" w:rsidRDefault="00C1506D" w:rsidP="00EE619D">
      <w:r>
        <w:separator/>
      </w:r>
    </w:p>
  </w:footnote>
  <w:footnote w:type="continuationSeparator" w:id="0">
    <w:p w14:paraId="6BA21204" w14:textId="77777777" w:rsidR="00C1506D" w:rsidRDefault="00C1506D" w:rsidP="00EE619D">
      <w:r>
        <w:continuationSeparator/>
      </w:r>
    </w:p>
  </w:footnote>
  <w:footnote w:id="1">
    <w:p w14:paraId="4518C1ED" w14:textId="77777777" w:rsidR="001C08CC" w:rsidRPr="0074684B" w:rsidRDefault="001C08CC" w:rsidP="00EE619D">
      <w:pPr>
        <w:pStyle w:val="FootnoteText"/>
        <w:jc w:val="both"/>
        <w:rPr>
          <w:rFonts w:ascii="Garamond" w:hAnsi="Garamond"/>
        </w:rPr>
      </w:pPr>
      <w:r>
        <w:rPr>
          <w:rStyle w:val="FootnoteReference"/>
        </w:rPr>
        <w:t>2</w:t>
      </w:r>
      <w:r w:rsidRPr="0074684B">
        <w:rPr>
          <w:rFonts w:ascii="Garamond" w:hAnsi="Garamond"/>
        </w:rPr>
        <w:t xml:space="preserve"> For a detailed </w:t>
      </w:r>
      <w:r>
        <w:rPr>
          <w:rFonts w:ascii="Garamond" w:hAnsi="Garamond"/>
        </w:rPr>
        <w:t xml:space="preserve">numeric </w:t>
      </w:r>
      <w:r w:rsidRPr="0074684B">
        <w:rPr>
          <w:rFonts w:ascii="Garamond" w:hAnsi="Garamond"/>
        </w:rPr>
        <w:t xml:space="preserve">account of economic growth forecasts, see the </w:t>
      </w:r>
      <w:r>
        <w:rPr>
          <w:rFonts w:ascii="Garamond" w:hAnsi="Garamond"/>
        </w:rPr>
        <w:t>“</w:t>
      </w:r>
      <w:r w:rsidRPr="0074684B">
        <w:rPr>
          <w:rFonts w:ascii="Garamond" w:hAnsi="Garamond"/>
        </w:rPr>
        <w:t xml:space="preserve">GDP </w:t>
      </w:r>
      <w:r>
        <w:rPr>
          <w:rFonts w:ascii="Garamond" w:hAnsi="Garamond"/>
        </w:rPr>
        <w:t>P</w:t>
      </w:r>
      <w:r w:rsidRPr="0074684B">
        <w:rPr>
          <w:rFonts w:ascii="Garamond" w:hAnsi="Garamond"/>
        </w:rPr>
        <w:t xml:space="preserve">rojection </w:t>
      </w:r>
      <w:r>
        <w:rPr>
          <w:rFonts w:ascii="Garamond" w:hAnsi="Garamond"/>
        </w:rPr>
        <w:t>P</w:t>
      </w:r>
      <w:r w:rsidRPr="0074684B">
        <w:rPr>
          <w:rFonts w:ascii="Garamond" w:hAnsi="Garamond"/>
        </w:rPr>
        <w:t xml:space="preserve">robability </w:t>
      </w:r>
      <w:r>
        <w:rPr>
          <w:rFonts w:ascii="Garamond" w:hAnsi="Garamond"/>
        </w:rPr>
        <w:t>D</w:t>
      </w:r>
      <w:r w:rsidRPr="0074684B">
        <w:rPr>
          <w:rFonts w:ascii="Garamond" w:hAnsi="Garamond"/>
        </w:rPr>
        <w:t>istribution</w:t>
      </w:r>
      <w:r>
        <w:rPr>
          <w:rFonts w:ascii="Garamond" w:hAnsi="Garamond"/>
        </w:rPr>
        <w:t>”,</w:t>
      </w:r>
      <w:r w:rsidRPr="0074684B">
        <w:rPr>
          <w:rFonts w:ascii="Garamond" w:hAnsi="Garamond"/>
        </w:rPr>
        <w:t xml:space="preserve"> chart</w:t>
      </w:r>
      <w:r>
        <w:rPr>
          <w:rFonts w:ascii="Garamond" w:hAnsi="Garamond"/>
        </w:rPr>
        <w:t xml:space="preserve"> 18, table 2</w:t>
      </w:r>
      <w:r w:rsidRPr="0074684B">
        <w:rPr>
          <w:rFonts w:ascii="Garamond" w:hAnsi="Garamond"/>
        </w:rPr>
        <w:t>.</w:t>
      </w:r>
    </w:p>
  </w:footnote>
  <w:footnote w:id="2">
    <w:p w14:paraId="61D46EA6" w14:textId="77777777" w:rsidR="001C08CC" w:rsidRPr="003970F8" w:rsidRDefault="001C08CC" w:rsidP="003970F8">
      <w:pPr>
        <w:pStyle w:val="FootnoteText"/>
        <w:jc w:val="both"/>
        <w:rPr>
          <w:rFonts w:ascii="Garamond" w:hAnsi="Garamond"/>
        </w:rPr>
      </w:pPr>
      <w:r w:rsidRPr="003970F8">
        <w:rPr>
          <w:rStyle w:val="FootnoteReference"/>
          <w:rFonts w:ascii="Garamond" w:hAnsi="Garamond"/>
        </w:rPr>
        <w:t>3</w:t>
      </w:r>
      <w:r w:rsidRPr="003970F8">
        <w:rPr>
          <w:rFonts w:ascii="Garamond" w:hAnsi="Garamond"/>
        </w:rPr>
        <w:t xml:space="preserve"> The GDP forecast is the Central Bank estimate.</w:t>
      </w:r>
    </w:p>
  </w:footnote>
  <w:footnote w:id="3">
    <w:p w14:paraId="2DA5B012" w14:textId="77777777" w:rsidR="001C08CC" w:rsidRPr="00331DDB" w:rsidRDefault="001C08CC" w:rsidP="007C4FF5">
      <w:pPr>
        <w:pStyle w:val="FootnoteText"/>
        <w:jc w:val="both"/>
        <w:rPr>
          <w:rFonts w:ascii="Garamond" w:hAnsi="Garamond"/>
        </w:rPr>
      </w:pPr>
      <w:r>
        <w:rPr>
          <w:rStyle w:val="FootnoteReference"/>
        </w:rPr>
        <w:t>4</w:t>
      </w:r>
      <w:r w:rsidRPr="00331DDB">
        <w:rPr>
          <w:rFonts w:ascii="Garamond" w:hAnsi="Garamond"/>
        </w:rPr>
        <w:t xml:space="preserve"> The labor market data for 201</w:t>
      </w:r>
      <w:r>
        <w:rPr>
          <w:rFonts w:ascii="Garamond" w:hAnsi="Garamond"/>
        </w:rPr>
        <w:t>8</w:t>
      </w:r>
      <w:r w:rsidRPr="00331DDB">
        <w:rPr>
          <w:rFonts w:ascii="Garamond" w:hAnsi="Garamond"/>
        </w:rPr>
        <w:t>-202</w:t>
      </w:r>
      <w:r>
        <w:rPr>
          <w:rFonts w:ascii="Garamond" w:hAnsi="Garamond"/>
        </w:rPr>
        <w:t>1</w:t>
      </w:r>
      <w:r w:rsidRPr="00331DDB">
        <w:rPr>
          <w:rFonts w:ascii="Garamond" w:hAnsi="Garamond"/>
        </w:rPr>
        <w:t xml:space="preserve"> are the Central Bank projections which are based on the </w:t>
      </w:r>
      <w:r>
        <w:rPr>
          <w:rFonts w:ascii="Garamond" w:hAnsi="Garamond"/>
        </w:rPr>
        <w:t xml:space="preserve">first, second and third </w:t>
      </w:r>
      <w:r w:rsidRPr="00331DDB">
        <w:rPr>
          <w:rFonts w:ascii="Garamond" w:hAnsi="Garamond"/>
        </w:rPr>
        <w:t>quarter</w:t>
      </w:r>
      <w:r>
        <w:rPr>
          <w:rFonts w:ascii="Garamond" w:hAnsi="Garamond"/>
        </w:rPr>
        <w:t xml:space="preserve"> </w:t>
      </w:r>
      <w:r w:rsidRPr="00331DDB">
        <w:rPr>
          <w:rFonts w:ascii="Garamond" w:hAnsi="Garamond"/>
        </w:rPr>
        <w:t>201</w:t>
      </w:r>
      <w:r>
        <w:rPr>
          <w:rFonts w:ascii="Garamond" w:hAnsi="Garamond"/>
        </w:rPr>
        <w:t>8</w:t>
      </w:r>
      <w:r w:rsidRPr="00331DDB">
        <w:rPr>
          <w:rFonts w:ascii="Garamond" w:hAnsi="Garamond"/>
        </w:rPr>
        <w:t xml:space="preserve"> data and actual </w:t>
      </w:r>
      <w:r>
        <w:rPr>
          <w:rFonts w:ascii="Garamond" w:hAnsi="Garamond"/>
        </w:rPr>
        <w:t>October</w:t>
      </w:r>
      <w:r w:rsidRPr="00331DDB">
        <w:rPr>
          <w:rFonts w:ascii="Garamond" w:hAnsi="Garamond"/>
        </w:rPr>
        <w:t>-</w:t>
      </w:r>
      <w:r>
        <w:rPr>
          <w:rFonts w:ascii="Garamond" w:hAnsi="Garamond"/>
        </w:rPr>
        <w:t>November</w:t>
      </w:r>
      <w:r w:rsidRPr="00331DDB">
        <w:rPr>
          <w:rFonts w:ascii="Garamond" w:hAnsi="Garamond"/>
        </w:rPr>
        <w:t xml:space="preserve"> 201</w:t>
      </w:r>
      <w:r>
        <w:rPr>
          <w:rFonts w:ascii="Garamond" w:hAnsi="Garamond"/>
        </w:rPr>
        <w:t>8</w:t>
      </w:r>
      <w:r w:rsidRPr="00331DDB">
        <w:rPr>
          <w:rFonts w:ascii="Garamond" w:hAnsi="Garamond"/>
        </w:rPr>
        <w:t xml:space="preserve"> figures. The growth indicators presented in this sub-section are relative to the same reference period last year, unless otherwise specified.</w:t>
      </w:r>
    </w:p>
  </w:footnote>
  <w:footnote w:id="4">
    <w:p w14:paraId="48606D3E" w14:textId="77777777" w:rsidR="001C08CC" w:rsidRPr="007C4FF5" w:rsidRDefault="001C08CC" w:rsidP="00BB15DC">
      <w:pPr>
        <w:pStyle w:val="FootnoteText"/>
        <w:jc w:val="both"/>
        <w:rPr>
          <w:rFonts w:ascii="Garamond" w:hAnsi="Garamond"/>
        </w:rPr>
      </w:pPr>
      <w:r>
        <w:rPr>
          <w:rStyle w:val="FootnoteReference"/>
        </w:rPr>
        <w:t>5</w:t>
      </w:r>
      <w:r w:rsidRPr="007C4FF5">
        <w:rPr>
          <w:rFonts w:ascii="Garamond" w:hAnsi="Garamond"/>
        </w:rPr>
        <w:t xml:space="preserve"> Starting from January 2018, the </w:t>
      </w:r>
      <w:r>
        <w:rPr>
          <w:rFonts w:ascii="Garamond" w:hAnsi="Garamond"/>
        </w:rPr>
        <w:t xml:space="preserve">Republic of Armenia </w:t>
      </w:r>
      <w:r w:rsidRPr="007C4FF5">
        <w:rPr>
          <w:rFonts w:ascii="Garamond" w:hAnsi="Garamond"/>
        </w:rPr>
        <w:t>S</w:t>
      </w:r>
      <w:r>
        <w:rPr>
          <w:rFonts w:ascii="Garamond" w:hAnsi="Garamond"/>
        </w:rPr>
        <w:t xml:space="preserve">tatistics Committee began </w:t>
      </w:r>
      <w:r w:rsidRPr="007C4FF5">
        <w:rPr>
          <w:rFonts w:ascii="Garamond" w:hAnsi="Garamond"/>
        </w:rPr>
        <w:t>publish</w:t>
      </w:r>
      <w:r>
        <w:rPr>
          <w:rFonts w:ascii="Garamond" w:hAnsi="Garamond"/>
        </w:rPr>
        <w:t>ing</w:t>
      </w:r>
      <w:r w:rsidRPr="007C4FF5">
        <w:rPr>
          <w:rFonts w:ascii="Garamond" w:hAnsi="Garamond"/>
        </w:rPr>
        <w:t xml:space="preserve"> the nominal wage</w:t>
      </w:r>
      <w:r>
        <w:rPr>
          <w:rFonts w:ascii="Garamond" w:hAnsi="Garamond"/>
        </w:rPr>
        <w:t xml:space="preserve">, using </w:t>
      </w:r>
      <w:r w:rsidRPr="007C4FF5">
        <w:rPr>
          <w:rFonts w:ascii="Garamond" w:hAnsi="Garamond"/>
        </w:rPr>
        <w:t xml:space="preserve">data of </w:t>
      </w:r>
      <w:r>
        <w:rPr>
          <w:rFonts w:ascii="Garamond" w:hAnsi="Garamond"/>
        </w:rPr>
        <w:t xml:space="preserve">commercial undertakings </w:t>
      </w:r>
      <w:r w:rsidRPr="007C4FF5">
        <w:rPr>
          <w:rFonts w:ascii="Garamond" w:hAnsi="Garamond"/>
        </w:rPr>
        <w:t xml:space="preserve">with 1 or more employees. Previously, </w:t>
      </w:r>
      <w:r>
        <w:rPr>
          <w:rFonts w:ascii="Garamond" w:hAnsi="Garamond"/>
        </w:rPr>
        <w:t xml:space="preserve">the National Statistics Service of Armenia was publishing </w:t>
      </w:r>
      <w:r w:rsidRPr="007C4FF5">
        <w:rPr>
          <w:rFonts w:ascii="Garamond" w:hAnsi="Garamond"/>
        </w:rPr>
        <w:t>data o</w:t>
      </w:r>
      <w:r>
        <w:rPr>
          <w:rFonts w:ascii="Garamond" w:hAnsi="Garamond"/>
        </w:rPr>
        <w:t>f</w:t>
      </w:r>
      <w:r w:rsidRPr="007C4FF5">
        <w:rPr>
          <w:rFonts w:ascii="Garamond" w:hAnsi="Garamond"/>
        </w:rPr>
        <w:t xml:space="preserve"> </w:t>
      </w:r>
      <w:r>
        <w:rPr>
          <w:rFonts w:ascii="Garamond" w:hAnsi="Garamond"/>
        </w:rPr>
        <w:t>commercial undertakings</w:t>
      </w:r>
      <w:r w:rsidRPr="007C4FF5">
        <w:rPr>
          <w:rFonts w:ascii="Garamond" w:hAnsi="Garamond"/>
        </w:rPr>
        <w:t xml:space="preserve"> with more than 50 employees. </w:t>
      </w:r>
      <w:r>
        <w:rPr>
          <w:rFonts w:ascii="Garamond" w:hAnsi="Garamond"/>
        </w:rPr>
        <w:t xml:space="preserve">Because the 2017 figures on </w:t>
      </w:r>
      <w:r w:rsidRPr="007C4FF5">
        <w:rPr>
          <w:rFonts w:ascii="Garamond" w:hAnsi="Garamond"/>
        </w:rPr>
        <w:t xml:space="preserve">average monthly wage </w:t>
      </w:r>
      <w:r>
        <w:rPr>
          <w:rFonts w:ascii="Garamond" w:hAnsi="Garamond"/>
        </w:rPr>
        <w:t>of</w:t>
      </w:r>
      <w:r w:rsidRPr="007C4FF5">
        <w:rPr>
          <w:rFonts w:ascii="Garamond" w:hAnsi="Garamond"/>
        </w:rPr>
        <w:t xml:space="preserve"> </w:t>
      </w:r>
      <w:r>
        <w:rPr>
          <w:rFonts w:ascii="Garamond" w:hAnsi="Garamond"/>
        </w:rPr>
        <w:t>commercial undertakings</w:t>
      </w:r>
      <w:r w:rsidRPr="007C4FF5">
        <w:rPr>
          <w:rFonts w:ascii="Garamond" w:hAnsi="Garamond"/>
        </w:rPr>
        <w:t xml:space="preserve"> with 1 or more employees</w:t>
      </w:r>
      <w:r>
        <w:rPr>
          <w:rFonts w:ascii="Garamond" w:hAnsi="Garamond"/>
        </w:rPr>
        <w:t xml:space="preserve"> are not available for now, the </w:t>
      </w:r>
      <w:r w:rsidRPr="007C4FF5">
        <w:rPr>
          <w:rFonts w:ascii="Garamond" w:hAnsi="Garamond"/>
        </w:rPr>
        <w:t>C</w:t>
      </w:r>
      <w:r>
        <w:rPr>
          <w:rFonts w:ascii="Garamond" w:hAnsi="Garamond"/>
        </w:rPr>
        <w:t xml:space="preserve">entral </w:t>
      </w:r>
      <w:r w:rsidRPr="007C4FF5">
        <w:rPr>
          <w:rFonts w:ascii="Garamond" w:hAnsi="Garamond"/>
        </w:rPr>
        <w:t>B</w:t>
      </w:r>
      <w:r>
        <w:rPr>
          <w:rFonts w:ascii="Garamond" w:hAnsi="Garamond"/>
        </w:rPr>
        <w:t xml:space="preserve">ank will, for its predictions, look to </w:t>
      </w:r>
      <w:r w:rsidRPr="007C4FF5">
        <w:rPr>
          <w:rFonts w:ascii="Garamond" w:hAnsi="Garamond"/>
        </w:rPr>
        <w:t>previous methodology</w:t>
      </w:r>
      <w:r>
        <w:rPr>
          <w:rFonts w:ascii="Garamond" w:hAnsi="Garamond"/>
        </w:rPr>
        <w:t xml:space="preserve"> of calculating </w:t>
      </w:r>
      <w:r w:rsidRPr="007C4FF5">
        <w:rPr>
          <w:rFonts w:ascii="Garamond" w:hAnsi="Garamond"/>
        </w:rPr>
        <w:t>the average salary</w:t>
      </w:r>
      <w:r>
        <w:rPr>
          <w:rFonts w:ascii="Garamond" w:hAnsi="Garamond"/>
        </w:rPr>
        <w:t>, in order to maintain c</w:t>
      </w:r>
      <w:r w:rsidRPr="007E7FD6">
        <w:rPr>
          <w:rFonts w:ascii="Garamond" w:hAnsi="Garamond"/>
        </w:rPr>
        <w:t>omparability</w:t>
      </w:r>
      <w:r>
        <w:rPr>
          <w:rFonts w:ascii="Garamond" w:hAnsi="Garamond"/>
        </w:rPr>
        <w:t xml:space="preserve">. </w:t>
      </w:r>
      <w:r w:rsidRPr="007C4FF5">
        <w:rPr>
          <w:rFonts w:ascii="Garamond" w:hAnsi="Garamond"/>
        </w:rPr>
        <w:t>Starting from 2019, the C</w:t>
      </w:r>
      <w:r>
        <w:rPr>
          <w:rFonts w:ascii="Garamond" w:hAnsi="Garamond"/>
        </w:rPr>
        <w:t xml:space="preserve">entral </w:t>
      </w:r>
      <w:r w:rsidRPr="007C4FF5">
        <w:rPr>
          <w:rFonts w:ascii="Garamond" w:hAnsi="Garamond"/>
        </w:rPr>
        <w:t>B</w:t>
      </w:r>
      <w:r>
        <w:rPr>
          <w:rFonts w:ascii="Garamond" w:hAnsi="Garamond"/>
        </w:rPr>
        <w:t xml:space="preserve">ank </w:t>
      </w:r>
      <w:r w:rsidRPr="007C4FF5">
        <w:rPr>
          <w:rFonts w:ascii="Garamond" w:hAnsi="Garamond"/>
        </w:rPr>
        <w:t xml:space="preserve">will forecast the average nominal wage of </w:t>
      </w:r>
      <w:r>
        <w:rPr>
          <w:rFonts w:ascii="Garamond" w:hAnsi="Garamond"/>
        </w:rPr>
        <w:t xml:space="preserve">commercial undertakings </w:t>
      </w:r>
      <w:r w:rsidRPr="007C4FF5">
        <w:rPr>
          <w:rFonts w:ascii="Garamond" w:hAnsi="Garamond"/>
        </w:rPr>
        <w:t>with 1 or more employees</w:t>
      </w:r>
      <w:r>
        <w:rPr>
          <w:rFonts w:ascii="Garamond" w:hAnsi="Garamond"/>
        </w:rPr>
        <w:t xml:space="preserve"> in </w:t>
      </w:r>
      <w:r w:rsidRPr="007C4FF5">
        <w:rPr>
          <w:rFonts w:ascii="Garamond" w:hAnsi="Garamond"/>
        </w:rPr>
        <w:t>the private sector.</w:t>
      </w:r>
    </w:p>
  </w:footnote>
  <w:footnote w:id="5">
    <w:p w14:paraId="364BC109" w14:textId="77777777" w:rsidR="001C08CC" w:rsidRDefault="001C08CC" w:rsidP="00781ACF">
      <w:pPr>
        <w:pStyle w:val="FootnoteText"/>
        <w:jc w:val="both"/>
        <w:rPr>
          <w:rFonts w:ascii="Garamond" w:hAnsi="Garamond"/>
        </w:rPr>
      </w:pPr>
      <w:r>
        <w:rPr>
          <w:rStyle w:val="FootnoteReference"/>
        </w:rPr>
        <w:t>8</w:t>
      </w:r>
      <w:r>
        <w:rPr>
          <w:rFonts w:ascii="Garamond" w:hAnsi="Garamond"/>
        </w:rPr>
        <w:t xml:space="preserve"> </w:t>
      </w:r>
      <w:r>
        <w:rPr>
          <w:rFonts w:ascii="Garamond" w:hAnsi="Garamond"/>
          <w:iCs/>
        </w:rPr>
        <w:t xml:space="preserve">The review of the fiscal sector used preliminary actual consolidated budget indicators (local budgets as an estimate) prepared on the basis of preliminary actual indicators of the fourth quarter of 2018, excluding off-budgetary funds. </w:t>
      </w:r>
    </w:p>
  </w:footnote>
  <w:footnote w:id="6">
    <w:p w14:paraId="13394420" w14:textId="77777777" w:rsidR="001C08CC" w:rsidRDefault="001C08CC" w:rsidP="00781ACF">
      <w:pPr>
        <w:pStyle w:val="FootnoteText"/>
        <w:jc w:val="both"/>
        <w:rPr>
          <w:rFonts w:ascii="Garamond" w:hAnsi="Garamond"/>
        </w:rPr>
      </w:pPr>
      <w:r>
        <w:rPr>
          <w:rStyle w:val="FootnoteReference"/>
        </w:rPr>
        <w:t>9</w:t>
      </w:r>
      <w:r>
        <w:rPr>
          <w:rFonts w:ascii="Garamond" w:hAnsi="Garamond"/>
        </w:rPr>
        <w:t xml:space="preserve"> The revenue projection is based on the indicator provided for in the Budget Law 2018; the </w:t>
      </w:r>
      <w:r w:rsidRPr="008455F5">
        <w:rPr>
          <w:rFonts w:ascii="Garamond" w:hAnsi="Garamond"/>
        </w:rPr>
        <w:t xml:space="preserve">expenditure </w:t>
      </w:r>
      <w:r>
        <w:rPr>
          <w:rFonts w:ascii="Garamond" w:hAnsi="Garamond"/>
        </w:rPr>
        <w:t xml:space="preserve">projection is the Central Bank estimate. </w:t>
      </w:r>
    </w:p>
  </w:footnote>
  <w:footnote w:id="7">
    <w:p w14:paraId="16F7288A" w14:textId="77777777" w:rsidR="001C08CC" w:rsidRDefault="001C08CC" w:rsidP="00242EA6">
      <w:pPr>
        <w:pStyle w:val="FootnoteText"/>
        <w:jc w:val="both"/>
        <w:rPr>
          <w:rFonts w:ascii="Garamond" w:hAnsi="Garamond"/>
        </w:rPr>
      </w:pPr>
      <w:r>
        <w:rPr>
          <w:rStyle w:val="FootnoteReference"/>
        </w:rPr>
        <w:t>10</w:t>
      </w:r>
      <w:r>
        <w:rPr>
          <w:rFonts w:ascii="Garamond" w:hAnsi="Garamond"/>
        </w:rPr>
        <w:t xml:space="preserve"> The labor market data for the fourth quarter 2018 are the Central Bank estimates which are based on the third quarter 2018 data and actual October-November 2018 figures. The growth indicators provided in this subsection are relative to the same reference period last year, unless otherwise specified.</w:t>
      </w:r>
    </w:p>
  </w:footnote>
  <w:footnote w:id="8">
    <w:p w14:paraId="22DAF05B" w14:textId="77777777" w:rsidR="001C08CC" w:rsidRPr="00B805F6" w:rsidRDefault="001C08CC" w:rsidP="00B805F6">
      <w:pPr>
        <w:pStyle w:val="FootnoteText"/>
        <w:jc w:val="both"/>
        <w:rPr>
          <w:rFonts w:ascii="Garamond" w:hAnsi="Garamond"/>
        </w:rPr>
      </w:pPr>
      <w:r w:rsidRPr="00B805F6">
        <w:rPr>
          <w:rStyle w:val="FootnoteReference"/>
          <w:rFonts w:ascii="Garamond" w:hAnsi="Garamond"/>
        </w:rPr>
        <w:t>11</w:t>
      </w:r>
      <w:r w:rsidRPr="00B805F6">
        <w:rPr>
          <w:rFonts w:ascii="Garamond" w:hAnsi="Garamond"/>
        </w:rPr>
        <w:t xml:space="preserve"> The gross real value added per employed has been viewed as the productivity indicator, which posted a 2.5% decrease in the fourth quarter of 2018, according to the Central Bank estimates.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630"/>
    <w:multiLevelType w:val="hybridMultilevel"/>
    <w:tmpl w:val="7CD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9612F"/>
    <w:multiLevelType w:val="hybridMultilevel"/>
    <w:tmpl w:val="7736DDB2"/>
    <w:lvl w:ilvl="0" w:tplc="DA186CFC">
      <w:start w:val="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12FA4"/>
    <w:multiLevelType w:val="hybridMultilevel"/>
    <w:tmpl w:val="C5F83BDE"/>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 w15:restartNumberingAfterBreak="0">
    <w:nsid w:val="37C70900"/>
    <w:multiLevelType w:val="hybridMultilevel"/>
    <w:tmpl w:val="C8283D9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4" w15:restartNumberingAfterBreak="0">
    <w:nsid w:val="3A0B69ED"/>
    <w:multiLevelType w:val="hybridMultilevel"/>
    <w:tmpl w:val="D2EC366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5" w15:restartNumberingAfterBreak="0">
    <w:nsid w:val="407167E7"/>
    <w:multiLevelType w:val="hybridMultilevel"/>
    <w:tmpl w:val="29E6AF64"/>
    <w:lvl w:ilvl="0" w:tplc="38988830">
      <w:start w:val="13"/>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C0FC4"/>
    <w:multiLevelType w:val="hybridMultilevel"/>
    <w:tmpl w:val="F45ABD2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51"/>
    <w:rsid w:val="000007DB"/>
    <w:rsid w:val="00001A3F"/>
    <w:rsid w:val="000029F4"/>
    <w:rsid w:val="000046DB"/>
    <w:rsid w:val="00004D9D"/>
    <w:rsid w:val="00010BFD"/>
    <w:rsid w:val="00010FBE"/>
    <w:rsid w:val="000115CE"/>
    <w:rsid w:val="00011616"/>
    <w:rsid w:val="00012292"/>
    <w:rsid w:val="00012C1C"/>
    <w:rsid w:val="00012E6D"/>
    <w:rsid w:val="00012FB1"/>
    <w:rsid w:val="000142B6"/>
    <w:rsid w:val="00015947"/>
    <w:rsid w:val="00015A40"/>
    <w:rsid w:val="00016B26"/>
    <w:rsid w:val="00020BD0"/>
    <w:rsid w:val="00020F25"/>
    <w:rsid w:val="000241AE"/>
    <w:rsid w:val="00024A46"/>
    <w:rsid w:val="00030DCD"/>
    <w:rsid w:val="00033310"/>
    <w:rsid w:val="0003340B"/>
    <w:rsid w:val="00033894"/>
    <w:rsid w:val="000351D6"/>
    <w:rsid w:val="00035CE5"/>
    <w:rsid w:val="00035D97"/>
    <w:rsid w:val="00037E61"/>
    <w:rsid w:val="0004189E"/>
    <w:rsid w:val="00041C0A"/>
    <w:rsid w:val="0004339D"/>
    <w:rsid w:val="000435F3"/>
    <w:rsid w:val="00044BC5"/>
    <w:rsid w:val="0004623F"/>
    <w:rsid w:val="00053B34"/>
    <w:rsid w:val="00053D3C"/>
    <w:rsid w:val="000543B3"/>
    <w:rsid w:val="00055AF4"/>
    <w:rsid w:val="00055EDF"/>
    <w:rsid w:val="000612ED"/>
    <w:rsid w:val="00062BF6"/>
    <w:rsid w:val="00063063"/>
    <w:rsid w:val="00063CF8"/>
    <w:rsid w:val="00064988"/>
    <w:rsid w:val="00065C25"/>
    <w:rsid w:val="00066454"/>
    <w:rsid w:val="00066D12"/>
    <w:rsid w:val="0006717B"/>
    <w:rsid w:val="0007024C"/>
    <w:rsid w:val="00071D45"/>
    <w:rsid w:val="00072E34"/>
    <w:rsid w:val="000737AC"/>
    <w:rsid w:val="00073A22"/>
    <w:rsid w:val="00076DC3"/>
    <w:rsid w:val="00077C44"/>
    <w:rsid w:val="00080015"/>
    <w:rsid w:val="0008330C"/>
    <w:rsid w:val="00085001"/>
    <w:rsid w:val="00085F36"/>
    <w:rsid w:val="00086DC8"/>
    <w:rsid w:val="00086E17"/>
    <w:rsid w:val="00086E60"/>
    <w:rsid w:val="000909CF"/>
    <w:rsid w:val="000919B2"/>
    <w:rsid w:val="00094276"/>
    <w:rsid w:val="000965BB"/>
    <w:rsid w:val="00097822"/>
    <w:rsid w:val="000A0192"/>
    <w:rsid w:val="000A2CFF"/>
    <w:rsid w:val="000A2F3A"/>
    <w:rsid w:val="000A53F3"/>
    <w:rsid w:val="000A5C6B"/>
    <w:rsid w:val="000A5DFE"/>
    <w:rsid w:val="000A6626"/>
    <w:rsid w:val="000B0A91"/>
    <w:rsid w:val="000B0F52"/>
    <w:rsid w:val="000B13F5"/>
    <w:rsid w:val="000B14DC"/>
    <w:rsid w:val="000B1E3D"/>
    <w:rsid w:val="000B214F"/>
    <w:rsid w:val="000B2925"/>
    <w:rsid w:val="000B2CE6"/>
    <w:rsid w:val="000B40B9"/>
    <w:rsid w:val="000B4A00"/>
    <w:rsid w:val="000B65AC"/>
    <w:rsid w:val="000B67CD"/>
    <w:rsid w:val="000B7072"/>
    <w:rsid w:val="000C0B9F"/>
    <w:rsid w:val="000C0E3A"/>
    <w:rsid w:val="000C10D2"/>
    <w:rsid w:val="000C1208"/>
    <w:rsid w:val="000C26AF"/>
    <w:rsid w:val="000C4B46"/>
    <w:rsid w:val="000C72B9"/>
    <w:rsid w:val="000D01FB"/>
    <w:rsid w:val="000D0801"/>
    <w:rsid w:val="000D1F44"/>
    <w:rsid w:val="000D2BCD"/>
    <w:rsid w:val="000D42F3"/>
    <w:rsid w:val="000D4B83"/>
    <w:rsid w:val="000D5A49"/>
    <w:rsid w:val="000E1DC6"/>
    <w:rsid w:val="000E1F26"/>
    <w:rsid w:val="000E283C"/>
    <w:rsid w:val="000E2CA7"/>
    <w:rsid w:val="000E68DE"/>
    <w:rsid w:val="000F59C5"/>
    <w:rsid w:val="000F7C8D"/>
    <w:rsid w:val="000F7F64"/>
    <w:rsid w:val="00102E11"/>
    <w:rsid w:val="001032FB"/>
    <w:rsid w:val="0010339C"/>
    <w:rsid w:val="0010487A"/>
    <w:rsid w:val="00105DDF"/>
    <w:rsid w:val="001065FE"/>
    <w:rsid w:val="00106B36"/>
    <w:rsid w:val="00107BCE"/>
    <w:rsid w:val="00107EED"/>
    <w:rsid w:val="00111FBD"/>
    <w:rsid w:val="00115125"/>
    <w:rsid w:val="00115D65"/>
    <w:rsid w:val="00116E8B"/>
    <w:rsid w:val="00117E84"/>
    <w:rsid w:val="00120B61"/>
    <w:rsid w:val="00123C6A"/>
    <w:rsid w:val="00124193"/>
    <w:rsid w:val="00124332"/>
    <w:rsid w:val="00124D9C"/>
    <w:rsid w:val="0012686B"/>
    <w:rsid w:val="00130386"/>
    <w:rsid w:val="0013157E"/>
    <w:rsid w:val="00131D86"/>
    <w:rsid w:val="00132A02"/>
    <w:rsid w:val="00132E83"/>
    <w:rsid w:val="00134A51"/>
    <w:rsid w:val="00134F6D"/>
    <w:rsid w:val="00135108"/>
    <w:rsid w:val="00136095"/>
    <w:rsid w:val="0013609E"/>
    <w:rsid w:val="00137E90"/>
    <w:rsid w:val="00142427"/>
    <w:rsid w:val="001432D5"/>
    <w:rsid w:val="00143B11"/>
    <w:rsid w:val="001454E4"/>
    <w:rsid w:val="00146A2B"/>
    <w:rsid w:val="00146ACD"/>
    <w:rsid w:val="00151677"/>
    <w:rsid w:val="0015167B"/>
    <w:rsid w:val="001516E3"/>
    <w:rsid w:val="001516E5"/>
    <w:rsid w:val="0015196D"/>
    <w:rsid w:val="00151ABD"/>
    <w:rsid w:val="00151C36"/>
    <w:rsid w:val="00151ED8"/>
    <w:rsid w:val="001528D2"/>
    <w:rsid w:val="00152D6B"/>
    <w:rsid w:val="00153E9A"/>
    <w:rsid w:val="001542C7"/>
    <w:rsid w:val="001547FD"/>
    <w:rsid w:val="001563A7"/>
    <w:rsid w:val="001574F6"/>
    <w:rsid w:val="00161645"/>
    <w:rsid w:val="00161D3D"/>
    <w:rsid w:val="0016228B"/>
    <w:rsid w:val="0016421D"/>
    <w:rsid w:val="00164956"/>
    <w:rsid w:val="00164D6D"/>
    <w:rsid w:val="00165650"/>
    <w:rsid w:val="00166AE0"/>
    <w:rsid w:val="00167660"/>
    <w:rsid w:val="00170F18"/>
    <w:rsid w:val="001747A0"/>
    <w:rsid w:val="001748AA"/>
    <w:rsid w:val="001761F4"/>
    <w:rsid w:val="00177B04"/>
    <w:rsid w:val="001815BE"/>
    <w:rsid w:val="00181912"/>
    <w:rsid w:val="0018203D"/>
    <w:rsid w:val="00182A25"/>
    <w:rsid w:val="001830A1"/>
    <w:rsid w:val="00183633"/>
    <w:rsid w:val="00183E45"/>
    <w:rsid w:val="00184075"/>
    <w:rsid w:val="001862F9"/>
    <w:rsid w:val="00191370"/>
    <w:rsid w:val="00194D78"/>
    <w:rsid w:val="00194EA3"/>
    <w:rsid w:val="001950CC"/>
    <w:rsid w:val="00195A36"/>
    <w:rsid w:val="00195F4C"/>
    <w:rsid w:val="00196199"/>
    <w:rsid w:val="00196427"/>
    <w:rsid w:val="001A180F"/>
    <w:rsid w:val="001A33F8"/>
    <w:rsid w:val="001A3C0A"/>
    <w:rsid w:val="001A456E"/>
    <w:rsid w:val="001B0A66"/>
    <w:rsid w:val="001B14CC"/>
    <w:rsid w:val="001B2700"/>
    <w:rsid w:val="001B2965"/>
    <w:rsid w:val="001B4328"/>
    <w:rsid w:val="001B71B2"/>
    <w:rsid w:val="001B7933"/>
    <w:rsid w:val="001B7F81"/>
    <w:rsid w:val="001C08CC"/>
    <w:rsid w:val="001C2483"/>
    <w:rsid w:val="001C2D10"/>
    <w:rsid w:val="001C3F35"/>
    <w:rsid w:val="001C5652"/>
    <w:rsid w:val="001C5977"/>
    <w:rsid w:val="001C5E8B"/>
    <w:rsid w:val="001C7315"/>
    <w:rsid w:val="001D0479"/>
    <w:rsid w:val="001D0B7E"/>
    <w:rsid w:val="001D0FDA"/>
    <w:rsid w:val="001D2F62"/>
    <w:rsid w:val="001D4E73"/>
    <w:rsid w:val="001D5226"/>
    <w:rsid w:val="001D5FB4"/>
    <w:rsid w:val="001D6C93"/>
    <w:rsid w:val="001D6D28"/>
    <w:rsid w:val="001E0112"/>
    <w:rsid w:val="001E04DF"/>
    <w:rsid w:val="001E1BA3"/>
    <w:rsid w:val="001E2898"/>
    <w:rsid w:val="001E301B"/>
    <w:rsid w:val="001E37BD"/>
    <w:rsid w:val="001E49E6"/>
    <w:rsid w:val="001E63BC"/>
    <w:rsid w:val="001F2209"/>
    <w:rsid w:val="001F384B"/>
    <w:rsid w:val="001F3FCB"/>
    <w:rsid w:val="001F524F"/>
    <w:rsid w:val="001F67CE"/>
    <w:rsid w:val="001F7681"/>
    <w:rsid w:val="00200ECA"/>
    <w:rsid w:val="002021DA"/>
    <w:rsid w:val="0020224C"/>
    <w:rsid w:val="002035A5"/>
    <w:rsid w:val="0020630B"/>
    <w:rsid w:val="00206E6A"/>
    <w:rsid w:val="00207D49"/>
    <w:rsid w:val="002129C7"/>
    <w:rsid w:val="002139DF"/>
    <w:rsid w:val="002140DE"/>
    <w:rsid w:val="00214908"/>
    <w:rsid w:val="00214EC8"/>
    <w:rsid w:val="00214F8D"/>
    <w:rsid w:val="00216163"/>
    <w:rsid w:val="00217481"/>
    <w:rsid w:val="00220202"/>
    <w:rsid w:val="0022067B"/>
    <w:rsid w:val="00220A90"/>
    <w:rsid w:val="002254DB"/>
    <w:rsid w:val="00225C60"/>
    <w:rsid w:val="00225D1F"/>
    <w:rsid w:val="00225FA5"/>
    <w:rsid w:val="002265CD"/>
    <w:rsid w:val="00226A1D"/>
    <w:rsid w:val="002276FE"/>
    <w:rsid w:val="00227821"/>
    <w:rsid w:val="0023260B"/>
    <w:rsid w:val="00233922"/>
    <w:rsid w:val="0023452F"/>
    <w:rsid w:val="00234B5E"/>
    <w:rsid w:val="00234BE9"/>
    <w:rsid w:val="00235AE0"/>
    <w:rsid w:val="00240895"/>
    <w:rsid w:val="00240896"/>
    <w:rsid w:val="00241C68"/>
    <w:rsid w:val="00242DB9"/>
    <w:rsid w:val="00242EA6"/>
    <w:rsid w:val="0024318B"/>
    <w:rsid w:val="002504D6"/>
    <w:rsid w:val="00250973"/>
    <w:rsid w:val="00251DCE"/>
    <w:rsid w:val="00252F40"/>
    <w:rsid w:val="00254051"/>
    <w:rsid w:val="0025574B"/>
    <w:rsid w:val="002574A2"/>
    <w:rsid w:val="00260739"/>
    <w:rsid w:val="00261149"/>
    <w:rsid w:val="00261AC1"/>
    <w:rsid w:val="00262DF4"/>
    <w:rsid w:val="00262F0E"/>
    <w:rsid w:val="00263C12"/>
    <w:rsid w:val="002647E8"/>
    <w:rsid w:val="00264CEB"/>
    <w:rsid w:val="00265345"/>
    <w:rsid w:val="00266CD8"/>
    <w:rsid w:val="00266DC6"/>
    <w:rsid w:val="00267A97"/>
    <w:rsid w:val="00271A46"/>
    <w:rsid w:val="00272DD8"/>
    <w:rsid w:val="002731EB"/>
    <w:rsid w:val="0027519B"/>
    <w:rsid w:val="00275357"/>
    <w:rsid w:val="00276564"/>
    <w:rsid w:val="00276D6F"/>
    <w:rsid w:val="002813B4"/>
    <w:rsid w:val="00281E1F"/>
    <w:rsid w:val="00292634"/>
    <w:rsid w:val="00292820"/>
    <w:rsid w:val="00292E52"/>
    <w:rsid w:val="00293251"/>
    <w:rsid w:val="00293A3F"/>
    <w:rsid w:val="00293D56"/>
    <w:rsid w:val="0029635E"/>
    <w:rsid w:val="00296451"/>
    <w:rsid w:val="00296C8A"/>
    <w:rsid w:val="002976FB"/>
    <w:rsid w:val="002A0418"/>
    <w:rsid w:val="002A0889"/>
    <w:rsid w:val="002A0B5B"/>
    <w:rsid w:val="002A234F"/>
    <w:rsid w:val="002A34A0"/>
    <w:rsid w:val="002A38BF"/>
    <w:rsid w:val="002A3A33"/>
    <w:rsid w:val="002A4151"/>
    <w:rsid w:val="002A546C"/>
    <w:rsid w:val="002A59D1"/>
    <w:rsid w:val="002A5B11"/>
    <w:rsid w:val="002A7A3F"/>
    <w:rsid w:val="002B088F"/>
    <w:rsid w:val="002B094A"/>
    <w:rsid w:val="002B0D62"/>
    <w:rsid w:val="002B107B"/>
    <w:rsid w:val="002B1502"/>
    <w:rsid w:val="002B1812"/>
    <w:rsid w:val="002B3C4F"/>
    <w:rsid w:val="002B3F46"/>
    <w:rsid w:val="002B44D9"/>
    <w:rsid w:val="002B746A"/>
    <w:rsid w:val="002C086C"/>
    <w:rsid w:val="002C0A14"/>
    <w:rsid w:val="002C0CFB"/>
    <w:rsid w:val="002C108E"/>
    <w:rsid w:val="002C20CF"/>
    <w:rsid w:val="002C3539"/>
    <w:rsid w:val="002C4561"/>
    <w:rsid w:val="002C5043"/>
    <w:rsid w:val="002C60B9"/>
    <w:rsid w:val="002D0F71"/>
    <w:rsid w:val="002D1521"/>
    <w:rsid w:val="002D15E1"/>
    <w:rsid w:val="002D15EE"/>
    <w:rsid w:val="002D1638"/>
    <w:rsid w:val="002D2BE4"/>
    <w:rsid w:val="002D3047"/>
    <w:rsid w:val="002D378F"/>
    <w:rsid w:val="002D541D"/>
    <w:rsid w:val="002D6DE0"/>
    <w:rsid w:val="002E1211"/>
    <w:rsid w:val="002E1785"/>
    <w:rsid w:val="002E1D31"/>
    <w:rsid w:val="002E280F"/>
    <w:rsid w:val="002E4BC0"/>
    <w:rsid w:val="002E4FD8"/>
    <w:rsid w:val="002E64B2"/>
    <w:rsid w:val="002E7DF3"/>
    <w:rsid w:val="002F643B"/>
    <w:rsid w:val="002F6593"/>
    <w:rsid w:val="002F7CBD"/>
    <w:rsid w:val="00302B8C"/>
    <w:rsid w:val="00306152"/>
    <w:rsid w:val="00307627"/>
    <w:rsid w:val="003108B7"/>
    <w:rsid w:val="0031200A"/>
    <w:rsid w:val="00312FE7"/>
    <w:rsid w:val="003132C8"/>
    <w:rsid w:val="00313C67"/>
    <w:rsid w:val="00314E55"/>
    <w:rsid w:val="003157FD"/>
    <w:rsid w:val="00315BD7"/>
    <w:rsid w:val="00317122"/>
    <w:rsid w:val="00317ECB"/>
    <w:rsid w:val="003210F7"/>
    <w:rsid w:val="003219DC"/>
    <w:rsid w:val="003237C8"/>
    <w:rsid w:val="00324349"/>
    <w:rsid w:val="00327699"/>
    <w:rsid w:val="003316A8"/>
    <w:rsid w:val="00331DDB"/>
    <w:rsid w:val="00332132"/>
    <w:rsid w:val="00332C46"/>
    <w:rsid w:val="0033371D"/>
    <w:rsid w:val="00334AFE"/>
    <w:rsid w:val="00334D4F"/>
    <w:rsid w:val="00337C52"/>
    <w:rsid w:val="00341374"/>
    <w:rsid w:val="003417FE"/>
    <w:rsid w:val="00343456"/>
    <w:rsid w:val="00343A25"/>
    <w:rsid w:val="00344BAB"/>
    <w:rsid w:val="003453CE"/>
    <w:rsid w:val="0034737B"/>
    <w:rsid w:val="00350306"/>
    <w:rsid w:val="00352C8E"/>
    <w:rsid w:val="00353B8E"/>
    <w:rsid w:val="00353DFF"/>
    <w:rsid w:val="003543F8"/>
    <w:rsid w:val="0035481F"/>
    <w:rsid w:val="00356A47"/>
    <w:rsid w:val="003570A3"/>
    <w:rsid w:val="00360173"/>
    <w:rsid w:val="0036083E"/>
    <w:rsid w:val="003616E9"/>
    <w:rsid w:val="003624EE"/>
    <w:rsid w:val="0036344E"/>
    <w:rsid w:val="003645F2"/>
    <w:rsid w:val="00371990"/>
    <w:rsid w:val="003720FB"/>
    <w:rsid w:val="00372A7E"/>
    <w:rsid w:val="00373F39"/>
    <w:rsid w:val="00374C48"/>
    <w:rsid w:val="00375570"/>
    <w:rsid w:val="00375699"/>
    <w:rsid w:val="00376372"/>
    <w:rsid w:val="0038012B"/>
    <w:rsid w:val="00380306"/>
    <w:rsid w:val="00380380"/>
    <w:rsid w:val="00381D6D"/>
    <w:rsid w:val="00383D4D"/>
    <w:rsid w:val="00384065"/>
    <w:rsid w:val="003864AA"/>
    <w:rsid w:val="00386779"/>
    <w:rsid w:val="0038793E"/>
    <w:rsid w:val="00390B78"/>
    <w:rsid w:val="00390F3E"/>
    <w:rsid w:val="00394592"/>
    <w:rsid w:val="00396B2C"/>
    <w:rsid w:val="00397003"/>
    <w:rsid w:val="003970F8"/>
    <w:rsid w:val="00397BFD"/>
    <w:rsid w:val="003A047D"/>
    <w:rsid w:val="003A06CC"/>
    <w:rsid w:val="003A2DCC"/>
    <w:rsid w:val="003A3A84"/>
    <w:rsid w:val="003A3D31"/>
    <w:rsid w:val="003A3F08"/>
    <w:rsid w:val="003A43D2"/>
    <w:rsid w:val="003A4930"/>
    <w:rsid w:val="003A6BEB"/>
    <w:rsid w:val="003A741A"/>
    <w:rsid w:val="003B0B41"/>
    <w:rsid w:val="003B18EA"/>
    <w:rsid w:val="003B213B"/>
    <w:rsid w:val="003B2697"/>
    <w:rsid w:val="003B2AC1"/>
    <w:rsid w:val="003B3915"/>
    <w:rsid w:val="003B4967"/>
    <w:rsid w:val="003B4B24"/>
    <w:rsid w:val="003B4CC9"/>
    <w:rsid w:val="003B630F"/>
    <w:rsid w:val="003B6392"/>
    <w:rsid w:val="003B6FDA"/>
    <w:rsid w:val="003B756E"/>
    <w:rsid w:val="003C1254"/>
    <w:rsid w:val="003C1471"/>
    <w:rsid w:val="003C1D99"/>
    <w:rsid w:val="003C794A"/>
    <w:rsid w:val="003C7B52"/>
    <w:rsid w:val="003D1442"/>
    <w:rsid w:val="003D237E"/>
    <w:rsid w:val="003D2B35"/>
    <w:rsid w:val="003D2CD2"/>
    <w:rsid w:val="003D300F"/>
    <w:rsid w:val="003D5827"/>
    <w:rsid w:val="003D59B0"/>
    <w:rsid w:val="003D6063"/>
    <w:rsid w:val="003D6368"/>
    <w:rsid w:val="003E01F9"/>
    <w:rsid w:val="003E020C"/>
    <w:rsid w:val="003E2223"/>
    <w:rsid w:val="003E32BF"/>
    <w:rsid w:val="003E35C5"/>
    <w:rsid w:val="003E3CD8"/>
    <w:rsid w:val="003E765B"/>
    <w:rsid w:val="003F0DF2"/>
    <w:rsid w:val="003F21C7"/>
    <w:rsid w:val="003F24E4"/>
    <w:rsid w:val="003F5450"/>
    <w:rsid w:val="003F621C"/>
    <w:rsid w:val="003F6C15"/>
    <w:rsid w:val="003F6D4A"/>
    <w:rsid w:val="003F7BD8"/>
    <w:rsid w:val="00402A16"/>
    <w:rsid w:val="00403AC4"/>
    <w:rsid w:val="00404293"/>
    <w:rsid w:val="004059B4"/>
    <w:rsid w:val="00410C3A"/>
    <w:rsid w:val="00410D16"/>
    <w:rsid w:val="00411436"/>
    <w:rsid w:val="00414CB6"/>
    <w:rsid w:val="00415CBC"/>
    <w:rsid w:val="0042326B"/>
    <w:rsid w:val="004246F6"/>
    <w:rsid w:val="00425F29"/>
    <w:rsid w:val="004301D7"/>
    <w:rsid w:val="0043420A"/>
    <w:rsid w:val="0043638B"/>
    <w:rsid w:val="0044086C"/>
    <w:rsid w:val="00443063"/>
    <w:rsid w:val="00444F2D"/>
    <w:rsid w:val="004471D9"/>
    <w:rsid w:val="00452460"/>
    <w:rsid w:val="00452657"/>
    <w:rsid w:val="004529A5"/>
    <w:rsid w:val="00452A1B"/>
    <w:rsid w:val="004530D3"/>
    <w:rsid w:val="00454F87"/>
    <w:rsid w:val="00455CA1"/>
    <w:rsid w:val="00456F59"/>
    <w:rsid w:val="004610A4"/>
    <w:rsid w:val="00462632"/>
    <w:rsid w:val="00463534"/>
    <w:rsid w:val="00463624"/>
    <w:rsid w:val="0046389E"/>
    <w:rsid w:val="00464EBD"/>
    <w:rsid w:val="00467C2C"/>
    <w:rsid w:val="004712E9"/>
    <w:rsid w:val="0047223E"/>
    <w:rsid w:val="0047306C"/>
    <w:rsid w:val="00473C6C"/>
    <w:rsid w:val="00473E43"/>
    <w:rsid w:val="00480548"/>
    <w:rsid w:val="004806AB"/>
    <w:rsid w:val="00481E7A"/>
    <w:rsid w:val="0048286A"/>
    <w:rsid w:val="00485142"/>
    <w:rsid w:val="00485A57"/>
    <w:rsid w:val="0048763B"/>
    <w:rsid w:val="0049097F"/>
    <w:rsid w:val="00491B9C"/>
    <w:rsid w:val="00491F65"/>
    <w:rsid w:val="004928D0"/>
    <w:rsid w:val="00492E20"/>
    <w:rsid w:val="00493561"/>
    <w:rsid w:val="00494D26"/>
    <w:rsid w:val="00497D16"/>
    <w:rsid w:val="004A0FD4"/>
    <w:rsid w:val="004A12BA"/>
    <w:rsid w:val="004A1E73"/>
    <w:rsid w:val="004A2C47"/>
    <w:rsid w:val="004A45D1"/>
    <w:rsid w:val="004A5B16"/>
    <w:rsid w:val="004A7BD1"/>
    <w:rsid w:val="004B23F0"/>
    <w:rsid w:val="004B3275"/>
    <w:rsid w:val="004B330E"/>
    <w:rsid w:val="004B3D61"/>
    <w:rsid w:val="004B3EA5"/>
    <w:rsid w:val="004B4262"/>
    <w:rsid w:val="004B4D01"/>
    <w:rsid w:val="004B5112"/>
    <w:rsid w:val="004C2F59"/>
    <w:rsid w:val="004C31B2"/>
    <w:rsid w:val="004C42B3"/>
    <w:rsid w:val="004C4C65"/>
    <w:rsid w:val="004C508A"/>
    <w:rsid w:val="004C5244"/>
    <w:rsid w:val="004C5641"/>
    <w:rsid w:val="004C5E94"/>
    <w:rsid w:val="004C71ED"/>
    <w:rsid w:val="004C7884"/>
    <w:rsid w:val="004D2425"/>
    <w:rsid w:val="004D2BAE"/>
    <w:rsid w:val="004D3414"/>
    <w:rsid w:val="004D45BE"/>
    <w:rsid w:val="004D4A0F"/>
    <w:rsid w:val="004D598B"/>
    <w:rsid w:val="004D5BD5"/>
    <w:rsid w:val="004E01A7"/>
    <w:rsid w:val="004E0889"/>
    <w:rsid w:val="004E2292"/>
    <w:rsid w:val="004E3D01"/>
    <w:rsid w:val="004E437B"/>
    <w:rsid w:val="004E6219"/>
    <w:rsid w:val="004E7901"/>
    <w:rsid w:val="004E7BE2"/>
    <w:rsid w:val="004F0AC9"/>
    <w:rsid w:val="004F11B6"/>
    <w:rsid w:val="004F13D9"/>
    <w:rsid w:val="004F233A"/>
    <w:rsid w:val="004F284A"/>
    <w:rsid w:val="004F4131"/>
    <w:rsid w:val="004F4B84"/>
    <w:rsid w:val="004F65E2"/>
    <w:rsid w:val="004F7566"/>
    <w:rsid w:val="004F787B"/>
    <w:rsid w:val="00500167"/>
    <w:rsid w:val="00501718"/>
    <w:rsid w:val="00506EA5"/>
    <w:rsid w:val="00510E69"/>
    <w:rsid w:val="00510FF0"/>
    <w:rsid w:val="00511F0C"/>
    <w:rsid w:val="005147C9"/>
    <w:rsid w:val="005165FF"/>
    <w:rsid w:val="00516832"/>
    <w:rsid w:val="00517352"/>
    <w:rsid w:val="00517B10"/>
    <w:rsid w:val="00520816"/>
    <w:rsid w:val="00521F06"/>
    <w:rsid w:val="00522147"/>
    <w:rsid w:val="00522F8F"/>
    <w:rsid w:val="0052401A"/>
    <w:rsid w:val="005242F5"/>
    <w:rsid w:val="00524539"/>
    <w:rsid w:val="00525AE5"/>
    <w:rsid w:val="005260C0"/>
    <w:rsid w:val="00526F9D"/>
    <w:rsid w:val="00530CFA"/>
    <w:rsid w:val="00531EF1"/>
    <w:rsid w:val="00533644"/>
    <w:rsid w:val="0053486E"/>
    <w:rsid w:val="00535270"/>
    <w:rsid w:val="00537BD9"/>
    <w:rsid w:val="0054021A"/>
    <w:rsid w:val="00540986"/>
    <w:rsid w:val="005419F0"/>
    <w:rsid w:val="00543464"/>
    <w:rsid w:val="00543AF2"/>
    <w:rsid w:val="00545DBA"/>
    <w:rsid w:val="005515AB"/>
    <w:rsid w:val="00551F7E"/>
    <w:rsid w:val="0055355B"/>
    <w:rsid w:val="00553CF2"/>
    <w:rsid w:val="0055418A"/>
    <w:rsid w:val="00556AD8"/>
    <w:rsid w:val="00560423"/>
    <w:rsid w:val="00560595"/>
    <w:rsid w:val="00560E31"/>
    <w:rsid w:val="00562C44"/>
    <w:rsid w:val="00563050"/>
    <w:rsid w:val="00565DE7"/>
    <w:rsid w:val="00565F75"/>
    <w:rsid w:val="005664C1"/>
    <w:rsid w:val="00566D4F"/>
    <w:rsid w:val="005708C3"/>
    <w:rsid w:val="00571689"/>
    <w:rsid w:val="00572A12"/>
    <w:rsid w:val="00572E8E"/>
    <w:rsid w:val="005747F6"/>
    <w:rsid w:val="005776E9"/>
    <w:rsid w:val="0058009C"/>
    <w:rsid w:val="00580F5C"/>
    <w:rsid w:val="005820A5"/>
    <w:rsid w:val="0058304F"/>
    <w:rsid w:val="0058338A"/>
    <w:rsid w:val="00583C36"/>
    <w:rsid w:val="005843A1"/>
    <w:rsid w:val="00585558"/>
    <w:rsid w:val="00590C2B"/>
    <w:rsid w:val="00592760"/>
    <w:rsid w:val="00592E4D"/>
    <w:rsid w:val="0059448F"/>
    <w:rsid w:val="005945BE"/>
    <w:rsid w:val="0059468A"/>
    <w:rsid w:val="005A3523"/>
    <w:rsid w:val="005A51B6"/>
    <w:rsid w:val="005A6FF7"/>
    <w:rsid w:val="005B015A"/>
    <w:rsid w:val="005B1A98"/>
    <w:rsid w:val="005B1FE5"/>
    <w:rsid w:val="005B2473"/>
    <w:rsid w:val="005B2F43"/>
    <w:rsid w:val="005B4859"/>
    <w:rsid w:val="005B5D67"/>
    <w:rsid w:val="005C122C"/>
    <w:rsid w:val="005C339F"/>
    <w:rsid w:val="005C6027"/>
    <w:rsid w:val="005C6536"/>
    <w:rsid w:val="005C689C"/>
    <w:rsid w:val="005C761F"/>
    <w:rsid w:val="005C78E9"/>
    <w:rsid w:val="005D1330"/>
    <w:rsid w:val="005D266D"/>
    <w:rsid w:val="005D2BEC"/>
    <w:rsid w:val="005D2F99"/>
    <w:rsid w:val="005D4071"/>
    <w:rsid w:val="005D4276"/>
    <w:rsid w:val="005D4D22"/>
    <w:rsid w:val="005D6A1E"/>
    <w:rsid w:val="005D6B14"/>
    <w:rsid w:val="005D6EF3"/>
    <w:rsid w:val="005E041F"/>
    <w:rsid w:val="005E176B"/>
    <w:rsid w:val="005E2710"/>
    <w:rsid w:val="005E3189"/>
    <w:rsid w:val="005E5095"/>
    <w:rsid w:val="005E5244"/>
    <w:rsid w:val="005E6AEF"/>
    <w:rsid w:val="005F6455"/>
    <w:rsid w:val="005F748E"/>
    <w:rsid w:val="00600595"/>
    <w:rsid w:val="00600EDF"/>
    <w:rsid w:val="00601A34"/>
    <w:rsid w:val="00603119"/>
    <w:rsid w:val="006038A5"/>
    <w:rsid w:val="00605E77"/>
    <w:rsid w:val="006067B4"/>
    <w:rsid w:val="00607D42"/>
    <w:rsid w:val="00610E19"/>
    <w:rsid w:val="00612410"/>
    <w:rsid w:val="00612C14"/>
    <w:rsid w:val="00612C30"/>
    <w:rsid w:val="00613557"/>
    <w:rsid w:val="006150AC"/>
    <w:rsid w:val="006166A2"/>
    <w:rsid w:val="00620DA0"/>
    <w:rsid w:val="0062136B"/>
    <w:rsid w:val="00621499"/>
    <w:rsid w:val="00625745"/>
    <w:rsid w:val="00625F58"/>
    <w:rsid w:val="00626606"/>
    <w:rsid w:val="00626752"/>
    <w:rsid w:val="00626D16"/>
    <w:rsid w:val="00627013"/>
    <w:rsid w:val="00632A26"/>
    <w:rsid w:val="00632D07"/>
    <w:rsid w:val="00634424"/>
    <w:rsid w:val="00635251"/>
    <w:rsid w:val="006355AE"/>
    <w:rsid w:val="006366B1"/>
    <w:rsid w:val="00636ECE"/>
    <w:rsid w:val="0063768C"/>
    <w:rsid w:val="00637B52"/>
    <w:rsid w:val="00640EC9"/>
    <w:rsid w:val="006428B8"/>
    <w:rsid w:val="00642C67"/>
    <w:rsid w:val="006437AF"/>
    <w:rsid w:val="00644C5D"/>
    <w:rsid w:val="00644E22"/>
    <w:rsid w:val="00650CEB"/>
    <w:rsid w:val="00653CAD"/>
    <w:rsid w:val="006573EF"/>
    <w:rsid w:val="006575D7"/>
    <w:rsid w:val="00657A11"/>
    <w:rsid w:val="006603F1"/>
    <w:rsid w:val="00660AE6"/>
    <w:rsid w:val="006629EC"/>
    <w:rsid w:val="00662B23"/>
    <w:rsid w:val="00665458"/>
    <w:rsid w:val="00671CE7"/>
    <w:rsid w:val="00675279"/>
    <w:rsid w:val="00676B3A"/>
    <w:rsid w:val="00676C2C"/>
    <w:rsid w:val="00676DF1"/>
    <w:rsid w:val="00677E52"/>
    <w:rsid w:val="00680C82"/>
    <w:rsid w:val="006817DA"/>
    <w:rsid w:val="006848CE"/>
    <w:rsid w:val="00685D31"/>
    <w:rsid w:val="00686FDC"/>
    <w:rsid w:val="006909DE"/>
    <w:rsid w:val="00691078"/>
    <w:rsid w:val="006925C3"/>
    <w:rsid w:val="00694B40"/>
    <w:rsid w:val="00694CA5"/>
    <w:rsid w:val="00695216"/>
    <w:rsid w:val="00695D0B"/>
    <w:rsid w:val="006966A5"/>
    <w:rsid w:val="00696D1A"/>
    <w:rsid w:val="00697941"/>
    <w:rsid w:val="006A290D"/>
    <w:rsid w:val="006A293D"/>
    <w:rsid w:val="006A3AB4"/>
    <w:rsid w:val="006A4D53"/>
    <w:rsid w:val="006A541E"/>
    <w:rsid w:val="006A54E5"/>
    <w:rsid w:val="006A7F7F"/>
    <w:rsid w:val="006B09B3"/>
    <w:rsid w:val="006B1B30"/>
    <w:rsid w:val="006B1C98"/>
    <w:rsid w:val="006B2BCD"/>
    <w:rsid w:val="006B5C7F"/>
    <w:rsid w:val="006B6237"/>
    <w:rsid w:val="006B751A"/>
    <w:rsid w:val="006B7FBD"/>
    <w:rsid w:val="006C281A"/>
    <w:rsid w:val="006C3065"/>
    <w:rsid w:val="006C36B7"/>
    <w:rsid w:val="006C67BA"/>
    <w:rsid w:val="006C6A27"/>
    <w:rsid w:val="006D0D59"/>
    <w:rsid w:val="006D3F04"/>
    <w:rsid w:val="006D593F"/>
    <w:rsid w:val="006D59F1"/>
    <w:rsid w:val="006D6FA4"/>
    <w:rsid w:val="006E0C9C"/>
    <w:rsid w:val="006E31BD"/>
    <w:rsid w:val="006E62E8"/>
    <w:rsid w:val="006E7201"/>
    <w:rsid w:val="006E7B5A"/>
    <w:rsid w:val="006F1AAC"/>
    <w:rsid w:val="006F1AC1"/>
    <w:rsid w:val="006F2DA8"/>
    <w:rsid w:val="006F36F5"/>
    <w:rsid w:val="006F41B0"/>
    <w:rsid w:val="006F43FB"/>
    <w:rsid w:val="006F710F"/>
    <w:rsid w:val="007011C3"/>
    <w:rsid w:val="0070332C"/>
    <w:rsid w:val="00703FA4"/>
    <w:rsid w:val="007059B1"/>
    <w:rsid w:val="00706446"/>
    <w:rsid w:val="00710622"/>
    <w:rsid w:val="007117A9"/>
    <w:rsid w:val="00714236"/>
    <w:rsid w:val="00723A78"/>
    <w:rsid w:val="00723FC1"/>
    <w:rsid w:val="007241F1"/>
    <w:rsid w:val="0072461A"/>
    <w:rsid w:val="00725034"/>
    <w:rsid w:val="00727198"/>
    <w:rsid w:val="00731352"/>
    <w:rsid w:val="0073509B"/>
    <w:rsid w:val="0073595A"/>
    <w:rsid w:val="00735EED"/>
    <w:rsid w:val="00735F66"/>
    <w:rsid w:val="00736EBD"/>
    <w:rsid w:val="0073763B"/>
    <w:rsid w:val="00737DD5"/>
    <w:rsid w:val="007404BA"/>
    <w:rsid w:val="0074142E"/>
    <w:rsid w:val="00742158"/>
    <w:rsid w:val="00742EBE"/>
    <w:rsid w:val="00744899"/>
    <w:rsid w:val="00745929"/>
    <w:rsid w:val="0074684B"/>
    <w:rsid w:val="00746EFB"/>
    <w:rsid w:val="00750108"/>
    <w:rsid w:val="007542DE"/>
    <w:rsid w:val="00754FF8"/>
    <w:rsid w:val="007567E6"/>
    <w:rsid w:val="007576AC"/>
    <w:rsid w:val="00757744"/>
    <w:rsid w:val="00760609"/>
    <w:rsid w:val="007609A9"/>
    <w:rsid w:val="007611DB"/>
    <w:rsid w:val="00762760"/>
    <w:rsid w:val="007630D0"/>
    <w:rsid w:val="007634D1"/>
    <w:rsid w:val="00764595"/>
    <w:rsid w:val="00765248"/>
    <w:rsid w:val="007662B4"/>
    <w:rsid w:val="00767171"/>
    <w:rsid w:val="00767E0A"/>
    <w:rsid w:val="00770142"/>
    <w:rsid w:val="0077109B"/>
    <w:rsid w:val="00771FA4"/>
    <w:rsid w:val="0077221F"/>
    <w:rsid w:val="00774197"/>
    <w:rsid w:val="007746F1"/>
    <w:rsid w:val="00774E83"/>
    <w:rsid w:val="00775BC3"/>
    <w:rsid w:val="00776296"/>
    <w:rsid w:val="00780C23"/>
    <w:rsid w:val="007814FC"/>
    <w:rsid w:val="00781571"/>
    <w:rsid w:val="00781ACF"/>
    <w:rsid w:val="007822A6"/>
    <w:rsid w:val="0078431B"/>
    <w:rsid w:val="0078488C"/>
    <w:rsid w:val="007849D7"/>
    <w:rsid w:val="0078528B"/>
    <w:rsid w:val="00785503"/>
    <w:rsid w:val="007859CB"/>
    <w:rsid w:val="00785B36"/>
    <w:rsid w:val="0078634E"/>
    <w:rsid w:val="007877D2"/>
    <w:rsid w:val="007877D5"/>
    <w:rsid w:val="00787AE0"/>
    <w:rsid w:val="007908C9"/>
    <w:rsid w:val="00791959"/>
    <w:rsid w:val="00791A86"/>
    <w:rsid w:val="007937A5"/>
    <w:rsid w:val="0079747A"/>
    <w:rsid w:val="0079789B"/>
    <w:rsid w:val="0079790B"/>
    <w:rsid w:val="007A1381"/>
    <w:rsid w:val="007A3B46"/>
    <w:rsid w:val="007A3D29"/>
    <w:rsid w:val="007A597B"/>
    <w:rsid w:val="007A7ABB"/>
    <w:rsid w:val="007B1049"/>
    <w:rsid w:val="007B1215"/>
    <w:rsid w:val="007B1D1B"/>
    <w:rsid w:val="007B2D60"/>
    <w:rsid w:val="007B7C08"/>
    <w:rsid w:val="007C1CDD"/>
    <w:rsid w:val="007C2B74"/>
    <w:rsid w:val="007C30C8"/>
    <w:rsid w:val="007C43D1"/>
    <w:rsid w:val="007C4FF5"/>
    <w:rsid w:val="007C6692"/>
    <w:rsid w:val="007D01C1"/>
    <w:rsid w:val="007D055F"/>
    <w:rsid w:val="007D081C"/>
    <w:rsid w:val="007D1BC6"/>
    <w:rsid w:val="007D2178"/>
    <w:rsid w:val="007D3AA3"/>
    <w:rsid w:val="007D3E20"/>
    <w:rsid w:val="007D3FF8"/>
    <w:rsid w:val="007D415F"/>
    <w:rsid w:val="007D5578"/>
    <w:rsid w:val="007D6880"/>
    <w:rsid w:val="007D6ECD"/>
    <w:rsid w:val="007E0CE0"/>
    <w:rsid w:val="007E303C"/>
    <w:rsid w:val="007E371D"/>
    <w:rsid w:val="007E524F"/>
    <w:rsid w:val="007E61AF"/>
    <w:rsid w:val="007E6636"/>
    <w:rsid w:val="007E77B6"/>
    <w:rsid w:val="007E7FD6"/>
    <w:rsid w:val="007F3C29"/>
    <w:rsid w:val="007F3C2A"/>
    <w:rsid w:val="007F3F03"/>
    <w:rsid w:val="007F3F81"/>
    <w:rsid w:val="007F4F2D"/>
    <w:rsid w:val="007F5B7D"/>
    <w:rsid w:val="007F6C6D"/>
    <w:rsid w:val="0080092F"/>
    <w:rsid w:val="00801AD7"/>
    <w:rsid w:val="00801BFF"/>
    <w:rsid w:val="00803722"/>
    <w:rsid w:val="00803DE3"/>
    <w:rsid w:val="0080412F"/>
    <w:rsid w:val="008056E7"/>
    <w:rsid w:val="00806B8A"/>
    <w:rsid w:val="00806C2B"/>
    <w:rsid w:val="008104A3"/>
    <w:rsid w:val="008106B8"/>
    <w:rsid w:val="00811961"/>
    <w:rsid w:val="00814CAB"/>
    <w:rsid w:val="008157D0"/>
    <w:rsid w:val="00815906"/>
    <w:rsid w:val="00817F99"/>
    <w:rsid w:val="008219A7"/>
    <w:rsid w:val="00827912"/>
    <w:rsid w:val="00827B52"/>
    <w:rsid w:val="00827D7C"/>
    <w:rsid w:val="0083040B"/>
    <w:rsid w:val="00830C5F"/>
    <w:rsid w:val="008314AD"/>
    <w:rsid w:val="00831D7D"/>
    <w:rsid w:val="0083205A"/>
    <w:rsid w:val="00832140"/>
    <w:rsid w:val="00832E2C"/>
    <w:rsid w:val="0083416E"/>
    <w:rsid w:val="00836F28"/>
    <w:rsid w:val="00837138"/>
    <w:rsid w:val="008371E8"/>
    <w:rsid w:val="00837208"/>
    <w:rsid w:val="00837F88"/>
    <w:rsid w:val="0084028B"/>
    <w:rsid w:val="0084157B"/>
    <w:rsid w:val="00842181"/>
    <w:rsid w:val="00842D91"/>
    <w:rsid w:val="008450E8"/>
    <w:rsid w:val="008455F5"/>
    <w:rsid w:val="00845EE0"/>
    <w:rsid w:val="00846122"/>
    <w:rsid w:val="00846B8F"/>
    <w:rsid w:val="00846EFB"/>
    <w:rsid w:val="00853145"/>
    <w:rsid w:val="00853CC1"/>
    <w:rsid w:val="00854EA9"/>
    <w:rsid w:val="008551A6"/>
    <w:rsid w:val="00855D3A"/>
    <w:rsid w:val="00855F1A"/>
    <w:rsid w:val="008564A8"/>
    <w:rsid w:val="00857308"/>
    <w:rsid w:val="00857BEC"/>
    <w:rsid w:val="0086062F"/>
    <w:rsid w:val="00860787"/>
    <w:rsid w:val="008612CC"/>
    <w:rsid w:val="00861BFA"/>
    <w:rsid w:val="00862751"/>
    <w:rsid w:val="00862B97"/>
    <w:rsid w:val="00866663"/>
    <w:rsid w:val="00866F65"/>
    <w:rsid w:val="00871A0A"/>
    <w:rsid w:val="00872CC4"/>
    <w:rsid w:val="00872DDC"/>
    <w:rsid w:val="00872F1A"/>
    <w:rsid w:val="00873A0D"/>
    <w:rsid w:val="008742A3"/>
    <w:rsid w:val="00874BA9"/>
    <w:rsid w:val="00876964"/>
    <w:rsid w:val="00877E58"/>
    <w:rsid w:val="008802DC"/>
    <w:rsid w:val="008835BB"/>
    <w:rsid w:val="0088496C"/>
    <w:rsid w:val="00886B29"/>
    <w:rsid w:val="008901DA"/>
    <w:rsid w:val="008904D7"/>
    <w:rsid w:val="00890AB1"/>
    <w:rsid w:val="00890E8A"/>
    <w:rsid w:val="008935EC"/>
    <w:rsid w:val="00894AA6"/>
    <w:rsid w:val="0089520E"/>
    <w:rsid w:val="008976F5"/>
    <w:rsid w:val="0089793B"/>
    <w:rsid w:val="008A13CF"/>
    <w:rsid w:val="008A151D"/>
    <w:rsid w:val="008A380E"/>
    <w:rsid w:val="008A49F8"/>
    <w:rsid w:val="008A514E"/>
    <w:rsid w:val="008B0BF7"/>
    <w:rsid w:val="008B4837"/>
    <w:rsid w:val="008B5651"/>
    <w:rsid w:val="008B632C"/>
    <w:rsid w:val="008B72FE"/>
    <w:rsid w:val="008B7BEE"/>
    <w:rsid w:val="008C05C0"/>
    <w:rsid w:val="008C1060"/>
    <w:rsid w:val="008C1568"/>
    <w:rsid w:val="008C15E2"/>
    <w:rsid w:val="008C19A6"/>
    <w:rsid w:val="008D29B5"/>
    <w:rsid w:val="008D2BBA"/>
    <w:rsid w:val="008D4C6F"/>
    <w:rsid w:val="008D51E4"/>
    <w:rsid w:val="008D6262"/>
    <w:rsid w:val="008E1204"/>
    <w:rsid w:val="008E1E4F"/>
    <w:rsid w:val="008E6F98"/>
    <w:rsid w:val="008E7614"/>
    <w:rsid w:val="008F2A0D"/>
    <w:rsid w:val="008F3217"/>
    <w:rsid w:val="008F407D"/>
    <w:rsid w:val="008F4B61"/>
    <w:rsid w:val="008F5BE1"/>
    <w:rsid w:val="008F7AC9"/>
    <w:rsid w:val="008F7DEB"/>
    <w:rsid w:val="008F7E04"/>
    <w:rsid w:val="0090456D"/>
    <w:rsid w:val="00907EF9"/>
    <w:rsid w:val="00912B02"/>
    <w:rsid w:val="00914374"/>
    <w:rsid w:val="009161D6"/>
    <w:rsid w:val="00916F0F"/>
    <w:rsid w:val="00917531"/>
    <w:rsid w:val="00917822"/>
    <w:rsid w:val="00917905"/>
    <w:rsid w:val="0092042C"/>
    <w:rsid w:val="00920949"/>
    <w:rsid w:val="00924A9E"/>
    <w:rsid w:val="009250E6"/>
    <w:rsid w:val="00925AB1"/>
    <w:rsid w:val="00926289"/>
    <w:rsid w:val="009265A7"/>
    <w:rsid w:val="0092736C"/>
    <w:rsid w:val="009300D4"/>
    <w:rsid w:val="00930DCE"/>
    <w:rsid w:val="009318F7"/>
    <w:rsid w:val="009321C8"/>
    <w:rsid w:val="009324A0"/>
    <w:rsid w:val="00933B63"/>
    <w:rsid w:val="00933C52"/>
    <w:rsid w:val="00934823"/>
    <w:rsid w:val="00934879"/>
    <w:rsid w:val="00935E9A"/>
    <w:rsid w:val="009409B0"/>
    <w:rsid w:val="00940BC8"/>
    <w:rsid w:val="0094191B"/>
    <w:rsid w:val="00942E03"/>
    <w:rsid w:val="00943F4D"/>
    <w:rsid w:val="00944055"/>
    <w:rsid w:val="0094484A"/>
    <w:rsid w:val="009464D5"/>
    <w:rsid w:val="00947522"/>
    <w:rsid w:val="00950921"/>
    <w:rsid w:val="00951313"/>
    <w:rsid w:val="00951BC7"/>
    <w:rsid w:val="00954241"/>
    <w:rsid w:val="00954CC5"/>
    <w:rsid w:val="00954D2F"/>
    <w:rsid w:val="00955528"/>
    <w:rsid w:val="009559B2"/>
    <w:rsid w:val="009566DA"/>
    <w:rsid w:val="00956B51"/>
    <w:rsid w:val="00957F0D"/>
    <w:rsid w:val="00960284"/>
    <w:rsid w:val="009612DF"/>
    <w:rsid w:val="0096204A"/>
    <w:rsid w:val="009625FD"/>
    <w:rsid w:val="0096300E"/>
    <w:rsid w:val="00963BDB"/>
    <w:rsid w:val="00964076"/>
    <w:rsid w:val="009652E7"/>
    <w:rsid w:val="00966255"/>
    <w:rsid w:val="00966AB0"/>
    <w:rsid w:val="00966C30"/>
    <w:rsid w:val="00967B45"/>
    <w:rsid w:val="00970B9C"/>
    <w:rsid w:val="00970BB9"/>
    <w:rsid w:val="00970D7A"/>
    <w:rsid w:val="00971311"/>
    <w:rsid w:val="00971605"/>
    <w:rsid w:val="0097298A"/>
    <w:rsid w:val="00972A2E"/>
    <w:rsid w:val="00972FD6"/>
    <w:rsid w:val="00974358"/>
    <w:rsid w:val="00975997"/>
    <w:rsid w:val="00977017"/>
    <w:rsid w:val="00977D47"/>
    <w:rsid w:val="00980360"/>
    <w:rsid w:val="00982506"/>
    <w:rsid w:val="00985FF7"/>
    <w:rsid w:val="009867B4"/>
    <w:rsid w:val="00987D52"/>
    <w:rsid w:val="00990C29"/>
    <w:rsid w:val="00992FC8"/>
    <w:rsid w:val="00993B9C"/>
    <w:rsid w:val="00994D66"/>
    <w:rsid w:val="009953AB"/>
    <w:rsid w:val="009953EF"/>
    <w:rsid w:val="0099593D"/>
    <w:rsid w:val="0099686E"/>
    <w:rsid w:val="00997A5C"/>
    <w:rsid w:val="00997E65"/>
    <w:rsid w:val="009A460A"/>
    <w:rsid w:val="009A5297"/>
    <w:rsid w:val="009A57A0"/>
    <w:rsid w:val="009A6F46"/>
    <w:rsid w:val="009A742E"/>
    <w:rsid w:val="009A7796"/>
    <w:rsid w:val="009B0DA8"/>
    <w:rsid w:val="009B112E"/>
    <w:rsid w:val="009B30B3"/>
    <w:rsid w:val="009B439A"/>
    <w:rsid w:val="009B6622"/>
    <w:rsid w:val="009B7D40"/>
    <w:rsid w:val="009C0576"/>
    <w:rsid w:val="009C2DD3"/>
    <w:rsid w:val="009C3001"/>
    <w:rsid w:val="009C3795"/>
    <w:rsid w:val="009C5100"/>
    <w:rsid w:val="009D03A7"/>
    <w:rsid w:val="009D05A1"/>
    <w:rsid w:val="009D06A5"/>
    <w:rsid w:val="009D1727"/>
    <w:rsid w:val="009D1D99"/>
    <w:rsid w:val="009D336B"/>
    <w:rsid w:val="009D50E7"/>
    <w:rsid w:val="009E0240"/>
    <w:rsid w:val="009E055B"/>
    <w:rsid w:val="009E1166"/>
    <w:rsid w:val="009E1B90"/>
    <w:rsid w:val="009E33CB"/>
    <w:rsid w:val="009E5D6D"/>
    <w:rsid w:val="009E656B"/>
    <w:rsid w:val="009E6F4B"/>
    <w:rsid w:val="009E75D5"/>
    <w:rsid w:val="009F0F8F"/>
    <w:rsid w:val="009F1154"/>
    <w:rsid w:val="009F2880"/>
    <w:rsid w:val="009F43D6"/>
    <w:rsid w:val="009F51E8"/>
    <w:rsid w:val="009F526A"/>
    <w:rsid w:val="009F698D"/>
    <w:rsid w:val="009F6F95"/>
    <w:rsid w:val="009F710C"/>
    <w:rsid w:val="00A01041"/>
    <w:rsid w:val="00A02C65"/>
    <w:rsid w:val="00A03504"/>
    <w:rsid w:val="00A03652"/>
    <w:rsid w:val="00A04E44"/>
    <w:rsid w:val="00A04E80"/>
    <w:rsid w:val="00A057D2"/>
    <w:rsid w:val="00A06C09"/>
    <w:rsid w:val="00A06D0F"/>
    <w:rsid w:val="00A1216F"/>
    <w:rsid w:val="00A1282D"/>
    <w:rsid w:val="00A164A2"/>
    <w:rsid w:val="00A17C16"/>
    <w:rsid w:val="00A22A52"/>
    <w:rsid w:val="00A22BA6"/>
    <w:rsid w:val="00A23688"/>
    <w:rsid w:val="00A241EA"/>
    <w:rsid w:val="00A249F2"/>
    <w:rsid w:val="00A26171"/>
    <w:rsid w:val="00A272AA"/>
    <w:rsid w:val="00A30E98"/>
    <w:rsid w:val="00A30FBE"/>
    <w:rsid w:val="00A310FF"/>
    <w:rsid w:val="00A374BA"/>
    <w:rsid w:val="00A40048"/>
    <w:rsid w:val="00A41BFD"/>
    <w:rsid w:val="00A41E0A"/>
    <w:rsid w:val="00A421B3"/>
    <w:rsid w:val="00A447B1"/>
    <w:rsid w:val="00A44FBE"/>
    <w:rsid w:val="00A45E63"/>
    <w:rsid w:val="00A4603B"/>
    <w:rsid w:val="00A46B1C"/>
    <w:rsid w:val="00A47648"/>
    <w:rsid w:val="00A504EE"/>
    <w:rsid w:val="00A5263E"/>
    <w:rsid w:val="00A5588A"/>
    <w:rsid w:val="00A56FC9"/>
    <w:rsid w:val="00A620E9"/>
    <w:rsid w:val="00A640EA"/>
    <w:rsid w:val="00A64428"/>
    <w:rsid w:val="00A6694B"/>
    <w:rsid w:val="00A6757F"/>
    <w:rsid w:val="00A704F1"/>
    <w:rsid w:val="00A7058D"/>
    <w:rsid w:val="00A72561"/>
    <w:rsid w:val="00A75078"/>
    <w:rsid w:val="00A750B9"/>
    <w:rsid w:val="00A7658C"/>
    <w:rsid w:val="00A76F96"/>
    <w:rsid w:val="00A8130D"/>
    <w:rsid w:val="00A81B1A"/>
    <w:rsid w:val="00A8304E"/>
    <w:rsid w:val="00A86944"/>
    <w:rsid w:val="00A86CD1"/>
    <w:rsid w:val="00A926B6"/>
    <w:rsid w:val="00A940E4"/>
    <w:rsid w:val="00A95B7F"/>
    <w:rsid w:val="00AA14B9"/>
    <w:rsid w:val="00AA16AD"/>
    <w:rsid w:val="00AA1B46"/>
    <w:rsid w:val="00AA3A91"/>
    <w:rsid w:val="00AA49B4"/>
    <w:rsid w:val="00AA4C0E"/>
    <w:rsid w:val="00AA547B"/>
    <w:rsid w:val="00AA67B4"/>
    <w:rsid w:val="00AA70CA"/>
    <w:rsid w:val="00AA75EC"/>
    <w:rsid w:val="00AB0A0E"/>
    <w:rsid w:val="00AB1767"/>
    <w:rsid w:val="00AB24C1"/>
    <w:rsid w:val="00AB265B"/>
    <w:rsid w:val="00AB27E7"/>
    <w:rsid w:val="00AB53C9"/>
    <w:rsid w:val="00AB546C"/>
    <w:rsid w:val="00AB5B81"/>
    <w:rsid w:val="00AB7448"/>
    <w:rsid w:val="00AC01D8"/>
    <w:rsid w:val="00AC0D05"/>
    <w:rsid w:val="00AC2B31"/>
    <w:rsid w:val="00AC5A09"/>
    <w:rsid w:val="00AC5AE0"/>
    <w:rsid w:val="00AC5C9B"/>
    <w:rsid w:val="00AC660B"/>
    <w:rsid w:val="00AD2697"/>
    <w:rsid w:val="00AD2C28"/>
    <w:rsid w:val="00AD3792"/>
    <w:rsid w:val="00AD3EC5"/>
    <w:rsid w:val="00AD3F8C"/>
    <w:rsid w:val="00AD4CB0"/>
    <w:rsid w:val="00AD5D44"/>
    <w:rsid w:val="00AD732F"/>
    <w:rsid w:val="00AD78F3"/>
    <w:rsid w:val="00AE09C8"/>
    <w:rsid w:val="00AE0D38"/>
    <w:rsid w:val="00AE1D75"/>
    <w:rsid w:val="00AE27BC"/>
    <w:rsid w:val="00AE2E46"/>
    <w:rsid w:val="00AE3B5F"/>
    <w:rsid w:val="00AE6BAE"/>
    <w:rsid w:val="00AE73E6"/>
    <w:rsid w:val="00AE7F86"/>
    <w:rsid w:val="00AF0A95"/>
    <w:rsid w:val="00AF4555"/>
    <w:rsid w:val="00AF7719"/>
    <w:rsid w:val="00AF7B80"/>
    <w:rsid w:val="00AF7DDF"/>
    <w:rsid w:val="00AF7EA6"/>
    <w:rsid w:val="00B0020C"/>
    <w:rsid w:val="00B01B53"/>
    <w:rsid w:val="00B0344D"/>
    <w:rsid w:val="00B07A86"/>
    <w:rsid w:val="00B11DDD"/>
    <w:rsid w:val="00B14F11"/>
    <w:rsid w:val="00B14F4F"/>
    <w:rsid w:val="00B15CCA"/>
    <w:rsid w:val="00B178C0"/>
    <w:rsid w:val="00B20764"/>
    <w:rsid w:val="00B2087D"/>
    <w:rsid w:val="00B2100B"/>
    <w:rsid w:val="00B21567"/>
    <w:rsid w:val="00B2219D"/>
    <w:rsid w:val="00B234E2"/>
    <w:rsid w:val="00B2658F"/>
    <w:rsid w:val="00B27B14"/>
    <w:rsid w:val="00B34389"/>
    <w:rsid w:val="00B34A4F"/>
    <w:rsid w:val="00B35683"/>
    <w:rsid w:val="00B36A0F"/>
    <w:rsid w:val="00B4226B"/>
    <w:rsid w:val="00B430F2"/>
    <w:rsid w:val="00B43D6F"/>
    <w:rsid w:val="00B45804"/>
    <w:rsid w:val="00B461A2"/>
    <w:rsid w:val="00B47182"/>
    <w:rsid w:val="00B51037"/>
    <w:rsid w:val="00B5279A"/>
    <w:rsid w:val="00B53341"/>
    <w:rsid w:val="00B5344D"/>
    <w:rsid w:val="00B53794"/>
    <w:rsid w:val="00B55C77"/>
    <w:rsid w:val="00B572B0"/>
    <w:rsid w:val="00B57446"/>
    <w:rsid w:val="00B607BF"/>
    <w:rsid w:val="00B62E2B"/>
    <w:rsid w:val="00B66EAB"/>
    <w:rsid w:val="00B6766D"/>
    <w:rsid w:val="00B67B97"/>
    <w:rsid w:val="00B70C8E"/>
    <w:rsid w:val="00B70F9A"/>
    <w:rsid w:val="00B711FC"/>
    <w:rsid w:val="00B716F4"/>
    <w:rsid w:val="00B7187F"/>
    <w:rsid w:val="00B72834"/>
    <w:rsid w:val="00B75270"/>
    <w:rsid w:val="00B77A00"/>
    <w:rsid w:val="00B80155"/>
    <w:rsid w:val="00B805F6"/>
    <w:rsid w:val="00B80F86"/>
    <w:rsid w:val="00B81985"/>
    <w:rsid w:val="00B845EF"/>
    <w:rsid w:val="00B8549D"/>
    <w:rsid w:val="00B85C7C"/>
    <w:rsid w:val="00B86157"/>
    <w:rsid w:val="00B87D62"/>
    <w:rsid w:val="00B9113E"/>
    <w:rsid w:val="00B93B04"/>
    <w:rsid w:val="00B93B36"/>
    <w:rsid w:val="00B93B98"/>
    <w:rsid w:val="00B950DD"/>
    <w:rsid w:val="00B95881"/>
    <w:rsid w:val="00BA117B"/>
    <w:rsid w:val="00BA1F4A"/>
    <w:rsid w:val="00BA2C88"/>
    <w:rsid w:val="00BA3A64"/>
    <w:rsid w:val="00BA3D0E"/>
    <w:rsid w:val="00BA48A9"/>
    <w:rsid w:val="00BA4E3D"/>
    <w:rsid w:val="00BB15DC"/>
    <w:rsid w:val="00BB5C37"/>
    <w:rsid w:val="00BB67A5"/>
    <w:rsid w:val="00BB7346"/>
    <w:rsid w:val="00BB7433"/>
    <w:rsid w:val="00BC0F0B"/>
    <w:rsid w:val="00BC1CA0"/>
    <w:rsid w:val="00BC24CE"/>
    <w:rsid w:val="00BC2FD6"/>
    <w:rsid w:val="00BC3332"/>
    <w:rsid w:val="00BC374F"/>
    <w:rsid w:val="00BC4021"/>
    <w:rsid w:val="00BC5861"/>
    <w:rsid w:val="00BC5BF1"/>
    <w:rsid w:val="00BC5F0A"/>
    <w:rsid w:val="00BC687A"/>
    <w:rsid w:val="00BC7B0D"/>
    <w:rsid w:val="00BC7D84"/>
    <w:rsid w:val="00BC7E15"/>
    <w:rsid w:val="00BD0430"/>
    <w:rsid w:val="00BD2D01"/>
    <w:rsid w:val="00BD488F"/>
    <w:rsid w:val="00BD4D5D"/>
    <w:rsid w:val="00BD5B1C"/>
    <w:rsid w:val="00BD5B53"/>
    <w:rsid w:val="00BD6307"/>
    <w:rsid w:val="00BD7776"/>
    <w:rsid w:val="00BE09A6"/>
    <w:rsid w:val="00BE10FA"/>
    <w:rsid w:val="00BE2729"/>
    <w:rsid w:val="00BE2F2E"/>
    <w:rsid w:val="00BE2F71"/>
    <w:rsid w:val="00BE64E8"/>
    <w:rsid w:val="00BE69EE"/>
    <w:rsid w:val="00BF06EF"/>
    <w:rsid w:val="00BF11F1"/>
    <w:rsid w:val="00BF40F8"/>
    <w:rsid w:val="00BF4394"/>
    <w:rsid w:val="00BF6445"/>
    <w:rsid w:val="00BF7602"/>
    <w:rsid w:val="00C0093B"/>
    <w:rsid w:val="00C00B89"/>
    <w:rsid w:val="00C01E34"/>
    <w:rsid w:val="00C0265E"/>
    <w:rsid w:val="00C0520F"/>
    <w:rsid w:val="00C06522"/>
    <w:rsid w:val="00C071B8"/>
    <w:rsid w:val="00C078B5"/>
    <w:rsid w:val="00C107CC"/>
    <w:rsid w:val="00C11820"/>
    <w:rsid w:val="00C1309E"/>
    <w:rsid w:val="00C13311"/>
    <w:rsid w:val="00C1360E"/>
    <w:rsid w:val="00C1506D"/>
    <w:rsid w:val="00C17073"/>
    <w:rsid w:val="00C17211"/>
    <w:rsid w:val="00C20022"/>
    <w:rsid w:val="00C20830"/>
    <w:rsid w:val="00C21775"/>
    <w:rsid w:val="00C23DF5"/>
    <w:rsid w:val="00C274A4"/>
    <w:rsid w:val="00C321FD"/>
    <w:rsid w:val="00C339DE"/>
    <w:rsid w:val="00C34BCA"/>
    <w:rsid w:val="00C35186"/>
    <w:rsid w:val="00C36078"/>
    <w:rsid w:val="00C41D92"/>
    <w:rsid w:val="00C41E88"/>
    <w:rsid w:val="00C4368F"/>
    <w:rsid w:val="00C44EA4"/>
    <w:rsid w:val="00C44F94"/>
    <w:rsid w:val="00C501EB"/>
    <w:rsid w:val="00C52117"/>
    <w:rsid w:val="00C53D4D"/>
    <w:rsid w:val="00C5414D"/>
    <w:rsid w:val="00C560A5"/>
    <w:rsid w:val="00C57674"/>
    <w:rsid w:val="00C623D0"/>
    <w:rsid w:val="00C62873"/>
    <w:rsid w:val="00C63B3D"/>
    <w:rsid w:val="00C65814"/>
    <w:rsid w:val="00C65D3C"/>
    <w:rsid w:val="00C6778B"/>
    <w:rsid w:val="00C67AF4"/>
    <w:rsid w:val="00C70148"/>
    <w:rsid w:val="00C704DA"/>
    <w:rsid w:val="00C71404"/>
    <w:rsid w:val="00C7198F"/>
    <w:rsid w:val="00C73799"/>
    <w:rsid w:val="00C766D6"/>
    <w:rsid w:val="00C80994"/>
    <w:rsid w:val="00C819B8"/>
    <w:rsid w:val="00C81C79"/>
    <w:rsid w:val="00C8410C"/>
    <w:rsid w:val="00C86872"/>
    <w:rsid w:val="00C86ABF"/>
    <w:rsid w:val="00C86E56"/>
    <w:rsid w:val="00C9021D"/>
    <w:rsid w:val="00C902AE"/>
    <w:rsid w:val="00C90711"/>
    <w:rsid w:val="00C95BEF"/>
    <w:rsid w:val="00C95F66"/>
    <w:rsid w:val="00C97938"/>
    <w:rsid w:val="00CA1277"/>
    <w:rsid w:val="00CA1749"/>
    <w:rsid w:val="00CA4B4E"/>
    <w:rsid w:val="00CA5004"/>
    <w:rsid w:val="00CA70BE"/>
    <w:rsid w:val="00CB06C1"/>
    <w:rsid w:val="00CB1BCE"/>
    <w:rsid w:val="00CB204B"/>
    <w:rsid w:val="00CB5322"/>
    <w:rsid w:val="00CB7189"/>
    <w:rsid w:val="00CC09C2"/>
    <w:rsid w:val="00CC1A09"/>
    <w:rsid w:val="00CC20C2"/>
    <w:rsid w:val="00CC4FF9"/>
    <w:rsid w:val="00CC57B5"/>
    <w:rsid w:val="00CC59D6"/>
    <w:rsid w:val="00CC70D3"/>
    <w:rsid w:val="00CC79E9"/>
    <w:rsid w:val="00CD437B"/>
    <w:rsid w:val="00CD529B"/>
    <w:rsid w:val="00CD7A87"/>
    <w:rsid w:val="00CE22CD"/>
    <w:rsid w:val="00CE30C9"/>
    <w:rsid w:val="00CE3B64"/>
    <w:rsid w:val="00CE3BB4"/>
    <w:rsid w:val="00CE3D9C"/>
    <w:rsid w:val="00CE5358"/>
    <w:rsid w:val="00CE6E47"/>
    <w:rsid w:val="00CE7257"/>
    <w:rsid w:val="00CF08C9"/>
    <w:rsid w:val="00CF1885"/>
    <w:rsid w:val="00CF2C97"/>
    <w:rsid w:val="00CF3EAA"/>
    <w:rsid w:val="00D03763"/>
    <w:rsid w:val="00D03CDA"/>
    <w:rsid w:val="00D0424C"/>
    <w:rsid w:val="00D0474D"/>
    <w:rsid w:val="00D05552"/>
    <w:rsid w:val="00D05E0C"/>
    <w:rsid w:val="00D06993"/>
    <w:rsid w:val="00D06BCF"/>
    <w:rsid w:val="00D1396A"/>
    <w:rsid w:val="00D142E0"/>
    <w:rsid w:val="00D14C7C"/>
    <w:rsid w:val="00D1561C"/>
    <w:rsid w:val="00D1629C"/>
    <w:rsid w:val="00D16B8C"/>
    <w:rsid w:val="00D16E1D"/>
    <w:rsid w:val="00D202EF"/>
    <w:rsid w:val="00D21F21"/>
    <w:rsid w:val="00D22AAD"/>
    <w:rsid w:val="00D250C5"/>
    <w:rsid w:val="00D3107F"/>
    <w:rsid w:val="00D32F1D"/>
    <w:rsid w:val="00D3394E"/>
    <w:rsid w:val="00D34FCC"/>
    <w:rsid w:val="00D35148"/>
    <w:rsid w:val="00D414EB"/>
    <w:rsid w:val="00D4159A"/>
    <w:rsid w:val="00D423F6"/>
    <w:rsid w:val="00D42518"/>
    <w:rsid w:val="00D4305A"/>
    <w:rsid w:val="00D44080"/>
    <w:rsid w:val="00D442AC"/>
    <w:rsid w:val="00D44F48"/>
    <w:rsid w:val="00D46A64"/>
    <w:rsid w:val="00D54AB5"/>
    <w:rsid w:val="00D5768B"/>
    <w:rsid w:val="00D576E2"/>
    <w:rsid w:val="00D60B77"/>
    <w:rsid w:val="00D61F9C"/>
    <w:rsid w:val="00D63200"/>
    <w:rsid w:val="00D6416C"/>
    <w:rsid w:val="00D64A61"/>
    <w:rsid w:val="00D65F81"/>
    <w:rsid w:val="00D66145"/>
    <w:rsid w:val="00D6615F"/>
    <w:rsid w:val="00D67C16"/>
    <w:rsid w:val="00D67E2D"/>
    <w:rsid w:val="00D71A97"/>
    <w:rsid w:val="00D73494"/>
    <w:rsid w:val="00D74881"/>
    <w:rsid w:val="00D7789C"/>
    <w:rsid w:val="00D8091F"/>
    <w:rsid w:val="00D81DFA"/>
    <w:rsid w:val="00D81FC2"/>
    <w:rsid w:val="00D86066"/>
    <w:rsid w:val="00D87037"/>
    <w:rsid w:val="00D87B82"/>
    <w:rsid w:val="00D9067D"/>
    <w:rsid w:val="00D911ED"/>
    <w:rsid w:val="00D91261"/>
    <w:rsid w:val="00D922F8"/>
    <w:rsid w:val="00D92372"/>
    <w:rsid w:val="00D92ED6"/>
    <w:rsid w:val="00D93023"/>
    <w:rsid w:val="00D94160"/>
    <w:rsid w:val="00D95E41"/>
    <w:rsid w:val="00D96A1C"/>
    <w:rsid w:val="00D96CC6"/>
    <w:rsid w:val="00D97AE5"/>
    <w:rsid w:val="00DA0465"/>
    <w:rsid w:val="00DA09A3"/>
    <w:rsid w:val="00DA0E4F"/>
    <w:rsid w:val="00DA46AC"/>
    <w:rsid w:val="00DA4B55"/>
    <w:rsid w:val="00DA553E"/>
    <w:rsid w:val="00DA5925"/>
    <w:rsid w:val="00DA6F93"/>
    <w:rsid w:val="00DA7005"/>
    <w:rsid w:val="00DA7BC5"/>
    <w:rsid w:val="00DB15C8"/>
    <w:rsid w:val="00DB2287"/>
    <w:rsid w:val="00DB3039"/>
    <w:rsid w:val="00DB3282"/>
    <w:rsid w:val="00DB32D0"/>
    <w:rsid w:val="00DB360B"/>
    <w:rsid w:val="00DB5980"/>
    <w:rsid w:val="00DB79CE"/>
    <w:rsid w:val="00DC18DE"/>
    <w:rsid w:val="00DC29E6"/>
    <w:rsid w:val="00DC3B98"/>
    <w:rsid w:val="00DC4209"/>
    <w:rsid w:val="00DC54E0"/>
    <w:rsid w:val="00DD0E48"/>
    <w:rsid w:val="00DD11A7"/>
    <w:rsid w:val="00DD2190"/>
    <w:rsid w:val="00DD22DA"/>
    <w:rsid w:val="00DD31DE"/>
    <w:rsid w:val="00DD4136"/>
    <w:rsid w:val="00DD4191"/>
    <w:rsid w:val="00DD6EF9"/>
    <w:rsid w:val="00DD78E8"/>
    <w:rsid w:val="00DE0ADC"/>
    <w:rsid w:val="00DE15B6"/>
    <w:rsid w:val="00DE3A23"/>
    <w:rsid w:val="00DE414B"/>
    <w:rsid w:val="00DE4A0D"/>
    <w:rsid w:val="00DF16EE"/>
    <w:rsid w:val="00DF1F2C"/>
    <w:rsid w:val="00DF2943"/>
    <w:rsid w:val="00DF2AC4"/>
    <w:rsid w:val="00DF3324"/>
    <w:rsid w:val="00DF346D"/>
    <w:rsid w:val="00DF4AF7"/>
    <w:rsid w:val="00DF5E1B"/>
    <w:rsid w:val="00DF606B"/>
    <w:rsid w:val="00DF60F5"/>
    <w:rsid w:val="00E00D0B"/>
    <w:rsid w:val="00E010A9"/>
    <w:rsid w:val="00E01179"/>
    <w:rsid w:val="00E0653F"/>
    <w:rsid w:val="00E0670F"/>
    <w:rsid w:val="00E073FF"/>
    <w:rsid w:val="00E11C2C"/>
    <w:rsid w:val="00E11DE8"/>
    <w:rsid w:val="00E12EBF"/>
    <w:rsid w:val="00E15701"/>
    <w:rsid w:val="00E157AB"/>
    <w:rsid w:val="00E159C8"/>
    <w:rsid w:val="00E160F4"/>
    <w:rsid w:val="00E1641A"/>
    <w:rsid w:val="00E16832"/>
    <w:rsid w:val="00E16B1F"/>
    <w:rsid w:val="00E16BAF"/>
    <w:rsid w:val="00E17834"/>
    <w:rsid w:val="00E218FC"/>
    <w:rsid w:val="00E21DBB"/>
    <w:rsid w:val="00E227B2"/>
    <w:rsid w:val="00E228B8"/>
    <w:rsid w:val="00E23235"/>
    <w:rsid w:val="00E240AE"/>
    <w:rsid w:val="00E24346"/>
    <w:rsid w:val="00E24C94"/>
    <w:rsid w:val="00E2589A"/>
    <w:rsid w:val="00E25E15"/>
    <w:rsid w:val="00E2695E"/>
    <w:rsid w:val="00E26F64"/>
    <w:rsid w:val="00E279B7"/>
    <w:rsid w:val="00E31B2F"/>
    <w:rsid w:val="00E31F0F"/>
    <w:rsid w:val="00E3294E"/>
    <w:rsid w:val="00E34CE6"/>
    <w:rsid w:val="00E3738D"/>
    <w:rsid w:val="00E37D1E"/>
    <w:rsid w:val="00E40394"/>
    <w:rsid w:val="00E40B88"/>
    <w:rsid w:val="00E40BA8"/>
    <w:rsid w:val="00E4359B"/>
    <w:rsid w:val="00E43FE8"/>
    <w:rsid w:val="00E45D05"/>
    <w:rsid w:val="00E475A6"/>
    <w:rsid w:val="00E500E0"/>
    <w:rsid w:val="00E50C7A"/>
    <w:rsid w:val="00E52EA2"/>
    <w:rsid w:val="00E53450"/>
    <w:rsid w:val="00E54071"/>
    <w:rsid w:val="00E5485C"/>
    <w:rsid w:val="00E55635"/>
    <w:rsid w:val="00E56598"/>
    <w:rsid w:val="00E64648"/>
    <w:rsid w:val="00E66763"/>
    <w:rsid w:val="00E66AD8"/>
    <w:rsid w:val="00E67005"/>
    <w:rsid w:val="00E67952"/>
    <w:rsid w:val="00E705D0"/>
    <w:rsid w:val="00E713AF"/>
    <w:rsid w:val="00E716D6"/>
    <w:rsid w:val="00E72006"/>
    <w:rsid w:val="00E72E3A"/>
    <w:rsid w:val="00E73316"/>
    <w:rsid w:val="00E73EC9"/>
    <w:rsid w:val="00E74CCE"/>
    <w:rsid w:val="00E76BB0"/>
    <w:rsid w:val="00E76EEB"/>
    <w:rsid w:val="00E77918"/>
    <w:rsid w:val="00E817E8"/>
    <w:rsid w:val="00E81CF8"/>
    <w:rsid w:val="00E8299B"/>
    <w:rsid w:val="00E8514A"/>
    <w:rsid w:val="00E87583"/>
    <w:rsid w:val="00E87D02"/>
    <w:rsid w:val="00E90953"/>
    <w:rsid w:val="00E90FEC"/>
    <w:rsid w:val="00E91D8D"/>
    <w:rsid w:val="00E9389F"/>
    <w:rsid w:val="00E97DD5"/>
    <w:rsid w:val="00EA2E91"/>
    <w:rsid w:val="00EA6FA3"/>
    <w:rsid w:val="00EB03DD"/>
    <w:rsid w:val="00EB2B40"/>
    <w:rsid w:val="00EB4163"/>
    <w:rsid w:val="00EB5FCA"/>
    <w:rsid w:val="00EC046D"/>
    <w:rsid w:val="00EC37E8"/>
    <w:rsid w:val="00EC4FE2"/>
    <w:rsid w:val="00EC53A3"/>
    <w:rsid w:val="00EC636E"/>
    <w:rsid w:val="00EC6A16"/>
    <w:rsid w:val="00EC759F"/>
    <w:rsid w:val="00ED0089"/>
    <w:rsid w:val="00ED1126"/>
    <w:rsid w:val="00ED11A9"/>
    <w:rsid w:val="00ED1BC2"/>
    <w:rsid w:val="00ED2E1C"/>
    <w:rsid w:val="00ED4268"/>
    <w:rsid w:val="00ED54BB"/>
    <w:rsid w:val="00ED5644"/>
    <w:rsid w:val="00ED5C4E"/>
    <w:rsid w:val="00ED77C3"/>
    <w:rsid w:val="00EE00FC"/>
    <w:rsid w:val="00EE0184"/>
    <w:rsid w:val="00EE2BAD"/>
    <w:rsid w:val="00EE3BD3"/>
    <w:rsid w:val="00EE5F0F"/>
    <w:rsid w:val="00EE5F1B"/>
    <w:rsid w:val="00EE619D"/>
    <w:rsid w:val="00EE6CC0"/>
    <w:rsid w:val="00EE6E38"/>
    <w:rsid w:val="00EF1F68"/>
    <w:rsid w:val="00EF53B6"/>
    <w:rsid w:val="00EF5E7A"/>
    <w:rsid w:val="00EF63CF"/>
    <w:rsid w:val="00EF749F"/>
    <w:rsid w:val="00EF74AD"/>
    <w:rsid w:val="00EF7E9D"/>
    <w:rsid w:val="00F005E1"/>
    <w:rsid w:val="00F007FD"/>
    <w:rsid w:val="00F0148D"/>
    <w:rsid w:val="00F02511"/>
    <w:rsid w:val="00F05874"/>
    <w:rsid w:val="00F06053"/>
    <w:rsid w:val="00F074C3"/>
    <w:rsid w:val="00F079E3"/>
    <w:rsid w:val="00F1042A"/>
    <w:rsid w:val="00F10ED8"/>
    <w:rsid w:val="00F10F38"/>
    <w:rsid w:val="00F10FA6"/>
    <w:rsid w:val="00F16B50"/>
    <w:rsid w:val="00F20A87"/>
    <w:rsid w:val="00F23148"/>
    <w:rsid w:val="00F235A7"/>
    <w:rsid w:val="00F2398E"/>
    <w:rsid w:val="00F24E0C"/>
    <w:rsid w:val="00F2510C"/>
    <w:rsid w:val="00F254B6"/>
    <w:rsid w:val="00F25D87"/>
    <w:rsid w:val="00F26BF6"/>
    <w:rsid w:val="00F27945"/>
    <w:rsid w:val="00F27F13"/>
    <w:rsid w:val="00F27FE1"/>
    <w:rsid w:val="00F30010"/>
    <w:rsid w:val="00F3060D"/>
    <w:rsid w:val="00F31EEB"/>
    <w:rsid w:val="00F357AB"/>
    <w:rsid w:val="00F36057"/>
    <w:rsid w:val="00F3773D"/>
    <w:rsid w:val="00F37BF2"/>
    <w:rsid w:val="00F40B63"/>
    <w:rsid w:val="00F40F99"/>
    <w:rsid w:val="00F41ADC"/>
    <w:rsid w:val="00F43032"/>
    <w:rsid w:val="00F44C3C"/>
    <w:rsid w:val="00F44E5F"/>
    <w:rsid w:val="00F4550C"/>
    <w:rsid w:val="00F464AE"/>
    <w:rsid w:val="00F4743D"/>
    <w:rsid w:val="00F516F0"/>
    <w:rsid w:val="00F51CC3"/>
    <w:rsid w:val="00F531BB"/>
    <w:rsid w:val="00F53C79"/>
    <w:rsid w:val="00F5403E"/>
    <w:rsid w:val="00F550F6"/>
    <w:rsid w:val="00F56F4B"/>
    <w:rsid w:val="00F57518"/>
    <w:rsid w:val="00F579D1"/>
    <w:rsid w:val="00F6195D"/>
    <w:rsid w:val="00F61EDD"/>
    <w:rsid w:val="00F621B9"/>
    <w:rsid w:val="00F63631"/>
    <w:rsid w:val="00F636AD"/>
    <w:rsid w:val="00F7005B"/>
    <w:rsid w:val="00F71D52"/>
    <w:rsid w:val="00F72D24"/>
    <w:rsid w:val="00F74134"/>
    <w:rsid w:val="00F74C7A"/>
    <w:rsid w:val="00F77433"/>
    <w:rsid w:val="00F804CB"/>
    <w:rsid w:val="00F820E7"/>
    <w:rsid w:val="00F8317E"/>
    <w:rsid w:val="00F844C2"/>
    <w:rsid w:val="00F858D9"/>
    <w:rsid w:val="00F86991"/>
    <w:rsid w:val="00F86EED"/>
    <w:rsid w:val="00F93441"/>
    <w:rsid w:val="00F93A0F"/>
    <w:rsid w:val="00F95BE6"/>
    <w:rsid w:val="00F97651"/>
    <w:rsid w:val="00FA03A5"/>
    <w:rsid w:val="00FA0C20"/>
    <w:rsid w:val="00FA3444"/>
    <w:rsid w:val="00FA46F4"/>
    <w:rsid w:val="00FA549B"/>
    <w:rsid w:val="00FA5F64"/>
    <w:rsid w:val="00FA620B"/>
    <w:rsid w:val="00FA6495"/>
    <w:rsid w:val="00FB0AD5"/>
    <w:rsid w:val="00FB5BB0"/>
    <w:rsid w:val="00FB603D"/>
    <w:rsid w:val="00FB7360"/>
    <w:rsid w:val="00FC0769"/>
    <w:rsid w:val="00FC104B"/>
    <w:rsid w:val="00FC1AF6"/>
    <w:rsid w:val="00FC26C8"/>
    <w:rsid w:val="00FC67ED"/>
    <w:rsid w:val="00FD0721"/>
    <w:rsid w:val="00FD0A26"/>
    <w:rsid w:val="00FD0ABE"/>
    <w:rsid w:val="00FD138E"/>
    <w:rsid w:val="00FD17BB"/>
    <w:rsid w:val="00FD2D37"/>
    <w:rsid w:val="00FD37C4"/>
    <w:rsid w:val="00FD5EC1"/>
    <w:rsid w:val="00FD667F"/>
    <w:rsid w:val="00FD6832"/>
    <w:rsid w:val="00FE0B89"/>
    <w:rsid w:val="00FE3594"/>
    <w:rsid w:val="00FE4A36"/>
    <w:rsid w:val="00FE4EC4"/>
    <w:rsid w:val="00FE4FEA"/>
    <w:rsid w:val="00FE565D"/>
    <w:rsid w:val="00FE5DCF"/>
    <w:rsid w:val="00FE61E2"/>
    <w:rsid w:val="00FE6C0F"/>
    <w:rsid w:val="00FE6E39"/>
    <w:rsid w:val="00FE7435"/>
    <w:rsid w:val="00FF0E29"/>
    <w:rsid w:val="00FF3A59"/>
    <w:rsid w:val="00FF441A"/>
    <w:rsid w:val="00FF4531"/>
    <w:rsid w:val="00FF67AF"/>
    <w:rsid w:val="00FF68E9"/>
    <w:rsid w:val="00FF6EC5"/>
    <w:rsid w:val="00FF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FA2A"/>
  <w15:docId w15:val="{FEDDC76D-15E8-4772-ADB6-36B39E89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HEA Grapalat" w:eastAsiaTheme="minorHAnsi" w:hAnsi="GHEA Grapalat"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19D"/>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F40F99"/>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F40F99"/>
    <w:pPr>
      <w:keepNext/>
      <w:spacing w:line="360" w:lineRule="auto"/>
      <w:ind w:firstLine="540"/>
      <w:jc w:val="right"/>
      <w:outlineLvl w:val="1"/>
    </w:pPr>
    <w:rPr>
      <w:rFonts w:ascii="Times Armenian" w:hAnsi="Times Armenian" w:cs="Arial"/>
      <w:i/>
      <w:iCs/>
      <w:color w:val="000000"/>
      <w:szCs w:val="20"/>
      <w:lang w:val="hy-AM"/>
    </w:rPr>
  </w:style>
  <w:style w:type="paragraph" w:styleId="Heading5">
    <w:name w:val="heading 5"/>
    <w:basedOn w:val="Normal"/>
    <w:next w:val="Normal"/>
    <w:link w:val="Heading5Char"/>
    <w:uiPriority w:val="9"/>
    <w:unhideWhenUsed/>
    <w:qFormat/>
    <w:rsid w:val="00C00B89"/>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F40F99"/>
    <w:pPr>
      <w:keepNext/>
      <w:spacing w:line="360" w:lineRule="auto"/>
      <w:ind w:left="1701"/>
      <w:jc w:val="center"/>
      <w:outlineLvl w:val="6"/>
    </w:pPr>
    <w:rPr>
      <w:rFonts w:ascii="Arial Armenian" w:hAnsi="Arial Armenian"/>
      <w:b/>
      <w:spacing w:val="40"/>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rsid w:val="00EE619D"/>
  </w:style>
  <w:style w:type="paragraph" w:styleId="ListParagraph">
    <w:name w:val="List Paragraph"/>
    <w:basedOn w:val="Normal"/>
    <w:uiPriority w:val="34"/>
    <w:qFormat/>
    <w:rsid w:val="00EE619D"/>
    <w:pPr>
      <w:ind w:left="720"/>
      <w:contextualSpacing/>
    </w:pPr>
  </w:style>
  <w:style w:type="table" w:styleId="TableGrid">
    <w:name w:val="Table Grid"/>
    <w:basedOn w:val="TableNormal"/>
    <w:uiPriority w:val="39"/>
    <w:rsid w:val="00EE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EE619D"/>
    <w:rPr>
      <w:sz w:val="20"/>
      <w:szCs w:val="20"/>
    </w:rPr>
  </w:style>
  <w:style w:type="character" w:customStyle="1" w:styleId="FootnoteTextChar">
    <w:name w:val="Footnote Text Char"/>
    <w:basedOn w:val="DefaultParagraphFont"/>
    <w:link w:val="FootnoteText"/>
    <w:uiPriority w:val="99"/>
    <w:rsid w:val="00EE619D"/>
    <w:rPr>
      <w:rFonts w:ascii="Times LatArm" w:eastAsia="Times New Roman" w:hAnsi="Times LatArm" w:cs="Times New Roman"/>
      <w:sz w:val="20"/>
      <w:szCs w:val="20"/>
    </w:rPr>
  </w:style>
  <w:style w:type="character" w:styleId="FootnoteReference">
    <w:name w:val="footnote reference"/>
    <w:basedOn w:val="DefaultParagraphFont"/>
    <w:uiPriority w:val="99"/>
    <w:unhideWhenUsed/>
    <w:rsid w:val="00EE619D"/>
    <w:rPr>
      <w:vertAlign w:val="superscript"/>
    </w:rPr>
  </w:style>
  <w:style w:type="character" w:customStyle="1" w:styleId="Heading1Char">
    <w:name w:val="Heading 1 Char"/>
    <w:basedOn w:val="DefaultParagraphFont"/>
    <w:link w:val="Heading1"/>
    <w:rsid w:val="00F40F99"/>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F40F99"/>
    <w:rPr>
      <w:rFonts w:ascii="Times Armenian" w:eastAsia="Times New Roman" w:hAnsi="Times Armenian" w:cs="Arial"/>
      <w:i/>
      <w:iCs/>
      <w:color w:val="000000"/>
      <w:sz w:val="24"/>
      <w:szCs w:val="20"/>
      <w:lang w:val="hy-AM"/>
    </w:rPr>
  </w:style>
  <w:style w:type="character" w:customStyle="1" w:styleId="Heading7Char">
    <w:name w:val="Heading 7 Char"/>
    <w:basedOn w:val="DefaultParagraphFont"/>
    <w:link w:val="Heading7"/>
    <w:rsid w:val="00F40F99"/>
    <w:rPr>
      <w:rFonts w:ascii="Arial Armenian" w:eastAsia="Times New Roman" w:hAnsi="Arial Armenian" w:cs="Times New Roman"/>
      <w:b/>
      <w:spacing w:val="40"/>
      <w:szCs w:val="23"/>
    </w:rPr>
  </w:style>
  <w:style w:type="character" w:customStyle="1" w:styleId="FootnoteTextChar2">
    <w:name w:val="Footnote Text Char2"/>
    <w:semiHidden/>
    <w:rsid w:val="00F40F99"/>
    <w:rPr>
      <w:rFonts w:ascii="Times Armenian" w:hAnsi="Times Armenian"/>
      <w:lang w:val="en-US" w:eastAsia="en-US" w:bidi="ar-SA"/>
    </w:rPr>
  </w:style>
  <w:style w:type="character" w:styleId="Hyperlink">
    <w:name w:val="Hyperlink"/>
    <w:rsid w:val="00F40F99"/>
    <w:rPr>
      <w:color w:val="0000FF"/>
      <w:u w:val="single"/>
    </w:rPr>
  </w:style>
  <w:style w:type="paragraph" w:styleId="Header">
    <w:name w:val="header"/>
    <w:aliases w:val="hd"/>
    <w:basedOn w:val="Normal"/>
    <w:link w:val="HeaderChar"/>
    <w:uiPriority w:val="99"/>
    <w:unhideWhenUsed/>
    <w:rsid w:val="00F40F99"/>
    <w:pPr>
      <w:tabs>
        <w:tab w:val="center" w:pos="4680"/>
        <w:tab w:val="right" w:pos="9360"/>
      </w:tabs>
    </w:pPr>
  </w:style>
  <w:style w:type="character" w:customStyle="1" w:styleId="HeaderChar">
    <w:name w:val="Header Char"/>
    <w:aliases w:val="hd Char"/>
    <w:basedOn w:val="DefaultParagraphFont"/>
    <w:link w:val="Header"/>
    <w:uiPriority w:val="99"/>
    <w:rsid w:val="00F40F99"/>
    <w:rPr>
      <w:rFonts w:ascii="Times LatArm" w:eastAsia="Times New Roman" w:hAnsi="Times LatArm" w:cs="Times New Roman"/>
      <w:sz w:val="24"/>
      <w:szCs w:val="24"/>
    </w:rPr>
  </w:style>
  <w:style w:type="paragraph" w:styleId="Footer">
    <w:name w:val="footer"/>
    <w:basedOn w:val="Normal"/>
    <w:link w:val="FooterChar"/>
    <w:uiPriority w:val="99"/>
    <w:unhideWhenUsed/>
    <w:rsid w:val="00F40F99"/>
    <w:pPr>
      <w:tabs>
        <w:tab w:val="center" w:pos="4680"/>
        <w:tab w:val="right" w:pos="9360"/>
      </w:tabs>
    </w:pPr>
  </w:style>
  <w:style w:type="character" w:customStyle="1" w:styleId="FooterChar">
    <w:name w:val="Footer Char"/>
    <w:basedOn w:val="DefaultParagraphFont"/>
    <w:link w:val="Footer"/>
    <w:uiPriority w:val="99"/>
    <w:rsid w:val="00F40F99"/>
    <w:rPr>
      <w:rFonts w:ascii="Times LatArm" w:eastAsia="Times New Roman" w:hAnsi="Times LatArm" w:cs="Times New Roman"/>
      <w:sz w:val="24"/>
      <w:szCs w:val="24"/>
    </w:rPr>
  </w:style>
  <w:style w:type="character" w:customStyle="1" w:styleId="apple-converted-space">
    <w:name w:val="apple-converted-space"/>
    <w:basedOn w:val="DefaultParagraphFont"/>
    <w:rsid w:val="00F40F99"/>
  </w:style>
  <w:style w:type="paragraph" w:styleId="BodyText">
    <w:name w:val="Body Text"/>
    <w:basedOn w:val="Normal"/>
    <w:link w:val="BodyTextChar"/>
    <w:uiPriority w:val="99"/>
    <w:unhideWhenUsed/>
    <w:rsid w:val="00F40F99"/>
    <w:pPr>
      <w:spacing w:after="120" w:line="276" w:lineRule="auto"/>
    </w:pPr>
    <w:rPr>
      <w:rFonts w:ascii="GHEA Grapalat" w:eastAsia="Calibri" w:hAnsi="GHEA Grapalat"/>
      <w:sz w:val="22"/>
      <w:szCs w:val="22"/>
    </w:rPr>
  </w:style>
  <w:style w:type="character" w:customStyle="1" w:styleId="BodyTextChar">
    <w:name w:val="Body Text Char"/>
    <w:basedOn w:val="DefaultParagraphFont"/>
    <w:link w:val="BodyText"/>
    <w:uiPriority w:val="99"/>
    <w:rsid w:val="00F40F99"/>
    <w:rPr>
      <w:rFonts w:eastAsia="Calibri" w:cs="Times New Roman"/>
    </w:rPr>
  </w:style>
  <w:style w:type="character" w:customStyle="1" w:styleId="Heading5Char">
    <w:name w:val="Heading 5 Char"/>
    <w:basedOn w:val="DefaultParagraphFont"/>
    <w:link w:val="Heading5"/>
    <w:uiPriority w:val="9"/>
    <w:rsid w:val="00C00B89"/>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07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7F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D5120-B8FD-4DE1-AAA2-1834EF6FA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25</Pages>
  <Words>9139</Words>
  <Characters>52094</Characters>
  <Application>Microsoft Office Word</Application>
  <DocSecurity>0</DocSecurity>
  <Lines>434</Lines>
  <Paragraphs>122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Սուսաննա Քարտաշյան</cp:lastModifiedBy>
  <cp:revision>10</cp:revision>
  <dcterms:created xsi:type="dcterms:W3CDTF">2019-04-05T05:36:00Z</dcterms:created>
  <dcterms:modified xsi:type="dcterms:W3CDTF">2024-02-02T13:37:00Z</dcterms:modified>
</cp:coreProperties>
</file>