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A6A55" w14:textId="77777777" w:rsidR="00C00B89" w:rsidRPr="00565F75" w:rsidRDefault="00C00B89" w:rsidP="00C00B89">
      <w:pPr>
        <w:pStyle w:val="Heading1"/>
        <w:spacing w:line="312" w:lineRule="auto"/>
        <w:ind w:right="-3969" w:firstLine="4536"/>
        <w:jc w:val="right"/>
        <w:rPr>
          <w:rFonts w:ascii="Garamond" w:hAnsi="Garamond" w:cs="Sylfaen"/>
          <w:color w:val="1F497D" w:themeColor="text2"/>
          <w:spacing w:val="20"/>
          <w:w w:val="110"/>
          <w:sz w:val="24"/>
          <w:szCs w:val="22"/>
          <w:u w:val="none"/>
          <w:lang w:val="en-US"/>
        </w:rPr>
      </w:pPr>
      <w:r w:rsidRPr="00565F75">
        <w:rPr>
          <w:rFonts w:ascii="Garamond" w:hAnsi="Garamond" w:cs="Sylfaen"/>
          <w:color w:val="1F497D" w:themeColor="text2"/>
          <w:spacing w:val="20"/>
          <w:w w:val="110"/>
          <w:sz w:val="24"/>
          <w:szCs w:val="22"/>
          <w:u w:val="none"/>
          <w:lang w:val="en-US"/>
        </w:rPr>
        <w:t xml:space="preserve"> CENTRAL BANK </w:t>
      </w:r>
    </w:p>
    <w:p w14:paraId="64BE1173" w14:textId="77777777" w:rsidR="003D1442" w:rsidRPr="00565F75" w:rsidRDefault="009C5100" w:rsidP="00C00B89">
      <w:pPr>
        <w:autoSpaceDE w:val="0"/>
        <w:autoSpaceDN w:val="0"/>
        <w:adjustRightInd w:val="0"/>
        <w:spacing w:after="120" w:line="360" w:lineRule="auto"/>
        <w:jc w:val="right"/>
        <w:rPr>
          <w:rFonts w:ascii="Garamond" w:hAnsi="Garamond" w:cs="Sylfaen"/>
          <w:b/>
          <w:color w:val="1F497D" w:themeColor="text2"/>
          <w:spacing w:val="20"/>
          <w:w w:val="110"/>
          <w:szCs w:val="22"/>
        </w:rPr>
      </w:pPr>
      <w:r>
        <w:rPr>
          <w:rFonts w:ascii="Garamond" w:hAnsi="Garamond" w:cs="Sylfaen"/>
          <w:b/>
          <w:color w:val="1F497D" w:themeColor="text2"/>
          <w:spacing w:val="20"/>
          <w:w w:val="110"/>
          <w:szCs w:val="22"/>
        </w:rPr>
        <w:t>T</w:t>
      </w:r>
      <w:r w:rsidR="00C00B89" w:rsidRPr="00565F75">
        <w:rPr>
          <w:rFonts w:ascii="Garamond" w:hAnsi="Garamond" w:cs="Sylfaen"/>
          <w:b/>
          <w:color w:val="1F497D" w:themeColor="text2"/>
          <w:spacing w:val="20"/>
          <w:w w:val="110"/>
          <w:szCs w:val="22"/>
        </w:rPr>
        <w:t>HE CENTRAL BANK OF THE REPUBLIC OF ARMENIA</w:t>
      </w:r>
    </w:p>
    <w:p w14:paraId="6AB0490F" w14:textId="77777777" w:rsidR="00AE73E6" w:rsidRDefault="00C00B89" w:rsidP="00C00B89">
      <w:pPr>
        <w:autoSpaceDE w:val="0"/>
        <w:autoSpaceDN w:val="0"/>
        <w:adjustRightInd w:val="0"/>
        <w:spacing w:after="120" w:line="360" w:lineRule="auto"/>
        <w:jc w:val="right"/>
        <w:rPr>
          <w:rFonts w:ascii="Garamond" w:hAnsi="Garamond" w:cs="Sylfaen"/>
          <w:b/>
          <w:i/>
          <w:color w:val="002060"/>
          <w:spacing w:val="4"/>
          <w:w w:val="110"/>
          <w:szCs w:val="22"/>
        </w:rPr>
      </w:pPr>
      <w:r w:rsidRPr="00565F75">
        <w:rPr>
          <w:rFonts w:ascii="Garamond" w:hAnsi="Garamond" w:cs="Sylfaen"/>
          <w:b/>
          <w:i/>
          <w:color w:val="002060"/>
          <w:spacing w:val="4"/>
          <w:w w:val="110"/>
          <w:szCs w:val="22"/>
        </w:rPr>
        <w:t xml:space="preserve">Approved under the Central Bank Board </w:t>
      </w:r>
    </w:p>
    <w:p w14:paraId="07EFADF4" w14:textId="77777777" w:rsidR="00C00B89" w:rsidRPr="00565F75" w:rsidRDefault="00C00B89" w:rsidP="00C00B89">
      <w:pPr>
        <w:autoSpaceDE w:val="0"/>
        <w:autoSpaceDN w:val="0"/>
        <w:adjustRightInd w:val="0"/>
        <w:spacing w:after="120" w:line="360" w:lineRule="auto"/>
        <w:jc w:val="right"/>
        <w:rPr>
          <w:rFonts w:ascii="Garamond" w:hAnsi="Garamond"/>
          <w:b/>
          <w:color w:val="0070C0"/>
          <w:szCs w:val="22"/>
        </w:rPr>
      </w:pPr>
      <w:r w:rsidRPr="00565F75">
        <w:rPr>
          <w:rFonts w:ascii="Garamond" w:hAnsi="Garamond" w:cs="Sylfaen"/>
          <w:b/>
          <w:i/>
          <w:color w:val="002060"/>
          <w:spacing w:val="4"/>
          <w:w w:val="110"/>
          <w:szCs w:val="22"/>
        </w:rPr>
        <w:t xml:space="preserve">Resolution No. </w:t>
      </w:r>
      <w:r w:rsidR="003B11A6">
        <w:rPr>
          <w:rFonts w:ascii="Garamond" w:hAnsi="Garamond" w:cs="Sylfaen"/>
          <w:b/>
          <w:i/>
          <w:color w:val="002060"/>
          <w:spacing w:val="4"/>
          <w:w w:val="110"/>
          <w:szCs w:val="22"/>
        </w:rPr>
        <w:t>85</w:t>
      </w:r>
      <w:r w:rsidRPr="00565F75">
        <w:rPr>
          <w:rFonts w:ascii="Garamond" w:hAnsi="Garamond" w:cs="Sylfaen"/>
          <w:b/>
          <w:i/>
          <w:color w:val="002060"/>
          <w:spacing w:val="4"/>
          <w:w w:val="110"/>
          <w:szCs w:val="22"/>
        </w:rPr>
        <w:t xml:space="preserve">A, dated </w:t>
      </w:r>
      <w:r w:rsidR="003B11A6">
        <w:rPr>
          <w:rFonts w:ascii="Garamond" w:hAnsi="Garamond" w:cs="Sylfaen"/>
          <w:b/>
          <w:i/>
          <w:color w:val="002060"/>
          <w:spacing w:val="4"/>
          <w:w w:val="110"/>
          <w:szCs w:val="22"/>
        </w:rPr>
        <w:t>June</w:t>
      </w:r>
      <w:r w:rsidRPr="00565F75">
        <w:rPr>
          <w:rFonts w:ascii="Garamond" w:hAnsi="Garamond" w:cs="Sylfaen"/>
          <w:b/>
          <w:i/>
          <w:color w:val="002060"/>
          <w:spacing w:val="4"/>
          <w:w w:val="110"/>
          <w:szCs w:val="22"/>
        </w:rPr>
        <w:t xml:space="preserve"> 2</w:t>
      </w:r>
      <w:r w:rsidR="003B11A6">
        <w:rPr>
          <w:rFonts w:ascii="Garamond" w:hAnsi="Garamond" w:cs="Sylfaen"/>
          <w:b/>
          <w:i/>
          <w:color w:val="002060"/>
          <w:spacing w:val="4"/>
          <w:w w:val="110"/>
          <w:szCs w:val="22"/>
        </w:rPr>
        <w:t>1</w:t>
      </w:r>
      <w:r w:rsidRPr="00565F75">
        <w:rPr>
          <w:rFonts w:ascii="Garamond" w:hAnsi="Garamond" w:cs="Sylfaen"/>
          <w:b/>
          <w:i/>
          <w:color w:val="002060"/>
          <w:spacing w:val="4"/>
          <w:w w:val="110"/>
          <w:szCs w:val="22"/>
        </w:rPr>
        <w:t>, 201</w:t>
      </w:r>
      <w:r w:rsidR="00276D6F">
        <w:rPr>
          <w:rFonts w:ascii="Garamond" w:hAnsi="Garamond" w:cs="Sylfaen"/>
          <w:b/>
          <w:i/>
          <w:color w:val="002060"/>
          <w:spacing w:val="4"/>
          <w:w w:val="110"/>
          <w:szCs w:val="22"/>
        </w:rPr>
        <w:t>9</w:t>
      </w:r>
    </w:p>
    <w:p w14:paraId="10F11387" w14:textId="77777777" w:rsidR="00C00B89" w:rsidRPr="00565F75" w:rsidRDefault="00C00B89" w:rsidP="00EE619D">
      <w:pPr>
        <w:autoSpaceDE w:val="0"/>
        <w:autoSpaceDN w:val="0"/>
        <w:adjustRightInd w:val="0"/>
        <w:spacing w:after="120" w:line="360" w:lineRule="auto"/>
        <w:jc w:val="both"/>
        <w:rPr>
          <w:rFonts w:ascii="Garamond" w:hAnsi="Garamond"/>
          <w:b/>
          <w:color w:val="0070C0"/>
          <w:szCs w:val="22"/>
        </w:rPr>
      </w:pPr>
    </w:p>
    <w:p w14:paraId="0B86EA21" w14:textId="77777777" w:rsidR="00C00B89" w:rsidRPr="00565F75" w:rsidRDefault="00C00B89" w:rsidP="00C00B89">
      <w:pPr>
        <w:autoSpaceDE w:val="0"/>
        <w:autoSpaceDN w:val="0"/>
        <w:adjustRightInd w:val="0"/>
        <w:spacing w:after="120" w:line="360" w:lineRule="auto"/>
        <w:jc w:val="right"/>
        <w:rPr>
          <w:rFonts w:ascii="Garamond" w:hAnsi="Garamond"/>
          <w:b/>
          <w:color w:val="1F497D" w:themeColor="text2"/>
          <w:spacing w:val="40"/>
          <w:w w:val="110"/>
          <w:szCs w:val="22"/>
        </w:rPr>
      </w:pPr>
      <w:r w:rsidRPr="00565F75">
        <w:rPr>
          <w:rFonts w:ascii="Garamond" w:hAnsi="Garamond"/>
          <w:b/>
          <w:color w:val="1F497D" w:themeColor="text2"/>
          <w:spacing w:val="40"/>
          <w:w w:val="110"/>
          <w:szCs w:val="22"/>
        </w:rPr>
        <w:t>Inflation Report</w:t>
      </w:r>
    </w:p>
    <w:p w14:paraId="51D09D6C" w14:textId="77777777" w:rsidR="00C00B89" w:rsidRPr="00565F75" w:rsidRDefault="00C00B89" w:rsidP="00EE619D">
      <w:pPr>
        <w:autoSpaceDE w:val="0"/>
        <w:autoSpaceDN w:val="0"/>
        <w:adjustRightInd w:val="0"/>
        <w:spacing w:after="120" w:line="360" w:lineRule="auto"/>
        <w:jc w:val="both"/>
        <w:rPr>
          <w:rFonts w:ascii="Garamond" w:hAnsi="Garamond"/>
          <w:b/>
          <w:color w:val="1F497D" w:themeColor="text2"/>
          <w:spacing w:val="40"/>
          <w:w w:val="110"/>
          <w:szCs w:val="22"/>
        </w:rPr>
      </w:pPr>
    </w:p>
    <w:p w14:paraId="4B34233B" w14:textId="77777777" w:rsidR="00C00B89" w:rsidRPr="00565F75" w:rsidRDefault="00C00B89" w:rsidP="00C00B89">
      <w:pPr>
        <w:autoSpaceDE w:val="0"/>
        <w:autoSpaceDN w:val="0"/>
        <w:adjustRightInd w:val="0"/>
        <w:spacing w:after="120" w:line="360" w:lineRule="auto"/>
        <w:jc w:val="right"/>
        <w:rPr>
          <w:rFonts w:ascii="Garamond" w:hAnsi="Garamond"/>
          <w:b/>
          <w:color w:val="1F497D" w:themeColor="text2"/>
          <w:szCs w:val="22"/>
        </w:rPr>
      </w:pPr>
      <w:r w:rsidRPr="00565F75">
        <w:rPr>
          <w:rFonts w:ascii="Garamond" w:hAnsi="Garamond"/>
          <w:b/>
          <w:color w:val="1F497D" w:themeColor="text2"/>
          <w:szCs w:val="22"/>
        </w:rPr>
        <w:t>Monetary Policy Program, Q</w:t>
      </w:r>
      <w:r w:rsidR="003B11A6">
        <w:rPr>
          <w:rFonts w:ascii="Garamond" w:hAnsi="Garamond"/>
          <w:b/>
          <w:color w:val="1F497D" w:themeColor="text2"/>
          <w:szCs w:val="22"/>
        </w:rPr>
        <w:t>2</w:t>
      </w:r>
      <w:r w:rsidRPr="00565F75">
        <w:rPr>
          <w:rFonts w:ascii="Garamond" w:hAnsi="Garamond"/>
          <w:b/>
          <w:color w:val="1F497D" w:themeColor="text2"/>
          <w:szCs w:val="22"/>
        </w:rPr>
        <w:t>, 201</w:t>
      </w:r>
      <w:r w:rsidR="00276D6F">
        <w:rPr>
          <w:rFonts w:ascii="Garamond" w:hAnsi="Garamond"/>
          <w:b/>
          <w:color w:val="1F497D" w:themeColor="text2"/>
          <w:szCs w:val="22"/>
        </w:rPr>
        <w:t>9</w:t>
      </w:r>
    </w:p>
    <w:p w14:paraId="2A3876F6" w14:textId="77777777" w:rsidR="00C00B89" w:rsidRPr="00565F75" w:rsidRDefault="00C00B89" w:rsidP="00C00B89">
      <w:pPr>
        <w:autoSpaceDE w:val="0"/>
        <w:autoSpaceDN w:val="0"/>
        <w:adjustRightInd w:val="0"/>
        <w:spacing w:after="120" w:line="360" w:lineRule="auto"/>
        <w:jc w:val="right"/>
        <w:rPr>
          <w:rFonts w:ascii="Garamond" w:hAnsi="Garamond" w:cs="Sylfaen"/>
          <w:b/>
          <w:color w:val="1F497D" w:themeColor="text2"/>
          <w:szCs w:val="22"/>
        </w:rPr>
      </w:pPr>
      <w:r w:rsidRPr="00565F75">
        <w:rPr>
          <w:rFonts w:ascii="Garamond" w:hAnsi="Garamond" w:cs="Sylfaen"/>
          <w:b/>
          <w:color w:val="1F497D" w:themeColor="text2"/>
          <w:szCs w:val="22"/>
          <w:lang w:val="hy-AM"/>
        </w:rPr>
        <w:sym w:font="Wingdings 2" w:char="F0E7"/>
      </w:r>
    </w:p>
    <w:p w14:paraId="53387DC1" w14:textId="77777777" w:rsidR="00C00B89" w:rsidRPr="00565F75" w:rsidRDefault="00C00B89" w:rsidP="00C00B89">
      <w:pPr>
        <w:autoSpaceDE w:val="0"/>
        <w:autoSpaceDN w:val="0"/>
        <w:adjustRightInd w:val="0"/>
        <w:spacing w:after="120" w:line="360" w:lineRule="auto"/>
        <w:jc w:val="right"/>
        <w:rPr>
          <w:rFonts w:ascii="Garamond" w:hAnsi="Garamond"/>
          <w:b/>
          <w:color w:val="0070C0"/>
          <w:szCs w:val="22"/>
        </w:rPr>
      </w:pPr>
      <w:r w:rsidRPr="00565F75">
        <w:rPr>
          <w:rFonts w:ascii="Garamond" w:hAnsi="Garamond"/>
          <w:b/>
          <w:color w:val="1F497D" w:themeColor="text2"/>
          <w:szCs w:val="22"/>
        </w:rPr>
        <w:t>Status Report on Implementation of the Monetary Policy Program, Q</w:t>
      </w:r>
      <w:r w:rsidR="003B11A6">
        <w:rPr>
          <w:rFonts w:ascii="Garamond" w:hAnsi="Garamond"/>
          <w:b/>
          <w:color w:val="1F497D" w:themeColor="text2"/>
          <w:szCs w:val="22"/>
        </w:rPr>
        <w:t>1</w:t>
      </w:r>
      <w:r w:rsidRPr="00565F75">
        <w:rPr>
          <w:rFonts w:ascii="Garamond" w:hAnsi="Garamond"/>
          <w:b/>
          <w:color w:val="1F497D" w:themeColor="text2"/>
          <w:szCs w:val="22"/>
        </w:rPr>
        <w:t>, 201</w:t>
      </w:r>
      <w:r w:rsidR="003B11A6">
        <w:rPr>
          <w:rFonts w:ascii="Garamond" w:hAnsi="Garamond"/>
          <w:b/>
          <w:color w:val="1F497D" w:themeColor="text2"/>
          <w:szCs w:val="22"/>
        </w:rPr>
        <w:t>9</w:t>
      </w:r>
    </w:p>
    <w:p w14:paraId="393D2C68" w14:textId="77777777" w:rsidR="00C00B89" w:rsidRPr="00EE5F0F" w:rsidRDefault="00C00B89" w:rsidP="00EE619D">
      <w:pPr>
        <w:autoSpaceDE w:val="0"/>
        <w:autoSpaceDN w:val="0"/>
        <w:adjustRightInd w:val="0"/>
        <w:spacing w:after="120" w:line="360" w:lineRule="auto"/>
        <w:jc w:val="both"/>
        <w:rPr>
          <w:rFonts w:ascii="Garamond" w:hAnsi="Garamond"/>
          <w:b/>
          <w:color w:val="0070C0"/>
          <w:sz w:val="22"/>
          <w:szCs w:val="22"/>
        </w:rPr>
      </w:pPr>
    </w:p>
    <w:p w14:paraId="7ADD5CB5" w14:textId="77777777" w:rsidR="00C00B89" w:rsidRPr="00EE5F0F" w:rsidRDefault="00C00B89" w:rsidP="00565F75">
      <w:pPr>
        <w:autoSpaceDE w:val="0"/>
        <w:autoSpaceDN w:val="0"/>
        <w:adjustRightInd w:val="0"/>
        <w:spacing w:after="120" w:line="280" w:lineRule="atLeast"/>
        <w:jc w:val="center"/>
        <w:rPr>
          <w:rFonts w:ascii="Garamond" w:hAnsi="Garamond" w:cs="Sylfaen"/>
          <w:i/>
          <w:sz w:val="22"/>
          <w:szCs w:val="22"/>
          <w:lang w:val="hy-AM"/>
        </w:rPr>
      </w:pPr>
      <w:r w:rsidRPr="00EE5F0F">
        <w:rPr>
          <w:rFonts w:ascii="Garamond" w:hAnsi="Garamond" w:cs="Sylfaen"/>
          <w:i/>
          <w:sz w:val="22"/>
          <w:szCs w:val="22"/>
          <w:lang w:val="hy-AM"/>
        </w:rPr>
        <w:t>The inflation targeting strategy of the Central Bank of Armenia highlights the importance of communicating of the Bank to the general public by publishing, inter alia, quarterly inflation reports.</w:t>
      </w:r>
    </w:p>
    <w:p w14:paraId="193A7E2C" w14:textId="77777777" w:rsidR="00C00B89" w:rsidRPr="00EE5F0F" w:rsidRDefault="00C00B89" w:rsidP="00565F75">
      <w:pPr>
        <w:autoSpaceDE w:val="0"/>
        <w:autoSpaceDN w:val="0"/>
        <w:adjustRightInd w:val="0"/>
        <w:spacing w:after="120" w:line="280" w:lineRule="atLeast"/>
        <w:jc w:val="center"/>
        <w:rPr>
          <w:rFonts w:ascii="Garamond" w:hAnsi="Garamond" w:cs="Sylfaen"/>
          <w:i/>
          <w:sz w:val="22"/>
          <w:szCs w:val="22"/>
          <w:lang w:val="hy-AM"/>
        </w:rPr>
      </w:pPr>
      <w:r w:rsidRPr="00EE5F0F">
        <w:rPr>
          <w:rFonts w:ascii="Garamond" w:hAnsi="Garamond" w:cs="Sylfaen"/>
          <w:i/>
          <w:sz w:val="22"/>
          <w:szCs w:val="22"/>
          <w:lang w:val="hy-AM"/>
        </w:rPr>
        <w:t>The first section of the inflation report includes the Monetary Policy Program that provides main directions of the monetary policy in the forecast horizon as well as forecasts of inflation and other macroeconomic indicators. These forecasts are based on the Bank’s assessment of the current situation and future assumptions by the Bank, which also include the impact of the Bank operations.</w:t>
      </w:r>
    </w:p>
    <w:p w14:paraId="74071F8B" w14:textId="77777777" w:rsidR="00C00B89" w:rsidRPr="00EE5F0F" w:rsidRDefault="00C00B89" w:rsidP="00565F75">
      <w:pPr>
        <w:autoSpaceDE w:val="0"/>
        <w:autoSpaceDN w:val="0"/>
        <w:adjustRightInd w:val="0"/>
        <w:spacing w:after="120" w:line="280" w:lineRule="atLeast"/>
        <w:jc w:val="center"/>
        <w:rPr>
          <w:rFonts w:ascii="Garamond" w:hAnsi="Garamond" w:cs="Sylfaen"/>
          <w:i/>
          <w:sz w:val="22"/>
          <w:szCs w:val="22"/>
          <w:lang w:val="hy-AM"/>
        </w:rPr>
      </w:pPr>
      <w:r w:rsidRPr="00EE5F0F">
        <w:rPr>
          <w:rFonts w:ascii="Garamond" w:hAnsi="Garamond" w:cs="Sylfaen"/>
          <w:i/>
          <w:sz w:val="22"/>
          <w:szCs w:val="22"/>
          <w:lang w:val="hy-AM"/>
        </w:rPr>
        <w:t>The second section includes status report on implementation of the monetary policy program of the previous quarter, which presents the results of monetary policy implementation and covers the actual developments in the domestic economy.</w:t>
      </w:r>
    </w:p>
    <w:p w14:paraId="5052153A" w14:textId="77777777" w:rsidR="00C00B89" w:rsidRPr="00EE5F0F" w:rsidRDefault="00C00B89" w:rsidP="00565F75">
      <w:pPr>
        <w:autoSpaceDE w:val="0"/>
        <w:autoSpaceDN w:val="0"/>
        <w:adjustRightInd w:val="0"/>
        <w:spacing w:after="120" w:line="280" w:lineRule="atLeast"/>
        <w:jc w:val="center"/>
        <w:rPr>
          <w:rFonts w:ascii="Garamond" w:hAnsi="Garamond" w:cs="Sylfaen"/>
          <w:i/>
          <w:sz w:val="22"/>
          <w:szCs w:val="22"/>
          <w:lang w:val="hy-AM"/>
        </w:rPr>
      </w:pPr>
      <w:r w:rsidRPr="00EE5F0F">
        <w:rPr>
          <w:rFonts w:ascii="Garamond" w:hAnsi="Garamond" w:cs="Sylfaen"/>
          <w:i/>
          <w:sz w:val="22"/>
          <w:szCs w:val="22"/>
          <w:lang w:val="hy-AM"/>
        </w:rPr>
        <w:t>Publishing of inflation forecast and assumptions underlying it makes the monetary policy of the Bank more transparent, understandable and predictable, which considerably increases the public confidence in the Bank. The Bank believes that a clear and trusted monetary policy positively affects the anchoring of inflation expectations and maintaining financial stability in terms of cost reduction.</w:t>
      </w:r>
    </w:p>
    <w:p w14:paraId="7805241D" w14:textId="77777777" w:rsidR="00C00B89" w:rsidRPr="00EE5F0F" w:rsidRDefault="00C00B89" w:rsidP="00565F75">
      <w:pPr>
        <w:autoSpaceDE w:val="0"/>
        <w:autoSpaceDN w:val="0"/>
        <w:adjustRightInd w:val="0"/>
        <w:spacing w:after="120" w:line="280" w:lineRule="atLeast"/>
        <w:jc w:val="center"/>
        <w:rPr>
          <w:rFonts w:ascii="Garamond" w:hAnsi="Garamond" w:cs="Sylfaen"/>
          <w:i/>
          <w:sz w:val="22"/>
          <w:szCs w:val="22"/>
          <w:lang w:val="hy-AM"/>
        </w:rPr>
      </w:pPr>
      <w:r w:rsidRPr="00EE5F0F">
        <w:rPr>
          <w:rFonts w:ascii="Garamond" w:hAnsi="Garamond" w:cs="Sylfaen"/>
          <w:i/>
          <w:sz w:val="22"/>
          <w:szCs w:val="22"/>
          <w:lang w:val="hy-AM"/>
        </w:rPr>
        <w:t>According to the rule of monetary policy, the policy is aimed at minimizing the deviations between the 4% target and the inflation forecasts. The path to inflation rate shaped as a result of projected policy directions is published as a forecast probability distribution chart for the 12-quarter time horizon.</w:t>
      </w:r>
    </w:p>
    <w:p w14:paraId="784768C3" w14:textId="77777777" w:rsidR="00C00B89" w:rsidRPr="00EE5F0F" w:rsidRDefault="00C00B89" w:rsidP="00565F75">
      <w:pPr>
        <w:autoSpaceDE w:val="0"/>
        <w:autoSpaceDN w:val="0"/>
        <w:adjustRightInd w:val="0"/>
        <w:spacing w:after="120" w:line="280" w:lineRule="atLeast"/>
        <w:jc w:val="center"/>
        <w:rPr>
          <w:rFonts w:ascii="Garamond" w:hAnsi="Garamond" w:cs="Sylfaen"/>
          <w:i/>
          <w:sz w:val="22"/>
          <w:szCs w:val="22"/>
          <w:lang w:val="hy-AM"/>
        </w:rPr>
      </w:pPr>
      <w:r w:rsidRPr="00EE5F0F">
        <w:rPr>
          <w:rFonts w:ascii="Garamond" w:hAnsi="Garamond" w:cs="Sylfaen"/>
          <w:i/>
          <w:sz w:val="22"/>
          <w:szCs w:val="22"/>
          <w:lang w:val="hy-AM"/>
        </w:rPr>
        <w:t xml:space="preserve">Projections in this report are based on the actual information available by </w:t>
      </w:r>
      <w:r w:rsidR="003B11A6">
        <w:rPr>
          <w:rFonts w:ascii="Garamond" w:hAnsi="Garamond" w:cs="Sylfaen"/>
          <w:i/>
          <w:sz w:val="22"/>
          <w:szCs w:val="22"/>
        </w:rPr>
        <w:t>June</w:t>
      </w:r>
      <w:r w:rsidRPr="00EE5F0F">
        <w:rPr>
          <w:rFonts w:ascii="Garamond" w:hAnsi="Garamond" w:cs="Sylfaen"/>
          <w:i/>
          <w:sz w:val="22"/>
          <w:szCs w:val="22"/>
          <w:lang w:val="hy-AM"/>
        </w:rPr>
        <w:t xml:space="preserve"> 1</w:t>
      </w:r>
      <w:r w:rsidR="003B11A6">
        <w:rPr>
          <w:rFonts w:ascii="Garamond" w:hAnsi="Garamond" w:cs="Sylfaen"/>
          <w:i/>
          <w:sz w:val="22"/>
          <w:szCs w:val="22"/>
        </w:rPr>
        <w:t>1</w:t>
      </w:r>
      <w:r w:rsidRPr="00EE5F0F">
        <w:rPr>
          <w:rFonts w:ascii="Garamond" w:hAnsi="Garamond" w:cs="Sylfaen"/>
          <w:i/>
          <w:sz w:val="22"/>
          <w:szCs w:val="22"/>
          <w:lang w:val="hy-AM"/>
        </w:rPr>
        <w:t>, 201</w:t>
      </w:r>
      <w:r w:rsidR="00276D6F">
        <w:rPr>
          <w:rFonts w:ascii="Garamond" w:hAnsi="Garamond" w:cs="Sylfaen"/>
          <w:i/>
          <w:sz w:val="22"/>
          <w:szCs w:val="22"/>
        </w:rPr>
        <w:t>9</w:t>
      </w:r>
      <w:r w:rsidRPr="00EE5F0F">
        <w:rPr>
          <w:rFonts w:ascii="Garamond" w:hAnsi="Garamond" w:cs="Sylfaen"/>
          <w:i/>
          <w:sz w:val="22"/>
          <w:szCs w:val="22"/>
          <w:lang w:val="hy-AM"/>
        </w:rPr>
        <w:t>, i.e. the day on which the refinancing rate was set, the results of a survey conducted by the Bank and the judgment made pursuant to the information on future developments of the macroeconomic environment.</w:t>
      </w:r>
    </w:p>
    <w:p w14:paraId="668B0756" w14:textId="77777777" w:rsidR="00C00B89" w:rsidRPr="00EE5F0F" w:rsidRDefault="00C00B89" w:rsidP="00565F75">
      <w:pPr>
        <w:autoSpaceDE w:val="0"/>
        <w:autoSpaceDN w:val="0"/>
        <w:adjustRightInd w:val="0"/>
        <w:spacing w:after="120" w:line="360" w:lineRule="auto"/>
        <w:jc w:val="center"/>
        <w:rPr>
          <w:rFonts w:ascii="Garamond" w:hAnsi="Garamond"/>
          <w:b/>
          <w:color w:val="0070C0"/>
          <w:sz w:val="22"/>
          <w:szCs w:val="22"/>
        </w:rPr>
      </w:pPr>
      <w:r w:rsidRPr="00EE5F0F">
        <w:rPr>
          <w:rFonts w:ascii="Garamond" w:hAnsi="Garamond" w:cs="Sylfaen"/>
          <w:i/>
          <w:sz w:val="22"/>
          <w:szCs w:val="22"/>
          <w:lang w:val="hy-AM"/>
        </w:rPr>
        <w:t xml:space="preserve">All inflation reports which have been published to date are available on the Bank’s website </w:t>
      </w:r>
      <w:r w:rsidR="003B11A6">
        <w:rPr>
          <w:rFonts w:ascii="Garamond" w:hAnsi="Garamond" w:cs="Sylfaen"/>
          <w:i/>
          <w:sz w:val="22"/>
          <w:szCs w:val="22"/>
        </w:rPr>
        <w:t xml:space="preserve">(www.cba.am) </w:t>
      </w:r>
      <w:r w:rsidRPr="00EE5F0F">
        <w:rPr>
          <w:rFonts w:ascii="Garamond" w:hAnsi="Garamond" w:cs="Sylfaen"/>
          <w:i/>
          <w:sz w:val="22"/>
          <w:szCs w:val="22"/>
          <w:lang w:val="hy-AM"/>
        </w:rPr>
        <w:t>which also contains all press-releases and other monetary policy-related publications.</w:t>
      </w:r>
    </w:p>
    <w:p w14:paraId="7EA549E0" w14:textId="77777777" w:rsidR="00C00B89" w:rsidRDefault="00C00B89" w:rsidP="00EE619D">
      <w:pPr>
        <w:autoSpaceDE w:val="0"/>
        <w:autoSpaceDN w:val="0"/>
        <w:adjustRightInd w:val="0"/>
        <w:spacing w:after="120" w:line="360" w:lineRule="auto"/>
        <w:jc w:val="both"/>
        <w:rPr>
          <w:rFonts w:ascii="Garamond" w:hAnsi="Garamond"/>
          <w:b/>
          <w:color w:val="0070C0"/>
          <w:sz w:val="22"/>
          <w:szCs w:val="22"/>
        </w:rPr>
      </w:pPr>
    </w:p>
    <w:p w14:paraId="26101C33" w14:textId="77777777" w:rsidR="006629EC" w:rsidRDefault="006629EC" w:rsidP="00EE619D">
      <w:pPr>
        <w:autoSpaceDE w:val="0"/>
        <w:autoSpaceDN w:val="0"/>
        <w:adjustRightInd w:val="0"/>
        <w:spacing w:after="120" w:line="360" w:lineRule="auto"/>
        <w:jc w:val="both"/>
        <w:rPr>
          <w:rFonts w:ascii="Garamond" w:hAnsi="Garamond"/>
          <w:b/>
          <w:color w:val="0070C0"/>
          <w:sz w:val="22"/>
          <w:szCs w:val="22"/>
        </w:rPr>
      </w:pPr>
    </w:p>
    <w:p w14:paraId="531693E3" w14:textId="77777777" w:rsidR="006629EC" w:rsidRPr="00EE5F0F" w:rsidRDefault="006629EC" w:rsidP="00EE619D">
      <w:pPr>
        <w:autoSpaceDE w:val="0"/>
        <w:autoSpaceDN w:val="0"/>
        <w:adjustRightInd w:val="0"/>
        <w:spacing w:after="120" w:line="360" w:lineRule="auto"/>
        <w:jc w:val="both"/>
        <w:rPr>
          <w:rFonts w:ascii="Garamond" w:hAnsi="Garamond"/>
          <w:b/>
          <w:color w:val="0070C0"/>
          <w:sz w:val="22"/>
          <w:szCs w:val="22"/>
        </w:rPr>
      </w:pPr>
    </w:p>
    <w:tbl>
      <w:tblPr>
        <w:tblW w:w="6345" w:type="dxa"/>
        <w:tblBorders>
          <w:top w:val="nil"/>
          <w:left w:val="nil"/>
          <w:bottom w:val="nil"/>
          <w:right w:val="nil"/>
          <w:insideH w:val="single" w:sz="18" w:space="0" w:color="FFFFFF"/>
          <w:insideV w:val="single" w:sz="18" w:space="0" w:color="FFFFFF"/>
        </w:tblBorders>
        <w:tblLook w:val="00A0" w:firstRow="1" w:lastRow="0" w:firstColumn="1" w:lastColumn="0" w:noHBand="0" w:noVBand="0"/>
      </w:tblPr>
      <w:tblGrid>
        <w:gridCol w:w="6345"/>
      </w:tblGrid>
      <w:tr w:rsidR="007B1D1B" w:rsidRPr="00565F75" w14:paraId="06059F7C" w14:textId="77777777" w:rsidTr="00525AE5">
        <w:tc>
          <w:tcPr>
            <w:tcW w:w="6345" w:type="dxa"/>
            <w:shd w:val="clear" w:color="auto" w:fill="D9D9D9"/>
          </w:tcPr>
          <w:p w14:paraId="2434509F" w14:textId="77777777" w:rsidR="007B1D1B" w:rsidRPr="00565F75" w:rsidRDefault="007B1D1B" w:rsidP="00525AE5">
            <w:pPr>
              <w:pStyle w:val="Heading1"/>
              <w:spacing w:before="60" w:after="60" w:line="240" w:lineRule="atLeast"/>
              <w:jc w:val="center"/>
              <w:rPr>
                <w:rFonts w:ascii="Garamond" w:hAnsi="Garamond"/>
                <w:bCs/>
                <w:color w:val="auto"/>
                <w:spacing w:val="40"/>
                <w:w w:val="150"/>
                <w:kern w:val="22"/>
                <w:sz w:val="20"/>
                <w:szCs w:val="20"/>
                <w:u w:val="none"/>
              </w:rPr>
            </w:pPr>
            <w:r w:rsidRPr="00565F75">
              <w:rPr>
                <w:rFonts w:ascii="Garamond" w:hAnsi="Garamond"/>
                <w:bCs/>
                <w:color w:val="1F497D" w:themeColor="text2"/>
                <w:spacing w:val="40"/>
                <w:w w:val="150"/>
                <w:kern w:val="22"/>
                <w:sz w:val="20"/>
                <w:szCs w:val="20"/>
                <w:u w:val="none"/>
                <w:lang w:val="en-US"/>
              </w:rPr>
              <w:t>Table of Contents</w:t>
            </w:r>
          </w:p>
        </w:tc>
      </w:tr>
    </w:tbl>
    <w:p w14:paraId="20C4029C" w14:textId="77777777" w:rsidR="007B1D1B" w:rsidRPr="00565F75" w:rsidRDefault="007B1D1B" w:rsidP="007B1D1B">
      <w:pPr>
        <w:pStyle w:val="Header"/>
        <w:autoSpaceDE w:val="0"/>
        <w:autoSpaceDN w:val="0"/>
        <w:rPr>
          <w:rFonts w:ascii="Garamond" w:hAnsi="Garamond"/>
          <w:color w:val="FF0000"/>
          <w:sz w:val="20"/>
          <w:szCs w:val="20"/>
        </w:rPr>
      </w:pPr>
      <w:r w:rsidRPr="00565F75">
        <w:rPr>
          <w:rFonts w:ascii="Garamond" w:hAnsi="Garamond"/>
          <w:noProof/>
          <w:color w:val="FF0000"/>
          <w:sz w:val="20"/>
          <w:szCs w:val="20"/>
        </w:rPr>
        <mc:AlternateContent>
          <mc:Choice Requires="wps">
            <w:drawing>
              <wp:anchor distT="0" distB="0" distL="114300" distR="114300" simplePos="0" relativeHeight="251661312" behindDoc="0" locked="0" layoutInCell="1" allowOverlap="1" wp14:anchorId="758FCC9D" wp14:editId="28A99634">
                <wp:simplePos x="0" y="0"/>
                <wp:positionH relativeFrom="column">
                  <wp:posOffset>3548431</wp:posOffset>
                </wp:positionH>
                <wp:positionV relativeFrom="paragraph">
                  <wp:posOffset>8609965</wp:posOffset>
                </wp:positionV>
                <wp:extent cx="747395" cy="359994"/>
                <wp:effectExtent l="0" t="0" r="0" b="2540"/>
                <wp:wrapNone/>
                <wp:docPr id="4134" name="Text Box 35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359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ECC505" w14:textId="77777777" w:rsidR="00912BAE" w:rsidRDefault="00912BAE" w:rsidP="007B1D1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8FCC9D" id="_x0000_t202" coordsize="21600,21600" o:spt="202" path="m,l,21600r21600,l21600,xe">
                <v:stroke joinstyle="miter"/>
                <v:path gradientshapeok="t" o:connecttype="rect"/>
              </v:shapetype>
              <v:shape id="Text Box 3592" o:spid="_x0000_s1026" type="#_x0000_t202" style="position:absolute;margin-left:279.4pt;margin-top:677.95pt;width:58.85pt;height:2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" stroked="f">
                <v:textbox>
                  <w:txbxContent>
                    <w:p w14:paraId="40ECC505" w14:textId="77777777" w:rsidR="00912BAE" w:rsidRDefault="00912BAE" w:rsidP="007B1D1B"/>
                  </w:txbxContent>
                </v:textbox>
              </v:shape>
            </w:pict>
          </mc:Fallback>
        </mc:AlternateContent>
      </w:r>
    </w:p>
    <w:tbl>
      <w:tblPr>
        <w:tblW w:w="6345" w:type="dxa"/>
        <w:tblBorders>
          <w:top w:val="nil"/>
          <w:left w:val="nil"/>
          <w:bottom w:val="nil"/>
          <w:right w:val="nil"/>
          <w:insideH w:val="single" w:sz="18" w:space="0" w:color="FFFFFF"/>
          <w:insideV w:val="single" w:sz="18" w:space="0" w:color="FFFFFF"/>
        </w:tblBorders>
        <w:tblLook w:val="00A0" w:firstRow="1" w:lastRow="0" w:firstColumn="1" w:lastColumn="0" w:noHBand="0" w:noVBand="0"/>
      </w:tblPr>
      <w:tblGrid>
        <w:gridCol w:w="5877"/>
        <w:gridCol w:w="468"/>
      </w:tblGrid>
      <w:tr w:rsidR="007B1D1B" w:rsidRPr="00565F75" w14:paraId="61FADD16" w14:textId="77777777" w:rsidTr="00525AE5">
        <w:tc>
          <w:tcPr>
            <w:tcW w:w="5877" w:type="dxa"/>
            <w:shd w:val="pct20" w:color="000000" w:fill="FFFFFF"/>
          </w:tcPr>
          <w:p w14:paraId="1AA4D4BE" w14:textId="77777777" w:rsidR="007B1D1B" w:rsidRPr="00565F75" w:rsidRDefault="007B1D1B" w:rsidP="00525AE5">
            <w:pPr>
              <w:spacing w:before="50" w:after="50"/>
              <w:ind w:left="284" w:right="-113" w:hanging="284"/>
              <w:rPr>
                <w:rFonts w:ascii="Garamond" w:hAnsi="Garamond"/>
                <w:b/>
                <w:color w:val="1F497D" w:themeColor="text2"/>
                <w:sz w:val="20"/>
                <w:szCs w:val="20"/>
              </w:rPr>
            </w:pPr>
            <w:r w:rsidRPr="00565F75">
              <w:rPr>
                <w:rFonts w:ascii="Garamond" w:hAnsi="Garamond"/>
                <w:b/>
                <w:color w:val="1F497D" w:themeColor="text2"/>
                <w:sz w:val="20"/>
                <w:szCs w:val="20"/>
              </w:rPr>
              <w:t>1. Executive summary</w:t>
            </w:r>
            <w:r w:rsidRPr="00565F75">
              <w:rPr>
                <w:rFonts w:ascii="Garamond" w:hAnsi="Garamond"/>
                <w:bCs/>
                <w:color w:val="1F497D" w:themeColor="text2"/>
                <w:sz w:val="20"/>
                <w:szCs w:val="20"/>
              </w:rPr>
              <w:t>...............................................................................</w:t>
            </w:r>
          </w:p>
        </w:tc>
        <w:tc>
          <w:tcPr>
            <w:tcW w:w="468" w:type="dxa"/>
            <w:shd w:val="pct20" w:color="000000" w:fill="FFFFFF"/>
            <w:vAlign w:val="bottom"/>
          </w:tcPr>
          <w:p w14:paraId="40824E19" w14:textId="77777777" w:rsidR="007B1D1B" w:rsidRPr="00565F75" w:rsidRDefault="007B1D1B" w:rsidP="00525AE5">
            <w:pPr>
              <w:spacing w:before="50" w:after="50"/>
              <w:jc w:val="right"/>
              <w:rPr>
                <w:rFonts w:ascii="Garamond" w:hAnsi="Garamond"/>
                <w:b/>
                <w:bCs/>
                <w:color w:val="1F497D" w:themeColor="text2"/>
                <w:sz w:val="20"/>
                <w:szCs w:val="20"/>
              </w:rPr>
            </w:pPr>
          </w:p>
        </w:tc>
      </w:tr>
      <w:tr w:rsidR="007B1D1B" w:rsidRPr="00565F75" w14:paraId="364DB607" w14:textId="77777777" w:rsidTr="00525AE5">
        <w:tc>
          <w:tcPr>
            <w:tcW w:w="5877" w:type="dxa"/>
            <w:shd w:val="pct5" w:color="000000" w:fill="FFFFFF"/>
          </w:tcPr>
          <w:p w14:paraId="7000842F" w14:textId="77777777" w:rsidR="007B1D1B" w:rsidRPr="00565F75" w:rsidRDefault="007B1D1B" w:rsidP="00525AE5">
            <w:pPr>
              <w:spacing w:before="50" w:after="50"/>
              <w:ind w:right="-151"/>
              <w:rPr>
                <w:rFonts w:ascii="Garamond" w:hAnsi="Garamond"/>
                <w:b/>
                <w:color w:val="1F497D" w:themeColor="text2"/>
                <w:sz w:val="20"/>
                <w:szCs w:val="20"/>
              </w:rPr>
            </w:pPr>
            <w:r w:rsidRPr="00565F75">
              <w:rPr>
                <w:rFonts w:ascii="Garamond" w:hAnsi="Garamond" w:cs="Sylfaen"/>
                <w:b/>
                <w:color w:val="1F497D" w:themeColor="text2"/>
                <w:sz w:val="20"/>
                <w:szCs w:val="20"/>
              </w:rPr>
              <w:t>2. Forecast, forecast changes and risks</w:t>
            </w:r>
            <w:r w:rsidRPr="00565F75">
              <w:rPr>
                <w:rFonts w:ascii="Garamond" w:hAnsi="Garamond" w:cs="Sylfaen"/>
                <w:color w:val="1F497D" w:themeColor="text2"/>
                <w:sz w:val="20"/>
                <w:szCs w:val="20"/>
              </w:rPr>
              <w:t>..................................................</w:t>
            </w:r>
          </w:p>
        </w:tc>
        <w:tc>
          <w:tcPr>
            <w:tcW w:w="468" w:type="dxa"/>
            <w:shd w:val="pct5" w:color="000000" w:fill="FFFFFF"/>
            <w:vAlign w:val="bottom"/>
          </w:tcPr>
          <w:p w14:paraId="5EDBEE31"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6611C8BB" w14:textId="77777777" w:rsidTr="00525AE5">
        <w:tc>
          <w:tcPr>
            <w:tcW w:w="5877" w:type="dxa"/>
            <w:shd w:val="pct20" w:color="000000" w:fill="FFFFFF"/>
          </w:tcPr>
          <w:p w14:paraId="5E4CF76B" w14:textId="77777777" w:rsidR="007B1D1B" w:rsidRPr="00565F75" w:rsidRDefault="007B1D1B" w:rsidP="00525AE5">
            <w:pPr>
              <w:spacing w:before="50" w:after="50"/>
              <w:ind w:left="431" w:right="-113" w:hanging="318"/>
              <w:rPr>
                <w:rFonts w:ascii="Garamond" w:hAnsi="Garamond"/>
                <w:color w:val="1F497D" w:themeColor="text2"/>
                <w:sz w:val="20"/>
                <w:szCs w:val="20"/>
              </w:rPr>
            </w:pPr>
            <w:r w:rsidRPr="00565F75">
              <w:rPr>
                <w:rFonts w:ascii="Garamond" w:hAnsi="Garamond" w:cs="Sylfaen"/>
                <w:b/>
                <w:i/>
                <w:color w:val="1F497D" w:themeColor="text2"/>
                <w:sz w:val="20"/>
                <w:szCs w:val="20"/>
              </w:rPr>
              <w:t>2.1. External environment</w:t>
            </w:r>
            <w:r w:rsidRPr="00565F75">
              <w:rPr>
                <w:rFonts w:ascii="Garamond" w:hAnsi="Garamond"/>
                <w:bCs/>
                <w:color w:val="1F497D" w:themeColor="text2"/>
                <w:sz w:val="20"/>
                <w:szCs w:val="20"/>
              </w:rPr>
              <w:t>......................................................................</w:t>
            </w:r>
          </w:p>
        </w:tc>
        <w:tc>
          <w:tcPr>
            <w:tcW w:w="468" w:type="dxa"/>
            <w:shd w:val="pct20" w:color="000000" w:fill="FFFFFF"/>
            <w:vAlign w:val="bottom"/>
          </w:tcPr>
          <w:p w14:paraId="49BCABA6"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3B11A6" w:rsidRPr="00565F75" w14:paraId="2961C4EB" w14:textId="77777777" w:rsidTr="00525AE5">
        <w:tc>
          <w:tcPr>
            <w:tcW w:w="5877" w:type="dxa"/>
            <w:shd w:val="pct20" w:color="000000" w:fill="FFFFFF"/>
          </w:tcPr>
          <w:p w14:paraId="534EAE6F" w14:textId="77777777" w:rsidR="003B11A6" w:rsidRPr="003B11A6" w:rsidRDefault="003B11A6" w:rsidP="00525AE5">
            <w:pPr>
              <w:spacing w:before="50" w:after="50"/>
              <w:ind w:left="431" w:right="-113" w:hanging="318"/>
              <w:rPr>
                <w:rFonts w:ascii="Garamond" w:hAnsi="Garamond" w:cs="Sylfaen"/>
                <w:i/>
                <w:color w:val="1F497D" w:themeColor="text2"/>
                <w:sz w:val="20"/>
                <w:szCs w:val="20"/>
              </w:rPr>
            </w:pPr>
            <w:r>
              <w:rPr>
                <w:rFonts w:ascii="Garamond" w:hAnsi="Garamond" w:cs="Sylfaen"/>
                <w:i/>
                <w:color w:val="1F497D" w:themeColor="text2"/>
                <w:sz w:val="20"/>
                <w:szCs w:val="20"/>
              </w:rPr>
              <w:t xml:space="preserve">Box 1: </w:t>
            </w:r>
            <w:r w:rsidR="00E91FF3" w:rsidRPr="00E91FF3">
              <w:rPr>
                <w:rFonts w:ascii="Garamond" w:hAnsi="Garamond" w:cs="Sylfaen"/>
                <w:i/>
                <w:color w:val="1F497D" w:themeColor="text2"/>
                <w:sz w:val="20"/>
                <w:szCs w:val="20"/>
              </w:rPr>
              <w:t>Expectati</w:t>
            </w:r>
            <w:r w:rsidR="00E91FF3">
              <w:rPr>
                <w:rFonts w:ascii="Garamond" w:hAnsi="Garamond" w:cs="Sylfaen"/>
                <w:i/>
                <w:color w:val="1F497D" w:themeColor="text2"/>
                <w:sz w:val="20"/>
                <w:szCs w:val="20"/>
              </w:rPr>
              <w:t xml:space="preserve">ons about </w:t>
            </w:r>
            <w:r w:rsidR="00616B7A">
              <w:rPr>
                <w:rFonts w:ascii="Garamond" w:hAnsi="Garamond" w:cs="Sylfaen"/>
                <w:i/>
                <w:color w:val="1F497D" w:themeColor="text2"/>
                <w:sz w:val="20"/>
                <w:szCs w:val="20"/>
              </w:rPr>
              <w:t xml:space="preserve">the </w:t>
            </w:r>
            <w:r w:rsidR="00E91FF3">
              <w:rPr>
                <w:rFonts w:ascii="Garamond" w:hAnsi="Garamond" w:cs="Sylfaen"/>
                <w:i/>
                <w:color w:val="1F497D" w:themeColor="text2"/>
                <w:sz w:val="20"/>
                <w:szCs w:val="20"/>
              </w:rPr>
              <w:t>US economic outlook</w:t>
            </w:r>
          </w:p>
        </w:tc>
        <w:tc>
          <w:tcPr>
            <w:tcW w:w="468" w:type="dxa"/>
            <w:shd w:val="pct20" w:color="000000" w:fill="FFFFFF"/>
            <w:vAlign w:val="bottom"/>
          </w:tcPr>
          <w:p w14:paraId="0C86C5DF" w14:textId="77777777" w:rsidR="003B11A6" w:rsidRPr="00565F75" w:rsidRDefault="003B11A6" w:rsidP="00525AE5">
            <w:pPr>
              <w:spacing w:before="50" w:after="50"/>
              <w:ind w:hanging="284"/>
              <w:jc w:val="right"/>
              <w:rPr>
                <w:rFonts w:ascii="Garamond" w:hAnsi="Garamond"/>
                <w:b/>
                <w:bCs/>
                <w:color w:val="1F497D" w:themeColor="text2"/>
                <w:sz w:val="20"/>
                <w:szCs w:val="20"/>
              </w:rPr>
            </w:pPr>
          </w:p>
        </w:tc>
      </w:tr>
      <w:tr w:rsidR="007B1D1B" w:rsidRPr="00565F75" w14:paraId="2577EB09" w14:textId="77777777" w:rsidTr="00525AE5">
        <w:tc>
          <w:tcPr>
            <w:tcW w:w="5877" w:type="dxa"/>
            <w:shd w:val="pct20" w:color="000000" w:fill="FFFFFF"/>
          </w:tcPr>
          <w:p w14:paraId="26CC3B19" w14:textId="77777777" w:rsidR="007B1D1B" w:rsidRPr="00565F75" w:rsidRDefault="007B1D1B" w:rsidP="00525AE5">
            <w:pPr>
              <w:spacing w:before="50" w:after="50"/>
              <w:ind w:left="431" w:right="-113" w:hanging="318"/>
              <w:rPr>
                <w:rFonts w:ascii="Garamond" w:hAnsi="Garamond"/>
                <w:color w:val="1F497D" w:themeColor="text2"/>
                <w:sz w:val="20"/>
                <w:szCs w:val="20"/>
              </w:rPr>
            </w:pPr>
            <w:r w:rsidRPr="00565F75">
              <w:rPr>
                <w:rFonts w:ascii="Garamond" w:hAnsi="Garamond" w:cs="Sylfaen"/>
                <w:b/>
                <w:i/>
                <w:color w:val="1F497D" w:themeColor="text2"/>
                <w:sz w:val="20"/>
                <w:szCs w:val="20"/>
              </w:rPr>
              <w:t>2.2. Forecasts</w:t>
            </w:r>
            <w:r w:rsidRPr="00565F75">
              <w:rPr>
                <w:rFonts w:ascii="Garamond" w:hAnsi="Garamond"/>
                <w:bCs/>
                <w:color w:val="1F497D" w:themeColor="text2"/>
                <w:sz w:val="20"/>
                <w:szCs w:val="20"/>
              </w:rPr>
              <w:t>..........................................................................................</w:t>
            </w:r>
          </w:p>
        </w:tc>
        <w:tc>
          <w:tcPr>
            <w:tcW w:w="468" w:type="dxa"/>
            <w:shd w:val="pct20" w:color="000000" w:fill="FFFFFF"/>
            <w:vAlign w:val="bottom"/>
          </w:tcPr>
          <w:p w14:paraId="0403EBC1"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5E1267A0" w14:textId="77777777" w:rsidTr="00525AE5">
        <w:tc>
          <w:tcPr>
            <w:tcW w:w="5877" w:type="dxa"/>
            <w:shd w:val="pct5" w:color="000000" w:fill="FFFFFF"/>
          </w:tcPr>
          <w:p w14:paraId="04807A49" w14:textId="77777777" w:rsidR="007B1D1B" w:rsidRPr="00565F75" w:rsidRDefault="007B1D1B" w:rsidP="00525AE5">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2.2.1. Inflation and monetary policy</w:t>
            </w:r>
            <w:r w:rsidRPr="00565F75">
              <w:rPr>
                <w:rFonts w:ascii="Garamond" w:hAnsi="Garamond"/>
                <w:bCs/>
                <w:color w:val="1F497D" w:themeColor="text2"/>
                <w:sz w:val="20"/>
                <w:szCs w:val="20"/>
              </w:rPr>
              <w:t>.....................................................</w:t>
            </w:r>
          </w:p>
        </w:tc>
        <w:tc>
          <w:tcPr>
            <w:tcW w:w="468" w:type="dxa"/>
            <w:shd w:val="pct5" w:color="000000" w:fill="FFFFFF"/>
            <w:vAlign w:val="bottom"/>
          </w:tcPr>
          <w:p w14:paraId="4FDFF6F8"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6FB0ACAE" w14:textId="77777777" w:rsidTr="00525AE5">
        <w:tc>
          <w:tcPr>
            <w:tcW w:w="5877" w:type="dxa"/>
            <w:shd w:val="pct20" w:color="000000" w:fill="FFFFFF"/>
          </w:tcPr>
          <w:p w14:paraId="031E55AC" w14:textId="77777777" w:rsidR="007B1D1B" w:rsidRPr="00565F75" w:rsidRDefault="007B1D1B" w:rsidP="00525AE5">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2.2.2. Economic activity</w:t>
            </w:r>
            <w:r w:rsidRPr="00565F75">
              <w:rPr>
                <w:rFonts w:ascii="Garamond" w:hAnsi="Garamond"/>
                <w:bCs/>
                <w:color w:val="1F497D" w:themeColor="text2"/>
                <w:sz w:val="20"/>
                <w:szCs w:val="20"/>
              </w:rPr>
              <w:t>........................................................................</w:t>
            </w:r>
          </w:p>
        </w:tc>
        <w:tc>
          <w:tcPr>
            <w:tcW w:w="468" w:type="dxa"/>
            <w:shd w:val="pct20" w:color="000000" w:fill="FFFFFF"/>
            <w:vAlign w:val="bottom"/>
          </w:tcPr>
          <w:p w14:paraId="3DC95438"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68FB907F" w14:textId="77777777" w:rsidTr="00525AE5">
        <w:tc>
          <w:tcPr>
            <w:tcW w:w="5877" w:type="dxa"/>
            <w:shd w:val="pct5" w:color="000000" w:fill="FFFFFF"/>
          </w:tcPr>
          <w:p w14:paraId="67DD72DD" w14:textId="77777777" w:rsidR="007B1D1B" w:rsidRPr="00565F75" w:rsidRDefault="00CE6E47" w:rsidP="009F526A">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2.2.3. Comparison with the previous forecast</w:t>
            </w:r>
            <w:r w:rsidRPr="00565F75">
              <w:rPr>
                <w:rFonts w:ascii="Garamond" w:hAnsi="Garamond"/>
                <w:bCs/>
                <w:color w:val="1F497D" w:themeColor="text2"/>
                <w:sz w:val="20"/>
                <w:szCs w:val="20"/>
              </w:rPr>
              <w:t>.......................................</w:t>
            </w:r>
          </w:p>
        </w:tc>
        <w:tc>
          <w:tcPr>
            <w:tcW w:w="468" w:type="dxa"/>
            <w:shd w:val="pct5" w:color="000000" w:fill="FFFFFF"/>
            <w:vAlign w:val="bottom"/>
          </w:tcPr>
          <w:p w14:paraId="358C789B"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6BE7AD85" w14:textId="77777777" w:rsidTr="00525AE5">
        <w:tc>
          <w:tcPr>
            <w:tcW w:w="5877" w:type="dxa"/>
            <w:shd w:val="pct20" w:color="000000" w:fill="FFFFFF"/>
          </w:tcPr>
          <w:p w14:paraId="15E34F33" w14:textId="77777777" w:rsidR="007B1D1B" w:rsidRPr="00565F75" w:rsidRDefault="00CE6E47" w:rsidP="00525AE5">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2.2.4. Main assumptions and risks</w:t>
            </w:r>
            <w:r w:rsidRPr="00565F75">
              <w:rPr>
                <w:rFonts w:ascii="Garamond" w:hAnsi="Garamond"/>
                <w:bCs/>
                <w:color w:val="1F497D" w:themeColor="text2"/>
                <w:sz w:val="20"/>
                <w:szCs w:val="20"/>
              </w:rPr>
              <w:t>........................................................</w:t>
            </w:r>
          </w:p>
        </w:tc>
        <w:tc>
          <w:tcPr>
            <w:tcW w:w="468" w:type="dxa"/>
            <w:shd w:val="pct20" w:color="000000" w:fill="FFFFFF"/>
            <w:vAlign w:val="bottom"/>
          </w:tcPr>
          <w:p w14:paraId="4C62230E"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37207EB4" w14:textId="77777777" w:rsidTr="00525AE5">
        <w:tc>
          <w:tcPr>
            <w:tcW w:w="5877" w:type="dxa"/>
            <w:shd w:val="pct20" w:color="000000" w:fill="FFFFFF"/>
          </w:tcPr>
          <w:p w14:paraId="31F8B490" w14:textId="77777777" w:rsidR="007B1D1B" w:rsidRPr="003D300F" w:rsidRDefault="00CE6E47" w:rsidP="00E91FF3">
            <w:pPr>
              <w:pStyle w:val="Heading5"/>
              <w:spacing w:before="50" w:after="50"/>
              <w:ind w:left="1204" w:right="-113" w:hanging="920"/>
              <w:rPr>
                <w:rFonts w:ascii="Garamond" w:hAnsi="Garamond" w:cs="Sylfaen"/>
                <w:i/>
                <w:color w:val="1F497D" w:themeColor="text2"/>
                <w:sz w:val="20"/>
                <w:szCs w:val="20"/>
              </w:rPr>
            </w:pPr>
            <w:r w:rsidRPr="00565F75">
              <w:rPr>
                <w:rFonts w:ascii="Garamond" w:hAnsi="Garamond" w:cs="Sylfaen"/>
                <w:i/>
                <w:color w:val="1F497D" w:themeColor="text2"/>
                <w:sz w:val="20"/>
                <w:szCs w:val="20"/>
              </w:rPr>
              <w:t xml:space="preserve">Box </w:t>
            </w:r>
            <w:r w:rsidR="00E91FF3">
              <w:rPr>
                <w:rFonts w:ascii="Garamond" w:hAnsi="Garamond" w:cs="Sylfaen"/>
                <w:i/>
                <w:color w:val="1F497D" w:themeColor="text2"/>
                <w:sz w:val="20"/>
                <w:szCs w:val="20"/>
              </w:rPr>
              <w:t>2</w:t>
            </w:r>
            <w:r w:rsidRPr="00565F75">
              <w:rPr>
                <w:rFonts w:ascii="Garamond" w:hAnsi="Garamond" w:cs="Sylfaen"/>
                <w:i/>
                <w:color w:val="1F497D" w:themeColor="text2"/>
                <w:sz w:val="20"/>
                <w:szCs w:val="20"/>
              </w:rPr>
              <w:t>: The results of survey on the expecta</w:t>
            </w:r>
            <w:r w:rsidR="003D300F">
              <w:rPr>
                <w:rFonts w:ascii="Garamond" w:hAnsi="Garamond" w:cs="Sylfaen"/>
                <w:i/>
                <w:color w:val="1F497D" w:themeColor="text2"/>
                <w:sz w:val="20"/>
                <w:szCs w:val="20"/>
              </w:rPr>
              <w:t xml:space="preserve">tions by the households and the </w:t>
            </w:r>
            <w:r w:rsidRPr="00565F75">
              <w:rPr>
                <w:rFonts w:ascii="Garamond" w:hAnsi="Garamond" w:cs="Sylfaen"/>
                <w:i/>
                <w:color w:val="1F497D" w:themeColor="text2"/>
                <w:sz w:val="20"/>
                <w:szCs w:val="20"/>
              </w:rPr>
              <w:t>financial system</w:t>
            </w:r>
            <w:r w:rsidR="00E91FF3">
              <w:rPr>
                <w:rFonts w:ascii="Garamond" w:hAnsi="Garamond" w:cs="Sylfaen"/>
                <w:color w:val="1F497D" w:themeColor="text2"/>
                <w:sz w:val="20"/>
                <w:szCs w:val="20"/>
              </w:rPr>
              <w:t>…</w:t>
            </w:r>
            <w:r w:rsidRPr="00565F75">
              <w:rPr>
                <w:rFonts w:ascii="Garamond" w:hAnsi="Garamond" w:cs="Sylfaen"/>
                <w:color w:val="1F497D" w:themeColor="text2"/>
                <w:sz w:val="20"/>
                <w:szCs w:val="20"/>
              </w:rPr>
              <w:t>..................................................</w:t>
            </w:r>
          </w:p>
        </w:tc>
        <w:tc>
          <w:tcPr>
            <w:tcW w:w="468" w:type="dxa"/>
            <w:shd w:val="pct20" w:color="000000" w:fill="FFFFFF"/>
            <w:vAlign w:val="bottom"/>
          </w:tcPr>
          <w:p w14:paraId="2D33CBDC"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E91FF3" w:rsidRPr="00565F75" w14:paraId="34C9E68B" w14:textId="77777777" w:rsidTr="00525AE5">
        <w:tc>
          <w:tcPr>
            <w:tcW w:w="5877" w:type="dxa"/>
            <w:shd w:val="pct20" w:color="000000" w:fill="FFFFFF"/>
          </w:tcPr>
          <w:p w14:paraId="74A999AD" w14:textId="77777777" w:rsidR="00E91FF3" w:rsidRPr="00565F75" w:rsidRDefault="00E91FF3" w:rsidP="00E91FF3">
            <w:pPr>
              <w:pStyle w:val="Heading5"/>
              <w:spacing w:before="50" w:after="50"/>
              <w:ind w:left="1204" w:right="-113" w:hanging="920"/>
              <w:rPr>
                <w:rFonts w:ascii="Garamond" w:hAnsi="Garamond" w:cs="Sylfaen"/>
                <w:i/>
                <w:color w:val="1F497D" w:themeColor="text2"/>
                <w:sz w:val="20"/>
                <w:szCs w:val="20"/>
              </w:rPr>
            </w:pPr>
            <w:r>
              <w:rPr>
                <w:rFonts w:ascii="Garamond" w:hAnsi="Garamond" w:cs="Sylfaen"/>
                <w:i/>
                <w:color w:val="1F497D" w:themeColor="text2"/>
                <w:sz w:val="20"/>
                <w:szCs w:val="20"/>
              </w:rPr>
              <w:t xml:space="preserve">Box 3: </w:t>
            </w:r>
            <w:r w:rsidRPr="00E91FF3">
              <w:rPr>
                <w:rFonts w:ascii="Garamond" w:hAnsi="Garamond" w:cs="Sylfaen"/>
                <w:i/>
                <w:color w:val="1F497D" w:themeColor="text2"/>
                <w:sz w:val="20"/>
                <w:szCs w:val="20"/>
              </w:rPr>
              <w:t>Po</w:t>
            </w:r>
            <w:r>
              <w:rPr>
                <w:rFonts w:ascii="Garamond" w:hAnsi="Garamond" w:cs="Sylfaen"/>
                <w:i/>
                <w:color w:val="1F497D" w:themeColor="text2"/>
                <w:sz w:val="20"/>
                <w:szCs w:val="20"/>
              </w:rPr>
              <w:t>ssible developments in mining and metallurgy branches</w:t>
            </w:r>
          </w:p>
        </w:tc>
        <w:tc>
          <w:tcPr>
            <w:tcW w:w="468" w:type="dxa"/>
            <w:shd w:val="pct20" w:color="000000" w:fill="FFFFFF"/>
            <w:vAlign w:val="bottom"/>
          </w:tcPr>
          <w:p w14:paraId="29797D55" w14:textId="77777777" w:rsidR="00E91FF3" w:rsidRPr="00565F75" w:rsidRDefault="00E91FF3" w:rsidP="00525AE5">
            <w:pPr>
              <w:spacing w:before="50" w:after="50"/>
              <w:ind w:hanging="284"/>
              <w:jc w:val="right"/>
              <w:rPr>
                <w:rFonts w:ascii="Garamond" w:hAnsi="Garamond"/>
                <w:b/>
                <w:bCs/>
                <w:color w:val="1F497D" w:themeColor="text2"/>
                <w:sz w:val="20"/>
                <w:szCs w:val="20"/>
              </w:rPr>
            </w:pPr>
          </w:p>
        </w:tc>
      </w:tr>
      <w:tr w:rsidR="007B1D1B" w:rsidRPr="00565F75" w14:paraId="3E65B611" w14:textId="77777777" w:rsidTr="00525AE5">
        <w:tc>
          <w:tcPr>
            <w:tcW w:w="5877" w:type="dxa"/>
            <w:shd w:val="pct5" w:color="000000" w:fill="FFFFFF"/>
          </w:tcPr>
          <w:p w14:paraId="409E32F8" w14:textId="77777777" w:rsidR="007B1D1B" w:rsidRPr="00565F75" w:rsidRDefault="00CE6E47" w:rsidP="00E91FF3">
            <w:pPr>
              <w:spacing w:before="50" w:after="50"/>
              <w:ind w:left="284" w:right="-113" w:hanging="284"/>
              <w:rPr>
                <w:rFonts w:ascii="Garamond" w:hAnsi="Garamond"/>
                <w:b/>
                <w:color w:val="1F497D" w:themeColor="text2"/>
                <w:sz w:val="20"/>
                <w:szCs w:val="20"/>
              </w:rPr>
            </w:pPr>
            <w:r>
              <w:rPr>
                <w:rFonts w:ascii="Garamond" w:hAnsi="Garamond"/>
                <w:b/>
                <w:color w:val="1F497D" w:themeColor="text2"/>
                <w:sz w:val="20"/>
                <w:szCs w:val="20"/>
              </w:rPr>
              <w:t xml:space="preserve">   </w:t>
            </w:r>
            <w:r w:rsidRPr="00565F75">
              <w:rPr>
                <w:rFonts w:ascii="Garamond" w:hAnsi="Garamond"/>
                <w:b/>
                <w:color w:val="1F497D" w:themeColor="text2"/>
                <w:sz w:val="20"/>
                <w:szCs w:val="20"/>
              </w:rPr>
              <w:t>3. Actual developments in Q</w:t>
            </w:r>
            <w:r w:rsidR="00E91FF3">
              <w:rPr>
                <w:rFonts w:ascii="Garamond" w:hAnsi="Garamond"/>
                <w:b/>
                <w:color w:val="1F497D" w:themeColor="text2"/>
                <w:sz w:val="20"/>
                <w:szCs w:val="20"/>
              </w:rPr>
              <w:t>1</w:t>
            </w:r>
            <w:r w:rsidRPr="00565F75">
              <w:rPr>
                <w:rFonts w:ascii="Garamond" w:hAnsi="Garamond"/>
                <w:b/>
                <w:color w:val="1F497D" w:themeColor="text2"/>
                <w:sz w:val="20"/>
                <w:szCs w:val="20"/>
              </w:rPr>
              <w:t>, 201</w:t>
            </w:r>
            <w:r w:rsidR="00E91FF3">
              <w:rPr>
                <w:rFonts w:ascii="Garamond" w:hAnsi="Garamond"/>
                <w:b/>
                <w:color w:val="1F497D" w:themeColor="text2"/>
                <w:sz w:val="20"/>
                <w:szCs w:val="20"/>
              </w:rPr>
              <w:t>9</w:t>
            </w:r>
            <w:r w:rsidRPr="00565F75">
              <w:rPr>
                <w:rFonts w:ascii="Garamond" w:hAnsi="Garamond"/>
                <w:bCs/>
                <w:color w:val="1F497D" w:themeColor="text2"/>
                <w:sz w:val="20"/>
                <w:szCs w:val="20"/>
              </w:rPr>
              <w:t>........................................................</w:t>
            </w:r>
          </w:p>
        </w:tc>
        <w:tc>
          <w:tcPr>
            <w:tcW w:w="468" w:type="dxa"/>
            <w:shd w:val="pct5" w:color="000000" w:fill="FFFFFF"/>
            <w:vAlign w:val="bottom"/>
          </w:tcPr>
          <w:p w14:paraId="10163115"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3D300F" w:rsidRPr="00565F75" w14:paraId="62AE4D51" w14:textId="77777777" w:rsidTr="00525AE5">
        <w:tc>
          <w:tcPr>
            <w:tcW w:w="5877" w:type="dxa"/>
            <w:shd w:val="clear" w:color="auto" w:fill="CCCCCC"/>
          </w:tcPr>
          <w:p w14:paraId="5F066FEF" w14:textId="77777777" w:rsidR="003D300F" w:rsidRPr="00565F75" w:rsidRDefault="003D300F" w:rsidP="003D300F">
            <w:pPr>
              <w:spacing w:before="50" w:after="50"/>
              <w:ind w:left="431" w:right="-113" w:hanging="318"/>
              <w:rPr>
                <w:rFonts w:ascii="Garamond" w:hAnsi="Garamond"/>
                <w:color w:val="1F497D" w:themeColor="text2"/>
                <w:sz w:val="20"/>
                <w:szCs w:val="20"/>
              </w:rPr>
            </w:pPr>
            <w:r w:rsidRPr="00565F75">
              <w:rPr>
                <w:rFonts w:ascii="Garamond" w:hAnsi="Garamond" w:cs="Sylfaen"/>
                <w:b/>
                <w:i/>
                <w:color w:val="1F497D" w:themeColor="text2"/>
                <w:sz w:val="20"/>
                <w:szCs w:val="20"/>
              </w:rPr>
              <w:t>3.1. Inflation</w:t>
            </w:r>
            <w:r w:rsidRPr="00565F75">
              <w:rPr>
                <w:rFonts w:ascii="Garamond" w:hAnsi="Garamond"/>
                <w:bCs/>
                <w:color w:val="1F497D" w:themeColor="text2"/>
                <w:sz w:val="20"/>
                <w:szCs w:val="20"/>
              </w:rPr>
              <w:t>..........................................................................................</w:t>
            </w:r>
          </w:p>
        </w:tc>
        <w:tc>
          <w:tcPr>
            <w:tcW w:w="468" w:type="dxa"/>
            <w:shd w:val="pct20" w:color="000000" w:fill="FFFFFF"/>
            <w:vAlign w:val="bottom"/>
          </w:tcPr>
          <w:p w14:paraId="150101CA"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130111C9" w14:textId="77777777" w:rsidTr="00525AE5">
        <w:tc>
          <w:tcPr>
            <w:tcW w:w="5877" w:type="dxa"/>
            <w:shd w:val="pct5" w:color="000000" w:fill="FFFFFF"/>
          </w:tcPr>
          <w:p w14:paraId="53D8F956" w14:textId="77777777" w:rsidR="003D300F" w:rsidRPr="00565F75" w:rsidRDefault="003D300F" w:rsidP="003D300F">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3.1.1. Fulfilment of the inflation target</w:t>
            </w:r>
            <w:r w:rsidRPr="00565F75">
              <w:rPr>
                <w:rFonts w:ascii="Garamond" w:hAnsi="Garamond"/>
                <w:bCs/>
                <w:color w:val="1F497D" w:themeColor="text2"/>
                <w:sz w:val="20"/>
                <w:szCs w:val="20"/>
              </w:rPr>
              <w:t>.................................................</w:t>
            </w:r>
          </w:p>
        </w:tc>
        <w:tc>
          <w:tcPr>
            <w:tcW w:w="468" w:type="dxa"/>
            <w:shd w:val="pct5" w:color="000000" w:fill="FFFFFF"/>
            <w:vAlign w:val="bottom"/>
          </w:tcPr>
          <w:p w14:paraId="45E23B13"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10AA9920" w14:textId="77777777" w:rsidTr="00525AE5">
        <w:tc>
          <w:tcPr>
            <w:tcW w:w="5877" w:type="dxa"/>
            <w:shd w:val="clear" w:color="auto" w:fill="CCCCCC"/>
          </w:tcPr>
          <w:p w14:paraId="2B14033E" w14:textId="77777777" w:rsidR="003D300F" w:rsidRPr="00565F75" w:rsidRDefault="003D300F" w:rsidP="003D300F">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3.1.2. Prices</w:t>
            </w:r>
            <w:r w:rsidRPr="00565F75">
              <w:rPr>
                <w:rFonts w:ascii="Garamond" w:hAnsi="Garamond"/>
                <w:bCs/>
                <w:color w:val="1F497D" w:themeColor="text2"/>
                <w:sz w:val="20"/>
                <w:szCs w:val="20"/>
              </w:rPr>
              <w:t>.........................................................................................</w:t>
            </w:r>
          </w:p>
        </w:tc>
        <w:tc>
          <w:tcPr>
            <w:tcW w:w="468" w:type="dxa"/>
            <w:shd w:val="pct20" w:color="000000" w:fill="FFFFFF"/>
            <w:vAlign w:val="bottom"/>
          </w:tcPr>
          <w:p w14:paraId="39CD3658"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79CBD2F9" w14:textId="77777777" w:rsidTr="00525AE5">
        <w:tc>
          <w:tcPr>
            <w:tcW w:w="5877" w:type="dxa"/>
            <w:shd w:val="pct20" w:color="000000" w:fill="FFFFFF"/>
          </w:tcPr>
          <w:p w14:paraId="7BC11B37" w14:textId="77777777" w:rsidR="003D300F" w:rsidRPr="00565F75" w:rsidRDefault="003D300F" w:rsidP="003D300F">
            <w:pPr>
              <w:spacing w:before="50" w:after="50"/>
              <w:ind w:left="431" w:right="-113" w:hanging="147"/>
              <w:rPr>
                <w:rFonts w:ascii="Garamond" w:hAnsi="Garamond"/>
                <w:color w:val="1F497D" w:themeColor="text2"/>
                <w:sz w:val="20"/>
                <w:szCs w:val="20"/>
              </w:rPr>
            </w:pPr>
            <w:r w:rsidRPr="00565F75">
              <w:rPr>
                <w:rFonts w:ascii="Garamond" w:hAnsi="Garamond" w:cs="Sylfaen"/>
                <w:b/>
                <w:i/>
                <w:color w:val="1F497D" w:themeColor="text2"/>
                <w:sz w:val="20"/>
                <w:szCs w:val="20"/>
              </w:rPr>
              <w:t>3.2. Economic developments</w:t>
            </w:r>
            <w:r w:rsidRPr="00565F75">
              <w:rPr>
                <w:rFonts w:ascii="Garamond" w:hAnsi="Garamond"/>
                <w:bCs/>
                <w:color w:val="1F497D" w:themeColor="text2"/>
                <w:sz w:val="20"/>
                <w:szCs w:val="20"/>
              </w:rPr>
              <w:t>.................................................................</w:t>
            </w:r>
          </w:p>
        </w:tc>
        <w:tc>
          <w:tcPr>
            <w:tcW w:w="468" w:type="dxa"/>
            <w:shd w:val="pct20" w:color="000000" w:fill="FFFFFF"/>
            <w:vAlign w:val="bottom"/>
          </w:tcPr>
          <w:p w14:paraId="3A3E0ED5"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5EC9CD63" w14:textId="77777777" w:rsidTr="00525AE5">
        <w:tc>
          <w:tcPr>
            <w:tcW w:w="5877" w:type="dxa"/>
            <w:shd w:val="pct5" w:color="000000" w:fill="FFFFFF"/>
          </w:tcPr>
          <w:p w14:paraId="1B69933E" w14:textId="77777777" w:rsidR="003D300F" w:rsidRPr="00565F75" w:rsidRDefault="003D300F" w:rsidP="003D300F">
            <w:pPr>
              <w:spacing w:before="50" w:after="50"/>
              <w:ind w:left="431" w:right="-113" w:hanging="318"/>
              <w:rPr>
                <w:rFonts w:ascii="Garamond" w:hAnsi="Garamond"/>
                <w:color w:val="1F497D" w:themeColor="text2"/>
                <w:sz w:val="20"/>
                <w:szCs w:val="20"/>
              </w:rPr>
            </w:pPr>
            <w:r>
              <w:rPr>
                <w:rFonts w:ascii="Garamond" w:hAnsi="Garamond" w:cs="Sylfaen"/>
                <w:bCs/>
                <w:i/>
                <w:color w:val="1F497D" w:themeColor="text2"/>
                <w:sz w:val="20"/>
                <w:szCs w:val="20"/>
              </w:rPr>
              <w:t xml:space="preserve">   </w:t>
            </w:r>
            <w:r w:rsidRPr="00565F75">
              <w:rPr>
                <w:rFonts w:ascii="Garamond" w:hAnsi="Garamond" w:cs="Sylfaen"/>
                <w:i/>
                <w:color w:val="1F497D" w:themeColor="text2"/>
                <w:sz w:val="20"/>
                <w:szCs w:val="20"/>
              </w:rPr>
              <w:t>3.2.1. Economy position</w:t>
            </w:r>
            <w:r w:rsidRPr="00565F75">
              <w:rPr>
                <w:rFonts w:ascii="Garamond" w:hAnsi="Garamond"/>
                <w:bCs/>
                <w:color w:val="1F497D" w:themeColor="text2"/>
                <w:sz w:val="20"/>
                <w:szCs w:val="20"/>
              </w:rPr>
              <w:t>........................................................................</w:t>
            </w:r>
          </w:p>
        </w:tc>
        <w:tc>
          <w:tcPr>
            <w:tcW w:w="468" w:type="dxa"/>
            <w:shd w:val="pct5" w:color="000000" w:fill="FFFFFF"/>
            <w:vAlign w:val="bottom"/>
          </w:tcPr>
          <w:p w14:paraId="3C4283DF"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54065FB9" w14:textId="77777777" w:rsidTr="00525AE5">
        <w:tc>
          <w:tcPr>
            <w:tcW w:w="5877" w:type="dxa"/>
            <w:shd w:val="pct5" w:color="000000" w:fill="FFFFFF"/>
          </w:tcPr>
          <w:p w14:paraId="7ED944D3" w14:textId="77777777" w:rsidR="003D300F" w:rsidRPr="00565F75" w:rsidRDefault="003D300F" w:rsidP="003D300F">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 xml:space="preserve">3.2.2. The expenditures aspect of the economy </w:t>
            </w:r>
            <w:r w:rsidRPr="00565F75">
              <w:rPr>
                <w:rFonts w:ascii="Garamond" w:hAnsi="Garamond"/>
                <w:bCs/>
                <w:color w:val="1F497D" w:themeColor="text2"/>
                <w:sz w:val="20"/>
                <w:szCs w:val="20"/>
              </w:rPr>
              <w:t>..................................</w:t>
            </w:r>
            <w:r>
              <w:rPr>
                <w:rFonts w:ascii="Garamond" w:hAnsi="Garamond"/>
                <w:bCs/>
                <w:color w:val="1F497D" w:themeColor="text2"/>
                <w:sz w:val="20"/>
                <w:szCs w:val="20"/>
              </w:rPr>
              <w:t>...........</w:t>
            </w:r>
            <w:r w:rsidRPr="00565F75">
              <w:rPr>
                <w:rFonts w:ascii="Garamond" w:hAnsi="Garamond"/>
                <w:bCs/>
                <w:color w:val="1F497D" w:themeColor="text2"/>
                <w:sz w:val="20"/>
                <w:szCs w:val="20"/>
              </w:rPr>
              <w:t>.</w:t>
            </w:r>
          </w:p>
        </w:tc>
        <w:tc>
          <w:tcPr>
            <w:tcW w:w="468" w:type="dxa"/>
            <w:shd w:val="pct5" w:color="000000" w:fill="FFFFFF"/>
            <w:vAlign w:val="bottom"/>
          </w:tcPr>
          <w:p w14:paraId="70324823"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040E2C9E" w14:textId="77777777" w:rsidTr="00525AE5">
        <w:tc>
          <w:tcPr>
            <w:tcW w:w="5877" w:type="dxa"/>
            <w:shd w:val="pct20" w:color="000000" w:fill="FFFFFF"/>
          </w:tcPr>
          <w:p w14:paraId="13932389" w14:textId="77777777" w:rsidR="003D300F" w:rsidRPr="00565F75" w:rsidRDefault="003D300F" w:rsidP="003D300F">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3.2.3. The production aspect of the economy</w:t>
            </w:r>
            <w:r w:rsidRPr="00565F75">
              <w:rPr>
                <w:rFonts w:ascii="Garamond" w:hAnsi="Garamond"/>
                <w:bCs/>
                <w:color w:val="1F497D" w:themeColor="text2"/>
                <w:sz w:val="20"/>
                <w:szCs w:val="20"/>
              </w:rPr>
              <w:t>.......................................</w:t>
            </w:r>
          </w:p>
        </w:tc>
        <w:tc>
          <w:tcPr>
            <w:tcW w:w="468" w:type="dxa"/>
            <w:shd w:val="pct20" w:color="000000" w:fill="FFFFFF"/>
            <w:vAlign w:val="bottom"/>
          </w:tcPr>
          <w:p w14:paraId="0EC704C2"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70C73945" w14:textId="77777777" w:rsidTr="00525AE5">
        <w:tc>
          <w:tcPr>
            <w:tcW w:w="5877" w:type="dxa"/>
            <w:shd w:val="pct5" w:color="000000" w:fill="FFFFFF"/>
          </w:tcPr>
          <w:p w14:paraId="2ED26E55" w14:textId="77777777" w:rsidR="003D300F" w:rsidRPr="00565F75" w:rsidRDefault="003D300F" w:rsidP="003D300F">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3.2.4. Labor market</w:t>
            </w:r>
            <w:r w:rsidRPr="00565F75">
              <w:rPr>
                <w:rFonts w:ascii="Garamond" w:hAnsi="Garamond"/>
                <w:bCs/>
                <w:color w:val="1F497D" w:themeColor="text2"/>
                <w:sz w:val="20"/>
                <w:szCs w:val="20"/>
              </w:rPr>
              <w:t>…..........................................................................</w:t>
            </w:r>
          </w:p>
        </w:tc>
        <w:tc>
          <w:tcPr>
            <w:tcW w:w="468" w:type="dxa"/>
            <w:shd w:val="pct5" w:color="000000" w:fill="FFFFFF"/>
            <w:vAlign w:val="bottom"/>
          </w:tcPr>
          <w:p w14:paraId="59DF90EA"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17A63574" w14:textId="77777777" w:rsidTr="00525AE5">
        <w:tc>
          <w:tcPr>
            <w:tcW w:w="5877" w:type="dxa"/>
            <w:shd w:val="pct20" w:color="000000" w:fill="FFFFFF"/>
          </w:tcPr>
          <w:p w14:paraId="25ED0B39" w14:textId="77777777" w:rsidR="003D300F" w:rsidRPr="00565F75" w:rsidRDefault="003D300F" w:rsidP="003D300F">
            <w:pPr>
              <w:spacing w:before="50" w:after="50"/>
              <w:ind w:left="431" w:right="-113" w:hanging="318"/>
              <w:rPr>
                <w:rFonts w:ascii="Garamond" w:hAnsi="Garamond"/>
                <w:color w:val="1F497D" w:themeColor="text2"/>
                <w:sz w:val="20"/>
                <w:szCs w:val="20"/>
              </w:rPr>
            </w:pPr>
            <w:r w:rsidRPr="00565F75">
              <w:rPr>
                <w:rFonts w:ascii="Garamond" w:hAnsi="Garamond" w:cs="Sylfaen"/>
                <w:b/>
                <w:i/>
                <w:color w:val="1F497D" w:themeColor="text2"/>
                <w:sz w:val="20"/>
                <w:szCs w:val="20"/>
              </w:rPr>
              <w:t>3.3. Financial market developments</w:t>
            </w:r>
            <w:r w:rsidRPr="00565F75">
              <w:rPr>
                <w:rFonts w:ascii="Garamond" w:hAnsi="Garamond"/>
                <w:bCs/>
                <w:color w:val="1F497D" w:themeColor="text2"/>
                <w:sz w:val="20"/>
                <w:szCs w:val="20"/>
              </w:rPr>
              <w:t>.....................................................</w:t>
            </w:r>
          </w:p>
        </w:tc>
        <w:tc>
          <w:tcPr>
            <w:tcW w:w="468" w:type="dxa"/>
            <w:shd w:val="pct20" w:color="000000" w:fill="FFFFFF"/>
            <w:vAlign w:val="bottom"/>
          </w:tcPr>
          <w:p w14:paraId="11D446A0"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7BC22B8F" w14:textId="77777777" w:rsidTr="00525AE5">
        <w:tc>
          <w:tcPr>
            <w:tcW w:w="5877" w:type="dxa"/>
            <w:shd w:val="pct20" w:color="000000" w:fill="FFFFFF"/>
          </w:tcPr>
          <w:p w14:paraId="5E5D6800" w14:textId="77777777" w:rsidR="003D300F" w:rsidRPr="00565F75" w:rsidRDefault="003D300F" w:rsidP="003D300F">
            <w:pPr>
              <w:spacing w:before="50" w:after="50"/>
              <w:ind w:right="-113"/>
              <w:rPr>
                <w:rFonts w:ascii="Garamond" w:hAnsi="Garamond"/>
                <w:b/>
                <w:color w:val="1F497D" w:themeColor="text2"/>
                <w:sz w:val="20"/>
                <w:szCs w:val="20"/>
              </w:rPr>
            </w:pPr>
            <w:r>
              <w:rPr>
                <w:rFonts w:ascii="Garamond" w:hAnsi="Garamond"/>
                <w:b/>
                <w:color w:val="1F497D" w:themeColor="text2"/>
                <w:sz w:val="20"/>
                <w:szCs w:val="20"/>
              </w:rPr>
              <w:t xml:space="preserve">    </w:t>
            </w:r>
            <w:r w:rsidRPr="00565F75">
              <w:rPr>
                <w:rFonts w:ascii="Garamond" w:hAnsi="Garamond"/>
                <w:b/>
                <w:color w:val="1F497D" w:themeColor="text2"/>
                <w:sz w:val="20"/>
                <w:szCs w:val="20"/>
              </w:rPr>
              <w:t>Annex</w:t>
            </w:r>
          </w:p>
        </w:tc>
        <w:tc>
          <w:tcPr>
            <w:tcW w:w="468" w:type="dxa"/>
            <w:shd w:val="pct20" w:color="000000" w:fill="FFFFFF"/>
            <w:vAlign w:val="bottom"/>
          </w:tcPr>
          <w:p w14:paraId="406B9F11"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5F71CF92" w14:textId="77777777" w:rsidTr="00525AE5">
        <w:tc>
          <w:tcPr>
            <w:tcW w:w="5877" w:type="dxa"/>
            <w:shd w:val="pct5" w:color="000000" w:fill="FFFFFF"/>
          </w:tcPr>
          <w:p w14:paraId="630E0BBA" w14:textId="77777777" w:rsidR="003D300F" w:rsidRPr="00565F75" w:rsidRDefault="003D300F" w:rsidP="003D300F">
            <w:pPr>
              <w:spacing w:before="50" w:after="50"/>
              <w:ind w:left="284" w:right="-113" w:hanging="142"/>
              <w:rPr>
                <w:rFonts w:ascii="Garamond" w:hAnsi="Garamond"/>
                <w:b/>
                <w:i/>
                <w:color w:val="1F497D" w:themeColor="text2"/>
                <w:sz w:val="20"/>
                <w:szCs w:val="20"/>
              </w:rPr>
            </w:pPr>
            <w:r w:rsidRPr="00565F75">
              <w:rPr>
                <w:rFonts w:ascii="Garamond" w:hAnsi="Garamond"/>
                <w:b/>
                <w:i/>
                <w:color w:val="1F497D" w:themeColor="text2"/>
                <w:sz w:val="20"/>
                <w:szCs w:val="20"/>
              </w:rPr>
              <w:t>Minutes</w:t>
            </w:r>
            <w:r w:rsidRPr="00565F75">
              <w:rPr>
                <w:rFonts w:ascii="Garamond" w:hAnsi="Garamond"/>
                <w:bCs/>
                <w:i/>
                <w:color w:val="1F497D" w:themeColor="text2"/>
                <w:sz w:val="20"/>
                <w:szCs w:val="20"/>
              </w:rPr>
              <w:t>...................................................................................................</w:t>
            </w:r>
          </w:p>
        </w:tc>
        <w:tc>
          <w:tcPr>
            <w:tcW w:w="468" w:type="dxa"/>
            <w:shd w:val="pct5" w:color="000000" w:fill="FFFFFF"/>
            <w:vAlign w:val="bottom"/>
          </w:tcPr>
          <w:p w14:paraId="2CE4C54C"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5AF1CEE3" w14:textId="77777777" w:rsidTr="00525AE5">
        <w:tc>
          <w:tcPr>
            <w:tcW w:w="5877" w:type="dxa"/>
            <w:shd w:val="pct20" w:color="000000" w:fill="FFFFFF"/>
          </w:tcPr>
          <w:p w14:paraId="2C350183" w14:textId="77777777" w:rsidR="003D300F" w:rsidRPr="00565F75" w:rsidRDefault="003D300F" w:rsidP="003D300F">
            <w:pPr>
              <w:spacing w:before="50" w:after="50"/>
              <w:ind w:left="284" w:right="-113" w:hanging="142"/>
              <w:rPr>
                <w:rFonts w:ascii="Garamond" w:hAnsi="Garamond"/>
                <w:b/>
                <w:i/>
                <w:color w:val="1F497D" w:themeColor="text2"/>
                <w:sz w:val="20"/>
                <w:szCs w:val="20"/>
              </w:rPr>
            </w:pPr>
            <w:r w:rsidRPr="00565F75">
              <w:rPr>
                <w:rFonts w:ascii="Garamond" w:hAnsi="Garamond"/>
                <w:b/>
                <w:i/>
                <w:color w:val="1F497D" w:themeColor="text2"/>
                <w:sz w:val="20"/>
                <w:szCs w:val="20"/>
              </w:rPr>
              <w:t>The CBA Board Decision on interest rates</w:t>
            </w:r>
            <w:r w:rsidRPr="00565F75">
              <w:rPr>
                <w:rFonts w:ascii="Garamond" w:hAnsi="Garamond"/>
                <w:bCs/>
                <w:i/>
                <w:color w:val="1F497D" w:themeColor="text2"/>
                <w:sz w:val="20"/>
                <w:szCs w:val="20"/>
              </w:rPr>
              <w:t>.......................................</w:t>
            </w:r>
          </w:p>
        </w:tc>
        <w:tc>
          <w:tcPr>
            <w:tcW w:w="468" w:type="dxa"/>
            <w:shd w:val="pct20" w:color="000000" w:fill="FFFFFF"/>
            <w:vAlign w:val="bottom"/>
          </w:tcPr>
          <w:p w14:paraId="0887C088"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11A3E3CC" w14:textId="77777777" w:rsidTr="00525AE5">
        <w:tc>
          <w:tcPr>
            <w:tcW w:w="5877" w:type="dxa"/>
            <w:shd w:val="pct5" w:color="000000" w:fill="FFFFFF"/>
          </w:tcPr>
          <w:p w14:paraId="099ABE20" w14:textId="77777777" w:rsidR="003D300F" w:rsidRPr="00565F75" w:rsidRDefault="003D300F" w:rsidP="003D300F">
            <w:pPr>
              <w:spacing w:before="50" w:after="50"/>
              <w:ind w:left="284" w:right="-113" w:hanging="142"/>
              <w:rPr>
                <w:rFonts w:ascii="Garamond" w:hAnsi="Garamond"/>
                <w:b/>
                <w:i/>
                <w:color w:val="1F497D" w:themeColor="text2"/>
                <w:sz w:val="20"/>
                <w:szCs w:val="20"/>
              </w:rPr>
            </w:pPr>
            <w:r w:rsidRPr="00565F75">
              <w:rPr>
                <w:rFonts w:ascii="Garamond" w:hAnsi="Garamond"/>
                <w:b/>
                <w:i/>
                <w:color w:val="1F497D" w:themeColor="text2"/>
                <w:sz w:val="20"/>
                <w:szCs w:val="20"/>
              </w:rPr>
              <w:t>Press release</w:t>
            </w:r>
            <w:r w:rsidRPr="00565F75">
              <w:rPr>
                <w:rFonts w:ascii="Garamond" w:hAnsi="Garamond"/>
                <w:bCs/>
                <w:i/>
                <w:color w:val="1F497D" w:themeColor="text2"/>
                <w:sz w:val="20"/>
                <w:szCs w:val="20"/>
              </w:rPr>
              <w:t>..........................................................................................</w:t>
            </w:r>
          </w:p>
        </w:tc>
        <w:tc>
          <w:tcPr>
            <w:tcW w:w="468" w:type="dxa"/>
            <w:shd w:val="pct5" w:color="000000" w:fill="FFFFFF"/>
            <w:vAlign w:val="bottom"/>
          </w:tcPr>
          <w:p w14:paraId="107C7512"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455665F6" w14:textId="77777777" w:rsidTr="00525AE5">
        <w:tc>
          <w:tcPr>
            <w:tcW w:w="5877" w:type="dxa"/>
            <w:shd w:val="pct20" w:color="000000" w:fill="FFFFFF"/>
          </w:tcPr>
          <w:p w14:paraId="5766BBAF" w14:textId="77777777" w:rsidR="003D300F" w:rsidRPr="00565F75" w:rsidRDefault="003D300F" w:rsidP="003D300F">
            <w:pPr>
              <w:spacing w:before="50" w:after="50"/>
              <w:ind w:left="284" w:right="-113" w:hanging="142"/>
              <w:rPr>
                <w:rFonts w:ascii="Garamond" w:hAnsi="Garamond"/>
                <w:b/>
                <w:i/>
                <w:color w:val="1F497D" w:themeColor="text2"/>
                <w:sz w:val="20"/>
                <w:szCs w:val="20"/>
              </w:rPr>
            </w:pPr>
            <w:r w:rsidRPr="00565F75">
              <w:rPr>
                <w:rFonts w:ascii="Garamond" w:hAnsi="Garamond"/>
                <w:b/>
                <w:i/>
                <w:color w:val="1F497D" w:themeColor="text2"/>
                <w:sz w:val="20"/>
                <w:szCs w:val="20"/>
              </w:rPr>
              <w:t>Main macroeconomic indicators</w:t>
            </w:r>
            <w:r w:rsidRPr="00565F75">
              <w:rPr>
                <w:rFonts w:ascii="Garamond" w:hAnsi="Garamond"/>
                <w:bCs/>
                <w:i/>
                <w:color w:val="1F497D" w:themeColor="text2"/>
                <w:sz w:val="20"/>
                <w:szCs w:val="20"/>
              </w:rPr>
              <w:t>..........................................................</w:t>
            </w:r>
          </w:p>
        </w:tc>
        <w:tc>
          <w:tcPr>
            <w:tcW w:w="468" w:type="dxa"/>
            <w:shd w:val="pct20" w:color="000000" w:fill="FFFFFF"/>
            <w:vAlign w:val="bottom"/>
          </w:tcPr>
          <w:p w14:paraId="1B3B19B8"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191F90FF" w14:textId="77777777" w:rsidTr="00525AE5">
        <w:tc>
          <w:tcPr>
            <w:tcW w:w="5877" w:type="dxa"/>
            <w:shd w:val="pct5" w:color="000000" w:fill="FFFFFF"/>
          </w:tcPr>
          <w:p w14:paraId="1E925819" w14:textId="77777777" w:rsidR="003D300F" w:rsidRPr="00565F75" w:rsidRDefault="003D300F" w:rsidP="003D300F">
            <w:pPr>
              <w:spacing w:before="50" w:after="50"/>
              <w:ind w:left="284" w:right="-113" w:hanging="142"/>
              <w:rPr>
                <w:rFonts w:ascii="Garamond" w:hAnsi="Garamond"/>
                <w:b/>
                <w:i/>
                <w:color w:val="1F497D" w:themeColor="text2"/>
                <w:sz w:val="20"/>
                <w:szCs w:val="20"/>
              </w:rPr>
            </w:pPr>
            <w:r w:rsidRPr="00565F75">
              <w:rPr>
                <w:rFonts w:ascii="Garamond" w:hAnsi="Garamond"/>
                <w:b/>
                <w:i/>
                <w:color w:val="1F497D" w:themeColor="text2"/>
                <w:sz w:val="20"/>
                <w:szCs w:val="20"/>
              </w:rPr>
              <w:t>Charts</w:t>
            </w:r>
            <w:r w:rsidRPr="00565F75">
              <w:rPr>
                <w:rFonts w:ascii="Garamond" w:hAnsi="Garamond"/>
                <w:bCs/>
                <w:i/>
                <w:color w:val="1F497D" w:themeColor="text2"/>
                <w:sz w:val="20"/>
                <w:szCs w:val="20"/>
              </w:rPr>
              <w:t>.....................................................................................................</w:t>
            </w:r>
          </w:p>
        </w:tc>
        <w:tc>
          <w:tcPr>
            <w:tcW w:w="468" w:type="dxa"/>
            <w:shd w:val="pct5" w:color="000000" w:fill="FFFFFF"/>
            <w:vAlign w:val="bottom"/>
          </w:tcPr>
          <w:p w14:paraId="6F4A86BA"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071DFD1F" w14:textId="77777777" w:rsidTr="00525AE5">
        <w:tc>
          <w:tcPr>
            <w:tcW w:w="5877" w:type="dxa"/>
            <w:shd w:val="pct20" w:color="000000" w:fill="FFFFFF"/>
          </w:tcPr>
          <w:p w14:paraId="6B0A5130" w14:textId="77777777" w:rsidR="003D300F" w:rsidRPr="00565F75" w:rsidRDefault="003D300F" w:rsidP="003D300F">
            <w:pPr>
              <w:spacing w:before="50" w:after="50"/>
              <w:ind w:left="284" w:right="-113" w:hanging="142"/>
              <w:rPr>
                <w:rFonts w:ascii="Garamond" w:hAnsi="Garamond"/>
                <w:b/>
                <w:i/>
                <w:color w:val="1F497D" w:themeColor="text2"/>
                <w:sz w:val="20"/>
                <w:szCs w:val="20"/>
              </w:rPr>
            </w:pPr>
            <w:r>
              <w:rPr>
                <w:rFonts w:ascii="Garamond" w:hAnsi="Garamond"/>
                <w:b/>
                <w:i/>
                <w:color w:val="1F497D" w:themeColor="text2"/>
                <w:sz w:val="20"/>
                <w:szCs w:val="20"/>
              </w:rPr>
              <w:t>Tables</w:t>
            </w:r>
            <w:r w:rsidRPr="00565F75">
              <w:rPr>
                <w:rFonts w:ascii="Garamond" w:hAnsi="Garamond"/>
                <w:bCs/>
                <w:i/>
                <w:color w:val="1F497D" w:themeColor="text2"/>
                <w:sz w:val="20"/>
                <w:szCs w:val="20"/>
              </w:rPr>
              <w:t>.....................................................................................................</w:t>
            </w:r>
          </w:p>
        </w:tc>
        <w:tc>
          <w:tcPr>
            <w:tcW w:w="468" w:type="dxa"/>
            <w:shd w:val="pct20" w:color="000000" w:fill="FFFFFF"/>
            <w:vAlign w:val="bottom"/>
          </w:tcPr>
          <w:p w14:paraId="05D99461"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bl>
    <w:p w14:paraId="2484445D" w14:textId="77777777" w:rsidR="007B1D1B" w:rsidRPr="00EE5F0F" w:rsidRDefault="007B1D1B" w:rsidP="00EE619D">
      <w:pPr>
        <w:autoSpaceDE w:val="0"/>
        <w:autoSpaceDN w:val="0"/>
        <w:adjustRightInd w:val="0"/>
        <w:spacing w:after="120" w:line="360" w:lineRule="auto"/>
        <w:jc w:val="both"/>
        <w:rPr>
          <w:rFonts w:ascii="Garamond" w:hAnsi="Garamond"/>
          <w:b/>
          <w:color w:val="0070C0"/>
          <w:sz w:val="22"/>
          <w:szCs w:val="22"/>
        </w:rPr>
      </w:pPr>
    </w:p>
    <w:p w14:paraId="013F5CCF" w14:textId="77777777" w:rsidR="005F748E" w:rsidRPr="00EE5F0F" w:rsidRDefault="005F748E" w:rsidP="00EE619D">
      <w:pPr>
        <w:autoSpaceDE w:val="0"/>
        <w:autoSpaceDN w:val="0"/>
        <w:adjustRightInd w:val="0"/>
        <w:spacing w:after="120" w:line="360" w:lineRule="auto"/>
        <w:jc w:val="both"/>
        <w:rPr>
          <w:rFonts w:ascii="Garamond" w:hAnsi="Garamond"/>
          <w:b/>
          <w:color w:val="0070C0"/>
          <w:sz w:val="22"/>
          <w:szCs w:val="22"/>
        </w:rPr>
      </w:pPr>
    </w:p>
    <w:p w14:paraId="76D82D70" w14:textId="77777777" w:rsidR="00565F75" w:rsidRDefault="00565F75" w:rsidP="00EE619D">
      <w:pPr>
        <w:autoSpaceDE w:val="0"/>
        <w:autoSpaceDN w:val="0"/>
        <w:adjustRightInd w:val="0"/>
        <w:spacing w:after="120" w:line="360" w:lineRule="auto"/>
        <w:jc w:val="both"/>
        <w:rPr>
          <w:rFonts w:ascii="Garamond" w:hAnsi="Garamond"/>
          <w:b/>
          <w:color w:val="0070C0"/>
          <w:sz w:val="22"/>
          <w:szCs w:val="22"/>
        </w:rPr>
      </w:pPr>
    </w:p>
    <w:p w14:paraId="5E542363" w14:textId="77777777" w:rsidR="00276D6F" w:rsidRDefault="00276D6F" w:rsidP="00EE619D">
      <w:pPr>
        <w:autoSpaceDE w:val="0"/>
        <w:autoSpaceDN w:val="0"/>
        <w:adjustRightInd w:val="0"/>
        <w:spacing w:after="120" w:line="360" w:lineRule="auto"/>
        <w:jc w:val="both"/>
        <w:rPr>
          <w:rFonts w:ascii="Garamond" w:hAnsi="Garamond"/>
          <w:b/>
          <w:color w:val="0070C0"/>
          <w:sz w:val="22"/>
          <w:szCs w:val="22"/>
        </w:rPr>
      </w:pPr>
    </w:p>
    <w:p w14:paraId="5CDE8287" w14:textId="77777777" w:rsidR="00EE619D" w:rsidRPr="00EE5F0F" w:rsidRDefault="00EE619D" w:rsidP="00EE619D">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1. EXECUTIVE SUMMARY</w:t>
      </w:r>
    </w:p>
    <w:p w14:paraId="5F424EA8" w14:textId="77777777" w:rsidR="00FE5DCF" w:rsidRDefault="00E91FF3" w:rsidP="00EE619D">
      <w:pPr>
        <w:autoSpaceDE w:val="0"/>
        <w:autoSpaceDN w:val="0"/>
        <w:adjustRightInd w:val="0"/>
        <w:spacing w:after="120" w:line="360" w:lineRule="auto"/>
        <w:jc w:val="both"/>
        <w:rPr>
          <w:rFonts w:ascii="Garamond" w:hAnsi="Garamond"/>
          <w:b/>
          <w:sz w:val="22"/>
          <w:szCs w:val="22"/>
        </w:rPr>
      </w:pPr>
      <w:r>
        <w:rPr>
          <w:rFonts w:ascii="Garamond" w:hAnsi="Garamond"/>
          <w:b/>
          <w:sz w:val="22"/>
          <w:szCs w:val="22"/>
        </w:rPr>
        <w:t>The inflation environment remained low in the second quarter of 2019 too, and the Central Bank</w:t>
      </w:r>
      <w:r w:rsidR="00A86B6F">
        <w:rPr>
          <w:rFonts w:ascii="Garamond" w:hAnsi="Garamond"/>
          <w:b/>
          <w:sz w:val="22"/>
          <w:szCs w:val="22"/>
        </w:rPr>
        <w:t xml:space="preserve"> of the Republic of Armenia (the Central Bank) continued implementing an expansionary monetary policy. With aggregate demand set to recovery, </w:t>
      </w:r>
      <w:r w:rsidR="00A86B6F" w:rsidRPr="00A86B6F">
        <w:rPr>
          <w:rFonts w:ascii="Garamond" w:hAnsi="Garamond"/>
          <w:b/>
          <w:sz w:val="22"/>
          <w:szCs w:val="22"/>
        </w:rPr>
        <w:t xml:space="preserve">inflation will stabilize around the 4% </w:t>
      </w:r>
      <w:r w:rsidR="00A86B6F">
        <w:rPr>
          <w:rFonts w:ascii="Garamond" w:hAnsi="Garamond"/>
          <w:b/>
          <w:sz w:val="22"/>
          <w:szCs w:val="22"/>
        </w:rPr>
        <w:t xml:space="preserve">target </w:t>
      </w:r>
      <w:r w:rsidR="00A86B6F" w:rsidRPr="00A86B6F">
        <w:rPr>
          <w:rFonts w:ascii="Garamond" w:hAnsi="Garamond"/>
          <w:b/>
          <w:sz w:val="22"/>
          <w:szCs w:val="22"/>
        </w:rPr>
        <w:t xml:space="preserve">in </w:t>
      </w:r>
      <w:r w:rsidR="00A86B6F">
        <w:rPr>
          <w:rFonts w:ascii="Garamond" w:hAnsi="Garamond"/>
          <w:b/>
          <w:sz w:val="22"/>
          <w:szCs w:val="22"/>
        </w:rPr>
        <w:t>the medium run, as a result.</w:t>
      </w:r>
    </w:p>
    <w:tbl>
      <w:tblPr>
        <w:tblStyle w:val="TableGrid"/>
        <w:tblW w:w="0" w:type="auto"/>
        <w:tblLook w:val="04A0" w:firstRow="1" w:lastRow="0" w:firstColumn="1" w:lastColumn="0" w:noHBand="0" w:noVBand="1"/>
      </w:tblPr>
      <w:tblGrid>
        <w:gridCol w:w="6036"/>
      </w:tblGrid>
      <w:tr w:rsidR="00A86B6F" w:rsidRPr="00AB24C1" w14:paraId="0EEC18A7" w14:textId="77777777" w:rsidTr="00F7601C">
        <w:trPr>
          <w:trHeight w:val="1103"/>
        </w:trPr>
        <w:tc>
          <w:tcPr>
            <w:tcW w:w="6036" w:type="dxa"/>
          </w:tcPr>
          <w:p w14:paraId="0DD0662A" w14:textId="77777777" w:rsidR="00A86B6F" w:rsidRPr="0031200A" w:rsidRDefault="00A86B6F" w:rsidP="008D1D04">
            <w:pPr>
              <w:autoSpaceDE w:val="0"/>
              <w:autoSpaceDN w:val="0"/>
              <w:adjustRightInd w:val="0"/>
              <w:spacing w:after="120" w:line="360" w:lineRule="auto"/>
              <w:jc w:val="both"/>
              <w:rPr>
                <w:rFonts w:ascii="Garamond" w:hAnsi="Garamond"/>
                <w:color w:val="0070C0"/>
                <w:sz w:val="20"/>
                <w:szCs w:val="20"/>
              </w:rPr>
            </w:pPr>
            <w:r>
              <w:rPr>
                <w:rFonts w:ascii="Garamond" w:hAnsi="Garamond"/>
                <w:color w:val="0070C0"/>
                <w:sz w:val="20"/>
                <w:szCs w:val="20"/>
              </w:rPr>
              <w:t xml:space="preserve">The </w:t>
            </w:r>
            <w:r w:rsidRPr="0031200A">
              <w:rPr>
                <w:rFonts w:ascii="Garamond" w:hAnsi="Garamond"/>
                <w:color w:val="0070C0"/>
                <w:sz w:val="20"/>
                <w:szCs w:val="20"/>
              </w:rPr>
              <w:t xml:space="preserve">inflation </w:t>
            </w:r>
            <w:r>
              <w:rPr>
                <w:rFonts w:ascii="Garamond" w:hAnsi="Garamond"/>
                <w:color w:val="0070C0"/>
                <w:sz w:val="20"/>
                <w:szCs w:val="20"/>
              </w:rPr>
              <w:t xml:space="preserve">environment remained low in the second quarter of 2019 too, </w:t>
            </w:r>
            <w:r w:rsidR="008D1D04">
              <w:rPr>
                <w:rFonts w:ascii="Garamond" w:hAnsi="Garamond"/>
                <w:color w:val="0070C0"/>
                <w:sz w:val="20"/>
                <w:szCs w:val="20"/>
              </w:rPr>
              <w:t xml:space="preserve">under which circumstance </w:t>
            </w:r>
            <w:r>
              <w:rPr>
                <w:rFonts w:ascii="Garamond" w:hAnsi="Garamond"/>
                <w:color w:val="0070C0"/>
                <w:sz w:val="20"/>
                <w:szCs w:val="20"/>
              </w:rPr>
              <w:t xml:space="preserve">the Central Bank </w:t>
            </w:r>
            <w:r w:rsidR="008D1D04">
              <w:rPr>
                <w:rFonts w:ascii="Garamond" w:hAnsi="Garamond"/>
                <w:color w:val="0070C0"/>
                <w:sz w:val="20"/>
                <w:szCs w:val="20"/>
              </w:rPr>
              <w:t>further pursued an expansionary monetary policy</w:t>
            </w:r>
            <w:r w:rsidRPr="0031200A">
              <w:rPr>
                <w:rFonts w:ascii="Garamond" w:hAnsi="Garamond"/>
                <w:color w:val="0070C0"/>
                <w:sz w:val="20"/>
                <w:szCs w:val="20"/>
              </w:rPr>
              <w:t xml:space="preserve">. </w:t>
            </w:r>
          </w:p>
        </w:tc>
      </w:tr>
    </w:tbl>
    <w:p w14:paraId="127A6569" w14:textId="77777777" w:rsidR="00A86B6F" w:rsidRDefault="00A86B6F" w:rsidP="00EE619D">
      <w:pPr>
        <w:autoSpaceDE w:val="0"/>
        <w:autoSpaceDN w:val="0"/>
        <w:adjustRightInd w:val="0"/>
        <w:spacing w:after="120" w:line="360" w:lineRule="auto"/>
        <w:jc w:val="both"/>
        <w:rPr>
          <w:rFonts w:ascii="Garamond" w:hAnsi="Garamond"/>
          <w:sz w:val="22"/>
          <w:szCs w:val="22"/>
        </w:rPr>
      </w:pPr>
    </w:p>
    <w:p w14:paraId="7C911D18" w14:textId="77777777" w:rsidR="00E03236" w:rsidRDefault="008D1D04" w:rsidP="00EE619D">
      <w:pPr>
        <w:autoSpaceDE w:val="0"/>
        <w:autoSpaceDN w:val="0"/>
        <w:adjustRightInd w:val="0"/>
        <w:spacing w:after="120" w:line="360" w:lineRule="auto"/>
        <w:jc w:val="both"/>
        <w:rPr>
          <w:rFonts w:ascii="Garamond" w:hAnsi="Garamond"/>
          <w:sz w:val="22"/>
          <w:szCs w:val="22"/>
        </w:rPr>
      </w:pPr>
      <w:r w:rsidRPr="008D1D04">
        <w:rPr>
          <w:rFonts w:ascii="Garamond" w:hAnsi="Garamond"/>
          <w:sz w:val="22"/>
          <w:szCs w:val="22"/>
        </w:rPr>
        <w:t>According to the second quarter</w:t>
      </w:r>
      <w:r>
        <w:rPr>
          <w:rFonts w:ascii="Garamond" w:hAnsi="Garamond"/>
          <w:sz w:val="22"/>
          <w:szCs w:val="22"/>
        </w:rPr>
        <w:t xml:space="preserve"> 2019 forecasts,</w:t>
      </w:r>
      <w:r w:rsidRPr="008D1D04">
        <w:rPr>
          <w:rFonts w:ascii="Garamond" w:hAnsi="Garamond"/>
          <w:sz w:val="22"/>
          <w:szCs w:val="22"/>
        </w:rPr>
        <w:t xml:space="preserve"> the 12-month inflation </w:t>
      </w:r>
      <w:r>
        <w:rPr>
          <w:rFonts w:ascii="Garamond" w:hAnsi="Garamond"/>
          <w:sz w:val="22"/>
          <w:szCs w:val="22"/>
        </w:rPr>
        <w:t xml:space="preserve">rate </w:t>
      </w:r>
      <w:r w:rsidRPr="008D1D04">
        <w:rPr>
          <w:rFonts w:ascii="Garamond" w:hAnsi="Garamond"/>
          <w:sz w:val="22"/>
          <w:szCs w:val="22"/>
        </w:rPr>
        <w:t xml:space="preserve">will </w:t>
      </w:r>
      <w:r w:rsidR="00E03236">
        <w:rPr>
          <w:rFonts w:ascii="Garamond" w:hAnsi="Garamond"/>
          <w:sz w:val="22"/>
          <w:szCs w:val="22"/>
        </w:rPr>
        <w:t xml:space="preserve">float </w:t>
      </w:r>
      <w:r w:rsidRPr="008D1D04">
        <w:rPr>
          <w:rFonts w:ascii="Garamond" w:hAnsi="Garamond"/>
          <w:sz w:val="22"/>
          <w:szCs w:val="22"/>
        </w:rPr>
        <w:t xml:space="preserve">in </w:t>
      </w:r>
      <w:r w:rsidR="00E03236">
        <w:rPr>
          <w:rFonts w:ascii="Garamond" w:hAnsi="Garamond"/>
          <w:sz w:val="22"/>
          <w:szCs w:val="22"/>
        </w:rPr>
        <w:t xml:space="preserve">the lower part of the confidence band in </w:t>
      </w:r>
      <w:r w:rsidRPr="008D1D04">
        <w:rPr>
          <w:rFonts w:ascii="Garamond" w:hAnsi="Garamond"/>
          <w:sz w:val="22"/>
          <w:szCs w:val="22"/>
        </w:rPr>
        <w:t xml:space="preserve">the </w:t>
      </w:r>
      <w:r w:rsidR="00E03236">
        <w:rPr>
          <w:rFonts w:ascii="Garamond" w:hAnsi="Garamond"/>
          <w:sz w:val="22"/>
          <w:szCs w:val="22"/>
        </w:rPr>
        <w:t>up</w:t>
      </w:r>
      <w:r w:rsidRPr="008D1D04">
        <w:rPr>
          <w:rFonts w:ascii="Garamond" w:hAnsi="Garamond"/>
          <w:sz w:val="22"/>
          <w:szCs w:val="22"/>
        </w:rPr>
        <w:t xml:space="preserve">coming </w:t>
      </w:r>
      <w:r w:rsidR="00E03236">
        <w:rPr>
          <w:rFonts w:ascii="Garamond" w:hAnsi="Garamond"/>
          <w:sz w:val="22"/>
          <w:szCs w:val="22"/>
        </w:rPr>
        <w:t xml:space="preserve">year. The Central Bank estimates that at present the </w:t>
      </w:r>
      <w:r w:rsidR="00E03236" w:rsidRPr="00C819B8">
        <w:rPr>
          <w:rFonts w:ascii="Garamond" w:hAnsi="Garamond"/>
          <w:sz w:val="22"/>
          <w:szCs w:val="22"/>
        </w:rPr>
        <w:t>low inflation contributes to anchoring long-term inflation expectations and maintaining the purchasing power of income</w:t>
      </w:r>
      <w:r w:rsidR="00E03236">
        <w:rPr>
          <w:rFonts w:ascii="Garamond" w:hAnsi="Garamond"/>
          <w:sz w:val="22"/>
          <w:szCs w:val="22"/>
        </w:rPr>
        <w:t>, and a policy steered to the gradual recovery of inflation is still preferable.</w:t>
      </w:r>
    </w:p>
    <w:p w14:paraId="66162B83" w14:textId="77777777" w:rsidR="00BE4CFA" w:rsidRDefault="003047A0" w:rsidP="00EE619D">
      <w:pPr>
        <w:autoSpaceDE w:val="0"/>
        <w:autoSpaceDN w:val="0"/>
        <w:adjustRightInd w:val="0"/>
        <w:spacing w:after="120" w:line="360" w:lineRule="auto"/>
        <w:jc w:val="both"/>
        <w:rPr>
          <w:rFonts w:ascii="Garamond" w:hAnsi="Garamond"/>
          <w:sz w:val="22"/>
          <w:szCs w:val="22"/>
        </w:rPr>
      </w:pPr>
      <w:r w:rsidRPr="003047A0">
        <w:rPr>
          <w:rFonts w:ascii="Garamond" w:hAnsi="Garamond"/>
          <w:sz w:val="22"/>
          <w:szCs w:val="22"/>
        </w:rPr>
        <w:t xml:space="preserve">In the short term, the main factor determining low inflation remains weak </w:t>
      </w:r>
      <w:r>
        <w:rPr>
          <w:rFonts w:ascii="Garamond" w:hAnsi="Garamond"/>
          <w:sz w:val="22"/>
          <w:szCs w:val="22"/>
        </w:rPr>
        <w:t xml:space="preserve">aggregate </w:t>
      </w:r>
      <w:r w:rsidRPr="003047A0">
        <w:rPr>
          <w:rFonts w:ascii="Garamond" w:hAnsi="Garamond"/>
          <w:sz w:val="22"/>
          <w:szCs w:val="22"/>
        </w:rPr>
        <w:t xml:space="preserve">demand which, in its turn, has </w:t>
      </w:r>
      <w:r>
        <w:rPr>
          <w:rFonts w:ascii="Garamond" w:hAnsi="Garamond"/>
          <w:sz w:val="22"/>
          <w:szCs w:val="22"/>
        </w:rPr>
        <w:t>incurred the impact of the Government’</w:t>
      </w:r>
      <w:r w:rsidRPr="003047A0">
        <w:rPr>
          <w:rFonts w:ascii="Garamond" w:hAnsi="Garamond"/>
          <w:sz w:val="22"/>
          <w:szCs w:val="22"/>
        </w:rPr>
        <w:t xml:space="preserve">s </w:t>
      </w:r>
      <w:r>
        <w:rPr>
          <w:rFonts w:ascii="Garamond" w:hAnsi="Garamond"/>
          <w:sz w:val="22"/>
          <w:szCs w:val="22"/>
        </w:rPr>
        <w:t>contractionary f</w:t>
      </w:r>
      <w:r w:rsidRPr="003047A0">
        <w:rPr>
          <w:rFonts w:ascii="Garamond" w:hAnsi="Garamond"/>
          <w:sz w:val="22"/>
          <w:szCs w:val="22"/>
        </w:rPr>
        <w:t xml:space="preserve">iscal policy and </w:t>
      </w:r>
      <w:r>
        <w:rPr>
          <w:rFonts w:ascii="Garamond" w:hAnsi="Garamond"/>
          <w:sz w:val="22"/>
          <w:szCs w:val="22"/>
        </w:rPr>
        <w:t xml:space="preserve">of </w:t>
      </w:r>
      <w:r w:rsidRPr="003047A0">
        <w:rPr>
          <w:rFonts w:ascii="Garamond" w:hAnsi="Garamond"/>
          <w:sz w:val="22"/>
          <w:szCs w:val="22"/>
        </w:rPr>
        <w:t xml:space="preserve">the low inflationary environment </w:t>
      </w:r>
      <w:r>
        <w:rPr>
          <w:rFonts w:ascii="Garamond" w:hAnsi="Garamond"/>
          <w:sz w:val="22"/>
          <w:szCs w:val="22"/>
        </w:rPr>
        <w:t xml:space="preserve">persisting </w:t>
      </w:r>
      <w:r w:rsidRPr="003047A0">
        <w:rPr>
          <w:rFonts w:ascii="Garamond" w:hAnsi="Garamond"/>
          <w:sz w:val="22"/>
          <w:szCs w:val="22"/>
        </w:rPr>
        <w:t xml:space="preserve">in the external </w:t>
      </w:r>
      <w:r>
        <w:rPr>
          <w:rFonts w:ascii="Garamond" w:hAnsi="Garamond"/>
          <w:sz w:val="22"/>
          <w:szCs w:val="22"/>
        </w:rPr>
        <w:t>sector</w:t>
      </w:r>
      <w:r w:rsidRPr="003047A0">
        <w:rPr>
          <w:rFonts w:ascii="Garamond" w:hAnsi="Garamond"/>
          <w:sz w:val="22"/>
          <w:szCs w:val="22"/>
        </w:rPr>
        <w:t>.</w:t>
      </w:r>
      <w:r>
        <w:rPr>
          <w:rFonts w:ascii="Garamond" w:hAnsi="Garamond"/>
          <w:sz w:val="22"/>
          <w:szCs w:val="22"/>
        </w:rPr>
        <w:t xml:space="preserve"> </w:t>
      </w:r>
      <w:r w:rsidRPr="003047A0">
        <w:rPr>
          <w:rFonts w:ascii="Garamond" w:hAnsi="Garamond"/>
          <w:sz w:val="22"/>
          <w:szCs w:val="22"/>
        </w:rPr>
        <w:t>True, the fiscal policy is expected t</w:t>
      </w:r>
      <w:r>
        <w:rPr>
          <w:rFonts w:ascii="Garamond" w:hAnsi="Garamond"/>
          <w:sz w:val="22"/>
          <w:szCs w:val="22"/>
        </w:rPr>
        <w:t xml:space="preserve">o </w:t>
      </w:r>
      <w:r w:rsidR="00F66A64">
        <w:rPr>
          <w:rFonts w:ascii="Garamond" w:hAnsi="Garamond"/>
          <w:sz w:val="22"/>
          <w:szCs w:val="22"/>
        </w:rPr>
        <w:t xml:space="preserve">give </w:t>
      </w:r>
      <w:r w:rsidRPr="003047A0">
        <w:rPr>
          <w:rFonts w:ascii="Garamond" w:hAnsi="Garamond"/>
          <w:sz w:val="22"/>
          <w:szCs w:val="22"/>
        </w:rPr>
        <w:t>aggregate demand</w:t>
      </w:r>
      <w:r w:rsidR="00F66A64">
        <w:rPr>
          <w:rFonts w:ascii="Garamond" w:hAnsi="Garamond"/>
          <w:sz w:val="22"/>
          <w:szCs w:val="22"/>
        </w:rPr>
        <w:t xml:space="preserve"> </w:t>
      </w:r>
      <w:r w:rsidRPr="003047A0">
        <w:rPr>
          <w:rFonts w:ascii="Garamond" w:hAnsi="Garamond"/>
          <w:sz w:val="22"/>
          <w:szCs w:val="22"/>
        </w:rPr>
        <w:t>a</w:t>
      </w:r>
      <w:r w:rsidR="00F66A64">
        <w:rPr>
          <w:rFonts w:ascii="Garamond" w:hAnsi="Garamond"/>
          <w:sz w:val="22"/>
          <w:szCs w:val="22"/>
        </w:rPr>
        <w:t xml:space="preserve">n extensive </w:t>
      </w:r>
      <w:r w:rsidRPr="003047A0">
        <w:rPr>
          <w:rFonts w:ascii="Garamond" w:hAnsi="Garamond"/>
          <w:sz w:val="22"/>
          <w:szCs w:val="22"/>
        </w:rPr>
        <w:t xml:space="preserve">stimulus </w:t>
      </w:r>
      <w:r>
        <w:rPr>
          <w:rFonts w:ascii="Garamond" w:hAnsi="Garamond"/>
          <w:sz w:val="22"/>
          <w:szCs w:val="22"/>
        </w:rPr>
        <w:t xml:space="preserve">over </w:t>
      </w:r>
      <w:r w:rsidRPr="003047A0">
        <w:rPr>
          <w:rFonts w:ascii="Garamond" w:hAnsi="Garamond"/>
          <w:sz w:val="22"/>
          <w:szCs w:val="22"/>
        </w:rPr>
        <w:t xml:space="preserve">the second half of </w:t>
      </w:r>
      <w:r>
        <w:rPr>
          <w:rFonts w:ascii="Garamond" w:hAnsi="Garamond"/>
          <w:sz w:val="22"/>
          <w:szCs w:val="22"/>
        </w:rPr>
        <w:t>2019</w:t>
      </w:r>
      <w:r w:rsidRPr="003047A0">
        <w:rPr>
          <w:rFonts w:ascii="Garamond" w:hAnsi="Garamond"/>
          <w:sz w:val="22"/>
          <w:szCs w:val="22"/>
        </w:rPr>
        <w:t xml:space="preserve">, but </w:t>
      </w:r>
      <w:r w:rsidR="00F66A64">
        <w:rPr>
          <w:rFonts w:ascii="Garamond" w:hAnsi="Garamond"/>
          <w:sz w:val="22"/>
          <w:szCs w:val="22"/>
        </w:rPr>
        <w:t>this</w:t>
      </w:r>
      <w:r w:rsidRPr="003047A0">
        <w:rPr>
          <w:rFonts w:ascii="Garamond" w:hAnsi="Garamond"/>
          <w:sz w:val="22"/>
          <w:szCs w:val="22"/>
        </w:rPr>
        <w:t xml:space="preserve"> will only </w:t>
      </w:r>
      <w:r w:rsidR="00F66A64">
        <w:rPr>
          <w:rFonts w:ascii="Garamond" w:hAnsi="Garamond"/>
          <w:sz w:val="22"/>
          <w:szCs w:val="22"/>
        </w:rPr>
        <w:t xml:space="preserve">absorb </w:t>
      </w:r>
      <w:r w:rsidRPr="003047A0">
        <w:rPr>
          <w:rFonts w:ascii="Garamond" w:hAnsi="Garamond"/>
          <w:sz w:val="22"/>
          <w:szCs w:val="22"/>
        </w:rPr>
        <w:t xml:space="preserve">the </w:t>
      </w:r>
      <w:r>
        <w:rPr>
          <w:rFonts w:ascii="Garamond" w:hAnsi="Garamond"/>
          <w:sz w:val="22"/>
          <w:szCs w:val="22"/>
        </w:rPr>
        <w:t xml:space="preserve">contractionary </w:t>
      </w:r>
      <w:r w:rsidRPr="003047A0">
        <w:rPr>
          <w:rFonts w:ascii="Garamond" w:hAnsi="Garamond"/>
          <w:sz w:val="22"/>
          <w:szCs w:val="22"/>
        </w:rPr>
        <w:t>effect</w:t>
      </w:r>
      <w:r>
        <w:rPr>
          <w:rFonts w:ascii="Garamond" w:hAnsi="Garamond"/>
          <w:sz w:val="22"/>
          <w:szCs w:val="22"/>
        </w:rPr>
        <w:t xml:space="preserve"> it had</w:t>
      </w:r>
      <w:r w:rsidR="00F66A64">
        <w:rPr>
          <w:rFonts w:ascii="Garamond" w:hAnsi="Garamond"/>
          <w:sz w:val="22"/>
          <w:szCs w:val="22"/>
        </w:rPr>
        <w:t xml:space="preserve"> in </w:t>
      </w:r>
      <w:r w:rsidRPr="003047A0">
        <w:rPr>
          <w:rFonts w:ascii="Garamond" w:hAnsi="Garamond"/>
          <w:sz w:val="22"/>
          <w:szCs w:val="22"/>
        </w:rPr>
        <w:t>first half</w:t>
      </w:r>
      <w:r w:rsidR="00F66A64">
        <w:rPr>
          <w:rFonts w:ascii="Garamond" w:hAnsi="Garamond"/>
          <w:sz w:val="22"/>
          <w:szCs w:val="22"/>
        </w:rPr>
        <w:t xml:space="preserve">, turning into a </w:t>
      </w:r>
      <w:r w:rsidRPr="003047A0">
        <w:rPr>
          <w:rFonts w:ascii="Garamond" w:hAnsi="Garamond"/>
          <w:sz w:val="22"/>
          <w:szCs w:val="22"/>
        </w:rPr>
        <w:t>neutral</w:t>
      </w:r>
      <w:r w:rsidR="00F66A64">
        <w:rPr>
          <w:rFonts w:ascii="Garamond" w:hAnsi="Garamond"/>
          <w:sz w:val="22"/>
          <w:szCs w:val="22"/>
        </w:rPr>
        <w:t xml:space="preserve"> for the year</w:t>
      </w:r>
      <w:r w:rsidRPr="003047A0">
        <w:rPr>
          <w:rFonts w:ascii="Garamond" w:hAnsi="Garamond"/>
          <w:sz w:val="22"/>
          <w:szCs w:val="22"/>
        </w:rPr>
        <w:t>.</w:t>
      </w:r>
      <w:r w:rsidR="00F66A64">
        <w:rPr>
          <w:rFonts w:ascii="Garamond" w:hAnsi="Garamond"/>
          <w:sz w:val="22"/>
          <w:szCs w:val="22"/>
        </w:rPr>
        <w:t xml:space="preserve"> In such </w:t>
      </w:r>
      <w:r w:rsidR="00F66A64" w:rsidRPr="00F66A64">
        <w:rPr>
          <w:rFonts w:ascii="Garamond" w:hAnsi="Garamond"/>
          <w:sz w:val="22"/>
          <w:szCs w:val="22"/>
        </w:rPr>
        <w:t>macroeconomic and low inflation</w:t>
      </w:r>
      <w:r w:rsidR="00F66A64">
        <w:rPr>
          <w:rFonts w:ascii="Garamond" w:hAnsi="Garamond"/>
          <w:sz w:val="22"/>
          <w:szCs w:val="22"/>
        </w:rPr>
        <w:t>ary</w:t>
      </w:r>
      <w:r w:rsidR="00F66A64" w:rsidRPr="00F66A64">
        <w:rPr>
          <w:rFonts w:ascii="Garamond" w:hAnsi="Garamond"/>
          <w:sz w:val="22"/>
          <w:szCs w:val="22"/>
        </w:rPr>
        <w:t xml:space="preserve"> environment</w:t>
      </w:r>
      <w:r w:rsidR="00F66A64">
        <w:rPr>
          <w:rFonts w:ascii="Garamond" w:hAnsi="Garamond"/>
          <w:sz w:val="22"/>
          <w:szCs w:val="22"/>
        </w:rPr>
        <w:t xml:space="preserve">, </w:t>
      </w:r>
      <w:r w:rsidR="00F66A64" w:rsidRPr="007F3F81">
        <w:rPr>
          <w:rFonts w:ascii="Garamond" w:hAnsi="Garamond"/>
          <w:sz w:val="22"/>
          <w:szCs w:val="22"/>
        </w:rPr>
        <w:t xml:space="preserve">the current </w:t>
      </w:r>
      <w:r w:rsidR="00F66A64">
        <w:rPr>
          <w:rFonts w:ascii="Garamond" w:hAnsi="Garamond"/>
          <w:sz w:val="22"/>
          <w:szCs w:val="22"/>
        </w:rPr>
        <w:t xml:space="preserve">policy </w:t>
      </w:r>
      <w:r w:rsidR="00F66A64" w:rsidRPr="007F3F81">
        <w:rPr>
          <w:rFonts w:ascii="Garamond" w:hAnsi="Garamond"/>
          <w:sz w:val="22"/>
          <w:szCs w:val="22"/>
        </w:rPr>
        <w:t xml:space="preserve">rate is estimated to be </w:t>
      </w:r>
      <w:r w:rsidR="00F66A64">
        <w:rPr>
          <w:rFonts w:ascii="Garamond" w:hAnsi="Garamond"/>
          <w:sz w:val="22"/>
          <w:szCs w:val="22"/>
        </w:rPr>
        <w:t>expansionary enough, commensurate with</w:t>
      </w:r>
      <w:r w:rsidR="00F66A64" w:rsidRPr="007F3F81">
        <w:rPr>
          <w:rFonts w:ascii="Garamond" w:hAnsi="Garamond"/>
          <w:sz w:val="22"/>
          <w:szCs w:val="22"/>
        </w:rPr>
        <w:t xml:space="preserve"> the </w:t>
      </w:r>
      <w:r w:rsidR="00F66A64">
        <w:rPr>
          <w:rFonts w:ascii="Garamond" w:hAnsi="Garamond"/>
          <w:sz w:val="22"/>
          <w:szCs w:val="22"/>
        </w:rPr>
        <w:t xml:space="preserve">negative </w:t>
      </w:r>
      <w:r w:rsidR="00F66A64" w:rsidRPr="007F3F81">
        <w:rPr>
          <w:rFonts w:ascii="Garamond" w:hAnsi="Garamond"/>
          <w:sz w:val="22"/>
          <w:szCs w:val="22"/>
        </w:rPr>
        <w:t xml:space="preserve">GDP gap, </w:t>
      </w:r>
      <w:r w:rsidR="00F66A64" w:rsidRPr="00F66A64">
        <w:rPr>
          <w:rFonts w:ascii="Garamond" w:hAnsi="Garamond"/>
          <w:b/>
          <w:sz w:val="22"/>
          <w:szCs w:val="22"/>
        </w:rPr>
        <w:t xml:space="preserve">so the </w:t>
      </w:r>
      <w:r w:rsidR="00F66A64">
        <w:rPr>
          <w:rFonts w:ascii="Garamond" w:hAnsi="Garamond"/>
          <w:b/>
          <w:sz w:val="22"/>
          <w:szCs w:val="22"/>
        </w:rPr>
        <w:t xml:space="preserve">Board of the </w:t>
      </w:r>
      <w:r w:rsidR="00F66A64" w:rsidRPr="00F66A64">
        <w:rPr>
          <w:rFonts w:ascii="Garamond" w:hAnsi="Garamond"/>
          <w:b/>
          <w:sz w:val="22"/>
          <w:szCs w:val="22"/>
        </w:rPr>
        <w:t>Central Bank finds it reasonable to leave the refinancing rate unchanged for the time being</w:t>
      </w:r>
      <w:r w:rsidR="00F66A64">
        <w:rPr>
          <w:rFonts w:ascii="Garamond" w:hAnsi="Garamond"/>
          <w:sz w:val="22"/>
          <w:szCs w:val="22"/>
        </w:rPr>
        <w:t>.</w:t>
      </w:r>
      <w:r w:rsidR="00BE4CFA">
        <w:rPr>
          <w:rFonts w:ascii="Garamond" w:hAnsi="Garamond"/>
          <w:sz w:val="22"/>
          <w:szCs w:val="22"/>
        </w:rPr>
        <w:t xml:space="preserve"> In view of predicted macroeconomic developments, the Central Bank will keep monetary conditions expansionary for as long a period as required, in fulfillment of the inflation target in the medium run.</w:t>
      </w:r>
    </w:p>
    <w:tbl>
      <w:tblPr>
        <w:tblStyle w:val="TableGrid"/>
        <w:tblW w:w="0" w:type="auto"/>
        <w:tblLook w:val="04A0" w:firstRow="1" w:lastRow="0" w:firstColumn="1" w:lastColumn="0" w:noHBand="0" w:noVBand="1"/>
      </w:tblPr>
      <w:tblGrid>
        <w:gridCol w:w="6048"/>
      </w:tblGrid>
      <w:tr w:rsidR="00225C60" w14:paraId="628C3D0B" w14:textId="77777777" w:rsidTr="00DF2943">
        <w:tc>
          <w:tcPr>
            <w:tcW w:w="6048" w:type="dxa"/>
          </w:tcPr>
          <w:p w14:paraId="7B901BED" w14:textId="77777777" w:rsidR="00225C60" w:rsidRPr="0031200A" w:rsidRDefault="00BE4CFA" w:rsidP="003F412F">
            <w:pPr>
              <w:autoSpaceDE w:val="0"/>
              <w:autoSpaceDN w:val="0"/>
              <w:adjustRightInd w:val="0"/>
              <w:spacing w:after="120" w:line="360" w:lineRule="auto"/>
              <w:jc w:val="both"/>
              <w:rPr>
                <w:rFonts w:ascii="Garamond" w:hAnsi="Garamond"/>
                <w:color w:val="0070C0"/>
                <w:sz w:val="20"/>
                <w:szCs w:val="20"/>
              </w:rPr>
            </w:pPr>
            <w:r>
              <w:rPr>
                <w:rFonts w:ascii="Garamond" w:hAnsi="Garamond"/>
                <w:color w:val="0070C0"/>
                <w:sz w:val="20"/>
                <w:szCs w:val="20"/>
              </w:rPr>
              <w:t xml:space="preserve">With </w:t>
            </w:r>
            <w:r w:rsidRPr="00BE4CFA">
              <w:rPr>
                <w:rFonts w:ascii="Garamond" w:hAnsi="Garamond"/>
                <w:color w:val="0070C0"/>
                <w:sz w:val="20"/>
                <w:szCs w:val="20"/>
              </w:rPr>
              <w:t>high economic activity in the first quarter</w:t>
            </w:r>
            <w:r>
              <w:rPr>
                <w:rFonts w:ascii="Garamond" w:hAnsi="Garamond"/>
                <w:color w:val="0070C0"/>
                <w:sz w:val="20"/>
                <w:szCs w:val="20"/>
              </w:rPr>
              <w:t xml:space="preserve"> of 2019</w:t>
            </w:r>
            <w:r w:rsidRPr="00BE4CFA">
              <w:rPr>
                <w:rFonts w:ascii="Garamond" w:hAnsi="Garamond"/>
                <w:color w:val="0070C0"/>
                <w:sz w:val="20"/>
                <w:szCs w:val="20"/>
              </w:rPr>
              <w:t xml:space="preserve">, the economic growth </w:t>
            </w:r>
            <w:r w:rsidR="003F412F">
              <w:rPr>
                <w:rFonts w:ascii="Garamond" w:hAnsi="Garamond"/>
                <w:color w:val="0070C0"/>
                <w:sz w:val="20"/>
                <w:szCs w:val="20"/>
              </w:rPr>
              <w:t xml:space="preserve">has </w:t>
            </w:r>
            <w:r w:rsidRPr="00BE4CFA">
              <w:rPr>
                <w:rFonts w:ascii="Garamond" w:hAnsi="Garamond"/>
                <w:color w:val="0070C0"/>
                <w:sz w:val="20"/>
                <w:szCs w:val="20"/>
              </w:rPr>
              <w:t xml:space="preserve">surpassed the expected </w:t>
            </w:r>
            <w:r>
              <w:rPr>
                <w:rFonts w:ascii="Garamond" w:hAnsi="Garamond"/>
                <w:color w:val="0070C0"/>
                <w:sz w:val="20"/>
                <w:szCs w:val="20"/>
              </w:rPr>
              <w:t>indicator</w:t>
            </w:r>
            <w:r w:rsidRPr="00BE4CFA">
              <w:rPr>
                <w:rFonts w:ascii="Garamond" w:hAnsi="Garamond"/>
                <w:color w:val="0070C0"/>
                <w:sz w:val="20"/>
                <w:szCs w:val="20"/>
              </w:rPr>
              <w:t xml:space="preserve">, </w:t>
            </w:r>
            <w:r w:rsidR="003F412F">
              <w:rPr>
                <w:rFonts w:ascii="Garamond" w:hAnsi="Garamond"/>
                <w:color w:val="0070C0"/>
                <w:sz w:val="20"/>
                <w:szCs w:val="20"/>
              </w:rPr>
              <w:t xml:space="preserve">amounting to </w:t>
            </w:r>
            <w:r w:rsidRPr="00BE4CFA">
              <w:rPr>
                <w:rFonts w:ascii="Garamond" w:hAnsi="Garamond"/>
                <w:color w:val="0070C0"/>
                <w:sz w:val="20"/>
                <w:szCs w:val="20"/>
              </w:rPr>
              <w:t xml:space="preserve">7.1%, which continues to </w:t>
            </w:r>
            <w:r w:rsidR="003F412F">
              <w:rPr>
                <w:rFonts w:ascii="Garamond" w:hAnsi="Garamond"/>
                <w:color w:val="0070C0"/>
                <w:sz w:val="20"/>
                <w:szCs w:val="20"/>
              </w:rPr>
              <w:t xml:space="preserve">be largely driven by strong </w:t>
            </w:r>
            <w:r w:rsidRPr="00BE4CFA">
              <w:rPr>
                <w:rFonts w:ascii="Garamond" w:hAnsi="Garamond"/>
                <w:color w:val="0070C0"/>
                <w:sz w:val="20"/>
                <w:szCs w:val="20"/>
              </w:rPr>
              <w:t>private consumption</w:t>
            </w:r>
            <w:r w:rsidR="003F412F">
              <w:rPr>
                <w:rFonts w:ascii="Garamond" w:hAnsi="Garamond"/>
                <w:color w:val="0070C0"/>
                <w:sz w:val="20"/>
                <w:szCs w:val="20"/>
              </w:rPr>
              <w:t xml:space="preserve"> growth</w:t>
            </w:r>
            <w:r w:rsidRPr="00BE4CFA">
              <w:rPr>
                <w:rFonts w:ascii="Garamond" w:hAnsi="Garamond"/>
                <w:color w:val="0070C0"/>
                <w:sz w:val="20"/>
                <w:szCs w:val="20"/>
              </w:rPr>
              <w:t>.</w:t>
            </w:r>
            <w:r w:rsidR="0031200A" w:rsidRPr="0031200A">
              <w:rPr>
                <w:rFonts w:ascii="Garamond" w:hAnsi="Garamond"/>
                <w:color w:val="0070C0"/>
                <w:sz w:val="20"/>
                <w:szCs w:val="20"/>
              </w:rPr>
              <w:t xml:space="preserve"> </w:t>
            </w:r>
          </w:p>
        </w:tc>
      </w:tr>
    </w:tbl>
    <w:p w14:paraId="390EC934" w14:textId="77777777" w:rsidR="0031200A" w:rsidRDefault="0031200A" w:rsidP="00EE619D">
      <w:pPr>
        <w:autoSpaceDE w:val="0"/>
        <w:autoSpaceDN w:val="0"/>
        <w:adjustRightInd w:val="0"/>
        <w:spacing w:after="120" w:line="360" w:lineRule="auto"/>
        <w:jc w:val="both"/>
        <w:rPr>
          <w:rFonts w:ascii="Garamond" w:hAnsi="Garamond"/>
          <w:sz w:val="22"/>
          <w:szCs w:val="22"/>
        </w:rPr>
      </w:pPr>
    </w:p>
    <w:p w14:paraId="0749B38D" w14:textId="77777777" w:rsidR="003311D7" w:rsidRDefault="003311D7" w:rsidP="00BE4CFA">
      <w:pPr>
        <w:autoSpaceDE w:val="0"/>
        <w:autoSpaceDN w:val="0"/>
        <w:adjustRightInd w:val="0"/>
        <w:spacing w:after="120" w:line="360" w:lineRule="auto"/>
        <w:jc w:val="both"/>
        <w:rPr>
          <w:rFonts w:ascii="Garamond" w:hAnsi="Garamond"/>
          <w:b/>
          <w:sz w:val="22"/>
          <w:szCs w:val="22"/>
        </w:rPr>
      </w:pPr>
      <w:r>
        <w:rPr>
          <w:rFonts w:ascii="Garamond" w:hAnsi="Garamond"/>
          <w:b/>
          <w:sz w:val="22"/>
          <w:szCs w:val="22"/>
        </w:rPr>
        <w:t xml:space="preserve">With increased </w:t>
      </w:r>
      <w:r w:rsidRPr="003311D7">
        <w:rPr>
          <w:rFonts w:ascii="Garamond" w:hAnsi="Garamond"/>
          <w:b/>
          <w:sz w:val="22"/>
          <w:szCs w:val="22"/>
        </w:rPr>
        <w:t>economic activity observed in the first quarter</w:t>
      </w:r>
      <w:r>
        <w:rPr>
          <w:rFonts w:ascii="Garamond" w:hAnsi="Garamond"/>
          <w:b/>
          <w:sz w:val="22"/>
          <w:szCs w:val="22"/>
        </w:rPr>
        <w:t xml:space="preserve"> of 2019</w:t>
      </w:r>
      <w:r w:rsidRPr="003311D7">
        <w:rPr>
          <w:rFonts w:ascii="Garamond" w:hAnsi="Garamond"/>
          <w:b/>
          <w:sz w:val="22"/>
          <w:szCs w:val="22"/>
        </w:rPr>
        <w:t xml:space="preserve">, the economic growth surpassed the expected figure, making </w:t>
      </w:r>
      <w:r>
        <w:rPr>
          <w:rFonts w:ascii="Garamond" w:hAnsi="Garamond"/>
          <w:b/>
          <w:sz w:val="22"/>
          <w:szCs w:val="22"/>
        </w:rPr>
        <w:t xml:space="preserve">up </w:t>
      </w:r>
      <w:r w:rsidRPr="003311D7">
        <w:rPr>
          <w:rFonts w:ascii="Garamond" w:hAnsi="Garamond"/>
          <w:b/>
          <w:sz w:val="22"/>
          <w:szCs w:val="22"/>
        </w:rPr>
        <w:t xml:space="preserve">7.1%, which continues to </w:t>
      </w:r>
      <w:r>
        <w:rPr>
          <w:rFonts w:ascii="Garamond" w:hAnsi="Garamond"/>
          <w:b/>
          <w:sz w:val="22"/>
          <w:szCs w:val="22"/>
        </w:rPr>
        <w:t xml:space="preserve">be driven primarily by </w:t>
      </w:r>
      <w:r w:rsidRPr="003311D7">
        <w:rPr>
          <w:rFonts w:ascii="Garamond" w:hAnsi="Garamond"/>
          <w:b/>
          <w:sz w:val="22"/>
          <w:szCs w:val="22"/>
        </w:rPr>
        <w:t xml:space="preserve">high growth </w:t>
      </w:r>
      <w:r>
        <w:rPr>
          <w:rFonts w:ascii="Garamond" w:hAnsi="Garamond"/>
          <w:b/>
          <w:sz w:val="22"/>
          <w:szCs w:val="22"/>
        </w:rPr>
        <w:t xml:space="preserve">in </w:t>
      </w:r>
      <w:r w:rsidRPr="003311D7">
        <w:rPr>
          <w:rFonts w:ascii="Garamond" w:hAnsi="Garamond"/>
          <w:b/>
          <w:sz w:val="22"/>
          <w:szCs w:val="22"/>
        </w:rPr>
        <w:t xml:space="preserve">private consumption. </w:t>
      </w:r>
      <w:r>
        <w:rPr>
          <w:rFonts w:ascii="Garamond" w:hAnsi="Garamond"/>
          <w:b/>
          <w:sz w:val="22"/>
          <w:szCs w:val="22"/>
        </w:rPr>
        <w:t>T</w:t>
      </w:r>
      <w:r w:rsidRPr="003311D7">
        <w:rPr>
          <w:rFonts w:ascii="Garamond" w:hAnsi="Garamond"/>
          <w:b/>
          <w:sz w:val="22"/>
          <w:szCs w:val="22"/>
        </w:rPr>
        <w:t xml:space="preserve">hese trends </w:t>
      </w:r>
      <w:r>
        <w:rPr>
          <w:rFonts w:ascii="Garamond" w:hAnsi="Garamond"/>
          <w:b/>
          <w:sz w:val="22"/>
          <w:szCs w:val="22"/>
        </w:rPr>
        <w:t xml:space="preserve">are estimated to persist in the short </w:t>
      </w:r>
      <w:r w:rsidRPr="003311D7">
        <w:rPr>
          <w:rFonts w:ascii="Garamond" w:hAnsi="Garamond"/>
          <w:b/>
          <w:sz w:val="22"/>
          <w:szCs w:val="22"/>
        </w:rPr>
        <w:t xml:space="preserve">term, under which the 2019 </w:t>
      </w:r>
      <w:r>
        <w:rPr>
          <w:rFonts w:ascii="Garamond" w:hAnsi="Garamond"/>
          <w:b/>
          <w:sz w:val="22"/>
          <w:szCs w:val="22"/>
        </w:rPr>
        <w:t>economic growth forecast has been revised upside, in the range of</w:t>
      </w:r>
      <w:r w:rsidRPr="003311D7">
        <w:rPr>
          <w:rFonts w:ascii="Garamond" w:hAnsi="Garamond"/>
          <w:b/>
          <w:sz w:val="22"/>
          <w:szCs w:val="22"/>
        </w:rPr>
        <w:t xml:space="preserve"> 5.9-7.4%, and in the mid-term </w:t>
      </w:r>
      <w:r>
        <w:rPr>
          <w:rFonts w:ascii="Garamond" w:hAnsi="Garamond"/>
          <w:b/>
          <w:sz w:val="22"/>
          <w:szCs w:val="22"/>
        </w:rPr>
        <w:t xml:space="preserve">perspective </w:t>
      </w:r>
      <w:r w:rsidRPr="003311D7">
        <w:rPr>
          <w:rFonts w:ascii="Garamond" w:hAnsi="Garamond"/>
          <w:b/>
          <w:sz w:val="22"/>
          <w:szCs w:val="22"/>
        </w:rPr>
        <w:t xml:space="preserve">it will </w:t>
      </w:r>
      <w:r>
        <w:rPr>
          <w:rFonts w:ascii="Garamond" w:hAnsi="Garamond"/>
          <w:b/>
          <w:sz w:val="22"/>
          <w:szCs w:val="22"/>
        </w:rPr>
        <w:t>approach it</w:t>
      </w:r>
      <w:r w:rsidRPr="003311D7">
        <w:rPr>
          <w:rFonts w:ascii="Garamond" w:hAnsi="Garamond"/>
          <w:b/>
          <w:sz w:val="22"/>
          <w:szCs w:val="22"/>
        </w:rPr>
        <w:t>s long-term equilibrium</w:t>
      </w:r>
      <w:r>
        <w:rPr>
          <w:rFonts w:ascii="Garamond" w:hAnsi="Garamond"/>
          <w:b/>
          <w:sz w:val="22"/>
          <w:szCs w:val="22"/>
        </w:rPr>
        <w:t>.</w:t>
      </w:r>
    </w:p>
    <w:p w14:paraId="3179CBAA" w14:textId="77777777" w:rsidR="00E53450" w:rsidRDefault="00A166F4" w:rsidP="00E53450">
      <w:pPr>
        <w:autoSpaceDE w:val="0"/>
        <w:autoSpaceDN w:val="0"/>
        <w:adjustRightInd w:val="0"/>
        <w:spacing w:after="120" w:line="360" w:lineRule="auto"/>
        <w:jc w:val="both"/>
        <w:rPr>
          <w:rFonts w:ascii="Garamond" w:hAnsi="Garamond"/>
          <w:sz w:val="22"/>
          <w:szCs w:val="22"/>
        </w:rPr>
      </w:pPr>
      <w:r>
        <w:rPr>
          <w:rFonts w:ascii="Garamond" w:hAnsi="Garamond"/>
          <w:sz w:val="22"/>
          <w:szCs w:val="22"/>
        </w:rPr>
        <w:lastRenderedPageBreak/>
        <w:t>T</w:t>
      </w:r>
      <w:r w:rsidR="0031200A">
        <w:rPr>
          <w:rFonts w:ascii="Garamond" w:hAnsi="Garamond"/>
          <w:sz w:val="22"/>
          <w:szCs w:val="22"/>
        </w:rPr>
        <w:t xml:space="preserve">he 2019 economic growth will mostly be fueled by </w:t>
      </w:r>
      <w:r>
        <w:rPr>
          <w:rFonts w:ascii="Garamond" w:hAnsi="Garamond"/>
          <w:sz w:val="22"/>
          <w:szCs w:val="22"/>
        </w:rPr>
        <w:t>growth in the services and, in part, industry sectors, accompanied by persistently high private consumption growth</w:t>
      </w:r>
      <w:r w:rsidR="0031200A">
        <w:rPr>
          <w:rFonts w:ascii="Garamond" w:hAnsi="Garamond"/>
          <w:sz w:val="22"/>
          <w:szCs w:val="22"/>
        </w:rPr>
        <w:t>. M</w:t>
      </w:r>
      <w:r w:rsidR="00E53450" w:rsidRPr="00EE5F0F">
        <w:rPr>
          <w:rFonts w:ascii="Garamond" w:hAnsi="Garamond"/>
          <w:sz w:val="22"/>
          <w:szCs w:val="22"/>
        </w:rPr>
        <w:t xml:space="preserve">id-term economic growth </w:t>
      </w:r>
      <w:r w:rsidR="00E53450">
        <w:rPr>
          <w:rFonts w:ascii="Garamond" w:hAnsi="Garamond"/>
          <w:sz w:val="22"/>
          <w:szCs w:val="22"/>
        </w:rPr>
        <w:t xml:space="preserve">will </w:t>
      </w:r>
      <w:r w:rsidR="00E53450" w:rsidRPr="00EE5F0F">
        <w:rPr>
          <w:rFonts w:ascii="Garamond" w:hAnsi="Garamond"/>
          <w:sz w:val="22"/>
          <w:szCs w:val="22"/>
        </w:rPr>
        <w:t xml:space="preserve">largely </w:t>
      </w:r>
      <w:r w:rsidR="0031200A">
        <w:rPr>
          <w:rFonts w:ascii="Garamond" w:hAnsi="Garamond"/>
          <w:sz w:val="22"/>
          <w:szCs w:val="22"/>
        </w:rPr>
        <w:t>owe to</w:t>
      </w:r>
      <w:r w:rsidR="00E53450">
        <w:rPr>
          <w:rFonts w:ascii="Garamond" w:hAnsi="Garamond"/>
          <w:sz w:val="22"/>
          <w:szCs w:val="22"/>
        </w:rPr>
        <w:t xml:space="preserve"> </w:t>
      </w:r>
      <w:r w:rsidR="0031200A">
        <w:rPr>
          <w:rFonts w:ascii="Garamond" w:hAnsi="Garamond"/>
          <w:sz w:val="22"/>
          <w:szCs w:val="22"/>
        </w:rPr>
        <w:t xml:space="preserve">the </w:t>
      </w:r>
      <w:r w:rsidR="00E53450">
        <w:rPr>
          <w:rFonts w:ascii="Garamond" w:hAnsi="Garamond"/>
          <w:sz w:val="22"/>
          <w:szCs w:val="22"/>
        </w:rPr>
        <w:t xml:space="preserve">expanding of </w:t>
      </w:r>
      <w:r w:rsidR="00E53450" w:rsidRPr="00265345">
        <w:rPr>
          <w:rFonts w:ascii="Garamond" w:hAnsi="Garamond"/>
          <w:sz w:val="22"/>
          <w:szCs w:val="22"/>
        </w:rPr>
        <w:t>production capacities</w:t>
      </w:r>
      <w:r w:rsidR="0031200A">
        <w:rPr>
          <w:rFonts w:ascii="Garamond" w:hAnsi="Garamond"/>
          <w:sz w:val="22"/>
          <w:szCs w:val="22"/>
        </w:rPr>
        <w:t>,</w:t>
      </w:r>
      <w:r w:rsidR="00454F87">
        <w:rPr>
          <w:rFonts w:ascii="Garamond" w:hAnsi="Garamond"/>
          <w:sz w:val="22"/>
          <w:szCs w:val="22"/>
        </w:rPr>
        <w:t xml:space="preserve"> the pace at which the</w:t>
      </w:r>
      <w:r w:rsidR="00E53450" w:rsidRPr="00EE5F0F">
        <w:rPr>
          <w:rFonts w:ascii="Garamond" w:hAnsi="Garamond"/>
          <w:sz w:val="22"/>
          <w:szCs w:val="22"/>
        </w:rPr>
        <w:t xml:space="preserve"> Government</w:t>
      </w:r>
      <w:r w:rsidR="00454F87">
        <w:rPr>
          <w:rFonts w:ascii="Garamond" w:hAnsi="Garamond"/>
          <w:sz w:val="22"/>
          <w:szCs w:val="22"/>
        </w:rPr>
        <w:t xml:space="preserve"> will push forward the </w:t>
      </w:r>
      <w:r w:rsidR="00E53450" w:rsidRPr="00EE5F0F">
        <w:rPr>
          <w:rFonts w:ascii="Garamond" w:hAnsi="Garamond"/>
          <w:sz w:val="22"/>
          <w:szCs w:val="22"/>
        </w:rPr>
        <w:t xml:space="preserve">structural reforms and </w:t>
      </w:r>
      <w:r w:rsidR="00454F87">
        <w:rPr>
          <w:rFonts w:ascii="Garamond" w:hAnsi="Garamond"/>
          <w:sz w:val="22"/>
          <w:szCs w:val="22"/>
        </w:rPr>
        <w:t xml:space="preserve">what </w:t>
      </w:r>
      <w:r w:rsidR="00E53450" w:rsidRPr="00EE5F0F">
        <w:rPr>
          <w:rFonts w:ascii="Garamond" w:hAnsi="Garamond"/>
          <w:sz w:val="22"/>
          <w:szCs w:val="22"/>
        </w:rPr>
        <w:t xml:space="preserve">economic growth </w:t>
      </w:r>
      <w:r w:rsidR="0089793B">
        <w:rPr>
          <w:rFonts w:ascii="Garamond" w:hAnsi="Garamond"/>
          <w:sz w:val="22"/>
          <w:szCs w:val="22"/>
        </w:rPr>
        <w:t xml:space="preserve">potential can be expected </w:t>
      </w:r>
      <w:r w:rsidR="00E53450" w:rsidRPr="00EE5F0F">
        <w:rPr>
          <w:rFonts w:ascii="Garamond" w:hAnsi="Garamond"/>
          <w:sz w:val="22"/>
          <w:szCs w:val="22"/>
        </w:rPr>
        <w:t xml:space="preserve">in partner countries. </w:t>
      </w:r>
    </w:p>
    <w:tbl>
      <w:tblPr>
        <w:tblStyle w:val="TableGrid"/>
        <w:tblW w:w="0" w:type="auto"/>
        <w:tblLook w:val="04A0" w:firstRow="1" w:lastRow="0" w:firstColumn="1" w:lastColumn="0" w:noHBand="0" w:noVBand="1"/>
      </w:tblPr>
      <w:tblGrid>
        <w:gridCol w:w="6048"/>
      </w:tblGrid>
      <w:tr w:rsidR="00F7601C" w14:paraId="6065AED0" w14:textId="77777777" w:rsidTr="00F7601C">
        <w:tc>
          <w:tcPr>
            <w:tcW w:w="6048" w:type="dxa"/>
          </w:tcPr>
          <w:p w14:paraId="28870F60" w14:textId="77777777" w:rsidR="00F7601C" w:rsidRPr="0031200A" w:rsidRDefault="00FC6015" w:rsidP="00FC6015">
            <w:pPr>
              <w:autoSpaceDE w:val="0"/>
              <w:autoSpaceDN w:val="0"/>
              <w:adjustRightInd w:val="0"/>
              <w:spacing w:after="120" w:line="360" w:lineRule="auto"/>
              <w:jc w:val="both"/>
              <w:rPr>
                <w:rFonts w:ascii="Garamond" w:hAnsi="Garamond"/>
                <w:color w:val="0070C0"/>
                <w:sz w:val="20"/>
                <w:szCs w:val="20"/>
              </w:rPr>
            </w:pPr>
            <w:r>
              <w:rPr>
                <w:rFonts w:ascii="Garamond" w:hAnsi="Garamond"/>
                <w:color w:val="0070C0"/>
                <w:sz w:val="20"/>
                <w:szCs w:val="20"/>
              </w:rPr>
              <w:t>In the forecast horizon, downside risks to inflation and somewhat upside risks to economic growth outlook are prevailing.</w:t>
            </w:r>
            <w:r w:rsidR="00F7601C" w:rsidRPr="0031200A">
              <w:rPr>
                <w:rFonts w:ascii="Garamond" w:hAnsi="Garamond"/>
                <w:color w:val="0070C0"/>
                <w:sz w:val="20"/>
                <w:szCs w:val="20"/>
              </w:rPr>
              <w:t xml:space="preserve"> </w:t>
            </w:r>
          </w:p>
        </w:tc>
      </w:tr>
    </w:tbl>
    <w:p w14:paraId="37F052B4" w14:textId="77777777" w:rsidR="00F7601C" w:rsidRDefault="00F7601C" w:rsidP="00E53450">
      <w:pPr>
        <w:autoSpaceDE w:val="0"/>
        <w:autoSpaceDN w:val="0"/>
        <w:adjustRightInd w:val="0"/>
        <w:spacing w:after="120" w:line="360" w:lineRule="auto"/>
        <w:jc w:val="both"/>
        <w:rPr>
          <w:rFonts w:ascii="Garamond" w:hAnsi="Garamond"/>
          <w:sz w:val="22"/>
          <w:szCs w:val="22"/>
        </w:rPr>
      </w:pPr>
    </w:p>
    <w:p w14:paraId="19A1A7DF" w14:textId="77777777" w:rsidR="00E53450" w:rsidRPr="00EE5F0F" w:rsidRDefault="00AE7FDC" w:rsidP="00E53450">
      <w:pPr>
        <w:autoSpaceDE w:val="0"/>
        <w:autoSpaceDN w:val="0"/>
        <w:adjustRightInd w:val="0"/>
        <w:spacing w:after="120" w:line="360" w:lineRule="auto"/>
        <w:jc w:val="both"/>
        <w:rPr>
          <w:rFonts w:ascii="Garamond" w:hAnsi="Garamond"/>
          <w:sz w:val="22"/>
          <w:szCs w:val="22"/>
        </w:rPr>
      </w:pPr>
      <w:r w:rsidRPr="00AE7FDC">
        <w:rPr>
          <w:rFonts w:ascii="Garamond" w:hAnsi="Garamond"/>
          <w:b/>
          <w:sz w:val="22"/>
          <w:szCs w:val="22"/>
        </w:rPr>
        <w:t xml:space="preserve">In the forecast horizon, risks to inflation deviating from projection are on a downside </w:t>
      </w:r>
      <w:r>
        <w:rPr>
          <w:rFonts w:ascii="Garamond" w:hAnsi="Garamond"/>
          <w:b/>
          <w:sz w:val="22"/>
          <w:szCs w:val="22"/>
        </w:rPr>
        <w:t xml:space="preserve">and </w:t>
      </w:r>
      <w:r w:rsidRPr="00AE7FDC">
        <w:rPr>
          <w:rFonts w:ascii="Garamond" w:hAnsi="Garamond"/>
          <w:b/>
          <w:sz w:val="22"/>
          <w:szCs w:val="22"/>
        </w:rPr>
        <w:t xml:space="preserve">to economic growth outlook on an upside path, </w:t>
      </w:r>
      <w:r w:rsidR="00BA4E3D" w:rsidRPr="00AE7FDC">
        <w:rPr>
          <w:rFonts w:ascii="Garamond" w:hAnsi="Garamond"/>
          <w:b/>
          <w:sz w:val="22"/>
          <w:szCs w:val="22"/>
        </w:rPr>
        <w:t>depend</w:t>
      </w:r>
      <w:r w:rsidRPr="00AE7FDC">
        <w:rPr>
          <w:rFonts w:ascii="Garamond" w:hAnsi="Garamond"/>
          <w:b/>
          <w:sz w:val="22"/>
          <w:szCs w:val="22"/>
        </w:rPr>
        <w:t>ing</w:t>
      </w:r>
      <w:r w:rsidR="00BA4E3D" w:rsidRPr="00AE7FDC">
        <w:rPr>
          <w:rFonts w:ascii="Garamond" w:hAnsi="Garamond"/>
          <w:b/>
          <w:sz w:val="22"/>
          <w:szCs w:val="22"/>
        </w:rPr>
        <w:t xml:space="preserve"> on both external and domestic factors</w:t>
      </w:r>
      <w:r w:rsidR="00E53450">
        <w:rPr>
          <w:rFonts w:ascii="Garamond" w:hAnsi="Garamond"/>
          <w:sz w:val="22"/>
          <w:szCs w:val="22"/>
        </w:rPr>
        <w:t xml:space="preserve"> (see subsection 2.2.4 “Main assumptions and risks”)</w:t>
      </w:r>
      <w:r w:rsidR="00E53450" w:rsidRPr="00EE5F0F">
        <w:rPr>
          <w:rFonts w:ascii="Garamond" w:hAnsi="Garamond"/>
          <w:sz w:val="22"/>
          <w:szCs w:val="22"/>
        </w:rPr>
        <w:t xml:space="preserve">. </w:t>
      </w:r>
      <w:r>
        <w:rPr>
          <w:rFonts w:ascii="Garamond" w:hAnsi="Garamond"/>
          <w:sz w:val="22"/>
          <w:szCs w:val="22"/>
        </w:rPr>
        <w:t xml:space="preserve">If predicted macroeconomic developments unfold and these </w:t>
      </w:r>
      <w:r w:rsidR="00BA4E3D" w:rsidRPr="000453EF">
        <w:rPr>
          <w:rFonts w:ascii="Garamond" w:hAnsi="Garamond"/>
          <w:sz w:val="22"/>
          <w:szCs w:val="22"/>
        </w:rPr>
        <w:t>risks</w:t>
      </w:r>
      <w:r w:rsidR="00BA4E3D">
        <w:rPr>
          <w:rFonts w:ascii="Garamond" w:hAnsi="Garamond"/>
          <w:sz w:val="22"/>
          <w:szCs w:val="22"/>
        </w:rPr>
        <w:t xml:space="preserve"> materializ</w:t>
      </w:r>
      <w:r>
        <w:rPr>
          <w:rFonts w:ascii="Garamond" w:hAnsi="Garamond"/>
          <w:sz w:val="22"/>
          <w:szCs w:val="22"/>
        </w:rPr>
        <w:t>e, the Central Bank will adjust the</w:t>
      </w:r>
      <w:r w:rsidR="00BA4E3D">
        <w:rPr>
          <w:rFonts w:ascii="Garamond" w:hAnsi="Garamond"/>
          <w:sz w:val="22"/>
          <w:szCs w:val="22"/>
        </w:rPr>
        <w:t xml:space="preserve"> </w:t>
      </w:r>
      <w:r w:rsidR="00BA4E3D" w:rsidRPr="000453EF">
        <w:rPr>
          <w:rFonts w:ascii="Garamond" w:hAnsi="Garamond"/>
          <w:sz w:val="22"/>
          <w:szCs w:val="22"/>
        </w:rPr>
        <w:t xml:space="preserve">monetary </w:t>
      </w:r>
      <w:r>
        <w:rPr>
          <w:rFonts w:ascii="Garamond" w:hAnsi="Garamond"/>
          <w:sz w:val="22"/>
          <w:szCs w:val="22"/>
        </w:rPr>
        <w:t xml:space="preserve">conditions accordingly, while </w:t>
      </w:r>
      <w:r w:rsidR="00EE39CC">
        <w:rPr>
          <w:rFonts w:ascii="Garamond" w:hAnsi="Garamond"/>
          <w:sz w:val="22"/>
          <w:szCs w:val="22"/>
        </w:rPr>
        <w:t>fulfilling the goal of price stability.</w:t>
      </w:r>
    </w:p>
    <w:tbl>
      <w:tblPr>
        <w:tblStyle w:val="TableGrid"/>
        <w:tblW w:w="0" w:type="auto"/>
        <w:tblLook w:val="04A0" w:firstRow="1" w:lastRow="0" w:firstColumn="1" w:lastColumn="0" w:noHBand="0" w:noVBand="1"/>
      </w:tblPr>
      <w:tblGrid>
        <w:gridCol w:w="9350"/>
      </w:tblGrid>
      <w:tr w:rsidR="00265345" w:rsidRPr="003720FB" w14:paraId="67E14BAC" w14:textId="77777777" w:rsidTr="003417FE">
        <w:trPr>
          <w:trHeight w:val="335"/>
        </w:trPr>
        <w:tc>
          <w:tcPr>
            <w:tcW w:w="9576" w:type="dxa"/>
          </w:tcPr>
          <w:p w14:paraId="69B1DFBD" w14:textId="77777777" w:rsidR="00265345" w:rsidRPr="003720FB" w:rsidRDefault="00265345" w:rsidP="003417FE">
            <w:pPr>
              <w:autoSpaceDE w:val="0"/>
              <w:autoSpaceDN w:val="0"/>
              <w:adjustRightInd w:val="0"/>
              <w:spacing w:after="120" w:line="360" w:lineRule="auto"/>
              <w:jc w:val="both"/>
              <w:rPr>
                <w:rFonts w:ascii="Garamond" w:hAnsi="Garamond"/>
                <w:b/>
                <w:color w:val="FF0000"/>
                <w:sz w:val="18"/>
                <w:szCs w:val="18"/>
              </w:rPr>
            </w:pPr>
            <w:r w:rsidRPr="003720FB">
              <w:rPr>
                <w:rFonts w:ascii="Garamond" w:hAnsi="Garamond"/>
                <w:b/>
                <w:color w:val="FF0000"/>
                <w:sz w:val="18"/>
                <w:szCs w:val="18"/>
              </w:rPr>
              <w:t xml:space="preserve">Footnote 1. </w:t>
            </w:r>
            <w:r w:rsidRPr="00DD0E48">
              <w:rPr>
                <w:rFonts w:ascii="Garamond" w:hAnsi="Garamond"/>
                <w:sz w:val="18"/>
                <w:szCs w:val="18"/>
              </w:rPr>
              <w:t>The growth rate of each quarter is calculated as the cumulative growth rate for the last four quarters.</w:t>
            </w:r>
          </w:p>
        </w:tc>
      </w:tr>
    </w:tbl>
    <w:p w14:paraId="4920E28C" w14:textId="77777777" w:rsidR="00265345" w:rsidRPr="00EE5F0F" w:rsidRDefault="00265345" w:rsidP="00265345">
      <w:pPr>
        <w:autoSpaceDE w:val="0"/>
        <w:autoSpaceDN w:val="0"/>
        <w:adjustRightInd w:val="0"/>
        <w:spacing w:after="120" w:line="360" w:lineRule="auto"/>
        <w:jc w:val="both"/>
        <w:rPr>
          <w:rFonts w:ascii="Garamond" w:hAnsi="Garamond"/>
          <w:b/>
          <w:sz w:val="22"/>
          <w:szCs w:val="22"/>
        </w:rPr>
      </w:pPr>
    </w:p>
    <w:p w14:paraId="0D9FDF44" w14:textId="77777777" w:rsidR="00EE619D" w:rsidRPr="00EE5F0F" w:rsidRDefault="00EE619D" w:rsidP="00EE619D">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2. FORECAST, FORECAST CHANGES AND RISKS</w:t>
      </w:r>
    </w:p>
    <w:p w14:paraId="4944F557" w14:textId="77777777" w:rsidR="00EE619D" w:rsidRPr="00EE5F0F" w:rsidRDefault="00EE619D" w:rsidP="00EE619D">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2.1. External environment</w:t>
      </w:r>
    </w:p>
    <w:p w14:paraId="7584E8F0" w14:textId="77777777" w:rsidR="00EE619D" w:rsidRDefault="001E63BC" w:rsidP="00EE619D">
      <w:pPr>
        <w:autoSpaceDE w:val="0"/>
        <w:autoSpaceDN w:val="0"/>
        <w:adjustRightInd w:val="0"/>
        <w:spacing w:after="120" w:line="360" w:lineRule="auto"/>
        <w:jc w:val="both"/>
        <w:rPr>
          <w:rFonts w:ascii="Garamond" w:hAnsi="Garamond"/>
          <w:b/>
          <w:sz w:val="22"/>
          <w:szCs w:val="22"/>
        </w:rPr>
      </w:pPr>
      <w:r>
        <w:rPr>
          <w:rFonts w:ascii="Garamond" w:hAnsi="Garamond"/>
          <w:b/>
          <w:sz w:val="22"/>
          <w:szCs w:val="22"/>
        </w:rPr>
        <w:t>T</w:t>
      </w:r>
      <w:r w:rsidR="00DF2AC4" w:rsidRPr="00EE5F0F">
        <w:rPr>
          <w:rFonts w:ascii="Garamond" w:hAnsi="Garamond"/>
          <w:b/>
          <w:sz w:val="22"/>
          <w:szCs w:val="22"/>
        </w:rPr>
        <w:t xml:space="preserve">he </w:t>
      </w:r>
      <w:r w:rsidR="001E1BA3">
        <w:rPr>
          <w:rFonts w:ascii="Garamond" w:hAnsi="Garamond"/>
          <w:b/>
          <w:sz w:val="22"/>
          <w:szCs w:val="22"/>
        </w:rPr>
        <w:t xml:space="preserve">world </w:t>
      </w:r>
      <w:r>
        <w:rPr>
          <w:rFonts w:ascii="Garamond" w:hAnsi="Garamond"/>
          <w:b/>
          <w:sz w:val="22"/>
          <w:szCs w:val="22"/>
        </w:rPr>
        <w:t>econom</w:t>
      </w:r>
      <w:r w:rsidR="00DF2943">
        <w:rPr>
          <w:rFonts w:ascii="Garamond" w:hAnsi="Garamond"/>
          <w:b/>
          <w:sz w:val="22"/>
          <w:szCs w:val="22"/>
        </w:rPr>
        <w:t xml:space="preserve">ic growth </w:t>
      </w:r>
      <w:r w:rsidR="00EE39CC">
        <w:rPr>
          <w:rFonts w:ascii="Garamond" w:hAnsi="Garamond"/>
          <w:b/>
          <w:sz w:val="22"/>
          <w:szCs w:val="22"/>
        </w:rPr>
        <w:t xml:space="preserve">continued </w:t>
      </w:r>
      <w:r w:rsidR="00DF2943">
        <w:rPr>
          <w:rFonts w:ascii="Garamond" w:hAnsi="Garamond"/>
          <w:b/>
          <w:sz w:val="22"/>
          <w:szCs w:val="22"/>
        </w:rPr>
        <w:t>slow</w:t>
      </w:r>
      <w:r w:rsidR="00EE39CC">
        <w:rPr>
          <w:rFonts w:ascii="Garamond" w:hAnsi="Garamond"/>
          <w:b/>
          <w:sz w:val="22"/>
          <w:szCs w:val="22"/>
        </w:rPr>
        <w:t xml:space="preserve">ing </w:t>
      </w:r>
      <w:r>
        <w:rPr>
          <w:rFonts w:ascii="Garamond" w:hAnsi="Garamond"/>
          <w:b/>
          <w:sz w:val="22"/>
          <w:szCs w:val="22"/>
        </w:rPr>
        <w:t xml:space="preserve">in </w:t>
      </w:r>
      <w:r w:rsidR="00EE39CC">
        <w:rPr>
          <w:rFonts w:ascii="Garamond" w:hAnsi="Garamond"/>
          <w:b/>
          <w:sz w:val="22"/>
          <w:szCs w:val="22"/>
        </w:rPr>
        <w:t>early 2019</w:t>
      </w:r>
      <w:r>
        <w:rPr>
          <w:rFonts w:ascii="Garamond" w:hAnsi="Garamond"/>
          <w:b/>
          <w:sz w:val="22"/>
          <w:szCs w:val="22"/>
        </w:rPr>
        <w:t xml:space="preserve"> </w:t>
      </w:r>
      <w:r w:rsidR="00DF2943">
        <w:rPr>
          <w:rFonts w:ascii="Garamond" w:hAnsi="Garamond"/>
          <w:b/>
          <w:sz w:val="22"/>
          <w:szCs w:val="22"/>
        </w:rPr>
        <w:t>and</w:t>
      </w:r>
      <w:r>
        <w:rPr>
          <w:rFonts w:ascii="Garamond" w:hAnsi="Garamond"/>
          <w:b/>
          <w:sz w:val="22"/>
          <w:szCs w:val="22"/>
        </w:rPr>
        <w:t xml:space="preserve"> </w:t>
      </w:r>
      <w:r w:rsidR="00D66145" w:rsidRPr="00D66145">
        <w:rPr>
          <w:rFonts w:ascii="Garamond" w:hAnsi="Garamond"/>
          <w:b/>
          <w:sz w:val="22"/>
          <w:szCs w:val="22"/>
        </w:rPr>
        <w:t xml:space="preserve">this tendency </w:t>
      </w:r>
      <w:r w:rsidR="00D66145">
        <w:rPr>
          <w:rFonts w:ascii="Garamond" w:hAnsi="Garamond"/>
          <w:b/>
          <w:sz w:val="22"/>
          <w:szCs w:val="22"/>
        </w:rPr>
        <w:t xml:space="preserve">is </w:t>
      </w:r>
      <w:r w:rsidR="00EE39CC">
        <w:rPr>
          <w:rFonts w:ascii="Garamond" w:hAnsi="Garamond"/>
          <w:b/>
          <w:sz w:val="22"/>
          <w:szCs w:val="22"/>
        </w:rPr>
        <w:t>predicted</w:t>
      </w:r>
      <w:r w:rsidR="00D66145">
        <w:rPr>
          <w:rFonts w:ascii="Garamond" w:hAnsi="Garamond"/>
          <w:b/>
          <w:sz w:val="22"/>
          <w:szCs w:val="22"/>
        </w:rPr>
        <w:t xml:space="preserve"> to persist </w:t>
      </w:r>
      <w:r w:rsidR="00EE39CC">
        <w:rPr>
          <w:rFonts w:ascii="Garamond" w:hAnsi="Garamond"/>
          <w:b/>
          <w:sz w:val="22"/>
          <w:szCs w:val="22"/>
        </w:rPr>
        <w:t>up until the end of the year</w:t>
      </w:r>
      <w:r w:rsidR="00D66145">
        <w:rPr>
          <w:rFonts w:ascii="Garamond" w:hAnsi="Garamond"/>
          <w:b/>
          <w:sz w:val="22"/>
          <w:szCs w:val="22"/>
        </w:rPr>
        <w:t xml:space="preserve">. </w:t>
      </w:r>
      <w:r w:rsidR="00EE39CC">
        <w:rPr>
          <w:rFonts w:ascii="Garamond" w:hAnsi="Garamond"/>
          <w:b/>
          <w:sz w:val="22"/>
          <w:szCs w:val="22"/>
        </w:rPr>
        <w:t>In particular, in the first half of 2019 e</w:t>
      </w:r>
      <w:r w:rsidR="0007024C">
        <w:rPr>
          <w:rFonts w:ascii="Garamond" w:hAnsi="Garamond"/>
          <w:b/>
          <w:sz w:val="22"/>
          <w:szCs w:val="22"/>
        </w:rPr>
        <w:t>conomic growth rates</w:t>
      </w:r>
      <w:r w:rsidR="00992FC8">
        <w:rPr>
          <w:rFonts w:ascii="Garamond" w:hAnsi="Garamond"/>
          <w:b/>
          <w:sz w:val="22"/>
          <w:szCs w:val="22"/>
        </w:rPr>
        <w:t xml:space="preserve"> </w:t>
      </w:r>
      <w:r w:rsidR="0007024C">
        <w:rPr>
          <w:rFonts w:ascii="Garamond" w:hAnsi="Garamond"/>
          <w:b/>
          <w:sz w:val="22"/>
          <w:szCs w:val="22"/>
        </w:rPr>
        <w:t xml:space="preserve">are expected </w:t>
      </w:r>
      <w:r w:rsidR="00EE6E38">
        <w:rPr>
          <w:rFonts w:ascii="Garamond" w:hAnsi="Garamond"/>
          <w:b/>
          <w:sz w:val="22"/>
          <w:szCs w:val="22"/>
        </w:rPr>
        <w:t xml:space="preserve">to </w:t>
      </w:r>
      <w:r w:rsidR="00992FC8">
        <w:rPr>
          <w:rFonts w:ascii="Garamond" w:hAnsi="Garamond"/>
          <w:b/>
          <w:sz w:val="22"/>
          <w:szCs w:val="22"/>
        </w:rPr>
        <w:t>slow down i</w:t>
      </w:r>
      <w:r w:rsidR="0007024C">
        <w:rPr>
          <w:rFonts w:ascii="Garamond" w:hAnsi="Garamond"/>
          <w:b/>
          <w:sz w:val="22"/>
          <w:szCs w:val="22"/>
        </w:rPr>
        <w:t xml:space="preserve">n the </w:t>
      </w:r>
      <w:r w:rsidR="00BC3332">
        <w:rPr>
          <w:rFonts w:ascii="Garamond" w:hAnsi="Garamond"/>
          <w:b/>
          <w:sz w:val="22"/>
          <w:szCs w:val="22"/>
        </w:rPr>
        <w:t>United States</w:t>
      </w:r>
      <w:r w:rsidR="00954241" w:rsidRPr="00EE5F0F">
        <w:rPr>
          <w:rFonts w:ascii="Garamond" w:hAnsi="Garamond"/>
          <w:b/>
          <w:sz w:val="22"/>
          <w:szCs w:val="22"/>
        </w:rPr>
        <w:t xml:space="preserve">, </w:t>
      </w:r>
      <w:r w:rsidR="00BC3332">
        <w:rPr>
          <w:rFonts w:ascii="Garamond" w:hAnsi="Garamond"/>
          <w:b/>
          <w:sz w:val="22"/>
          <w:szCs w:val="22"/>
        </w:rPr>
        <w:t>the</w:t>
      </w:r>
      <w:r w:rsidR="00954241" w:rsidRPr="00EE5F0F">
        <w:rPr>
          <w:rFonts w:ascii="Garamond" w:hAnsi="Garamond"/>
          <w:b/>
          <w:sz w:val="22"/>
          <w:szCs w:val="22"/>
        </w:rPr>
        <w:t xml:space="preserve"> Eurozone</w:t>
      </w:r>
      <w:r w:rsidR="00992FC8">
        <w:rPr>
          <w:rFonts w:ascii="Garamond" w:hAnsi="Garamond"/>
          <w:b/>
          <w:sz w:val="22"/>
          <w:szCs w:val="22"/>
        </w:rPr>
        <w:t xml:space="preserve"> and </w:t>
      </w:r>
      <w:r w:rsidR="00842D91">
        <w:rPr>
          <w:rFonts w:ascii="Garamond" w:hAnsi="Garamond"/>
          <w:b/>
          <w:sz w:val="22"/>
          <w:szCs w:val="22"/>
        </w:rPr>
        <w:t>Russia</w:t>
      </w:r>
      <w:r w:rsidR="00220A90">
        <w:rPr>
          <w:rFonts w:ascii="Garamond" w:hAnsi="Garamond"/>
          <w:b/>
          <w:sz w:val="22"/>
          <w:szCs w:val="22"/>
        </w:rPr>
        <w:t xml:space="preserve"> – </w:t>
      </w:r>
      <w:r w:rsidR="00992FC8">
        <w:rPr>
          <w:rFonts w:ascii="Garamond" w:hAnsi="Garamond"/>
          <w:b/>
          <w:sz w:val="22"/>
          <w:szCs w:val="22"/>
        </w:rPr>
        <w:t>the main</w:t>
      </w:r>
      <w:r w:rsidR="00992FC8" w:rsidRPr="00EE5F0F">
        <w:rPr>
          <w:rFonts w:ascii="Garamond" w:hAnsi="Garamond"/>
          <w:b/>
          <w:sz w:val="22"/>
          <w:szCs w:val="22"/>
        </w:rPr>
        <w:t xml:space="preserve"> trade partners to Armenia</w:t>
      </w:r>
      <w:r w:rsidR="00842D91" w:rsidRPr="00842D91">
        <w:rPr>
          <w:rFonts w:ascii="Garamond" w:hAnsi="Garamond"/>
          <w:b/>
          <w:sz w:val="22"/>
          <w:szCs w:val="22"/>
        </w:rPr>
        <w:t>.</w:t>
      </w:r>
      <w:r w:rsidR="00E76EEB" w:rsidRPr="00EE5F0F">
        <w:rPr>
          <w:rFonts w:ascii="Garamond" w:hAnsi="Garamond"/>
          <w:b/>
          <w:sz w:val="22"/>
          <w:szCs w:val="22"/>
        </w:rPr>
        <w:t xml:space="preserve"> </w:t>
      </w:r>
    </w:p>
    <w:tbl>
      <w:tblPr>
        <w:tblStyle w:val="TableGrid"/>
        <w:tblW w:w="0" w:type="auto"/>
        <w:tblLook w:val="04A0" w:firstRow="1" w:lastRow="0" w:firstColumn="1" w:lastColumn="0" w:noHBand="0" w:noVBand="1"/>
      </w:tblPr>
      <w:tblGrid>
        <w:gridCol w:w="6204"/>
      </w:tblGrid>
      <w:tr w:rsidR="003417FE" w:rsidRPr="00AB24C1" w14:paraId="3B62E5F9" w14:textId="77777777" w:rsidTr="003417FE">
        <w:tc>
          <w:tcPr>
            <w:tcW w:w="6204" w:type="dxa"/>
          </w:tcPr>
          <w:p w14:paraId="06E93355" w14:textId="77777777" w:rsidR="003417FE" w:rsidRPr="00BC3332" w:rsidRDefault="00BC3332" w:rsidP="00C1223C">
            <w:pPr>
              <w:autoSpaceDE w:val="0"/>
              <w:autoSpaceDN w:val="0"/>
              <w:adjustRightInd w:val="0"/>
              <w:spacing w:after="120" w:line="360" w:lineRule="auto"/>
              <w:jc w:val="both"/>
              <w:rPr>
                <w:rFonts w:ascii="Garamond" w:hAnsi="Garamond"/>
                <w:color w:val="0070C0"/>
                <w:sz w:val="20"/>
                <w:szCs w:val="20"/>
              </w:rPr>
            </w:pPr>
            <w:r>
              <w:rPr>
                <w:rFonts w:ascii="Garamond" w:hAnsi="Garamond"/>
                <w:color w:val="0070C0"/>
                <w:sz w:val="20"/>
                <w:szCs w:val="20"/>
              </w:rPr>
              <w:t>T</w:t>
            </w:r>
            <w:r w:rsidRPr="00BC3332">
              <w:rPr>
                <w:rFonts w:ascii="Garamond" w:hAnsi="Garamond"/>
                <w:color w:val="0070C0"/>
                <w:sz w:val="20"/>
                <w:szCs w:val="20"/>
              </w:rPr>
              <w:t xml:space="preserve">he global economy </w:t>
            </w:r>
            <w:r w:rsidR="00EE39CC">
              <w:rPr>
                <w:rFonts w:ascii="Garamond" w:hAnsi="Garamond"/>
                <w:color w:val="0070C0"/>
                <w:sz w:val="20"/>
                <w:szCs w:val="20"/>
              </w:rPr>
              <w:t xml:space="preserve">further </w:t>
            </w:r>
            <w:r w:rsidR="00992FC8">
              <w:rPr>
                <w:rFonts w:ascii="Garamond" w:hAnsi="Garamond"/>
                <w:color w:val="0070C0"/>
                <w:sz w:val="20"/>
                <w:szCs w:val="20"/>
              </w:rPr>
              <w:t xml:space="preserve">slowed down in </w:t>
            </w:r>
            <w:r w:rsidR="00EE39CC">
              <w:rPr>
                <w:rFonts w:ascii="Garamond" w:hAnsi="Garamond"/>
                <w:color w:val="0070C0"/>
                <w:sz w:val="20"/>
                <w:szCs w:val="20"/>
              </w:rPr>
              <w:t xml:space="preserve">early 2019 </w:t>
            </w:r>
            <w:r w:rsidR="00992FC8">
              <w:rPr>
                <w:rFonts w:ascii="Garamond" w:hAnsi="Garamond"/>
                <w:color w:val="0070C0"/>
                <w:sz w:val="20"/>
                <w:szCs w:val="20"/>
              </w:rPr>
              <w:t xml:space="preserve">and this tendency is expected to be observable </w:t>
            </w:r>
            <w:r w:rsidR="00C1223C">
              <w:rPr>
                <w:rFonts w:ascii="Garamond" w:hAnsi="Garamond"/>
                <w:color w:val="0070C0"/>
                <w:sz w:val="20"/>
                <w:szCs w:val="20"/>
              </w:rPr>
              <w:t>up until the end of the year.</w:t>
            </w:r>
            <w:r w:rsidR="00842D91">
              <w:rPr>
                <w:rFonts w:ascii="Garamond" w:hAnsi="Garamond"/>
                <w:color w:val="0070C0"/>
                <w:sz w:val="20"/>
                <w:szCs w:val="20"/>
              </w:rPr>
              <w:t xml:space="preserve"> </w:t>
            </w:r>
          </w:p>
        </w:tc>
      </w:tr>
    </w:tbl>
    <w:p w14:paraId="5C1D4DBC" w14:textId="77777777" w:rsidR="003417FE" w:rsidRDefault="003417FE" w:rsidP="003417FE">
      <w:pPr>
        <w:autoSpaceDE w:val="0"/>
        <w:autoSpaceDN w:val="0"/>
        <w:adjustRightInd w:val="0"/>
        <w:spacing w:after="120" w:line="360" w:lineRule="auto"/>
        <w:jc w:val="both"/>
        <w:rPr>
          <w:rFonts w:ascii="Garamond" w:hAnsi="Garamond"/>
          <w:sz w:val="22"/>
          <w:szCs w:val="22"/>
        </w:rPr>
      </w:pPr>
    </w:p>
    <w:p w14:paraId="6B3BFBB0" w14:textId="77777777" w:rsidR="00EE619D" w:rsidRPr="00EE5F0F"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 xml:space="preserve">Economic developments </w:t>
      </w:r>
      <w:r w:rsidR="00F50859">
        <w:rPr>
          <w:rFonts w:ascii="Garamond" w:hAnsi="Garamond"/>
          <w:b/>
          <w:sz w:val="22"/>
          <w:szCs w:val="22"/>
        </w:rPr>
        <w:t>and inflation in the United States</w:t>
      </w:r>
      <w:r w:rsidRPr="00EE5F0F">
        <w:rPr>
          <w:rFonts w:ascii="Garamond" w:hAnsi="Garamond"/>
          <w:b/>
          <w:sz w:val="22"/>
          <w:szCs w:val="22"/>
        </w:rPr>
        <w:t>:</w:t>
      </w:r>
      <w:r w:rsidRPr="00EE5F0F">
        <w:rPr>
          <w:rFonts w:ascii="Garamond" w:hAnsi="Garamond"/>
          <w:sz w:val="22"/>
          <w:szCs w:val="22"/>
        </w:rPr>
        <w:t xml:space="preserve"> According to </w:t>
      </w:r>
      <w:r w:rsidR="00F50859">
        <w:rPr>
          <w:rFonts w:ascii="Garamond" w:hAnsi="Garamond"/>
          <w:sz w:val="22"/>
          <w:szCs w:val="22"/>
        </w:rPr>
        <w:t xml:space="preserve">the </w:t>
      </w:r>
      <w:r w:rsidR="0066474B" w:rsidRPr="00EE5F0F">
        <w:rPr>
          <w:rFonts w:ascii="Garamond" w:hAnsi="Garamond"/>
          <w:sz w:val="22"/>
          <w:szCs w:val="22"/>
        </w:rPr>
        <w:t xml:space="preserve">U.S. </w:t>
      </w:r>
      <w:r w:rsidR="0066474B">
        <w:rPr>
          <w:rFonts w:ascii="Garamond" w:hAnsi="Garamond"/>
          <w:sz w:val="22"/>
          <w:szCs w:val="22"/>
        </w:rPr>
        <w:t xml:space="preserve">Bureau of Economic Analysis </w:t>
      </w:r>
      <w:r w:rsidR="00F50859">
        <w:rPr>
          <w:rFonts w:ascii="Garamond" w:hAnsi="Garamond"/>
          <w:sz w:val="22"/>
          <w:szCs w:val="22"/>
        </w:rPr>
        <w:t>2nd quarter estimates</w:t>
      </w:r>
      <w:r w:rsidRPr="00EE5F0F">
        <w:rPr>
          <w:rFonts w:ascii="Garamond" w:hAnsi="Garamond"/>
          <w:sz w:val="22"/>
          <w:szCs w:val="22"/>
        </w:rPr>
        <w:t xml:space="preserve">, </w:t>
      </w:r>
      <w:r w:rsidR="0066474B">
        <w:rPr>
          <w:rFonts w:ascii="Garamond" w:hAnsi="Garamond"/>
          <w:sz w:val="22"/>
          <w:szCs w:val="22"/>
        </w:rPr>
        <w:t xml:space="preserve">driven mainly by net exports and domestic consumption, </w:t>
      </w:r>
      <w:r w:rsidRPr="00EE5F0F">
        <w:rPr>
          <w:rFonts w:ascii="Garamond" w:hAnsi="Garamond"/>
          <w:sz w:val="22"/>
          <w:szCs w:val="22"/>
        </w:rPr>
        <w:t xml:space="preserve">economic growth in the </w:t>
      </w:r>
      <w:r w:rsidR="0066474B">
        <w:rPr>
          <w:rFonts w:ascii="Garamond" w:hAnsi="Garamond"/>
          <w:sz w:val="22"/>
          <w:szCs w:val="22"/>
        </w:rPr>
        <w:t xml:space="preserve">USA </w:t>
      </w:r>
      <w:r w:rsidR="00506EA5" w:rsidRPr="00EE5F0F">
        <w:rPr>
          <w:rFonts w:ascii="Garamond" w:hAnsi="Garamond"/>
          <w:sz w:val="22"/>
          <w:szCs w:val="22"/>
        </w:rPr>
        <w:t>in the</w:t>
      </w:r>
      <w:r w:rsidR="00151ED8">
        <w:rPr>
          <w:rFonts w:ascii="Garamond" w:hAnsi="Garamond"/>
          <w:sz w:val="22"/>
          <w:szCs w:val="22"/>
        </w:rPr>
        <w:t xml:space="preserve"> </w:t>
      </w:r>
      <w:r w:rsidR="0066474B">
        <w:rPr>
          <w:rFonts w:ascii="Garamond" w:hAnsi="Garamond"/>
          <w:sz w:val="22"/>
          <w:szCs w:val="22"/>
        </w:rPr>
        <w:t>first q</w:t>
      </w:r>
      <w:r w:rsidRPr="00EE5F0F">
        <w:rPr>
          <w:rFonts w:ascii="Garamond" w:hAnsi="Garamond"/>
          <w:sz w:val="22"/>
          <w:szCs w:val="22"/>
        </w:rPr>
        <w:t>uarter of 201</w:t>
      </w:r>
      <w:r w:rsidR="0066474B">
        <w:rPr>
          <w:rFonts w:ascii="Garamond" w:hAnsi="Garamond"/>
          <w:sz w:val="22"/>
          <w:szCs w:val="22"/>
        </w:rPr>
        <w:t>9</w:t>
      </w:r>
      <w:r w:rsidRPr="00EE5F0F">
        <w:rPr>
          <w:rFonts w:ascii="Garamond" w:hAnsi="Garamond"/>
          <w:sz w:val="22"/>
          <w:szCs w:val="22"/>
        </w:rPr>
        <w:t xml:space="preserve"> was </w:t>
      </w:r>
      <w:r w:rsidR="00151ED8">
        <w:rPr>
          <w:rFonts w:ascii="Garamond" w:hAnsi="Garamond"/>
          <w:sz w:val="22"/>
          <w:szCs w:val="22"/>
        </w:rPr>
        <w:t>3</w:t>
      </w:r>
      <w:r w:rsidRPr="00EE5F0F">
        <w:rPr>
          <w:rFonts w:ascii="Garamond" w:hAnsi="Garamond"/>
          <w:sz w:val="22"/>
          <w:szCs w:val="22"/>
        </w:rPr>
        <w:t>.</w:t>
      </w:r>
      <w:r w:rsidR="00161645">
        <w:rPr>
          <w:rFonts w:ascii="Garamond" w:hAnsi="Garamond"/>
          <w:sz w:val="22"/>
          <w:szCs w:val="22"/>
        </w:rPr>
        <w:t>1</w:t>
      </w:r>
      <w:r w:rsidRPr="00EE5F0F">
        <w:rPr>
          <w:rFonts w:ascii="Garamond" w:hAnsi="Garamond"/>
          <w:sz w:val="22"/>
          <w:szCs w:val="22"/>
        </w:rPr>
        <w:t>% y/y</w:t>
      </w:r>
      <w:r w:rsidR="00506EA5" w:rsidRPr="00EE5F0F">
        <w:rPr>
          <w:rFonts w:ascii="Garamond" w:hAnsi="Garamond"/>
          <w:sz w:val="22"/>
          <w:szCs w:val="22"/>
        </w:rPr>
        <w:t>, with</w:t>
      </w:r>
      <w:r w:rsidRPr="00EE5F0F">
        <w:rPr>
          <w:rFonts w:ascii="Garamond" w:hAnsi="Garamond"/>
          <w:sz w:val="22"/>
          <w:szCs w:val="22"/>
        </w:rPr>
        <w:t xml:space="preserve"> average economic growth </w:t>
      </w:r>
      <w:r w:rsidR="00986952">
        <w:rPr>
          <w:rFonts w:ascii="Garamond" w:hAnsi="Garamond"/>
          <w:sz w:val="22"/>
          <w:szCs w:val="22"/>
        </w:rPr>
        <w:t xml:space="preserve">predicted to be </w:t>
      </w:r>
      <w:r w:rsidRPr="00EE5F0F">
        <w:rPr>
          <w:rFonts w:ascii="Garamond" w:hAnsi="Garamond"/>
          <w:sz w:val="22"/>
          <w:szCs w:val="22"/>
        </w:rPr>
        <w:t>2.</w:t>
      </w:r>
      <w:r w:rsidR="0066474B">
        <w:rPr>
          <w:rFonts w:ascii="Garamond" w:hAnsi="Garamond"/>
          <w:sz w:val="22"/>
          <w:szCs w:val="22"/>
        </w:rPr>
        <w:t>45</w:t>
      </w:r>
      <w:r w:rsidRPr="00EE5F0F">
        <w:rPr>
          <w:rFonts w:ascii="Garamond" w:hAnsi="Garamond"/>
          <w:sz w:val="22"/>
          <w:szCs w:val="22"/>
        </w:rPr>
        <w:t>% for 201</w:t>
      </w:r>
      <w:r w:rsidR="0066474B">
        <w:rPr>
          <w:rFonts w:ascii="Garamond" w:hAnsi="Garamond"/>
          <w:sz w:val="22"/>
          <w:szCs w:val="22"/>
        </w:rPr>
        <w:t>9</w:t>
      </w:r>
      <w:r w:rsidR="00161645">
        <w:rPr>
          <w:rFonts w:ascii="Garamond" w:hAnsi="Garamond"/>
          <w:sz w:val="22"/>
          <w:szCs w:val="22"/>
        </w:rPr>
        <w:t>.</w:t>
      </w:r>
      <w:r w:rsidR="00986952" w:rsidRPr="00986952">
        <w:t xml:space="preserve"> </w:t>
      </w:r>
      <w:r w:rsidR="00986952">
        <w:rPr>
          <w:rFonts w:ascii="Garamond" w:hAnsi="Garamond"/>
          <w:sz w:val="22"/>
          <w:szCs w:val="22"/>
        </w:rPr>
        <w:t>The u</w:t>
      </w:r>
      <w:r w:rsidR="00986952" w:rsidRPr="00986952">
        <w:rPr>
          <w:rFonts w:ascii="Garamond" w:hAnsi="Garamond"/>
          <w:sz w:val="22"/>
          <w:szCs w:val="22"/>
        </w:rPr>
        <w:t xml:space="preserve">nemployment rate in the first quarter </w:t>
      </w:r>
      <w:r w:rsidR="00986952">
        <w:rPr>
          <w:rFonts w:ascii="Garamond" w:hAnsi="Garamond"/>
          <w:sz w:val="22"/>
          <w:szCs w:val="22"/>
        </w:rPr>
        <w:t xml:space="preserve">of 2019 somewhat subdued to </w:t>
      </w:r>
      <w:r w:rsidR="00986952" w:rsidRPr="00986952">
        <w:rPr>
          <w:rFonts w:ascii="Garamond" w:hAnsi="Garamond"/>
          <w:sz w:val="22"/>
          <w:szCs w:val="22"/>
        </w:rPr>
        <w:t>3.8%</w:t>
      </w:r>
      <w:r w:rsidR="00986952">
        <w:rPr>
          <w:rFonts w:ascii="Garamond" w:hAnsi="Garamond"/>
          <w:sz w:val="22"/>
          <w:szCs w:val="22"/>
        </w:rPr>
        <w:t xml:space="preserve"> </w:t>
      </w:r>
      <w:r w:rsidR="00986952" w:rsidRPr="00986952">
        <w:rPr>
          <w:rFonts w:ascii="Garamond" w:hAnsi="Garamond"/>
          <w:sz w:val="22"/>
          <w:szCs w:val="22"/>
        </w:rPr>
        <w:t>compared to the previous quarter.</w:t>
      </w:r>
      <w:r w:rsidR="00161645">
        <w:rPr>
          <w:rFonts w:ascii="Garamond" w:hAnsi="Garamond"/>
          <w:sz w:val="22"/>
          <w:szCs w:val="22"/>
        </w:rPr>
        <w:t xml:space="preserve"> </w:t>
      </w:r>
      <w:r w:rsidR="00986952">
        <w:rPr>
          <w:rFonts w:ascii="Garamond" w:hAnsi="Garamond"/>
          <w:sz w:val="22"/>
          <w:szCs w:val="22"/>
        </w:rPr>
        <w:t xml:space="preserve">A robust </w:t>
      </w:r>
      <w:r w:rsidR="00986952" w:rsidRPr="00986952">
        <w:rPr>
          <w:rFonts w:ascii="Garamond" w:hAnsi="Garamond"/>
          <w:sz w:val="22"/>
          <w:szCs w:val="22"/>
        </w:rPr>
        <w:t>first quarter</w:t>
      </w:r>
      <w:r w:rsidR="00986952">
        <w:rPr>
          <w:rFonts w:ascii="Garamond" w:hAnsi="Garamond"/>
          <w:sz w:val="22"/>
          <w:szCs w:val="22"/>
        </w:rPr>
        <w:t xml:space="preserve"> growth notwithstanding</w:t>
      </w:r>
      <w:r w:rsidR="00986952" w:rsidRPr="00986952">
        <w:rPr>
          <w:rFonts w:ascii="Garamond" w:hAnsi="Garamond"/>
          <w:sz w:val="22"/>
          <w:szCs w:val="22"/>
        </w:rPr>
        <w:t xml:space="preserve">, the US economic growth </w:t>
      </w:r>
      <w:r w:rsidR="00986952">
        <w:rPr>
          <w:rFonts w:ascii="Garamond" w:hAnsi="Garamond"/>
          <w:sz w:val="22"/>
          <w:szCs w:val="22"/>
        </w:rPr>
        <w:t xml:space="preserve">rate is predicted to slow down over the next quarters </w:t>
      </w:r>
      <w:r w:rsidR="00457C7F">
        <w:rPr>
          <w:rFonts w:ascii="Garamond" w:hAnsi="Garamond"/>
          <w:sz w:val="22"/>
          <w:szCs w:val="22"/>
        </w:rPr>
        <w:t xml:space="preserve">on the brink of </w:t>
      </w:r>
      <w:r w:rsidR="00986952">
        <w:rPr>
          <w:rFonts w:ascii="Garamond" w:hAnsi="Garamond"/>
          <w:sz w:val="22"/>
          <w:szCs w:val="22"/>
        </w:rPr>
        <w:t xml:space="preserve">a </w:t>
      </w:r>
      <w:r w:rsidR="00986952" w:rsidRPr="00986952">
        <w:rPr>
          <w:rFonts w:ascii="Garamond" w:hAnsi="Garamond"/>
          <w:sz w:val="22"/>
          <w:szCs w:val="22"/>
        </w:rPr>
        <w:t>new wave of trade war between the</w:t>
      </w:r>
      <w:r w:rsidR="00457C7F">
        <w:rPr>
          <w:rFonts w:ascii="Garamond" w:hAnsi="Garamond"/>
          <w:sz w:val="22"/>
          <w:szCs w:val="22"/>
        </w:rPr>
        <w:t xml:space="preserve"> United States and China; if this intensifies, the </w:t>
      </w:r>
      <w:r w:rsidR="00986952" w:rsidRPr="00986952">
        <w:rPr>
          <w:rFonts w:ascii="Garamond" w:hAnsi="Garamond"/>
          <w:sz w:val="22"/>
          <w:szCs w:val="22"/>
        </w:rPr>
        <w:t xml:space="preserve">slowing </w:t>
      </w:r>
      <w:r w:rsidR="00457C7F">
        <w:rPr>
          <w:rFonts w:ascii="Garamond" w:hAnsi="Garamond"/>
          <w:sz w:val="22"/>
          <w:szCs w:val="22"/>
        </w:rPr>
        <w:t xml:space="preserve">of growth will come along with phasing out positive impact of </w:t>
      </w:r>
      <w:r w:rsidR="00457C7F" w:rsidRPr="00986952">
        <w:rPr>
          <w:rFonts w:ascii="Garamond" w:hAnsi="Garamond"/>
          <w:sz w:val="22"/>
          <w:szCs w:val="22"/>
        </w:rPr>
        <w:t>US tax reform</w:t>
      </w:r>
      <w:r w:rsidR="00457C7F">
        <w:rPr>
          <w:rFonts w:ascii="Garamond" w:hAnsi="Garamond"/>
          <w:sz w:val="22"/>
          <w:szCs w:val="22"/>
        </w:rPr>
        <w:t>s</w:t>
      </w:r>
      <w:r w:rsidR="00457C7F" w:rsidRPr="00986952">
        <w:rPr>
          <w:rFonts w:ascii="Garamond" w:hAnsi="Garamond"/>
          <w:sz w:val="22"/>
          <w:szCs w:val="22"/>
        </w:rPr>
        <w:t xml:space="preserve"> on the economy</w:t>
      </w:r>
      <w:r w:rsidR="00457C7F">
        <w:rPr>
          <w:rFonts w:ascii="Garamond" w:hAnsi="Garamond"/>
          <w:sz w:val="22"/>
          <w:szCs w:val="22"/>
        </w:rPr>
        <w:t xml:space="preserve">.       </w:t>
      </w:r>
      <w:r w:rsidR="008D2BBA">
        <w:rPr>
          <w:rFonts w:ascii="Garamond" w:hAnsi="Garamond"/>
          <w:sz w:val="22"/>
          <w:szCs w:val="22"/>
        </w:rPr>
        <w:t xml:space="preserve"> </w:t>
      </w:r>
      <w:r w:rsidR="008D51E4" w:rsidRPr="00EE5F0F">
        <w:rPr>
          <w:rFonts w:ascii="Garamond" w:hAnsi="Garamond"/>
          <w:sz w:val="22"/>
          <w:szCs w:val="22"/>
        </w:rPr>
        <w:t xml:space="preserve"> </w:t>
      </w:r>
    </w:p>
    <w:p w14:paraId="77337955" w14:textId="77777777" w:rsidR="00457C7F" w:rsidRDefault="00457C7F"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lastRenderedPageBreak/>
        <w:t>The average qua</w:t>
      </w:r>
      <w:r w:rsidRPr="00457C7F">
        <w:rPr>
          <w:rFonts w:ascii="Garamond" w:hAnsi="Garamond"/>
          <w:sz w:val="22"/>
          <w:szCs w:val="22"/>
        </w:rPr>
        <w:t xml:space="preserve">rterly </w:t>
      </w:r>
      <w:r w:rsidR="006B7A31">
        <w:rPr>
          <w:rFonts w:ascii="Garamond" w:hAnsi="Garamond" w:cs="Arial"/>
          <w:color w:val="222222"/>
          <w:sz w:val="22"/>
          <w:szCs w:val="22"/>
          <w:shd w:val="clear" w:color="auto" w:fill="FFFFFF"/>
        </w:rPr>
        <w:t>p</w:t>
      </w:r>
      <w:r w:rsidRPr="00457C7F">
        <w:rPr>
          <w:rFonts w:ascii="Garamond" w:hAnsi="Garamond" w:cs="Arial"/>
          <w:color w:val="222222"/>
          <w:sz w:val="22"/>
          <w:szCs w:val="22"/>
          <w:shd w:val="clear" w:color="auto" w:fill="FFFFFF"/>
        </w:rPr>
        <w:t xml:space="preserve">ersonal consumption expenditure </w:t>
      </w:r>
      <w:r w:rsidR="006B7A31">
        <w:rPr>
          <w:rFonts w:ascii="Garamond" w:hAnsi="Garamond" w:cs="Arial"/>
          <w:color w:val="222222"/>
          <w:sz w:val="22"/>
          <w:szCs w:val="22"/>
          <w:shd w:val="clear" w:color="auto" w:fill="FFFFFF"/>
        </w:rPr>
        <w:t xml:space="preserve">price index </w:t>
      </w:r>
      <w:r w:rsidRPr="00457C7F">
        <w:rPr>
          <w:rFonts w:ascii="Garamond" w:hAnsi="Garamond"/>
          <w:sz w:val="22"/>
          <w:szCs w:val="22"/>
        </w:rPr>
        <w:t xml:space="preserve">in the first quarter of 2019 </w:t>
      </w:r>
      <w:r w:rsidR="006B7A31">
        <w:rPr>
          <w:rFonts w:ascii="Garamond" w:hAnsi="Garamond"/>
          <w:sz w:val="22"/>
          <w:szCs w:val="22"/>
        </w:rPr>
        <w:t xml:space="preserve">decreased, </w:t>
      </w:r>
      <w:r>
        <w:rPr>
          <w:rFonts w:ascii="Garamond" w:hAnsi="Garamond"/>
          <w:sz w:val="22"/>
          <w:szCs w:val="22"/>
        </w:rPr>
        <w:t xml:space="preserve">relative to that of </w:t>
      </w:r>
      <w:r w:rsidR="006B7A31">
        <w:rPr>
          <w:rFonts w:ascii="Garamond" w:hAnsi="Garamond"/>
          <w:sz w:val="22"/>
          <w:szCs w:val="22"/>
        </w:rPr>
        <w:t xml:space="preserve">high figure </w:t>
      </w:r>
      <w:r>
        <w:rPr>
          <w:rFonts w:ascii="Garamond" w:hAnsi="Garamond"/>
          <w:sz w:val="22"/>
          <w:szCs w:val="22"/>
        </w:rPr>
        <w:t>re</w:t>
      </w:r>
      <w:r w:rsidR="006B7A31">
        <w:rPr>
          <w:rFonts w:ascii="Garamond" w:hAnsi="Garamond"/>
          <w:sz w:val="22"/>
          <w:szCs w:val="22"/>
        </w:rPr>
        <w:t xml:space="preserve">ported in the previous year, to 1.4% shaping </w:t>
      </w:r>
      <w:r w:rsidR="00A92967">
        <w:rPr>
          <w:rFonts w:ascii="Garamond" w:hAnsi="Garamond"/>
          <w:sz w:val="22"/>
          <w:szCs w:val="22"/>
        </w:rPr>
        <w:t xml:space="preserve">below </w:t>
      </w:r>
      <w:r w:rsidR="00A92967" w:rsidRPr="00A92967">
        <w:rPr>
          <w:rFonts w:ascii="Garamond" w:hAnsi="Garamond"/>
          <w:sz w:val="22"/>
          <w:szCs w:val="22"/>
        </w:rPr>
        <w:t xml:space="preserve">the </w:t>
      </w:r>
      <w:r w:rsidR="00AE70A1" w:rsidRPr="00186500">
        <w:rPr>
          <w:rFonts w:ascii="Garamond" w:hAnsi="Garamond"/>
          <w:sz w:val="22"/>
          <w:szCs w:val="22"/>
        </w:rPr>
        <w:t>US Federal Reserve</w:t>
      </w:r>
      <w:r w:rsidR="00A92967">
        <w:rPr>
          <w:rFonts w:ascii="Garamond" w:hAnsi="Garamond"/>
          <w:sz w:val="22"/>
          <w:szCs w:val="22"/>
        </w:rPr>
        <w:t>’s medium-term target.</w:t>
      </w:r>
      <w:r>
        <w:rPr>
          <w:rFonts w:ascii="Garamond" w:hAnsi="Garamond"/>
          <w:sz w:val="22"/>
          <w:szCs w:val="22"/>
        </w:rPr>
        <w:t xml:space="preserve"> </w:t>
      </w:r>
      <w:r w:rsidR="00A92967" w:rsidRPr="00EE5F0F">
        <w:rPr>
          <w:rFonts w:ascii="Garamond" w:hAnsi="Garamond"/>
          <w:sz w:val="22"/>
          <w:szCs w:val="22"/>
        </w:rPr>
        <w:t xml:space="preserve">In view of </w:t>
      </w:r>
      <w:r w:rsidR="00A92967">
        <w:rPr>
          <w:rFonts w:ascii="Garamond" w:hAnsi="Garamond"/>
          <w:sz w:val="22"/>
          <w:szCs w:val="22"/>
        </w:rPr>
        <w:t xml:space="preserve">higher-than-anticipated </w:t>
      </w:r>
      <w:r w:rsidR="00A92967" w:rsidRPr="00EE5F0F">
        <w:rPr>
          <w:rFonts w:ascii="Garamond" w:hAnsi="Garamond"/>
          <w:sz w:val="22"/>
          <w:szCs w:val="22"/>
        </w:rPr>
        <w:t xml:space="preserve">economic </w:t>
      </w:r>
      <w:r w:rsidR="00A92967">
        <w:rPr>
          <w:rFonts w:ascii="Garamond" w:hAnsi="Garamond"/>
          <w:sz w:val="22"/>
          <w:szCs w:val="22"/>
        </w:rPr>
        <w:t xml:space="preserve">growth </w:t>
      </w:r>
      <w:r w:rsidR="00A92967" w:rsidRPr="00EE5F0F">
        <w:rPr>
          <w:rFonts w:ascii="Garamond" w:hAnsi="Garamond"/>
          <w:sz w:val="22"/>
          <w:szCs w:val="22"/>
        </w:rPr>
        <w:t xml:space="preserve">and </w:t>
      </w:r>
      <w:r w:rsidR="00A92967">
        <w:rPr>
          <w:rFonts w:ascii="Garamond" w:hAnsi="Garamond"/>
          <w:sz w:val="22"/>
          <w:szCs w:val="22"/>
        </w:rPr>
        <w:t xml:space="preserve">such </w:t>
      </w:r>
      <w:r w:rsidR="00A92967" w:rsidRPr="00EE5F0F">
        <w:rPr>
          <w:rFonts w:ascii="Garamond" w:hAnsi="Garamond"/>
          <w:sz w:val="22"/>
          <w:szCs w:val="22"/>
        </w:rPr>
        <w:t>price developments,</w:t>
      </w:r>
      <w:r w:rsidR="00A92967">
        <w:rPr>
          <w:rFonts w:ascii="Garamond" w:hAnsi="Garamond"/>
          <w:sz w:val="22"/>
          <w:szCs w:val="22"/>
        </w:rPr>
        <w:t xml:space="preserve"> the Fed</w:t>
      </w:r>
      <w:r w:rsidR="00A92967" w:rsidRPr="00EE5F0F">
        <w:rPr>
          <w:rFonts w:ascii="Garamond" w:hAnsi="Garamond"/>
          <w:sz w:val="22"/>
          <w:szCs w:val="22"/>
        </w:rPr>
        <w:t xml:space="preserve"> </w:t>
      </w:r>
      <w:r w:rsidR="00A92967">
        <w:rPr>
          <w:rFonts w:ascii="Garamond" w:hAnsi="Garamond"/>
          <w:sz w:val="22"/>
          <w:szCs w:val="22"/>
        </w:rPr>
        <w:t>kept the</w:t>
      </w:r>
      <w:r w:rsidR="00A92967" w:rsidRPr="00EE5F0F">
        <w:rPr>
          <w:rFonts w:ascii="Garamond" w:hAnsi="Garamond"/>
          <w:sz w:val="22"/>
          <w:szCs w:val="22"/>
        </w:rPr>
        <w:t xml:space="preserve"> policy rate</w:t>
      </w:r>
      <w:r w:rsidR="00A92967">
        <w:rPr>
          <w:rFonts w:ascii="Garamond" w:hAnsi="Garamond"/>
          <w:sz w:val="22"/>
          <w:szCs w:val="22"/>
        </w:rPr>
        <w:t xml:space="preserve"> </w:t>
      </w:r>
      <w:r w:rsidR="00A92967" w:rsidRPr="00EE5F0F">
        <w:rPr>
          <w:rFonts w:ascii="Garamond" w:hAnsi="Garamond"/>
          <w:sz w:val="22"/>
          <w:szCs w:val="22"/>
        </w:rPr>
        <w:t xml:space="preserve">in the </w:t>
      </w:r>
      <w:r w:rsidR="00A92967">
        <w:rPr>
          <w:rFonts w:ascii="Garamond" w:hAnsi="Garamond"/>
          <w:sz w:val="22"/>
          <w:szCs w:val="22"/>
        </w:rPr>
        <w:t xml:space="preserve">first </w:t>
      </w:r>
      <w:r w:rsidR="00A92967" w:rsidRPr="00EE5F0F">
        <w:rPr>
          <w:rFonts w:ascii="Garamond" w:hAnsi="Garamond"/>
          <w:sz w:val="22"/>
          <w:szCs w:val="22"/>
        </w:rPr>
        <w:t xml:space="preserve">quarter, as was </w:t>
      </w:r>
      <w:r w:rsidR="00A92967">
        <w:rPr>
          <w:rFonts w:ascii="Garamond" w:hAnsi="Garamond"/>
          <w:sz w:val="22"/>
          <w:szCs w:val="22"/>
        </w:rPr>
        <w:t>expected</w:t>
      </w:r>
      <w:r w:rsidR="00A92967" w:rsidRPr="00EE5F0F">
        <w:rPr>
          <w:rFonts w:ascii="Garamond" w:hAnsi="Garamond"/>
          <w:sz w:val="22"/>
          <w:szCs w:val="22"/>
        </w:rPr>
        <w:t xml:space="preserve">, </w:t>
      </w:r>
      <w:r w:rsidR="00A92967">
        <w:rPr>
          <w:rFonts w:ascii="Garamond" w:hAnsi="Garamond"/>
          <w:sz w:val="22"/>
          <w:szCs w:val="22"/>
        </w:rPr>
        <w:t>within a</w:t>
      </w:r>
      <w:r w:rsidR="00A92967" w:rsidRPr="00EE5F0F">
        <w:rPr>
          <w:rFonts w:ascii="Garamond" w:hAnsi="Garamond"/>
          <w:sz w:val="22"/>
          <w:szCs w:val="22"/>
        </w:rPr>
        <w:t xml:space="preserve"> </w:t>
      </w:r>
      <w:r w:rsidR="00A92967">
        <w:rPr>
          <w:rFonts w:ascii="Garamond" w:hAnsi="Garamond"/>
          <w:sz w:val="22"/>
          <w:szCs w:val="22"/>
        </w:rPr>
        <w:t>2</w:t>
      </w:r>
      <w:r w:rsidR="00A92967" w:rsidRPr="00EE5F0F">
        <w:rPr>
          <w:rFonts w:ascii="Garamond" w:hAnsi="Garamond"/>
          <w:sz w:val="22"/>
          <w:szCs w:val="22"/>
        </w:rPr>
        <w:t>.</w:t>
      </w:r>
      <w:r w:rsidR="00A92967">
        <w:rPr>
          <w:rFonts w:ascii="Garamond" w:hAnsi="Garamond"/>
          <w:sz w:val="22"/>
          <w:szCs w:val="22"/>
        </w:rPr>
        <w:t>25-2</w:t>
      </w:r>
      <w:r w:rsidR="00A92967" w:rsidRPr="00EE5F0F">
        <w:rPr>
          <w:rFonts w:ascii="Garamond" w:hAnsi="Garamond"/>
          <w:sz w:val="22"/>
          <w:szCs w:val="22"/>
        </w:rPr>
        <w:t>.</w:t>
      </w:r>
      <w:r w:rsidR="00A92967">
        <w:rPr>
          <w:rFonts w:ascii="Garamond" w:hAnsi="Garamond"/>
          <w:sz w:val="22"/>
          <w:szCs w:val="22"/>
        </w:rPr>
        <w:t>50</w:t>
      </w:r>
      <w:r w:rsidR="00A92967" w:rsidRPr="00EE5F0F">
        <w:rPr>
          <w:rFonts w:ascii="Garamond" w:hAnsi="Garamond"/>
          <w:sz w:val="22"/>
          <w:szCs w:val="22"/>
        </w:rPr>
        <w:t>%</w:t>
      </w:r>
      <w:r w:rsidR="00A92967">
        <w:rPr>
          <w:rFonts w:ascii="Garamond" w:hAnsi="Garamond"/>
          <w:sz w:val="22"/>
          <w:szCs w:val="22"/>
        </w:rPr>
        <w:t xml:space="preserve"> range</w:t>
      </w:r>
      <w:r w:rsidR="00A92967" w:rsidRPr="00EE5F0F">
        <w:rPr>
          <w:rFonts w:ascii="Garamond" w:hAnsi="Garamond"/>
          <w:sz w:val="22"/>
          <w:szCs w:val="22"/>
        </w:rPr>
        <w:t>.</w:t>
      </w:r>
    </w:p>
    <w:p w14:paraId="0CC2AF63" w14:textId="77777777" w:rsidR="00186500" w:rsidRDefault="00186500"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Given </w:t>
      </w:r>
      <w:r w:rsidRPr="00186500">
        <w:rPr>
          <w:rFonts w:ascii="Garamond" w:hAnsi="Garamond"/>
          <w:sz w:val="22"/>
          <w:szCs w:val="22"/>
        </w:rPr>
        <w:t xml:space="preserve">that </w:t>
      </w:r>
      <w:r>
        <w:rPr>
          <w:rFonts w:ascii="Garamond" w:hAnsi="Garamond"/>
          <w:sz w:val="22"/>
          <w:szCs w:val="22"/>
        </w:rPr>
        <w:t xml:space="preserve">markets’ </w:t>
      </w:r>
      <w:r w:rsidRPr="00186500">
        <w:rPr>
          <w:rFonts w:ascii="Garamond" w:hAnsi="Garamond"/>
          <w:sz w:val="22"/>
          <w:szCs w:val="22"/>
        </w:rPr>
        <w:t xml:space="preserve">expectations </w:t>
      </w:r>
      <w:r>
        <w:rPr>
          <w:rFonts w:ascii="Garamond" w:hAnsi="Garamond"/>
          <w:sz w:val="22"/>
          <w:szCs w:val="22"/>
        </w:rPr>
        <w:t>of</w:t>
      </w:r>
      <w:r w:rsidRPr="00186500">
        <w:rPr>
          <w:rFonts w:ascii="Garamond" w:hAnsi="Garamond"/>
          <w:sz w:val="22"/>
          <w:szCs w:val="22"/>
        </w:rPr>
        <w:t xml:space="preserve"> economic growth are quite pessimistic and that </w:t>
      </w:r>
      <w:r w:rsidR="00AE70A1">
        <w:rPr>
          <w:rFonts w:ascii="Garamond" w:hAnsi="Garamond"/>
          <w:sz w:val="22"/>
          <w:szCs w:val="22"/>
        </w:rPr>
        <w:t xml:space="preserve">both </w:t>
      </w:r>
      <w:r w:rsidRPr="00186500">
        <w:rPr>
          <w:rFonts w:ascii="Garamond" w:hAnsi="Garamond"/>
          <w:sz w:val="22"/>
          <w:szCs w:val="22"/>
        </w:rPr>
        <w:t xml:space="preserve">the </w:t>
      </w:r>
      <w:r w:rsidR="00AE70A1">
        <w:rPr>
          <w:rFonts w:ascii="Garamond" w:hAnsi="Garamond"/>
          <w:sz w:val="22"/>
          <w:szCs w:val="22"/>
        </w:rPr>
        <w:t>PCE price index and headline inflation are running below the benchmark</w:t>
      </w:r>
      <w:r w:rsidR="00AE70A1">
        <w:rPr>
          <w:rStyle w:val="FootnoteReference"/>
          <w:rFonts w:ascii="Garamond" w:hAnsi="Garamond"/>
          <w:sz w:val="22"/>
          <w:szCs w:val="22"/>
        </w:rPr>
        <w:footnoteReference w:customMarkFollows="1" w:id="1"/>
        <w:t>2</w:t>
      </w:r>
      <w:r w:rsidR="00AE70A1">
        <w:rPr>
          <w:rFonts w:ascii="Garamond" w:hAnsi="Garamond"/>
          <w:sz w:val="22"/>
          <w:szCs w:val="22"/>
        </w:rPr>
        <w:t xml:space="preserve">, which amounted, </w:t>
      </w:r>
      <w:r w:rsidR="00AE70A1" w:rsidRPr="00186500">
        <w:rPr>
          <w:rFonts w:ascii="Garamond" w:hAnsi="Garamond"/>
          <w:sz w:val="22"/>
          <w:szCs w:val="22"/>
        </w:rPr>
        <w:t>respectively,</w:t>
      </w:r>
      <w:r w:rsidR="00AE70A1">
        <w:rPr>
          <w:rFonts w:ascii="Garamond" w:hAnsi="Garamond"/>
          <w:sz w:val="22"/>
          <w:szCs w:val="22"/>
        </w:rPr>
        <w:t xml:space="preserve"> to </w:t>
      </w:r>
      <w:r w:rsidRPr="00186500">
        <w:rPr>
          <w:rFonts w:ascii="Garamond" w:hAnsi="Garamond"/>
          <w:sz w:val="22"/>
          <w:szCs w:val="22"/>
        </w:rPr>
        <w:t>1.5% and 1.9% in April, the Fed</w:t>
      </w:r>
      <w:r w:rsidR="00AE70A1">
        <w:rPr>
          <w:rFonts w:ascii="Garamond" w:hAnsi="Garamond"/>
          <w:sz w:val="22"/>
          <w:szCs w:val="22"/>
        </w:rPr>
        <w:t xml:space="preserve"> </w:t>
      </w:r>
      <w:r w:rsidRPr="00186500">
        <w:rPr>
          <w:rFonts w:ascii="Garamond" w:hAnsi="Garamond"/>
          <w:sz w:val="22"/>
          <w:szCs w:val="22"/>
        </w:rPr>
        <w:t>no longer expect</w:t>
      </w:r>
      <w:r w:rsidR="00AE70A1">
        <w:rPr>
          <w:rFonts w:ascii="Garamond" w:hAnsi="Garamond"/>
          <w:sz w:val="22"/>
          <w:szCs w:val="22"/>
        </w:rPr>
        <w:t xml:space="preserve">s </w:t>
      </w:r>
      <w:r w:rsidRPr="00186500">
        <w:rPr>
          <w:rFonts w:ascii="Garamond" w:hAnsi="Garamond"/>
          <w:sz w:val="22"/>
          <w:szCs w:val="22"/>
        </w:rPr>
        <w:t>to tighten monetary policy conditions</w:t>
      </w:r>
      <w:r w:rsidR="00AE70A1">
        <w:rPr>
          <w:rFonts w:ascii="Garamond" w:hAnsi="Garamond"/>
          <w:sz w:val="22"/>
          <w:szCs w:val="22"/>
        </w:rPr>
        <w:t xml:space="preserve"> during 2019</w:t>
      </w:r>
      <w:r w:rsidR="00C57718">
        <w:rPr>
          <w:rFonts w:ascii="Garamond" w:hAnsi="Garamond"/>
          <w:sz w:val="22"/>
          <w:szCs w:val="22"/>
        </w:rPr>
        <w:t>, while t</w:t>
      </w:r>
      <w:r w:rsidRPr="00186500">
        <w:rPr>
          <w:rFonts w:ascii="Garamond" w:hAnsi="Garamond"/>
          <w:sz w:val="22"/>
          <w:szCs w:val="22"/>
        </w:rPr>
        <w:t xml:space="preserve">he </w:t>
      </w:r>
      <w:r w:rsidR="00C57718" w:rsidRPr="00186500">
        <w:rPr>
          <w:rFonts w:ascii="Garamond" w:hAnsi="Garamond"/>
          <w:sz w:val="22"/>
          <w:szCs w:val="22"/>
        </w:rPr>
        <w:t>m</w:t>
      </w:r>
      <w:r w:rsidR="00C57718">
        <w:rPr>
          <w:rFonts w:ascii="Garamond" w:hAnsi="Garamond"/>
          <w:sz w:val="22"/>
          <w:szCs w:val="22"/>
        </w:rPr>
        <w:t>id-term path of the policy rate has been adjusted significantly.</w:t>
      </w:r>
    </w:p>
    <w:tbl>
      <w:tblPr>
        <w:tblStyle w:val="TableGrid"/>
        <w:tblW w:w="0" w:type="auto"/>
        <w:tblLook w:val="04A0" w:firstRow="1" w:lastRow="0" w:firstColumn="1" w:lastColumn="0" w:noHBand="0" w:noVBand="1"/>
      </w:tblPr>
      <w:tblGrid>
        <w:gridCol w:w="9350"/>
      </w:tblGrid>
      <w:tr w:rsidR="00C57718" w14:paraId="4F3DB30D" w14:textId="77777777" w:rsidTr="00C57718">
        <w:tc>
          <w:tcPr>
            <w:tcW w:w="9576" w:type="dxa"/>
          </w:tcPr>
          <w:p w14:paraId="23CF2609" w14:textId="77777777" w:rsidR="00C57718" w:rsidRDefault="00C57718" w:rsidP="00EE619D">
            <w:pPr>
              <w:autoSpaceDE w:val="0"/>
              <w:autoSpaceDN w:val="0"/>
              <w:adjustRightInd w:val="0"/>
              <w:spacing w:after="120" w:line="360" w:lineRule="auto"/>
              <w:jc w:val="both"/>
              <w:rPr>
                <w:rFonts w:ascii="Garamond" w:hAnsi="Garamond"/>
                <w:b/>
                <w:sz w:val="20"/>
                <w:szCs w:val="20"/>
              </w:rPr>
            </w:pPr>
            <w:r w:rsidRPr="00C57718">
              <w:rPr>
                <w:rFonts w:ascii="Garamond" w:hAnsi="Garamond"/>
                <w:b/>
                <w:sz w:val="20"/>
                <w:szCs w:val="20"/>
              </w:rPr>
              <w:t>Box 1:</w:t>
            </w:r>
          </w:p>
          <w:p w14:paraId="5CF2DC2B" w14:textId="77777777" w:rsidR="00616B7A" w:rsidRPr="00616B7A" w:rsidRDefault="00616B7A" w:rsidP="00EE619D">
            <w:pPr>
              <w:autoSpaceDE w:val="0"/>
              <w:autoSpaceDN w:val="0"/>
              <w:adjustRightInd w:val="0"/>
              <w:spacing w:after="120" w:line="360" w:lineRule="auto"/>
              <w:jc w:val="both"/>
              <w:rPr>
                <w:rFonts w:ascii="Garamond" w:hAnsi="Garamond"/>
                <w:b/>
                <w:sz w:val="20"/>
                <w:szCs w:val="20"/>
              </w:rPr>
            </w:pPr>
            <w:r>
              <w:rPr>
                <w:rFonts w:ascii="Garamond" w:hAnsi="Garamond"/>
                <w:b/>
                <w:sz w:val="20"/>
                <w:szCs w:val="20"/>
              </w:rPr>
              <w:t>Expectations about the US economic outlook</w:t>
            </w:r>
          </w:p>
          <w:p w14:paraId="6BF54099" w14:textId="77777777" w:rsidR="00C57718" w:rsidRDefault="009E1C72" w:rsidP="00D000C4">
            <w:pPr>
              <w:autoSpaceDE w:val="0"/>
              <w:autoSpaceDN w:val="0"/>
              <w:adjustRightInd w:val="0"/>
              <w:spacing w:after="120" w:line="360" w:lineRule="auto"/>
              <w:jc w:val="both"/>
              <w:rPr>
                <w:rFonts w:ascii="Garamond" w:hAnsi="Garamond"/>
                <w:sz w:val="20"/>
                <w:szCs w:val="20"/>
              </w:rPr>
            </w:pPr>
            <w:r>
              <w:rPr>
                <w:rFonts w:ascii="Garamond" w:hAnsi="Garamond"/>
                <w:sz w:val="20"/>
                <w:szCs w:val="20"/>
              </w:rPr>
              <w:t>The US Purchasing Managers’ Index (PMI) – an in</w:t>
            </w:r>
            <w:r w:rsidRPr="009E1C72">
              <w:rPr>
                <w:rFonts w:ascii="Garamond" w:hAnsi="Garamond"/>
                <w:sz w:val="22"/>
                <w:szCs w:val="22"/>
              </w:rPr>
              <w:t xml:space="preserve">dex </w:t>
            </w:r>
            <w:r>
              <w:rPr>
                <w:rFonts w:ascii="Garamond" w:hAnsi="Garamond"/>
                <w:sz w:val="22"/>
                <w:szCs w:val="22"/>
              </w:rPr>
              <w:t>o</w:t>
            </w:r>
            <w:r w:rsidRPr="009E1C72">
              <w:rPr>
                <w:rFonts w:ascii="Garamond" w:hAnsi="Garamond" w:cs="Arial"/>
                <w:color w:val="111111"/>
                <w:sz w:val="22"/>
                <w:szCs w:val="22"/>
                <w:shd w:val="clear" w:color="auto" w:fill="FFFFFF"/>
              </w:rPr>
              <w:t>f the prevailing direction of economic trends in the manufacturing and service sectors</w:t>
            </w:r>
            <w:r>
              <w:rPr>
                <w:rFonts w:ascii="Garamond" w:hAnsi="Garamond" w:cs="Arial"/>
                <w:color w:val="111111"/>
                <w:sz w:val="22"/>
                <w:szCs w:val="22"/>
                <w:shd w:val="clear" w:color="auto" w:fill="FFFFFF"/>
              </w:rPr>
              <w:t xml:space="preserve"> – has been falling observable from the end of the previous year. As one of the most comprehensive indexes, t</w:t>
            </w:r>
            <w:r w:rsidRPr="009E1C72">
              <w:rPr>
                <w:rFonts w:ascii="Garamond" w:hAnsi="Garamond"/>
                <w:sz w:val="20"/>
                <w:szCs w:val="20"/>
              </w:rPr>
              <w:t>h</w:t>
            </w:r>
            <w:r>
              <w:rPr>
                <w:rFonts w:ascii="Garamond" w:hAnsi="Garamond"/>
                <w:sz w:val="20"/>
                <w:szCs w:val="20"/>
              </w:rPr>
              <w:t xml:space="preserve">e </w:t>
            </w:r>
            <w:r w:rsidRPr="009E1C72">
              <w:rPr>
                <w:rFonts w:ascii="Garamond" w:hAnsi="Garamond" w:cs="Arial"/>
                <w:color w:val="111111"/>
                <w:sz w:val="20"/>
                <w:szCs w:val="20"/>
                <w:shd w:val="clear" w:color="auto" w:fill="FFFFFF"/>
              </w:rPr>
              <w:t>purpose of the PMI is to provide information about current and future business conditions</w:t>
            </w:r>
            <w:r>
              <w:rPr>
                <w:rFonts w:ascii="Garamond" w:hAnsi="Garamond" w:cs="Arial"/>
                <w:color w:val="111111"/>
                <w:sz w:val="20"/>
                <w:szCs w:val="20"/>
                <w:shd w:val="clear" w:color="auto" w:fill="FFFFFF"/>
              </w:rPr>
              <w:t xml:space="preserve">, and while </w:t>
            </w:r>
            <w:r w:rsidR="00D000C4">
              <w:rPr>
                <w:rFonts w:ascii="Garamond" w:hAnsi="Garamond" w:cs="Arial"/>
                <w:color w:val="111111"/>
                <w:sz w:val="20"/>
                <w:szCs w:val="20"/>
                <w:shd w:val="clear" w:color="auto" w:fill="FFFFFF"/>
              </w:rPr>
              <w:t xml:space="preserve">the PMI </w:t>
            </w:r>
            <w:r w:rsidRPr="009E1C72">
              <w:rPr>
                <w:rFonts w:ascii="Garamond" w:hAnsi="Garamond"/>
                <w:sz w:val="20"/>
                <w:szCs w:val="20"/>
              </w:rPr>
              <w:t xml:space="preserve">was almost 61 in August 2018, </w:t>
            </w:r>
            <w:r>
              <w:rPr>
                <w:rFonts w:ascii="Garamond" w:hAnsi="Garamond"/>
                <w:sz w:val="20"/>
                <w:szCs w:val="20"/>
              </w:rPr>
              <w:t xml:space="preserve">it dropped to 53 in April </w:t>
            </w:r>
            <w:r w:rsidRPr="009E1C72">
              <w:rPr>
                <w:rFonts w:ascii="Garamond" w:hAnsi="Garamond"/>
                <w:sz w:val="20"/>
                <w:szCs w:val="20"/>
              </w:rPr>
              <w:t>2019.</w:t>
            </w:r>
          </w:p>
          <w:p w14:paraId="3ABC2BC3" w14:textId="77777777" w:rsidR="003B45F5" w:rsidRDefault="002476F1" w:rsidP="00257EAB">
            <w:pPr>
              <w:autoSpaceDE w:val="0"/>
              <w:autoSpaceDN w:val="0"/>
              <w:adjustRightInd w:val="0"/>
              <w:spacing w:after="120" w:line="360" w:lineRule="auto"/>
              <w:jc w:val="both"/>
              <w:rPr>
                <w:rFonts w:ascii="Garamond" w:hAnsi="Garamond"/>
                <w:sz w:val="20"/>
                <w:szCs w:val="20"/>
              </w:rPr>
            </w:pPr>
            <w:r>
              <w:rPr>
                <w:rFonts w:ascii="Garamond" w:hAnsi="Garamond"/>
                <w:sz w:val="20"/>
                <w:szCs w:val="20"/>
              </w:rPr>
              <w:t>T</w:t>
            </w:r>
            <w:r w:rsidR="003B45F5" w:rsidRPr="003B45F5">
              <w:rPr>
                <w:rFonts w:ascii="Garamond" w:hAnsi="Garamond"/>
                <w:sz w:val="20"/>
                <w:szCs w:val="20"/>
              </w:rPr>
              <w:t xml:space="preserve">he </w:t>
            </w:r>
            <w:r w:rsidR="00B06010">
              <w:rPr>
                <w:rFonts w:ascii="Garamond" w:hAnsi="Garamond"/>
                <w:sz w:val="20"/>
                <w:szCs w:val="20"/>
              </w:rPr>
              <w:t xml:space="preserve">pessimistic </w:t>
            </w:r>
            <w:r w:rsidRPr="003B45F5">
              <w:rPr>
                <w:rFonts w:ascii="Garamond" w:hAnsi="Garamond"/>
                <w:sz w:val="20"/>
                <w:szCs w:val="20"/>
              </w:rPr>
              <w:t xml:space="preserve">expectations </w:t>
            </w:r>
            <w:r w:rsidR="00B06010">
              <w:rPr>
                <w:rFonts w:ascii="Garamond" w:hAnsi="Garamond"/>
                <w:sz w:val="20"/>
                <w:szCs w:val="20"/>
              </w:rPr>
              <w:t>about t</w:t>
            </w:r>
            <w:r w:rsidRPr="003B45F5">
              <w:rPr>
                <w:rFonts w:ascii="Garamond" w:hAnsi="Garamond"/>
                <w:sz w:val="20"/>
                <w:szCs w:val="20"/>
              </w:rPr>
              <w:t xml:space="preserve">he US economic growth </w:t>
            </w:r>
            <w:r>
              <w:rPr>
                <w:rFonts w:ascii="Garamond" w:hAnsi="Garamond"/>
                <w:sz w:val="20"/>
                <w:szCs w:val="20"/>
              </w:rPr>
              <w:t>played out</w:t>
            </w:r>
            <w:r w:rsidR="00EF5C51">
              <w:rPr>
                <w:rFonts w:ascii="Garamond" w:hAnsi="Garamond"/>
                <w:sz w:val="20"/>
                <w:szCs w:val="20"/>
              </w:rPr>
              <w:t xml:space="preserve"> in their</w:t>
            </w:r>
            <w:r>
              <w:rPr>
                <w:rFonts w:ascii="Garamond" w:hAnsi="Garamond"/>
                <w:sz w:val="20"/>
                <w:szCs w:val="20"/>
              </w:rPr>
              <w:t xml:space="preserve"> </w:t>
            </w:r>
            <w:r w:rsidR="003B45F5" w:rsidRPr="003B45F5">
              <w:rPr>
                <w:rFonts w:ascii="Garamond" w:hAnsi="Garamond"/>
                <w:sz w:val="20"/>
                <w:szCs w:val="20"/>
              </w:rPr>
              <w:t xml:space="preserve">most </w:t>
            </w:r>
            <w:r w:rsidR="00B06010">
              <w:rPr>
                <w:rFonts w:ascii="Garamond" w:hAnsi="Garamond"/>
                <w:sz w:val="20"/>
                <w:szCs w:val="20"/>
              </w:rPr>
              <w:t xml:space="preserve">when businesses saw </w:t>
            </w:r>
            <w:r w:rsidR="003B45F5">
              <w:rPr>
                <w:rFonts w:ascii="Garamond" w:hAnsi="Garamond"/>
                <w:sz w:val="20"/>
                <w:szCs w:val="20"/>
              </w:rPr>
              <w:t>inverted yield curve</w:t>
            </w:r>
            <w:r w:rsidR="00EF5C51">
              <w:rPr>
                <w:rFonts w:ascii="Garamond" w:hAnsi="Garamond"/>
                <w:sz w:val="20"/>
                <w:szCs w:val="20"/>
              </w:rPr>
              <w:t>s</w:t>
            </w:r>
            <w:r w:rsidR="003B45F5" w:rsidRPr="003B45F5">
              <w:rPr>
                <w:rFonts w:ascii="Garamond" w:hAnsi="Garamond"/>
                <w:sz w:val="20"/>
                <w:szCs w:val="20"/>
              </w:rPr>
              <w:t xml:space="preserve">. </w:t>
            </w:r>
            <w:r w:rsidR="00EF5C51">
              <w:rPr>
                <w:rFonts w:ascii="Garamond" w:hAnsi="Garamond"/>
                <w:sz w:val="20"/>
                <w:szCs w:val="20"/>
              </w:rPr>
              <w:t>Normally, t</w:t>
            </w:r>
            <w:r w:rsidR="003B45F5" w:rsidRPr="003B45F5">
              <w:rPr>
                <w:rFonts w:ascii="Garamond" w:hAnsi="Garamond"/>
                <w:sz w:val="20"/>
                <w:szCs w:val="20"/>
              </w:rPr>
              <w:t>he yield curve</w:t>
            </w:r>
            <w:r w:rsidR="00EF5C51">
              <w:rPr>
                <w:rFonts w:ascii="Garamond" w:hAnsi="Garamond"/>
                <w:sz w:val="20"/>
                <w:szCs w:val="20"/>
              </w:rPr>
              <w:t xml:space="preserve"> is up-sloped</w:t>
            </w:r>
            <w:r w:rsidR="00257EAB" w:rsidRPr="00257EAB">
              <w:rPr>
                <w:rFonts w:ascii="Garamond" w:hAnsi="Garamond"/>
                <w:color w:val="FF0000"/>
                <w:sz w:val="20"/>
                <w:szCs w:val="20"/>
                <w:vertAlign w:val="superscript"/>
              </w:rPr>
              <w:t>3</w:t>
            </w:r>
            <w:r w:rsidR="00EF5C51">
              <w:rPr>
                <w:rFonts w:ascii="Garamond" w:hAnsi="Garamond"/>
                <w:sz w:val="20"/>
                <w:szCs w:val="20"/>
              </w:rPr>
              <w:t>,</w:t>
            </w:r>
            <w:r w:rsidR="003B45F5" w:rsidRPr="003B45F5">
              <w:rPr>
                <w:rFonts w:ascii="Garamond" w:hAnsi="Garamond"/>
                <w:sz w:val="20"/>
                <w:szCs w:val="20"/>
              </w:rPr>
              <w:t xml:space="preserve"> i</w:t>
            </w:r>
            <w:r w:rsidR="00EF5C51">
              <w:rPr>
                <w:rFonts w:ascii="Garamond" w:hAnsi="Garamond"/>
                <w:sz w:val="20"/>
                <w:szCs w:val="20"/>
              </w:rPr>
              <w:t>.</w:t>
            </w:r>
            <w:r w:rsidR="003B45F5" w:rsidRPr="003B45F5">
              <w:rPr>
                <w:rFonts w:ascii="Garamond" w:hAnsi="Garamond"/>
                <w:sz w:val="20"/>
                <w:szCs w:val="20"/>
              </w:rPr>
              <w:t>e</w:t>
            </w:r>
            <w:r w:rsidR="00EF5C51">
              <w:rPr>
                <w:rFonts w:ascii="Garamond" w:hAnsi="Garamond"/>
                <w:sz w:val="20"/>
                <w:szCs w:val="20"/>
              </w:rPr>
              <w:t>.</w:t>
            </w:r>
            <w:r w:rsidR="003B45F5" w:rsidRPr="003B45F5">
              <w:rPr>
                <w:rFonts w:ascii="Garamond" w:hAnsi="Garamond"/>
                <w:sz w:val="20"/>
                <w:szCs w:val="20"/>
              </w:rPr>
              <w:t xml:space="preserve"> the yield of long-term </w:t>
            </w:r>
            <w:r w:rsidR="00EF5C51">
              <w:rPr>
                <w:rFonts w:ascii="Garamond" w:hAnsi="Garamond"/>
                <w:sz w:val="20"/>
                <w:szCs w:val="20"/>
              </w:rPr>
              <w:t>securities</w:t>
            </w:r>
            <w:r w:rsidR="003B45F5" w:rsidRPr="003B45F5">
              <w:rPr>
                <w:rFonts w:ascii="Garamond" w:hAnsi="Garamond"/>
                <w:sz w:val="20"/>
                <w:szCs w:val="20"/>
              </w:rPr>
              <w:t xml:space="preserve"> is higher than the yield of short-term </w:t>
            </w:r>
            <w:r w:rsidR="00EF5C51">
              <w:rPr>
                <w:rFonts w:ascii="Garamond" w:hAnsi="Garamond"/>
                <w:sz w:val="20"/>
                <w:szCs w:val="20"/>
              </w:rPr>
              <w:t>securities</w:t>
            </w:r>
            <w:r w:rsidR="003B45F5" w:rsidRPr="003B45F5">
              <w:rPr>
                <w:rFonts w:ascii="Garamond" w:hAnsi="Garamond"/>
                <w:sz w:val="20"/>
                <w:szCs w:val="20"/>
              </w:rPr>
              <w:t xml:space="preserve">. Sometimes, however, the opposite </w:t>
            </w:r>
            <w:r w:rsidR="00EF5C51">
              <w:rPr>
                <w:rFonts w:ascii="Garamond" w:hAnsi="Garamond"/>
                <w:sz w:val="20"/>
                <w:szCs w:val="20"/>
              </w:rPr>
              <w:t xml:space="preserve">happens, when </w:t>
            </w:r>
            <w:r w:rsidR="00EF5C51" w:rsidRPr="003B45F5">
              <w:rPr>
                <w:rFonts w:ascii="Garamond" w:hAnsi="Garamond"/>
                <w:sz w:val="20"/>
                <w:szCs w:val="20"/>
              </w:rPr>
              <w:t xml:space="preserve">short-term </w:t>
            </w:r>
            <w:r w:rsidR="00EF5C51">
              <w:rPr>
                <w:rFonts w:ascii="Garamond" w:hAnsi="Garamond"/>
                <w:sz w:val="20"/>
                <w:szCs w:val="20"/>
              </w:rPr>
              <w:t>securities</w:t>
            </w:r>
            <w:r w:rsidR="00EF5C51" w:rsidRPr="003B45F5">
              <w:rPr>
                <w:rFonts w:ascii="Garamond" w:hAnsi="Garamond"/>
                <w:sz w:val="20"/>
                <w:szCs w:val="20"/>
              </w:rPr>
              <w:t xml:space="preserve"> </w:t>
            </w:r>
            <w:r w:rsidR="00EF5C51">
              <w:rPr>
                <w:rFonts w:ascii="Garamond" w:hAnsi="Garamond"/>
                <w:sz w:val="20"/>
                <w:szCs w:val="20"/>
              </w:rPr>
              <w:t xml:space="preserve">have a higher </w:t>
            </w:r>
            <w:r w:rsidR="003B45F5" w:rsidRPr="003B45F5">
              <w:rPr>
                <w:rFonts w:ascii="Garamond" w:hAnsi="Garamond"/>
                <w:sz w:val="20"/>
                <w:szCs w:val="20"/>
              </w:rPr>
              <w:t xml:space="preserve">yield </w:t>
            </w:r>
            <w:r w:rsidR="00EF5C51">
              <w:rPr>
                <w:rFonts w:ascii="Garamond" w:hAnsi="Garamond"/>
                <w:sz w:val="20"/>
                <w:szCs w:val="20"/>
              </w:rPr>
              <w:t>than those of long-term</w:t>
            </w:r>
            <w:r w:rsidR="003B45F5" w:rsidRPr="003B45F5">
              <w:rPr>
                <w:rFonts w:ascii="Garamond" w:hAnsi="Garamond"/>
                <w:sz w:val="20"/>
                <w:szCs w:val="20"/>
              </w:rPr>
              <w:t xml:space="preserve">, which usually </w:t>
            </w:r>
            <w:r w:rsidR="00065E6E">
              <w:rPr>
                <w:rFonts w:ascii="Garamond" w:hAnsi="Garamond"/>
                <w:sz w:val="20"/>
                <w:szCs w:val="20"/>
              </w:rPr>
              <w:t xml:space="preserve">points to </w:t>
            </w:r>
            <w:r w:rsidR="003B45F5" w:rsidRPr="003B45F5">
              <w:rPr>
                <w:rFonts w:ascii="Garamond" w:hAnsi="Garamond"/>
                <w:sz w:val="20"/>
                <w:szCs w:val="20"/>
              </w:rPr>
              <w:t xml:space="preserve">high demand, high inflation, and hence high interest rates </w:t>
            </w:r>
            <w:r w:rsidR="00065E6E">
              <w:rPr>
                <w:rFonts w:ascii="Garamond" w:hAnsi="Garamond"/>
                <w:sz w:val="20"/>
                <w:szCs w:val="20"/>
              </w:rPr>
              <w:t xml:space="preserve">at present in order </w:t>
            </w:r>
            <w:r w:rsidR="003B45F5" w:rsidRPr="003B45F5">
              <w:rPr>
                <w:rFonts w:ascii="Garamond" w:hAnsi="Garamond"/>
                <w:sz w:val="20"/>
                <w:szCs w:val="20"/>
              </w:rPr>
              <w:t>to reduce demand and curb inflation</w:t>
            </w:r>
            <w:r w:rsidR="00065E6E">
              <w:rPr>
                <w:rFonts w:ascii="Garamond" w:hAnsi="Garamond"/>
                <w:sz w:val="20"/>
                <w:szCs w:val="20"/>
              </w:rPr>
              <w:t xml:space="preserve"> in fu</w:t>
            </w:r>
            <w:r w:rsidR="00065E6E" w:rsidRPr="00065E6E">
              <w:rPr>
                <w:rFonts w:ascii="Garamond" w:hAnsi="Garamond"/>
                <w:sz w:val="20"/>
                <w:szCs w:val="20"/>
              </w:rPr>
              <w:t>ture</w:t>
            </w:r>
            <w:r w:rsidR="003B45F5" w:rsidRPr="00065E6E">
              <w:rPr>
                <w:rFonts w:ascii="Garamond" w:hAnsi="Garamond"/>
                <w:sz w:val="20"/>
                <w:szCs w:val="20"/>
              </w:rPr>
              <w:t xml:space="preserve">. </w:t>
            </w:r>
            <w:r w:rsidR="00065E6E">
              <w:rPr>
                <w:rFonts w:ascii="Garamond" w:hAnsi="Garamond" w:cs="Arial"/>
                <w:color w:val="111111"/>
                <w:sz w:val="20"/>
                <w:szCs w:val="20"/>
                <w:shd w:val="clear" w:color="auto" w:fill="FFFFFF"/>
              </w:rPr>
              <w:t>A</w:t>
            </w:r>
            <w:r w:rsidR="00065E6E" w:rsidRPr="00065E6E">
              <w:rPr>
                <w:rFonts w:ascii="Garamond" w:hAnsi="Garamond" w:cs="Arial"/>
                <w:color w:val="111111"/>
                <w:sz w:val="20"/>
                <w:szCs w:val="20"/>
                <w:shd w:val="clear" w:color="auto" w:fill="FFFFFF"/>
              </w:rPr>
              <w:t>nd conversely, the inverted or down-sloped yield curve is likely to press on when the economy is in a recession</w:t>
            </w:r>
            <w:r w:rsidR="003B45F5" w:rsidRPr="003B45F5">
              <w:rPr>
                <w:rFonts w:ascii="Garamond" w:hAnsi="Garamond"/>
                <w:sz w:val="20"/>
                <w:szCs w:val="20"/>
              </w:rPr>
              <w:t xml:space="preserve">, which means that the </w:t>
            </w:r>
            <w:r w:rsidR="00A31EAC">
              <w:rPr>
                <w:rFonts w:ascii="Garamond" w:hAnsi="Garamond"/>
                <w:sz w:val="20"/>
                <w:szCs w:val="20"/>
              </w:rPr>
              <w:t xml:space="preserve">interest rates are to trend lower in the long run. </w:t>
            </w:r>
            <w:r w:rsidR="003B45F5" w:rsidRPr="003B45F5">
              <w:rPr>
                <w:rFonts w:ascii="Garamond" w:hAnsi="Garamond"/>
                <w:sz w:val="20"/>
                <w:szCs w:val="20"/>
              </w:rPr>
              <w:t>In the US</w:t>
            </w:r>
            <w:r w:rsidR="005B1D64">
              <w:rPr>
                <w:rFonts w:ascii="Garamond" w:hAnsi="Garamond"/>
                <w:sz w:val="20"/>
                <w:szCs w:val="20"/>
              </w:rPr>
              <w:t>A</w:t>
            </w:r>
            <w:r w:rsidR="003B45F5" w:rsidRPr="003B45F5">
              <w:rPr>
                <w:rFonts w:ascii="Garamond" w:hAnsi="Garamond"/>
                <w:sz w:val="20"/>
                <w:szCs w:val="20"/>
              </w:rPr>
              <w:t xml:space="preserve">, long-term and short-term bonds are </w:t>
            </w:r>
            <w:r w:rsidR="005B1D64">
              <w:rPr>
                <w:rFonts w:ascii="Garamond" w:hAnsi="Garamond"/>
                <w:sz w:val="20"/>
                <w:szCs w:val="20"/>
              </w:rPr>
              <w:t>the 10-</w:t>
            </w:r>
            <w:r w:rsidR="003B45F5" w:rsidRPr="003B45F5">
              <w:rPr>
                <w:rFonts w:ascii="Garamond" w:hAnsi="Garamond"/>
                <w:sz w:val="20"/>
                <w:szCs w:val="20"/>
              </w:rPr>
              <w:t>year and 3</w:t>
            </w:r>
            <w:r w:rsidR="005B1D64">
              <w:rPr>
                <w:rFonts w:ascii="Garamond" w:hAnsi="Garamond"/>
                <w:sz w:val="20"/>
                <w:szCs w:val="20"/>
              </w:rPr>
              <w:t>-</w:t>
            </w:r>
            <w:r w:rsidR="003B45F5" w:rsidRPr="003B45F5">
              <w:rPr>
                <w:rFonts w:ascii="Garamond" w:hAnsi="Garamond"/>
                <w:sz w:val="20"/>
                <w:szCs w:val="20"/>
              </w:rPr>
              <w:t xml:space="preserve">month US </w:t>
            </w:r>
            <w:r w:rsidR="005B1D64">
              <w:rPr>
                <w:rFonts w:ascii="Garamond" w:hAnsi="Garamond"/>
                <w:sz w:val="20"/>
                <w:szCs w:val="20"/>
              </w:rPr>
              <w:t xml:space="preserve">Treasuries </w:t>
            </w:r>
            <w:r w:rsidR="003B45F5" w:rsidRPr="003B45F5">
              <w:rPr>
                <w:rFonts w:ascii="Garamond" w:hAnsi="Garamond"/>
                <w:sz w:val="20"/>
                <w:szCs w:val="20"/>
              </w:rPr>
              <w:t>w</w:t>
            </w:r>
            <w:r w:rsidR="005B1D64">
              <w:rPr>
                <w:rFonts w:ascii="Garamond" w:hAnsi="Garamond"/>
                <w:sz w:val="20"/>
                <w:szCs w:val="20"/>
              </w:rPr>
              <w:t xml:space="preserve">ith their </w:t>
            </w:r>
            <w:r w:rsidR="003B45F5" w:rsidRPr="003B45F5">
              <w:rPr>
                <w:rFonts w:ascii="Garamond" w:hAnsi="Garamond"/>
                <w:sz w:val="20"/>
                <w:szCs w:val="20"/>
              </w:rPr>
              <w:t>yield</w:t>
            </w:r>
            <w:r w:rsidR="005B1D64">
              <w:rPr>
                <w:rFonts w:ascii="Garamond" w:hAnsi="Garamond"/>
                <w:sz w:val="20"/>
                <w:szCs w:val="20"/>
              </w:rPr>
              <w:t xml:space="preserve"> </w:t>
            </w:r>
            <w:r w:rsidR="003B45F5" w:rsidRPr="003B45F5">
              <w:rPr>
                <w:rFonts w:ascii="Garamond" w:hAnsi="Garamond"/>
                <w:sz w:val="20"/>
                <w:szCs w:val="20"/>
              </w:rPr>
              <w:t>s</w:t>
            </w:r>
            <w:r w:rsidR="005B1D64">
              <w:rPr>
                <w:rFonts w:ascii="Garamond" w:hAnsi="Garamond"/>
                <w:sz w:val="20"/>
                <w:szCs w:val="20"/>
              </w:rPr>
              <w:t>preads</w:t>
            </w:r>
            <w:r w:rsidR="003B45F5" w:rsidRPr="003B45F5">
              <w:rPr>
                <w:rFonts w:ascii="Garamond" w:hAnsi="Garamond"/>
                <w:sz w:val="20"/>
                <w:szCs w:val="20"/>
              </w:rPr>
              <w:t xml:space="preserve"> hav</w:t>
            </w:r>
            <w:r w:rsidR="005B1D64">
              <w:rPr>
                <w:rFonts w:ascii="Garamond" w:hAnsi="Garamond"/>
                <w:sz w:val="20"/>
                <w:szCs w:val="20"/>
              </w:rPr>
              <w:t xml:space="preserve">ing become </w:t>
            </w:r>
            <w:r w:rsidR="003B45F5" w:rsidRPr="003B45F5">
              <w:rPr>
                <w:rFonts w:ascii="Garamond" w:hAnsi="Garamond"/>
                <w:sz w:val="20"/>
                <w:szCs w:val="20"/>
              </w:rPr>
              <w:t>negative in the recent period</w:t>
            </w:r>
            <w:r w:rsidR="005B1D64">
              <w:rPr>
                <w:rFonts w:ascii="Garamond" w:hAnsi="Garamond"/>
                <w:sz w:val="20"/>
                <w:szCs w:val="20"/>
              </w:rPr>
              <w:t>. Becaus</w:t>
            </w:r>
            <w:r w:rsidR="005B1D64" w:rsidRPr="005B1D64">
              <w:rPr>
                <w:rFonts w:ascii="Garamond" w:hAnsi="Garamond"/>
                <w:sz w:val="20"/>
                <w:szCs w:val="20"/>
              </w:rPr>
              <w:t xml:space="preserve">e, </w:t>
            </w:r>
            <w:r w:rsidR="005B1D64" w:rsidRPr="005B1D64">
              <w:rPr>
                <w:rFonts w:ascii="Garamond" w:hAnsi="Garamond" w:cs="Arial"/>
                <w:color w:val="111111"/>
                <w:sz w:val="20"/>
                <w:szCs w:val="20"/>
                <w:shd w:val="clear" w:color="auto" w:fill="FFFFFF"/>
              </w:rPr>
              <w:t>historically, inversions of the yield curve have preceded many of the U.S. recessions</w:t>
            </w:r>
            <w:r w:rsidR="00257EAB">
              <w:rPr>
                <w:rFonts w:ascii="Garamond" w:hAnsi="Garamond" w:cs="Arial"/>
                <w:color w:val="111111"/>
                <w:sz w:val="20"/>
                <w:szCs w:val="20"/>
                <w:shd w:val="clear" w:color="auto" w:fill="FFFFFF"/>
              </w:rPr>
              <w:t>,</w:t>
            </w:r>
            <w:r w:rsidR="003B45F5" w:rsidRPr="003B45F5">
              <w:rPr>
                <w:rFonts w:ascii="Garamond" w:hAnsi="Garamond"/>
                <w:sz w:val="20"/>
                <w:szCs w:val="20"/>
              </w:rPr>
              <w:t xml:space="preserve"> </w:t>
            </w:r>
            <w:r w:rsidR="00257EAB" w:rsidRPr="003B45F5">
              <w:rPr>
                <w:rFonts w:ascii="Garamond" w:hAnsi="Garamond"/>
                <w:sz w:val="20"/>
                <w:szCs w:val="20"/>
              </w:rPr>
              <w:t xml:space="preserve">the financial markets </w:t>
            </w:r>
            <w:r w:rsidR="00257EAB">
              <w:rPr>
                <w:rFonts w:ascii="Garamond" w:hAnsi="Garamond"/>
                <w:sz w:val="20"/>
                <w:szCs w:val="20"/>
              </w:rPr>
              <w:t xml:space="preserve">have generated concerns over </w:t>
            </w:r>
            <w:r w:rsidR="003B45F5" w:rsidRPr="003B45F5">
              <w:rPr>
                <w:rFonts w:ascii="Garamond" w:hAnsi="Garamond"/>
                <w:sz w:val="20"/>
                <w:szCs w:val="20"/>
              </w:rPr>
              <w:t>interest rates and the future course of the economy</w:t>
            </w:r>
            <w:r w:rsidR="00257EAB">
              <w:rPr>
                <w:rFonts w:ascii="Garamond" w:hAnsi="Garamond"/>
                <w:sz w:val="20"/>
                <w:szCs w:val="20"/>
              </w:rPr>
              <w:t xml:space="preserve"> on the whole</w:t>
            </w:r>
            <w:r w:rsidR="003B45F5" w:rsidRPr="003B45F5">
              <w:rPr>
                <w:rFonts w:ascii="Garamond" w:hAnsi="Garamond"/>
                <w:sz w:val="20"/>
                <w:szCs w:val="20"/>
              </w:rPr>
              <w:t>.</w:t>
            </w:r>
          </w:p>
          <w:p w14:paraId="5FE7AD2E" w14:textId="77777777" w:rsidR="00257EAB" w:rsidRDefault="00257EAB" w:rsidP="00257EAB">
            <w:pPr>
              <w:autoSpaceDE w:val="0"/>
              <w:autoSpaceDN w:val="0"/>
              <w:adjustRightInd w:val="0"/>
              <w:spacing w:after="120" w:line="360" w:lineRule="auto"/>
              <w:jc w:val="both"/>
              <w:rPr>
                <w:rFonts w:ascii="Garamond" w:hAnsi="Garamond"/>
                <w:sz w:val="20"/>
                <w:szCs w:val="20"/>
              </w:rPr>
            </w:pPr>
            <w:r>
              <w:rPr>
                <w:rFonts w:ascii="Garamond" w:hAnsi="Garamond"/>
                <w:sz w:val="20"/>
                <w:szCs w:val="20"/>
              </w:rPr>
              <w:t>……………………………..</w:t>
            </w:r>
          </w:p>
          <w:p w14:paraId="55EBB9A4" w14:textId="77777777" w:rsidR="00257EAB" w:rsidRPr="00C57718" w:rsidRDefault="006B538C" w:rsidP="006B538C">
            <w:pPr>
              <w:autoSpaceDE w:val="0"/>
              <w:autoSpaceDN w:val="0"/>
              <w:adjustRightInd w:val="0"/>
              <w:spacing w:after="120" w:line="360" w:lineRule="auto"/>
              <w:jc w:val="both"/>
              <w:rPr>
                <w:rFonts w:ascii="Garamond" w:hAnsi="Garamond"/>
                <w:sz w:val="20"/>
                <w:szCs w:val="20"/>
              </w:rPr>
            </w:pPr>
            <w:r w:rsidRPr="006B538C">
              <w:rPr>
                <w:rFonts w:ascii="Garamond" w:hAnsi="Garamond"/>
                <w:color w:val="FF0000"/>
                <w:sz w:val="18"/>
                <w:szCs w:val="20"/>
              </w:rPr>
              <w:t>Footnote</w:t>
            </w:r>
            <w:r w:rsidR="00257EAB" w:rsidRPr="00257EAB">
              <w:rPr>
                <w:rFonts w:ascii="Garamond" w:hAnsi="Garamond"/>
                <w:color w:val="FF0000"/>
                <w:sz w:val="20"/>
                <w:szCs w:val="20"/>
                <w:vertAlign w:val="superscript"/>
              </w:rPr>
              <w:t>3</w:t>
            </w:r>
            <w:r w:rsidR="00257EAB">
              <w:rPr>
                <w:rFonts w:ascii="Garamond" w:hAnsi="Garamond"/>
                <w:sz w:val="20"/>
                <w:szCs w:val="20"/>
                <w:vertAlign w:val="superscript"/>
              </w:rPr>
              <w:t xml:space="preserve"> </w:t>
            </w:r>
            <w:r w:rsidR="00257EAB" w:rsidRPr="00257EAB">
              <w:rPr>
                <w:rFonts w:ascii="Garamond" w:hAnsi="Garamond"/>
                <w:sz w:val="18"/>
                <w:szCs w:val="20"/>
              </w:rPr>
              <w:t xml:space="preserve">Each point of the yield curve </w:t>
            </w:r>
            <w:r w:rsidR="00257EAB">
              <w:rPr>
                <w:rFonts w:ascii="Garamond" w:hAnsi="Garamond"/>
                <w:sz w:val="18"/>
                <w:szCs w:val="20"/>
              </w:rPr>
              <w:t xml:space="preserve">indicates the level of market interest rates </w:t>
            </w:r>
            <w:r w:rsidR="00257EAB" w:rsidRPr="00257EAB">
              <w:rPr>
                <w:rFonts w:ascii="Garamond" w:hAnsi="Garamond"/>
                <w:sz w:val="18"/>
                <w:szCs w:val="20"/>
              </w:rPr>
              <w:t xml:space="preserve">of </w:t>
            </w:r>
            <w:r w:rsidR="009528D8">
              <w:rPr>
                <w:rFonts w:ascii="Garamond" w:hAnsi="Garamond"/>
                <w:sz w:val="18"/>
                <w:szCs w:val="20"/>
              </w:rPr>
              <w:t xml:space="preserve">any </w:t>
            </w:r>
            <w:r w:rsidR="00257EAB" w:rsidRPr="00257EAB">
              <w:rPr>
                <w:rFonts w:ascii="Garamond" w:hAnsi="Garamond"/>
                <w:sz w:val="18"/>
                <w:szCs w:val="20"/>
              </w:rPr>
              <w:t>financial instrument, s</w:t>
            </w:r>
            <w:r w:rsidR="009528D8">
              <w:rPr>
                <w:rFonts w:ascii="Garamond" w:hAnsi="Garamond"/>
                <w:sz w:val="18"/>
                <w:szCs w:val="20"/>
              </w:rPr>
              <w:t xml:space="preserve">ay </w:t>
            </w:r>
            <w:r w:rsidR="00257EAB" w:rsidRPr="00257EAB">
              <w:rPr>
                <w:rFonts w:ascii="Garamond" w:hAnsi="Garamond"/>
                <w:sz w:val="18"/>
                <w:szCs w:val="20"/>
              </w:rPr>
              <w:t>government bond</w:t>
            </w:r>
            <w:r w:rsidR="009528D8">
              <w:rPr>
                <w:rFonts w:ascii="Garamond" w:hAnsi="Garamond"/>
                <w:sz w:val="18"/>
                <w:szCs w:val="20"/>
              </w:rPr>
              <w:t>, with</w:t>
            </w:r>
            <w:r w:rsidR="00B47AE5">
              <w:rPr>
                <w:rFonts w:ascii="Garamond" w:hAnsi="Garamond"/>
                <w:sz w:val="18"/>
                <w:szCs w:val="20"/>
              </w:rPr>
              <w:t xml:space="preserve"> </w:t>
            </w:r>
            <w:r w:rsidR="009528D8">
              <w:rPr>
                <w:rFonts w:ascii="Garamond" w:hAnsi="Garamond"/>
                <w:sz w:val="18"/>
                <w:szCs w:val="20"/>
              </w:rPr>
              <w:t>maturity commensurate with that point</w:t>
            </w:r>
            <w:r w:rsidR="00257EAB" w:rsidRPr="00257EAB">
              <w:rPr>
                <w:rFonts w:ascii="Garamond" w:hAnsi="Garamond"/>
                <w:sz w:val="18"/>
                <w:szCs w:val="20"/>
              </w:rPr>
              <w:t xml:space="preserve">. The market interest rates </w:t>
            </w:r>
            <w:r w:rsidR="009528D8">
              <w:rPr>
                <w:rFonts w:ascii="Garamond" w:hAnsi="Garamond"/>
                <w:sz w:val="18"/>
                <w:szCs w:val="20"/>
              </w:rPr>
              <w:t xml:space="preserve">with </w:t>
            </w:r>
            <w:r w:rsidR="00257EAB" w:rsidRPr="00257EAB">
              <w:rPr>
                <w:rFonts w:ascii="Garamond" w:hAnsi="Garamond"/>
                <w:sz w:val="18"/>
                <w:szCs w:val="20"/>
              </w:rPr>
              <w:t xml:space="preserve">different </w:t>
            </w:r>
            <w:r w:rsidR="009528D8">
              <w:rPr>
                <w:rFonts w:ascii="Garamond" w:hAnsi="Garamond"/>
                <w:sz w:val="18"/>
                <w:szCs w:val="20"/>
              </w:rPr>
              <w:t>maturities</w:t>
            </w:r>
            <w:r w:rsidR="00B47AE5">
              <w:rPr>
                <w:rFonts w:ascii="Garamond" w:hAnsi="Garamond"/>
                <w:sz w:val="18"/>
                <w:szCs w:val="20"/>
              </w:rPr>
              <w:t xml:space="preserve"> point to </w:t>
            </w:r>
            <w:r w:rsidR="00257EAB" w:rsidRPr="00257EAB">
              <w:rPr>
                <w:rFonts w:ascii="Garamond" w:hAnsi="Garamond"/>
                <w:sz w:val="18"/>
                <w:szCs w:val="20"/>
              </w:rPr>
              <w:t xml:space="preserve">expectations for short-term interest rates, as well as future uncertainty. </w:t>
            </w:r>
            <w:r w:rsidR="00B47AE5">
              <w:rPr>
                <w:rFonts w:ascii="Garamond" w:hAnsi="Garamond"/>
                <w:sz w:val="18"/>
                <w:szCs w:val="20"/>
              </w:rPr>
              <w:t>Normally, the f</w:t>
            </w:r>
            <w:r w:rsidR="00257EAB" w:rsidRPr="00257EAB">
              <w:rPr>
                <w:rFonts w:ascii="Garamond" w:hAnsi="Garamond"/>
                <w:sz w:val="18"/>
                <w:szCs w:val="20"/>
              </w:rPr>
              <w:t xml:space="preserve">uture is </w:t>
            </w:r>
            <w:r w:rsidR="00B47AE5">
              <w:rPr>
                <w:rFonts w:ascii="Garamond" w:hAnsi="Garamond"/>
                <w:sz w:val="18"/>
                <w:szCs w:val="20"/>
              </w:rPr>
              <w:t>less certain that the present,</w:t>
            </w:r>
            <w:r w:rsidR="00257EAB" w:rsidRPr="00257EAB">
              <w:rPr>
                <w:rFonts w:ascii="Garamond" w:hAnsi="Garamond"/>
                <w:sz w:val="18"/>
                <w:szCs w:val="20"/>
              </w:rPr>
              <w:t xml:space="preserve"> and long-term interest rates are higher than short-term interest rates</w:t>
            </w:r>
            <w:r w:rsidR="00B47AE5">
              <w:rPr>
                <w:rFonts w:ascii="Garamond" w:hAnsi="Garamond"/>
                <w:sz w:val="18"/>
                <w:szCs w:val="20"/>
              </w:rPr>
              <w:t xml:space="preserve"> owing to t</w:t>
            </w:r>
            <w:r w:rsidR="00257EAB" w:rsidRPr="00257EAB">
              <w:rPr>
                <w:rFonts w:ascii="Garamond" w:hAnsi="Garamond"/>
                <w:sz w:val="18"/>
                <w:szCs w:val="20"/>
              </w:rPr>
              <w:t xml:space="preserve">he risk of uncertainty. </w:t>
            </w:r>
            <w:r w:rsidR="00B47AE5">
              <w:rPr>
                <w:rFonts w:ascii="Garamond" w:hAnsi="Garamond"/>
                <w:sz w:val="18"/>
                <w:szCs w:val="20"/>
              </w:rPr>
              <w:t xml:space="preserve">This is why the yield </w:t>
            </w:r>
            <w:r w:rsidR="00257EAB" w:rsidRPr="00257EAB">
              <w:rPr>
                <w:rFonts w:ascii="Garamond" w:hAnsi="Garamond"/>
                <w:sz w:val="18"/>
                <w:szCs w:val="20"/>
              </w:rPr>
              <w:t xml:space="preserve">curve </w:t>
            </w:r>
            <w:r w:rsidR="00B47AE5">
              <w:rPr>
                <w:rFonts w:ascii="Garamond" w:hAnsi="Garamond"/>
                <w:sz w:val="18"/>
                <w:szCs w:val="20"/>
              </w:rPr>
              <w:t xml:space="preserve">normally looks up-sloped. The yield curve sloped down is a sign of </w:t>
            </w:r>
            <w:r w:rsidR="00B47AE5" w:rsidRPr="00257EAB">
              <w:rPr>
                <w:rFonts w:ascii="Garamond" w:hAnsi="Garamond"/>
                <w:sz w:val="18"/>
                <w:szCs w:val="20"/>
              </w:rPr>
              <w:t>expectations for a lower</w:t>
            </w:r>
            <w:r w:rsidR="00B47AE5">
              <w:rPr>
                <w:rFonts w:ascii="Garamond" w:hAnsi="Garamond"/>
                <w:sz w:val="18"/>
                <w:szCs w:val="20"/>
              </w:rPr>
              <w:t>ing</w:t>
            </w:r>
            <w:r w:rsidR="00B47AE5" w:rsidRPr="00257EAB">
              <w:rPr>
                <w:rFonts w:ascii="Garamond" w:hAnsi="Garamond"/>
                <w:sz w:val="18"/>
                <w:szCs w:val="20"/>
              </w:rPr>
              <w:t xml:space="preserve"> policy rate</w:t>
            </w:r>
            <w:r w:rsidR="00257EAB" w:rsidRPr="00257EAB">
              <w:rPr>
                <w:rFonts w:ascii="Garamond" w:hAnsi="Garamond"/>
                <w:sz w:val="18"/>
                <w:szCs w:val="20"/>
              </w:rPr>
              <w:t>, with uncertainties in the future</w:t>
            </w:r>
            <w:r w:rsidR="00B47AE5">
              <w:rPr>
                <w:rFonts w:ascii="Garamond" w:hAnsi="Garamond"/>
                <w:sz w:val="18"/>
                <w:szCs w:val="20"/>
              </w:rPr>
              <w:t>.</w:t>
            </w:r>
          </w:p>
        </w:tc>
      </w:tr>
    </w:tbl>
    <w:p w14:paraId="0D0AD7D6" w14:textId="77777777" w:rsidR="00C57718" w:rsidRDefault="00C57718" w:rsidP="00EE619D">
      <w:pPr>
        <w:autoSpaceDE w:val="0"/>
        <w:autoSpaceDN w:val="0"/>
        <w:adjustRightInd w:val="0"/>
        <w:spacing w:after="120" w:line="360" w:lineRule="auto"/>
        <w:jc w:val="both"/>
        <w:rPr>
          <w:rFonts w:ascii="Garamond" w:hAnsi="Garamond"/>
          <w:sz w:val="22"/>
          <w:szCs w:val="22"/>
        </w:rPr>
      </w:pPr>
    </w:p>
    <w:p w14:paraId="7406E59C" w14:textId="77777777" w:rsidR="00EE619D" w:rsidRDefault="00B47AE5" w:rsidP="00EE619D">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lastRenderedPageBreak/>
        <w:t xml:space="preserve">Economic developments </w:t>
      </w:r>
      <w:r>
        <w:rPr>
          <w:rFonts w:ascii="Garamond" w:hAnsi="Garamond"/>
          <w:b/>
          <w:sz w:val="22"/>
          <w:szCs w:val="22"/>
        </w:rPr>
        <w:t>and inflation in the Eurozone:</w:t>
      </w:r>
      <w:r w:rsidRPr="00EE5F0F">
        <w:rPr>
          <w:rFonts w:ascii="Garamond" w:hAnsi="Garamond"/>
          <w:sz w:val="22"/>
          <w:szCs w:val="22"/>
        </w:rPr>
        <w:t xml:space="preserve"> </w:t>
      </w:r>
      <w:r w:rsidR="00EE619D" w:rsidRPr="00EE5F0F">
        <w:rPr>
          <w:rFonts w:ascii="Garamond" w:hAnsi="Garamond"/>
          <w:sz w:val="22"/>
          <w:szCs w:val="22"/>
        </w:rPr>
        <w:t xml:space="preserve">According to preliminary estimates provided by the Eurostat, economic growth </w:t>
      </w:r>
      <w:r w:rsidR="009738BB">
        <w:rPr>
          <w:rFonts w:ascii="Garamond" w:hAnsi="Garamond"/>
          <w:sz w:val="22"/>
          <w:szCs w:val="22"/>
        </w:rPr>
        <w:t xml:space="preserve">in </w:t>
      </w:r>
      <w:r w:rsidR="00EE619D" w:rsidRPr="009738BB">
        <w:rPr>
          <w:rFonts w:ascii="Garamond" w:hAnsi="Garamond"/>
          <w:sz w:val="22"/>
          <w:szCs w:val="22"/>
        </w:rPr>
        <w:t>the</w:t>
      </w:r>
      <w:r w:rsidR="00EE619D" w:rsidRPr="009738BB">
        <w:rPr>
          <w:rFonts w:ascii="Garamond" w:hAnsi="Garamond"/>
          <w:sz w:val="22"/>
          <w:szCs w:val="22"/>
          <w:lang w:val="hy-AM"/>
        </w:rPr>
        <w:t xml:space="preserve"> </w:t>
      </w:r>
      <w:r w:rsidR="00EE619D" w:rsidRPr="009738BB">
        <w:rPr>
          <w:rFonts w:ascii="Garamond" w:hAnsi="Garamond"/>
          <w:sz w:val="22"/>
          <w:szCs w:val="22"/>
        </w:rPr>
        <w:t>Eurozone</w:t>
      </w:r>
      <w:r w:rsidR="00EE619D" w:rsidRPr="00EE5F0F">
        <w:rPr>
          <w:rFonts w:ascii="Garamond" w:hAnsi="Garamond"/>
          <w:b/>
          <w:sz w:val="22"/>
          <w:szCs w:val="22"/>
          <w:lang w:val="hy-AM"/>
        </w:rPr>
        <w:t xml:space="preserve"> </w:t>
      </w:r>
      <w:r w:rsidR="00EE619D" w:rsidRPr="00EE5F0F">
        <w:rPr>
          <w:rFonts w:ascii="Garamond" w:hAnsi="Garamond"/>
          <w:sz w:val="22"/>
          <w:szCs w:val="22"/>
        </w:rPr>
        <w:t xml:space="preserve">in the </w:t>
      </w:r>
      <w:r w:rsidR="009738BB">
        <w:rPr>
          <w:rFonts w:ascii="Garamond" w:hAnsi="Garamond"/>
          <w:sz w:val="22"/>
          <w:szCs w:val="22"/>
        </w:rPr>
        <w:t xml:space="preserve">first </w:t>
      </w:r>
      <w:r w:rsidR="00525AE5" w:rsidRPr="00EE5F0F">
        <w:rPr>
          <w:rFonts w:ascii="Garamond" w:hAnsi="Garamond"/>
          <w:sz w:val="22"/>
          <w:szCs w:val="22"/>
        </w:rPr>
        <w:t>quarter of 201</w:t>
      </w:r>
      <w:r w:rsidR="009738BB">
        <w:rPr>
          <w:rFonts w:ascii="Garamond" w:hAnsi="Garamond"/>
          <w:sz w:val="22"/>
          <w:szCs w:val="22"/>
        </w:rPr>
        <w:t>9</w:t>
      </w:r>
      <w:r w:rsidR="00EE619D" w:rsidRPr="00EE5F0F">
        <w:rPr>
          <w:rFonts w:ascii="Garamond" w:hAnsi="Garamond"/>
          <w:sz w:val="22"/>
          <w:szCs w:val="22"/>
          <w:lang w:val="hy-AM"/>
        </w:rPr>
        <w:t xml:space="preserve"> </w:t>
      </w:r>
      <w:r w:rsidR="009738BB">
        <w:rPr>
          <w:rFonts w:ascii="Garamond" w:hAnsi="Garamond"/>
          <w:sz w:val="22"/>
          <w:szCs w:val="22"/>
        </w:rPr>
        <w:t>somehow accelerated to</w:t>
      </w:r>
      <w:r w:rsidR="009C2DD3">
        <w:rPr>
          <w:rFonts w:ascii="Garamond" w:hAnsi="Garamond"/>
          <w:sz w:val="22"/>
          <w:szCs w:val="22"/>
        </w:rPr>
        <w:t xml:space="preserve"> </w:t>
      </w:r>
      <w:r w:rsidR="008157D0">
        <w:rPr>
          <w:rFonts w:ascii="Garamond" w:hAnsi="Garamond"/>
          <w:sz w:val="22"/>
          <w:szCs w:val="22"/>
        </w:rPr>
        <w:t>1</w:t>
      </w:r>
      <w:r w:rsidR="00EE619D" w:rsidRPr="00EE5F0F">
        <w:rPr>
          <w:rFonts w:ascii="Garamond" w:hAnsi="Garamond"/>
          <w:sz w:val="22"/>
          <w:szCs w:val="22"/>
        </w:rPr>
        <w:t>.</w:t>
      </w:r>
      <w:r w:rsidR="009C2DD3">
        <w:rPr>
          <w:rFonts w:ascii="Garamond" w:hAnsi="Garamond"/>
          <w:sz w:val="22"/>
          <w:szCs w:val="22"/>
        </w:rPr>
        <w:t>2</w:t>
      </w:r>
      <w:r w:rsidR="00EE619D" w:rsidRPr="00EE5F0F">
        <w:rPr>
          <w:rFonts w:ascii="Garamond" w:hAnsi="Garamond"/>
          <w:sz w:val="22"/>
          <w:szCs w:val="22"/>
        </w:rPr>
        <w:t>% y/y</w:t>
      </w:r>
      <w:r w:rsidR="008157D0">
        <w:rPr>
          <w:rFonts w:ascii="Garamond" w:hAnsi="Garamond"/>
          <w:sz w:val="22"/>
          <w:szCs w:val="22"/>
        </w:rPr>
        <w:t xml:space="preserve">, </w:t>
      </w:r>
      <w:r w:rsidR="001A1385" w:rsidRPr="001A1385">
        <w:rPr>
          <w:rFonts w:ascii="Garamond" w:hAnsi="Garamond"/>
          <w:sz w:val="22"/>
          <w:szCs w:val="22"/>
        </w:rPr>
        <w:t xml:space="preserve">but </w:t>
      </w:r>
      <w:r w:rsidR="001A1385">
        <w:rPr>
          <w:rFonts w:ascii="Garamond" w:hAnsi="Garamond"/>
          <w:sz w:val="22"/>
          <w:szCs w:val="22"/>
        </w:rPr>
        <w:t>f</w:t>
      </w:r>
      <w:r w:rsidR="001A1385" w:rsidRPr="001A1385">
        <w:rPr>
          <w:rFonts w:ascii="Garamond" w:hAnsi="Garamond"/>
          <w:sz w:val="22"/>
          <w:szCs w:val="22"/>
        </w:rPr>
        <w:t>or the next quarters</w:t>
      </w:r>
      <w:r w:rsidR="001A1385">
        <w:rPr>
          <w:rFonts w:ascii="Garamond" w:hAnsi="Garamond"/>
          <w:sz w:val="22"/>
          <w:szCs w:val="22"/>
        </w:rPr>
        <w:t xml:space="preserve"> of 2019</w:t>
      </w:r>
      <w:r w:rsidR="001A1385" w:rsidRPr="001A1385">
        <w:rPr>
          <w:rFonts w:ascii="Garamond" w:hAnsi="Garamond"/>
          <w:sz w:val="22"/>
          <w:szCs w:val="22"/>
        </w:rPr>
        <w:t xml:space="preserve"> </w:t>
      </w:r>
      <w:r w:rsidR="001A1385">
        <w:rPr>
          <w:rFonts w:ascii="Garamond" w:hAnsi="Garamond"/>
          <w:sz w:val="22"/>
          <w:szCs w:val="22"/>
        </w:rPr>
        <w:t xml:space="preserve">the growth rate </w:t>
      </w:r>
      <w:r w:rsidR="001A1385" w:rsidRPr="001A1385">
        <w:rPr>
          <w:rFonts w:ascii="Garamond" w:hAnsi="Garamond"/>
          <w:sz w:val="22"/>
          <w:szCs w:val="22"/>
        </w:rPr>
        <w:t xml:space="preserve">is projected to </w:t>
      </w:r>
      <w:r w:rsidR="001A1385">
        <w:rPr>
          <w:rFonts w:ascii="Garamond" w:hAnsi="Garamond"/>
          <w:sz w:val="22"/>
          <w:szCs w:val="22"/>
        </w:rPr>
        <w:t xml:space="preserve">persist at </w:t>
      </w:r>
      <w:r w:rsidR="001A1385" w:rsidRPr="001A1385">
        <w:rPr>
          <w:rFonts w:ascii="Garamond" w:hAnsi="Garamond"/>
          <w:sz w:val="22"/>
          <w:szCs w:val="22"/>
        </w:rPr>
        <w:t>low</w:t>
      </w:r>
      <w:r w:rsidR="001A1385">
        <w:rPr>
          <w:rFonts w:ascii="Garamond" w:hAnsi="Garamond"/>
          <w:sz w:val="22"/>
          <w:szCs w:val="22"/>
        </w:rPr>
        <w:t xml:space="preserve"> – in 2019 it will average </w:t>
      </w:r>
      <w:r w:rsidR="001A1385" w:rsidRPr="001A1385">
        <w:rPr>
          <w:rFonts w:ascii="Garamond" w:hAnsi="Garamond"/>
          <w:sz w:val="22"/>
          <w:szCs w:val="22"/>
        </w:rPr>
        <w:t>1.15%</w:t>
      </w:r>
      <w:r w:rsidR="008157D0">
        <w:rPr>
          <w:rFonts w:ascii="Garamond" w:hAnsi="Garamond"/>
          <w:sz w:val="22"/>
          <w:szCs w:val="22"/>
        </w:rPr>
        <w:t>.</w:t>
      </w:r>
      <w:r w:rsidR="008D29B5">
        <w:rPr>
          <w:rFonts w:ascii="Garamond" w:hAnsi="Garamond"/>
          <w:sz w:val="22"/>
          <w:szCs w:val="22"/>
        </w:rPr>
        <w:t xml:space="preserve"> </w:t>
      </w:r>
      <w:r w:rsidR="00F2510C" w:rsidRPr="00F2510C">
        <w:rPr>
          <w:rFonts w:ascii="Garamond" w:hAnsi="Garamond"/>
          <w:sz w:val="22"/>
          <w:szCs w:val="22"/>
        </w:rPr>
        <w:t xml:space="preserve">The </w:t>
      </w:r>
      <w:r w:rsidR="00F2510C">
        <w:rPr>
          <w:rFonts w:ascii="Garamond" w:hAnsi="Garamond"/>
          <w:sz w:val="22"/>
          <w:szCs w:val="22"/>
        </w:rPr>
        <w:t>Eurozone’</w:t>
      </w:r>
      <w:r w:rsidR="00F2510C" w:rsidRPr="00F2510C">
        <w:rPr>
          <w:rFonts w:ascii="Garamond" w:hAnsi="Garamond"/>
          <w:sz w:val="22"/>
          <w:szCs w:val="22"/>
        </w:rPr>
        <w:t>s econom</w:t>
      </w:r>
      <w:r w:rsidR="00F2510C">
        <w:rPr>
          <w:rFonts w:ascii="Garamond" w:hAnsi="Garamond"/>
          <w:sz w:val="22"/>
          <w:szCs w:val="22"/>
        </w:rPr>
        <w:t xml:space="preserve">ic growth </w:t>
      </w:r>
      <w:r w:rsidR="00845DD1">
        <w:rPr>
          <w:rFonts w:ascii="Garamond" w:hAnsi="Garamond"/>
          <w:sz w:val="22"/>
          <w:szCs w:val="22"/>
        </w:rPr>
        <w:t xml:space="preserve">was attributable to </w:t>
      </w:r>
      <w:r w:rsidR="001A1385">
        <w:rPr>
          <w:rFonts w:ascii="Garamond" w:hAnsi="Garamond"/>
          <w:sz w:val="22"/>
          <w:szCs w:val="22"/>
        </w:rPr>
        <w:t xml:space="preserve">Spain and France, with their relatively high indicators, </w:t>
      </w:r>
      <w:r w:rsidR="001A1385" w:rsidRPr="001A1385">
        <w:rPr>
          <w:rFonts w:ascii="Garamond" w:hAnsi="Garamond"/>
          <w:sz w:val="22"/>
          <w:szCs w:val="22"/>
        </w:rPr>
        <w:t>as well as Italy</w:t>
      </w:r>
      <w:r w:rsidR="001A1385">
        <w:rPr>
          <w:rFonts w:ascii="Garamond" w:hAnsi="Garamond"/>
          <w:sz w:val="22"/>
          <w:szCs w:val="22"/>
        </w:rPr>
        <w:t xml:space="preserve"> a</w:t>
      </w:r>
      <w:r w:rsidR="001A1385" w:rsidRPr="001A1385">
        <w:rPr>
          <w:rFonts w:ascii="Garamond" w:hAnsi="Garamond"/>
          <w:sz w:val="22"/>
          <w:szCs w:val="22"/>
        </w:rPr>
        <w:t xml:space="preserve">s </w:t>
      </w:r>
      <w:r w:rsidR="001A1385">
        <w:rPr>
          <w:rFonts w:ascii="Garamond" w:hAnsi="Garamond"/>
          <w:sz w:val="22"/>
          <w:szCs w:val="22"/>
        </w:rPr>
        <w:t xml:space="preserve">the country </w:t>
      </w:r>
      <w:r w:rsidR="00845DD1">
        <w:rPr>
          <w:rFonts w:ascii="Garamond" w:hAnsi="Garamond"/>
          <w:sz w:val="22"/>
          <w:szCs w:val="22"/>
        </w:rPr>
        <w:t>got rid of the r</w:t>
      </w:r>
      <w:r w:rsidR="001A1385" w:rsidRPr="001A1385">
        <w:rPr>
          <w:rFonts w:ascii="Garamond" w:hAnsi="Garamond"/>
          <w:sz w:val="22"/>
          <w:szCs w:val="22"/>
        </w:rPr>
        <w:t xml:space="preserve">ecession and </w:t>
      </w:r>
      <w:r w:rsidR="001A1385">
        <w:rPr>
          <w:rFonts w:ascii="Garamond" w:hAnsi="Garamond"/>
          <w:sz w:val="22"/>
          <w:szCs w:val="22"/>
        </w:rPr>
        <w:t xml:space="preserve">even posted </w:t>
      </w:r>
      <w:r w:rsidR="00845DD1">
        <w:rPr>
          <w:rFonts w:ascii="Garamond" w:hAnsi="Garamond"/>
          <w:sz w:val="22"/>
          <w:szCs w:val="22"/>
        </w:rPr>
        <w:t xml:space="preserve">a </w:t>
      </w:r>
      <w:r w:rsidR="001A1385" w:rsidRPr="001A1385">
        <w:rPr>
          <w:rFonts w:ascii="Garamond" w:hAnsi="Garamond"/>
          <w:sz w:val="22"/>
          <w:szCs w:val="22"/>
        </w:rPr>
        <w:t>positive economic growth.</w:t>
      </w:r>
      <w:r w:rsidR="001A1385">
        <w:rPr>
          <w:rFonts w:ascii="Garamond" w:hAnsi="Garamond"/>
          <w:sz w:val="22"/>
          <w:szCs w:val="22"/>
        </w:rPr>
        <w:t xml:space="preserve"> </w:t>
      </w:r>
      <w:r w:rsidR="00845DD1" w:rsidRPr="00845DD1">
        <w:rPr>
          <w:rFonts w:ascii="Garamond" w:hAnsi="Garamond"/>
          <w:sz w:val="22"/>
          <w:szCs w:val="22"/>
        </w:rPr>
        <w:t xml:space="preserve">The unemployment rate in the Eurozone continued to fall, but </w:t>
      </w:r>
      <w:r w:rsidR="00845DD1">
        <w:rPr>
          <w:rFonts w:ascii="Garamond" w:hAnsi="Garamond"/>
          <w:sz w:val="22"/>
          <w:szCs w:val="22"/>
        </w:rPr>
        <w:t xml:space="preserve">at a </w:t>
      </w:r>
      <w:r w:rsidR="00845DD1" w:rsidRPr="00845DD1">
        <w:rPr>
          <w:rFonts w:ascii="Garamond" w:hAnsi="Garamond"/>
          <w:sz w:val="22"/>
          <w:szCs w:val="22"/>
        </w:rPr>
        <w:t xml:space="preserve">slower </w:t>
      </w:r>
      <w:r w:rsidR="00845DD1">
        <w:rPr>
          <w:rFonts w:ascii="Garamond" w:hAnsi="Garamond"/>
          <w:sz w:val="22"/>
          <w:szCs w:val="22"/>
        </w:rPr>
        <w:t>pace</w:t>
      </w:r>
      <w:r w:rsidR="00845DD1" w:rsidRPr="00845DD1">
        <w:rPr>
          <w:rFonts w:ascii="Garamond" w:hAnsi="Garamond"/>
          <w:sz w:val="22"/>
          <w:szCs w:val="22"/>
        </w:rPr>
        <w:t xml:space="preserve">, making </w:t>
      </w:r>
      <w:r w:rsidR="00845DD1">
        <w:rPr>
          <w:rFonts w:ascii="Garamond" w:hAnsi="Garamond"/>
          <w:sz w:val="22"/>
          <w:szCs w:val="22"/>
        </w:rPr>
        <w:t xml:space="preserve">up </w:t>
      </w:r>
      <w:r w:rsidR="00845DD1" w:rsidRPr="00845DD1">
        <w:rPr>
          <w:rFonts w:ascii="Garamond" w:hAnsi="Garamond"/>
          <w:sz w:val="22"/>
          <w:szCs w:val="22"/>
        </w:rPr>
        <w:t>7.7% in March.</w:t>
      </w:r>
      <w:r w:rsidR="00B55C77">
        <w:rPr>
          <w:rFonts w:ascii="Garamond" w:hAnsi="Garamond"/>
          <w:sz w:val="22"/>
          <w:szCs w:val="22"/>
        </w:rPr>
        <w:t xml:space="preserve"> </w:t>
      </w:r>
    </w:p>
    <w:p w14:paraId="47A38CB4" w14:textId="77777777" w:rsidR="00845DD1" w:rsidRPr="00EE5F0F" w:rsidRDefault="00845DD1"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In the E</w:t>
      </w:r>
      <w:r w:rsidRPr="00845DD1">
        <w:rPr>
          <w:rFonts w:ascii="Garamond" w:hAnsi="Garamond"/>
          <w:sz w:val="22"/>
          <w:szCs w:val="22"/>
        </w:rPr>
        <w:t>urozone</w:t>
      </w:r>
      <w:r>
        <w:rPr>
          <w:rFonts w:ascii="Garamond" w:hAnsi="Garamond"/>
          <w:sz w:val="22"/>
          <w:szCs w:val="22"/>
        </w:rPr>
        <w:t xml:space="preserve"> i</w:t>
      </w:r>
      <w:r w:rsidRPr="00845DD1">
        <w:rPr>
          <w:rFonts w:ascii="Garamond" w:hAnsi="Garamond"/>
          <w:sz w:val="22"/>
          <w:szCs w:val="22"/>
        </w:rPr>
        <w:t xml:space="preserve">n the first quarter </w:t>
      </w:r>
      <w:r>
        <w:rPr>
          <w:rFonts w:ascii="Garamond" w:hAnsi="Garamond"/>
          <w:sz w:val="22"/>
          <w:szCs w:val="22"/>
        </w:rPr>
        <w:t xml:space="preserve">of 2019 </w:t>
      </w:r>
      <w:r w:rsidRPr="00845DD1">
        <w:rPr>
          <w:rFonts w:ascii="Garamond" w:hAnsi="Garamond"/>
          <w:sz w:val="22"/>
          <w:szCs w:val="22"/>
        </w:rPr>
        <w:t xml:space="preserve">the average quarterly inflation slowed down </w:t>
      </w:r>
      <w:r>
        <w:rPr>
          <w:rFonts w:ascii="Garamond" w:hAnsi="Garamond"/>
          <w:sz w:val="22"/>
          <w:szCs w:val="22"/>
        </w:rPr>
        <w:t>to</w:t>
      </w:r>
      <w:r w:rsidRPr="00845DD1">
        <w:rPr>
          <w:rFonts w:ascii="Garamond" w:hAnsi="Garamond"/>
          <w:sz w:val="22"/>
          <w:szCs w:val="22"/>
        </w:rPr>
        <w:t xml:space="preserve"> 1.4%, </w:t>
      </w:r>
      <w:r>
        <w:rPr>
          <w:rFonts w:ascii="Garamond" w:hAnsi="Garamond"/>
          <w:sz w:val="22"/>
          <w:szCs w:val="22"/>
        </w:rPr>
        <w:t xml:space="preserve">running </w:t>
      </w:r>
      <w:r w:rsidRPr="00845DD1">
        <w:rPr>
          <w:rFonts w:ascii="Garamond" w:hAnsi="Garamond"/>
          <w:sz w:val="22"/>
          <w:szCs w:val="22"/>
        </w:rPr>
        <w:t>below the E</w:t>
      </w:r>
      <w:r w:rsidR="004D0503">
        <w:rPr>
          <w:rFonts w:ascii="Garamond" w:hAnsi="Garamond"/>
          <w:sz w:val="22"/>
          <w:szCs w:val="22"/>
        </w:rPr>
        <w:t xml:space="preserve">uropean </w:t>
      </w:r>
      <w:r w:rsidRPr="00845DD1">
        <w:rPr>
          <w:rFonts w:ascii="Garamond" w:hAnsi="Garamond"/>
          <w:sz w:val="22"/>
          <w:szCs w:val="22"/>
        </w:rPr>
        <w:t>C</w:t>
      </w:r>
      <w:r w:rsidR="004D0503">
        <w:rPr>
          <w:rFonts w:ascii="Garamond" w:hAnsi="Garamond"/>
          <w:sz w:val="22"/>
          <w:szCs w:val="22"/>
        </w:rPr>
        <w:t xml:space="preserve">entral </w:t>
      </w:r>
      <w:r w:rsidRPr="00845DD1">
        <w:rPr>
          <w:rFonts w:ascii="Garamond" w:hAnsi="Garamond"/>
          <w:sz w:val="22"/>
          <w:szCs w:val="22"/>
        </w:rPr>
        <w:t>B</w:t>
      </w:r>
      <w:r w:rsidR="004D0503">
        <w:rPr>
          <w:rFonts w:ascii="Garamond" w:hAnsi="Garamond"/>
          <w:sz w:val="22"/>
          <w:szCs w:val="22"/>
        </w:rPr>
        <w:t>ank</w:t>
      </w:r>
      <w:r>
        <w:rPr>
          <w:rFonts w:ascii="Garamond" w:hAnsi="Garamond"/>
          <w:sz w:val="22"/>
          <w:szCs w:val="22"/>
        </w:rPr>
        <w:t>’s</w:t>
      </w:r>
      <w:r w:rsidRPr="00845DD1">
        <w:rPr>
          <w:rFonts w:ascii="Garamond" w:hAnsi="Garamond"/>
          <w:sz w:val="22"/>
          <w:szCs w:val="22"/>
        </w:rPr>
        <w:t xml:space="preserve"> target. The low inflation </w:t>
      </w:r>
      <w:r>
        <w:rPr>
          <w:rFonts w:ascii="Garamond" w:hAnsi="Garamond"/>
          <w:sz w:val="22"/>
          <w:szCs w:val="22"/>
        </w:rPr>
        <w:t xml:space="preserve">owed primarily to </w:t>
      </w:r>
      <w:r w:rsidRPr="00845DD1">
        <w:rPr>
          <w:rFonts w:ascii="Garamond" w:hAnsi="Garamond"/>
          <w:sz w:val="22"/>
          <w:szCs w:val="22"/>
        </w:rPr>
        <w:t xml:space="preserve">prices </w:t>
      </w:r>
      <w:r>
        <w:rPr>
          <w:rFonts w:ascii="Garamond" w:hAnsi="Garamond"/>
          <w:sz w:val="22"/>
          <w:szCs w:val="22"/>
        </w:rPr>
        <w:t xml:space="preserve">of </w:t>
      </w:r>
      <w:r w:rsidRPr="00845DD1">
        <w:rPr>
          <w:rFonts w:ascii="Garamond" w:hAnsi="Garamond"/>
          <w:sz w:val="22"/>
          <w:szCs w:val="22"/>
        </w:rPr>
        <w:t>food products and service</w:t>
      </w:r>
      <w:r>
        <w:rPr>
          <w:rFonts w:ascii="Garamond" w:hAnsi="Garamond"/>
          <w:sz w:val="22"/>
          <w:szCs w:val="22"/>
        </w:rPr>
        <w:t xml:space="preserve"> tariff</w:t>
      </w:r>
      <w:r w:rsidRPr="00845DD1">
        <w:rPr>
          <w:rFonts w:ascii="Garamond" w:hAnsi="Garamond"/>
          <w:sz w:val="22"/>
          <w:szCs w:val="22"/>
        </w:rPr>
        <w:t xml:space="preserve">s. </w:t>
      </w:r>
      <w:r>
        <w:rPr>
          <w:rFonts w:ascii="Garamond" w:hAnsi="Garamond"/>
          <w:sz w:val="22"/>
          <w:szCs w:val="22"/>
        </w:rPr>
        <w:t>Note that core</w:t>
      </w:r>
      <w:r w:rsidRPr="00845DD1">
        <w:rPr>
          <w:rFonts w:ascii="Garamond" w:hAnsi="Garamond"/>
          <w:sz w:val="22"/>
          <w:szCs w:val="22"/>
        </w:rPr>
        <w:t xml:space="preserve"> inflation has </w:t>
      </w:r>
      <w:r>
        <w:rPr>
          <w:rFonts w:ascii="Garamond" w:hAnsi="Garamond"/>
          <w:sz w:val="22"/>
          <w:szCs w:val="22"/>
        </w:rPr>
        <w:t xml:space="preserve">receded </w:t>
      </w:r>
      <w:r w:rsidRPr="00845DD1">
        <w:rPr>
          <w:rFonts w:ascii="Garamond" w:hAnsi="Garamond"/>
          <w:sz w:val="22"/>
          <w:szCs w:val="22"/>
        </w:rPr>
        <w:t xml:space="preserve">over the quarter, mainly </w:t>
      </w:r>
      <w:r>
        <w:rPr>
          <w:rFonts w:ascii="Garamond" w:hAnsi="Garamond"/>
          <w:sz w:val="22"/>
          <w:szCs w:val="22"/>
        </w:rPr>
        <w:t xml:space="preserve">thanks to </w:t>
      </w:r>
      <w:r w:rsidRPr="00845DD1">
        <w:rPr>
          <w:rFonts w:ascii="Garamond" w:hAnsi="Garamond"/>
          <w:sz w:val="22"/>
          <w:szCs w:val="22"/>
        </w:rPr>
        <w:t>t</w:t>
      </w:r>
      <w:r>
        <w:rPr>
          <w:rFonts w:ascii="Garamond" w:hAnsi="Garamond"/>
          <w:sz w:val="22"/>
          <w:szCs w:val="22"/>
        </w:rPr>
        <w:t>ravel industry and t</w:t>
      </w:r>
      <w:r w:rsidRPr="00845DD1">
        <w:rPr>
          <w:rFonts w:ascii="Garamond" w:hAnsi="Garamond"/>
          <w:sz w:val="22"/>
          <w:szCs w:val="22"/>
        </w:rPr>
        <w:t xml:space="preserve">he prices </w:t>
      </w:r>
      <w:r>
        <w:rPr>
          <w:rFonts w:ascii="Garamond" w:hAnsi="Garamond"/>
          <w:sz w:val="22"/>
          <w:szCs w:val="22"/>
        </w:rPr>
        <w:t xml:space="preserve">of the “Clothing and footwear” </w:t>
      </w:r>
      <w:r w:rsidRPr="00845DD1">
        <w:rPr>
          <w:rFonts w:ascii="Garamond" w:hAnsi="Garamond"/>
          <w:sz w:val="22"/>
          <w:szCs w:val="22"/>
        </w:rPr>
        <w:t xml:space="preserve">group. </w:t>
      </w:r>
      <w:r w:rsidR="004D0503">
        <w:rPr>
          <w:rFonts w:ascii="Garamond" w:hAnsi="Garamond"/>
          <w:sz w:val="22"/>
          <w:szCs w:val="22"/>
        </w:rPr>
        <w:t xml:space="preserve">As a low inflationary environment lingers, </w:t>
      </w:r>
      <w:r w:rsidRPr="00845DD1">
        <w:rPr>
          <w:rFonts w:ascii="Garamond" w:hAnsi="Garamond"/>
          <w:sz w:val="22"/>
          <w:szCs w:val="22"/>
        </w:rPr>
        <w:t xml:space="preserve">the ECB </w:t>
      </w:r>
      <w:r w:rsidR="004D0503">
        <w:rPr>
          <w:rFonts w:ascii="Garamond" w:hAnsi="Garamond"/>
          <w:sz w:val="22"/>
          <w:szCs w:val="22"/>
        </w:rPr>
        <w:t xml:space="preserve">is supposed to </w:t>
      </w:r>
      <w:r w:rsidR="004D0503" w:rsidRPr="00845DD1">
        <w:rPr>
          <w:rFonts w:ascii="Garamond" w:hAnsi="Garamond"/>
          <w:sz w:val="22"/>
          <w:szCs w:val="22"/>
        </w:rPr>
        <w:t xml:space="preserve">pursue </w:t>
      </w:r>
      <w:r w:rsidR="004D0503">
        <w:rPr>
          <w:rFonts w:ascii="Garamond" w:hAnsi="Garamond"/>
          <w:sz w:val="22"/>
          <w:szCs w:val="22"/>
        </w:rPr>
        <w:t xml:space="preserve">a </w:t>
      </w:r>
      <w:r w:rsidR="004D0503" w:rsidRPr="00845DD1">
        <w:rPr>
          <w:rFonts w:ascii="Garamond" w:hAnsi="Garamond"/>
          <w:sz w:val="22"/>
          <w:szCs w:val="22"/>
        </w:rPr>
        <w:t xml:space="preserve">low interest rates policy </w:t>
      </w:r>
      <w:r w:rsidRPr="00845DD1">
        <w:rPr>
          <w:rFonts w:ascii="Garamond" w:hAnsi="Garamond"/>
          <w:sz w:val="22"/>
          <w:szCs w:val="22"/>
        </w:rPr>
        <w:t xml:space="preserve">at least </w:t>
      </w:r>
      <w:r w:rsidR="004D0503">
        <w:rPr>
          <w:rFonts w:ascii="Garamond" w:hAnsi="Garamond"/>
          <w:sz w:val="22"/>
          <w:szCs w:val="22"/>
        </w:rPr>
        <w:t xml:space="preserve">up </w:t>
      </w:r>
      <w:r w:rsidRPr="00845DD1">
        <w:rPr>
          <w:rFonts w:ascii="Garamond" w:hAnsi="Garamond"/>
          <w:sz w:val="22"/>
          <w:szCs w:val="22"/>
        </w:rPr>
        <w:t>u</w:t>
      </w:r>
      <w:r w:rsidR="004D0503">
        <w:rPr>
          <w:rFonts w:ascii="Garamond" w:hAnsi="Garamond"/>
          <w:sz w:val="22"/>
          <w:szCs w:val="22"/>
        </w:rPr>
        <w:t>ntil 2020.</w:t>
      </w:r>
    </w:p>
    <w:p w14:paraId="6859B91E" w14:textId="77777777" w:rsidR="00B266DE" w:rsidRDefault="00B47AE5" w:rsidP="00EE619D">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 xml:space="preserve">Economic developments </w:t>
      </w:r>
      <w:r>
        <w:rPr>
          <w:rFonts w:ascii="Garamond" w:hAnsi="Garamond"/>
          <w:b/>
          <w:sz w:val="22"/>
          <w:szCs w:val="22"/>
        </w:rPr>
        <w:t xml:space="preserve">and inflation in Russia: </w:t>
      </w:r>
      <w:r w:rsidR="00EE619D" w:rsidRPr="00EE5F0F">
        <w:rPr>
          <w:rFonts w:ascii="Garamond" w:hAnsi="Garamond"/>
          <w:sz w:val="22"/>
          <w:szCs w:val="22"/>
        </w:rPr>
        <w:t xml:space="preserve">According to preliminary estimates </w:t>
      </w:r>
      <w:r w:rsidR="007B1049" w:rsidRPr="00EE5F0F">
        <w:rPr>
          <w:rFonts w:ascii="Garamond" w:hAnsi="Garamond"/>
          <w:sz w:val="22"/>
          <w:szCs w:val="22"/>
        </w:rPr>
        <w:t>by</w:t>
      </w:r>
      <w:r w:rsidR="00EE619D" w:rsidRPr="00EE5F0F">
        <w:rPr>
          <w:rFonts w:ascii="Garamond" w:hAnsi="Garamond"/>
          <w:sz w:val="22"/>
          <w:szCs w:val="22"/>
        </w:rPr>
        <w:t xml:space="preserve"> State Statistics Service of the</w:t>
      </w:r>
      <w:r w:rsidR="00EE619D" w:rsidRPr="00EE5F0F">
        <w:rPr>
          <w:rFonts w:ascii="Garamond" w:hAnsi="Garamond"/>
          <w:b/>
          <w:sz w:val="22"/>
          <w:szCs w:val="22"/>
        </w:rPr>
        <w:t xml:space="preserve"> </w:t>
      </w:r>
      <w:r w:rsidR="00EE619D" w:rsidRPr="00CA125D">
        <w:rPr>
          <w:rFonts w:ascii="Garamond" w:hAnsi="Garamond"/>
          <w:sz w:val="22"/>
          <w:szCs w:val="22"/>
        </w:rPr>
        <w:t>Russian Federation,</w:t>
      </w:r>
      <w:r w:rsidR="00EE619D" w:rsidRPr="00EE5F0F">
        <w:rPr>
          <w:rFonts w:ascii="Garamond" w:hAnsi="Garamond"/>
          <w:sz w:val="22"/>
          <w:szCs w:val="22"/>
        </w:rPr>
        <w:t xml:space="preserve"> </w:t>
      </w:r>
      <w:r w:rsidR="00372A7E">
        <w:rPr>
          <w:rFonts w:ascii="Garamond" w:hAnsi="Garamond"/>
          <w:sz w:val="22"/>
          <w:szCs w:val="22"/>
        </w:rPr>
        <w:t xml:space="preserve">the average </w:t>
      </w:r>
      <w:r w:rsidR="00EE619D" w:rsidRPr="00EE5F0F">
        <w:rPr>
          <w:rFonts w:ascii="Garamond" w:hAnsi="Garamond"/>
          <w:sz w:val="22"/>
          <w:szCs w:val="22"/>
        </w:rPr>
        <w:t xml:space="preserve">economic growth in the </w:t>
      </w:r>
      <w:r w:rsidR="00CA125D">
        <w:rPr>
          <w:rFonts w:ascii="Garamond" w:hAnsi="Garamond"/>
          <w:sz w:val="22"/>
          <w:szCs w:val="22"/>
        </w:rPr>
        <w:t>first</w:t>
      </w:r>
      <w:r w:rsidR="005776E9" w:rsidRPr="00EE5F0F">
        <w:rPr>
          <w:rFonts w:ascii="Garamond" w:hAnsi="Garamond"/>
          <w:sz w:val="22"/>
          <w:szCs w:val="22"/>
        </w:rPr>
        <w:t xml:space="preserve"> </w:t>
      </w:r>
      <w:r w:rsidR="00EE619D" w:rsidRPr="00EE5F0F">
        <w:rPr>
          <w:rFonts w:ascii="Garamond" w:hAnsi="Garamond"/>
          <w:sz w:val="22"/>
          <w:szCs w:val="22"/>
        </w:rPr>
        <w:t xml:space="preserve">quarter </w:t>
      </w:r>
      <w:r w:rsidR="005776E9" w:rsidRPr="00EE5F0F">
        <w:rPr>
          <w:rFonts w:ascii="Garamond" w:hAnsi="Garamond"/>
          <w:sz w:val="22"/>
          <w:szCs w:val="22"/>
        </w:rPr>
        <w:t>of 201</w:t>
      </w:r>
      <w:r w:rsidR="00CA125D">
        <w:rPr>
          <w:rFonts w:ascii="Garamond" w:hAnsi="Garamond"/>
          <w:sz w:val="22"/>
          <w:szCs w:val="22"/>
        </w:rPr>
        <w:t>9</w:t>
      </w:r>
      <w:r w:rsidR="005776E9" w:rsidRPr="00EE5F0F">
        <w:rPr>
          <w:rFonts w:ascii="Garamond" w:hAnsi="Garamond"/>
          <w:sz w:val="22"/>
          <w:szCs w:val="22"/>
        </w:rPr>
        <w:t xml:space="preserve"> </w:t>
      </w:r>
      <w:r w:rsidR="00EE619D" w:rsidRPr="00EE5F0F">
        <w:rPr>
          <w:rFonts w:ascii="Garamond" w:hAnsi="Garamond"/>
          <w:sz w:val="22"/>
          <w:szCs w:val="22"/>
        </w:rPr>
        <w:t xml:space="preserve">was </w:t>
      </w:r>
      <w:r w:rsidR="00CA125D">
        <w:rPr>
          <w:rFonts w:ascii="Garamond" w:hAnsi="Garamond"/>
          <w:sz w:val="22"/>
          <w:szCs w:val="22"/>
        </w:rPr>
        <w:t>0</w:t>
      </w:r>
      <w:r w:rsidR="00EE619D" w:rsidRPr="00EE5F0F">
        <w:rPr>
          <w:rFonts w:ascii="Garamond" w:hAnsi="Garamond"/>
          <w:sz w:val="22"/>
          <w:szCs w:val="22"/>
        </w:rPr>
        <w:t>.</w:t>
      </w:r>
      <w:r w:rsidR="00CA125D">
        <w:rPr>
          <w:rFonts w:ascii="Garamond" w:hAnsi="Garamond"/>
          <w:sz w:val="22"/>
          <w:szCs w:val="22"/>
        </w:rPr>
        <w:t>5</w:t>
      </w:r>
      <w:r w:rsidR="00EE619D" w:rsidRPr="00EE5F0F">
        <w:rPr>
          <w:rFonts w:ascii="Garamond" w:hAnsi="Garamond"/>
          <w:sz w:val="22"/>
          <w:szCs w:val="22"/>
        </w:rPr>
        <w:t>%</w:t>
      </w:r>
      <w:r w:rsidR="00CA125D">
        <w:rPr>
          <w:rFonts w:ascii="Garamond" w:hAnsi="Garamond"/>
          <w:sz w:val="22"/>
          <w:szCs w:val="22"/>
        </w:rPr>
        <w:t xml:space="preserve"> y/y</w:t>
      </w:r>
      <w:r w:rsidR="00372A7E">
        <w:rPr>
          <w:rFonts w:ascii="Garamond" w:hAnsi="Garamond"/>
          <w:sz w:val="22"/>
          <w:szCs w:val="22"/>
        </w:rPr>
        <w:t xml:space="preserve">, </w:t>
      </w:r>
      <w:r w:rsidR="00CA125D">
        <w:rPr>
          <w:rFonts w:ascii="Garamond" w:hAnsi="Garamond"/>
          <w:sz w:val="22"/>
          <w:szCs w:val="22"/>
        </w:rPr>
        <w:t xml:space="preserve">with an estimated average economic growth of 1.05% for 2019. </w:t>
      </w:r>
      <w:r w:rsidR="00CA125D" w:rsidRPr="00CA125D">
        <w:rPr>
          <w:rFonts w:ascii="Garamond" w:hAnsi="Garamond"/>
          <w:sz w:val="22"/>
          <w:szCs w:val="22"/>
        </w:rPr>
        <w:t xml:space="preserve">The low </w:t>
      </w:r>
      <w:r w:rsidR="00CA125D">
        <w:rPr>
          <w:rFonts w:ascii="Garamond" w:hAnsi="Garamond"/>
          <w:sz w:val="22"/>
          <w:szCs w:val="22"/>
        </w:rPr>
        <w:t xml:space="preserve">figure reported in </w:t>
      </w:r>
      <w:r w:rsidR="00CA125D" w:rsidRPr="00CA125D">
        <w:rPr>
          <w:rFonts w:ascii="Garamond" w:hAnsi="Garamond"/>
          <w:sz w:val="22"/>
          <w:szCs w:val="22"/>
        </w:rPr>
        <w:t xml:space="preserve">the first quarter was </w:t>
      </w:r>
      <w:r w:rsidR="00CA125D">
        <w:rPr>
          <w:rFonts w:ascii="Garamond" w:hAnsi="Garamond"/>
          <w:sz w:val="22"/>
          <w:szCs w:val="22"/>
        </w:rPr>
        <w:t>mostly due to p</w:t>
      </w:r>
      <w:r w:rsidR="00CA125D" w:rsidRPr="00CA125D">
        <w:rPr>
          <w:rFonts w:ascii="Garamond" w:hAnsi="Garamond"/>
          <w:sz w:val="22"/>
          <w:szCs w:val="22"/>
        </w:rPr>
        <w:t xml:space="preserve">rivate consumption </w:t>
      </w:r>
      <w:r w:rsidR="00CA125D">
        <w:rPr>
          <w:rFonts w:ascii="Garamond" w:hAnsi="Garamond"/>
          <w:sz w:val="22"/>
          <w:szCs w:val="22"/>
        </w:rPr>
        <w:t xml:space="preserve">contracted because of </w:t>
      </w:r>
      <w:r w:rsidR="00CA125D" w:rsidRPr="00CA125D">
        <w:rPr>
          <w:rFonts w:ascii="Garamond" w:hAnsi="Garamond"/>
          <w:sz w:val="22"/>
          <w:szCs w:val="22"/>
        </w:rPr>
        <w:t>small volumes of Russia</w:t>
      </w:r>
      <w:r w:rsidR="00CA125D">
        <w:rPr>
          <w:rFonts w:ascii="Garamond" w:hAnsi="Garamond"/>
          <w:sz w:val="22"/>
          <w:szCs w:val="22"/>
        </w:rPr>
        <w:t>’s</w:t>
      </w:r>
      <w:r w:rsidR="00CA125D" w:rsidRPr="00CA125D">
        <w:rPr>
          <w:rFonts w:ascii="Garamond" w:hAnsi="Garamond"/>
          <w:sz w:val="22"/>
          <w:szCs w:val="22"/>
        </w:rPr>
        <w:t xml:space="preserve"> trade turnover</w:t>
      </w:r>
      <w:r w:rsidR="00CA125D">
        <w:rPr>
          <w:rFonts w:ascii="Garamond" w:hAnsi="Garamond"/>
          <w:sz w:val="22"/>
          <w:szCs w:val="22"/>
        </w:rPr>
        <w:t xml:space="preserve"> and an </w:t>
      </w:r>
      <w:r w:rsidR="00CA125D" w:rsidRPr="00CA125D">
        <w:rPr>
          <w:rFonts w:ascii="Garamond" w:hAnsi="Garamond"/>
          <w:sz w:val="22"/>
          <w:szCs w:val="22"/>
        </w:rPr>
        <w:t>increase</w:t>
      </w:r>
      <w:r w:rsidR="00CA125D">
        <w:rPr>
          <w:rFonts w:ascii="Garamond" w:hAnsi="Garamond"/>
          <w:sz w:val="22"/>
          <w:szCs w:val="22"/>
        </w:rPr>
        <w:t>d</w:t>
      </w:r>
      <w:r w:rsidR="00CA125D" w:rsidRPr="00CA125D">
        <w:rPr>
          <w:rFonts w:ascii="Garamond" w:hAnsi="Garamond"/>
          <w:sz w:val="22"/>
          <w:szCs w:val="22"/>
        </w:rPr>
        <w:t xml:space="preserve"> VAT. </w:t>
      </w:r>
      <w:r w:rsidR="00B266DE">
        <w:rPr>
          <w:rFonts w:ascii="Garamond" w:hAnsi="Garamond"/>
          <w:sz w:val="22"/>
          <w:szCs w:val="22"/>
        </w:rPr>
        <w:t xml:space="preserve">According to the Bank of Russia estimates, in view of </w:t>
      </w:r>
      <w:r w:rsidR="00CA125D" w:rsidRPr="00CA125D">
        <w:rPr>
          <w:rFonts w:ascii="Garamond" w:hAnsi="Garamond"/>
          <w:sz w:val="22"/>
          <w:szCs w:val="22"/>
        </w:rPr>
        <w:t xml:space="preserve">such economic activity, </w:t>
      </w:r>
      <w:r w:rsidR="00B266DE">
        <w:rPr>
          <w:rFonts w:ascii="Garamond" w:hAnsi="Garamond"/>
          <w:sz w:val="22"/>
          <w:szCs w:val="22"/>
        </w:rPr>
        <w:t xml:space="preserve">the </w:t>
      </w:r>
      <w:r w:rsidR="00B266DE" w:rsidRPr="00CA125D">
        <w:rPr>
          <w:rFonts w:ascii="Garamond" w:hAnsi="Garamond"/>
          <w:sz w:val="22"/>
          <w:szCs w:val="22"/>
        </w:rPr>
        <w:t xml:space="preserve">unemployment </w:t>
      </w:r>
      <w:r w:rsidR="00B266DE">
        <w:rPr>
          <w:rFonts w:ascii="Garamond" w:hAnsi="Garamond"/>
          <w:sz w:val="22"/>
          <w:szCs w:val="22"/>
        </w:rPr>
        <w:t>did not</w:t>
      </w:r>
      <w:r w:rsidR="00B266DE" w:rsidRPr="00CA125D">
        <w:rPr>
          <w:rFonts w:ascii="Garamond" w:hAnsi="Garamond"/>
          <w:sz w:val="22"/>
          <w:szCs w:val="22"/>
        </w:rPr>
        <w:t xml:space="preserve"> cause additional inflationary pressures</w:t>
      </w:r>
      <w:r w:rsidR="00B266DE">
        <w:rPr>
          <w:rFonts w:ascii="Garamond" w:hAnsi="Garamond"/>
          <w:sz w:val="22"/>
          <w:szCs w:val="22"/>
        </w:rPr>
        <w:t xml:space="preserve"> but remained instead around its fundamental value.</w:t>
      </w:r>
    </w:p>
    <w:p w14:paraId="551FAB09" w14:textId="77777777" w:rsidR="00EE619D" w:rsidRDefault="00B266DE"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In the first quarter of 2019</w:t>
      </w:r>
      <w:r w:rsidRPr="00B266DE">
        <w:rPr>
          <w:rFonts w:ascii="Garamond" w:hAnsi="Garamond"/>
          <w:sz w:val="22"/>
          <w:szCs w:val="22"/>
        </w:rPr>
        <w:t xml:space="preserve"> the average quarterly inflation in Russia accelerated to 5.1%, </w:t>
      </w:r>
      <w:r>
        <w:rPr>
          <w:rFonts w:ascii="Garamond" w:hAnsi="Garamond"/>
          <w:sz w:val="22"/>
          <w:szCs w:val="22"/>
        </w:rPr>
        <w:t xml:space="preserve">compared to that of 3.8% reported in </w:t>
      </w:r>
      <w:r w:rsidRPr="00B266DE">
        <w:rPr>
          <w:rFonts w:ascii="Garamond" w:hAnsi="Garamond"/>
          <w:sz w:val="22"/>
          <w:szCs w:val="22"/>
        </w:rPr>
        <w:t>the</w:t>
      </w:r>
      <w:r>
        <w:rPr>
          <w:rFonts w:ascii="Garamond" w:hAnsi="Garamond"/>
          <w:sz w:val="22"/>
          <w:szCs w:val="22"/>
        </w:rPr>
        <w:t xml:space="preserve"> </w:t>
      </w:r>
      <w:r w:rsidRPr="00B266DE">
        <w:rPr>
          <w:rFonts w:ascii="Garamond" w:hAnsi="Garamond"/>
          <w:sz w:val="22"/>
          <w:szCs w:val="22"/>
        </w:rPr>
        <w:t>previous quarter</w:t>
      </w:r>
      <w:r>
        <w:rPr>
          <w:rFonts w:ascii="Garamond" w:hAnsi="Garamond"/>
          <w:sz w:val="22"/>
          <w:szCs w:val="22"/>
        </w:rPr>
        <w:t xml:space="preserve">, running above </w:t>
      </w:r>
      <w:r w:rsidR="00F41D05">
        <w:rPr>
          <w:rFonts w:ascii="Garamond" w:hAnsi="Garamond"/>
          <w:sz w:val="22"/>
          <w:szCs w:val="22"/>
        </w:rPr>
        <w:t>i</w:t>
      </w:r>
      <w:r w:rsidRPr="00B266DE">
        <w:rPr>
          <w:rFonts w:ascii="Garamond" w:hAnsi="Garamond"/>
          <w:sz w:val="22"/>
          <w:szCs w:val="22"/>
        </w:rPr>
        <w:t xml:space="preserve">ts target. The maximum value was in March </w:t>
      </w:r>
      <w:r w:rsidR="00F41D05">
        <w:rPr>
          <w:rFonts w:ascii="Garamond" w:hAnsi="Garamond"/>
          <w:sz w:val="22"/>
          <w:szCs w:val="22"/>
        </w:rPr>
        <w:t xml:space="preserve">when it hit </w:t>
      </w:r>
      <w:r w:rsidRPr="00B266DE">
        <w:rPr>
          <w:rFonts w:ascii="Garamond" w:hAnsi="Garamond"/>
          <w:sz w:val="22"/>
          <w:szCs w:val="22"/>
        </w:rPr>
        <w:t xml:space="preserve">5.3%, and </w:t>
      </w:r>
      <w:r w:rsidR="00F41D05">
        <w:rPr>
          <w:rFonts w:ascii="Garamond" w:hAnsi="Garamond"/>
          <w:sz w:val="22"/>
          <w:szCs w:val="22"/>
        </w:rPr>
        <w:t xml:space="preserve">since April </w:t>
      </w:r>
      <w:r w:rsidRPr="00B266DE">
        <w:rPr>
          <w:rFonts w:ascii="Garamond" w:hAnsi="Garamond"/>
          <w:sz w:val="22"/>
          <w:szCs w:val="22"/>
        </w:rPr>
        <w:t xml:space="preserve">it has been </w:t>
      </w:r>
      <w:r w:rsidR="00F41D05">
        <w:rPr>
          <w:rFonts w:ascii="Garamond" w:hAnsi="Garamond"/>
          <w:sz w:val="22"/>
          <w:szCs w:val="22"/>
        </w:rPr>
        <w:t>retreating smoothly</w:t>
      </w:r>
      <w:r w:rsidRPr="00B266DE">
        <w:rPr>
          <w:rFonts w:ascii="Garamond" w:hAnsi="Garamond"/>
          <w:sz w:val="22"/>
          <w:szCs w:val="22"/>
        </w:rPr>
        <w:t xml:space="preserve">, which indicates that the effect of VAT increase </w:t>
      </w:r>
      <w:r w:rsidR="00F41D05">
        <w:rPr>
          <w:rFonts w:ascii="Garamond" w:hAnsi="Garamond"/>
          <w:sz w:val="22"/>
          <w:szCs w:val="22"/>
        </w:rPr>
        <w:t>early in the year is</w:t>
      </w:r>
      <w:r w:rsidRPr="00B266DE">
        <w:rPr>
          <w:rFonts w:ascii="Garamond" w:hAnsi="Garamond"/>
          <w:sz w:val="22"/>
          <w:szCs w:val="22"/>
        </w:rPr>
        <w:t xml:space="preserve"> gradually weaken</w:t>
      </w:r>
      <w:r w:rsidR="00F41D05">
        <w:rPr>
          <w:rFonts w:ascii="Garamond" w:hAnsi="Garamond"/>
          <w:sz w:val="22"/>
          <w:szCs w:val="22"/>
        </w:rPr>
        <w:t xml:space="preserve">ing. The </w:t>
      </w:r>
      <w:r w:rsidRPr="00B266DE">
        <w:rPr>
          <w:rFonts w:ascii="Garamond" w:hAnsi="Garamond"/>
          <w:sz w:val="22"/>
          <w:szCs w:val="22"/>
        </w:rPr>
        <w:t xml:space="preserve">inflation is expected to continue </w:t>
      </w:r>
      <w:r w:rsidR="00F41D05">
        <w:rPr>
          <w:rFonts w:ascii="Garamond" w:hAnsi="Garamond"/>
          <w:sz w:val="22"/>
          <w:szCs w:val="22"/>
        </w:rPr>
        <w:t xml:space="preserve">reducing </w:t>
      </w:r>
      <w:r w:rsidRPr="00B266DE">
        <w:rPr>
          <w:rFonts w:ascii="Garamond" w:hAnsi="Garamond"/>
          <w:sz w:val="22"/>
          <w:szCs w:val="22"/>
        </w:rPr>
        <w:t>in the near future, and by the end of the year it will reach its target</w:t>
      </w:r>
      <w:r w:rsidR="00F41D05">
        <w:rPr>
          <w:rFonts w:ascii="Garamond" w:hAnsi="Garamond"/>
          <w:sz w:val="22"/>
          <w:szCs w:val="22"/>
        </w:rPr>
        <w:t xml:space="preserve"> of</w:t>
      </w:r>
      <w:r w:rsidRPr="00B266DE">
        <w:rPr>
          <w:rFonts w:ascii="Garamond" w:hAnsi="Garamond"/>
          <w:sz w:val="22"/>
          <w:szCs w:val="22"/>
        </w:rPr>
        <w:t xml:space="preserve"> 4%. </w:t>
      </w:r>
      <w:r w:rsidR="00F41D05">
        <w:rPr>
          <w:rFonts w:ascii="Garamond" w:hAnsi="Garamond"/>
          <w:sz w:val="22"/>
          <w:szCs w:val="22"/>
        </w:rPr>
        <w:t>With i</w:t>
      </w:r>
      <w:r w:rsidRPr="00B266DE">
        <w:rPr>
          <w:rFonts w:ascii="Garamond" w:hAnsi="Garamond"/>
          <w:sz w:val="22"/>
          <w:szCs w:val="22"/>
        </w:rPr>
        <w:t xml:space="preserve">nflation </w:t>
      </w:r>
      <w:r w:rsidR="00F41D05">
        <w:rPr>
          <w:rFonts w:ascii="Garamond" w:hAnsi="Garamond"/>
          <w:sz w:val="22"/>
          <w:szCs w:val="22"/>
        </w:rPr>
        <w:t xml:space="preserve">expanding at a slower pace than </w:t>
      </w:r>
      <w:r w:rsidRPr="00B266DE">
        <w:rPr>
          <w:rFonts w:ascii="Garamond" w:hAnsi="Garamond"/>
          <w:sz w:val="22"/>
          <w:szCs w:val="22"/>
        </w:rPr>
        <w:t>expect</w:t>
      </w:r>
      <w:r w:rsidR="00F41D05">
        <w:rPr>
          <w:rFonts w:ascii="Garamond" w:hAnsi="Garamond"/>
          <w:sz w:val="22"/>
          <w:szCs w:val="22"/>
        </w:rPr>
        <w:t>ed</w:t>
      </w:r>
      <w:r w:rsidRPr="00B266DE">
        <w:rPr>
          <w:rFonts w:ascii="Garamond" w:hAnsi="Garamond"/>
          <w:sz w:val="22"/>
          <w:szCs w:val="22"/>
        </w:rPr>
        <w:t xml:space="preserve">, </w:t>
      </w:r>
      <w:r w:rsidR="0012445D">
        <w:rPr>
          <w:rFonts w:ascii="Garamond" w:hAnsi="Garamond"/>
          <w:sz w:val="22"/>
          <w:szCs w:val="22"/>
        </w:rPr>
        <w:t xml:space="preserve">in the first quarter of 2019 </w:t>
      </w:r>
      <w:r w:rsidRPr="00B266DE">
        <w:rPr>
          <w:rFonts w:ascii="Garamond" w:hAnsi="Garamond"/>
          <w:sz w:val="22"/>
          <w:szCs w:val="22"/>
        </w:rPr>
        <w:t xml:space="preserve">the </w:t>
      </w:r>
      <w:r w:rsidR="00F41D05">
        <w:rPr>
          <w:rFonts w:ascii="Garamond" w:hAnsi="Garamond"/>
          <w:sz w:val="22"/>
          <w:szCs w:val="22"/>
        </w:rPr>
        <w:t xml:space="preserve">Bank of </w:t>
      </w:r>
      <w:r w:rsidRPr="00B266DE">
        <w:rPr>
          <w:rFonts w:ascii="Garamond" w:hAnsi="Garamond"/>
          <w:sz w:val="22"/>
          <w:szCs w:val="22"/>
        </w:rPr>
        <w:t>Russia</w:t>
      </w:r>
      <w:r w:rsidR="00F41D05">
        <w:rPr>
          <w:rFonts w:ascii="Garamond" w:hAnsi="Garamond"/>
          <w:sz w:val="22"/>
          <w:szCs w:val="22"/>
        </w:rPr>
        <w:t xml:space="preserve"> kept the policy rate </w:t>
      </w:r>
      <w:r w:rsidRPr="00B266DE">
        <w:rPr>
          <w:rFonts w:ascii="Garamond" w:hAnsi="Garamond"/>
          <w:sz w:val="22"/>
          <w:szCs w:val="22"/>
        </w:rPr>
        <w:t xml:space="preserve">at </w:t>
      </w:r>
      <w:r w:rsidR="0012445D">
        <w:rPr>
          <w:rFonts w:ascii="Garamond" w:hAnsi="Garamond"/>
          <w:sz w:val="22"/>
          <w:szCs w:val="22"/>
        </w:rPr>
        <w:t xml:space="preserve">what it has been set previously: </w:t>
      </w:r>
      <w:r w:rsidRPr="00B266DE">
        <w:rPr>
          <w:rFonts w:ascii="Garamond" w:hAnsi="Garamond"/>
          <w:sz w:val="22"/>
          <w:szCs w:val="22"/>
        </w:rPr>
        <w:t xml:space="preserve">7.75%. Taking </w:t>
      </w:r>
      <w:r w:rsidR="0012445D">
        <w:rPr>
          <w:rFonts w:ascii="Garamond" w:hAnsi="Garamond"/>
          <w:sz w:val="22"/>
          <w:szCs w:val="22"/>
        </w:rPr>
        <w:t xml:space="preserve">this </w:t>
      </w:r>
      <w:r w:rsidRPr="00B266DE">
        <w:rPr>
          <w:rFonts w:ascii="Garamond" w:hAnsi="Garamond"/>
          <w:sz w:val="22"/>
          <w:szCs w:val="22"/>
        </w:rPr>
        <w:t xml:space="preserve">into </w:t>
      </w:r>
      <w:r w:rsidR="0012445D">
        <w:rPr>
          <w:rFonts w:ascii="Garamond" w:hAnsi="Garamond"/>
          <w:sz w:val="22"/>
          <w:szCs w:val="22"/>
        </w:rPr>
        <w:t xml:space="preserve">account, there is anticipation that </w:t>
      </w:r>
      <w:r w:rsidRPr="00B266DE">
        <w:rPr>
          <w:rFonts w:ascii="Garamond" w:hAnsi="Garamond"/>
          <w:sz w:val="22"/>
          <w:szCs w:val="22"/>
        </w:rPr>
        <w:t xml:space="preserve">the Bank of Russia will </w:t>
      </w:r>
      <w:r w:rsidR="0012445D">
        <w:rPr>
          <w:rFonts w:ascii="Garamond" w:hAnsi="Garamond"/>
          <w:sz w:val="22"/>
          <w:szCs w:val="22"/>
        </w:rPr>
        <w:t xml:space="preserve">implement </w:t>
      </w:r>
      <w:r w:rsidRPr="00B266DE">
        <w:rPr>
          <w:rFonts w:ascii="Garamond" w:hAnsi="Garamond"/>
          <w:sz w:val="22"/>
          <w:szCs w:val="22"/>
        </w:rPr>
        <w:t xml:space="preserve">a more </w:t>
      </w:r>
      <w:r w:rsidR="0012445D">
        <w:rPr>
          <w:rFonts w:ascii="Garamond" w:hAnsi="Garamond"/>
          <w:sz w:val="22"/>
          <w:szCs w:val="22"/>
        </w:rPr>
        <w:t xml:space="preserve">expansionary </w:t>
      </w:r>
      <w:r w:rsidRPr="00B266DE">
        <w:rPr>
          <w:rFonts w:ascii="Garamond" w:hAnsi="Garamond"/>
          <w:sz w:val="22"/>
          <w:szCs w:val="22"/>
        </w:rPr>
        <w:t xml:space="preserve">monetary policy in the future as </w:t>
      </w:r>
      <w:r w:rsidR="0012445D" w:rsidRPr="00B266DE">
        <w:rPr>
          <w:rFonts w:ascii="Garamond" w:hAnsi="Garamond"/>
          <w:sz w:val="22"/>
          <w:szCs w:val="22"/>
        </w:rPr>
        <w:t>inflation expectations</w:t>
      </w:r>
      <w:r w:rsidR="0012445D">
        <w:rPr>
          <w:rFonts w:ascii="Garamond" w:hAnsi="Garamond"/>
          <w:sz w:val="22"/>
          <w:szCs w:val="22"/>
        </w:rPr>
        <w:t xml:space="preserve"> which are currently </w:t>
      </w:r>
      <w:r w:rsidRPr="00B266DE">
        <w:rPr>
          <w:rFonts w:ascii="Garamond" w:hAnsi="Garamond"/>
          <w:sz w:val="22"/>
          <w:szCs w:val="22"/>
        </w:rPr>
        <w:t>high</w:t>
      </w:r>
      <w:r w:rsidR="0012445D">
        <w:rPr>
          <w:rFonts w:ascii="Garamond" w:hAnsi="Garamond"/>
          <w:sz w:val="22"/>
          <w:szCs w:val="22"/>
        </w:rPr>
        <w:t xml:space="preserve"> have started to </w:t>
      </w:r>
      <w:r w:rsidRPr="00B266DE">
        <w:rPr>
          <w:rFonts w:ascii="Garamond" w:hAnsi="Garamond"/>
          <w:sz w:val="22"/>
          <w:szCs w:val="22"/>
        </w:rPr>
        <w:t>diminish.</w:t>
      </w:r>
      <w:r>
        <w:rPr>
          <w:rFonts w:ascii="Garamond" w:hAnsi="Garamond"/>
          <w:sz w:val="22"/>
          <w:szCs w:val="22"/>
        </w:rPr>
        <w:t xml:space="preserve">  </w:t>
      </w:r>
    </w:p>
    <w:p w14:paraId="3AF14AC4" w14:textId="77777777" w:rsidR="003B4B24" w:rsidRPr="00EE5F0F" w:rsidRDefault="00D47486" w:rsidP="00EE619D">
      <w:pPr>
        <w:autoSpaceDE w:val="0"/>
        <w:autoSpaceDN w:val="0"/>
        <w:adjustRightInd w:val="0"/>
        <w:spacing w:after="120" w:line="360" w:lineRule="auto"/>
        <w:jc w:val="both"/>
        <w:rPr>
          <w:rFonts w:ascii="Garamond" w:hAnsi="Garamond"/>
          <w:sz w:val="22"/>
          <w:szCs w:val="22"/>
        </w:rPr>
      </w:pPr>
      <w:r>
        <w:rPr>
          <w:rFonts w:ascii="Garamond" w:hAnsi="Garamond"/>
          <w:b/>
          <w:sz w:val="22"/>
          <w:szCs w:val="22"/>
        </w:rPr>
        <w:t>D</w:t>
      </w:r>
      <w:r w:rsidR="00EE619D" w:rsidRPr="00EE5F0F">
        <w:rPr>
          <w:rFonts w:ascii="Garamond" w:hAnsi="Garamond"/>
          <w:b/>
          <w:sz w:val="22"/>
          <w:szCs w:val="22"/>
        </w:rPr>
        <w:t xml:space="preserve">evelopments in </w:t>
      </w:r>
      <w:r>
        <w:rPr>
          <w:rFonts w:ascii="Garamond" w:hAnsi="Garamond"/>
          <w:b/>
          <w:sz w:val="22"/>
          <w:szCs w:val="22"/>
        </w:rPr>
        <w:t>world commodity and food product markets</w:t>
      </w:r>
      <w:r w:rsidR="00EE619D" w:rsidRPr="00EE5F0F">
        <w:rPr>
          <w:rFonts w:ascii="Garamond" w:hAnsi="Garamond"/>
          <w:b/>
          <w:sz w:val="22"/>
          <w:szCs w:val="22"/>
        </w:rPr>
        <w:t>:</w:t>
      </w:r>
      <w:r w:rsidR="00EE619D" w:rsidRPr="00EE5F0F">
        <w:rPr>
          <w:rFonts w:ascii="Garamond" w:hAnsi="Garamond"/>
          <w:sz w:val="22"/>
          <w:szCs w:val="22"/>
        </w:rPr>
        <w:t xml:space="preserve"> </w:t>
      </w:r>
      <w:r w:rsidR="00416169">
        <w:rPr>
          <w:rFonts w:ascii="Garamond" w:hAnsi="Garamond"/>
          <w:sz w:val="22"/>
          <w:szCs w:val="22"/>
        </w:rPr>
        <w:t>In the first quarter of 2019 the</w:t>
      </w:r>
      <w:r w:rsidR="000774D3">
        <w:rPr>
          <w:rFonts w:ascii="Garamond" w:hAnsi="Garamond"/>
          <w:sz w:val="22"/>
          <w:szCs w:val="22"/>
        </w:rPr>
        <w:t xml:space="preserve"> prices in</w:t>
      </w:r>
      <w:r w:rsidR="00416169">
        <w:rPr>
          <w:rFonts w:ascii="Garamond" w:hAnsi="Garamond"/>
          <w:sz w:val="22"/>
          <w:szCs w:val="22"/>
        </w:rPr>
        <w:t xml:space="preserve"> commodity and food product markets of the world </w:t>
      </w:r>
      <w:r w:rsidR="000774D3">
        <w:rPr>
          <w:rFonts w:ascii="Garamond" w:hAnsi="Garamond"/>
          <w:sz w:val="22"/>
          <w:szCs w:val="22"/>
        </w:rPr>
        <w:t>d</w:t>
      </w:r>
      <w:r w:rsidR="00416169">
        <w:rPr>
          <w:rFonts w:ascii="Garamond" w:hAnsi="Garamond"/>
          <w:sz w:val="22"/>
          <w:szCs w:val="22"/>
        </w:rPr>
        <w:t xml:space="preserve">ecreased in comparison with </w:t>
      </w:r>
      <w:r w:rsidR="000774D3">
        <w:rPr>
          <w:rFonts w:ascii="Garamond" w:hAnsi="Garamond"/>
          <w:sz w:val="22"/>
          <w:szCs w:val="22"/>
        </w:rPr>
        <w:t>the previous year</w:t>
      </w:r>
      <w:r w:rsidR="00416169">
        <w:rPr>
          <w:rFonts w:ascii="Garamond" w:hAnsi="Garamond"/>
          <w:sz w:val="22"/>
          <w:szCs w:val="22"/>
        </w:rPr>
        <w:t xml:space="preserve"> on the back of </w:t>
      </w:r>
      <w:r w:rsidR="00220A90">
        <w:rPr>
          <w:rFonts w:ascii="Garamond" w:hAnsi="Garamond"/>
          <w:sz w:val="22"/>
          <w:szCs w:val="22"/>
        </w:rPr>
        <w:t xml:space="preserve">a </w:t>
      </w:r>
      <w:r w:rsidR="001E49E6">
        <w:rPr>
          <w:rFonts w:ascii="Garamond" w:hAnsi="Garamond"/>
          <w:sz w:val="22"/>
          <w:szCs w:val="22"/>
        </w:rPr>
        <w:t>sluggish global demand.</w:t>
      </w:r>
      <w:r w:rsidR="003B4B24" w:rsidRPr="00EE5F0F">
        <w:rPr>
          <w:rFonts w:ascii="Garamond" w:hAnsi="Garamond"/>
          <w:sz w:val="22"/>
          <w:szCs w:val="22"/>
        </w:rPr>
        <w:t xml:space="preserve"> </w:t>
      </w:r>
    </w:p>
    <w:tbl>
      <w:tblPr>
        <w:tblStyle w:val="TableGrid"/>
        <w:tblW w:w="0" w:type="auto"/>
        <w:tblLook w:val="04A0" w:firstRow="1" w:lastRow="0" w:firstColumn="1" w:lastColumn="0" w:noHBand="0" w:noVBand="1"/>
      </w:tblPr>
      <w:tblGrid>
        <w:gridCol w:w="6204"/>
      </w:tblGrid>
      <w:tr w:rsidR="000774D3" w:rsidRPr="00AB24C1" w14:paraId="5EDC2792" w14:textId="77777777" w:rsidTr="00B82051">
        <w:tc>
          <w:tcPr>
            <w:tcW w:w="6204" w:type="dxa"/>
          </w:tcPr>
          <w:p w14:paraId="55CE1A84" w14:textId="77777777" w:rsidR="000774D3" w:rsidRPr="002D6DE0" w:rsidRDefault="000774D3" w:rsidP="000774D3">
            <w:pPr>
              <w:autoSpaceDE w:val="0"/>
              <w:autoSpaceDN w:val="0"/>
              <w:adjustRightInd w:val="0"/>
              <w:spacing w:after="120" w:line="360" w:lineRule="auto"/>
              <w:jc w:val="both"/>
              <w:rPr>
                <w:rFonts w:ascii="Garamond" w:hAnsi="Garamond"/>
                <w:color w:val="0070C0"/>
                <w:sz w:val="20"/>
                <w:szCs w:val="20"/>
              </w:rPr>
            </w:pPr>
            <w:r w:rsidRPr="002D6DE0">
              <w:rPr>
                <w:rFonts w:ascii="Garamond" w:hAnsi="Garamond"/>
                <w:color w:val="0070C0"/>
                <w:sz w:val="20"/>
                <w:szCs w:val="20"/>
              </w:rPr>
              <w:t xml:space="preserve">In the first quarter of 2019, the </w:t>
            </w:r>
            <w:r>
              <w:rPr>
                <w:rFonts w:ascii="Garamond" w:hAnsi="Garamond"/>
                <w:color w:val="0070C0"/>
                <w:sz w:val="20"/>
                <w:szCs w:val="20"/>
              </w:rPr>
              <w:t>prices in world commodity and food product markets have fallen relative to the previous year on the back of a sluggish global demand.</w:t>
            </w:r>
          </w:p>
        </w:tc>
      </w:tr>
    </w:tbl>
    <w:p w14:paraId="3EE70247" w14:textId="77777777" w:rsidR="000774D3" w:rsidRDefault="000774D3" w:rsidP="000774D3">
      <w:pPr>
        <w:autoSpaceDE w:val="0"/>
        <w:autoSpaceDN w:val="0"/>
        <w:adjustRightInd w:val="0"/>
        <w:spacing w:after="120" w:line="360" w:lineRule="auto"/>
        <w:jc w:val="both"/>
        <w:rPr>
          <w:rFonts w:ascii="Garamond" w:hAnsi="Garamond"/>
          <w:b/>
          <w:sz w:val="22"/>
          <w:szCs w:val="22"/>
        </w:rPr>
      </w:pPr>
    </w:p>
    <w:p w14:paraId="3F4F2965" w14:textId="77777777" w:rsidR="000774D3" w:rsidRDefault="000774D3" w:rsidP="000774D3">
      <w:pPr>
        <w:autoSpaceDE w:val="0"/>
        <w:autoSpaceDN w:val="0"/>
        <w:adjustRightInd w:val="0"/>
        <w:spacing w:after="120" w:line="360" w:lineRule="auto"/>
        <w:jc w:val="both"/>
        <w:rPr>
          <w:rFonts w:ascii="Garamond" w:hAnsi="Garamond"/>
          <w:b/>
          <w:sz w:val="22"/>
          <w:szCs w:val="22"/>
        </w:rPr>
      </w:pPr>
      <w:r>
        <w:rPr>
          <w:rFonts w:ascii="Garamond" w:hAnsi="Garamond"/>
          <w:sz w:val="22"/>
          <w:szCs w:val="22"/>
        </w:rPr>
        <w:lastRenderedPageBreak/>
        <w:t>I</w:t>
      </w:r>
      <w:r w:rsidRPr="00EE5F0F">
        <w:rPr>
          <w:rFonts w:ascii="Garamond" w:hAnsi="Garamond"/>
          <w:sz w:val="22"/>
          <w:szCs w:val="22"/>
        </w:rPr>
        <w:t xml:space="preserve">n the </w:t>
      </w:r>
      <w:r>
        <w:rPr>
          <w:rFonts w:ascii="Garamond" w:hAnsi="Garamond"/>
          <w:sz w:val="22"/>
          <w:szCs w:val="22"/>
        </w:rPr>
        <w:t xml:space="preserve">first </w:t>
      </w:r>
      <w:r w:rsidRPr="00EE5F0F">
        <w:rPr>
          <w:rFonts w:ascii="Garamond" w:hAnsi="Garamond"/>
          <w:sz w:val="22"/>
          <w:szCs w:val="22"/>
        </w:rPr>
        <w:t>quarter</w:t>
      </w:r>
      <w:r>
        <w:rPr>
          <w:rFonts w:ascii="Garamond" w:hAnsi="Garamond"/>
          <w:sz w:val="22"/>
          <w:szCs w:val="22"/>
        </w:rPr>
        <w:t xml:space="preserve"> of 2019</w:t>
      </w:r>
      <w:r w:rsidRPr="00EE5F0F">
        <w:rPr>
          <w:rFonts w:ascii="Garamond" w:hAnsi="Garamond"/>
          <w:sz w:val="22"/>
          <w:szCs w:val="22"/>
        </w:rPr>
        <w:t xml:space="preserve"> the euro exchange rate versus the US dollar </w:t>
      </w:r>
      <w:r>
        <w:rPr>
          <w:rFonts w:ascii="Garamond" w:hAnsi="Garamond"/>
          <w:sz w:val="22"/>
          <w:szCs w:val="22"/>
        </w:rPr>
        <w:t>de</w:t>
      </w:r>
      <w:r w:rsidRPr="00EE5F0F">
        <w:rPr>
          <w:rFonts w:ascii="Garamond" w:hAnsi="Garamond"/>
          <w:sz w:val="22"/>
          <w:szCs w:val="22"/>
        </w:rPr>
        <w:t xml:space="preserve">preciated by </w:t>
      </w:r>
      <w:r>
        <w:rPr>
          <w:rFonts w:ascii="Garamond" w:hAnsi="Garamond"/>
          <w:sz w:val="22"/>
          <w:szCs w:val="22"/>
        </w:rPr>
        <w:t>0</w:t>
      </w:r>
      <w:r w:rsidRPr="00EE5F0F">
        <w:rPr>
          <w:rFonts w:ascii="Garamond" w:hAnsi="Garamond"/>
          <w:sz w:val="22"/>
          <w:szCs w:val="22"/>
        </w:rPr>
        <w:t>.</w:t>
      </w:r>
      <w:r>
        <w:rPr>
          <w:rFonts w:ascii="Garamond" w:hAnsi="Garamond"/>
          <w:sz w:val="22"/>
          <w:szCs w:val="22"/>
        </w:rPr>
        <w:t>4</w:t>
      </w:r>
      <w:r w:rsidRPr="00EE5F0F">
        <w:rPr>
          <w:rFonts w:ascii="Garamond" w:hAnsi="Garamond"/>
          <w:sz w:val="22"/>
          <w:szCs w:val="22"/>
        </w:rPr>
        <w:t xml:space="preserve">% </w:t>
      </w:r>
      <w:r>
        <w:rPr>
          <w:rFonts w:ascii="Garamond" w:hAnsi="Garamond"/>
          <w:sz w:val="22"/>
          <w:szCs w:val="22"/>
        </w:rPr>
        <w:t>q</w:t>
      </w:r>
      <w:r w:rsidRPr="00EE5F0F">
        <w:rPr>
          <w:rFonts w:ascii="Garamond" w:hAnsi="Garamond"/>
          <w:sz w:val="22"/>
          <w:szCs w:val="22"/>
        </w:rPr>
        <w:t>/</w:t>
      </w:r>
      <w:r>
        <w:rPr>
          <w:rFonts w:ascii="Garamond" w:hAnsi="Garamond"/>
          <w:sz w:val="22"/>
          <w:szCs w:val="22"/>
        </w:rPr>
        <w:t>q</w:t>
      </w:r>
      <w:r w:rsidRPr="00EE5F0F">
        <w:rPr>
          <w:rFonts w:ascii="Garamond" w:hAnsi="Garamond"/>
          <w:sz w:val="22"/>
          <w:szCs w:val="22"/>
        </w:rPr>
        <w:t xml:space="preserve"> to 1.</w:t>
      </w:r>
      <w:r>
        <w:rPr>
          <w:rFonts w:ascii="Garamond" w:hAnsi="Garamond"/>
          <w:sz w:val="22"/>
          <w:szCs w:val="22"/>
        </w:rPr>
        <w:t xml:space="preserve">135 dollars per euro while the </w:t>
      </w:r>
      <w:r w:rsidRPr="00803722">
        <w:rPr>
          <w:rFonts w:ascii="Garamond" w:hAnsi="Garamond"/>
          <w:sz w:val="22"/>
          <w:szCs w:val="22"/>
        </w:rPr>
        <w:t xml:space="preserve">Russian ruble </w:t>
      </w:r>
      <w:r>
        <w:rPr>
          <w:rFonts w:ascii="Garamond" w:hAnsi="Garamond"/>
          <w:sz w:val="22"/>
          <w:szCs w:val="22"/>
        </w:rPr>
        <w:t xml:space="preserve">appreciated by </w:t>
      </w:r>
      <w:r w:rsidRPr="00803722">
        <w:rPr>
          <w:rFonts w:ascii="Garamond" w:hAnsi="Garamond"/>
          <w:sz w:val="22"/>
          <w:szCs w:val="22"/>
        </w:rPr>
        <w:t>1.</w:t>
      </w:r>
      <w:r>
        <w:rPr>
          <w:rFonts w:ascii="Garamond" w:hAnsi="Garamond"/>
          <w:sz w:val="22"/>
          <w:szCs w:val="22"/>
        </w:rPr>
        <w:t>14</w:t>
      </w:r>
      <w:r w:rsidRPr="00803722">
        <w:rPr>
          <w:rFonts w:ascii="Garamond" w:hAnsi="Garamond"/>
          <w:sz w:val="22"/>
          <w:szCs w:val="22"/>
        </w:rPr>
        <w:t xml:space="preserve">% </w:t>
      </w:r>
      <w:r>
        <w:rPr>
          <w:rFonts w:ascii="Garamond" w:hAnsi="Garamond"/>
          <w:sz w:val="22"/>
          <w:szCs w:val="22"/>
        </w:rPr>
        <w:t xml:space="preserve">q/q </w:t>
      </w:r>
      <w:r w:rsidRPr="00803722">
        <w:rPr>
          <w:rFonts w:ascii="Garamond" w:hAnsi="Garamond"/>
          <w:sz w:val="22"/>
          <w:szCs w:val="22"/>
        </w:rPr>
        <w:t xml:space="preserve">to an average </w:t>
      </w:r>
      <w:r>
        <w:rPr>
          <w:rFonts w:ascii="Garamond" w:hAnsi="Garamond"/>
          <w:sz w:val="22"/>
          <w:szCs w:val="22"/>
        </w:rPr>
        <w:t>RUB</w:t>
      </w:r>
      <w:r w:rsidRPr="00803722">
        <w:rPr>
          <w:rFonts w:ascii="Garamond" w:hAnsi="Garamond"/>
          <w:sz w:val="22"/>
          <w:szCs w:val="22"/>
        </w:rPr>
        <w:t xml:space="preserve"> 6</w:t>
      </w:r>
      <w:r>
        <w:rPr>
          <w:rFonts w:ascii="Garamond" w:hAnsi="Garamond"/>
          <w:sz w:val="22"/>
          <w:szCs w:val="22"/>
        </w:rPr>
        <w:t>5</w:t>
      </w:r>
      <w:r w:rsidRPr="00803722">
        <w:rPr>
          <w:rFonts w:ascii="Garamond" w:hAnsi="Garamond"/>
          <w:sz w:val="22"/>
          <w:szCs w:val="22"/>
        </w:rPr>
        <w:t>.</w:t>
      </w:r>
      <w:r>
        <w:rPr>
          <w:rFonts w:ascii="Garamond" w:hAnsi="Garamond"/>
          <w:sz w:val="22"/>
          <w:szCs w:val="22"/>
        </w:rPr>
        <w:t>7</w:t>
      </w:r>
      <w:r w:rsidRPr="00803722">
        <w:rPr>
          <w:rFonts w:ascii="Garamond" w:hAnsi="Garamond"/>
          <w:sz w:val="22"/>
          <w:szCs w:val="22"/>
        </w:rPr>
        <w:t xml:space="preserve"> </w:t>
      </w:r>
      <w:r>
        <w:rPr>
          <w:rFonts w:ascii="Garamond" w:hAnsi="Garamond"/>
          <w:sz w:val="22"/>
          <w:szCs w:val="22"/>
        </w:rPr>
        <w:t>per dollar.</w:t>
      </w:r>
      <w:r>
        <w:rPr>
          <w:rFonts w:ascii="Garamond" w:hAnsi="Garamond"/>
          <w:b/>
          <w:sz w:val="22"/>
          <w:szCs w:val="22"/>
        </w:rPr>
        <w:t xml:space="preserve"> </w:t>
      </w:r>
    </w:p>
    <w:p w14:paraId="5AF3EC18" w14:textId="77777777" w:rsidR="00AE2E46" w:rsidRDefault="000774D3"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I</w:t>
      </w:r>
      <w:r w:rsidR="00660AE6">
        <w:rPr>
          <w:rFonts w:ascii="Garamond" w:hAnsi="Garamond"/>
          <w:sz w:val="22"/>
          <w:szCs w:val="22"/>
        </w:rPr>
        <w:t>n</w:t>
      </w:r>
      <w:r>
        <w:rPr>
          <w:rFonts w:ascii="Garamond" w:hAnsi="Garamond"/>
          <w:sz w:val="22"/>
          <w:szCs w:val="22"/>
        </w:rPr>
        <w:t xml:space="preserve"> the first quarter of 2019, as in the previous quarter, in</w:t>
      </w:r>
      <w:r w:rsidR="00660AE6">
        <w:rPr>
          <w:rFonts w:ascii="Garamond" w:hAnsi="Garamond"/>
          <w:sz w:val="22"/>
          <w:szCs w:val="22"/>
        </w:rPr>
        <w:t xml:space="preserve">ternational copper prices </w:t>
      </w:r>
      <w:r>
        <w:rPr>
          <w:rFonts w:ascii="Garamond" w:hAnsi="Garamond"/>
          <w:sz w:val="22"/>
          <w:szCs w:val="22"/>
        </w:rPr>
        <w:t>recovered to some extent</w:t>
      </w:r>
      <w:r w:rsidR="00C41E88">
        <w:rPr>
          <w:rFonts w:ascii="Garamond" w:hAnsi="Garamond"/>
          <w:sz w:val="22"/>
          <w:szCs w:val="22"/>
        </w:rPr>
        <w:t>,</w:t>
      </w:r>
      <w:r>
        <w:rPr>
          <w:rFonts w:ascii="Garamond" w:hAnsi="Garamond"/>
          <w:sz w:val="22"/>
          <w:szCs w:val="22"/>
        </w:rPr>
        <w:t xml:space="preserve"> </w:t>
      </w:r>
      <w:r w:rsidR="000D230B">
        <w:rPr>
          <w:rFonts w:ascii="Garamond" w:hAnsi="Garamond"/>
          <w:sz w:val="22"/>
          <w:szCs w:val="22"/>
        </w:rPr>
        <w:t xml:space="preserve">however </w:t>
      </w:r>
      <w:r w:rsidRPr="000774D3">
        <w:rPr>
          <w:rFonts w:ascii="Garamond" w:hAnsi="Garamond"/>
          <w:sz w:val="22"/>
          <w:szCs w:val="22"/>
        </w:rPr>
        <w:t xml:space="preserve">the recent wave of </w:t>
      </w:r>
      <w:r>
        <w:rPr>
          <w:rFonts w:ascii="Garamond" w:hAnsi="Garamond"/>
          <w:sz w:val="22"/>
          <w:szCs w:val="22"/>
        </w:rPr>
        <w:t xml:space="preserve">trade </w:t>
      </w:r>
      <w:r w:rsidRPr="000774D3">
        <w:rPr>
          <w:rFonts w:ascii="Garamond" w:hAnsi="Garamond"/>
          <w:sz w:val="22"/>
          <w:szCs w:val="22"/>
        </w:rPr>
        <w:t>wars between the United States and China has direct</w:t>
      </w:r>
      <w:r w:rsidR="000D230B">
        <w:rPr>
          <w:rFonts w:ascii="Garamond" w:hAnsi="Garamond"/>
          <w:sz w:val="22"/>
          <w:szCs w:val="22"/>
        </w:rPr>
        <w:t>ly</w:t>
      </w:r>
      <w:r w:rsidRPr="000774D3">
        <w:rPr>
          <w:rFonts w:ascii="Garamond" w:hAnsi="Garamond"/>
          <w:sz w:val="22"/>
          <w:szCs w:val="22"/>
        </w:rPr>
        <w:t xml:space="preserve"> </w:t>
      </w:r>
      <w:r w:rsidR="000D230B">
        <w:rPr>
          <w:rFonts w:ascii="Garamond" w:hAnsi="Garamond"/>
          <w:sz w:val="22"/>
          <w:szCs w:val="22"/>
        </w:rPr>
        <w:t xml:space="preserve">affected </w:t>
      </w:r>
      <w:r w:rsidRPr="000774D3">
        <w:rPr>
          <w:rFonts w:ascii="Garamond" w:hAnsi="Garamond"/>
          <w:sz w:val="22"/>
          <w:szCs w:val="22"/>
        </w:rPr>
        <w:t>the fall</w:t>
      </w:r>
      <w:r w:rsidR="000D230B">
        <w:rPr>
          <w:rFonts w:ascii="Garamond" w:hAnsi="Garamond"/>
          <w:sz w:val="22"/>
          <w:szCs w:val="22"/>
        </w:rPr>
        <w:t>ing</w:t>
      </w:r>
      <w:r w:rsidRPr="000774D3">
        <w:rPr>
          <w:rFonts w:ascii="Garamond" w:hAnsi="Garamond"/>
          <w:sz w:val="22"/>
          <w:szCs w:val="22"/>
        </w:rPr>
        <w:t xml:space="preserve"> </w:t>
      </w:r>
      <w:r w:rsidR="000D230B">
        <w:rPr>
          <w:rFonts w:ascii="Garamond" w:hAnsi="Garamond"/>
          <w:sz w:val="22"/>
          <w:szCs w:val="22"/>
        </w:rPr>
        <w:t xml:space="preserve">of </w:t>
      </w:r>
      <w:r w:rsidRPr="000774D3">
        <w:rPr>
          <w:rFonts w:ascii="Garamond" w:hAnsi="Garamond"/>
          <w:sz w:val="22"/>
          <w:szCs w:val="22"/>
        </w:rPr>
        <w:t>copper prices and it is expected that the</w:t>
      </w:r>
      <w:r w:rsidR="000D230B">
        <w:rPr>
          <w:rFonts w:ascii="Garamond" w:hAnsi="Garamond"/>
          <w:sz w:val="22"/>
          <w:szCs w:val="22"/>
        </w:rPr>
        <w:t>y will remain</w:t>
      </w:r>
      <w:r w:rsidRPr="000774D3">
        <w:rPr>
          <w:rFonts w:ascii="Garamond" w:hAnsi="Garamond"/>
          <w:sz w:val="22"/>
          <w:szCs w:val="22"/>
        </w:rPr>
        <w:t xml:space="preserve"> low </w:t>
      </w:r>
      <w:r w:rsidR="000D230B">
        <w:rPr>
          <w:rFonts w:ascii="Garamond" w:hAnsi="Garamond"/>
          <w:sz w:val="22"/>
          <w:szCs w:val="22"/>
        </w:rPr>
        <w:t xml:space="preserve">in the short </w:t>
      </w:r>
      <w:r w:rsidRPr="000774D3">
        <w:rPr>
          <w:rFonts w:ascii="Garamond" w:hAnsi="Garamond"/>
          <w:sz w:val="22"/>
          <w:szCs w:val="22"/>
        </w:rPr>
        <w:t>term.</w:t>
      </w:r>
      <w:r w:rsidR="00C41E88">
        <w:rPr>
          <w:rFonts w:ascii="Garamond" w:hAnsi="Garamond"/>
          <w:sz w:val="22"/>
          <w:szCs w:val="22"/>
        </w:rPr>
        <w:t xml:space="preserve"> </w:t>
      </w:r>
      <w:r w:rsidR="000D230B">
        <w:rPr>
          <w:rFonts w:ascii="Garamond" w:hAnsi="Garamond"/>
          <w:sz w:val="22"/>
          <w:szCs w:val="22"/>
        </w:rPr>
        <w:t xml:space="preserve">Demonstrating patterns of volatility, international </w:t>
      </w:r>
      <w:r w:rsidR="00C41E88">
        <w:rPr>
          <w:rFonts w:ascii="Garamond" w:hAnsi="Garamond"/>
          <w:sz w:val="22"/>
          <w:szCs w:val="22"/>
        </w:rPr>
        <w:t xml:space="preserve">oil prices have </w:t>
      </w:r>
      <w:r w:rsidR="000D230B">
        <w:rPr>
          <w:rFonts w:ascii="Garamond" w:hAnsi="Garamond"/>
          <w:sz w:val="22"/>
          <w:szCs w:val="22"/>
        </w:rPr>
        <w:t xml:space="preserve">again </w:t>
      </w:r>
      <w:r w:rsidR="00C41E88">
        <w:rPr>
          <w:rFonts w:ascii="Garamond" w:hAnsi="Garamond"/>
          <w:sz w:val="22"/>
          <w:szCs w:val="22"/>
        </w:rPr>
        <w:t xml:space="preserve">dropped </w:t>
      </w:r>
      <w:r w:rsidR="000D230B">
        <w:rPr>
          <w:rFonts w:ascii="Garamond" w:hAnsi="Garamond"/>
          <w:sz w:val="22"/>
          <w:szCs w:val="22"/>
        </w:rPr>
        <w:t xml:space="preserve">in comparison with the previous quarter. </w:t>
      </w:r>
      <w:r w:rsidR="008C19A6">
        <w:rPr>
          <w:rFonts w:ascii="Garamond" w:hAnsi="Garamond"/>
          <w:sz w:val="22"/>
          <w:szCs w:val="22"/>
        </w:rPr>
        <w:t xml:space="preserve">Notwithstanding </w:t>
      </w:r>
      <w:r w:rsidR="008C19A6" w:rsidRPr="008C19A6">
        <w:rPr>
          <w:rFonts w:ascii="Garamond" w:hAnsi="Garamond"/>
          <w:sz w:val="22"/>
          <w:szCs w:val="22"/>
        </w:rPr>
        <w:t xml:space="preserve">the </w:t>
      </w:r>
      <w:r w:rsidR="00444F2D" w:rsidRPr="008C19A6">
        <w:rPr>
          <w:rFonts w:ascii="Garamond" w:hAnsi="Garamond"/>
          <w:sz w:val="22"/>
          <w:szCs w:val="22"/>
        </w:rPr>
        <w:t xml:space="preserve">US sanctions </w:t>
      </w:r>
      <w:r w:rsidR="00444F2D">
        <w:rPr>
          <w:rFonts w:ascii="Garamond" w:hAnsi="Garamond"/>
          <w:sz w:val="22"/>
          <w:szCs w:val="22"/>
        </w:rPr>
        <w:t>on</w:t>
      </w:r>
      <w:r w:rsidR="00444F2D" w:rsidRPr="008C19A6">
        <w:rPr>
          <w:rFonts w:ascii="Garamond" w:hAnsi="Garamond"/>
          <w:sz w:val="22"/>
          <w:szCs w:val="22"/>
        </w:rPr>
        <w:t xml:space="preserve"> Iran</w:t>
      </w:r>
      <w:r w:rsidR="00444F2D">
        <w:rPr>
          <w:rFonts w:ascii="Garamond" w:hAnsi="Garamond"/>
          <w:sz w:val="22"/>
          <w:szCs w:val="22"/>
        </w:rPr>
        <w:t xml:space="preserve"> and the </w:t>
      </w:r>
      <w:r w:rsidR="008C19A6" w:rsidRPr="008C19A6">
        <w:rPr>
          <w:rFonts w:ascii="Garamond" w:hAnsi="Garamond"/>
          <w:sz w:val="22"/>
          <w:szCs w:val="22"/>
        </w:rPr>
        <w:t xml:space="preserve">decision to </w:t>
      </w:r>
      <w:r w:rsidR="00444F2D">
        <w:rPr>
          <w:rFonts w:ascii="Garamond" w:hAnsi="Garamond"/>
          <w:sz w:val="22"/>
          <w:szCs w:val="22"/>
        </w:rPr>
        <w:t>cut</w:t>
      </w:r>
      <w:r w:rsidR="008C19A6" w:rsidRPr="008C19A6">
        <w:rPr>
          <w:rFonts w:ascii="Garamond" w:hAnsi="Garamond"/>
          <w:sz w:val="22"/>
          <w:szCs w:val="22"/>
        </w:rPr>
        <w:t xml:space="preserve"> </w:t>
      </w:r>
      <w:r w:rsidR="008C19A6">
        <w:rPr>
          <w:rFonts w:ascii="Garamond" w:hAnsi="Garamond"/>
          <w:sz w:val="22"/>
          <w:szCs w:val="22"/>
        </w:rPr>
        <w:t xml:space="preserve">oil </w:t>
      </w:r>
      <w:r w:rsidR="008C19A6" w:rsidRPr="008C19A6">
        <w:rPr>
          <w:rFonts w:ascii="Garamond" w:hAnsi="Garamond"/>
          <w:sz w:val="22"/>
          <w:szCs w:val="22"/>
        </w:rPr>
        <w:t xml:space="preserve">production </w:t>
      </w:r>
      <w:r w:rsidR="008C19A6">
        <w:rPr>
          <w:rFonts w:ascii="Garamond" w:hAnsi="Garamond"/>
          <w:sz w:val="22"/>
          <w:szCs w:val="22"/>
        </w:rPr>
        <w:t xml:space="preserve">under </w:t>
      </w:r>
      <w:r w:rsidR="008C19A6" w:rsidRPr="008C19A6">
        <w:rPr>
          <w:rFonts w:ascii="Garamond" w:hAnsi="Garamond"/>
          <w:sz w:val="22"/>
          <w:szCs w:val="22"/>
        </w:rPr>
        <w:t>the OPEC</w:t>
      </w:r>
      <w:r w:rsidR="008C19A6">
        <w:rPr>
          <w:rFonts w:ascii="Garamond" w:hAnsi="Garamond"/>
          <w:sz w:val="22"/>
          <w:szCs w:val="22"/>
        </w:rPr>
        <w:t>+</w:t>
      </w:r>
      <w:r w:rsidR="008C19A6" w:rsidRPr="008C19A6">
        <w:rPr>
          <w:rFonts w:ascii="Garamond" w:hAnsi="Garamond"/>
          <w:sz w:val="22"/>
          <w:szCs w:val="22"/>
        </w:rPr>
        <w:t xml:space="preserve"> </w:t>
      </w:r>
      <w:r w:rsidR="00AE2E46">
        <w:rPr>
          <w:rFonts w:ascii="Garamond" w:hAnsi="Garamond"/>
          <w:sz w:val="22"/>
          <w:szCs w:val="22"/>
        </w:rPr>
        <w:t>D</w:t>
      </w:r>
      <w:r w:rsidR="008C19A6">
        <w:rPr>
          <w:rFonts w:ascii="Garamond" w:hAnsi="Garamond"/>
          <w:sz w:val="22"/>
          <w:szCs w:val="22"/>
        </w:rPr>
        <w:t xml:space="preserve">eal, </w:t>
      </w:r>
      <w:r w:rsidR="008C19A6" w:rsidRPr="008C19A6">
        <w:rPr>
          <w:rFonts w:ascii="Garamond" w:hAnsi="Garamond"/>
          <w:sz w:val="22"/>
          <w:szCs w:val="22"/>
        </w:rPr>
        <w:t xml:space="preserve">international oil prices </w:t>
      </w:r>
      <w:r w:rsidR="000D230B">
        <w:rPr>
          <w:rFonts w:ascii="Garamond" w:hAnsi="Garamond"/>
          <w:sz w:val="22"/>
          <w:szCs w:val="22"/>
        </w:rPr>
        <w:t xml:space="preserve">decreased </w:t>
      </w:r>
      <w:r w:rsidR="00444F2D">
        <w:rPr>
          <w:rFonts w:ascii="Garamond" w:hAnsi="Garamond"/>
          <w:sz w:val="22"/>
          <w:szCs w:val="22"/>
        </w:rPr>
        <w:t>d</w:t>
      </w:r>
      <w:r w:rsidR="00AE2E46">
        <w:rPr>
          <w:rFonts w:ascii="Garamond" w:hAnsi="Garamond"/>
          <w:sz w:val="22"/>
          <w:szCs w:val="22"/>
        </w:rPr>
        <w:t>uring</w:t>
      </w:r>
      <w:r w:rsidR="008C19A6" w:rsidRPr="008C19A6">
        <w:rPr>
          <w:rFonts w:ascii="Garamond" w:hAnsi="Garamond"/>
          <w:sz w:val="22"/>
          <w:szCs w:val="22"/>
        </w:rPr>
        <w:t xml:space="preserve"> the </w:t>
      </w:r>
      <w:r w:rsidR="000D230B">
        <w:rPr>
          <w:rFonts w:ascii="Garamond" w:hAnsi="Garamond"/>
          <w:sz w:val="22"/>
          <w:szCs w:val="22"/>
        </w:rPr>
        <w:t>first</w:t>
      </w:r>
      <w:r w:rsidR="008C19A6" w:rsidRPr="008C19A6">
        <w:rPr>
          <w:rFonts w:ascii="Garamond" w:hAnsi="Garamond"/>
          <w:sz w:val="22"/>
          <w:szCs w:val="22"/>
        </w:rPr>
        <w:t xml:space="preserve"> quarter</w:t>
      </w:r>
      <w:r w:rsidR="008C19A6">
        <w:rPr>
          <w:rFonts w:ascii="Garamond" w:hAnsi="Garamond"/>
          <w:sz w:val="22"/>
          <w:szCs w:val="22"/>
        </w:rPr>
        <w:t xml:space="preserve"> of 201</w:t>
      </w:r>
      <w:r w:rsidR="000D230B">
        <w:rPr>
          <w:rFonts w:ascii="Garamond" w:hAnsi="Garamond"/>
          <w:sz w:val="22"/>
          <w:szCs w:val="22"/>
        </w:rPr>
        <w:t xml:space="preserve">9 in expectation that the demand would shrink amid trade wars </w:t>
      </w:r>
      <w:r w:rsidR="000D230B" w:rsidRPr="000774D3">
        <w:rPr>
          <w:rFonts w:ascii="Garamond" w:hAnsi="Garamond"/>
          <w:sz w:val="22"/>
          <w:szCs w:val="22"/>
        </w:rPr>
        <w:t>between the U</w:t>
      </w:r>
      <w:r w:rsidR="000D230B">
        <w:rPr>
          <w:rFonts w:ascii="Garamond" w:hAnsi="Garamond"/>
          <w:sz w:val="22"/>
          <w:szCs w:val="22"/>
        </w:rPr>
        <w:t xml:space="preserve">SA </w:t>
      </w:r>
      <w:r w:rsidR="000D230B" w:rsidRPr="000774D3">
        <w:rPr>
          <w:rFonts w:ascii="Garamond" w:hAnsi="Garamond"/>
          <w:sz w:val="22"/>
          <w:szCs w:val="22"/>
        </w:rPr>
        <w:t>and China</w:t>
      </w:r>
      <w:r w:rsidR="000D230B">
        <w:rPr>
          <w:rFonts w:ascii="Garamond" w:hAnsi="Garamond"/>
          <w:sz w:val="22"/>
          <w:szCs w:val="22"/>
        </w:rPr>
        <w:t>.</w:t>
      </w:r>
      <w:r w:rsidR="00CB1C7F" w:rsidRPr="00CB1C7F">
        <w:t xml:space="preserve"> </w:t>
      </w:r>
      <w:r w:rsidR="00CB1C7F" w:rsidRPr="00CB1C7F">
        <w:rPr>
          <w:rFonts w:ascii="Garamond" w:hAnsi="Garamond"/>
          <w:sz w:val="22"/>
          <w:szCs w:val="22"/>
        </w:rPr>
        <w:t xml:space="preserve">The increase in oil prices in April, which was due to US sanctions on oil extracted by Venezuela and Iran, ceased in May and began to decline </w:t>
      </w:r>
      <w:r w:rsidR="00CB1C7F">
        <w:rPr>
          <w:rFonts w:ascii="Garamond" w:hAnsi="Garamond"/>
          <w:sz w:val="22"/>
          <w:szCs w:val="22"/>
        </w:rPr>
        <w:t xml:space="preserve">owing to </w:t>
      </w:r>
      <w:r w:rsidR="00CB1C7F" w:rsidRPr="00CB1C7F">
        <w:rPr>
          <w:rFonts w:ascii="Garamond" w:hAnsi="Garamond"/>
          <w:sz w:val="22"/>
          <w:szCs w:val="22"/>
        </w:rPr>
        <w:t xml:space="preserve">the historically high </w:t>
      </w:r>
      <w:r w:rsidR="00CB1C7F">
        <w:rPr>
          <w:rFonts w:ascii="Garamond" w:hAnsi="Garamond"/>
          <w:sz w:val="22"/>
          <w:szCs w:val="22"/>
        </w:rPr>
        <w:t xml:space="preserve">figure of </w:t>
      </w:r>
      <w:r w:rsidR="00CB1C7F" w:rsidRPr="00CB1C7F">
        <w:rPr>
          <w:rFonts w:ascii="Garamond" w:hAnsi="Garamond"/>
          <w:sz w:val="22"/>
          <w:szCs w:val="22"/>
        </w:rPr>
        <w:t xml:space="preserve">oil </w:t>
      </w:r>
      <w:r w:rsidR="00CB1C7F">
        <w:rPr>
          <w:rFonts w:ascii="Garamond" w:hAnsi="Garamond"/>
          <w:sz w:val="22"/>
          <w:szCs w:val="22"/>
        </w:rPr>
        <w:t xml:space="preserve">inventories in </w:t>
      </w:r>
      <w:r w:rsidR="00CB1C7F" w:rsidRPr="00CB1C7F">
        <w:rPr>
          <w:rFonts w:ascii="Garamond" w:hAnsi="Garamond"/>
          <w:sz w:val="22"/>
          <w:szCs w:val="22"/>
        </w:rPr>
        <w:t xml:space="preserve">the United States. However, international oil prices are </w:t>
      </w:r>
      <w:r w:rsidR="00CB1C7F">
        <w:rPr>
          <w:rFonts w:ascii="Garamond" w:hAnsi="Garamond"/>
          <w:sz w:val="22"/>
          <w:szCs w:val="22"/>
        </w:rPr>
        <w:t xml:space="preserve">predicted </w:t>
      </w:r>
      <w:r w:rsidR="00CB1C7F" w:rsidRPr="00CB1C7F">
        <w:rPr>
          <w:rFonts w:ascii="Garamond" w:hAnsi="Garamond"/>
          <w:sz w:val="22"/>
          <w:szCs w:val="22"/>
        </w:rPr>
        <w:t xml:space="preserve">to </w:t>
      </w:r>
      <w:r w:rsidR="00CB1C7F">
        <w:rPr>
          <w:rFonts w:ascii="Garamond" w:hAnsi="Garamond"/>
          <w:sz w:val="22"/>
          <w:szCs w:val="22"/>
        </w:rPr>
        <w:t>recover in the short term.</w:t>
      </w:r>
    </w:p>
    <w:p w14:paraId="5AB53DD8" w14:textId="77777777" w:rsidR="00EE619D" w:rsidRPr="00EE5F0F" w:rsidRDefault="002F643B" w:rsidP="00E3294E">
      <w:pPr>
        <w:autoSpaceDE w:val="0"/>
        <w:autoSpaceDN w:val="0"/>
        <w:adjustRightInd w:val="0"/>
        <w:spacing w:after="120" w:line="360" w:lineRule="auto"/>
        <w:jc w:val="both"/>
        <w:rPr>
          <w:rFonts w:ascii="Garamond" w:hAnsi="Garamond"/>
          <w:b/>
          <w:color w:val="0070C0"/>
          <w:sz w:val="22"/>
          <w:szCs w:val="22"/>
        </w:rPr>
      </w:pPr>
      <w:r w:rsidRPr="002F643B">
        <w:rPr>
          <w:rFonts w:ascii="Garamond" w:hAnsi="Garamond"/>
          <w:sz w:val="22"/>
          <w:szCs w:val="22"/>
        </w:rPr>
        <w:t>In food product</w:t>
      </w:r>
      <w:r w:rsidR="00FE5DCF">
        <w:rPr>
          <w:rFonts w:ascii="Garamond" w:hAnsi="Garamond"/>
          <w:sz w:val="22"/>
          <w:szCs w:val="22"/>
        </w:rPr>
        <w:t xml:space="preserve"> market</w:t>
      </w:r>
      <w:r w:rsidRPr="002F643B">
        <w:rPr>
          <w:rFonts w:ascii="Garamond" w:hAnsi="Garamond"/>
          <w:sz w:val="22"/>
          <w:szCs w:val="22"/>
        </w:rPr>
        <w:t xml:space="preserve">s in the </w:t>
      </w:r>
      <w:r w:rsidR="00CB1C7F">
        <w:rPr>
          <w:rFonts w:ascii="Garamond" w:hAnsi="Garamond"/>
          <w:sz w:val="22"/>
          <w:szCs w:val="22"/>
        </w:rPr>
        <w:t>first</w:t>
      </w:r>
      <w:r w:rsidRPr="002F643B">
        <w:rPr>
          <w:rFonts w:ascii="Garamond" w:hAnsi="Garamond"/>
          <w:sz w:val="22"/>
          <w:szCs w:val="22"/>
        </w:rPr>
        <w:t xml:space="preserve"> quarter</w:t>
      </w:r>
      <w:r>
        <w:rPr>
          <w:rFonts w:ascii="Garamond" w:hAnsi="Garamond"/>
          <w:sz w:val="22"/>
          <w:szCs w:val="22"/>
        </w:rPr>
        <w:t xml:space="preserve"> of 201</w:t>
      </w:r>
      <w:r w:rsidR="00CB1C7F">
        <w:rPr>
          <w:rFonts w:ascii="Garamond" w:hAnsi="Garamond"/>
          <w:sz w:val="22"/>
          <w:szCs w:val="22"/>
        </w:rPr>
        <w:t>9</w:t>
      </w:r>
      <w:r>
        <w:rPr>
          <w:rFonts w:ascii="Garamond" w:hAnsi="Garamond"/>
          <w:sz w:val="22"/>
          <w:szCs w:val="22"/>
        </w:rPr>
        <w:t xml:space="preserve">, </w:t>
      </w:r>
      <w:r w:rsidRPr="002F643B">
        <w:rPr>
          <w:rFonts w:ascii="Garamond" w:hAnsi="Garamond"/>
          <w:sz w:val="22"/>
          <w:szCs w:val="22"/>
        </w:rPr>
        <w:t>all commodity groups</w:t>
      </w:r>
      <w:r w:rsidR="00E74CCE">
        <w:rPr>
          <w:rFonts w:ascii="Garamond" w:hAnsi="Garamond"/>
          <w:sz w:val="22"/>
          <w:szCs w:val="22"/>
        </w:rPr>
        <w:t xml:space="preserve">, except </w:t>
      </w:r>
      <w:r w:rsidR="00CB1C7F">
        <w:rPr>
          <w:rFonts w:ascii="Garamond" w:hAnsi="Garamond"/>
          <w:sz w:val="22"/>
          <w:szCs w:val="22"/>
        </w:rPr>
        <w:t>wheat</w:t>
      </w:r>
      <w:r w:rsidR="00E74CCE">
        <w:rPr>
          <w:rFonts w:ascii="Garamond" w:hAnsi="Garamond"/>
          <w:sz w:val="22"/>
          <w:szCs w:val="22"/>
        </w:rPr>
        <w:t>,</w:t>
      </w:r>
      <w:r w:rsidR="00CB1C7F">
        <w:rPr>
          <w:rFonts w:ascii="Garamond" w:hAnsi="Garamond"/>
          <w:sz w:val="22"/>
          <w:szCs w:val="22"/>
        </w:rPr>
        <w:t xml:space="preserve"> </w:t>
      </w:r>
      <w:r w:rsidR="00580F5C">
        <w:rPr>
          <w:rFonts w:ascii="Garamond" w:hAnsi="Garamond"/>
          <w:sz w:val="22"/>
          <w:szCs w:val="22"/>
        </w:rPr>
        <w:t xml:space="preserve">posted a </w:t>
      </w:r>
      <w:r w:rsidR="00CB1C7F">
        <w:rPr>
          <w:rFonts w:ascii="Garamond" w:hAnsi="Garamond"/>
          <w:sz w:val="22"/>
          <w:szCs w:val="22"/>
        </w:rPr>
        <w:t xml:space="preserve">certain </w:t>
      </w:r>
      <w:r w:rsidR="00580F5C">
        <w:rPr>
          <w:rFonts w:ascii="Garamond" w:hAnsi="Garamond"/>
          <w:sz w:val="22"/>
          <w:szCs w:val="22"/>
        </w:rPr>
        <w:t xml:space="preserve">price </w:t>
      </w:r>
      <w:r w:rsidR="00CB1C7F">
        <w:rPr>
          <w:rFonts w:ascii="Garamond" w:hAnsi="Garamond"/>
          <w:sz w:val="22"/>
          <w:szCs w:val="22"/>
        </w:rPr>
        <w:t>rise i</w:t>
      </w:r>
      <w:r>
        <w:rPr>
          <w:rFonts w:ascii="Garamond" w:hAnsi="Garamond"/>
          <w:sz w:val="22"/>
          <w:szCs w:val="22"/>
        </w:rPr>
        <w:t xml:space="preserve">n relation to the previous quarter. </w:t>
      </w:r>
      <w:r w:rsidR="00C57674">
        <w:rPr>
          <w:rFonts w:ascii="Garamond" w:hAnsi="Garamond"/>
          <w:sz w:val="22"/>
          <w:szCs w:val="22"/>
        </w:rPr>
        <w:t>Specifically</w:t>
      </w:r>
      <w:r w:rsidR="00EE619D" w:rsidRPr="00EE5F0F">
        <w:rPr>
          <w:rFonts w:ascii="Garamond" w:hAnsi="Garamond"/>
          <w:sz w:val="22"/>
          <w:szCs w:val="22"/>
        </w:rPr>
        <w:t xml:space="preserve">, </w:t>
      </w:r>
      <w:r w:rsidR="009265A7">
        <w:rPr>
          <w:rFonts w:ascii="Garamond" w:hAnsi="Garamond"/>
          <w:sz w:val="22"/>
          <w:szCs w:val="22"/>
        </w:rPr>
        <w:t xml:space="preserve">the </w:t>
      </w:r>
      <w:r w:rsidRPr="00EE5F0F">
        <w:rPr>
          <w:rFonts w:ascii="Garamond" w:hAnsi="Garamond"/>
          <w:sz w:val="22"/>
          <w:szCs w:val="22"/>
        </w:rPr>
        <w:t>dairy</w:t>
      </w:r>
      <w:r w:rsidR="00FF4531">
        <w:rPr>
          <w:rFonts w:ascii="Garamond" w:hAnsi="Garamond"/>
          <w:sz w:val="22"/>
          <w:szCs w:val="22"/>
        </w:rPr>
        <w:t xml:space="preserve"> </w:t>
      </w:r>
      <w:r w:rsidR="004F4B84">
        <w:rPr>
          <w:rFonts w:ascii="Garamond" w:hAnsi="Garamond"/>
          <w:sz w:val="22"/>
          <w:szCs w:val="22"/>
        </w:rPr>
        <w:t>and</w:t>
      </w:r>
      <w:r w:rsidRPr="00EE5F0F">
        <w:rPr>
          <w:rFonts w:ascii="Garamond" w:hAnsi="Garamond"/>
          <w:sz w:val="22"/>
          <w:szCs w:val="22"/>
        </w:rPr>
        <w:t xml:space="preserve"> </w:t>
      </w:r>
      <w:r w:rsidR="00CB1C7F">
        <w:rPr>
          <w:rFonts w:ascii="Garamond" w:hAnsi="Garamond"/>
          <w:sz w:val="22"/>
          <w:szCs w:val="22"/>
        </w:rPr>
        <w:t xml:space="preserve">meat product prices have grown mainly </w:t>
      </w:r>
      <w:r w:rsidR="00CB1C7F" w:rsidRPr="004F4B84">
        <w:rPr>
          <w:rFonts w:ascii="Garamond" w:hAnsi="Garamond"/>
          <w:sz w:val="22"/>
          <w:szCs w:val="22"/>
        </w:rPr>
        <w:t xml:space="preserve">due to </w:t>
      </w:r>
      <w:r w:rsidR="00CB1C7F">
        <w:rPr>
          <w:rFonts w:ascii="Garamond" w:hAnsi="Garamond"/>
          <w:sz w:val="22"/>
          <w:szCs w:val="22"/>
        </w:rPr>
        <w:t xml:space="preserve">a limited supply </w:t>
      </w:r>
      <w:r w:rsidR="00CB1C7F" w:rsidRPr="004F4B84">
        <w:rPr>
          <w:rFonts w:ascii="Garamond" w:hAnsi="Garamond"/>
          <w:sz w:val="22"/>
          <w:szCs w:val="22"/>
        </w:rPr>
        <w:t>volumes</w:t>
      </w:r>
      <w:r w:rsidR="00CB1C7F">
        <w:rPr>
          <w:rFonts w:ascii="Garamond" w:hAnsi="Garamond"/>
          <w:sz w:val="22"/>
          <w:szCs w:val="22"/>
        </w:rPr>
        <w:t xml:space="preserve">. Although the rise in sugar prices has been driven by appreciated currency of Brazil, a principal sugar exporter, the </w:t>
      </w:r>
      <w:r w:rsidR="00CB1C7F" w:rsidRPr="00CB1C7F">
        <w:rPr>
          <w:rFonts w:ascii="Garamond" w:hAnsi="Garamond"/>
          <w:sz w:val="22"/>
          <w:szCs w:val="22"/>
        </w:rPr>
        <w:t>growth ha</w:t>
      </w:r>
      <w:r w:rsidR="00CB1C7F">
        <w:rPr>
          <w:rFonts w:ascii="Garamond" w:hAnsi="Garamond"/>
          <w:sz w:val="22"/>
          <w:szCs w:val="22"/>
        </w:rPr>
        <w:t xml:space="preserve">lted in April </w:t>
      </w:r>
      <w:r w:rsidR="00E36554">
        <w:rPr>
          <w:rFonts w:ascii="Garamond" w:hAnsi="Garamond"/>
          <w:sz w:val="22"/>
          <w:szCs w:val="22"/>
        </w:rPr>
        <w:t xml:space="preserve">in the light of </w:t>
      </w:r>
      <w:r w:rsidR="00CB1C7F" w:rsidRPr="00CB1C7F">
        <w:rPr>
          <w:rFonts w:ascii="Garamond" w:hAnsi="Garamond"/>
          <w:sz w:val="22"/>
          <w:szCs w:val="22"/>
        </w:rPr>
        <w:t>expectations of abundant harvest.</w:t>
      </w:r>
      <w:r w:rsidR="00E36554">
        <w:rPr>
          <w:rFonts w:ascii="Garamond" w:hAnsi="Garamond"/>
          <w:sz w:val="22"/>
          <w:szCs w:val="22"/>
        </w:rPr>
        <w:t xml:space="preserve"> </w:t>
      </w:r>
      <w:r w:rsidR="005B1FE5" w:rsidRPr="005B1FE5">
        <w:rPr>
          <w:rFonts w:ascii="Garamond" w:hAnsi="Garamond"/>
          <w:sz w:val="22"/>
          <w:szCs w:val="22"/>
        </w:rPr>
        <w:t xml:space="preserve">In </w:t>
      </w:r>
      <w:r w:rsidR="005B1FE5">
        <w:rPr>
          <w:rFonts w:ascii="Garamond" w:hAnsi="Garamond"/>
          <w:sz w:val="22"/>
          <w:szCs w:val="22"/>
        </w:rPr>
        <w:t>a</w:t>
      </w:r>
      <w:r w:rsidR="005B1FE5" w:rsidRPr="005B1FE5">
        <w:rPr>
          <w:rFonts w:ascii="Garamond" w:hAnsi="Garamond"/>
          <w:sz w:val="22"/>
          <w:szCs w:val="22"/>
        </w:rPr>
        <w:t xml:space="preserve"> short-term</w:t>
      </w:r>
      <w:r w:rsidR="005B1FE5">
        <w:rPr>
          <w:rFonts w:ascii="Garamond" w:hAnsi="Garamond"/>
          <w:sz w:val="22"/>
          <w:szCs w:val="22"/>
        </w:rPr>
        <w:t xml:space="preserve"> perspective</w:t>
      </w:r>
      <w:r w:rsidR="005B1FE5" w:rsidRPr="005B1FE5">
        <w:rPr>
          <w:rFonts w:ascii="Garamond" w:hAnsi="Garamond"/>
          <w:sz w:val="22"/>
          <w:szCs w:val="22"/>
        </w:rPr>
        <w:t xml:space="preserve">, </w:t>
      </w:r>
      <w:r w:rsidR="00832E2C">
        <w:rPr>
          <w:rFonts w:ascii="Garamond" w:hAnsi="Garamond"/>
          <w:sz w:val="22"/>
          <w:szCs w:val="22"/>
        </w:rPr>
        <w:t xml:space="preserve">weak </w:t>
      </w:r>
      <w:r w:rsidR="005B1FE5" w:rsidRPr="005B1FE5">
        <w:rPr>
          <w:rFonts w:ascii="Garamond" w:hAnsi="Garamond"/>
          <w:sz w:val="22"/>
          <w:szCs w:val="22"/>
        </w:rPr>
        <w:t>inflation</w:t>
      </w:r>
      <w:r w:rsidR="00832E2C">
        <w:rPr>
          <w:rFonts w:ascii="Garamond" w:hAnsi="Garamond"/>
          <w:sz w:val="22"/>
          <w:szCs w:val="22"/>
        </w:rPr>
        <w:t xml:space="preserve">ary </w:t>
      </w:r>
      <w:r w:rsidR="005B1FE5" w:rsidRPr="005B1FE5">
        <w:rPr>
          <w:rFonts w:ascii="Garamond" w:hAnsi="Garamond"/>
          <w:sz w:val="22"/>
          <w:szCs w:val="22"/>
        </w:rPr>
        <w:t xml:space="preserve">environment </w:t>
      </w:r>
      <w:r w:rsidR="005B1FE5">
        <w:rPr>
          <w:rFonts w:ascii="Garamond" w:hAnsi="Garamond"/>
          <w:sz w:val="22"/>
          <w:szCs w:val="22"/>
        </w:rPr>
        <w:t xml:space="preserve">will persist in </w:t>
      </w:r>
      <w:r w:rsidR="005B1FE5" w:rsidRPr="005B1FE5">
        <w:rPr>
          <w:rFonts w:ascii="Garamond" w:hAnsi="Garamond"/>
          <w:sz w:val="22"/>
          <w:szCs w:val="22"/>
        </w:rPr>
        <w:t>food commodity groups,</w:t>
      </w:r>
      <w:r w:rsidR="00E36554">
        <w:rPr>
          <w:rFonts w:ascii="Garamond" w:hAnsi="Garamond"/>
          <w:sz w:val="22"/>
          <w:szCs w:val="22"/>
        </w:rPr>
        <w:t xml:space="preserve"> the </w:t>
      </w:r>
      <w:r w:rsidR="005B1FE5" w:rsidRPr="005B1FE5">
        <w:rPr>
          <w:rFonts w:ascii="Garamond" w:hAnsi="Garamond"/>
          <w:sz w:val="22"/>
          <w:szCs w:val="22"/>
        </w:rPr>
        <w:t>dairy products</w:t>
      </w:r>
      <w:r w:rsidR="00E36554">
        <w:rPr>
          <w:rFonts w:ascii="Garamond" w:hAnsi="Garamond"/>
          <w:sz w:val="22"/>
          <w:szCs w:val="22"/>
        </w:rPr>
        <w:t xml:space="preserve"> in particular.</w:t>
      </w:r>
      <w:r w:rsidR="00C7198F">
        <w:rPr>
          <w:rFonts w:ascii="Garamond" w:hAnsi="Garamond"/>
          <w:sz w:val="22"/>
          <w:szCs w:val="22"/>
        </w:rPr>
        <w:t xml:space="preserve"> </w:t>
      </w:r>
    </w:p>
    <w:p w14:paraId="76125B3C" w14:textId="77777777" w:rsidR="00276564" w:rsidRPr="00EE5F0F" w:rsidRDefault="00276564" w:rsidP="00EE619D">
      <w:pPr>
        <w:autoSpaceDE w:val="0"/>
        <w:autoSpaceDN w:val="0"/>
        <w:adjustRightInd w:val="0"/>
        <w:spacing w:after="120" w:line="360" w:lineRule="auto"/>
        <w:jc w:val="both"/>
        <w:rPr>
          <w:rFonts w:ascii="Garamond" w:hAnsi="Garamond"/>
          <w:b/>
          <w:bCs/>
          <w:iCs/>
          <w:color w:val="0070C0"/>
          <w:sz w:val="22"/>
          <w:szCs w:val="22"/>
        </w:rPr>
      </w:pPr>
    </w:p>
    <w:p w14:paraId="39430FD9" w14:textId="77777777" w:rsidR="00EE619D" w:rsidRPr="00EE5F0F"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b/>
          <w:bCs/>
          <w:iCs/>
          <w:color w:val="0070C0"/>
          <w:sz w:val="22"/>
          <w:szCs w:val="22"/>
        </w:rPr>
        <w:t>2.2. Forecasts</w:t>
      </w:r>
      <w:r w:rsidRPr="00EE5F0F">
        <w:rPr>
          <w:rFonts w:ascii="Garamond" w:hAnsi="Garamond"/>
          <w:sz w:val="22"/>
          <w:szCs w:val="22"/>
        </w:rPr>
        <w:t xml:space="preserve"> </w:t>
      </w:r>
    </w:p>
    <w:p w14:paraId="5CC3C5D5" w14:textId="77777777" w:rsidR="00EE619D" w:rsidRPr="00EE5F0F"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b/>
          <w:bCs/>
          <w:iCs/>
          <w:color w:val="0070C0"/>
          <w:sz w:val="22"/>
          <w:szCs w:val="22"/>
        </w:rPr>
        <w:t>2.2.1. Inflation and monetary policy</w:t>
      </w:r>
      <w:r w:rsidRPr="00EE5F0F">
        <w:rPr>
          <w:rFonts w:ascii="Garamond" w:hAnsi="Garamond"/>
          <w:sz w:val="22"/>
          <w:szCs w:val="22"/>
        </w:rPr>
        <w:t xml:space="preserve"> </w:t>
      </w:r>
    </w:p>
    <w:p w14:paraId="5D895997" w14:textId="77777777" w:rsidR="000E1DC6" w:rsidRPr="00EE5F0F" w:rsidRDefault="00B70C8E" w:rsidP="001803FC">
      <w:pPr>
        <w:autoSpaceDE w:val="0"/>
        <w:autoSpaceDN w:val="0"/>
        <w:adjustRightInd w:val="0"/>
        <w:spacing w:after="120" w:line="360" w:lineRule="auto"/>
        <w:jc w:val="both"/>
        <w:rPr>
          <w:rFonts w:ascii="Garamond" w:hAnsi="Garamond"/>
          <w:sz w:val="22"/>
          <w:szCs w:val="22"/>
        </w:rPr>
      </w:pPr>
      <w:r>
        <w:rPr>
          <w:rFonts w:ascii="Garamond" w:hAnsi="Garamond"/>
          <w:b/>
          <w:sz w:val="22"/>
          <w:szCs w:val="22"/>
        </w:rPr>
        <w:t xml:space="preserve">In the </w:t>
      </w:r>
      <w:r w:rsidR="00E36554">
        <w:rPr>
          <w:rFonts w:ascii="Garamond" w:hAnsi="Garamond"/>
          <w:b/>
          <w:sz w:val="22"/>
          <w:szCs w:val="22"/>
        </w:rPr>
        <w:t xml:space="preserve">current </w:t>
      </w:r>
      <w:r>
        <w:rPr>
          <w:rFonts w:ascii="Garamond" w:hAnsi="Garamond"/>
          <w:b/>
          <w:sz w:val="22"/>
          <w:szCs w:val="22"/>
        </w:rPr>
        <w:t xml:space="preserve">quarter </w:t>
      </w:r>
      <w:r w:rsidR="00E36554">
        <w:rPr>
          <w:rFonts w:ascii="Garamond" w:hAnsi="Garamond"/>
          <w:b/>
          <w:sz w:val="22"/>
          <w:szCs w:val="22"/>
        </w:rPr>
        <w:t>t</w:t>
      </w:r>
      <w:r w:rsidR="00832E2C">
        <w:rPr>
          <w:rFonts w:ascii="Garamond" w:hAnsi="Garamond"/>
          <w:b/>
          <w:sz w:val="22"/>
          <w:szCs w:val="22"/>
        </w:rPr>
        <w:t>he inflation persist</w:t>
      </w:r>
      <w:r w:rsidR="003B4CC9">
        <w:rPr>
          <w:rFonts w:ascii="Garamond" w:hAnsi="Garamond"/>
          <w:b/>
          <w:sz w:val="22"/>
          <w:szCs w:val="22"/>
        </w:rPr>
        <w:t>s</w:t>
      </w:r>
      <w:r w:rsidR="00832E2C">
        <w:rPr>
          <w:rFonts w:ascii="Garamond" w:hAnsi="Garamond"/>
          <w:b/>
          <w:sz w:val="22"/>
          <w:szCs w:val="22"/>
        </w:rPr>
        <w:t xml:space="preserve"> at a relatively low level</w:t>
      </w:r>
      <w:r w:rsidR="00E36554">
        <w:rPr>
          <w:rFonts w:ascii="Garamond" w:hAnsi="Garamond"/>
          <w:b/>
          <w:sz w:val="22"/>
          <w:szCs w:val="22"/>
        </w:rPr>
        <w:t>. The Central Bank</w:t>
      </w:r>
      <w:r w:rsidR="00832E2C" w:rsidRPr="00832E2C">
        <w:rPr>
          <w:rFonts w:ascii="Garamond" w:hAnsi="Garamond"/>
          <w:b/>
          <w:sz w:val="22"/>
          <w:szCs w:val="22"/>
        </w:rPr>
        <w:t xml:space="preserve"> </w:t>
      </w:r>
      <w:r w:rsidR="00E36554">
        <w:rPr>
          <w:rFonts w:ascii="Garamond" w:hAnsi="Garamond"/>
          <w:b/>
          <w:sz w:val="22"/>
          <w:szCs w:val="22"/>
        </w:rPr>
        <w:t xml:space="preserve">estimates that </w:t>
      </w:r>
      <w:r w:rsidR="00E36554" w:rsidRPr="006603F1">
        <w:rPr>
          <w:rFonts w:ascii="Garamond" w:hAnsi="Garamond"/>
          <w:b/>
          <w:sz w:val="22"/>
          <w:szCs w:val="22"/>
        </w:rPr>
        <w:t xml:space="preserve">the </w:t>
      </w:r>
      <w:r w:rsidR="00E36554">
        <w:rPr>
          <w:rFonts w:ascii="Garamond" w:hAnsi="Garamond"/>
          <w:b/>
          <w:sz w:val="22"/>
          <w:szCs w:val="22"/>
        </w:rPr>
        <w:t>monetary conditions are rather expansionary now and in the upcoming period may lend to a sustained recovery of demand amid</w:t>
      </w:r>
      <w:r w:rsidR="00E36554" w:rsidRPr="006603F1">
        <w:rPr>
          <w:rFonts w:ascii="Garamond" w:hAnsi="Garamond"/>
          <w:b/>
          <w:sz w:val="22"/>
          <w:szCs w:val="22"/>
        </w:rPr>
        <w:t xml:space="preserve"> </w:t>
      </w:r>
      <w:r w:rsidR="00E36554">
        <w:rPr>
          <w:rFonts w:ascii="Garamond" w:hAnsi="Garamond"/>
          <w:b/>
          <w:sz w:val="22"/>
          <w:szCs w:val="22"/>
        </w:rPr>
        <w:t xml:space="preserve">anticipated </w:t>
      </w:r>
      <w:r w:rsidR="00E36554" w:rsidRPr="006603F1">
        <w:rPr>
          <w:rFonts w:ascii="Garamond" w:hAnsi="Garamond"/>
          <w:b/>
          <w:sz w:val="22"/>
          <w:szCs w:val="22"/>
        </w:rPr>
        <w:t>devel</w:t>
      </w:r>
      <w:r w:rsidR="00E36554">
        <w:rPr>
          <w:rFonts w:ascii="Garamond" w:hAnsi="Garamond"/>
          <w:b/>
          <w:sz w:val="22"/>
          <w:szCs w:val="22"/>
        </w:rPr>
        <w:t>opments in the external sector. The inflation</w:t>
      </w:r>
      <w:r w:rsidR="001803FC">
        <w:rPr>
          <w:rFonts w:ascii="Garamond" w:hAnsi="Garamond"/>
          <w:b/>
          <w:sz w:val="22"/>
          <w:szCs w:val="22"/>
        </w:rPr>
        <w:t xml:space="preserve"> which will s</w:t>
      </w:r>
      <w:r w:rsidR="00E36554">
        <w:rPr>
          <w:rFonts w:ascii="Garamond" w:hAnsi="Garamond"/>
          <w:b/>
          <w:sz w:val="22"/>
          <w:szCs w:val="22"/>
        </w:rPr>
        <w:t xml:space="preserve">till </w:t>
      </w:r>
      <w:r w:rsidR="001803FC">
        <w:rPr>
          <w:rFonts w:ascii="Garamond" w:hAnsi="Garamond"/>
          <w:b/>
          <w:sz w:val="22"/>
          <w:szCs w:val="22"/>
        </w:rPr>
        <w:t xml:space="preserve">be </w:t>
      </w:r>
      <w:r w:rsidR="00E36554">
        <w:rPr>
          <w:rFonts w:ascii="Garamond" w:hAnsi="Garamond"/>
          <w:b/>
          <w:sz w:val="22"/>
          <w:szCs w:val="22"/>
        </w:rPr>
        <w:t xml:space="preserve">running below its target </w:t>
      </w:r>
      <w:r w:rsidR="001803FC">
        <w:rPr>
          <w:rFonts w:ascii="Garamond" w:hAnsi="Garamond"/>
          <w:b/>
          <w:sz w:val="22"/>
          <w:szCs w:val="22"/>
        </w:rPr>
        <w:t xml:space="preserve">over the upcoming months </w:t>
      </w:r>
      <w:r w:rsidR="00E36554" w:rsidRPr="006603F1">
        <w:rPr>
          <w:rFonts w:ascii="Garamond" w:hAnsi="Garamond"/>
          <w:b/>
          <w:sz w:val="22"/>
          <w:szCs w:val="22"/>
        </w:rPr>
        <w:t xml:space="preserve">will stabilize </w:t>
      </w:r>
      <w:r w:rsidR="00E36554">
        <w:rPr>
          <w:rFonts w:ascii="Garamond" w:hAnsi="Garamond"/>
          <w:b/>
          <w:sz w:val="22"/>
          <w:szCs w:val="22"/>
        </w:rPr>
        <w:t>around it in</w:t>
      </w:r>
      <w:r w:rsidR="00E36554" w:rsidRPr="006603F1">
        <w:rPr>
          <w:rFonts w:ascii="Garamond" w:hAnsi="Garamond"/>
          <w:b/>
          <w:sz w:val="22"/>
          <w:szCs w:val="22"/>
        </w:rPr>
        <w:t xml:space="preserve"> the </w:t>
      </w:r>
      <w:r w:rsidR="001803FC">
        <w:rPr>
          <w:rFonts w:ascii="Garamond" w:hAnsi="Garamond"/>
          <w:b/>
          <w:sz w:val="22"/>
          <w:szCs w:val="22"/>
        </w:rPr>
        <w:t>medium run, as a result.</w:t>
      </w:r>
      <w:r w:rsidR="006603F1" w:rsidRPr="006603F1">
        <w:rPr>
          <w:rFonts w:ascii="Garamond" w:hAnsi="Garamond"/>
          <w:b/>
          <w:sz w:val="22"/>
          <w:szCs w:val="22"/>
        </w:rPr>
        <w:t xml:space="preserve"> </w:t>
      </w:r>
    </w:p>
    <w:p w14:paraId="793ECE31" w14:textId="77777777" w:rsidR="00765C16" w:rsidRDefault="001803FC" w:rsidP="00EE619D">
      <w:pPr>
        <w:autoSpaceDE w:val="0"/>
        <w:autoSpaceDN w:val="0"/>
        <w:adjustRightInd w:val="0"/>
        <w:spacing w:after="120" w:line="360" w:lineRule="auto"/>
        <w:jc w:val="both"/>
        <w:rPr>
          <w:rFonts w:ascii="Garamond" w:hAnsi="Garamond"/>
          <w:sz w:val="22"/>
          <w:szCs w:val="22"/>
        </w:rPr>
      </w:pPr>
      <w:r w:rsidRPr="001803FC">
        <w:rPr>
          <w:rFonts w:ascii="Garamond" w:hAnsi="Garamond"/>
          <w:sz w:val="22"/>
          <w:szCs w:val="22"/>
        </w:rPr>
        <w:t>A</w:t>
      </w:r>
      <w:r>
        <w:rPr>
          <w:rFonts w:ascii="Garamond" w:hAnsi="Garamond"/>
          <w:sz w:val="22"/>
          <w:szCs w:val="22"/>
        </w:rPr>
        <w:t xml:space="preserve">s </w:t>
      </w:r>
      <w:r w:rsidRPr="001803FC">
        <w:rPr>
          <w:rFonts w:ascii="Garamond" w:hAnsi="Garamond"/>
          <w:sz w:val="22"/>
          <w:szCs w:val="22"/>
        </w:rPr>
        <w:t>current figures</w:t>
      </w:r>
      <w:r>
        <w:rPr>
          <w:rFonts w:ascii="Garamond" w:hAnsi="Garamond"/>
          <w:sz w:val="22"/>
          <w:szCs w:val="22"/>
        </w:rPr>
        <w:t xml:space="preserve"> </w:t>
      </w:r>
      <w:r w:rsidR="00CB7142">
        <w:rPr>
          <w:rFonts w:ascii="Garamond" w:hAnsi="Garamond"/>
          <w:sz w:val="22"/>
          <w:szCs w:val="22"/>
        </w:rPr>
        <w:t>point out</w:t>
      </w:r>
      <w:r w:rsidRPr="001803FC">
        <w:rPr>
          <w:rFonts w:ascii="Garamond" w:hAnsi="Garamond"/>
          <w:sz w:val="22"/>
          <w:szCs w:val="22"/>
        </w:rPr>
        <w:t xml:space="preserve">, </w:t>
      </w:r>
      <w:r w:rsidR="00ED5348">
        <w:rPr>
          <w:rFonts w:ascii="Garamond" w:hAnsi="Garamond"/>
          <w:sz w:val="22"/>
          <w:szCs w:val="22"/>
        </w:rPr>
        <w:t>the</w:t>
      </w:r>
      <w:r w:rsidRPr="001803FC">
        <w:rPr>
          <w:rFonts w:ascii="Garamond" w:hAnsi="Garamond"/>
          <w:sz w:val="22"/>
          <w:szCs w:val="22"/>
        </w:rPr>
        <w:t xml:space="preserve"> economic activity </w:t>
      </w:r>
      <w:r w:rsidR="00ED5348">
        <w:rPr>
          <w:rFonts w:ascii="Garamond" w:hAnsi="Garamond"/>
          <w:sz w:val="22"/>
          <w:szCs w:val="22"/>
        </w:rPr>
        <w:t>remains strong</w:t>
      </w:r>
      <w:r w:rsidRPr="001803FC">
        <w:rPr>
          <w:rFonts w:ascii="Garamond" w:hAnsi="Garamond"/>
          <w:sz w:val="22"/>
          <w:szCs w:val="22"/>
        </w:rPr>
        <w:t>. In the first quarter of the year</w:t>
      </w:r>
      <w:r w:rsidR="00ED5348">
        <w:rPr>
          <w:rFonts w:ascii="Garamond" w:hAnsi="Garamond"/>
          <w:sz w:val="22"/>
          <w:szCs w:val="22"/>
        </w:rPr>
        <w:t>,</w:t>
      </w:r>
      <w:r w:rsidRPr="001803FC">
        <w:rPr>
          <w:rFonts w:ascii="Garamond" w:hAnsi="Garamond"/>
          <w:sz w:val="22"/>
          <w:szCs w:val="22"/>
        </w:rPr>
        <w:t xml:space="preserve"> the</w:t>
      </w:r>
      <w:r w:rsidR="00ED5348">
        <w:rPr>
          <w:rFonts w:ascii="Garamond" w:hAnsi="Garamond"/>
          <w:sz w:val="22"/>
          <w:szCs w:val="22"/>
        </w:rPr>
        <w:t xml:space="preserve"> indicator of</w:t>
      </w:r>
      <w:r w:rsidRPr="001803FC">
        <w:rPr>
          <w:rFonts w:ascii="Garamond" w:hAnsi="Garamond"/>
          <w:sz w:val="22"/>
          <w:szCs w:val="22"/>
        </w:rPr>
        <w:t xml:space="preserve"> economic growth </w:t>
      </w:r>
      <w:r w:rsidR="00ED5348">
        <w:rPr>
          <w:rFonts w:ascii="Garamond" w:hAnsi="Garamond"/>
          <w:sz w:val="22"/>
          <w:szCs w:val="22"/>
        </w:rPr>
        <w:t xml:space="preserve">surpassed </w:t>
      </w:r>
      <w:r w:rsidRPr="001803FC">
        <w:rPr>
          <w:rFonts w:ascii="Garamond" w:hAnsi="Garamond"/>
          <w:sz w:val="22"/>
          <w:szCs w:val="22"/>
        </w:rPr>
        <w:t xml:space="preserve">the expected </w:t>
      </w:r>
      <w:r w:rsidR="00ED5348">
        <w:rPr>
          <w:rFonts w:ascii="Garamond" w:hAnsi="Garamond"/>
          <w:sz w:val="22"/>
          <w:szCs w:val="22"/>
        </w:rPr>
        <w:t>figure thanks to</w:t>
      </w:r>
      <w:r w:rsidRPr="001803FC">
        <w:rPr>
          <w:rFonts w:ascii="Garamond" w:hAnsi="Garamond"/>
          <w:sz w:val="22"/>
          <w:szCs w:val="22"/>
        </w:rPr>
        <w:t xml:space="preserve"> </w:t>
      </w:r>
      <w:r w:rsidR="00ED5348">
        <w:rPr>
          <w:rFonts w:ascii="Garamond" w:hAnsi="Garamond"/>
          <w:sz w:val="22"/>
          <w:szCs w:val="22"/>
        </w:rPr>
        <w:t xml:space="preserve">robust </w:t>
      </w:r>
      <w:r w:rsidRPr="001803FC">
        <w:rPr>
          <w:rFonts w:ascii="Garamond" w:hAnsi="Garamond"/>
          <w:sz w:val="22"/>
          <w:szCs w:val="22"/>
        </w:rPr>
        <w:t>private consumption.</w:t>
      </w:r>
      <w:r w:rsidR="00ED5348">
        <w:rPr>
          <w:rFonts w:ascii="Garamond" w:hAnsi="Garamond"/>
          <w:sz w:val="22"/>
          <w:szCs w:val="22"/>
        </w:rPr>
        <w:t xml:space="preserve"> </w:t>
      </w:r>
      <w:r w:rsidR="00BF39C6">
        <w:rPr>
          <w:rFonts w:ascii="Garamond" w:hAnsi="Garamond"/>
          <w:sz w:val="22"/>
          <w:szCs w:val="22"/>
        </w:rPr>
        <w:t>From the start of the y</w:t>
      </w:r>
      <w:r w:rsidR="00ED5348">
        <w:rPr>
          <w:rFonts w:ascii="Garamond" w:hAnsi="Garamond"/>
          <w:sz w:val="22"/>
          <w:szCs w:val="22"/>
        </w:rPr>
        <w:t>ear</w:t>
      </w:r>
      <w:r w:rsidR="00376372">
        <w:rPr>
          <w:rFonts w:ascii="Garamond" w:hAnsi="Garamond"/>
          <w:sz w:val="22"/>
          <w:szCs w:val="22"/>
        </w:rPr>
        <w:t>, a</w:t>
      </w:r>
      <w:r w:rsidR="00C44EA4" w:rsidRPr="00225D1F">
        <w:rPr>
          <w:rFonts w:ascii="Garamond" w:hAnsi="Garamond"/>
          <w:sz w:val="22"/>
          <w:szCs w:val="22"/>
        </w:rPr>
        <w:t xml:space="preserve">ggregate demand </w:t>
      </w:r>
      <w:r w:rsidR="00ED5348">
        <w:rPr>
          <w:rFonts w:ascii="Garamond" w:hAnsi="Garamond"/>
          <w:sz w:val="22"/>
          <w:szCs w:val="22"/>
        </w:rPr>
        <w:t xml:space="preserve">further </w:t>
      </w:r>
      <w:r w:rsidR="00C44EA4">
        <w:rPr>
          <w:rFonts w:ascii="Garamond" w:hAnsi="Garamond"/>
          <w:sz w:val="22"/>
          <w:szCs w:val="22"/>
        </w:rPr>
        <w:t>incurr</w:t>
      </w:r>
      <w:r w:rsidR="00ED5348">
        <w:rPr>
          <w:rFonts w:ascii="Garamond" w:hAnsi="Garamond"/>
          <w:sz w:val="22"/>
          <w:szCs w:val="22"/>
        </w:rPr>
        <w:t>ed</w:t>
      </w:r>
      <w:r w:rsidR="00C44EA4">
        <w:rPr>
          <w:rFonts w:ascii="Garamond" w:hAnsi="Garamond"/>
          <w:sz w:val="22"/>
          <w:szCs w:val="22"/>
        </w:rPr>
        <w:t xml:space="preserve"> the </w:t>
      </w:r>
      <w:r w:rsidR="00ED5348">
        <w:rPr>
          <w:rFonts w:ascii="Garamond" w:hAnsi="Garamond"/>
          <w:sz w:val="22"/>
          <w:szCs w:val="22"/>
        </w:rPr>
        <w:t>considerable</w:t>
      </w:r>
      <w:r w:rsidR="00C44EA4" w:rsidRPr="00225D1F">
        <w:rPr>
          <w:rFonts w:ascii="Garamond" w:hAnsi="Garamond"/>
          <w:sz w:val="22"/>
          <w:szCs w:val="22"/>
        </w:rPr>
        <w:t xml:space="preserve"> </w:t>
      </w:r>
      <w:r w:rsidR="00C44EA4">
        <w:rPr>
          <w:rFonts w:ascii="Garamond" w:hAnsi="Garamond"/>
          <w:sz w:val="22"/>
          <w:szCs w:val="22"/>
        </w:rPr>
        <w:t xml:space="preserve">contractionary impact of public demand, </w:t>
      </w:r>
      <w:r w:rsidR="00C44EA4" w:rsidRPr="00C44EA4">
        <w:rPr>
          <w:rFonts w:ascii="Garamond" w:hAnsi="Garamond"/>
          <w:sz w:val="22"/>
          <w:szCs w:val="22"/>
        </w:rPr>
        <w:t xml:space="preserve">which is </w:t>
      </w:r>
      <w:r w:rsidR="00BF39C6">
        <w:rPr>
          <w:rFonts w:ascii="Garamond" w:hAnsi="Garamond"/>
          <w:sz w:val="22"/>
          <w:szCs w:val="22"/>
        </w:rPr>
        <w:t xml:space="preserve">mainly </w:t>
      </w:r>
      <w:r w:rsidR="00C44EA4">
        <w:rPr>
          <w:rFonts w:ascii="Garamond" w:hAnsi="Garamond"/>
          <w:sz w:val="22"/>
          <w:szCs w:val="22"/>
        </w:rPr>
        <w:t xml:space="preserve">attributable to </w:t>
      </w:r>
      <w:r w:rsidR="00376372" w:rsidRPr="00C44EA4">
        <w:rPr>
          <w:rFonts w:ascii="Garamond" w:hAnsi="Garamond"/>
          <w:sz w:val="22"/>
          <w:szCs w:val="22"/>
        </w:rPr>
        <w:t xml:space="preserve">budget </w:t>
      </w:r>
      <w:r w:rsidR="00376372">
        <w:rPr>
          <w:rFonts w:ascii="Garamond" w:hAnsi="Garamond"/>
          <w:sz w:val="22"/>
          <w:szCs w:val="22"/>
        </w:rPr>
        <w:t>revenue’s tightening effect</w:t>
      </w:r>
      <w:r w:rsidR="00C44EA4" w:rsidRPr="00C44EA4">
        <w:rPr>
          <w:rFonts w:ascii="Garamond" w:hAnsi="Garamond"/>
          <w:sz w:val="22"/>
          <w:szCs w:val="22"/>
        </w:rPr>
        <w:t>.</w:t>
      </w:r>
      <w:r w:rsidR="00C44EA4">
        <w:rPr>
          <w:rFonts w:ascii="Garamond" w:hAnsi="Garamond"/>
          <w:sz w:val="22"/>
          <w:szCs w:val="22"/>
        </w:rPr>
        <w:t xml:space="preserve"> </w:t>
      </w:r>
      <w:r w:rsidR="00725034" w:rsidRPr="00EE5F0F">
        <w:rPr>
          <w:rFonts w:ascii="Garamond" w:hAnsi="Garamond"/>
          <w:sz w:val="22"/>
          <w:szCs w:val="22"/>
        </w:rPr>
        <w:t>As a result, the GDP gap is estimated</w:t>
      </w:r>
      <w:r w:rsidR="00BF39C6">
        <w:rPr>
          <w:rFonts w:ascii="Garamond" w:hAnsi="Garamond"/>
          <w:sz w:val="22"/>
          <w:szCs w:val="22"/>
        </w:rPr>
        <w:t xml:space="preserve"> </w:t>
      </w:r>
      <w:r w:rsidR="00C44EA4">
        <w:rPr>
          <w:rFonts w:ascii="Garamond" w:hAnsi="Garamond"/>
          <w:sz w:val="22"/>
          <w:szCs w:val="22"/>
        </w:rPr>
        <w:t xml:space="preserve">negative </w:t>
      </w:r>
      <w:r w:rsidR="00D94160">
        <w:rPr>
          <w:rFonts w:ascii="Garamond" w:hAnsi="Garamond"/>
          <w:sz w:val="22"/>
          <w:szCs w:val="22"/>
        </w:rPr>
        <w:t xml:space="preserve">for </w:t>
      </w:r>
      <w:r w:rsidR="00725034" w:rsidRPr="00EE5F0F">
        <w:rPr>
          <w:rFonts w:ascii="Garamond" w:hAnsi="Garamond"/>
          <w:sz w:val="22"/>
          <w:szCs w:val="22"/>
        </w:rPr>
        <w:t xml:space="preserve">the </w:t>
      </w:r>
      <w:r w:rsidR="00D94160">
        <w:rPr>
          <w:rFonts w:ascii="Garamond" w:hAnsi="Garamond"/>
          <w:sz w:val="22"/>
          <w:szCs w:val="22"/>
        </w:rPr>
        <w:t>f</w:t>
      </w:r>
      <w:r w:rsidR="00BF39C6">
        <w:rPr>
          <w:rFonts w:ascii="Garamond" w:hAnsi="Garamond"/>
          <w:sz w:val="22"/>
          <w:szCs w:val="22"/>
        </w:rPr>
        <w:t xml:space="preserve">irst and second </w:t>
      </w:r>
      <w:r w:rsidR="00725034" w:rsidRPr="00EE5F0F">
        <w:rPr>
          <w:rFonts w:ascii="Garamond" w:hAnsi="Garamond"/>
          <w:sz w:val="22"/>
          <w:szCs w:val="22"/>
        </w:rPr>
        <w:t>quarter</w:t>
      </w:r>
      <w:r w:rsidR="00BF39C6">
        <w:rPr>
          <w:rFonts w:ascii="Garamond" w:hAnsi="Garamond"/>
          <w:sz w:val="22"/>
          <w:szCs w:val="22"/>
        </w:rPr>
        <w:t>s</w:t>
      </w:r>
      <w:r w:rsidR="00725034" w:rsidRPr="00EE5F0F">
        <w:rPr>
          <w:rFonts w:ascii="Garamond" w:hAnsi="Garamond"/>
          <w:sz w:val="22"/>
          <w:szCs w:val="22"/>
        </w:rPr>
        <w:t xml:space="preserve"> of 201</w:t>
      </w:r>
      <w:r w:rsidR="00BF39C6">
        <w:rPr>
          <w:rFonts w:ascii="Garamond" w:hAnsi="Garamond"/>
          <w:sz w:val="22"/>
          <w:szCs w:val="22"/>
        </w:rPr>
        <w:t>9.</w:t>
      </w:r>
      <w:r w:rsidR="00C44EA4">
        <w:rPr>
          <w:rFonts w:ascii="Garamond" w:hAnsi="Garamond"/>
          <w:sz w:val="22"/>
          <w:szCs w:val="22"/>
        </w:rPr>
        <w:t xml:space="preserve"> </w:t>
      </w:r>
      <w:r w:rsidR="00BF39C6">
        <w:rPr>
          <w:rFonts w:ascii="Garamond" w:hAnsi="Garamond"/>
          <w:sz w:val="22"/>
          <w:szCs w:val="22"/>
        </w:rPr>
        <w:t>T</w:t>
      </w:r>
      <w:r w:rsidR="00C44EA4">
        <w:rPr>
          <w:rFonts w:ascii="Garamond" w:hAnsi="Garamond"/>
          <w:sz w:val="22"/>
          <w:szCs w:val="22"/>
        </w:rPr>
        <w:t xml:space="preserve">here is expectation </w:t>
      </w:r>
      <w:r w:rsidR="00BF39C6">
        <w:rPr>
          <w:rFonts w:ascii="Garamond" w:hAnsi="Garamond"/>
          <w:sz w:val="22"/>
          <w:szCs w:val="22"/>
        </w:rPr>
        <w:t xml:space="preserve">that </w:t>
      </w:r>
      <w:r w:rsidR="00BF39C6" w:rsidRPr="00BF39C6">
        <w:rPr>
          <w:rFonts w:ascii="Garamond" w:hAnsi="Garamond"/>
          <w:sz w:val="22"/>
          <w:szCs w:val="22"/>
        </w:rPr>
        <w:t xml:space="preserve">the budget will </w:t>
      </w:r>
      <w:r w:rsidR="00BF39C6">
        <w:rPr>
          <w:rFonts w:ascii="Garamond" w:hAnsi="Garamond"/>
          <w:sz w:val="22"/>
          <w:szCs w:val="22"/>
        </w:rPr>
        <w:t>leave</w:t>
      </w:r>
      <w:r w:rsidR="00BF39C6" w:rsidRPr="00BF39C6">
        <w:rPr>
          <w:rFonts w:ascii="Garamond" w:hAnsi="Garamond"/>
          <w:sz w:val="22"/>
          <w:szCs w:val="22"/>
        </w:rPr>
        <w:t xml:space="preserve"> a </w:t>
      </w:r>
      <w:r w:rsidR="00BF39C6">
        <w:rPr>
          <w:rFonts w:ascii="Garamond" w:hAnsi="Garamond"/>
          <w:sz w:val="22"/>
          <w:szCs w:val="22"/>
        </w:rPr>
        <w:t xml:space="preserve">considerably expansionary </w:t>
      </w:r>
      <w:r w:rsidR="00BF39C6" w:rsidRPr="00BF39C6">
        <w:rPr>
          <w:rFonts w:ascii="Garamond" w:hAnsi="Garamond"/>
          <w:sz w:val="22"/>
          <w:szCs w:val="22"/>
        </w:rPr>
        <w:t xml:space="preserve">impact on </w:t>
      </w:r>
      <w:r w:rsidR="00BF39C6">
        <w:rPr>
          <w:rFonts w:ascii="Garamond" w:hAnsi="Garamond"/>
          <w:sz w:val="22"/>
          <w:szCs w:val="22"/>
        </w:rPr>
        <w:t>aggregate demand i</w:t>
      </w:r>
      <w:r w:rsidR="00BF39C6" w:rsidRPr="00BF39C6">
        <w:rPr>
          <w:rFonts w:ascii="Garamond" w:hAnsi="Garamond"/>
          <w:sz w:val="22"/>
          <w:szCs w:val="22"/>
        </w:rPr>
        <w:t xml:space="preserve">n the second half of the </w:t>
      </w:r>
      <w:r w:rsidR="00BF39C6">
        <w:rPr>
          <w:rFonts w:ascii="Garamond" w:hAnsi="Garamond"/>
          <w:sz w:val="22"/>
          <w:szCs w:val="22"/>
        </w:rPr>
        <w:t xml:space="preserve">year and will in the meantime absorb contractionary effects observable early in the year; </w:t>
      </w:r>
      <w:r w:rsidR="00BF39C6" w:rsidRPr="00BF39C6">
        <w:rPr>
          <w:rFonts w:ascii="Garamond" w:hAnsi="Garamond"/>
          <w:sz w:val="22"/>
          <w:szCs w:val="22"/>
        </w:rPr>
        <w:t>as a result, it will be neutral</w:t>
      </w:r>
      <w:r w:rsidR="00BF39C6">
        <w:rPr>
          <w:rFonts w:ascii="Garamond" w:hAnsi="Garamond"/>
          <w:sz w:val="22"/>
          <w:szCs w:val="22"/>
        </w:rPr>
        <w:t xml:space="preserve"> for the year</w:t>
      </w:r>
      <w:r w:rsidR="00BF39C6" w:rsidRPr="00BF39C6">
        <w:rPr>
          <w:rFonts w:ascii="Garamond" w:hAnsi="Garamond"/>
          <w:sz w:val="22"/>
          <w:szCs w:val="22"/>
        </w:rPr>
        <w:t>.</w:t>
      </w:r>
      <w:r w:rsidR="00BF39C6">
        <w:rPr>
          <w:rFonts w:ascii="Garamond" w:hAnsi="Garamond"/>
          <w:sz w:val="22"/>
          <w:szCs w:val="22"/>
        </w:rPr>
        <w:t xml:space="preserve"> </w:t>
      </w:r>
      <w:r w:rsidR="009D36C2">
        <w:rPr>
          <w:rFonts w:ascii="Garamond" w:hAnsi="Garamond"/>
          <w:sz w:val="22"/>
          <w:szCs w:val="22"/>
        </w:rPr>
        <w:t xml:space="preserve">In view of such developments, the </w:t>
      </w:r>
      <w:r w:rsidR="009D36C2">
        <w:rPr>
          <w:rFonts w:ascii="Garamond" w:hAnsi="Garamond"/>
          <w:sz w:val="22"/>
          <w:szCs w:val="22"/>
        </w:rPr>
        <w:lastRenderedPageBreak/>
        <w:t xml:space="preserve">GDP gap </w:t>
      </w:r>
      <w:r w:rsidR="00C44EA4">
        <w:rPr>
          <w:rFonts w:ascii="Garamond" w:hAnsi="Garamond"/>
          <w:sz w:val="22"/>
          <w:szCs w:val="22"/>
        </w:rPr>
        <w:t xml:space="preserve">will </w:t>
      </w:r>
      <w:r w:rsidR="009D36C2">
        <w:rPr>
          <w:rFonts w:ascii="Garamond" w:hAnsi="Garamond"/>
          <w:sz w:val="22"/>
          <w:szCs w:val="22"/>
        </w:rPr>
        <w:t xml:space="preserve">still be </w:t>
      </w:r>
      <w:r w:rsidR="00497D16">
        <w:rPr>
          <w:rFonts w:ascii="Garamond" w:hAnsi="Garamond"/>
          <w:sz w:val="22"/>
          <w:szCs w:val="22"/>
        </w:rPr>
        <w:t xml:space="preserve">in the negative territory </w:t>
      </w:r>
      <w:r w:rsidR="00FE15F9">
        <w:rPr>
          <w:rFonts w:ascii="Garamond" w:hAnsi="Garamond"/>
          <w:sz w:val="22"/>
          <w:szCs w:val="22"/>
        </w:rPr>
        <w:t xml:space="preserve">and </w:t>
      </w:r>
      <w:r w:rsidR="00497D16">
        <w:rPr>
          <w:rFonts w:ascii="Garamond" w:hAnsi="Garamond"/>
          <w:sz w:val="22"/>
          <w:szCs w:val="22"/>
        </w:rPr>
        <w:t xml:space="preserve">will </w:t>
      </w:r>
      <w:r w:rsidR="00D94160">
        <w:rPr>
          <w:rFonts w:ascii="Garamond" w:hAnsi="Garamond"/>
          <w:sz w:val="22"/>
          <w:szCs w:val="22"/>
        </w:rPr>
        <w:t xml:space="preserve">only </w:t>
      </w:r>
      <w:r w:rsidR="004B3275">
        <w:rPr>
          <w:rFonts w:ascii="Garamond" w:hAnsi="Garamond"/>
          <w:sz w:val="22"/>
          <w:szCs w:val="22"/>
        </w:rPr>
        <w:t xml:space="preserve">be </w:t>
      </w:r>
      <w:r w:rsidR="00497D16" w:rsidRPr="00497D16">
        <w:rPr>
          <w:rFonts w:ascii="Garamond" w:hAnsi="Garamond"/>
          <w:sz w:val="22"/>
          <w:szCs w:val="22"/>
        </w:rPr>
        <w:t xml:space="preserve">gradually </w:t>
      </w:r>
      <w:r w:rsidR="00D94160">
        <w:rPr>
          <w:rFonts w:ascii="Garamond" w:hAnsi="Garamond"/>
          <w:sz w:val="22"/>
          <w:szCs w:val="22"/>
        </w:rPr>
        <w:t xml:space="preserve">phasing out to </w:t>
      </w:r>
      <w:r w:rsidR="00497D16">
        <w:rPr>
          <w:rFonts w:ascii="Garamond" w:hAnsi="Garamond"/>
          <w:sz w:val="22"/>
          <w:szCs w:val="22"/>
        </w:rPr>
        <w:t>zero in 20</w:t>
      </w:r>
      <w:r w:rsidR="00D94160">
        <w:rPr>
          <w:rFonts w:ascii="Garamond" w:hAnsi="Garamond"/>
          <w:sz w:val="22"/>
          <w:szCs w:val="22"/>
        </w:rPr>
        <w:t>20</w:t>
      </w:r>
      <w:r w:rsidR="00497D16">
        <w:rPr>
          <w:rFonts w:ascii="Garamond" w:hAnsi="Garamond"/>
          <w:sz w:val="22"/>
          <w:szCs w:val="22"/>
        </w:rPr>
        <w:t xml:space="preserve"> thanks to </w:t>
      </w:r>
      <w:r w:rsidR="00497D16" w:rsidRPr="00497D16">
        <w:rPr>
          <w:rFonts w:ascii="Garamond" w:hAnsi="Garamond"/>
          <w:sz w:val="22"/>
          <w:szCs w:val="22"/>
        </w:rPr>
        <w:t xml:space="preserve">the </w:t>
      </w:r>
      <w:r w:rsidR="00497D16">
        <w:rPr>
          <w:rFonts w:ascii="Garamond" w:hAnsi="Garamond"/>
          <w:sz w:val="22"/>
          <w:szCs w:val="22"/>
        </w:rPr>
        <w:t>expansionary</w:t>
      </w:r>
      <w:r w:rsidR="00497D16" w:rsidRPr="00497D16">
        <w:rPr>
          <w:rFonts w:ascii="Garamond" w:hAnsi="Garamond"/>
          <w:sz w:val="22"/>
          <w:szCs w:val="22"/>
        </w:rPr>
        <w:t xml:space="preserve"> monetary environment</w:t>
      </w:r>
      <w:r w:rsidR="004B3275">
        <w:rPr>
          <w:rFonts w:ascii="Garamond" w:hAnsi="Garamond"/>
          <w:sz w:val="22"/>
          <w:szCs w:val="22"/>
        </w:rPr>
        <w:t xml:space="preserve"> on the one hand, and in the absence of too contractionary </w:t>
      </w:r>
      <w:r w:rsidR="004B3275" w:rsidRPr="004B3275">
        <w:rPr>
          <w:rFonts w:ascii="Garamond" w:hAnsi="Garamond"/>
          <w:sz w:val="22"/>
          <w:szCs w:val="22"/>
        </w:rPr>
        <w:t>fiscal policy</w:t>
      </w:r>
      <w:r w:rsidR="004B3275">
        <w:rPr>
          <w:rFonts w:ascii="Garamond" w:hAnsi="Garamond"/>
          <w:sz w:val="22"/>
          <w:szCs w:val="22"/>
        </w:rPr>
        <w:t xml:space="preserve"> impulses, on the other</w:t>
      </w:r>
      <w:r w:rsidR="00497D16" w:rsidRPr="00497D16">
        <w:rPr>
          <w:rFonts w:ascii="Garamond" w:hAnsi="Garamond"/>
          <w:sz w:val="22"/>
          <w:szCs w:val="22"/>
        </w:rPr>
        <w:t>.</w:t>
      </w:r>
      <w:r w:rsidR="008F2A0D" w:rsidRPr="00EE5F0F">
        <w:rPr>
          <w:rFonts w:ascii="Garamond" w:hAnsi="Garamond"/>
          <w:sz w:val="22"/>
          <w:szCs w:val="22"/>
        </w:rPr>
        <w:t xml:space="preserve"> </w:t>
      </w:r>
      <w:r w:rsidR="00E87D02" w:rsidRPr="00E87D02">
        <w:rPr>
          <w:rFonts w:ascii="Garamond" w:hAnsi="Garamond"/>
          <w:sz w:val="22"/>
          <w:szCs w:val="22"/>
        </w:rPr>
        <w:t>A</w:t>
      </w:r>
      <w:r w:rsidR="00E87D02">
        <w:rPr>
          <w:rFonts w:ascii="Garamond" w:hAnsi="Garamond"/>
          <w:sz w:val="22"/>
          <w:szCs w:val="22"/>
        </w:rPr>
        <w:t xml:space="preserve">s </w:t>
      </w:r>
      <w:r w:rsidR="00E87D02" w:rsidRPr="00E87D02">
        <w:rPr>
          <w:rFonts w:ascii="Garamond" w:hAnsi="Garamond"/>
          <w:sz w:val="22"/>
          <w:szCs w:val="22"/>
        </w:rPr>
        <w:t>the aforementioned developments</w:t>
      </w:r>
      <w:r w:rsidR="00E87D02">
        <w:rPr>
          <w:rFonts w:ascii="Garamond" w:hAnsi="Garamond"/>
          <w:sz w:val="22"/>
          <w:szCs w:val="22"/>
        </w:rPr>
        <w:t xml:space="preserve"> unfold</w:t>
      </w:r>
      <w:r w:rsidR="00FE15F9">
        <w:rPr>
          <w:rFonts w:ascii="Garamond" w:hAnsi="Garamond"/>
          <w:sz w:val="22"/>
          <w:szCs w:val="22"/>
        </w:rPr>
        <w:t xml:space="preserve">, </w:t>
      </w:r>
      <w:r w:rsidR="00F235A7" w:rsidRPr="00EE5F0F">
        <w:rPr>
          <w:rFonts w:ascii="Garamond" w:hAnsi="Garamond"/>
          <w:sz w:val="22"/>
          <w:szCs w:val="22"/>
        </w:rPr>
        <w:t xml:space="preserve">inflation </w:t>
      </w:r>
      <w:r w:rsidR="00F235A7">
        <w:rPr>
          <w:rFonts w:ascii="Garamond" w:hAnsi="Garamond"/>
          <w:sz w:val="22"/>
          <w:szCs w:val="22"/>
        </w:rPr>
        <w:t xml:space="preserve">will </w:t>
      </w:r>
      <w:r w:rsidR="00FE15F9">
        <w:rPr>
          <w:rFonts w:ascii="Garamond" w:hAnsi="Garamond"/>
          <w:sz w:val="22"/>
          <w:szCs w:val="22"/>
        </w:rPr>
        <w:t xml:space="preserve">still float at a low level in the upcoming months and will only </w:t>
      </w:r>
      <w:r w:rsidR="00F235A7" w:rsidRPr="00EE5F0F">
        <w:rPr>
          <w:rFonts w:ascii="Garamond" w:hAnsi="Garamond"/>
          <w:sz w:val="22"/>
          <w:szCs w:val="22"/>
        </w:rPr>
        <w:t xml:space="preserve">stabilize around the target </w:t>
      </w:r>
      <w:r w:rsidR="00F235A7">
        <w:rPr>
          <w:rFonts w:ascii="Garamond" w:hAnsi="Garamond"/>
          <w:sz w:val="22"/>
          <w:szCs w:val="22"/>
        </w:rPr>
        <w:t>at the end of the forecast horizon.</w:t>
      </w:r>
      <w:r w:rsidR="007E303C">
        <w:rPr>
          <w:rFonts w:ascii="Garamond" w:hAnsi="Garamond"/>
          <w:sz w:val="22"/>
          <w:szCs w:val="22"/>
        </w:rPr>
        <w:t xml:space="preserve"> </w:t>
      </w:r>
      <w:r w:rsidR="00FE15F9">
        <w:rPr>
          <w:rFonts w:ascii="Garamond" w:hAnsi="Garamond"/>
          <w:sz w:val="22"/>
          <w:szCs w:val="22"/>
        </w:rPr>
        <w:t>Even though more or less the same, t</w:t>
      </w:r>
      <w:r w:rsidR="007E303C">
        <w:rPr>
          <w:rFonts w:ascii="Garamond" w:hAnsi="Garamond"/>
          <w:sz w:val="22"/>
          <w:szCs w:val="22"/>
        </w:rPr>
        <w:t xml:space="preserve">he </w:t>
      </w:r>
      <w:r w:rsidR="004B3275">
        <w:rPr>
          <w:rFonts w:ascii="Garamond" w:hAnsi="Garamond"/>
          <w:sz w:val="22"/>
          <w:szCs w:val="22"/>
        </w:rPr>
        <w:t xml:space="preserve">households’ </w:t>
      </w:r>
      <w:r w:rsidR="00F235A7" w:rsidRPr="00F235A7">
        <w:rPr>
          <w:rFonts w:ascii="Garamond" w:hAnsi="Garamond"/>
          <w:sz w:val="22"/>
          <w:szCs w:val="22"/>
        </w:rPr>
        <w:t xml:space="preserve">short-term inflation expectations </w:t>
      </w:r>
      <w:r w:rsidR="00830C5F">
        <w:rPr>
          <w:rFonts w:ascii="Garamond" w:hAnsi="Garamond"/>
          <w:sz w:val="22"/>
          <w:szCs w:val="22"/>
        </w:rPr>
        <w:t>are</w:t>
      </w:r>
      <w:r w:rsidR="00FE15F9">
        <w:rPr>
          <w:rFonts w:ascii="Garamond" w:hAnsi="Garamond"/>
          <w:sz w:val="22"/>
          <w:szCs w:val="22"/>
        </w:rPr>
        <w:t xml:space="preserve"> estimated to also stabilize around the target, as inflation rebounds. </w:t>
      </w:r>
      <w:r w:rsidR="00966255" w:rsidRPr="00966255">
        <w:rPr>
          <w:rFonts w:ascii="Garamond" w:hAnsi="Garamond"/>
          <w:sz w:val="22"/>
          <w:szCs w:val="22"/>
        </w:rPr>
        <w:t xml:space="preserve">On the other hand, long-term inflation expectations </w:t>
      </w:r>
      <w:r w:rsidR="00966255">
        <w:rPr>
          <w:rFonts w:ascii="Garamond" w:hAnsi="Garamond"/>
          <w:sz w:val="22"/>
          <w:szCs w:val="22"/>
        </w:rPr>
        <w:t>diminish</w:t>
      </w:r>
      <w:r w:rsidR="00765C16">
        <w:rPr>
          <w:rFonts w:ascii="Garamond" w:hAnsi="Garamond"/>
          <w:sz w:val="22"/>
          <w:szCs w:val="22"/>
        </w:rPr>
        <w:t xml:space="preserve"> too</w:t>
      </w:r>
      <w:r w:rsidR="00966255" w:rsidRPr="00966255">
        <w:rPr>
          <w:rFonts w:ascii="Garamond" w:hAnsi="Garamond"/>
          <w:sz w:val="22"/>
          <w:szCs w:val="22"/>
        </w:rPr>
        <w:t xml:space="preserve">, </w:t>
      </w:r>
      <w:r w:rsidR="00765C16">
        <w:rPr>
          <w:rFonts w:ascii="Garamond" w:hAnsi="Garamond"/>
          <w:sz w:val="22"/>
          <w:szCs w:val="22"/>
        </w:rPr>
        <w:t>and yet</w:t>
      </w:r>
      <w:r w:rsidR="00966255">
        <w:rPr>
          <w:rFonts w:ascii="Garamond" w:hAnsi="Garamond"/>
          <w:sz w:val="22"/>
          <w:szCs w:val="22"/>
        </w:rPr>
        <w:t xml:space="preserve"> </w:t>
      </w:r>
      <w:r w:rsidR="00966255" w:rsidRPr="00966255">
        <w:rPr>
          <w:rFonts w:ascii="Garamond" w:hAnsi="Garamond"/>
          <w:sz w:val="22"/>
          <w:szCs w:val="22"/>
        </w:rPr>
        <w:t>remaining relatively high.</w:t>
      </w:r>
      <w:r w:rsidR="00765C16">
        <w:rPr>
          <w:rFonts w:ascii="Garamond" w:hAnsi="Garamond"/>
          <w:sz w:val="22"/>
          <w:szCs w:val="22"/>
        </w:rPr>
        <w:t xml:space="preserve"> Therefore, the scenario of </w:t>
      </w:r>
      <w:r w:rsidR="00765C16" w:rsidRPr="00C02601">
        <w:rPr>
          <w:rFonts w:ascii="Garamond" w:hAnsi="Garamond"/>
          <w:sz w:val="22"/>
          <w:szCs w:val="22"/>
        </w:rPr>
        <w:t xml:space="preserve">gradual recovery of inflation </w:t>
      </w:r>
      <w:r w:rsidR="00765C16">
        <w:rPr>
          <w:rFonts w:ascii="Garamond" w:hAnsi="Garamond"/>
          <w:sz w:val="22"/>
          <w:szCs w:val="22"/>
        </w:rPr>
        <w:t xml:space="preserve">is preferable by the Board since </w:t>
      </w:r>
      <w:r w:rsidR="00765C16" w:rsidRPr="00C02601">
        <w:rPr>
          <w:rFonts w:ascii="Garamond" w:hAnsi="Garamond"/>
          <w:sz w:val="22"/>
          <w:szCs w:val="22"/>
        </w:rPr>
        <w:t>low inflation contributes to anchoring long-term inflation expectations and maintaining</w:t>
      </w:r>
      <w:r w:rsidR="00765C16">
        <w:rPr>
          <w:rFonts w:ascii="Garamond" w:hAnsi="Garamond"/>
          <w:sz w:val="22"/>
          <w:szCs w:val="22"/>
        </w:rPr>
        <w:t xml:space="preserve"> the purchasing power of income.</w:t>
      </w:r>
      <w:r w:rsidR="00F235A7" w:rsidRPr="00F235A7">
        <w:rPr>
          <w:rFonts w:ascii="Garamond" w:hAnsi="Garamond"/>
          <w:sz w:val="22"/>
          <w:szCs w:val="22"/>
        </w:rPr>
        <w:t xml:space="preserve"> </w:t>
      </w:r>
    </w:p>
    <w:p w14:paraId="797933EB" w14:textId="77777777" w:rsidR="00E11C2C" w:rsidRDefault="00765C16" w:rsidP="00EE619D">
      <w:pPr>
        <w:autoSpaceDE w:val="0"/>
        <w:autoSpaceDN w:val="0"/>
        <w:adjustRightInd w:val="0"/>
        <w:spacing w:after="120" w:line="360" w:lineRule="auto"/>
        <w:jc w:val="both"/>
        <w:rPr>
          <w:rFonts w:ascii="Garamond" w:hAnsi="Garamond"/>
          <w:b/>
          <w:sz w:val="22"/>
          <w:szCs w:val="22"/>
        </w:rPr>
      </w:pPr>
      <w:r>
        <w:rPr>
          <w:rFonts w:ascii="Garamond" w:hAnsi="Garamond"/>
          <w:b/>
          <w:sz w:val="22"/>
          <w:szCs w:val="22"/>
        </w:rPr>
        <w:t xml:space="preserve">As a result, </w:t>
      </w:r>
      <w:r w:rsidR="00966255" w:rsidRPr="00966255">
        <w:rPr>
          <w:rFonts w:ascii="Garamond" w:hAnsi="Garamond"/>
          <w:b/>
          <w:sz w:val="22"/>
          <w:szCs w:val="22"/>
        </w:rPr>
        <w:t xml:space="preserve">the </w:t>
      </w:r>
      <w:r w:rsidR="00966255">
        <w:rPr>
          <w:rFonts w:ascii="Garamond" w:hAnsi="Garamond"/>
          <w:b/>
          <w:sz w:val="22"/>
          <w:szCs w:val="22"/>
        </w:rPr>
        <w:t>B</w:t>
      </w:r>
      <w:r w:rsidR="00966255" w:rsidRPr="00966255">
        <w:rPr>
          <w:rFonts w:ascii="Garamond" w:hAnsi="Garamond"/>
          <w:b/>
          <w:sz w:val="22"/>
          <w:szCs w:val="22"/>
        </w:rPr>
        <w:t xml:space="preserve">oard </w:t>
      </w:r>
      <w:r w:rsidR="00966255">
        <w:rPr>
          <w:rFonts w:ascii="Garamond" w:hAnsi="Garamond"/>
          <w:b/>
          <w:sz w:val="22"/>
          <w:szCs w:val="22"/>
        </w:rPr>
        <w:t xml:space="preserve">of the Central Bank </w:t>
      </w:r>
      <w:r w:rsidR="00966255" w:rsidRPr="00966255">
        <w:rPr>
          <w:rFonts w:ascii="Garamond" w:hAnsi="Garamond"/>
          <w:b/>
          <w:sz w:val="22"/>
          <w:szCs w:val="22"/>
        </w:rPr>
        <w:t xml:space="preserve">believes that the </w:t>
      </w:r>
      <w:r>
        <w:rPr>
          <w:rFonts w:ascii="Garamond" w:hAnsi="Garamond"/>
          <w:b/>
          <w:sz w:val="22"/>
          <w:szCs w:val="22"/>
        </w:rPr>
        <w:t xml:space="preserve">current </w:t>
      </w:r>
      <w:r w:rsidR="00966255" w:rsidRPr="00966255">
        <w:rPr>
          <w:rFonts w:ascii="Garamond" w:hAnsi="Garamond"/>
          <w:b/>
          <w:sz w:val="22"/>
          <w:szCs w:val="22"/>
        </w:rPr>
        <w:t xml:space="preserve">policy rate is </w:t>
      </w:r>
      <w:r w:rsidR="00966255">
        <w:rPr>
          <w:rFonts w:ascii="Garamond" w:hAnsi="Garamond"/>
          <w:b/>
          <w:sz w:val="22"/>
          <w:szCs w:val="22"/>
        </w:rPr>
        <w:t xml:space="preserve">expansionary enough, </w:t>
      </w:r>
      <w:r>
        <w:rPr>
          <w:rFonts w:ascii="Garamond" w:hAnsi="Garamond"/>
          <w:b/>
          <w:sz w:val="22"/>
          <w:szCs w:val="22"/>
        </w:rPr>
        <w:t>so it needs to be left unchanged. At the same time</w:t>
      </w:r>
      <w:r w:rsidRPr="00765C16">
        <w:rPr>
          <w:rFonts w:ascii="Garamond" w:hAnsi="Garamond"/>
          <w:b/>
          <w:sz w:val="22"/>
          <w:szCs w:val="22"/>
        </w:rPr>
        <w:t xml:space="preserve">, in view of predictable macroeconomic developments, the monetary conditions have to </w:t>
      </w:r>
      <w:r w:rsidR="00B84B19">
        <w:rPr>
          <w:rFonts w:ascii="Garamond" w:hAnsi="Garamond"/>
          <w:b/>
          <w:sz w:val="22"/>
          <w:szCs w:val="22"/>
        </w:rPr>
        <w:t xml:space="preserve">remain </w:t>
      </w:r>
      <w:r w:rsidRPr="00765C16">
        <w:rPr>
          <w:rFonts w:ascii="Garamond" w:hAnsi="Garamond"/>
          <w:b/>
          <w:sz w:val="22"/>
          <w:szCs w:val="22"/>
        </w:rPr>
        <w:t xml:space="preserve">expansionary </w:t>
      </w:r>
      <w:r w:rsidR="00E2157F">
        <w:rPr>
          <w:rFonts w:ascii="Garamond" w:hAnsi="Garamond"/>
          <w:b/>
          <w:sz w:val="22"/>
          <w:szCs w:val="22"/>
        </w:rPr>
        <w:t xml:space="preserve">for a </w:t>
      </w:r>
      <w:r w:rsidRPr="00765C16">
        <w:rPr>
          <w:rFonts w:ascii="Garamond" w:hAnsi="Garamond"/>
          <w:b/>
          <w:sz w:val="22"/>
          <w:szCs w:val="22"/>
        </w:rPr>
        <w:t>long</w:t>
      </w:r>
      <w:r w:rsidR="00E2157F">
        <w:rPr>
          <w:rFonts w:ascii="Garamond" w:hAnsi="Garamond"/>
          <w:b/>
          <w:sz w:val="22"/>
          <w:szCs w:val="22"/>
        </w:rPr>
        <w:t xml:space="preserve">er period </w:t>
      </w:r>
      <w:r w:rsidR="00E2157F" w:rsidRPr="00E2157F">
        <w:rPr>
          <w:rFonts w:ascii="Garamond" w:hAnsi="Garamond"/>
          <w:b/>
          <w:sz w:val="22"/>
          <w:szCs w:val="22"/>
        </w:rPr>
        <w:t xml:space="preserve">to </w:t>
      </w:r>
      <w:r w:rsidR="00E2157F">
        <w:rPr>
          <w:rFonts w:ascii="Garamond" w:hAnsi="Garamond"/>
          <w:b/>
          <w:sz w:val="22"/>
          <w:szCs w:val="22"/>
        </w:rPr>
        <w:t>give aggregate demand more sustainable stimulus to grow.</w:t>
      </w:r>
      <w:r w:rsidRPr="00765C16">
        <w:rPr>
          <w:rFonts w:ascii="Garamond" w:hAnsi="Garamond"/>
          <w:b/>
          <w:sz w:val="22"/>
          <w:szCs w:val="22"/>
        </w:rPr>
        <w:t xml:space="preserve"> </w:t>
      </w:r>
    </w:p>
    <w:p w14:paraId="39C9C3F8" w14:textId="77777777" w:rsidR="00972A2E" w:rsidRPr="00972A2E" w:rsidRDefault="00972A2E" w:rsidP="00EE619D">
      <w:pPr>
        <w:autoSpaceDE w:val="0"/>
        <w:autoSpaceDN w:val="0"/>
        <w:adjustRightInd w:val="0"/>
        <w:spacing w:after="120" w:line="360" w:lineRule="auto"/>
        <w:jc w:val="both"/>
        <w:rPr>
          <w:rFonts w:ascii="Garamond" w:hAnsi="Garamond"/>
          <w:b/>
          <w:color w:val="C00000"/>
          <w:sz w:val="22"/>
          <w:szCs w:val="22"/>
        </w:rPr>
      </w:pPr>
      <w:r w:rsidRPr="00972A2E">
        <w:rPr>
          <w:rFonts w:ascii="Garamond" w:hAnsi="Garamond"/>
          <w:b/>
          <w:color w:val="C00000"/>
          <w:sz w:val="22"/>
          <w:szCs w:val="22"/>
        </w:rPr>
        <w:t>Table 1:</w:t>
      </w:r>
    </w:p>
    <w:p w14:paraId="0C6FD5D7" w14:textId="77777777" w:rsidR="0037437E" w:rsidRDefault="0037437E" w:rsidP="00EE619D">
      <w:pPr>
        <w:autoSpaceDE w:val="0"/>
        <w:autoSpaceDN w:val="0"/>
        <w:adjustRightInd w:val="0"/>
        <w:spacing w:after="120" w:line="360" w:lineRule="auto"/>
        <w:jc w:val="both"/>
        <w:rPr>
          <w:rFonts w:ascii="Garamond" w:hAnsi="Garamond"/>
          <w:b/>
          <w:bCs/>
          <w:iCs/>
          <w:color w:val="0070C0"/>
          <w:sz w:val="22"/>
          <w:szCs w:val="22"/>
        </w:rPr>
      </w:pPr>
    </w:p>
    <w:p w14:paraId="396B5D4A" w14:textId="77777777" w:rsidR="00EE619D" w:rsidRPr="00EE5F0F" w:rsidRDefault="00EE619D" w:rsidP="00EE619D">
      <w:pPr>
        <w:autoSpaceDE w:val="0"/>
        <w:autoSpaceDN w:val="0"/>
        <w:adjustRightInd w:val="0"/>
        <w:spacing w:after="120" w:line="360" w:lineRule="auto"/>
        <w:jc w:val="both"/>
        <w:rPr>
          <w:rFonts w:ascii="Garamond" w:hAnsi="Garamond"/>
          <w:b/>
          <w:bCs/>
          <w:iCs/>
          <w:color w:val="0070C0"/>
          <w:sz w:val="22"/>
          <w:szCs w:val="22"/>
        </w:rPr>
      </w:pPr>
      <w:r w:rsidRPr="00EE5F0F">
        <w:rPr>
          <w:rFonts w:ascii="Garamond" w:hAnsi="Garamond"/>
          <w:b/>
          <w:bCs/>
          <w:iCs/>
          <w:color w:val="0070C0"/>
          <w:sz w:val="22"/>
          <w:szCs w:val="22"/>
        </w:rPr>
        <w:t>2.2.2. Economic activity</w:t>
      </w:r>
      <w:r w:rsidR="0037437E">
        <w:rPr>
          <w:rStyle w:val="FootnoteReference"/>
          <w:rFonts w:ascii="Garamond" w:hAnsi="Garamond"/>
          <w:b/>
          <w:bCs/>
          <w:iCs/>
          <w:color w:val="0070C0"/>
          <w:sz w:val="22"/>
          <w:szCs w:val="22"/>
        </w:rPr>
        <w:footnoteReference w:customMarkFollows="1" w:id="2"/>
        <w:t>4</w:t>
      </w:r>
    </w:p>
    <w:p w14:paraId="66E6C4F6" w14:textId="2922E63C" w:rsidR="00D4483A"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Aggregate demand:</w:t>
      </w:r>
      <w:r w:rsidRPr="00EE5F0F">
        <w:rPr>
          <w:rFonts w:ascii="Garamond" w:hAnsi="Garamond"/>
          <w:sz w:val="22"/>
          <w:szCs w:val="22"/>
        </w:rPr>
        <w:t xml:space="preserve"> </w:t>
      </w:r>
      <w:r w:rsidR="001B7D00">
        <w:rPr>
          <w:rFonts w:ascii="Garamond" w:hAnsi="Garamond"/>
          <w:sz w:val="22"/>
          <w:szCs w:val="22"/>
        </w:rPr>
        <w:t>E</w:t>
      </w:r>
      <w:r w:rsidR="001B7D00" w:rsidRPr="001B7D00">
        <w:rPr>
          <w:rFonts w:ascii="Garamond" w:hAnsi="Garamond"/>
          <w:sz w:val="22"/>
          <w:szCs w:val="22"/>
        </w:rPr>
        <w:t xml:space="preserve">conomic growth has been </w:t>
      </w:r>
      <w:r w:rsidR="001B7D00">
        <w:rPr>
          <w:rFonts w:ascii="Garamond" w:hAnsi="Garamond"/>
          <w:sz w:val="22"/>
          <w:szCs w:val="22"/>
        </w:rPr>
        <w:t xml:space="preserve">rather high since the start of </w:t>
      </w:r>
      <w:r w:rsidR="001B7D00" w:rsidRPr="001B7D00">
        <w:rPr>
          <w:rFonts w:ascii="Garamond" w:hAnsi="Garamond"/>
          <w:sz w:val="22"/>
          <w:szCs w:val="22"/>
        </w:rPr>
        <w:t xml:space="preserve">2019, </w:t>
      </w:r>
      <w:r w:rsidR="002D424C">
        <w:rPr>
          <w:rFonts w:ascii="Garamond" w:hAnsi="Garamond"/>
          <w:sz w:val="22"/>
          <w:szCs w:val="22"/>
        </w:rPr>
        <w:t>which w</w:t>
      </w:r>
      <w:r w:rsidR="001B7D00" w:rsidRPr="001B7D00">
        <w:rPr>
          <w:rFonts w:ascii="Garamond" w:hAnsi="Garamond"/>
          <w:sz w:val="22"/>
          <w:szCs w:val="22"/>
        </w:rPr>
        <w:t xml:space="preserve">as greatly </w:t>
      </w:r>
      <w:r w:rsidR="001B7D00">
        <w:rPr>
          <w:rFonts w:ascii="Garamond" w:hAnsi="Garamond"/>
          <w:sz w:val="22"/>
          <w:szCs w:val="22"/>
        </w:rPr>
        <w:t xml:space="preserve">driven by </w:t>
      </w:r>
      <w:r w:rsidR="001B7D00" w:rsidRPr="001B7D00">
        <w:rPr>
          <w:rFonts w:ascii="Garamond" w:hAnsi="Garamond"/>
          <w:sz w:val="22"/>
          <w:szCs w:val="22"/>
        </w:rPr>
        <w:t xml:space="preserve">domestic </w:t>
      </w:r>
      <w:r w:rsidR="001B7D00" w:rsidRPr="00D4483A">
        <w:rPr>
          <w:rFonts w:ascii="Garamond" w:hAnsi="Garamond"/>
          <w:sz w:val="22"/>
          <w:szCs w:val="22"/>
        </w:rPr>
        <w:t xml:space="preserve">demand and, particularly, vigorous private spending in terms of both increased consumption and accumulated fixed assets. Taking into account some </w:t>
      </w:r>
      <w:r w:rsidR="00E75CF0">
        <w:rPr>
          <w:rFonts w:ascii="Garamond" w:hAnsi="Garamond"/>
          <w:sz w:val="22"/>
          <w:szCs w:val="22"/>
        </w:rPr>
        <w:t>persistenet nature</w:t>
      </w:r>
      <w:r w:rsidR="00E75CF0" w:rsidRPr="00D4483A">
        <w:rPr>
          <w:rFonts w:ascii="Garamond" w:hAnsi="Garamond"/>
          <w:sz w:val="22"/>
          <w:szCs w:val="22"/>
        </w:rPr>
        <w:t xml:space="preserve"> </w:t>
      </w:r>
      <w:r w:rsidR="001B7D00" w:rsidRPr="00D4483A">
        <w:rPr>
          <w:rFonts w:ascii="Garamond" w:hAnsi="Garamond"/>
          <w:sz w:val="22"/>
          <w:szCs w:val="22"/>
        </w:rPr>
        <w:t xml:space="preserve">of consumption, as well as persistently high rates of lending to households, there is anticipation that that the growth of private consumption in 2019 will reach 10.0%, which will become the </w:t>
      </w:r>
      <w:r w:rsidR="00B82051" w:rsidRPr="00D4483A">
        <w:rPr>
          <w:rFonts w:ascii="Garamond" w:hAnsi="Garamond"/>
          <w:sz w:val="22"/>
          <w:szCs w:val="22"/>
        </w:rPr>
        <w:t xml:space="preserve">key </w:t>
      </w:r>
      <w:r w:rsidR="001B7D00" w:rsidRPr="00D4483A">
        <w:rPr>
          <w:rFonts w:ascii="Garamond" w:hAnsi="Garamond"/>
          <w:sz w:val="22"/>
          <w:szCs w:val="22"/>
        </w:rPr>
        <w:t>driv</w:t>
      </w:r>
      <w:r w:rsidR="00B82051" w:rsidRPr="00D4483A">
        <w:rPr>
          <w:rFonts w:ascii="Garamond" w:hAnsi="Garamond"/>
          <w:sz w:val="22"/>
          <w:szCs w:val="22"/>
        </w:rPr>
        <w:t xml:space="preserve">er </w:t>
      </w:r>
      <w:r w:rsidR="00E75CF0">
        <w:rPr>
          <w:rFonts w:ascii="Garamond" w:hAnsi="Garamond"/>
          <w:sz w:val="22"/>
          <w:szCs w:val="22"/>
        </w:rPr>
        <w:t>of</w:t>
      </w:r>
      <w:r w:rsidR="00E75CF0" w:rsidRPr="00D4483A">
        <w:rPr>
          <w:rFonts w:ascii="Garamond" w:hAnsi="Garamond"/>
          <w:sz w:val="22"/>
          <w:szCs w:val="22"/>
        </w:rPr>
        <w:t xml:space="preserve"> </w:t>
      </w:r>
      <w:r w:rsidR="001B7D00" w:rsidRPr="00D4483A">
        <w:rPr>
          <w:rFonts w:ascii="Garamond" w:hAnsi="Garamond"/>
          <w:sz w:val="22"/>
          <w:szCs w:val="22"/>
        </w:rPr>
        <w:t>private spending</w:t>
      </w:r>
      <w:r w:rsidR="00B82051" w:rsidRPr="00D4483A">
        <w:rPr>
          <w:rStyle w:val="FootnoteReference"/>
          <w:rFonts w:ascii="Garamond" w:hAnsi="Garamond"/>
          <w:sz w:val="22"/>
          <w:szCs w:val="22"/>
        </w:rPr>
        <w:footnoteReference w:customMarkFollows="1" w:id="3"/>
        <w:t>5</w:t>
      </w:r>
      <w:r w:rsidR="001B7D00" w:rsidRPr="00D4483A">
        <w:rPr>
          <w:rFonts w:ascii="Garamond" w:hAnsi="Garamond"/>
          <w:sz w:val="22"/>
          <w:szCs w:val="22"/>
        </w:rPr>
        <w:t xml:space="preserve">. </w:t>
      </w:r>
      <w:r w:rsidR="00D4483A" w:rsidRPr="00D4483A">
        <w:rPr>
          <w:rFonts w:ascii="Garamond" w:hAnsi="Garamond"/>
          <w:sz w:val="22"/>
          <w:szCs w:val="22"/>
        </w:rPr>
        <w:t xml:space="preserve">The </w:t>
      </w:r>
      <w:r w:rsidR="00D4483A">
        <w:rPr>
          <w:rFonts w:ascii="Garamond" w:hAnsi="Garamond"/>
          <w:sz w:val="22"/>
          <w:szCs w:val="22"/>
        </w:rPr>
        <w:t xml:space="preserve">growth of </w:t>
      </w:r>
      <w:r w:rsidR="00D4483A" w:rsidRPr="00D4483A">
        <w:rPr>
          <w:rFonts w:ascii="Garamond" w:hAnsi="Garamond"/>
          <w:sz w:val="22"/>
          <w:szCs w:val="22"/>
        </w:rPr>
        <w:t xml:space="preserve">gross private fixed asset accumulation </w:t>
      </w:r>
      <w:r w:rsidR="001B7D00" w:rsidRPr="00D4483A">
        <w:rPr>
          <w:rFonts w:ascii="Garamond" w:hAnsi="Garamond"/>
          <w:sz w:val="22"/>
          <w:szCs w:val="22"/>
        </w:rPr>
        <w:t xml:space="preserve">is estimated </w:t>
      </w:r>
      <w:r w:rsidR="00D4483A">
        <w:rPr>
          <w:rFonts w:ascii="Garamond" w:hAnsi="Garamond"/>
          <w:sz w:val="22"/>
          <w:szCs w:val="22"/>
        </w:rPr>
        <w:t xml:space="preserve">to be </w:t>
      </w:r>
      <w:r w:rsidR="001B7D00" w:rsidRPr="00D4483A">
        <w:rPr>
          <w:rFonts w:ascii="Garamond" w:hAnsi="Garamond"/>
          <w:sz w:val="22"/>
          <w:szCs w:val="22"/>
        </w:rPr>
        <w:t>13.7%</w:t>
      </w:r>
      <w:r w:rsidR="00D4483A">
        <w:rPr>
          <w:rFonts w:ascii="Garamond" w:hAnsi="Garamond"/>
          <w:sz w:val="22"/>
          <w:szCs w:val="22"/>
        </w:rPr>
        <w:t xml:space="preserve"> for 2019</w:t>
      </w:r>
      <w:r w:rsidR="001B7D00" w:rsidRPr="00D4483A">
        <w:rPr>
          <w:rFonts w:ascii="Garamond" w:hAnsi="Garamond"/>
          <w:sz w:val="22"/>
          <w:szCs w:val="22"/>
        </w:rPr>
        <w:t xml:space="preserve">, </w:t>
      </w:r>
      <w:r w:rsidR="00D4483A">
        <w:rPr>
          <w:rFonts w:ascii="Garamond" w:hAnsi="Garamond"/>
          <w:sz w:val="22"/>
          <w:szCs w:val="22"/>
        </w:rPr>
        <w:t>in which case t</w:t>
      </w:r>
      <w:r w:rsidR="001B7D00" w:rsidRPr="00D4483A">
        <w:rPr>
          <w:rFonts w:ascii="Garamond" w:hAnsi="Garamond"/>
          <w:sz w:val="22"/>
          <w:szCs w:val="22"/>
        </w:rPr>
        <w:t xml:space="preserve">he growth of private spending </w:t>
      </w:r>
      <w:r w:rsidR="00D4483A">
        <w:rPr>
          <w:rFonts w:ascii="Garamond" w:hAnsi="Garamond"/>
          <w:sz w:val="22"/>
          <w:szCs w:val="22"/>
        </w:rPr>
        <w:t xml:space="preserve">will make up </w:t>
      </w:r>
      <w:r w:rsidR="001B7D00" w:rsidRPr="00D4483A">
        <w:rPr>
          <w:rFonts w:ascii="Garamond" w:hAnsi="Garamond"/>
          <w:sz w:val="22"/>
          <w:szCs w:val="22"/>
        </w:rPr>
        <w:t xml:space="preserve">10.6%.          </w:t>
      </w:r>
    </w:p>
    <w:p w14:paraId="3E1EEC7B" w14:textId="77777777" w:rsidR="00A72561" w:rsidRDefault="00D4483A"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The mid-term </w:t>
      </w:r>
      <w:r w:rsidR="00C86872" w:rsidRPr="00EE5F0F">
        <w:rPr>
          <w:rFonts w:ascii="Garamond" w:hAnsi="Garamond"/>
          <w:sz w:val="22"/>
          <w:szCs w:val="22"/>
        </w:rPr>
        <w:t>economic growth</w:t>
      </w:r>
      <w:r>
        <w:rPr>
          <w:rFonts w:ascii="Garamond" w:hAnsi="Garamond"/>
          <w:sz w:val="22"/>
          <w:szCs w:val="22"/>
        </w:rPr>
        <w:t xml:space="preserve"> </w:t>
      </w:r>
      <w:r w:rsidR="00C86872" w:rsidRPr="00EE5F0F">
        <w:rPr>
          <w:rFonts w:ascii="Garamond" w:hAnsi="Garamond"/>
          <w:sz w:val="22"/>
          <w:szCs w:val="22"/>
        </w:rPr>
        <w:t>largely de</w:t>
      </w:r>
      <w:r>
        <w:rPr>
          <w:rFonts w:ascii="Garamond" w:hAnsi="Garamond"/>
          <w:sz w:val="22"/>
          <w:szCs w:val="22"/>
        </w:rPr>
        <w:t>pends on the</w:t>
      </w:r>
      <w:r w:rsidR="00C86872" w:rsidRPr="00EE5F0F">
        <w:rPr>
          <w:rFonts w:ascii="Garamond" w:hAnsi="Garamond"/>
          <w:sz w:val="22"/>
          <w:szCs w:val="22"/>
        </w:rPr>
        <w:t xml:space="preserve"> </w:t>
      </w:r>
      <w:r w:rsidR="002D424C">
        <w:rPr>
          <w:rFonts w:ascii="Garamond" w:hAnsi="Garamond"/>
          <w:sz w:val="22"/>
          <w:szCs w:val="22"/>
        </w:rPr>
        <w:t>expanding of production capacities and particularly those in tradable sector of the economy, the pace of structural reforms led by the Government, and the economic growth potential in partner countries to Armenia. On the part of demand</w:t>
      </w:r>
      <w:r w:rsidR="002D424C" w:rsidRPr="002D424C">
        <w:rPr>
          <w:rFonts w:ascii="Garamond" w:hAnsi="Garamond"/>
          <w:sz w:val="22"/>
          <w:szCs w:val="22"/>
        </w:rPr>
        <w:t xml:space="preserve">, economic growth will </w:t>
      </w:r>
      <w:r w:rsidR="00F72DDB">
        <w:rPr>
          <w:rFonts w:ascii="Garamond" w:hAnsi="Garamond"/>
          <w:sz w:val="22"/>
          <w:szCs w:val="22"/>
        </w:rPr>
        <w:t xml:space="preserve">primarily be driven </w:t>
      </w:r>
      <w:r w:rsidR="002D424C" w:rsidRPr="002D424C">
        <w:rPr>
          <w:rFonts w:ascii="Garamond" w:hAnsi="Garamond"/>
          <w:sz w:val="22"/>
          <w:szCs w:val="22"/>
        </w:rPr>
        <w:t xml:space="preserve">by </w:t>
      </w:r>
      <w:r w:rsidR="00F72DDB">
        <w:rPr>
          <w:rFonts w:ascii="Garamond" w:hAnsi="Garamond"/>
          <w:sz w:val="22"/>
          <w:szCs w:val="22"/>
        </w:rPr>
        <w:t xml:space="preserve">an increase in private spending and, </w:t>
      </w:r>
      <w:r w:rsidR="002D424C" w:rsidRPr="002D424C">
        <w:rPr>
          <w:rFonts w:ascii="Garamond" w:hAnsi="Garamond"/>
          <w:sz w:val="22"/>
          <w:szCs w:val="22"/>
        </w:rPr>
        <w:t xml:space="preserve">partly by the growth of public spending and net </w:t>
      </w:r>
      <w:r w:rsidR="002D424C" w:rsidRPr="002D424C">
        <w:rPr>
          <w:rFonts w:ascii="Garamond" w:hAnsi="Garamond"/>
          <w:sz w:val="22"/>
          <w:szCs w:val="22"/>
        </w:rPr>
        <w:lastRenderedPageBreak/>
        <w:t>exports</w:t>
      </w:r>
      <w:r w:rsidR="00F72DDB">
        <w:rPr>
          <w:rFonts w:ascii="Garamond" w:hAnsi="Garamond"/>
          <w:sz w:val="22"/>
          <w:szCs w:val="22"/>
        </w:rPr>
        <w:t xml:space="preserve">; note that the </w:t>
      </w:r>
      <w:r w:rsidR="002D424C" w:rsidRPr="002D424C">
        <w:rPr>
          <w:rFonts w:ascii="Garamond" w:hAnsi="Garamond"/>
          <w:sz w:val="22"/>
          <w:szCs w:val="22"/>
        </w:rPr>
        <w:t xml:space="preserve">positive impact </w:t>
      </w:r>
      <w:r w:rsidR="00F72DDB">
        <w:rPr>
          <w:rFonts w:ascii="Garamond" w:hAnsi="Garamond"/>
          <w:sz w:val="22"/>
          <w:szCs w:val="22"/>
        </w:rPr>
        <w:t xml:space="preserve">of net exports will begin </w:t>
      </w:r>
      <w:r w:rsidR="002D424C" w:rsidRPr="002D424C">
        <w:rPr>
          <w:rFonts w:ascii="Garamond" w:hAnsi="Garamond"/>
          <w:sz w:val="22"/>
          <w:szCs w:val="22"/>
        </w:rPr>
        <w:t>increasing</w:t>
      </w:r>
      <w:r w:rsidR="00F72DDB">
        <w:rPr>
          <w:rFonts w:ascii="Garamond" w:hAnsi="Garamond"/>
          <w:sz w:val="22"/>
          <w:szCs w:val="22"/>
        </w:rPr>
        <w:t xml:space="preserve"> gradually</w:t>
      </w:r>
      <w:r w:rsidR="002D424C" w:rsidRPr="002D424C">
        <w:rPr>
          <w:rFonts w:ascii="Garamond" w:hAnsi="Garamond"/>
          <w:sz w:val="22"/>
          <w:szCs w:val="22"/>
        </w:rPr>
        <w:t xml:space="preserve">. </w:t>
      </w:r>
      <w:r w:rsidR="003207A0">
        <w:rPr>
          <w:rFonts w:ascii="Garamond" w:hAnsi="Garamond"/>
          <w:sz w:val="22"/>
          <w:szCs w:val="22"/>
        </w:rPr>
        <w:t xml:space="preserve">The </w:t>
      </w:r>
      <w:r w:rsidR="002D424C" w:rsidRPr="002D424C">
        <w:rPr>
          <w:rFonts w:ascii="Garamond" w:hAnsi="Garamond"/>
          <w:sz w:val="22"/>
          <w:szCs w:val="22"/>
        </w:rPr>
        <w:t xml:space="preserve">mid-term forecasts </w:t>
      </w:r>
      <w:r w:rsidR="003207A0">
        <w:rPr>
          <w:rFonts w:ascii="Garamond" w:hAnsi="Garamond"/>
          <w:sz w:val="22"/>
          <w:szCs w:val="22"/>
        </w:rPr>
        <w:t xml:space="preserve">do </w:t>
      </w:r>
      <w:r w:rsidR="002D424C" w:rsidRPr="002D424C">
        <w:rPr>
          <w:rFonts w:ascii="Garamond" w:hAnsi="Garamond"/>
          <w:sz w:val="22"/>
          <w:szCs w:val="22"/>
        </w:rPr>
        <w:t xml:space="preserve">not significantly </w:t>
      </w:r>
      <w:r w:rsidR="003207A0">
        <w:rPr>
          <w:rFonts w:ascii="Garamond" w:hAnsi="Garamond"/>
          <w:sz w:val="22"/>
          <w:szCs w:val="22"/>
        </w:rPr>
        <w:t xml:space="preserve">differ from the ones made by the Central Bank </w:t>
      </w:r>
      <w:r w:rsidR="002D424C" w:rsidRPr="002D424C">
        <w:rPr>
          <w:rFonts w:ascii="Garamond" w:hAnsi="Garamond"/>
          <w:sz w:val="22"/>
          <w:szCs w:val="22"/>
        </w:rPr>
        <w:t>previous</w:t>
      </w:r>
      <w:r w:rsidR="003207A0">
        <w:rPr>
          <w:rFonts w:ascii="Garamond" w:hAnsi="Garamond"/>
          <w:sz w:val="22"/>
          <w:szCs w:val="22"/>
        </w:rPr>
        <w:t>ly</w:t>
      </w:r>
      <w:r w:rsidR="002D424C" w:rsidRPr="002D424C">
        <w:rPr>
          <w:rFonts w:ascii="Garamond" w:hAnsi="Garamond"/>
          <w:sz w:val="22"/>
          <w:szCs w:val="22"/>
        </w:rPr>
        <w:t>.</w:t>
      </w:r>
    </w:p>
    <w:p w14:paraId="4362FFBA" w14:textId="77777777" w:rsidR="00D4483A" w:rsidRPr="00EE5F0F" w:rsidRDefault="00EE619D" w:rsidP="00D4483A">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 xml:space="preserve">External demand: </w:t>
      </w:r>
      <w:r w:rsidR="00FD0A26">
        <w:rPr>
          <w:rFonts w:ascii="Garamond" w:hAnsi="Garamond"/>
          <w:sz w:val="22"/>
          <w:szCs w:val="22"/>
        </w:rPr>
        <w:t>T</w:t>
      </w:r>
      <w:r w:rsidR="00FD0A26" w:rsidRPr="00FD0A26">
        <w:rPr>
          <w:rFonts w:ascii="Garamond" w:hAnsi="Garamond"/>
          <w:sz w:val="22"/>
          <w:szCs w:val="22"/>
        </w:rPr>
        <w:t xml:space="preserve">he </w:t>
      </w:r>
      <w:r w:rsidR="000E1009">
        <w:rPr>
          <w:rFonts w:ascii="Garamond" w:hAnsi="Garamond"/>
          <w:sz w:val="22"/>
          <w:szCs w:val="22"/>
        </w:rPr>
        <w:t xml:space="preserve">previous year’s negative </w:t>
      </w:r>
      <w:r w:rsidR="00FD0A26" w:rsidRPr="00FD0A26">
        <w:rPr>
          <w:rFonts w:ascii="Garamond" w:hAnsi="Garamond"/>
          <w:sz w:val="22"/>
          <w:szCs w:val="22"/>
        </w:rPr>
        <w:t>contribut</w:t>
      </w:r>
      <w:r w:rsidR="004A5B16">
        <w:rPr>
          <w:rFonts w:ascii="Garamond" w:hAnsi="Garamond"/>
          <w:sz w:val="22"/>
          <w:szCs w:val="22"/>
        </w:rPr>
        <w:t xml:space="preserve">ion </w:t>
      </w:r>
      <w:r w:rsidR="000E1009">
        <w:rPr>
          <w:rFonts w:ascii="Garamond" w:hAnsi="Garamond"/>
          <w:sz w:val="22"/>
          <w:szCs w:val="22"/>
        </w:rPr>
        <w:t>of net export to real GDP will somehow abolish during 2019. T</w:t>
      </w:r>
      <w:r w:rsidR="000E1009" w:rsidRPr="00EE5F0F">
        <w:rPr>
          <w:rFonts w:ascii="Garamond" w:hAnsi="Garamond"/>
          <w:sz w:val="22"/>
          <w:szCs w:val="22"/>
        </w:rPr>
        <w:t xml:space="preserve">he real growth of </w:t>
      </w:r>
      <w:r w:rsidR="000E1009">
        <w:rPr>
          <w:rFonts w:ascii="Garamond" w:hAnsi="Garamond"/>
          <w:sz w:val="22"/>
          <w:szCs w:val="22"/>
        </w:rPr>
        <w:t>export</w:t>
      </w:r>
      <w:r w:rsidR="000E1009" w:rsidRPr="00EE5F0F">
        <w:rPr>
          <w:rFonts w:ascii="Garamond" w:hAnsi="Garamond"/>
          <w:sz w:val="22"/>
          <w:szCs w:val="22"/>
        </w:rPr>
        <w:t xml:space="preserve"> of goods and services </w:t>
      </w:r>
      <w:r w:rsidR="000E1009">
        <w:rPr>
          <w:rFonts w:ascii="Garamond" w:hAnsi="Garamond"/>
          <w:sz w:val="22"/>
          <w:szCs w:val="22"/>
        </w:rPr>
        <w:t>will be in the range of 4</w:t>
      </w:r>
      <w:r w:rsidR="000E1009" w:rsidRPr="00EE5F0F">
        <w:rPr>
          <w:rFonts w:ascii="Garamond" w:hAnsi="Garamond"/>
          <w:sz w:val="22"/>
          <w:szCs w:val="22"/>
        </w:rPr>
        <w:t>.0-</w:t>
      </w:r>
      <w:r w:rsidR="000E1009">
        <w:rPr>
          <w:rFonts w:ascii="Garamond" w:hAnsi="Garamond"/>
          <w:sz w:val="22"/>
          <w:szCs w:val="22"/>
        </w:rPr>
        <w:t>6</w:t>
      </w:r>
      <w:r w:rsidR="000E1009" w:rsidRPr="00EE5F0F">
        <w:rPr>
          <w:rFonts w:ascii="Garamond" w:hAnsi="Garamond"/>
          <w:sz w:val="22"/>
          <w:szCs w:val="22"/>
        </w:rPr>
        <w:t>.0%</w:t>
      </w:r>
      <w:r w:rsidR="000E1009">
        <w:rPr>
          <w:rFonts w:ascii="Garamond" w:hAnsi="Garamond"/>
          <w:sz w:val="22"/>
          <w:szCs w:val="22"/>
        </w:rPr>
        <w:t xml:space="preserve">, </w:t>
      </w:r>
      <w:r w:rsidR="000E1009" w:rsidRPr="000E1009">
        <w:rPr>
          <w:rFonts w:ascii="Garamond" w:hAnsi="Garamond"/>
          <w:sz w:val="22"/>
          <w:szCs w:val="22"/>
        </w:rPr>
        <w:t xml:space="preserve">taking </w:t>
      </w:r>
      <w:r w:rsidR="000E1009">
        <w:rPr>
          <w:rFonts w:ascii="Garamond" w:hAnsi="Garamond"/>
          <w:sz w:val="22"/>
          <w:szCs w:val="22"/>
        </w:rPr>
        <w:t xml:space="preserve">into </w:t>
      </w:r>
      <w:r w:rsidR="000E1009" w:rsidRPr="000E1009">
        <w:rPr>
          <w:rFonts w:ascii="Garamond" w:hAnsi="Garamond"/>
          <w:sz w:val="22"/>
          <w:szCs w:val="22"/>
        </w:rPr>
        <w:t xml:space="preserve">account </w:t>
      </w:r>
      <w:r w:rsidR="000E1009">
        <w:rPr>
          <w:rFonts w:ascii="Garamond" w:hAnsi="Garamond"/>
          <w:sz w:val="22"/>
          <w:szCs w:val="22"/>
        </w:rPr>
        <w:t xml:space="preserve">the forecasts for </w:t>
      </w:r>
      <w:r w:rsidR="00B36ABC" w:rsidRPr="000E1009">
        <w:rPr>
          <w:rFonts w:ascii="Garamond" w:hAnsi="Garamond"/>
          <w:sz w:val="22"/>
          <w:szCs w:val="22"/>
        </w:rPr>
        <w:t>industry</w:t>
      </w:r>
      <w:r w:rsidR="00B36ABC">
        <w:rPr>
          <w:rFonts w:ascii="Garamond" w:hAnsi="Garamond"/>
          <w:sz w:val="22"/>
          <w:szCs w:val="22"/>
        </w:rPr>
        <w:t xml:space="preserve">’s </w:t>
      </w:r>
      <w:r w:rsidR="000E1009">
        <w:rPr>
          <w:rFonts w:ascii="Garamond" w:hAnsi="Garamond"/>
          <w:sz w:val="22"/>
          <w:szCs w:val="22"/>
        </w:rPr>
        <w:t>rebound</w:t>
      </w:r>
      <w:r w:rsidR="00B36ABC">
        <w:rPr>
          <w:rFonts w:ascii="Garamond" w:hAnsi="Garamond"/>
          <w:sz w:val="22"/>
          <w:szCs w:val="22"/>
        </w:rPr>
        <w:t xml:space="preserve">ing. </w:t>
      </w:r>
    </w:p>
    <w:tbl>
      <w:tblPr>
        <w:tblStyle w:val="TableGrid"/>
        <w:tblW w:w="0" w:type="auto"/>
        <w:tblLook w:val="04A0" w:firstRow="1" w:lastRow="0" w:firstColumn="1" w:lastColumn="0" w:noHBand="0" w:noVBand="1"/>
      </w:tblPr>
      <w:tblGrid>
        <w:gridCol w:w="6204"/>
      </w:tblGrid>
      <w:tr w:rsidR="00D4483A" w:rsidRPr="00AB24C1" w14:paraId="45498F15" w14:textId="77777777" w:rsidTr="002762C9">
        <w:tc>
          <w:tcPr>
            <w:tcW w:w="6204" w:type="dxa"/>
          </w:tcPr>
          <w:p w14:paraId="47F962A1" w14:textId="77777777" w:rsidR="00D4483A" w:rsidRPr="002D6DE0" w:rsidRDefault="006B0127" w:rsidP="006B0127">
            <w:pPr>
              <w:autoSpaceDE w:val="0"/>
              <w:autoSpaceDN w:val="0"/>
              <w:adjustRightInd w:val="0"/>
              <w:spacing w:after="120" w:line="360" w:lineRule="auto"/>
              <w:jc w:val="both"/>
              <w:rPr>
                <w:rFonts w:ascii="Garamond" w:hAnsi="Garamond"/>
                <w:color w:val="0070C0"/>
                <w:sz w:val="20"/>
                <w:szCs w:val="20"/>
              </w:rPr>
            </w:pPr>
            <w:r>
              <w:rPr>
                <w:rFonts w:ascii="Garamond" w:hAnsi="Garamond"/>
                <w:color w:val="0070C0"/>
                <w:sz w:val="20"/>
                <w:szCs w:val="20"/>
              </w:rPr>
              <w:t>The previous year’s negative contribution of net export to real GDP will phase out to a certain extent during 2019</w:t>
            </w:r>
            <w:r w:rsidR="00D4483A">
              <w:rPr>
                <w:rFonts w:ascii="Garamond" w:hAnsi="Garamond"/>
                <w:color w:val="0070C0"/>
                <w:sz w:val="20"/>
                <w:szCs w:val="20"/>
              </w:rPr>
              <w:t>.</w:t>
            </w:r>
          </w:p>
        </w:tc>
      </w:tr>
    </w:tbl>
    <w:p w14:paraId="3202F53E" w14:textId="77777777" w:rsidR="00D4483A" w:rsidRDefault="00D4483A" w:rsidP="00EE619D">
      <w:pPr>
        <w:autoSpaceDE w:val="0"/>
        <w:autoSpaceDN w:val="0"/>
        <w:adjustRightInd w:val="0"/>
        <w:spacing w:after="120" w:line="360" w:lineRule="auto"/>
        <w:jc w:val="both"/>
        <w:rPr>
          <w:rFonts w:ascii="Garamond" w:hAnsi="Garamond"/>
          <w:sz w:val="22"/>
          <w:szCs w:val="22"/>
        </w:rPr>
      </w:pPr>
    </w:p>
    <w:p w14:paraId="3687127B" w14:textId="77777777" w:rsidR="001C139D" w:rsidRDefault="006B0127"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According to estimates, t</w:t>
      </w:r>
      <w:r w:rsidRPr="00EE5F0F">
        <w:rPr>
          <w:rFonts w:ascii="Garamond" w:hAnsi="Garamond"/>
          <w:sz w:val="22"/>
          <w:szCs w:val="22"/>
        </w:rPr>
        <w:t xml:space="preserve">he real growth of </w:t>
      </w:r>
      <w:r>
        <w:rPr>
          <w:rFonts w:ascii="Garamond" w:hAnsi="Garamond"/>
          <w:sz w:val="22"/>
          <w:szCs w:val="22"/>
        </w:rPr>
        <w:t>import</w:t>
      </w:r>
      <w:r w:rsidRPr="00EE5F0F">
        <w:rPr>
          <w:rFonts w:ascii="Garamond" w:hAnsi="Garamond"/>
          <w:sz w:val="22"/>
          <w:szCs w:val="22"/>
        </w:rPr>
        <w:t xml:space="preserve"> of goods and services </w:t>
      </w:r>
      <w:r>
        <w:rPr>
          <w:rFonts w:ascii="Garamond" w:hAnsi="Garamond"/>
          <w:sz w:val="22"/>
          <w:szCs w:val="22"/>
        </w:rPr>
        <w:t xml:space="preserve">will speed up in the second quarter of 2019 as the economic activity gains considerable momentum. In </w:t>
      </w:r>
      <w:r w:rsidR="001C139D">
        <w:rPr>
          <w:rFonts w:ascii="Garamond" w:hAnsi="Garamond"/>
          <w:sz w:val="22"/>
          <w:szCs w:val="22"/>
        </w:rPr>
        <w:t>the event</w:t>
      </w:r>
      <w:r>
        <w:rPr>
          <w:rFonts w:ascii="Garamond" w:hAnsi="Garamond"/>
          <w:sz w:val="22"/>
          <w:szCs w:val="22"/>
        </w:rPr>
        <w:t xml:space="preserve"> </w:t>
      </w:r>
      <w:r w:rsidR="001C139D">
        <w:rPr>
          <w:rFonts w:ascii="Garamond" w:hAnsi="Garamond"/>
          <w:sz w:val="22"/>
          <w:szCs w:val="22"/>
        </w:rPr>
        <w:t xml:space="preserve">such </w:t>
      </w:r>
      <w:r>
        <w:rPr>
          <w:rFonts w:ascii="Garamond" w:hAnsi="Garamond"/>
          <w:sz w:val="22"/>
          <w:szCs w:val="22"/>
        </w:rPr>
        <w:t>development</w:t>
      </w:r>
      <w:r w:rsidR="001C139D">
        <w:rPr>
          <w:rFonts w:ascii="Garamond" w:hAnsi="Garamond"/>
          <w:sz w:val="22"/>
          <w:szCs w:val="22"/>
        </w:rPr>
        <w:t xml:space="preserve"> patterns persist, the 2019 f</w:t>
      </w:r>
      <w:r w:rsidRPr="006B0127">
        <w:rPr>
          <w:rFonts w:ascii="Garamond" w:hAnsi="Garamond"/>
          <w:sz w:val="22"/>
          <w:szCs w:val="22"/>
        </w:rPr>
        <w:t>orecast</w:t>
      </w:r>
      <w:r w:rsidR="001C139D">
        <w:rPr>
          <w:rFonts w:ascii="Garamond" w:hAnsi="Garamond"/>
          <w:sz w:val="22"/>
          <w:szCs w:val="22"/>
        </w:rPr>
        <w:t>s</w:t>
      </w:r>
      <w:r w:rsidRPr="006B0127">
        <w:rPr>
          <w:rFonts w:ascii="Garamond" w:hAnsi="Garamond"/>
          <w:sz w:val="22"/>
          <w:szCs w:val="22"/>
        </w:rPr>
        <w:t xml:space="preserve"> of real growth of import of goods and services </w:t>
      </w:r>
      <w:r w:rsidR="001C139D">
        <w:rPr>
          <w:rFonts w:ascii="Garamond" w:hAnsi="Garamond"/>
          <w:sz w:val="22"/>
          <w:szCs w:val="22"/>
        </w:rPr>
        <w:t xml:space="preserve">will </w:t>
      </w:r>
      <w:r w:rsidRPr="006B0127">
        <w:rPr>
          <w:rFonts w:ascii="Garamond" w:hAnsi="Garamond"/>
          <w:sz w:val="22"/>
          <w:szCs w:val="22"/>
        </w:rPr>
        <w:t xml:space="preserve">be </w:t>
      </w:r>
      <w:r w:rsidR="001C139D">
        <w:rPr>
          <w:rFonts w:ascii="Garamond" w:hAnsi="Garamond"/>
          <w:sz w:val="22"/>
          <w:szCs w:val="22"/>
        </w:rPr>
        <w:t>in the range</w:t>
      </w:r>
      <w:r w:rsidRPr="006B0127">
        <w:rPr>
          <w:rFonts w:ascii="Garamond" w:hAnsi="Garamond"/>
          <w:sz w:val="22"/>
          <w:szCs w:val="22"/>
        </w:rPr>
        <w:t xml:space="preserve"> of 2.0-4.0%.</w:t>
      </w:r>
      <w:r w:rsidR="001C139D">
        <w:rPr>
          <w:rFonts w:ascii="Garamond" w:hAnsi="Garamond"/>
          <w:sz w:val="22"/>
          <w:szCs w:val="22"/>
        </w:rPr>
        <w:t xml:space="preserve"> </w:t>
      </w:r>
    </w:p>
    <w:p w14:paraId="76DCD30B" w14:textId="77777777" w:rsidR="0058304F" w:rsidRDefault="000909CF"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The growth of </w:t>
      </w:r>
      <w:r w:rsidR="0058304F">
        <w:rPr>
          <w:rFonts w:ascii="Garamond" w:hAnsi="Garamond"/>
          <w:sz w:val="22"/>
          <w:szCs w:val="22"/>
        </w:rPr>
        <w:t xml:space="preserve">net </w:t>
      </w:r>
      <w:r>
        <w:rPr>
          <w:rFonts w:ascii="Garamond" w:hAnsi="Garamond"/>
          <w:sz w:val="22"/>
          <w:szCs w:val="22"/>
        </w:rPr>
        <w:t>inflow of remittances</w:t>
      </w:r>
      <w:r w:rsidR="0058304F">
        <w:rPr>
          <w:rFonts w:ascii="Garamond" w:hAnsi="Garamond"/>
          <w:sz w:val="22"/>
          <w:szCs w:val="22"/>
        </w:rPr>
        <w:t xml:space="preserve"> in 2019</w:t>
      </w:r>
      <w:r>
        <w:rPr>
          <w:rFonts w:ascii="Garamond" w:hAnsi="Garamond"/>
          <w:sz w:val="22"/>
          <w:szCs w:val="22"/>
        </w:rPr>
        <w:t xml:space="preserve"> </w:t>
      </w:r>
      <w:r w:rsidR="001C139D">
        <w:rPr>
          <w:rFonts w:ascii="Garamond" w:hAnsi="Garamond"/>
          <w:sz w:val="22"/>
          <w:szCs w:val="22"/>
        </w:rPr>
        <w:t xml:space="preserve">is expected to be </w:t>
      </w:r>
      <w:r w:rsidR="0058304F">
        <w:rPr>
          <w:rFonts w:ascii="Garamond" w:hAnsi="Garamond"/>
          <w:sz w:val="22"/>
          <w:szCs w:val="22"/>
        </w:rPr>
        <w:t>between 5</w:t>
      </w:r>
      <w:r w:rsidR="0058304F" w:rsidRPr="00EE5F0F">
        <w:rPr>
          <w:rFonts w:ascii="Garamond" w:hAnsi="Garamond"/>
          <w:sz w:val="22"/>
          <w:szCs w:val="22"/>
        </w:rPr>
        <w:t>.0-</w:t>
      </w:r>
      <w:r w:rsidR="0058304F">
        <w:rPr>
          <w:rFonts w:ascii="Garamond" w:hAnsi="Garamond"/>
          <w:sz w:val="22"/>
          <w:szCs w:val="22"/>
        </w:rPr>
        <w:t>7</w:t>
      </w:r>
      <w:r w:rsidR="0058304F" w:rsidRPr="00EE5F0F">
        <w:rPr>
          <w:rFonts w:ascii="Garamond" w:hAnsi="Garamond"/>
          <w:sz w:val="22"/>
          <w:szCs w:val="22"/>
        </w:rPr>
        <w:t>.0%</w:t>
      </w:r>
      <w:r w:rsidR="0058304F">
        <w:rPr>
          <w:rFonts w:ascii="Garamond" w:hAnsi="Garamond"/>
          <w:sz w:val="22"/>
          <w:szCs w:val="22"/>
        </w:rPr>
        <w:t xml:space="preserve">, which is consistent with predicted </w:t>
      </w:r>
      <w:r w:rsidR="0058304F" w:rsidRPr="0058304F">
        <w:rPr>
          <w:rFonts w:ascii="Garamond" w:hAnsi="Garamond"/>
          <w:sz w:val="22"/>
          <w:szCs w:val="22"/>
        </w:rPr>
        <w:t>developments in the Russian economy.</w:t>
      </w:r>
      <w:r w:rsidR="0058304F">
        <w:rPr>
          <w:rFonts w:ascii="Garamond" w:hAnsi="Garamond"/>
          <w:sz w:val="22"/>
          <w:szCs w:val="22"/>
        </w:rPr>
        <w:t xml:space="preserve"> </w:t>
      </w:r>
    </w:p>
    <w:p w14:paraId="10994F73" w14:textId="77777777" w:rsidR="00167660" w:rsidRPr="00EE5F0F" w:rsidRDefault="00167660"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As a result of the aforementioned developments, the current account deficit-to-GDP ratio</w:t>
      </w:r>
      <w:r w:rsidR="001C139D">
        <w:rPr>
          <w:rStyle w:val="FootnoteReference"/>
          <w:rFonts w:ascii="Garamond" w:hAnsi="Garamond"/>
          <w:sz w:val="22"/>
          <w:szCs w:val="22"/>
        </w:rPr>
        <w:footnoteReference w:customMarkFollows="1" w:id="4"/>
        <w:t>6</w:t>
      </w:r>
      <w:r w:rsidRPr="00EE5F0F">
        <w:rPr>
          <w:rFonts w:ascii="Garamond" w:hAnsi="Garamond"/>
          <w:sz w:val="22"/>
          <w:szCs w:val="22"/>
        </w:rPr>
        <w:t xml:space="preserve"> </w:t>
      </w:r>
      <w:r w:rsidR="001C139D">
        <w:rPr>
          <w:rFonts w:ascii="Garamond" w:hAnsi="Garamond"/>
          <w:sz w:val="22"/>
          <w:szCs w:val="22"/>
        </w:rPr>
        <w:t xml:space="preserve">in 2019 </w:t>
      </w:r>
      <w:r w:rsidRPr="00EE5F0F">
        <w:rPr>
          <w:rFonts w:ascii="Garamond" w:hAnsi="Garamond"/>
          <w:sz w:val="22"/>
          <w:szCs w:val="22"/>
        </w:rPr>
        <w:t xml:space="preserve">will </w:t>
      </w:r>
      <w:r w:rsidR="001C139D">
        <w:rPr>
          <w:rFonts w:ascii="Garamond" w:hAnsi="Garamond"/>
          <w:sz w:val="22"/>
          <w:szCs w:val="22"/>
        </w:rPr>
        <w:t>run within 7</w:t>
      </w:r>
      <w:r w:rsidRPr="00EE5F0F">
        <w:rPr>
          <w:rFonts w:ascii="Garamond" w:hAnsi="Garamond"/>
          <w:sz w:val="22"/>
          <w:szCs w:val="22"/>
        </w:rPr>
        <w:t>.0-</w:t>
      </w:r>
      <w:r w:rsidR="001C139D">
        <w:rPr>
          <w:rFonts w:ascii="Garamond" w:hAnsi="Garamond"/>
          <w:sz w:val="22"/>
          <w:szCs w:val="22"/>
        </w:rPr>
        <w:t>8</w:t>
      </w:r>
      <w:r w:rsidRPr="00EE5F0F">
        <w:rPr>
          <w:rFonts w:ascii="Garamond" w:hAnsi="Garamond"/>
          <w:sz w:val="22"/>
          <w:szCs w:val="22"/>
        </w:rPr>
        <w:t>.0%.</w:t>
      </w:r>
      <w:r w:rsidR="004F233A">
        <w:rPr>
          <w:rFonts w:ascii="Garamond" w:hAnsi="Garamond"/>
          <w:sz w:val="22"/>
          <w:szCs w:val="22"/>
        </w:rPr>
        <w:t xml:space="preserve"> In the medium run</w:t>
      </w:r>
      <w:r w:rsidR="00E5705D">
        <w:rPr>
          <w:rFonts w:ascii="Garamond" w:hAnsi="Garamond"/>
          <w:sz w:val="22"/>
          <w:szCs w:val="22"/>
        </w:rPr>
        <w:t xml:space="preserve"> (end of 2022)</w:t>
      </w:r>
      <w:r w:rsidR="004F233A">
        <w:rPr>
          <w:rFonts w:ascii="Garamond" w:hAnsi="Garamond"/>
          <w:sz w:val="22"/>
          <w:szCs w:val="22"/>
        </w:rPr>
        <w:t xml:space="preserve">, </w:t>
      </w:r>
      <w:r w:rsidR="00102E11">
        <w:rPr>
          <w:rFonts w:ascii="Garamond" w:hAnsi="Garamond"/>
          <w:sz w:val="22"/>
          <w:szCs w:val="22"/>
        </w:rPr>
        <w:t xml:space="preserve">bolstered by a </w:t>
      </w:r>
      <w:r w:rsidR="0058304F">
        <w:rPr>
          <w:rFonts w:ascii="Garamond" w:hAnsi="Garamond"/>
          <w:sz w:val="22"/>
          <w:szCs w:val="22"/>
        </w:rPr>
        <w:t xml:space="preserve">faster </w:t>
      </w:r>
      <w:r w:rsidR="00102E11" w:rsidRPr="00102E11">
        <w:rPr>
          <w:rFonts w:ascii="Garamond" w:hAnsi="Garamond"/>
          <w:sz w:val="22"/>
          <w:szCs w:val="22"/>
        </w:rPr>
        <w:t>growth of export</w:t>
      </w:r>
      <w:r w:rsidR="00102E11">
        <w:rPr>
          <w:rFonts w:ascii="Garamond" w:hAnsi="Garamond"/>
          <w:sz w:val="22"/>
          <w:szCs w:val="22"/>
        </w:rPr>
        <w:t>,</w:t>
      </w:r>
      <w:r w:rsidR="00102E11" w:rsidRPr="00102E11">
        <w:rPr>
          <w:rFonts w:ascii="Garamond" w:hAnsi="Garamond"/>
          <w:sz w:val="22"/>
          <w:szCs w:val="22"/>
        </w:rPr>
        <w:t xml:space="preserve"> </w:t>
      </w:r>
      <w:r w:rsidR="004F233A">
        <w:rPr>
          <w:rFonts w:ascii="Garamond" w:hAnsi="Garamond"/>
          <w:sz w:val="22"/>
          <w:szCs w:val="22"/>
        </w:rPr>
        <w:t xml:space="preserve">the </w:t>
      </w:r>
      <w:r w:rsidR="004F233A" w:rsidRPr="004F233A">
        <w:rPr>
          <w:rFonts w:ascii="Garamond" w:hAnsi="Garamond"/>
          <w:sz w:val="22"/>
          <w:szCs w:val="22"/>
        </w:rPr>
        <w:t xml:space="preserve">ratio </w:t>
      </w:r>
      <w:r w:rsidR="004F233A">
        <w:rPr>
          <w:rFonts w:ascii="Garamond" w:hAnsi="Garamond"/>
          <w:sz w:val="22"/>
          <w:szCs w:val="22"/>
        </w:rPr>
        <w:t xml:space="preserve">will </w:t>
      </w:r>
      <w:r w:rsidR="00D21629">
        <w:rPr>
          <w:rFonts w:ascii="Garamond" w:hAnsi="Garamond"/>
          <w:sz w:val="22"/>
          <w:szCs w:val="22"/>
        </w:rPr>
        <w:t xml:space="preserve">gradually approach its estimated equilibrium </w:t>
      </w:r>
      <w:r w:rsidR="00746B40">
        <w:rPr>
          <w:rFonts w:ascii="Garamond" w:hAnsi="Garamond"/>
          <w:sz w:val="22"/>
          <w:szCs w:val="22"/>
        </w:rPr>
        <w:t xml:space="preserve">level </w:t>
      </w:r>
      <w:r w:rsidR="00D21629">
        <w:rPr>
          <w:rFonts w:ascii="Garamond" w:hAnsi="Garamond"/>
          <w:sz w:val="22"/>
          <w:szCs w:val="22"/>
        </w:rPr>
        <w:t xml:space="preserve">of </w:t>
      </w:r>
      <w:r w:rsidR="004F233A" w:rsidRPr="004F233A">
        <w:rPr>
          <w:rFonts w:ascii="Garamond" w:hAnsi="Garamond"/>
          <w:sz w:val="22"/>
          <w:szCs w:val="22"/>
        </w:rPr>
        <w:t>3.0%</w:t>
      </w:r>
      <w:r w:rsidR="004F233A">
        <w:rPr>
          <w:rFonts w:ascii="Garamond" w:hAnsi="Garamond"/>
          <w:sz w:val="22"/>
          <w:szCs w:val="22"/>
        </w:rPr>
        <w:t>.</w:t>
      </w:r>
    </w:p>
    <w:p w14:paraId="6489AB64" w14:textId="77777777" w:rsidR="00D60B77" w:rsidRPr="00EE5F0F" w:rsidRDefault="00EE619D" w:rsidP="00D60B77">
      <w:pPr>
        <w:autoSpaceDE w:val="0"/>
        <w:autoSpaceDN w:val="0"/>
        <w:adjustRightInd w:val="0"/>
        <w:spacing w:after="120" w:line="360" w:lineRule="auto"/>
        <w:jc w:val="both"/>
        <w:rPr>
          <w:rFonts w:ascii="Garamond" w:hAnsi="Garamond"/>
          <w:sz w:val="22"/>
          <w:szCs w:val="22"/>
        </w:rPr>
      </w:pPr>
      <w:r w:rsidRPr="00974358">
        <w:rPr>
          <w:rFonts w:ascii="Garamond" w:hAnsi="Garamond"/>
          <w:b/>
          <w:sz w:val="22"/>
          <w:szCs w:val="22"/>
        </w:rPr>
        <w:t>Fiscal policy:</w:t>
      </w:r>
      <w:r w:rsidRPr="00974358">
        <w:rPr>
          <w:rFonts w:ascii="Garamond" w:hAnsi="Garamond"/>
          <w:sz w:val="22"/>
          <w:szCs w:val="22"/>
        </w:rPr>
        <w:t xml:space="preserve"> </w:t>
      </w:r>
      <w:r w:rsidR="00974358">
        <w:rPr>
          <w:rFonts w:ascii="Garamond" w:hAnsi="Garamond"/>
          <w:sz w:val="22"/>
          <w:szCs w:val="22"/>
        </w:rPr>
        <w:t xml:space="preserve">The </w:t>
      </w:r>
      <w:r w:rsidR="00974358" w:rsidRPr="00D60B77">
        <w:rPr>
          <w:rFonts w:ascii="Garamond" w:hAnsi="Garamond"/>
          <w:b/>
          <w:sz w:val="22"/>
          <w:szCs w:val="22"/>
        </w:rPr>
        <w:t>fiscal policy’s impact</w:t>
      </w:r>
      <w:r w:rsidR="00974358">
        <w:rPr>
          <w:rFonts w:ascii="Garamond" w:hAnsi="Garamond"/>
          <w:sz w:val="22"/>
          <w:szCs w:val="22"/>
        </w:rPr>
        <w:t xml:space="preserve"> on aggregate demand </w:t>
      </w:r>
      <w:r w:rsidR="00D60B77">
        <w:rPr>
          <w:rFonts w:ascii="Garamond" w:hAnsi="Garamond"/>
          <w:sz w:val="22"/>
          <w:szCs w:val="22"/>
        </w:rPr>
        <w:t>in</w:t>
      </w:r>
      <w:r w:rsidR="004059B4">
        <w:rPr>
          <w:rFonts w:ascii="Garamond" w:hAnsi="Garamond"/>
          <w:sz w:val="22"/>
          <w:szCs w:val="22"/>
        </w:rPr>
        <w:t xml:space="preserve"> 2019</w:t>
      </w:r>
      <w:r w:rsidR="00974358">
        <w:rPr>
          <w:rFonts w:ascii="Garamond" w:hAnsi="Garamond"/>
          <w:sz w:val="22"/>
          <w:szCs w:val="22"/>
        </w:rPr>
        <w:t xml:space="preserve"> </w:t>
      </w:r>
      <w:r w:rsidR="004059B4">
        <w:rPr>
          <w:rFonts w:ascii="Garamond" w:hAnsi="Garamond"/>
          <w:sz w:val="22"/>
          <w:szCs w:val="22"/>
        </w:rPr>
        <w:t xml:space="preserve">was </w:t>
      </w:r>
      <w:r w:rsidR="00974358">
        <w:rPr>
          <w:rFonts w:ascii="Garamond" w:hAnsi="Garamond"/>
          <w:sz w:val="22"/>
          <w:szCs w:val="22"/>
        </w:rPr>
        <w:t>estimated using the revenue and e</w:t>
      </w:r>
      <w:r w:rsidR="00974358" w:rsidRPr="00974358">
        <w:rPr>
          <w:rFonts w:ascii="Garamond" w:hAnsi="Garamond"/>
          <w:sz w:val="22"/>
          <w:szCs w:val="22"/>
        </w:rPr>
        <w:t>xpenditure</w:t>
      </w:r>
      <w:r w:rsidR="007F3F03">
        <w:rPr>
          <w:rFonts w:ascii="Garamond" w:hAnsi="Garamond"/>
          <w:sz w:val="22"/>
          <w:szCs w:val="22"/>
        </w:rPr>
        <w:t xml:space="preserve"> </w:t>
      </w:r>
      <w:r w:rsidR="00974358">
        <w:rPr>
          <w:rFonts w:ascii="Garamond" w:hAnsi="Garamond"/>
          <w:sz w:val="22"/>
          <w:szCs w:val="22"/>
        </w:rPr>
        <w:t>i</w:t>
      </w:r>
      <w:r w:rsidR="00974358" w:rsidRPr="00974358">
        <w:rPr>
          <w:rFonts w:ascii="Garamond" w:hAnsi="Garamond"/>
          <w:sz w:val="22"/>
          <w:szCs w:val="22"/>
        </w:rPr>
        <w:t>ndicat</w:t>
      </w:r>
      <w:r w:rsidR="007F3F03">
        <w:rPr>
          <w:rFonts w:ascii="Garamond" w:hAnsi="Garamond"/>
          <w:sz w:val="22"/>
          <w:szCs w:val="22"/>
        </w:rPr>
        <w:t>ors</w:t>
      </w:r>
      <w:r w:rsidR="004059B4">
        <w:rPr>
          <w:rFonts w:ascii="Garamond" w:hAnsi="Garamond"/>
          <w:sz w:val="22"/>
          <w:szCs w:val="22"/>
        </w:rPr>
        <w:t>, so</w:t>
      </w:r>
      <w:r w:rsidR="007F3F03">
        <w:rPr>
          <w:rFonts w:ascii="Garamond" w:hAnsi="Garamond"/>
          <w:sz w:val="22"/>
          <w:szCs w:val="22"/>
        </w:rPr>
        <w:t xml:space="preserve"> outlined in </w:t>
      </w:r>
      <w:r w:rsidR="00974358">
        <w:rPr>
          <w:rFonts w:ascii="Garamond" w:hAnsi="Garamond"/>
          <w:sz w:val="22"/>
          <w:szCs w:val="22"/>
        </w:rPr>
        <w:t>the Republic of A</w:t>
      </w:r>
      <w:r w:rsidR="004059B4">
        <w:rPr>
          <w:rFonts w:ascii="Garamond" w:hAnsi="Garamond"/>
          <w:sz w:val="22"/>
          <w:szCs w:val="22"/>
        </w:rPr>
        <w:t>rmenia Law on “State Budget 2019</w:t>
      </w:r>
      <w:r w:rsidR="00974358">
        <w:rPr>
          <w:rFonts w:ascii="Garamond" w:hAnsi="Garamond"/>
          <w:sz w:val="22"/>
          <w:szCs w:val="22"/>
        </w:rPr>
        <w:t xml:space="preserve">” and </w:t>
      </w:r>
      <w:r w:rsidR="00D21629">
        <w:rPr>
          <w:rFonts w:ascii="Garamond" w:hAnsi="Garamond"/>
          <w:sz w:val="22"/>
          <w:szCs w:val="22"/>
        </w:rPr>
        <w:t>adjusted</w:t>
      </w:r>
      <w:r w:rsidR="00D21629">
        <w:rPr>
          <w:rStyle w:val="FootnoteReference"/>
          <w:rFonts w:ascii="Garamond" w:hAnsi="Garamond"/>
          <w:sz w:val="22"/>
          <w:szCs w:val="22"/>
        </w:rPr>
        <w:footnoteReference w:customMarkFollows="1" w:id="5"/>
        <w:t>7</w:t>
      </w:r>
      <w:r w:rsidR="00D21629">
        <w:rPr>
          <w:rFonts w:ascii="Garamond" w:hAnsi="Garamond"/>
          <w:sz w:val="22"/>
          <w:szCs w:val="22"/>
        </w:rPr>
        <w:t xml:space="preserve"> under certain resolutions of the Government. </w:t>
      </w:r>
      <w:r w:rsidR="00974358">
        <w:rPr>
          <w:rFonts w:ascii="Garamond" w:hAnsi="Garamond"/>
          <w:sz w:val="22"/>
          <w:szCs w:val="22"/>
        </w:rPr>
        <w:t xml:space="preserve"> </w:t>
      </w:r>
    </w:p>
    <w:p w14:paraId="10811983" w14:textId="77777777" w:rsidR="004059B4" w:rsidRDefault="008D3C4C" w:rsidP="00572A12">
      <w:pPr>
        <w:autoSpaceDE w:val="0"/>
        <w:autoSpaceDN w:val="0"/>
        <w:adjustRightInd w:val="0"/>
        <w:spacing w:after="120" w:line="360" w:lineRule="auto"/>
        <w:jc w:val="both"/>
        <w:rPr>
          <w:rFonts w:ascii="Garamond" w:hAnsi="Garamond"/>
          <w:sz w:val="22"/>
          <w:szCs w:val="22"/>
        </w:rPr>
      </w:pPr>
      <w:r>
        <w:rPr>
          <w:rFonts w:ascii="Garamond" w:hAnsi="Garamond"/>
          <w:sz w:val="22"/>
          <w:szCs w:val="22"/>
        </w:rPr>
        <w:t>Tax revenues are</w:t>
      </w:r>
      <w:r w:rsidR="004059B4" w:rsidRPr="00AA72F6">
        <w:rPr>
          <w:rFonts w:ascii="Garamond" w:hAnsi="Garamond"/>
          <w:sz w:val="22"/>
          <w:szCs w:val="22"/>
        </w:rPr>
        <w:t xml:space="preserve"> </w:t>
      </w:r>
      <w:r w:rsidR="00CE375C" w:rsidRPr="00AA72F6">
        <w:rPr>
          <w:rFonts w:ascii="Garamond" w:hAnsi="Garamond"/>
          <w:sz w:val="22"/>
          <w:szCs w:val="22"/>
        </w:rPr>
        <w:t xml:space="preserve">projected to </w:t>
      </w:r>
      <w:r>
        <w:rPr>
          <w:rFonts w:ascii="Garamond" w:hAnsi="Garamond"/>
          <w:sz w:val="22"/>
          <w:szCs w:val="22"/>
        </w:rPr>
        <w:t xml:space="preserve">outperform the </w:t>
      </w:r>
      <w:r w:rsidR="00CB568C">
        <w:rPr>
          <w:rFonts w:ascii="Garamond" w:hAnsi="Garamond"/>
          <w:sz w:val="22"/>
          <w:szCs w:val="22"/>
        </w:rPr>
        <w:t xml:space="preserve">relevant budget </w:t>
      </w:r>
      <w:r w:rsidR="00CB568C" w:rsidRPr="00AA72F6">
        <w:rPr>
          <w:rFonts w:ascii="Garamond" w:hAnsi="Garamond"/>
          <w:sz w:val="22"/>
          <w:szCs w:val="22"/>
        </w:rPr>
        <w:t>law</w:t>
      </w:r>
      <w:r w:rsidR="00CB568C">
        <w:rPr>
          <w:rFonts w:ascii="Garamond" w:hAnsi="Garamond"/>
          <w:sz w:val="22"/>
          <w:szCs w:val="22"/>
        </w:rPr>
        <w:t xml:space="preserve"> </w:t>
      </w:r>
      <w:r>
        <w:rPr>
          <w:rFonts w:ascii="Garamond" w:hAnsi="Garamond"/>
          <w:sz w:val="22"/>
          <w:szCs w:val="22"/>
        </w:rPr>
        <w:t xml:space="preserve">indicator by some AMD 62.0 billion, </w:t>
      </w:r>
      <w:r w:rsidR="00CB568C">
        <w:rPr>
          <w:rFonts w:ascii="Garamond" w:hAnsi="Garamond"/>
          <w:sz w:val="22"/>
          <w:szCs w:val="22"/>
        </w:rPr>
        <w:t xml:space="preserve">with nearly </w:t>
      </w:r>
      <w:r>
        <w:rPr>
          <w:rFonts w:ascii="Garamond" w:hAnsi="Garamond"/>
          <w:sz w:val="22"/>
          <w:szCs w:val="22"/>
        </w:rPr>
        <w:t xml:space="preserve">62% of </w:t>
      </w:r>
      <w:r w:rsidR="00CB568C">
        <w:rPr>
          <w:rFonts w:ascii="Garamond" w:hAnsi="Garamond"/>
          <w:sz w:val="22"/>
          <w:szCs w:val="22"/>
        </w:rPr>
        <w:t xml:space="preserve">revenue having been collected in the period January-May. Based on then year’s results, </w:t>
      </w:r>
      <w:r w:rsidR="009A742E">
        <w:rPr>
          <w:rFonts w:ascii="Garamond" w:hAnsi="Garamond"/>
          <w:sz w:val="22"/>
          <w:szCs w:val="22"/>
        </w:rPr>
        <w:t>the t</w:t>
      </w:r>
      <w:r w:rsidR="004059B4" w:rsidRPr="004059B4">
        <w:rPr>
          <w:rFonts w:ascii="Garamond" w:hAnsi="Garamond"/>
          <w:sz w:val="22"/>
          <w:szCs w:val="22"/>
        </w:rPr>
        <w:t>ax</w:t>
      </w:r>
      <w:r w:rsidR="009A742E">
        <w:rPr>
          <w:rFonts w:ascii="Garamond" w:hAnsi="Garamond"/>
          <w:sz w:val="22"/>
          <w:szCs w:val="22"/>
        </w:rPr>
        <w:t xml:space="preserve">es-to-GDP </w:t>
      </w:r>
      <w:r w:rsidR="004059B4" w:rsidRPr="004059B4">
        <w:rPr>
          <w:rFonts w:ascii="Garamond" w:hAnsi="Garamond"/>
          <w:sz w:val="22"/>
          <w:szCs w:val="22"/>
        </w:rPr>
        <w:t>ratio</w:t>
      </w:r>
      <w:r w:rsidR="00CB568C">
        <w:rPr>
          <w:rStyle w:val="FootnoteReference"/>
          <w:rFonts w:ascii="Garamond" w:hAnsi="Garamond"/>
          <w:sz w:val="22"/>
          <w:szCs w:val="22"/>
        </w:rPr>
        <w:footnoteReference w:customMarkFollows="1" w:id="6"/>
        <w:t>8</w:t>
      </w:r>
      <w:r w:rsidR="004059B4" w:rsidRPr="004059B4">
        <w:rPr>
          <w:rFonts w:ascii="Garamond" w:hAnsi="Garamond"/>
          <w:sz w:val="22"/>
          <w:szCs w:val="22"/>
        </w:rPr>
        <w:t xml:space="preserve"> will </w:t>
      </w:r>
      <w:r w:rsidR="009A742E">
        <w:rPr>
          <w:rFonts w:ascii="Garamond" w:hAnsi="Garamond"/>
          <w:sz w:val="22"/>
          <w:szCs w:val="22"/>
        </w:rPr>
        <w:t xml:space="preserve">amount to </w:t>
      </w:r>
      <w:r w:rsidR="004059B4" w:rsidRPr="004059B4">
        <w:rPr>
          <w:rFonts w:ascii="Garamond" w:hAnsi="Garamond"/>
          <w:sz w:val="22"/>
          <w:szCs w:val="22"/>
        </w:rPr>
        <w:t>2</w:t>
      </w:r>
      <w:r w:rsidR="00CB568C">
        <w:rPr>
          <w:rFonts w:ascii="Garamond" w:hAnsi="Garamond"/>
          <w:sz w:val="22"/>
          <w:szCs w:val="22"/>
        </w:rPr>
        <w:t>2</w:t>
      </w:r>
      <w:r w:rsidR="004059B4" w:rsidRPr="004059B4">
        <w:rPr>
          <w:rFonts w:ascii="Garamond" w:hAnsi="Garamond"/>
          <w:sz w:val="22"/>
          <w:szCs w:val="22"/>
        </w:rPr>
        <w:t>.</w:t>
      </w:r>
      <w:r w:rsidR="00CB568C">
        <w:rPr>
          <w:rFonts w:ascii="Garamond" w:hAnsi="Garamond"/>
          <w:sz w:val="22"/>
          <w:szCs w:val="22"/>
        </w:rPr>
        <w:t>1</w:t>
      </w:r>
      <w:r w:rsidR="004059B4" w:rsidRPr="004059B4">
        <w:rPr>
          <w:rFonts w:ascii="Garamond" w:hAnsi="Garamond"/>
          <w:sz w:val="22"/>
          <w:szCs w:val="22"/>
        </w:rPr>
        <w:t xml:space="preserve">%, </w:t>
      </w:r>
      <w:r w:rsidR="009A742E">
        <w:rPr>
          <w:rFonts w:ascii="Garamond" w:hAnsi="Garamond"/>
          <w:sz w:val="22"/>
          <w:szCs w:val="22"/>
        </w:rPr>
        <w:t>up by</w:t>
      </w:r>
      <w:r w:rsidR="004059B4" w:rsidRPr="004059B4">
        <w:rPr>
          <w:rFonts w:ascii="Garamond" w:hAnsi="Garamond"/>
          <w:sz w:val="22"/>
          <w:szCs w:val="22"/>
        </w:rPr>
        <w:t xml:space="preserve"> </w:t>
      </w:r>
      <w:r w:rsidR="00CB568C">
        <w:rPr>
          <w:rFonts w:ascii="Garamond" w:hAnsi="Garamond"/>
          <w:sz w:val="22"/>
          <w:szCs w:val="22"/>
        </w:rPr>
        <w:t>1</w:t>
      </w:r>
      <w:r w:rsidR="004059B4" w:rsidRPr="004059B4">
        <w:rPr>
          <w:rFonts w:ascii="Garamond" w:hAnsi="Garamond"/>
          <w:sz w:val="22"/>
          <w:szCs w:val="22"/>
        </w:rPr>
        <w:t>.</w:t>
      </w:r>
      <w:r w:rsidR="00CB568C">
        <w:rPr>
          <w:rFonts w:ascii="Garamond" w:hAnsi="Garamond"/>
          <w:sz w:val="22"/>
          <w:szCs w:val="22"/>
        </w:rPr>
        <w:t>2</w:t>
      </w:r>
      <w:r w:rsidR="004059B4" w:rsidRPr="004059B4">
        <w:rPr>
          <w:rFonts w:ascii="Garamond" w:hAnsi="Garamond"/>
          <w:sz w:val="22"/>
          <w:szCs w:val="22"/>
        </w:rPr>
        <w:t xml:space="preserve"> p</w:t>
      </w:r>
      <w:r w:rsidR="009A742E">
        <w:rPr>
          <w:rFonts w:ascii="Garamond" w:hAnsi="Garamond"/>
          <w:sz w:val="22"/>
          <w:szCs w:val="22"/>
        </w:rPr>
        <w:t xml:space="preserve">p </w:t>
      </w:r>
      <w:r w:rsidR="004059B4" w:rsidRPr="004059B4">
        <w:rPr>
          <w:rFonts w:ascii="Garamond" w:hAnsi="Garamond"/>
          <w:sz w:val="22"/>
          <w:szCs w:val="22"/>
        </w:rPr>
        <w:t>compared to the previous year.</w:t>
      </w:r>
    </w:p>
    <w:p w14:paraId="43BC6592" w14:textId="77777777" w:rsidR="00632A26" w:rsidRDefault="00632A26" w:rsidP="00572A12">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Considering </w:t>
      </w:r>
      <w:r w:rsidRPr="00632A26">
        <w:rPr>
          <w:rFonts w:ascii="Garamond" w:hAnsi="Garamond"/>
          <w:sz w:val="22"/>
          <w:szCs w:val="22"/>
        </w:rPr>
        <w:t xml:space="preserve">the </w:t>
      </w:r>
      <w:r>
        <w:rPr>
          <w:rFonts w:ascii="Garamond" w:hAnsi="Garamond"/>
          <w:sz w:val="22"/>
          <w:szCs w:val="22"/>
        </w:rPr>
        <w:t xml:space="preserve">budget </w:t>
      </w:r>
      <w:r w:rsidRPr="00632A26">
        <w:rPr>
          <w:rFonts w:ascii="Garamond" w:hAnsi="Garamond"/>
          <w:sz w:val="22"/>
          <w:szCs w:val="22"/>
        </w:rPr>
        <w:t xml:space="preserve">performance indicators of previous years, about 2.5% of </w:t>
      </w:r>
      <w:r w:rsidR="00111FBD">
        <w:rPr>
          <w:rFonts w:ascii="Garamond" w:hAnsi="Garamond"/>
          <w:sz w:val="22"/>
          <w:szCs w:val="22"/>
        </w:rPr>
        <w:t>government’s spending (nearly</w:t>
      </w:r>
      <w:r w:rsidRPr="00632A26">
        <w:rPr>
          <w:rFonts w:ascii="Garamond" w:hAnsi="Garamond"/>
          <w:sz w:val="22"/>
          <w:szCs w:val="22"/>
        </w:rPr>
        <w:t xml:space="preserve"> </w:t>
      </w:r>
      <w:r w:rsidR="00111FBD">
        <w:rPr>
          <w:rFonts w:ascii="Garamond" w:hAnsi="Garamond"/>
          <w:sz w:val="22"/>
          <w:szCs w:val="22"/>
        </w:rPr>
        <w:t xml:space="preserve">AMD </w:t>
      </w:r>
      <w:r w:rsidRPr="00632A26">
        <w:rPr>
          <w:rFonts w:ascii="Garamond" w:hAnsi="Garamond"/>
          <w:sz w:val="22"/>
          <w:szCs w:val="22"/>
        </w:rPr>
        <w:t>40.0 billion)</w:t>
      </w:r>
      <w:r w:rsidR="00111FBD">
        <w:rPr>
          <w:rFonts w:ascii="Garamond" w:hAnsi="Garamond"/>
          <w:sz w:val="22"/>
          <w:szCs w:val="22"/>
        </w:rPr>
        <w:t xml:space="preserve"> is projected to be saved</w:t>
      </w:r>
      <w:r w:rsidRPr="00632A26">
        <w:rPr>
          <w:rFonts w:ascii="Garamond" w:hAnsi="Garamond"/>
          <w:sz w:val="22"/>
          <w:szCs w:val="22"/>
        </w:rPr>
        <w:t xml:space="preserve">, mainly </w:t>
      </w:r>
      <w:r w:rsidR="00111FBD">
        <w:rPr>
          <w:rFonts w:ascii="Garamond" w:hAnsi="Garamond"/>
          <w:sz w:val="22"/>
          <w:szCs w:val="22"/>
        </w:rPr>
        <w:t xml:space="preserve">on the part foreign </w:t>
      </w:r>
      <w:r w:rsidRPr="00632A26">
        <w:rPr>
          <w:rFonts w:ascii="Garamond" w:hAnsi="Garamond"/>
          <w:sz w:val="22"/>
          <w:szCs w:val="22"/>
        </w:rPr>
        <w:t>assistance programs. The expenditure</w:t>
      </w:r>
      <w:r w:rsidR="00111FBD">
        <w:rPr>
          <w:rFonts w:ascii="Garamond" w:hAnsi="Garamond"/>
          <w:sz w:val="22"/>
          <w:szCs w:val="22"/>
        </w:rPr>
        <w:t>-to-</w:t>
      </w:r>
      <w:r w:rsidRPr="00632A26">
        <w:rPr>
          <w:rFonts w:ascii="Garamond" w:hAnsi="Garamond"/>
          <w:sz w:val="22"/>
          <w:szCs w:val="22"/>
        </w:rPr>
        <w:t xml:space="preserve">GDP ratio will make </w:t>
      </w:r>
      <w:r w:rsidR="00111FBD">
        <w:rPr>
          <w:rFonts w:ascii="Garamond" w:hAnsi="Garamond"/>
          <w:sz w:val="22"/>
          <w:szCs w:val="22"/>
        </w:rPr>
        <w:t xml:space="preserve">up </w:t>
      </w:r>
      <w:r w:rsidRPr="00632A26">
        <w:rPr>
          <w:rFonts w:ascii="Garamond" w:hAnsi="Garamond"/>
          <w:sz w:val="22"/>
          <w:szCs w:val="22"/>
        </w:rPr>
        <w:t xml:space="preserve">24.1%, </w:t>
      </w:r>
      <w:r w:rsidR="00111FBD">
        <w:rPr>
          <w:rFonts w:ascii="Garamond" w:hAnsi="Garamond"/>
          <w:sz w:val="22"/>
          <w:szCs w:val="22"/>
        </w:rPr>
        <w:t xml:space="preserve">up by </w:t>
      </w:r>
      <w:r w:rsidRPr="00632A26">
        <w:rPr>
          <w:rFonts w:ascii="Garamond" w:hAnsi="Garamond"/>
          <w:sz w:val="22"/>
          <w:szCs w:val="22"/>
        </w:rPr>
        <w:t>0.6 p</w:t>
      </w:r>
      <w:r w:rsidR="00111FBD">
        <w:rPr>
          <w:rFonts w:ascii="Garamond" w:hAnsi="Garamond"/>
          <w:sz w:val="22"/>
          <w:szCs w:val="22"/>
        </w:rPr>
        <w:t>p relative to</w:t>
      </w:r>
      <w:r w:rsidRPr="00632A26">
        <w:rPr>
          <w:rFonts w:ascii="Garamond" w:hAnsi="Garamond"/>
          <w:sz w:val="22"/>
          <w:szCs w:val="22"/>
        </w:rPr>
        <w:t xml:space="preserve"> the previous year.</w:t>
      </w:r>
    </w:p>
    <w:p w14:paraId="2D91679C" w14:textId="77777777" w:rsidR="00CB568C" w:rsidRDefault="00CB568C" w:rsidP="00572A12">
      <w:pPr>
        <w:autoSpaceDE w:val="0"/>
        <w:autoSpaceDN w:val="0"/>
        <w:adjustRightInd w:val="0"/>
        <w:spacing w:after="120" w:line="360" w:lineRule="auto"/>
        <w:jc w:val="both"/>
        <w:rPr>
          <w:rFonts w:ascii="Garamond" w:hAnsi="Garamond"/>
          <w:sz w:val="22"/>
          <w:szCs w:val="22"/>
        </w:rPr>
      </w:pPr>
      <w:r>
        <w:rPr>
          <w:rFonts w:ascii="Garamond" w:hAnsi="Garamond"/>
          <w:sz w:val="22"/>
          <w:szCs w:val="22"/>
        </w:rPr>
        <w:t>A</w:t>
      </w:r>
      <w:r w:rsidRPr="00CB568C">
        <w:rPr>
          <w:rFonts w:ascii="Garamond" w:hAnsi="Garamond"/>
          <w:sz w:val="22"/>
          <w:szCs w:val="22"/>
        </w:rPr>
        <w:t xml:space="preserve">n estimated </w:t>
      </w:r>
      <w:r w:rsidR="00C93C8A">
        <w:rPr>
          <w:rFonts w:ascii="Garamond" w:hAnsi="Garamond"/>
          <w:sz w:val="22"/>
          <w:szCs w:val="22"/>
        </w:rPr>
        <w:t xml:space="preserve">figure of </w:t>
      </w:r>
      <w:r w:rsidRPr="00CB568C">
        <w:rPr>
          <w:rFonts w:ascii="Garamond" w:hAnsi="Garamond"/>
          <w:sz w:val="22"/>
          <w:szCs w:val="22"/>
        </w:rPr>
        <w:t>savings of a</w:t>
      </w:r>
      <w:r>
        <w:rPr>
          <w:rFonts w:ascii="Garamond" w:hAnsi="Garamond"/>
          <w:sz w:val="22"/>
          <w:szCs w:val="22"/>
        </w:rPr>
        <w:t xml:space="preserve">bout </w:t>
      </w:r>
      <w:r w:rsidRPr="00CB568C">
        <w:rPr>
          <w:rFonts w:ascii="Garamond" w:hAnsi="Garamond"/>
          <w:sz w:val="22"/>
          <w:szCs w:val="22"/>
        </w:rPr>
        <w:t xml:space="preserve">2.5% </w:t>
      </w:r>
      <w:r>
        <w:rPr>
          <w:rFonts w:ascii="Garamond" w:hAnsi="Garamond"/>
          <w:sz w:val="22"/>
          <w:szCs w:val="22"/>
        </w:rPr>
        <w:t xml:space="preserve">of annual expenditures outlined in the previous MP program </w:t>
      </w:r>
      <w:r w:rsidRPr="00CB568C">
        <w:rPr>
          <w:rFonts w:ascii="Garamond" w:hAnsi="Garamond"/>
          <w:sz w:val="22"/>
          <w:szCs w:val="22"/>
        </w:rPr>
        <w:t xml:space="preserve">(approximately </w:t>
      </w:r>
      <w:r>
        <w:rPr>
          <w:rFonts w:ascii="Garamond" w:hAnsi="Garamond"/>
          <w:sz w:val="22"/>
          <w:szCs w:val="22"/>
        </w:rPr>
        <w:t xml:space="preserve">AMD </w:t>
      </w:r>
      <w:r w:rsidRPr="00CB568C">
        <w:rPr>
          <w:rFonts w:ascii="Garamond" w:hAnsi="Garamond"/>
          <w:sz w:val="22"/>
          <w:szCs w:val="22"/>
        </w:rPr>
        <w:t xml:space="preserve">40.0 billion) </w:t>
      </w:r>
      <w:r w:rsidR="00C93C8A">
        <w:rPr>
          <w:rFonts w:ascii="Garamond" w:hAnsi="Garamond"/>
          <w:sz w:val="22"/>
          <w:szCs w:val="22"/>
        </w:rPr>
        <w:t>remains actual and is based on the previous year’</w:t>
      </w:r>
      <w:r w:rsidRPr="00CB568C">
        <w:rPr>
          <w:rFonts w:ascii="Garamond" w:hAnsi="Garamond"/>
          <w:sz w:val="22"/>
          <w:szCs w:val="22"/>
        </w:rPr>
        <w:t xml:space="preserve">s </w:t>
      </w:r>
      <w:r w:rsidR="00C93C8A">
        <w:rPr>
          <w:rFonts w:ascii="Garamond" w:hAnsi="Garamond"/>
          <w:sz w:val="22"/>
          <w:szCs w:val="22"/>
        </w:rPr>
        <w:t xml:space="preserve">budget </w:t>
      </w:r>
      <w:r w:rsidRPr="00CB568C">
        <w:rPr>
          <w:rFonts w:ascii="Garamond" w:hAnsi="Garamond"/>
          <w:sz w:val="22"/>
          <w:szCs w:val="22"/>
        </w:rPr>
        <w:t xml:space="preserve">performance </w:t>
      </w:r>
      <w:r w:rsidRPr="00CB568C">
        <w:rPr>
          <w:rFonts w:ascii="Garamond" w:hAnsi="Garamond"/>
          <w:sz w:val="22"/>
          <w:szCs w:val="22"/>
        </w:rPr>
        <w:lastRenderedPageBreak/>
        <w:t xml:space="preserve">indicators. </w:t>
      </w:r>
      <w:r w:rsidR="00C93C8A">
        <w:rPr>
          <w:rFonts w:ascii="Garamond" w:hAnsi="Garamond"/>
          <w:sz w:val="22"/>
          <w:szCs w:val="22"/>
        </w:rPr>
        <w:t>Extra expenditures commensurate with at least AMD 62 billion-worth of outperformed revenues are projected and where part of these expenditures are to be directed to has been announced</w:t>
      </w:r>
      <w:r w:rsidR="007364B7">
        <w:rPr>
          <w:rStyle w:val="FootnoteReference"/>
          <w:rFonts w:ascii="Garamond" w:hAnsi="Garamond"/>
          <w:sz w:val="22"/>
          <w:szCs w:val="22"/>
        </w:rPr>
        <w:footnoteReference w:customMarkFollows="1" w:id="7"/>
        <w:t>9</w:t>
      </w:r>
      <w:r w:rsidR="00C93C8A">
        <w:rPr>
          <w:rFonts w:ascii="Garamond" w:hAnsi="Garamond"/>
          <w:sz w:val="22"/>
          <w:szCs w:val="22"/>
        </w:rPr>
        <w:t xml:space="preserve">. </w:t>
      </w:r>
      <w:r w:rsidR="007364B7" w:rsidRPr="007364B7">
        <w:rPr>
          <w:rFonts w:ascii="Garamond" w:hAnsi="Garamond"/>
          <w:sz w:val="22"/>
          <w:szCs w:val="22"/>
        </w:rPr>
        <w:t xml:space="preserve">The other part will be spent on capital expenditures </w:t>
      </w:r>
      <w:r w:rsidR="007364B7">
        <w:rPr>
          <w:rFonts w:ascii="Garamond" w:hAnsi="Garamond"/>
          <w:sz w:val="22"/>
          <w:szCs w:val="22"/>
        </w:rPr>
        <w:t xml:space="preserve">aimed </w:t>
      </w:r>
      <w:r w:rsidR="007364B7" w:rsidRPr="007364B7">
        <w:rPr>
          <w:rFonts w:ascii="Garamond" w:hAnsi="Garamond"/>
          <w:sz w:val="22"/>
          <w:szCs w:val="22"/>
        </w:rPr>
        <w:t>for further economic growth.</w:t>
      </w:r>
      <w:r w:rsidRPr="00CB568C">
        <w:rPr>
          <w:rFonts w:ascii="Garamond" w:hAnsi="Garamond"/>
          <w:sz w:val="22"/>
          <w:szCs w:val="22"/>
        </w:rPr>
        <w:t xml:space="preserve"> The expenditure</w:t>
      </w:r>
      <w:r w:rsidR="007364B7">
        <w:rPr>
          <w:rFonts w:ascii="Garamond" w:hAnsi="Garamond"/>
          <w:sz w:val="22"/>
          <w:szCs w:val="22"/>
        </w:rPr>
        <w:t>-to-</w:t>
      </w:r>
      <w:r w:rsidRPr="00CB568C">
        <w:rPr>
          <w:rFonts w:ascii="Garamond" w:hAnsi="Garamond"/>
          <w:sz w:val="22"/>
          <w:szCs w:val="22"/>
        </w:rPr>
        <w:t xml:space="preserve">GDP ratio will </w:t>
      </w:r>
      <w:r w:rsidR="007364B7">
        <w:rPr>
          <w:rFonts w:ascii="Garamond" w:hAnsi="Garamond"/>
          <w:sz w:val="22"/>
          <w:szCs w:val="22"/>
        </w:rPr>
        <w:t xml:space="preserve">reach </w:t>
      </w:r>
      <w:r w:rsidRPr="00CB568C">
        <w:rPr>
          <w:rFonts w:ascii="Garamond" w:hAnsi="Garamond"/>
          <w:sz w:val="22"/>
          <w:szCs w:val="22"/>
        </w:rPr>
        <w:t xml:space="preserve">24.8% as of the end of the year, </w:t>
      </w:r>
      <w:r w:rsidR="007364B7">
        <w:rPr>
          <w:rFonts w:ascii="Garamond" w:hAnsi="Garamond"/>
          <w:sz w:val="22"/>
          <w:szCs w:val="22"/>
        </w:rPr>
        <w:t xml:space="preserve">which will represent a </w:t>
      </w:r>
      <w:r w:rsidRPr="00CB568C">
        <w:rPr>
          <w:rFonts w:ascii="Garamond" w:hAnsi="Garamond"/>
          <w:sz w:val="22"/>
          <w:szCs w:val="22"/>
        </w:rPr>
        <w:t>1.3 p</w:t>
      </w:r>
      <w:r w:rsidR="007364B7">
        <w:rPr>
          <w:rFonts w:ascii="Garamond" w:hAnsi="Garamond"/>
          <w:sz w:val="22"/>
          <w:szCs w:val="22"/>
        </w:rPr>
        <w:t xml:space="preserve">p increase </w:t>
      </w:r>
      <w:r w:rsidRPr="00CB568C">
        <w:rPr>
          <w:rFonts w:ascii="Garamond" w:hAnsi="Garamond"/>
          <w:sz w:val="22"/>
          <w:szCs w:val="22"/>
        </w:rPr>
        <w:t>compared to the previous year.</w:t>
      </w:r>
    </w:p>
    <w:p w14:paraId="3E408FC8" w14:textId="77777777" w:rsidR="00111FBD" w:rsidRDefault="007364B7" w:rsidP="00572A12">
      <w:pPr>
        <w:autoSpaceDE w:val="0"/>
        <w:autoSpaceDN w:val="0"/>
        <w:adjustRightInd w:val="0"/>
        <w:spacing w:after="120" w:line="360" w:lineRule="auto"/>
        <w:jc w:val="both"/>
        <w:rPr>
          <w:rFonts w:ascii="Garamond" w:hAnsi="Garamond"/>
          <w:sz w:val="22"/>
          <w:szCs w:val="22"/>
        </w:rPr>
      </w:pPr>
      <w:r>
        <w:rPr>
          <w:rFonts w:ascii="Garamond" w:hAnsi="Garamond"/>
          <w:sz w:val="22"/>
          <w:szCs w:val="22"/>
        </w:rPr>
        <w:t>The b</w:t>
      </w:r>
      <w:r w:rsidR="00111FBD" w:rsidRPr="00111FBD">
        <w:rPr>
          <w:rFonts w:ascii="Garamond" w:hAnsi="Garamond"/>
          <w:sz w:val="22"/>
          <w:szCs w:val="22"/>
        </w:rPr>
        <w:t>udget deficit</w:t>
      </w:r>
      <w:r>
        <w:rPr>
          <w:rFonts w:ascii="Garamond" w:hAnsi="Garamond"/>
          <w:sz w:val="22"/>
          <w:szCs w:val="22"/>
        </w:rPr>
        <w:t>-to-GDP ratio is</w:t>
      </w:r>
      <w:r w:rsidR="00111FBD">
        <w:rPr>
          <w:rFonts w:ascii="Garamond" w:hAnsi="Garamond"/>
          <w:sz w:val="22"/>
          <w:szCs w:val="22"/>
        </w:rPr>
        <w:t xml:space="preserve"> estimated </w:t>
      </w:r>
      <w:r>
        <w:rPr>
          <w:rFonts w:ascii="Garamond" w:hAnsi="Garamond"/>
          <w:sz w:val="22"/>
          <w:szCs w:val="22"/>
        </w:rPr>
        <w:t xml:space="preserve">to be </w:t>
      </w:r>
      <w:r w:rsidR="00111FBD">
        <w:rPr>
          <w:rFonts w:ascii="Garamond" w:hAnsi="Garamond"/>
          <w:sz w:val="22"/>
          <w:szCs w:val="22"/>
        </w:rPr>
        <w:t>1.</w:t>
      </w:r>
      <w:r>
        <w:rPr>
          <w:rFonts w:ascii="Garamond" w:hAnsi="Garamond"/>
          <w:sz w:val="22"/>
          <w:szCs w:val="22"/>
        </w:rPr>
        <w:t>8</w:t>
      </w:r>
      <w:r w:rsidR="00111FBD" w:rsidRPr="00111FBD">
        <w:rPr>
          <w:rFonts w:ascii="Garamond" w:hAnsi="Garamond"/>
          <w:sz w:val="22"/>
          <w:szCs w:val="22"/>
        </w:rPr>
        <w:t>%</w:t>
      </w:r>
      <w:r w:rsidR="00111FBD">
        <w:rPr>
          <w:rFonts w:ascii="Garamond" w:hAnsi="Garamond"/>
          <w:sz w:val="22"/>
          <w:szCs w:val="22"/>
        </w:rPr>
        <w:t xml:space="preserve"> for 2019</w:t>
      </w:r>
      <w:r w:rsidR="00111FBD" w:rsidRPr="00111FBD">
        <w:rPr>
          <w:rFonts w:ascii="Garamond" w:hAnsi="Garamond"/>
          <w:sz w:val="22"/>
          <w:szCs w:val="22"/>
        </w:rPr>
        <w:t xml:space="preserve">, instead of 2.2% </w:t>
      </w:r>
      <w:r>
        <w:rPr>
          <w:rFonts w:ascii="Garamond" w:hAnsi="Garamond"/>
          <w:sz w:val="22"/>
          <w:szCs w:val="22"/>
        </w:rPr>
        <w:t>projected under the law</w:t>
      </w:r>
      <w:r w:rsidR="00111FBD" w:rsidRPr="00111FBD">
        <w:rPr>
          <w:rFonts w:ascii="Garamond" w:hAnsi="Garamond"/>
          <w:sz w:val="22"/>
          <w:szCs w:val="22"/>
        </w:rPr>
        <w:t>.</w:t>
      </w:r>
    </w:p>
    <w:p w14:paraId="4DD8C9C4" w14:textId="77777777" w:rsidR="00A84979" w:rsidRDefault="00C37665" w:rsidP="00A84979">
      <w:pPr>
        <w:autoSpaceDE w:val="0"/>
        <w:autoSpaceDN w:val="0"/>
        <w:adjustRightInd w:val="0"/>
        <w:spacing w:after="120" w:line="360" w:lineRule="auto"/>
        <w:jc w:val="both"/>
        <w:rPr>
          <w:rFonts w:ascii="Garamond" w:hAnsi="Garamond"/>
          <w:b/>
          <w:sz w:val="22"/>
          <w:szCs w:val="22"/>
        </w:rPr>
      </w:pPr>
      <w:r>
        <w:rPr>
          <w:rFonts w:ascii="Garamond" w:hAnsi="Garamond"/>
          <w:sz w:val="22"/>
          <w:szCs w:val="22"/>
        </w:rPr>
        <w:t xml:space="preserve">With the </w:t>
      </w:r>
      <w:r w:rsidR="00A84979">
        <w:rPr>
          <w:rFonts w:ascii="Garamond" w:hAnsi="Garamond"/>
          <w:sz w:val="22"/>
          <w:szCs w:val="22"/>
        </w:rPr>
        <w:t xml:space="preserve">above </w:t>
      </w:r>
      <w:r w:rsidR="00C86ABF" w:rsidRPr="00C86ABF">
        <w:rPr>
          <w:rFonts w:ascii="Garamond" w:hAnsi="Garamond"/>
          <w:sz w:val="22"/>
          <w:szCs w:val="22"/>
        </w:rPr>
        <w:t>tax and expenditure estimates</w:t>
      </w:r>
      <w:r w:rsidR="00C86ABF">
        <w:rPr>
          <w:rFonts w:ascii="Garamond" w:hAnsi="Garamond"/>
          <w:sz w:val="22"/>
          <w:szCs w:val="22"/>
        </w:rPr>
        <w:t xml:space="preserve"> </w:t>
      </w:r>
      <w:r w:rsidR="001C3F35">
        <w:rPr>
          <w:rFonts w:ascii="Garamond" w:hAnsi="Garamond"/>
          <w:sz w:val="22"/>
          <w:szCs w:val="22"/>
        </w:rPr>
        <w:t>a</w:t>
      </w:r>
      <w:r w:rsidR="00A84979">
        <w:rPr>
          <w:rFonts w:ascii="Garamond" w:hAnsi="Garamond"/>
          <w:sz w:val="22"/>
          <w:szCs w:val="22"/>
        </w:rPr>
        <w:t xml:space="preserve">s well as </w:t>
      </w:r>
      <w:r w:rsidR="001C3F35">
        <w:rPr>
          <w:rFonts w:ascii="Garamond" w:hAnsi="Garamond"/>
          <w:sz w:val="22"/>
          <w:szCs w:val="22"/>
        </w:rPr>
        <w:t xml:space="preserve">the </w:t>
      </w:r>
      <w:r w:rsidR="00C86ABF" w:rsidRPr="00C86ABF">
        <w:rPr>
          <w:rFonts w:ascii="Garamond" w:hAnsi="Garamond"/>
          <w:sz w:val="22"/>
          <w:szCs w:val="22"/>
        </w:rPr>
        <w:t xml:space="preserve">public expenditure and revenue </w:t>
      </w:r>
      <w:r w:rsidR="00A84979">
        <w:rPr>
          <w:rFonts w:ascii="Garamond" w:hAnsi="Garamond"/>
          <w:sz w:val="22"/>
          <w:szCs w:val="22"/>
        </w:rPr>
        <w:t xml:space="preserve">net of one-off streams and external payments, </w:t>
      </w:r>
      <w:r w:rsidR="001C3F35">
        <w:rPr>
          <w:rFonts w:ascii="Garamond" w:hAnsi="Garamond"/>
          <w:sz w:val="22"/>
          <w:szCs w:val="22"/>
        </w:rPr>
        <w:t xml:space="preserve">the fiscal policy’s impact on aggregate </w:t>
      </w:r>
      <w:r w:rsidR="00C86ABF" w:rsidRPr="00C86ABF">
        <w:rPr>
          <w:rFonts w:ascii="Garamond" w:hAnsi="Garamond"/>
          <w:sz w:val="22"/>
          <w:szCs w:val="22"/>
        </w:rPr>
        <w:t xml:space="preserve">demand will </w:t>
      </w:r>
      <w:r w:rsidR="001C3F35">
        <w:rPr>
          <w:rFonts w:ascii="Garamond" w:hAnsi="Garamond"/>
          <w:sz w:val="22"/>
          <w:szCs w:val="22"/>
        </w:rPr>
        <w:t xml:space="preserve">be </w:t>
      </w:r>
      <w:r w:rsidR="00A84979">
        <w:rPr>
          <w:rFonts w:ascii="Garamond" w:hAnsi="Garamond"/>
          <w:sz w:val="22"/>
          <w:szCs w:val="22"/>
        </w:rPr>
        <w:t>neutral in 2019</w:t>
      </w:r>
      <w:r w:rsidR="00C86ABF" w:rsidRPr="00C86ABF">
        <w:rPr>
          <w:rFonts w:ascii="Garamond" w:hAnsi="Garamond"/>
          <w:sz w:val="22"/>
          <w:szCs w:val="22"/>
        </w:rPr>
        <w:t>.</w:t>
      </w:r>
      <w:r w:rsidR="00A84979">
        <w:rPr>
          <w:rFonts w:ascii="Garamond" w:hAnsi="Garamond"/>
          <w:b/>
          <w:sz w:val="22"/>
          <w:szCs w:val="22"/>
        </w:rPr>
        <w:t xml:space="preserve"> </w:t>
      </w:r>
    </w:p>
    <w:p w14:paraId="10C14371" w14:textId="77777777" w:rsidR="00680C82" w:rsidRDefault="00B20764" w:rsidP="00A84979">
      <w:pPr>
        <w:autoSpaceDE w:val="0"/>
        <w:autoSpaceDN w:val="0"/>
        <w:adjustRightInd w:val="0"/>
        <w:spacing w:after="120" w:line="360" w:lineRule="auto"/>
        <w:jc w:val="both"/>
        <w:rPr>
          <w:rFonts w:ascii="Garamond" w:hAnsi="Garamond"/>
          <w:sz w:val="22"/>
          <w:szCs w:val="22"/>
        </w:rPr>
      </w:pPr>
      <w:r>
        <w:rPr>
          <w:rFonts w:ascii="Garamond" w:hAnsi="Garamond"/>
          <w:b/>
          <w:sz w:val="22"/>
          <w:szCs w:val="22"/>
        </w:rPr>
        <w:t xml:space="preserve">In the context of pursuing </w:t>
      </w:r>
      <w:r w:rsidRPr="00653CAD">
        <w:rPr>
          <w:rFonts w:ascii="Garamond" w:hAnsi="Garamond"/>
          <w:b/>
          <w:sz w:val="22"/>
          <w:szCs w:val="22"/>
        </w:rPr>
        <w:t>a sustainable fiscal and debt environment</w:t>
      </w:r>
      <w:r>
        <w:rPr>
          <w:rFonts w:ascii="Garamond" w:hAnsi="Garamond"/>
          <w:b/>
          <w:sz w:val="22"/>
          <w:szCs w:val="22"/>
        </w:rPr>
        <w:t>, t</w:t>
      </w:r>
      <w:r w:rsidR="002A4151" w:rsidRPr="00653CAD">
        <w:rPr>
          <w:rFonts w:ascii="Garamond" w:hAnsi="Garamond"/>
          <w:b/>
          <w:sz w:val="22"/>
          <w:szCs w:val="22"/>
        </w:rPr>
        <w:t xml:space="preserve">he </w:t>
      </w:r>
      <w:r w:rsidR="00A84979">
        <w:rPr>
          <w:rFonts w:ascii="Garamond" w:hAnsi="Garamond"/>
          <w:b/>
          <w:sz w:val="22"/>
          <w:szCs w:val="22"/>
        </w:rPr>
        <w:t xml:space="preserve">estimation of the </w:t>
      </w:r>
      <w:r w:rsidR="002A4151" w:rsidRPr="00653CAD">
        <w:rPr>
          <w:rFonts w:ascii="Garamond" w:hAnsi="Garamond"/>
          <w:b/>
          <w:sz w:val="22"/>
          <w:szCs w:val="22"/>
        </w:rPr>
        <w:t xml:space="preserve">mid-term impact of fiscal policy </w:t>
      </w:r>
      <w:r w:rsidR="00A84979">
        <w:rPr>
          <w:rFonts w:ascii="Garamond" w:hAnsi="Garamond"/>
          <w:b/>
          <w:sz w:val="22"/>
          <w:szCs w:val="22"/>
        </w:rPr>
        <w:t xml:space="preserve">remains </w:t>
      </w:r>
      <w:r w:rsidR="002A4151" w:rsidRPr="00653CAD">
        <w:rPr>
          <w:rFonts w:ascii="Garamond" w:hAnsi="Garamond"/>
          <w:b/>
          <w:sz w:val="22"/>
          <w:szCs w:val="22"/>
        </w:rPr>
        <w:t>slightly contractionary for 2020 and 2021</w:t>
      </w:r>
      <w:r>
        <w:rPr>
          <w:rFonts w:ascii="Garamond" w:hAnsi="Garamond"/>
          <w:b/>
          <w:sz w:val="22"/>
          <w:szCs w:val="22"/>
        </w:rPr>
        <w:t xml:space="preserve">, </w:t>
      </w:r>
      <w:r w:rsidRPr="00653CAD">
        <w:rPr>
          <w:rFonts w:ascii="Garamond" w:hAnsi="Garamond"/>
          <w:b/>
          <w:sz w:val="22"/>
          <w:szCs w:val="22"/>
        </w:rPr>
        <w:t>according to the Medium Term Expenditure Framework for 2019-2021</w:t>
      </w:r>
      <w:r>
        <w:rPr>
          <w:rFonts w:ascii="Garamond" w:hAnsi="Garamond"/>
          <w:b/>
          <w:sz w:val="22"/>
          <w:szCs w:val="22"/>
        </w:rPr>
        <w:t>.</w:t>
      </w:r>
      <w:r w:rsidR="00653CAD" w:rsidRPr="00653CAD">
        <w:rPr>
          <w:rFonts w:ascii="Garamond" w:hAnsi="Garamond"/>
          <w:b/>
          <w:sz w:val="22"/>
          <w:szCs w:val="22"/>
        </w:rPr>
        <w:t xml:space="preserve"> </w:t>
      </w:r>
    </w:p>
    <w:tbl>
      <w:tblPr>
        <w:tblStyle w:val="TableGrid"/>
        <w:tblW w:w="0" w:type="auto"/>
        <w:tblLook w:val="04A0" w:firstRow="1" w:lastRow="0" w:firstColumn="1" w:lastColumn="0" w:noHBand="0" w:noVBand="1"/>
      </w:tblPr>
      <w:tblGrid>
        <w:gridCol w:w="6204"/>
      </w:tblGrid>
      <w:tr w:rsidR="00A84979" w:rsidRPr="00AB24C1" w14:paraId="2D5F2AA4" w14:textId="77777777" w:rsidTr="002762C9">
        <w:tc>
          <w:tcPr>
            <w:tcW w:w="6204" w:type="dxa"/>
          </w:tcPr>
          <w:p w14:paraId="6144F45B" w14:textId="77777777" w:rsidR="00A84979" w:rsidRPr="002A4151" w:rsidRDefault="00A84979" w:rsidP="00A84979">
            <w:pPr>
              <w:autoSpaceDE w:val="0"/>
              <w:autoSpaceDN w:val="0"/>
              <w:adjustRightInd w:val="0"/>
              <w:spacing w:after="120" w:line="360" w:lineRule="auto"/>
              <w:jc w:val="both"/>
              <w:rPr>
                <w:rFonts w:ascii="Garamond" w:hAnsi="Garamond"/>
                <w:color w:val="0070C0"/>
                <w:sz w:val="20"/>
                <w:szCs w:val="20"/>
              </w:rPr>
            </w:pPr>
            <w:r w:rsidRPr="002A4151">
              <w:rPr>
                <w:rFonts w:ascii="Garamond" w:hAnsi="Garamond"/>
                <w:color w:val="0070C0"/>
                <w:sz w:val="20"/>
                <w:szCs w:val="20"/>
              </w:rPr>
              <w:t xml:space="preserve">In 2019, relative to 2018, the fiscal policy’s impact on aggregate demand is </w:t>
            </w:r>
            <w:r>
              <w:rPr>
                <w:rFonts w:ascii="Garamond" w:hAnsi="Garamond"/>
                <w:color w:val="0070C0"/>
                <w:sz w:val="20"/>
                <w:szCs w:val="20"/>
              </w:rPr>
              <w:t>an estimated neutral</w:t>
            </w:r>
            <w:r w:rsidRPr="002A4151">
              <w:rPr>
                <w:rFonts w:ascii="Garamond" w:hAnsi="Garamond"/>
                <w:color w:val="0070C0"/>
                <w:sz w:val="20"/>
                <w:szCs w:val="20"/>
              </w:rPr>
              <w:t>.</w:t>
            </w:r>
          </w:p>
        </w:tc>
      </w:tr>
    </w:tbl>
    <w:p w14:paraId="36F3986A" w14:textId="77777777" w:rsidR="00A84979" w:rsidRDefault="00A84979" w:rsidP="00EE619D">
      <w:pPr>
        <w:autoSpaceDE w:val="0"/>
        <w:autoSpaceDN w:val="0"/>
        <w:adjustRightInd w:val="0"/>
        <w:spacing w:after="120" w:line="360" w:lineRule="auto"/>
        <w:jc w:val="both"/>
        <w:rPr>
          <w:rFonts w:ascii="Garamond" w:hAnsi="Garamond"/>
          <w:b/>
          <w:sz w:val="22"/>
          <w:szCs w:val="22"/>
        </w:rPr>
      </w:pPr>
    </w:p>
    <w:p w14:paraId="3A2AF53F" w14:textId="77777777" w:rsidR="00EE619D" w:rsidRPr="00EE5F0F" w:rsidRDefault="00EE619D" w:rsidP="00EE619D">
      <w:pPr>
        <w:autoSpaceDE w:val="0"/>
        <w:autoSpaceDN w:val="0"/>
        <w:adjustRightInd w:val="0"/>
        <w:spacing w:after="120" w:line="360" w:lineRule="auto"/>
        <w:jc w:val="both"/>
        <w:rPr>
          <w:rFonts w:ascii="Garamond" w:hAnsi="Garamond"/>
          <w:sz w:val="22"/>
          <w:szCs w:val="22"/>
        </w:rPr>
      </w:pPr>
      <w:r w:rsidRPr="00266DC6">
        <w:rPr>
          <w:rFonts w:ascii="Garamond" w:hAnsi="Garamond"/>
          <w:b/>
          <w:sz w:val="22"/>
          <w:szCs w:val="22"/>
        </w:rPr>
        <w:t>Labor market</w:t>
      </w:r>
      <w:r w:rsidR="00A84979">
        <w:rPr>
          <w:rStyle w:val="FootnoteReference"/>
          <w:rFonts w:ascii="Garamond" w:hAnsi="Garamond"/>
          <w:b/>
          <w:sz w:val="22"/>
          <w:szCs w:val="22"/>
        </w:rPr>
        <w:footnoteReference w:customMarkFollows="1" w:id="8"/>
        <w:t>10</w:t>
      </w:r>
      <w:r w:rsidRPr="00266DC6">
        <w:rPr>
          <w:rFonts w:ascii="Garamond" w:hAnsi="Garamond"/>
          <w:b/>
          <w:sz w:val="22"/>
          <w:szCs w:val="22"/>
        </w:rPr>
        <w:t xml:space="preserve">: </w:t>
      </w:r>
      <w:r w:rsidR="00603119" w:rsidRPr="00603119">
        <w:rPr>
          <w:rFonts w:ascii="Garamond" w:hAnsi="Garamond"/>
          <w:sz w:val="22"/>
          <w:szCs w:val="22"/>
        </w:rPr>
        <w:t>In 2019</w:t>
      </w:r>
      <w:r w:rsidR="00A164A2" w:rsidRPr="00A164A2">
        <w:rPr>
          <w:rFonts w:ascii="Garamond" w:hAnsi="Garamond"/>
          <w:sz w:val="22"/>
          <w:szCs w:val="22"/>
        </w:rPr>
        <w:t xml:space="preserve"> the </w:t>
      </w:r>
      <w:r w:rsidR="00006209">
        <w:rPr>
          <w:rFonts w:ascii="Garamond" w:hAnsi="Garamond"/>
          <w:sz w:val="22"/>
          <w:szCs w:val="22"/>
        </w:rPr>
        <w:t xml:space="preserve">private sector </w:t>
      </w:r>
      <w:r w:rsidR="00A164A2" w:rsidRPr="00A164A2">
        <w:rPr>
          <w:rFonts w:ascii="Garamond" w:hAnsi="Garamond"/>
          <w:sz w:val="22"/>
          <w:szCs w:val="22"/>
        </w:rPr>
        <w:t xml:space="preserve">nominal wages </w:t>
      </w:r>
      <w:r w:rsidR="00006209">
        <w:rPr>
          <w:rFonts w:ascii="Garamond" w:hAnsi="Garamond"/>
          <w:sz w:val="22"/>
          <w:szCs w:val="22"/>
        </w:rPr>
        <w:t>are expected to grow by</w:t>
      </w:r>
      <w:r w:rsidR="00020F25">
        <w:rPr>
          <w:rFonts w:ascii="Garamond" w:hAnsi="Garamond"/>
          <w:sz w:val="22"/>
          <w:szCs w:val="22"/>
        </w:rPr>
        <w:t xml:space="preserve"> </w:t>
      </w:r>
      <w:r w:rsidR="00266DC6" w:rsidRPr="00603119">
        <w:rPr>
          <w:rFonts w:ascii="Garamond" w:hAnsi="Garamond"/>
          <w:sz w:val="22"/>
          <w:szCs w:val="22"/>
        </w:rPr>
        <w:t>6.</w:t>
      </w:r>
      <w:r w:rsidR="00006209">
        <w:rPr>
          <w:rFonts w:ascii="Garamond" w:hAnsi="Garamond"/>
          <w:sz w:val="22"/>
          <w:szCs w:val="22"/>
        </w:rPr>
        <w:t xml:space="preserve">3%, which is consistent with </w:t>
      </w:r>
      <w:r w:rsidR="00006209" w:rsidRPr="00EE5F0F">
        <w:rPr>
          <w:rFonts w:ascii="Garamond" w:hAnsi="Garamond"/>
          <w:sz w:val="22"/>
          <w:szCs w:val="22"/>
        </w:rPr>
        <w:t>economic growth developments</w:t>
      </w:r>
      <w:r w:rsidR="00006209">
        <w:rPr>
          <w:rFonts w:ascii="Garamond" w:hAnsi="Garamond"/>
          <w:sz w:val="22"/>
          <w:szCs w:val="22"/>
        </w:rPr>
        <w:t xml:space="preserve"> mentioned above</w:t>
      </w:r>
      <w:r w:rsidR="00266DC6">
        <w:rPr>
          <w:rFonts w:ascii="Garamond" w:hAnsi="Garamond"/>
          <w:sz w:val="22"/>
          <w:szCs w:val="22"/>
        </w:rPr>
        <w:t xml:space="preserve">. </w:t>
      </w:r>
      <w:r w:rsidR="00E31B2F" w:rsidRPr="00EE5F0F">
        <w:rPr>
          <w:rFonts w:ascii="Garamond" w:hAnsi="Garamond"/>
          <w:sz w:val="22"/>
          <w:szCs w:val="22"/>
        </w:rPr>
        <w:t xml:space="preserve">In the medium </w:t>
      </w:r>
      <w:r w:rsidR="00262DF4">
        <w:rPr>
          <w:rFonts w:ascii="Garamond" w:hAnsi="Garamond"/>
          <w:sz w:val="22"/>
          <w:szCs w:val="22"/>
        </w:rPr>
        <w:t>run</w:t>
      </w:r>
      <w:r w:rsidR="00E31B2F" w:rsidRPr="00EE5F0F">
        <w:rPr>
          <w:rFonts w:ascii="Garamond" w:hAnsi="Garamond"/>
          <w:sz w:val="22"/>
          <w:szCs w:val="22"/>
        </w:rPr>
        <w:t xml:space="preserve">, the </w:t>
      </w:r>
      <w:r w:rsidR="00262DF4" w:rsidRPr="00EE5F0F">
        <w:rPr>
          <w:rFonts w:ascii="Garamond" w:hAnsi="Garamond"/>
          <w:sz w:val="22"/>
          <w:szCs w:val="22"/>
        </w:rPr>
        <w:t xml:space="preserve">private sector </w:t>
      </w:r>
      <w:r w:rsidR="00262DF4">
        <w:rPr>
          <w:rFonts w:ascii="Garamond" w:hAnsi="Garamond"/>
          <w:sz w:val="22"/>
          <w:szCs w:val="22"/>
        </w:rPr>
        <w:t>n</w:t>
      </w:r>
      <w:r w:rsidR="00E31B2F" w:rsidRPr="00EE5F0F">
        <w:rPr>
          <w:rFonts w:ascii="Garamond" w:hAnsi="Garamond"/>
          <w:sz w:val="22"/>
          <w:szCs w:val="22"/>
        </w:rPr>
        <w:t xml:space="preserve">ominal wage </w:t>
      </w:r>
      <w:r w:rsidR="00262DF4">
        <w:rPr>
          <w:rFonts w:ascii="Garamond" w:hAnsi="Garamond"/>
          <w:sz w:val="22"/>
          <w:szCs w:val="22"/>
        </w:rPr>
        <w:t xml:space="preserve">growth </w:t>
      </w:r>
      <w:r w:rsidR="00E31B2F" w:rsidRPr="00EE5F0F">
        <w:rPr>
          <w:rFonts w:ascii="Garamond" w:hAnsi="Garamond"/>
          <w:sz w:val="22"/>
          <w:szCs w:val="22"/>
        </w:rPr>
        <w:t xml:space="preserve">will be </w:t>
      </w:r>
      <w:r w:rsidR="00006209">
        <w:rPr>
          <w:rFonts w:ascii="Garamond" w:hAnsi="Garamond"/>
          <w:sz w:val="22"/>
          <w:szCs w:val="22"/>
        </w:rPr>
        <w:t xml:space="preserve">in line with </w:t>
      </w:r>
      <w:r w:rsidR="00E31B2F" w:rsidRPr="00EE5F0F">
        <w:rPr>
          <w:rFonts w:ascii="Garamond" w:hAnsi="Garamond"/>
          <w:sz w:val="22"/>
          <w:szCs w:val="22"/>
        </w:rPr>
        <w:t>economic growth and inflation developments</w:t>
      </w:r>
      <w:r w:rsidR="00262DF4">
        <w:rPr>
          <w:rFonts w:ascii="Garamond" w:hAnsi="Garamond"/>
          <w:sz w:val="22"/>
          <w:szCs w:val="22"/>
        </w:rPr>
        <w:t>, i.e. its fundamentals</w:t>
      </w:r>
      <w:r w:rsidR="00020F25" w:rsidRPr="00EE5F0F">
        <w:rPr>
          <w:rFonts w:ascii="Garamond" w:hAnsi="Garamond"/>
          <w:sz w:val="22"/>
          <w:szCs w:val="22"/>
        </w:rPr>
        <w:t>.</w:t>
      </w:r>
      <w:r w:rsidR="00006209">
        <w:rPr>
          <w:rFonts w:ascii="Garamond" w:hAnsi="Garamond"/>
          <w:sz w:val="22"/>
          <w:szCs w:val="22"/>
        </w:rPr>
        <w:t xml:space="preserve"> </w:t>
      </w:r>
      <w:r w:rsidR="00006209" w:rsidRPr="00006209">
        <w:rPr>
          <w:rFonts w:ascii="Garamond" w:hAnsi="Garamond"/>
          <w:sz w:val="22"/>
          <w:szCs w:val="22"/>
        </w:rPr>
        <w:t xml:space="preserve">Thus, </w:t>
      </w:r>
      <w:r w:rsidR="00006209">
        <w:rPr>
          <w:rFonts w:ascii="Garamond" w:hAnsi="Garamond"/>
          <w:sz w:val="22"/>
          <w:szCs w:val="22"/>
        </w:rPr>
        <w:t xml:space="preserve">the growth of private sector </w:t>
      </w:r>
      <w:r w:rsidR="00006209" w:rsidRPr="00A164A2">
        <w:rPr>
          <w:rFonts w:ascii="Garamond" w:hAnsi="Garamond"/>
          <w:sz w:val="22"/>
          <w:szCs w:val="22"/>
        </w:rPr>
        <w:t>nominal wages</w:t>
      </w:r>
      <w:r w:rsidR="00006209">
        <w:rPr>
          <w:rFonts w:ascii="Garamond" w:hAnsi="Garamond"/>
          <w:sz w:val="22"/>
          <w:szCs w:val="22"/>
        </w:rPr>
        <w:t xml:space="preserve"> is predicted to reach </w:t>
      </w:r>
      <w:r w:rsidR="00006209" w:rsidRPr="00006209">
        <w:rPr>
          <w:rFonts w:ascii="Garamond" w:hAnsi="Garamond"/>
          <w:sz w:val="22"/>
          <w:szCs w:val="22"/>
        </w:rPr>
        <w:t xml:space="preserve">7.7%, and at the end of the forecast horizon it will stabilize </w:t>
      </w:r>
      <w:r w:rsidR="00006209">
        <w:rPr>
          <w:rFonts w:ascii="Garamond" w:hAnsi="Garamond"/>
          <w:sz w:val="22"/>
          <w:szCs w:val="22"/>
        </w:rPr>
        <w:t xml:space="preserve">around </w:t>
      </w:r>
      <w:r w:rsidR="00006209" w:rsidRPr="00006209">
        <w:rPr>
          <w:rFonts w:ascii="Garamond" w:hAnsi="Garamond"/>
          <w:sz w:val="22"/>
          <w:szCs w:val="22"/>
        </w:rPr>
        <w:t>8.2%.</w:t>
      </w:r>
      <w:r w:rsidR="007D055F" w:rsidRPr="00EE5F0F">
        <w:rPr>
          <w:rFonts w:ascii="Garamond" w:hAnsi="Garamond"/>
          <w:sz w:val="22"/>
          <w:szCs w:val="22"/>
        </w:rPr>
        <w:t xml:space="preserve"> </w:t>
      </w:r>
    </w:p>
    <w:p w14:paraId="1D0F4A74" w14:textId="77777777" w:rsidR="007D055F" w:rsidRPr="00EE5F0F" w:rsidRDefault="002762C9"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Somewhat </w:t>
      </w:r>
      <w:r w:rsidRPr="007849D7">
        <w:rPr>
          <w:rFonts w:ascii="Garamond" w:hAnsi="Garamond"/>
          <w:sz w:val="22"/>
          <w:szCs w:val="22"/>
        </w:rPr>
        <w:t>a lower unemployment rate</w:t>
      </w:r>
      <w:r>
        <w:rPr>
          <w:rFonts w:ascii="Garamond" w:hAnsi="Garamond"/>
          <w:sz w:val="22"/>
          <w:szCs w:val="22"/>
        </w:rPr>
        <w:t>,</w:t>
      </w:r>
      <w:r w:rsidRPr="007849D7">
        <w:rPr>
          <w:rFonts w:ascii="Garamond" w:hAnsi="Garamond"/>
          <w:sz w:val="22"/>
          <w:szCs w:val="22"/>
        </w:rPr>
        <w:t xml:space="preserve"> 1</w:t>
      </w:r>
      <w:r>
        <w:rPr>
          <w:rFonts w:ascii="Garamond" w:hAnsi="Garamond"/>
          <w:sz w:val="22"/>
          <w:szCs w:val="22"/>
        </w:rPr>
        <w:t>5</w:t>
      </w:r>
      <w:r w:rsidRPr="007849D7">
        <w:rPr>
          <w:rFonts w:ascii="Garamond" w:hAnsi="Garamond"/>
          <w:sz w:val="22"/>
          <w:szCs w:val="22"/>
        </w:rPr>
        <w:t>.</w:t>
      </w:r>
      <w:r>
        <w:rPr>
          <w:rFonts w:ascii="Garamond" w:hAnsi="Garamond"/>
          <w:sz w:val="22"/>
          <w:szCs w:val="22"/>
        </w:rPr>
        <w:t>9</w:t>
      </w:r>
      <w:r w:rsidRPr="007849D7">
        <w:rPr>
          <w:rFonts w:ascii="Garamond" w:hAnsi="Garamond"/>
          <w:sz w:val="22"/>
          <w:szCs w:val="22"/>
        </w:rPr>
        <w:t>%</w:t>
      </w:r>
      <w:r>
        <w:rPr>
          <w:rFonts w:ascii="Garamond" w:hAnsi="Garamond"/>
          <w:sz w:val="22"/>
          <w:szCs w:val="22"/>
        </w:rPr>
        <w:t>,</w:t>
      </w:r>
      <w:r w:rsidRPr="007849D7">
        <w:rPr>
          <w:rFonts w:ascii="Garamond" w:hAnsi="Garamond"/>
          <w:sz w:val="22"/>
          <w:szCs w:val="22"/>
        </w:rPr>
        <w:t xml:space="preserve"> </w:t>
      </w:r>
      <w:r>
        <w:rPr>
          <w:rFonts w:ascii="Garamond" w:hAnsi="Garamond"/>
          <w:sz w:val="22"/>
          <w:szCs w:val="22"/>
        </w:rPr>
        <w:t xml:space="preserve">can be expected </w:t>
      </w:r>
      <w:r w:rsidRPr="007849D7">
        <w:rPr>
          <w:rFonts w:ascii="Garamond" w:hAnsi="Garamond"/>
          <w:sz w:val="22"/>
          <w:szCs w:val="22"/>
        </w:rPr>
        <w:t>in 201</w:t>
      </w:r>
      <w:r>
        <w:rPr>
          <w:rFonts w:ascii="Garamond" w:hAnsi="Garamond"/>
          <w:sz w:val="22"/>
          <w:szCs w:val="22"/>
        </w:rPr>
        <w:t>9 i</w:t>
      </w:r>
      <w:r w:rsidR="007849D7" w:rsidRPr="007849D7">
        <w:rPr>
          <w:rFonts w:ascii="Garamond" w:hAnsi="Garamond"/>
          <w:sz w:val="22"/>
          <w:szCs w:val="22"/>
        </w:rPr>
        <w:t xml:space="preserve">n </w:t>
      </w:r>
      <w:r w:rsidR="00020F25">
        <w:rPr>
          <w:rFonts w:ascii="Garamond" w:hAnsi="Garamond"/>
          <w:sz w:val="22"/>
          <w:szCs w:val="22"/>
        </w:rPr>
        <w:t xml:space="preserve">light of </w:t>
      </w:r>
      <w:r>
        <w:rPr>
          <w:rFonts w:ascii="Garamond" w:hAnsi="Garamond"/>
          <w:sz w:val="22"/>
          <w:szCs w:val="22"/>
        </w:rPr>
        <w:t xml:space="preserve">an economic growth revised upside and a faster productivity growth rate. As structural unemployment retreats gradually, </w:t>
      </w:r>
      <w:r w:rsidR="007D055F" w:rsidRPr="007849D7">
        <w:rPr>
          <w:rFonts w:ascii="Garamond" w:hAnsi="Garamond"/>
          <w:sz w:val="22"/>
          <w:szCs w:val="22"/>
        </w:rPr>
        <w:t xml:space="preserve">the unemployment rate will </w:t>
      </w:r>
      <w:r w:rsidR="00020F25">
        <w:rPr>
          <w:rFonts w:ascii="Garamond" w:hAnsi="Garamond"/>
          <w:sz w:val="22"/>
          <w:szCs w:val="22"/>
        </w:rPr>
        <w:t xml:space="preserve">subdue </w:t>
      </w:r>
      <w:r w:rsidR="007D055F" w:rsidRPr="007849D7">
        <w:rPr>
          <w:rFonts w:ascii="Garamond" w:hAnsi="Garamond"/>
          <w:sz w:val="22"/>
          <w:szCs w:val="22"/>
        </w:rPr>
        <w:t>by</w:t>
      </w:r>
      <w:r>
        <w:rPr>
          <w:rFonts w:ascii="Garamond" w:hAnsi="Garamond"/>
          <w:sz w:val="22"/>
          <w:szCs w:val="22"/>
        </w:rPr>
        <w:t xml:space="preserve"> about </w:t>
      </w:r>
      <w:r w:rsidR="007849D7">
        <w:rPr>
          <w:rFonts w:ascii="Garamond" w:hAnsi="Garamond"/>
          <w:sz w:val="22"/>
          <w:szCs w:val="22"/>
        </w:rPr>
        <w:t>0.</w:t>
      </w:r>
      <w:r w:rsidR="00B950DD">
        <w:rPr>
          <w:rFonts w:ascii="Garamond" w:hAnsi="Garamond"/>
          <w:sz w:val="22"/>
          <w:szCs w:val="22"/>
        </w:rPr>
        <w:t>1</w:t>
      </w:r>
      <w:r w:rsidR="007849D7">
        <w:rPr>
          <w:rFonts w:ascii="Garamond" w:hAnsi="Garamond"/>
          <w:sz w:val="22"/>
          <w:szCs w:val="22"/>
        </w:rPr>
        <w:t>-</w:t>
      </w:r>
      <w:r w:rsidR="007D055F" w:rsidRPr="007849D7">
        <w:rPr>
          <w:rFonts w:ascii="Garamond" w:hAnsi="Garamond"/>
          <w:sz w:val="22"/>
          <w:szCs w:val="22"/>
        </w:rPr>
        <w:t>0.</w:t>
      </w:r>
      <w:r w:rsidR="00B950DD">
        <w:rPr>
          <w:rFonts w:ascii="Garamond" w:hAnsi="Garamond"/>
          <w:sz w:val="22"/>
          <w:szCs w:val="22"/>
        </w:rPr>
        <w:t>2</w:t>
      </w:r>
      <w:r w:rsidR="007D055F" w:rsidRPr="007849D7">
        <w:rPr>
          <w:rFonts w:ascii="Garamond" w:hAnsi="Garamond"/>
          <w:sz w:val="22"/>
          <w:szCs w:val="22"/>
        </w:rPr>
        <w:t xml:space="preserve"> pp annually</w:t>
      </w:r>
      <w:r>
        <w:rPr>
          <w:rFonts w:ascii="Garamond" w:hAnsi="Garamond"/>
          <w:sz w:val="22"/>
          <w:szCs w:val="22"/>
        </w:rPr>
        <w:t xml:space="preserve"> over the medium-</w:t>
      </w:r>
      <w:r w:rsidRPr="007849D7">
        <w:rPr>
          <w:rFonts w:ascii="Garamond" w:hAnsi="Garamond"/>
          <w:sz w:val="22"/>
          <w:szCs w:val="22"/>
        </w:rPr>
        <w:t>term</w:t>
      </w:r>
      <w:r>
        <w:rPr>
          <w:rFonts w:ascii="Garamond" w:hAnsi="Garamond"/>
          <w:sz w:val="22"/>
          <w:szCs w:val="22"/>
        </w:rPr>
        <w:t xml:space="preserve"> perspective,</w:t>
      </w:r>
      <w:r w:rsidR="007D055F" w:rsidRPr="007849D7">
        <w:rPr>
          <w:rFonts w:ascii="Garamond" w:hAnsi="Garamond"/>
          <w:sz w:val="22"/>
          <w:szCs w:val="22"/>
        </w:rPr>
        <w:t xml:space="preserve"> approaching </w:t>
      </w:r>
      <w:r w:rsidR="007849D7">
        <w:rPr>
          <w:rFonts w:ascii="Garamond" w:hAnsi="Garamond"/>
          <w:sz w:val="22"/>
          <w:szCs w:val="22"/>
        </w:rPr>
        <w:t>a 1</w:t>
      </w:r>
      <w:r w:rsidR="002A34A0">
        <w:rPr>
          <w:rFonts w:ascii="Garamond" w:hAnsi="Garamond"/>
          <w:sz w:val="22"/>
          <w:szCs w:val="22"/>
        </w:rPr>
        <w:t>5.</w:t>
      </w:r>
      <w:r>
        <w:rPr>
          <w:rFonts w:ascii="Garamond" w:hAnsi="Garamond"/>
          <w:sz w:val="22"/>
          <w:szCs w:val="22"/>
        </w:rPr>
        <w:t>5</w:t>
      </w:r>
      <w:r w:rsidR="007849D7">
        <w:rPr>
          <w:rFonts w:ascii="Garamond" w:hAnsi="Garamond"/>
          <w:sz w:val="22"/>
          <w:szCs w:val="22"/>
        </w:rPr>
        <w:t>%</w:t>
      </w:r>
      <w:r w:rsidR="007D055F" w:rsidRPr="00EE5F0F">
        <w:rPr>
          <w:rFonts w:ascii="Garamond" w:hAnsi="Garamond"/>
          <w:sz w:val="22"/>
          <w:szCs w:val="22"/>
        </w:rPr>
        <w:t xml:space="preserve"> </w:t>
      </w:r>
      <w:r w:rsidR="00B950DD">
        <w:rPr>
          <w:rFonts w:ascii="Garamond" w:hAnsi="Garamond"/>
          <w:sz w:val="22"/>
          <w:szCs w:val="22"/>
        </w:rPr>
        <w:t xml:space="preserve">level </w:t>
      </w:r>
      <w:r w:rsidR="007D055F" w:rsidRPr="00EE5F0F">
        <w:rPr>
          <w:rFonts w:ascii="Garamond" w:hAnsi="Garamond"/>
          <w:sz w:val="22"/>
          <w:szCs w:val="22"/>
        </w:rPr>
        <w:t xml:space="preserve">at the end of the forecast horizon.      </w:t>
      </w:r>
    </w:p>
    <w:p w14:paraId="6EA81270" w14:textId="77777777" w:rsidR="007D055F" w:rsidRPr="00EE5F0F" w:rsidRDefault="007D055F"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In 201</w:t>
      </w:r>
      <w:r w:rsidR="00020F25">
        <w:rPr>
          <w:rFonts w:ascii="Garamond" w:hAnsi="Garamond"/>
          <w:sz w:val="22"/>
          <w:szCs w:val="22"/>
        </w:rPr>
        <w:t>9</w:t>
      </w:r>
      <w:r w:rsidRPr="00EE5F0F">
        <w:rPr>
          <w:rFonts w:ascii="Garamond" w:hAnsi="Garamond"/>
          <w:sz w:val="22"/>
          <w:szCs w:val="22"/>
        </w:rPr>
        <w:t xml:space="preserve">, </w:t>
      </w:r>
      <w:r w:rsidR="002762C9">
        <w:rPr>
          <w:rFonts w:ascii="Garamond" w:hAnsi="Garamond"/>
          <w:sz w:val="22"/>
          <w:szCs w:val="22"/>
        </w:rPr>
        <w:t xml:space="preserve">as productivity growth rate speeds up, </w:t>
      </w:r>
      <w:r w:rsidR="00383D4D" w:rsidRPr="00EE5F0F">
        <w:rPr>
          <w:rFonts w:ascii="Garamond" w:hAnsi="Garamond"/>
          <w:sz w:val="22"/>
          <w:szCs w:val="22"/>
        </w:rPr>
        <w:t xml:space="preserve">the </w:t>
      </w:r>
      <w:r w:rsidR="00153FFE">
        <w:rPr>
          <w:rFonts w:ascii="Garamond" w:hAnsi="Garamond"/>
          <w:sz w:val="22"/>
          <w:szCs w:val="22"/>
        </w:rPr>
        <w:t xml:space="preserve">growth of </w:t>
      </w:r>
      <w:r w:rsidRPr="00EE5F0F">
        <w:rPr>
          <w:rFonts w:ascii="Garamond" w:hAnsi="Garamond"/>
          <w:sz w:val="22"/>
          <w:szCs w:val="22"/>
        </w:rPr>
        <w:t xml:space="preserve">firms’ unit labor costs will </w:t>
      </w:r>
      <w:r w:rsidR="00153FFE">
        <w:rPr>
          <w:rFonts w:ascii="Garamond" w:hAnsi="Garamond"/>
          <w:sz w:val="22"/>
          <w:szCs w:val="22"/>
        </w:rPr>
        <w:t>be somehow slower</w:t>
      </w:r>
      <w:r w:rsidR="00FE4FEA">
        <w:rPr>
          <w:rFonts w:ascii="Garamond" w:hAnsi="Garamond"/>
          <w:sz w:val="22"/>
          <w:szCs w:val="22"/>
        </w:rPr>
        <w:t xml:space="preserve">, </w:t>
      </w:r>
      <w:r w:rsidRPr="00EE5F0F">
        <w:rPr>
          <w:rFonts w:ascii="Garamond" w:hAnsi="Garamond"/>
          <w:sz w:val="22"/>
          <w:szCs w:val="22"/>
        </w:rPr>
        <w:t xml:space="preserve">and at the end of </w:t>
      </w:r>
      <w:r w:rsidR="003A06CC">
        <w:rPr>
          <w:rFonts w:ascii="Garamond" w:hAnsi="Garamond"/>
          <w:sz w:val="22"/>
          <w:szCs w:val="22"/>
        </w:rPr>
        <w:t xml:space="preserve">the </w:t>
      </w:r>
      <w:r w:rsidRPr="00EE5F0F">
        <w:rPr>
          <w:rFonts w:ascii="Garamond" w:hAnsi="Garamond"/>
          <w:sz w:val="22"/>
          <w:szCs w:val="22"/>
        </w:rPr>
        <w:t>forecast horizon</w:t>
      </w:r>
      <w:r w:rsidR="00153FFE">
        <w:rPr>
          <w:rFonts w:ascii="Garamond" w:hAnsi="Garamond"/>
          <w:sz w:val="22"/>
          <w:szCs w:val="22"/>
        </w:rPr>
        <w:t xml:space="preserve">, as inflation recovers, it </w:t>
      </w:r>
      <w:r w:rsidRPr="00EE5F0F">
        <w:rPr>
          <w:rFonts w:ascii="Garamond" w:hAnsi="Garamond"/>
          <w:sz w:val="22"/>
          <w:szCs w:val="22"/>
        </w:rPr>
        <w:t xml:space="preserve">will stabilize </w:t>
      </w:r>
      <w:r w:rsidR="00383D4D" w:rsidRPr="00EE5F0F">
        <w:rPr>
          <w:rFonts w:ascii="Garamond" w:hAnsi="Garamond"/>
          <w:sz w:val="22"/>
          <w:szCs w:val="22"/>
        </w:rPr>
        <w:t>around its fundamental value, i.e. the 4% inflation target.</w:t>
      </w:r>
      <w:r w:rsidRPr="00EE5F0F">
        <w:rPr>
          <w:rFonts w:ascii="Garamond" w:hAnsi="Garamond"/>
          <w:sz w:val="22"/>
          <w:szCs w:val="22"/>
        </w:rPr>
        <w:t xml:space="preserve">              </w:t>
      </w:r>
    </w:p>
    <w:p w14:paraId="40D84BC6" w14:textId="77777777" w:rsidR="007D055F" w:rsidRPr="00EE5F0F" w:rsidRDefault="007D055F" w:rsidP="00EE619D">
      <w:pPr>
        <w:autoSpaceDE w:val="0"/>
        <w:autoSpaceDN w:val="0"/>
        <w:adjustRightInd w:val="0"/>
        <w:spacing w:after="120" w:line="360" w:lineRule="auto"/>
        <w:jc w:val="both"/>
        <w:rPr>
          <w:rFonts w:ascii="Garamond" w:hAnsi="Garamond"/>
          <w:sz w:val="22"/>
          <w:szCs w:val="22"/>
        </w:rPr>
      </w:pPr>
    </w:p>
    <w:p w14:paraId="44DFB2C9" w14:textId="77777777" w:rsidR="00EE619D" w:rsidRPr="00EE5F0F" w:rsidRDefault="00EE619D" w:rsidP="00EE619D">
      <w:pPr>
        <w:autoSpaceDE w:val="0"/>
        <w:autoSpaceDN w:val="0"/>
        <w:adjustRightInd w:val="0"/>
        <w:spacing w:after="120" w:line="360" w:lineRule="auto"/>
        <w:jc w:val="both"/>
        <w:rPr>
          <w:rFonts w:ascii="Garamond" w:hAnsi="Garamond"/>
          <w:b/>
          <w:bCs/>
          <w:iCs/>
          <w:color w:val="0070C0"/>
          <w:sz w:val="22"/>
          <w:szCs w:val="22"/>
        </w:rPr>
      </w:pPr>
      <w:r w:rsidRPr="00EE5F0F">
        <w:rPr>
          <w:rFonts w:ascii="Garamond" w:hAnsi="Garamond"/>
          <w:b/>
          <w:bCs/>
          <w:iCs/>
          <w:color w:val="0070C0"/>
          <w:sz w:val="22"/>
          <w:szCs w:val="22"/>
        </w:rPr>
        <w:t>2.2.3. Comparison with the previous forecast</w:t>
      </w:r>
    </w:p>
    <w:p w14:paraId="54DAAA47" w14:textId="77777777" w:rsidR="00EE619D" w:rsidRPr="00EE5F0F" w:rsidRDefault="00331719" w:rsidP="00EE619D">
      <w:pPr>
        <w:autoSpaceDE w:val="0"/>
        <w:autoSpaceDN w:val="0"/>
        <w:adjustRightInd w:val="0"/>
        <w:spacing w:after="120" w:line="360" w:lineRule="auto"/>
        <w:jc w:val="both"/>
        <w:rPr>
          <w:rFonts w:ascii="Garamond" w:hAnsi="Garamond"/>
          <w:b/>
          <w:sz w:val="22"/>
          <w:szCs w:val="22"/>
        </w:rPr>
      </w:pPr>
      <w:r>
        <w:rPr>
          <w:rFonts w:ascii="Garamond" w:hAnsi="Garamond"/>
          <w:b/>
          <w:sz w:val="22"/>
          <w:szCs w:val="22"/>
        </w:rPr>
        <w:lastRenderedPageBreak/>
        <w:t>The p</w:t>
      </w:r>
      <w:r w:rsidR="00FE4FEA">
        <w:rPr>
          <w:rFonts w:ascii="Garamond" w:hAnsi="Garamond"/>
          <w:b/>
          <w:sz w:val="22"/>
          <w:szCs w:val="22"/>
        </w:rPr>
        <w:t>artner countries’</w:t>
      </w:r>
      <w:r w:rsidR="00FE4FEA" w:rsidRPr="00FE4FEA">
        <w:rPr>
          <w:rFonts w:ascii="Garamond" w:hAnsi="Garamond"/>
          <w:b/>
          <w:sz w:val="22"/>
          <w:szCs w:val="22"/>
        </w:rPr>
        <w:t xml:space="preserve"> </w:t>
      </w:r>
      <w:r w:rsidR="00FE4FEA">
        <w:rPr>
          <w:rFonts w:ascii="Garamond" w:hAnsi="Garamond"/>
          <w:b/>
          <w:sz w:val="22"/>
          <w:szCs w:val="22"/>
        </w:rPr>
        <w:t xml:space="preserve">short-term </w:t>
      </w:r>
      <w:r w:rsidR="00FE4FEA" w:rsidRPr="00FE4FEA">
        <w:rPr>
          <w:rFonts w:ascii="Garamond" w:hAnsi="Garamond"/>
          <w:b/>
          <w:sz w:val="22"/>
          <w:szCs w:val="22"/>
        </w:rPr>
        <w:t xml:space="preserve">economic growth </w:t>
      </w:r>
      <w:r w:rsidR="00FE4FEA">
        <w:rPr>
          <w:rFonts w:ascii="Garamond" w:hAnsi="Garamond"/>
          <w:b/>
          <w:sz w:val="22"/>
          <w:szCs w:val="22"/>
        </w:rPr>
        <w:t xml:space="preserve">indicators will persist at lower levels </w:t>
      </w:r>
      <w:r>
        <w:rPr>
          <w:rFonts w:ascii="Garamond" w:hAnsi="Garamond"/>
          <w:b/>
          <w:sz w:val="22"/>
          <w:szCs w:val="22"/>
        </w:rPr>
        <w:t xml:space="preserve">compared with </w:t>
      </w:r>
      <w:r w:rsidR="00FE4FEA" w:rsidRPr="00FE4FEA">
        <w:rPr>
          <w:rFonts w:ascii="Garamond" w:hAnsi="Garamond"/>
          <w:b/>
          <w:sz w:val="22"/>
          <w:szCs w:val="22"/>
        </w:rPr>
        <w:t xml:space="preserve">previous </w:t>
      </w:r>
      <w:r>
        <w:rPr>
          <w:rFonts w:ascii="Garamond" w:hAnsi="Garamond"/>
          <w:b/>
          <w:sz w:val="22"/>
          <w:szCs w:val="22"/>
        </w:rPr>
        <w:t>f</w:t>
      </w:r>
      <w:r w:rsidR="00FE4FEA" w:rsidRPr="00FE4FEA">
        <w:rPr>
          <w:rFonts w:ascii="Garamond" w:hAnsi="Garamond"/>
          <w:b/>
          <w:sz w:val="22"/>
          <w:szCs w:val="22"/>
        </w:rPr>
        <w:t xml:space="preserve">orecasts, </w:t>
      </w:r>
      <w:r>
        <w:rPr>
          <w:rFonts w:ascii="Garamond" w:hAnsi="Garamond"/>
          <w:b/>
          <w:sz w:val="22"/>
          <w:szCs w:val="22"/>
        </w:rPr>
        <w:t>al</w:t>
      </w:r>
      <w:r w:rsidR="00FE4FEA" w:rsidRPr="00FE4FEA">
        <w:rPr>
          <w:rFonts w:ascii="Garamond" w:hAnsi="Garamond"/>
          <w:b/>
          <w:sz w:val="22"/>
          <w:szCs w:val="22"/>
        </w:rPr>
        <w:t>though the medium-term growth</w:t>
      </w:r>
      <w:r>
        <w:rPr>
          <w:rFonts w:ascii="Garamond" w:hAnsi="Garamond"/>
          <w:b/>
          <w:sz w:val="22"/>
          <w:szCs w:val="22"/>
        </w:rPr>
        <w:t xml:space="preserve"> indicators, except those of the US, </w:t>
      </w:r>
      <w:r w:rsidR="00FE4FEA" w:rsidRPr="00FE4FEA">
        <w:rPr>
          <w:rFonts w:ascii="Garamond" w:hAnsi="Garamond"/>
          <w:b/>
          <w:sz w:val="22"/>
          <w:szCs w:val="22"/>
        </w:rPr>
        <w:t xml:space="preserve">will be </w:t>
      </w:r>
      <w:r>
        <w:rPr>
          <w:rFonts w:ascii="Garamond" w:hAnsi="Garamond"/>
          <w:b/>
          <w:sz w:val="22"/>
          <w:szCs w:val="22"/>
        </w:rPr>
        <w:t xml:space="preserve">close to </w:t>
      </w:r>
      <w:r w:rsidR="00FE4FEA" w:rsidRPr="00FE4FEA">
        <w:rPr>
          <w:rFonts w:ascii="Garamond" w:hAnsi="Garamond"/>
          <w:b/>
          <w:sz w:val="22"/>
          <w:szCs w:val="22"/>
        </w:rPr>
        <w:t>th</w:t>
      </w:r>
      <w:r>
        <w:rPr>
          <w:rFonts w:ascii="Garamond" w:hAnsi="Garamond"/>
          <w:b/>
          <w:sz w:val="22"/>
          <w:szCs w:val="22"/>
        </w:rPr>
        <w:t xml:space="preserve">e ones </w:t>
      </w:r>
      <w:r w:rsidR="00FE4FEA" w:rsidRPr="00FE4FEA">
        <w:rPr>
          <w:rFonts w:ascii="Garamond" w:hAnsi="Garamond"/>
          <w:b/>
          <w:sz w:val="22"/>
          <w:szCs w:val="22"/>
        </w:rPr>
        <w:t xml:space="preserve">predicted </w:t>
      </w:r>
      <w:r>
        <w:rPr>
          <w:rFonts w:ascii="Garamond" w:hAnsi="Garamond"/>
          <w:b/>
          <w:sz w:val="22"/>
          <w:szCs w:val="22"/>
        </w:rPr>
        <w:t xml:space="preserve">under </w:t>
      </w:r>
      <w:r w:rsidR="00FE4FEA" w:rsidRPr="00FE4FEA">
        <w:rPr>
          <w:rFonts w:ascii="Garamond" w:hAnsi="Garamond"/>
          <w:b/>
          <w:sz w:val="22"/>
          <w:szCs w:val="22"/>
        </w:rPr>
        <w:t>the previous scenario</w:t>
      </w:r>
      <w:r w:rsidR="00B81985">
        <w:rPr>
          <w:rFonts w:ascii="Garamond" w:hAnsi="Garamond"/>
          <w:b/>
          <w:sz w:val="22"/>
          <w:szCs w:val="22"/>
        </w:rPr>
        <w:t xml:space="preserve">. </w:t>
      </w:r>
    </w:p>
    <w:p w14:paraId="63C336CA" w14:textId="77777777" w:rsidR="001454E4" w:rsidRDefault="007C2B74"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The US economic growth forecasts for 201</w:t>
      </w:r>
      <w:r w:rsidR="009953AB">
        <w:rPr>
          <w:rFonts w:ascii="Garamond" w:hAnsi="Garamond"/>
          <w:sz w:val="22"/>
          <w:szCs w:val="22"/>
        </w:rPr>
        <w:t>9</w:t>
      </w:r>
      <w:r w:rsidR="00331719">
        <w:rPr>
          <w:rFonts w:ascii="Garamond" w:hAnsi="Garamond"/>
          <w:sz w:val="22"/>
          <w:szCs w:val="22"/>
        </w:rPr>
        <w:t xml:space="preserve"> will slightly exceed the previous quarter’s forecasts, which is mostly attributable to the </w:t>
      </w:r>
      <w:r w:rsidR="00B17F7D">
        <w:rPr>
          <w:rFonts w:ascii="Garamond" w:hAnsi="Garamond"/>
          <w:sz w:val="22"/>
          <w:szCs w:val="22"/>
        </w:rPr>
        <w:t xml:space="preserve">very strong indicator reported in the </w:t>
      </w:r>
      <w:r w:rsidR="00331719">
        <w:rPr>
          <w:rFonts w:ascii="Garamond" w:hAnsi="Garamond"/>
          <w:sz w:val="22"/>
          <w:szCs w:val="22"/>
        </w:rPr>
        <w:t>first quarter</w:t>
      </w:r>
      <w:r w:rsidR="00B17F7D">
        <w:rPr>
          <w:rFonts w:ascii="Garamond" w:hAnsi="Garamond"/>
          <w:sz w:val="22"/>
          <w:szCs w:val="22"/>
        </w:rPr>
        <w:t xml:space="preserve">. The 2020 indicator was revised </w:t>
      </w:r>
      <w:r w:rsidR="00B17F7D" w:rsidRPr="00B17F7D">
        <w:rPr>
          <w:rFonts w:ascii="Garamond" w:hAnsi="Garamond"/>
          <w:sz w:val="22"/>
          <w:szCs w:val="22"/>
        </w:rPr>
        <w:t>down</w:t>
      </w:r>
      <w:r w:rsidR="00B17F7D">
        <w:rPr>
          <w:rFonts w:ascii="Garamond" w:hAnsi="Garamond"/>
          <w:sz w:val="22"/>
          <w:szCs w:val="22"/>
        </w:rPr>
        <w:t xml:space="preserve">ward to some extent as the </w:t>
      </w:r>
      <w:r w:rsidR="00B17F7D" w:rsidRPr="00B17F7D">
        <w:rPr>
          <w:rFonts w:ascii="Garamond" w:hAnsi="Garamond"/>
          <w:sz w:val="22"/>
          <w:szCs w:val="22"/>
        </w:rPr>
        <w:t xml:space="preserve">external demand </w:t>
      </w:r>
      <w:r w:rsidR="00B17F7D">
        <w:rPr>
          <w:rFonts w:ascii="Garamond" w:hAnsi="Garamond"/>
          <w:sz w:val="22"/>
          <w:szCs w:val="22"/>
        </w:rPr>
        <w:t xml:space="preserve">is anticipated to contract due to </w:t>
      </w:r>
      <w:r w:rsidR="00B17F7D" w:rsidRPr="00B17F7D">
        <w:rPr>
          <w:rFonts w:ascii="Garamond" w:hAnsi="Garamond"/>
          <w:sz w:val="22"/>
          <w:szCs w:val="22"/>
        </w:rPr>
        <w:t>trade wars.</w:t>
      </w:r>
      <w:r w:rsidR="00B17F7D">
        <w:rPr>
          <w:rFonts w:ascii="Garamond" w:hAnsi="Garamond"/>
          <w:sz w:val="22"/>
          <w:szCs w:val="22"/>
        </w:rPr>
        <w:t xml:space="preserve"> </w:t>
      </w:r>
    </w:p>
    <w:p w14:paraId="5319CAC8" w14:textId="77777777" w:rsidR="001454E4" w:rsidRDefault="00272DD8"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The 201</w:t>
      </w:r>
      <w:r w:rsidR="00F30010">
        <w:rPr>
          <w:rFonts w:ascii="Garamond" w:hAnsi="Garamond"/>
          <w:sz w:val="22"/>
          <w:szCs w:val="22"/>
        </w:rPr>
        <w:t>9</w:t>
      </w:r>
      <w:r w:rsidRPr="00EE5F0F">
        <w:rPr>
          <w:rFonts w:ascii="Garamond" w:hAnsi="Garamond"/>
          <w:sz w:val="22"/>
          <w:szCs w:val="22"/>
        </w:rPr>
        <w:t xml:space="preserve"> economic growth forecasts in Eurozone </w:t>
      </w:r>
      <w:r w:rsidR="002B088F">
        <w:rPr>
          <w:rFonts w:ascii="Garamond" w:hAnsi="Garamond"/>
          <w:sz w:val="22"/>
          <w:szCs w:val="22"/>
        </w:rPr>
        <w:t xml:space="preserve">were </w:t>
      </w:r>
      <w:r w:rsidR="005E5244">
        <w:rPr>
          <w:rFonts w:ascii="Garamond" w:hAnsi="Garamond"/>
          <w:sz w:val="22"/>
          <w:szCs w:val="22"/>
        </w:rPr>
        <w:t>adjusted downside</w:t>
      </w:r>
      <w:r w:rsidR="001454E4">
        <w:rPr>
          <w:rFonts w:ascii="Garamond" w:hAnsi="Garamond"/>
          <w:sz w:val="22"/>
          <w:szCs w:val="22"/>
        </w:rPr>
        <w:t xml:space="preserve"> due to </w:t>
      </w:r>
      <w:r w:rsidR="00F30010">
        <w:rPr>
          <w:rFonts w:ascii="Garamond" w:hAnsi="Garamond"/>
          <w:sz w:val="22"/>
          <w:szCs w:val="22"/>
        </w:rPr>
        <w:t xml:space="preserve">the expecting of </w:t>
      </w:r>
      <w:r w:rsidR="00B17F7D">
        <w:rPr>
          <w:rFonts w:ascii="Garamond" w:hAnsi="Garamond"/>
          <w:sz w:val="22"/>
          <w:szCs w:val="22"/>
        </w:rPr>
        <w:t xml:space="preserve">somehow sluggish </w:t>
      </w:r>
      <w:r w:rsidR="00F30010" w:rsidRPr="00F30010">
        <w:rPr>
          <w:rFonts w:ascii="Garamond" w:hAnsi="Garamond"/>
          <w:sz w:val="22"/>
          <w:szCs w:val="22"/>
        </w:rPr>
        <w:t xml:space="preserve">economic </w:t>
      </w:r>
      <w:r w:rsidR="00B17F7D">
        <w:rPr>
          <w:rFonts w:ascii="Garamond" w:hAnsi="Garamond"/>
          <w:sz w:val="22"/>
          <w:szCs w:val="22"/>
        </w:rPr>
        <w:t>recovery in major EU member states</w:t>
      </w:r>
      <w:r w:rsidR="00F30010" w:rsidRPr="00F30010">
        <w:rPr>
          <w:rFonts w:ascii="Garamond" w:hAnsi="Garamond"/>
          <w:sz w:val="22"/>
          <w:szCs w:val="22"/>
        </w:rPr>
        <w:t>.</w:t>
      </w:r>
      <w:r w:rsidR="00F30010">
        <w:rPr>
          <w:rFonts w:ascii="Garamond" w:hAnsi="Garamond"/>
          <w:sz w:val="22"/>
          <w:szCs w:val="22"/>
        </w:rPr>
        <w:t xml:space="preserve"> </w:t>
      </w:r>
    </w:p>
    <w:p w14:paraId="1F854DF9" w14:textId="77777777" w:rsidR="00500167" w:rsidRPr="00EE5F0F" w:rsidRDefault="00F30010"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The </w:t>
      </w:r>
      <w:r w:rsidR="00B17F7D">
        <w:rPr>
          <w:rFonts w:ascii="Garamond" w:hAnsi="Garamond"/>
          <w:sz w:val="22"/>
          <w:szCs w:val="22"/>
        </w:rPr>
        <w:t>current f</w:t>
      </w:r>
      <w:r w:rsidR="001454E4" w:rsidRPr="001454E4">
        <w:rPr>
          <w:rFonts w:ascii="Garamond" w:hAnsi="Garamond"/>
          <w:sz w:val="22"/>
          <w:szCs w:val="22"/>
        </w:rPr>
        <w:t>orecasts</w:t>
      </w:r>
      <w:r w:rsidR="0097298A">
        <w:rPr>
          <w:rFonts w:ascii="Garamond" w:hAnsi="Garamond"/>
          <w:sz w:val="22"/>
          <w:szCs w:val="22"/>
        </w:rPr>
        <w:t xml:space="preserve"> of e</w:t>
      </w:r>
      <w:r w:rsidR="001454E4">
        <w:rPr>
          <w:rFonts w:ascii="Garamond" w:hAnsi="Garamond"/>
          <w:sz w:val="22"/>
          <w:szCs w:val="22"/>
        </w:rPr>
        <w:t xml:space="preserve">conomic growth in </w:t>
      </w:r>
      <w:r w:rsidR="001454E4" w:rsidRPr="001454E4">
        <w:rPr>
          <w:rFonts w:ascii="Garamond" w:hAnsi="Garamond"/>
          <w:sz w:val="22"/>
          <w:szCs w:val="22"/>
        </w:rPr>
        <w:t xml:space="preserve">Russia </w:t>
      </w:r>
      <w:r w:rsidR="00B17F7D">
        <w:rPr>
          <w:rFonts w:ascii="Garamond" w:hAnsi="Garamond"/>
          <w:sz w:val="22"/>
          <w:szCs w:val="22"/>
        </w:rPr>
        <w:t xml:space="preserve">for 2019 are below the </w:t>
      </w:r>
      <w:r>
        <w:rPr>
          <w:rFonts w:ascii="Garamond" w:hAnsi="Garamond"/>
          <w:sz w:val="22"/>
          <w:szCs w:val="22"/>
        </w:rPr>
        <w:t xml:space="preserve">previous quarter’s </w:t>
      </w:r>
      <w:r w:rsidR="00B17F7D">
        <w:rPr>
          <w:rFonts w:ascii="Garamond" w:hAnsi="Garamond"/>
          <w:sz w:val="22"/>
          <w:szCs w:val="22"/>
        </w:rPr>
        <w:t>forecasts</w:t>
      </w:r>
      <w:r w:rsidR="00B27B14">
        <w:rPr>
          <w:rFonts w:ascii="Garamond" w:hAnsi="Garamond"/>
          <w:sz w:val="22"/>
          <w:szCs w:val="22"/>
        </w:rPr>
        <w:t xml:space="preserve">. </w:t>
      </w:r>
      <w:r w:rsidR="00B8615B">
        <w:rPr>
          <w:rFonts w:ascii="Garamond" w:hAnsi="Garamond"/>
          <w:sz w:val="22"/>
          <w:szCs w:val="22"/>
        </w:rPr>
        <w:t>Again, t</w:t>
      </w:r>
      <w:r w:rsidR="00B27B14">
        <w:rPr>
          <w:rFonts w:ascii="Garamond" w:hAnsi="Garamond"/>
          <w:sz w:val="22"/>
          <w:szCs w:val="22"/>
        </w:rPr>
        <w:t xml:space="preserve">he economy is predicted to slow down </w:t>
      </w:r>
      <w:r w:rsidR="00B8615B">
        <w:rPr>
          <w:rFonts w:ascii="Garamond" w:hAnsi="Garamond"/>
          <w:sz w:val="22"/>
          <w:szCs w:val="22"/>
        </w:rPr>
        <w:t>during</w:t>
      </w:r>
      <w:r w:rsidR="00B27B14">
        <w:rPr>
          <w:rFonts w:ascii="Garamond" w:hAnsi="Garamond"/>
          <w:sz w:val="22"/>
          <w:szCs w:val="22"/>
        </w:rPr>
        <w:t xml:space="preserve"> 2019</w:t>
      </w:r>
      <w:r w:rsidR="00B8615B">
        <w:rPr>
          <w:rFonts w:ascii="Garamond" w:hAnsi="Garamond"/>
          <w:sz w:val="22"/>
          <w:szCs w:val="22"/>
        </w:rPr>
        <w:t xml:space="preserve"> but, given t</w:t>
      </w:r>
      <w:r w:rsidR="00B8615B" w:rsidRPr="00B8615B">
        <w:rPr>
          <w:rFonts w:ascii="Garamond" w:hAnsi="Garamond"/>
          <w:sz w:val="22"/>
          <w:szCs w:val="22"/>
        </w:rPr>
        <w:t xml:space="preserve">he </w:t>
      </w:r>
      <w:r w:rsidR="00B8615B">
        <w:rPr>
          <w:rFonts w:ascii="Garamond" w:hAnsi="Garamond"/>
          <w:sz w:val="22"/>
          <w:szCs w:val="22"/>
        </w:rPr>
        <w:t xml:space="preserve">too modest </w:t>
      </w:r>
      <w:r w:rsidR="00B8615B" w:rsidRPr="00B8615B">
        <w:rPr>
          <w:rFonts w:ascii="Garamond" w:hAnsi="Garamond"/>
          <w:sz w:val="22"/>
          <w:szCs w:val="22"/>
        </w:rPr>
        <w:t>growth in the first quarter, th</w:t>
      </w:r>
      <w:r w:rsidR="00B8615B">
        <w:rPr>
          <w:rFonts w:ascii="Garamond" w:hAnsi="Garamond"/>
          <w:sz w:val="22"/>
          <w:szCs w:val="22"/>
        </w:rPr>
        <w:t>e</w:t>
      </w:r>
      <w:r w:rsidR="00B8615B" w:rsidRPr="00B8615B">
        <w:rPr>
          <w:rFonts w:ascii="Garamond" w:hAnsi="Garamond"/>
          <w:sz w:val="22"/>
          <w:szCs w:val="22"/>
        </w:rPr>
        <w:t xml:space="preserve"> slowdown will be more noticeable compared to the previous scenario.</w:t>
      </w:r>
      <w:r w:rsidR="00B27B14">
        <w:rPr>
          <w:rFonts w:ascii="Garamond" w:hAnsi="Garamond"/>
          <w:sz w:val="22"/>
          <w:szCs w:val="22"/>
        </w:rPr>
        <w:t xml:space="preserve"> </w:t>
      </w:r>
    </w:p>
    <w:p w14:paraId="580D11D6" w14:textId="77777777" w:rsidR="003B6FDA" w:rsidRPr="00EE5F0F" w:rsidRDefault="00520816" w:rsidP="00EE619D">
      <w:pPr>
        <w:autoSpaceDE w:val="0"/>
        <w:autoSpaceDN w:val="0"/>
        <w:adjustRightInd w:val="0"/>
        <w:spacing w:after="120" w:line="360" w:lineRule="auto"/>
        <w:jc w:val="both"/>
        <w:rPr>
          <w:rFonts w:ascii="Garamond" w:hAnsi="Garamond"/>
          <w:b/>
          <w:sz w:val="22"/>
          <w:szCs w:val="22"/>
        </w:rPr>
      </w:pPr>
      <w:r w:rsidRPr="00EE5F0F">
        <w:rPr>
          <w:rFonts w:ascii="Garamond" w:hAnsi="Garamond"/>
          <w:b/>
          <w:sz w:val="22"/>
          <w:szCs w:val="22"/>
        </w:rPr>
        <w:t xml:space="preserve">In the world’s </w:t>
      </w:r>
      <w:r w:rsidR="00562C44">
        <w:rPr>
          <w:rFonts w:ascii="Garamond" w:hAnsi="Garamond"/>
          <w:b/>
          <w:sz w:val="22"/>
          <w:szCs w:val="22"/>
        </w:rPr>
        <w:t xml:space="preserve">basic </w:t>
      </w:r>
      <w:r w:rsidRPr="00EE5F0F">
        <w:rPr>
          <w:rFonts w:ascii="Garamond" w:hAnsi="Garamond"/>
          <w:b/>
          <w:sz w:val="22"/>
          <w:szCs w:val="22"/>
        </w:rPr>
        <w:t xml:space="preserve">commodity </w:t>
      </w:r>
      <w:r w:rsidR="007F3C29">
        <w:rPr>
          <w:rFonts w:ascii="Garamond" w:hAnsi="Garamond"/>
          <w:b/>
          <w:sz w:val="22"/>
          <w:szCs w:val="22"/>
        </w:rPr>
        <w:t xml:space="preserve">and food product </w:t>
      </w:r>
      <w:r w:rsidRPr="00EE5F0F">
        <w:rPr>
          <w:rFonts w:ascii="Garamond" w:hAnsi="Garamond"/>
          <w:b/>
          <w:sz w:val="22"/>
          <w:szCs w:val="22"/>
        </w:rPr>
        <w:t>markets</w:t>
      </w:r>
      <w:r w:rsidR="00811961" w:rsidRPr="00EE5F0F">
        <w:rPr>
          <w:rFonts w:ascii="Garamond" w:hAnsi="Garamond"/>
          <w:b/>
          <w:sz w:val="22"/>
          <w:szCs w:val="22"/>
        </w:rPr>
        <w:t>,</w:t>
      </w:r>
      <w:r w:rsidRPr="00EE5F0F">
        <w:rPr>
          <w:rFonts w:ascii="Garamond" w:hAnsi="Garamond"/>
          <w:b/>
          <w:sz w:val="22"/>
          <w:szCs w:val="22"/>
        </w:rPr>
        <w:t xml:space="preserve"> </w:t>
      </w:r>
      <w:r w:rsidR="00B8615B">
        <w:rPr>
          <w:rFonts w:ascii="Garamond" w:hAnsi="Garamond"/>
          <w:b/>
          <w:sz w:val="22"/>
          <w:szCs w:val="22"/>
        </w:rPr>
        <w:t xml:space="preserve">even </w:t>
      </w:r>
      <w:r w:rsidR="00562C44">
        <w:rPr>
          <w:rFonts w:ascii="Garamond" w:hAnsi="Garamond"/>
          <w:b/>
          <w:sz w:val="22"/>
          <w:szCs w:val="22"/>
        </w:rPr>
        <w:t xml:space="preserve">a weaker </w:t>
      </w:r>
      <w:r w:rsidRPr="00EE5F0F">
        <w:rPr>
          <w:rFonts w:ascii="Garamond" w:hAnsi="Garamond"/>
          <w:b/>
          <w:sz w:val="22"/>
          <w:szCs w:val="22"/>
        </w:rPr>
        <w:t>i</w:t>
      </w:r>
      <w:r w:rsidR="003B6FDA" w:rsidRPr="00EE5F0F">
        <w:rPr>
          <w:rFonts w:ascii="Garamond" w:hAnsi="Garamond"/>
          <w:b/>
          <w:sz w:val="22"/>
          <w:szCs w:val="22"/>
        </w:rPr>
        <w:t xml:space="preserve">nflationary </w:t>
      </w:r>
      <w:r w:rsidR="00562C44">
        <w:rPr>
          <w:rFonts w:ascii="Garamond" w:hAnsi="Garamond"/>
          <w:b/>
          <w:sz w:val="22"/>
          <w:szCs w:val="22"/>
        </w:rPr>
        <w:t>environment is</w:t>
      </w:r>
      <w:r w:rsidR="003B6FDA" w:rsidRPr="00EE5F0F">
        <w:rPr>
          <w:rFonts w:ascii="Garamond" w:hAnsi="Garamond"/>
          <w:b/>
          <w:sz w:val="22"/>
          <w:szCs w:val="22"/>
        </w:rPr>
        <w:t xml:space="preserve"> </w:t>
      </w:r>
      <w:r w:rsidR="008C05C0" w:rsidRPr="00EE5F0F">
        <w:rPr>
          <w:rFonts w:ascii="Garamond" w:hAnsi="Garamond"/>
          <w:b/>
          <w:sz w:val="22"/>
          <w:szCs w:val="22"/>
        </w:rPr>
        <w:t>anticipated</w:t>
      </w:r>
      <w:r w:rsidR="007F3C29">
        <w:rPr>
          <w:rFonts w:ascii="Garamond" w:hAnsi="Garamond"/>
          <w:b/>
          <w:sz w:val="22"/>
          <w:szCs w:val="22"/>
        </w:rPr>
        <w:t>,</w:t>
      </w:r>
      <w:r w:rsidRPr="00EE5F0F">
        <w:rPr>
          <w:rFonts w:ascii="Garamond" w:hAnsi="Garamond"/>
          <w:b/>
          <w:sz w:val="22"/>
          <w:szCs w:val="22"/>
        </w:rPr>
        <w:t xml:space="preserve"> in </w:t>
      </w:r>
      <w:r w:rsidR="00562C44">
        <w:rPr>
          <w:rFonts w:ascii="Garamond" w:hAnsi="Garamond"/>
          <w:b/>
          <w:sz w:val="22"/>
          <w:szCs w:val="22"/>
        </w:rPr>
        <w:t xml:space="preserve">comparison with the </w:t>
      </w:r>
      <w:r w:rsidRPr="00EE5F0F">
        <w:rPr>
          <w:rFonts w:ascii="Garamond" w:hAnsi="Garamond"/>
          <w:b/>
          <w:sz w:val="22"/>
          <w:szCs w:val="22"/>
        </w:rPr>
        <w:t>previous</w:t>
      </w:r>
      <w:r w:rsidR="00562C44">
        <w:rPr>
          <w:rFonts w:ascii="Garamond" w:hAnsi="Garamond"/>
          <w:b/>
          <w:sz w:val="22"/>
          <w:szCs w:val="22"/>
        </w:rPr>
        <w:t xml:space="preserve"> forecast</w:t>
      </w:r>
      <w:r w:rsidR="007F3C29">
        <w:rPr>
          <w:rFonts w:ascii="Garamond" w:hAnsi="Garamond"/>
          <w:b/>
          <w:sz w:val="22"/>
          <w:szCs w:val="22"/>
        </w:rPr>
        <w:t xml:space="preserve">, amid a </w:t>
      </w:r>
      <w:r w:rsidR="00B8615B">
        <w:rPr>
          <w:rFonts w:ascii="Garamond" w:hAnsi="Garamond"/>
          <w:b/>
          <w:sz w:val="22"/>
          <w:szCs w:val="22"/>
        </w:rPr>
        <w:t xml:space="preserve">persistently </w:t>
      </w:r>
      <w:r w:rsidR="007F3C29">
        <w:rPr>
          <w:rFonts w:ascii="Garamond" w:hAnsi="Garamond"/>
          <w:b/>
          <w:sz w:val="22"/>
          <w:szCs w:val="22"/>
        </w:rPr>
        <w:t>sluggish global demand</w:t>
      </w:r>
      <w:r w:rsidR="003B6FDA" w:rsidRPr="00EE5F0F">
        <w:rPr>
          <w:rFonts w:ascii="Garamond" w:hAnsi="Garamond"/>
          <w:b/>
          <w:sz w:val="22"/>
          <w:szCs w:val="22"/>
        </w:rPr>
        <w:t>.</w:t>
      </w:r>
    </w:p>
    <w:p w14:paraId="08722A6B" w14:textId="77777777" w:rsidR="00500167" w:rsidRPr="00EE5F0F" w:rsidRDefault="003C1254"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I</w:t>
      </w:r>
      <w:r w:rsidR="005A3523" w:rsidRPr="00EE5F0F">
        <w:rPr>
          <w:rFonts w:ascii="Garamond" w:hAnsi="Garamond"/>
          <w:sz w:val="22"/>
          <w:szCs w:val="22"/>
        </w:rPr>
        <w:t xml:space="preserve">n the </w:t>
      </w:r>
      <w:r w:rsidR="000B2CE6" w:rsidRPr="00EE5F0F">
        <w:rPr>
          <w:rFonts w:ascii="Garamond" w:hAnsi="Garamond"/>
          <w:sz w:val="22"/>
          <w:szCs w:val="22"/>
        </w:rPr>
        <w:t xml:space="preserve">world’s </w:t>
      </w:r>
      <w:r w:rsidR="005A3523" w:rsidRPr="00EE5F0F">
        <w:rPr>
          <w:rFonts w:ascii="Garamond" w:hAnsi="Garamond"/>
          <w:sz w:val="22"/>
          <w:szCs w:val="22"/>
        </w:rPr>
        <w:t xml:space="preserve">food </w:t>
      </w:r>
      <w:r w:rsidR="000B2CE6" w:rsidRPr="00EE5F0F">
        <w:rPr>
          <w:rFonts w:ascii="Garamond" w:hAnsi="Garamond"/>
          <w:sz w:val="22"/>
          <w:szCs w:val="22"/>
        </w:rPr>
        <w:t xml:space="preserve">product </w:t>
      </w:r>
      <w:r w:rsidR="005A3523" w:rsidRPr="00EE5F0F">
        <w:rPr>
          <w:rFonts w:ascii="Garamond" w:hAnsi="Garamond"/>
          <w:sz w:val="22"/>
          <w:szCs w:val="22"/>
        </w:rPr>
        <w:t>market</w:t>
      </w:r>
      <w:r w:rsidR="000B2CE6" w:rsidRPr="00EE5F0F">
        <w:rPr>
          <w:rFonts w:ascii="Garamond" w:hAnsi="Garamond"/>
          <w:sz w:val="22"/>
          <w:szCs w:val="22"/>
        </w:rPr>
        <w:t>s</w:t>
      </w:r>
      <w:r w:rsidR="005E7FE5">
        <w:rPr>
          <w:rFonts w:ascii="Garamond" w:hAnsi="Garamond"/>
          <w:sz w:val="22"/>
          <w:szCs w:val="22"/>
        </w:rPr>
        <w:t xml:space="preserve"> in 2019</w:t>
      </w:r>
      <w:r w:rsidR="00B80F86">
        <w:rPr>
          <w:rFonts w:ascii="Garamond" w:hAnsi="Garamond"/>
          <w:sz w:val="22"/>
          <w:szCs w:val="22"/>
        </w:rPr>
        <w:t>,</w:t>
      </w:r>
      <w:r w:rsidR="003E01F9" w:rsidRPr="00EE5F0F">
        <w:rPr>
          <w:rFonts w:ascii="Garamond" w:hAnsi="Garamond"/>
          <w:sz w:val="22"/>
          <w:szCs w:val="22"/>
        </w:rPr>
        <w:t xml:space="preserve"> </w:t>
      </w:r>
      <w:r w:rsidR="005F5D70">
        <w:rPr>
          <w:rFonts w:ascii="Garamond" w:hAnsi="Garamond"/>
          <w:sz w:val="22"/>
          <w:szCs w:val="22"/>
        </w:rPr>
        <w:t>inflation is predicted to be slightly above from</w:t>
      </w:r>
      <w:r w:rsidR="00B80F86">
        <w:rPr>
          <w:rFonts w:ascii="Garamond" w:hAnsi="Garamond"/>
          <w:sz w:val="22"/>
          <w:szCs w:val="22"/>
        </w:rPr>
        <w:t xml:space="preserve"> </w:t>
      </w:r>
      <w:r w:rsidR="00735F66">
        <w:rPr>
          <w:rFonts w:ascii="Garamond" w:hAnsi="Garamond"/>
          <w:sz w:val="22"/>
          <w:szCs w:val="22"/>
        </w:rPr>
        <w:t>previous</w:t>
      </w:r>
      <w:r>
        <w:rPr>
          <w:rFonts w:ascii="Garamond" w:hAnsi="Garamond"/>
          <w:sz w:val="22"/>
          <w:szCs w:val="22"/>
        </w:rPr>
        <w:t xml:space="preserve"> forecasts</w:t>
      </w:r>
      <w:r w:rsidR="005F5D70">
        <w:rPr>
          <w:rFonts w:ascii="Garamond" w:hAnsi="Garamond"/>
          <w:sz w:val="22"/>
          <w:szCs w:val="22"/>
        </w:rPr>
        <w:t xml:space="preserve"> as prices in individual product markets – dairy and meat product markets in particular – will </w:t>
      </w:r>
      <w:r w:rsidR="003E01F9" w:rsidRPr="00EE5F0F">
        <w:rPr>
          <w:rFonts w:ascii="Garamond" w:hAnsi="Garamond"/>
          <w:sz w:val="22"/>
          <w:szCs w:val="22"/>
        </w:rPr>
        <w:t xml:space="preserve">shape at </w:t>
      </w:r>
      <w:r>
        <w:rPr>
          <w:rFonts w:ascii="Garamond" w:hAnsi="Garamond"/>
          <w:sz w:val="22"/>
          <w:szCs w:val="22"/>
        </w:rPr>
        <w:t>some</w:t>
      </w:r>
      <w:r w:rsidR="00B80F86">
        <w:rPr>
          <w:rFonts w:ascii="Garamond" w:hAnsi="Garamond"/>
          <w:sz w:val="22"/>
          <w:szCs w:val="22"/>
        </w:rPr>
        <w:t>how</w:t>
      </w:r>
      <w:r>
        <w:rPr>
          <w:rFonts w:ascii="Garamond" w:hAnsi="Garamond"/>
          <w:sz w:val="22"/>
          <w:szCs w:val="22"/>
        </w:rPr>
        <w:t xml:space="preserve"> higher</w:t>
      </w:r>
      <w:r w:rsidR="00735F66">
        <w:rPr>
          <w:rFonts w:ascii="Garamond" w:hAnsi="Garamond"/>
          <w:sz w:val="22"/>
          <w:szCs w:val="22"/>
        </w:rPr>
        <w:t xml:space="preserve"> levels </w:t>
      </w:r>
      <w:r w:rsidR="00B80F86">
        <w:rPr>
          <w:rFonts w:ascii="Garamond" w:hAnsi="Garamond"/>
          <w:sz w:val="22"/>
          <w:szCs w:val="22"/>
        </w:rPr>
        <w:t xml:space="preserve">in the short term </w:t>
      </w:r>
      <w:r w:rsidR="00735F66" w:rsidRPr="00735F66">
        <w:rPr>
          <w:rFonts w:ascii="Garamond" w:hAnsi="Garamond"/>
          <w:sz w:val="22"/>
          <w:szCs w:val="22"/>
        </w:rPr>
        <w:t xml:space="preserve">due to expected </w:t>
      </w:r>
      <w:r>
        <w:rPr>
          <w:rFonts w:ascii="Garamond" w:hAnsi="Garamond"/>
          <w:sz w:val="22"/>
          <w:szCs w:val="22"/>
        </w:rPr>
        <w:t xml:space="preserve">shrinking of </w:t>
      </w:r>
      <w:r w:rsidR="00735F66" w:rsidRPr="00735F66">
        <w:rPr>
          <w:rFonts w:ascii="Garamond" w:hAnsi="Garamond"/>
          <w:sz w:val="22"/>
          <w:szCs w:val="22"/>
        </w:rPr>
        <w:t>supply</w:t>
      </w:r>
      <w:r w:rsidR="005F5D70">
        <w:rPr>
          <w:rFonts w:ascii="Garamond" w:hAnsi="Garamond"/>
          <w:sz w:val="22"/>
          <w:szCs w:val="22"/>
        </w:rPr>
        <w:t xml:space="preserve"> (which will be of a seasonal nature for dairy products)</w:t>
      </w:r>
      <w:r w:rsidR="00BA48A9">
        <w:rPr>
          <w:rFonts w:ascii="Garamond" w:hAnsi="Garamond"/>
          <w:sz w:val="22"/>
          <w:szCs w:val="22"/>
        </w:rPr>
        <w:t>.</w:t>
      </w:r>
      <w:r w:rsidR="004928D0" w:rsidRPr="00EE5F0F">
        <w:rPr>
          <w:rFonts w:ascii="Garamond" w:hAnsi="Garamond"/>
          <w:sz w:val="22"/>
          <w:szCs w:val="22"/>
        </w:rPr>
        <w:t xml:space="preserve"> </w:t>
      </w:r>
    </w:p>
    <w:p w14:paraId="1ED1FF06" w14:textId="77777777" w:rsidR="004928D0" w:rsidRPr="00EE5F0F" w:rsidRDefault="00182A25"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I</w:t>
      </w:r>
      <w:r w:rsidR="006355AE" w:rsidRPr="00EE5F0F">
        <w:rPr>
          <w:rFonts w:ascii="Garamond" w:hAnsi="Garamond"/>
          <w:sz w:val="22"/>
          <w:szCs w:val="22"/>
        </w:rPr>
        <w:t xml:space="preserve">nternational </w:t>
      </w:r>
      <w:r w:rsidR="004928D0" w:rsidRPr="00EE5F0F">
        <w:rPr>
          <w:rFonts w:ascii="Garamond" w:hAnsi="Garamond"/>
          <w:sz w:val="22"/>
          <w:szCs w:val="22"/>
        </w:rPr>
        <w:t xml:space="preserve">oil prices </w:t>
      </w:r>
      <w:r>
        <w:rPr>
          <w:rFonts w:ascii="Garamond" w:hAnsi="Garamond"/>
          <w:sz w:val="22"/>
          <w:szCs w:val="22"/>
        </w:rPr>
        <w:t xml:space="preserve">are expected to rest on the level </w:t>
      </w:r>
      <w:r w:rsidR="00AF47E1">
        <w:rPr>
          <w:rFonts w:ascii="Garamond" w:hAnsi="Garamond"/>
          <w:sz w:val="22"/>
          <w:szCs w:val="22"/>
        </w:rPr>
        <w:t xml:space="preserve">somewhat </w:t>
      </w:r>
      <w:r>
        <w:rPr>
          <w:rFonts w:ascii="Garamond" w:hAnsi="Garamond"/>
          <w:sz w:val="22"/>
          <w:szCs w:val="22"/>
        </w:rPr>
        <w:t xml:space="preserve">below the </w:t>
      </w:r>
      <w:r w:rsidR="00920949">
        <w:rPr>
          <w:rFonts w:ascii="Garamond" w:hAnsi="Garamond"/>
          <w:sz w:val="22"/>
          <w:szCs w:val="22"/>
        </w:rPr>
        <w:t>former</w:t>
      </w:r>
      <w:r>
        <w:rPr>
          <w:rFonts w:ascii="Garamond" w:hAnsi="Garamond"/>
          <w:sz w:val="22"/>
          <w:szCs w:val="22"/>
        </w:rPr>
        <w:t xml:space="preserve"> forecast</w:t>
      </w:r>
      <w:r w:rsidR="00920949">
        <w:rPr>
          <w:rFonts w:ascii="Garamond" w:hAnsi="Garamond"/>
          <w:sz w:val="22"/>
          <w:szCs w:val="22"/>
        </w:rPr>
        <w:t xml:space="preserve"> but</w:t>
      </w:r>
      <w:r w:rsidR="00AF47E1">
        <w:rPr>
          <w:rFonts w:ascii="Garamond" w:hAnsi="Garamond"/>
          <w:sz w:val="22"/>
          <w:szCs w:val="22"/>
        </w:rPr>
        <w:t xml:space="preserve"> </w:t>
      </w:r>
      <w:r w:rsidRPr="00182A25">
        <w:rPr>
          <w:rFonts w:ascii="Garamond" w:hAnsi="Garamond"/>
          <w:sz w:val="22"/>
          <w:szCs w:val="22"/>
        </w:rPr>
        <w:t xml:space="preserve">will </w:t>
      </w:r>
      <w:r w:rsidR="00920949">
        <w:rPr>
          <w:rFonts w:ascii="Garamond" w:hAnsi="Garamond"/>
          <w:sz w:val="22"/>
          <w:szCs w:val="22"/>
        </w:rPr>
        <w:t>be trending up</w:t>
      </w:r>
      <w:r w:rsidR="00AF47E1">
        <w:rPr>
          <w:rFonts w:ascii="Garamond" w:hAnsi="Garamond"/>
          <w:sz w:val="22"/>
          <w:szCs w:val="22"/>
        </w:rPr>
        <w:t>, although at a slower pace than forecasted previously</w:t>
      </w:r>
      <w:r w:rsidRPr="00182A25">
        <w:rPr>
          <w:rFonts w:ascii="Garamond" w:hAnsi="Garamond"/>
          <w:sz w:val="22"/>
          <w:szCs w:val="22"/>
        </w:rPr>
        <w:t xml:space="preserve">. In spite of the decision to reduce the supply volumes </w:t>
      </w:r>
      <w:r w:rsidR="00920949">
        <w:rPr>
          <w:rFonts w:ascii="Garamond" w:hAnsi="Garamond"/>
          <w:sz w:val="22"/>
          <w:szCs w:val="22"/>
        </w:rPr>
        <w:t>under OPEC</w:t>
      </w:r>
      <w:r w:rsidRPr="00182A25">
        <w:rPr>
          <w:rFonts w:ascii="Garamond" w:hAnsi="Garamond"/>
          <w:sz w:val="22"/>
          <w:szCs w:val="22"/>
        </w:rPr>
        <w:t>+</w:t>
      </w:r>
      <w:r w:rsidR="00920949">
        <w:rPr>
          <w:rFonts w:ascii="Garamond" w:hAnsi="Garamond"/>
          <w:sz w:val="22"/>
          <w:szCs w:val="22"/>
        </w:rPr>
        <w:t xml:space="preserve"> Deal </w:t>
      </w:r>
      <w:r w:rsidRPr="00182A25">
        <w:rPr>
          <w:rFonts w:ascii="Garamond" w:hAnsi="Garamond"/>
          <w:sz w:val="22"/>
          <w:szCs w:val="22"/>
        </w:rPr>
        <w:t xml:space="preserve">as well as </w:t>
      </w:r>
      <w:r w:rsidR="00897C95">
        <w:rPr>
          <w:rFonts w:ascii="Garamond" w:hAnsi="Garamond"/>
          <w:sz w:val="22"/>
          <w:szCs w:val="22"/>
        </w:rPr>
        <w:t xml:space="preserve">the sanctions </w:t>
      </w:r>
      <w:r w:rsidR="00897C95" w:rsidRPr="00897C95">
        <w:rPr>
          <w:rFonts w:ascii="Garamond" w:hAnsi="Garamond"/>
          <w:sz w:val="22"/>
          <w:szCs w:val="22"/>
        </w:rPr>
        <w:t xml:space="preserve">imposed on </w:t>
      </w:r>
      <w:r w:rsidR="00897C95">
        <w:rPr>
          <w:rFonts w:ascii="Garamond" w:hAnsi="Garamond"/>
          <w:sz w:val="22"/>
          <w:szCs w:val="22"/>
        </w:rPr>
        <w:t xml:space="preserve">the </w:t>
      </w:r>
      <w:r w:rsidR="00897C95" w:rsidRPr="00897C95">
        <w:rPr>
          <w:rFonts w:ascii="Garamond" w:hAnsi="Garamond"/>
          <w:sz w:val="22"/>
          <w:szCs w:val="22"/>
        </w:rPr>
        <w:t>Venezuelan and Iranian oil</w:t>
      </w:r>
      <w:r w:rsidR="00897C95">
        <w:rPr>
          <w:rFonts w:ascii="Garamond" w:hAnsi="Garamond"/>
          <w:sz w:val="22"/>
          <w:szCs w:val="22"/>
        </w:rPr>
        <w:t xml:space="preserve">, the </w:t>
      </w:r>
      <w:r w:rsidR="00897C95" w:rsidRPr="00897C95">
        <w:rPr>
          <w:rFonts w:ascii="Garamond" w:hAnsi="Garamond"/>
          <w:sz w:val="22"/>
          <w:szCs w:val="22"/>
        </w:rPr>
        <w:t xml:space="preserve">prices will fall from the current level </w:t>
      </w:r>
      <w:r w:rsidR="00897C95">
        <w:rPr>
          <w:rFonts w:ascii="Garamond" w:hAnsi="Garamond"/>
          <w:sz w:val="22"/>
          <w:szCs w:val="22"/>
        </w:rPr>
        <w:t xml:space="preserve">owing to </w:t>
      </w:r>
      <w:r w:rsidR="00897C95" w:rsidRPr="00897C95">
        <w:rPr>
          <w:rFonts w:ascii="Garamond" w:hAnsi="Garamond"/>
          <w:sz w:val="22"/>
          <w:szCs w:val="22"/>
        </w:rPr>
        <w:t xml:space="preserve">large US oil </w:t>
      </w:r>
      <w:r w:rsidR="00897C95">
        <w:rPr>
          <w:rFonts w:ascii="Garamond" w:hAnsi="Garamond"/>
          <w:sz w:val="22"/>
          <w:szCs w:val="22"/>
        </w:rPr>
        <w:t xml:space="preserve">inventories </w:t>
      </w:r>
      <w:r w:rsidR="00897C95" w:rsidRPr="00897C95">
        <w:rPr>
          <w:rFonts w:ascii="Garamond" w:hAnsi="Garamond"/>
          <w:sz w:val="22"/>
          <w:szCs w:val="22"/>
        </w:rPr>
        <w:t xml:space="preserve">and the expected reduction in demand due to </w:t>
      </w:r>
      <w:r w:rsidR="00897C95">
        <w:rPr>
          <w:rFonts w:ascii="Garamond" w:hAnsi="Garamond"/>
          <w:sz w:val="22"/>
          <w:szCs w:val="22"/>
        </w:rPr>
        <w:t xml:space="preserve">escalated </w:t>
      </w:r>
      <w:r w:rsidR="00897C95" w:rsidRPr="00897C95">
        <w:rPr>
          <w:rFonts w:ascii="Garamond" w:hAnsi="Garamond"/>
          <w:sz w:val="22"/>
          <w:szCs w:val="22"/>
        </w:rPr>
        <w:t>trade wars.</w:t>
      </w:r>
      <w:r w:rsidR="00DD22DA">
        <w:rPr>
          <w:rFonts w:ascii="Garamond" w:hAnsi="Garamond"/>
          <w:sz w:val="22"/>
          <w:szCs w:val="22"/>
        </w:rPr>
        <w:t xml:space="preserve"> </w:t>
      </w:r>
    </w:p>
    <w:p w14:paraId="79314CD6" w14:textId="77777777" w:rsidR="009E6F4B" w:rsidRPr="00EE5F0F" w:rsidRDefault="00CA1277"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I</w:t>
      </w:r>
      <w:r w:rsidR="00765248">
        <w:rPr>
          <w:rFonts w:ascii="Garamond" w:hAnsi="Garamond"/>
          <w:sz w:val="22"/>
          <w:szCs w:val="22"/>
        </w:rPr>
        <w:t>n</w:t>
      </w:r>
      <w:r w:rsidR="00785B36" w:rsidRPr="00EE5F0F">
        <w:rPr>
          <w:rFonts w:ascii="Garamond" w:hAnsi="Garamond"/>
          <w:sz w:val="22"/>
          <w:szCs w:val="22"/>
        </w:rPr>
        <w:t xml:space="preserve">ternational </w:t>
      </w:r>
      <w:r w:rsidR="009E6F4B" w:rsidRPr="00EE5F0F">
        <w:rPr>
          <w:rFonts w:ascii="Garamond" w:hAnsi="Garamond"/>
          <w:sz w:val="22"/>
          <w:szCs w:val="22"/>
        </w:rPr>
        <w:t xml:space="preserve">copper prices will </w:t>
      </w:r>
      <w:r w:rsidR="00785B36" w:rsidRPr="00EE5F0F">
        <w:rPr>
          <w:rFonts w:ascii="Garamond" w:hAnsi="Garamond"/>
          <w:sz w:val="22"/>
          <w:szCs w:val="22"/>
        </w:rPr>
        <w:t xml:space="preserve">shape </w:t>
      </w:r>
      <w:r w:rsidRPr="00EE5F0F">
        <w:rPr>
          <w:rFonts w:ascii="Garamond" w:hAnsi="Garamond"/>
          <w:sz w:val="22"/>
          <w:szCs w:val="22"/>
        </w:rPr>
        <w:t xml:space="preserve">at the levels </w:t>
      </w:r>
      <w:r w:rsidR="00177B04">
        <w:rPr>
          <w:rFonts w:ascii="Garamond" w:hAnsi="Garamond"/>
          <w:sz w:val="22"/>
          <w:szCs w:val="22"/>
        </w:rPr>
        <w:t xml:space="preserve">lower than </w:t>
      </w:r>
      <w:r w:rsidRPr="00EE5F0F">
        <w:rPr>
          <w:rFonts w:ascii="Garamond" w:hAnsi="Garamond"/>
          <w:sz w:val="22"/>
          <w:szCs w:val="22"/>
        </w:rPr>
        <w:t xml:space="preserve">outlined in the previous forecast, </w:t>
      </w:r>
      <w:r w:rsidR="00143B11">
        <w:rPr>
          <w:rFonts w:ascii="Garamond" w:hAnsi="Garamond"/>
          <w:sz w:val="22"/>
          <w:szCs w:val="22"/>
        </w:rPr>
        <w:t xml:space="preserve">due to somewhat contracted demand resulting from </w:t>
      </w:r>
      <w:r w:rsidR="00D576E2">
        <w:rPr>
          <w:rFonts w:ascii="Garamond" w:hAnsi="Garamond"/>
          <w:sz w:val="22"/>
          <w:szCs w:val="22"/>
        </w:rPr>
        <w:t xml:space="preserve">trade </w:t>
      </w:r>
      <w:r w:rsidR="005E7FE5">
        <w:rPr>
          <w:rFonts w:ascii="Garamond" w:hAnsi="Garamond"/>
          <w:sz w:val="22"/>
          <w:szCs w:val="22"/>
        </w:rPr>
        <w:t>wars between the USA and China</w:t>
      </w:r>
      <w:r w:rsidRPr="00EE5F0F">
        <w:rPr>
          <w:rFonts w:ascii="Garamond" w:hAnsi="Garamond"/>
          <w:sz w:val="22"/>
          <w:szCs w:val="22"/>
        </w:rPr>
        <w:t xml:space="preserve">  </w:t>
      </w:r>
    </w:p>
    <w:p w14:paraId="735DAEC4" w14:textId="77777777" w:rsidR="00C71404" w:rsidRPr="00EE5F0F" w:rsidRDefault="005E7FE5" w:rsidP="00EE619D">
      <w:pPr>
        <w:autoSpaceDE w:val="0"/>
        <w:autoSpaceDN w:val="0"/>
        <w:adjustRightInd w:val="0"/>
        <w:spacing w:after="120" w:line="360" w:lineRule="auto"/>
        <w:jc w:val="both"/>
        <w:rPr>
          <w:rFonts w:ascii="Garamond" w:hAnsi="Garamond"/>
          <w:b/>
          <w:sz w:val="22"/>
          <w:szCs w:val="22"/>
          <w:lang w:val="hy-AM"/>
        </w:rPr>
      </w:pPr>
      <w:r>
        <w:rPr>
          <w:rFonts w:ascii="Garamond" w:hAnsi="Garamond"/>
          <w:b/>
          <w:sz w:val="22"/>
          <w:szCs w:val="22"/>
        </w:rPr>
        <w:t xml:space="preserve">For 2019, </w:t>
      </w:r>
      <w:r w:rsidR="00C71404" w:rsidRPr="00EE5F0F">
        <w:rPr>
          <w:rFonts w:ascii="Garamond" w:hAnsi="Garamond"/>
          <w:b/>
          <w:sz w:val="22"/>
          <w:szCs w:val="22"/>
        </w:rPr>
        <w:t xml:space="preserve">Armenia’s economic growth rate </w:t>
      </w:r>
      <w:r w:rsidR="006038A5">
        <w:rPr>
          <w:rFonts w:ascii="Garamond" w:hAnsi="Garamond"/>
          <w:b/>
          <w:sz w:val="22"/>
          <w:szCs w:val="22"/>
        </w:rPr>
        <w:t>was revised slightly upside against the previous forecast</w:t>
      </w:r>
      <w:r>
        <w:rPr>
          <w:rFonts w:ascii="Garamond" w:hAnsi="Garamond"/>
          <w:b/>
          <w:sz w:val="22"/>
          <w:szCs w:val="22"/>
        </w:rPr>
        <w:t>; it remains much the same for the forecast horizon, however</w:t>
      </w:r>
      <w:r w:rsidR="00D576E2" w:rsidRPr="00D576E2">
        <w:rPr>
          <w:rFonts w:ascii="Garamond" w:hAnsi="Garamond"/>
          <w:b/>
          <w:sz w:val="22"/>
          <w:szCs w:val="22"/>
        </w:rPr>
        <w:t>.</w:t>
      </w:r>
      <w:r w:rsidR="00D576E2">
        <w:rPr>
          <w:rFonts w:ascii="Garamond" w:hAnsi="Garamond"/>
          <w:b/>
          <w:sz w:val="22"/>
          <w:szCs w:val="22"/>
        </w:rPr>
        <w:t xml:space="preserve"> </w:t>
      </w:r>
    </w:p>
    <w:p w14:paraId="6C068D50" w14:textId="3E4A8C85" w:rsidR="000007DB" w:rsidRDefault="00D576E2" w:rsidP="00EE619D">
      <w:pPr>
        <w:autoSpaceDE w:val="0"/>
        <w:autoSpaceDN w:val="0"/>
        <w:adjustRightInd w:val="0"/>
        <w:spacing w:after="120" w:line="360" w:lineRule="auto"/>
        <w:jc w:val="both"/>
        <w:rPr>
          <w:rFonts w:ascii="Garamond" w:hAnsi="Garamond"/>
          <w:sz w:val="22"/>
          <w:szCs w:val="22"/>
        </w:rPr>
      </w:pPr>
      <w:r w:rsidRPr="00D576E2">
        <w:rPr>
          <w:rFonts w:ascii="Garamond" w:hAnsi="Garamond"/>
          <w:sz w:val="22"/>
          <w:szCs w:val="22"/>
        </w:rPr>
        <w:t xml:space="preserve">The economic growth </w:t>
      </w:r>
      <w:r w:rsidR="005E7FE5">
        <w:rPr>
          <w:rFonts w:ascii="Garamond" w:hAnsi="Garamond"/>
          <w:sz w:val="22"/>
          <w:szCs w:val="22"/>
        </w:rPr>
        <w:t xml:space="preserve">since the start of the year </w:t>
      </w:r>
      <w:r w:rsidR="00751554">
        <w:rPr>
          <w:rFonts w:ascii="Garamond" w:hAnsi="Garamond"/>
          <w:sz w:val="22"/>
          <w:szCs w:val="22"/>
        </w:rPr>
        <w:t xml:space="preserve">came with rather strong indicators </w:t>
      </w:r>
      <w:r w:rsidR="00751554" w:rsidRPr="00D576E2">
        <w:rPr>
          <w:rFonts w:ascii="Garamond" w:hAnsi="Garamond"/>
          <w:sz w:val="22"/>
          <w:szCs w:val="22"/>
        </w:rPr>
        <w:t xml:space="preserve">(see </w:t>
      </w:r>
      <w:r w:rsidR="00751554">
        <w:rPr>
          <w:rFonts w:ascii="Garamond" w:hAnsi="Garamond"/>
          <w:sz w:val="22"/>
          <w:szCs w:val="22"/>
        </w:rPr>
        <w:t>sub</w:t>
      </w:r>
      <w:r w:rsidR="00751554" w:rsidRPr="00D576E2">
        <w:rPr>
          <w:rFonts w:ascii="Garamond" w:hAnsi="Garamond"/>
          <w:sz w:val="22"/>
          <w:szCs w:val="22"/>
        </w:rPr>
        <w:t xml:space="preserve">section </w:t>
      </w:r>
      <w:r w:rsidR="00751554">
        <w:rPr>
          <w:rFonts w:ascii="Garamond" w:hAnsi="Garamond"/>
          <w:sz w:val="22"/>
          <w:szCs w:val="22"/>
        </w:rPr>
        <w:t>3</w:t>
      </w:r>
      <w:r w:rsidR="00751554" w:rsidRPr="00D576E2">
        <w:rPr>
          <w:rFonts w:ascii="Garamond" w:hAnsi="Garamond"/>
          <w:sz w:val="22"/>
          <w:szCs w:val="22"/>
        </w:rPr>
        <w:t xml:space="preserve">. 2. </w:t>
      </w:r>
      <w:r w:rsidR="00751554">
        <w:rPr>
          <w:rFonts w:ascii="Garamond" w:hAnsi="Garamond"/>
          <w:sz w:val="22"/>
          <w:szCs w:val="22"/>
        </w:rPr>
        <w:t>3</w:t>
      </w:r>
      <w:r w:rsidR="00751554" w:rsidRPr="00D576E2">
        <w:rPr>
          <w:rFonts w:ascii="Garamond" w:hAnsi="Garamond"/>
          <w:sz w:val="22"/>
          <w:szCs w:val="22"/>
        </w:rPr>
        <w:t>)</w:t>
      </w:r>
      <w:r w:rsidR="00751554">
        <w:rPr>
          <w:rFonts w:ascii="Garamond" w:hAnsi="Garamond"/>
          <w:sz w:val="22"/>
          <w:szCs w:val="22"/>
        </w:rPr>
        <w:t xml:space="preserve"> driven primarily by high </w:t>
      </w:r>
      <w:r w:rsidR="007A3D29">
        <w:rPr>
          <w:rFonts w:ascii="Garamond" w:hAnsi="Garamond"/>
          <w:sz w:val="22"/>
          <w:szCs w:val="22"/>
        </w:rPr>
        <w:t xml:space="preserve">activity in </w:t>
      </w:r>
      <w:r w:rsidR="006038A5">
        <w:rPr>
          <w:rFonts w:ascii="Garamond" w:hAnsi="Garamond"/>
          <w:sz w:val="22"/>
          <w:szCs w:val="22"/>
        </w:rPr>
        <w:t>services</w:t>
      </w:r>
      <w:r w:rsidR="00751554">
        <w:rPr>
          <w:rFonts w:ascii="Garamond" w:hAnsi="Garamond"/>
          <w:sz w:val="22"/>
          <w:szCs w:val="22"/>
        </w:rPr>
        <w:t xml:space="preserve"> and coupled with two-digit consumption growth </w:t>
      </w:r>
      <w:r w:rsidRPr="00D576E2">
        <w:rPr>
          <w:rFonts w:ascii="Garamond" w:hAnsi="Garamond"/>
          <w:sz w:val="22"/>
          <w:szCs w:val="22"/>
        </w:rPr>
        <w:t xml:space="preserve">(see </w:t>
      </w:r>
      <w:r>
        <w:rPr>
          <w:rFonts w:ascii="Garamond" w:hAnsi="Garamond"/>
          <w:sz w:val="22"/>
          <w:szCs w:val="22"/>
        </w:rPr>
        <w:t>sub</w:t>
      </w:r>
      <w:r w:rsidRPr="00D576E2">
        <w:rPr>
          <w:rFonts w:ascii="Garamond" w:hAnsi="Garamond"/>
          <w:sz w:val="22"/>
          <w:szCs w:val="22"/>
        </w:rPr>
        <w:t xml:space="preserve">section 3. 2. </w:t>
      </w:r>
      <w:r w:rsidR="00751554">
        <w:rPr>
          <w:rFonts w:ascii="Garamond" w:hAnsi="Garamond"/>
          <w:sz w:val="22"/>
          <w:szCs w:val="22"/>
        </w:rPr>
        <w:t>2</w:t>
      </w:r>
      <w:r w:rsidRPr="00D576E2">
        <w:rPr>
          <w:rFonts w:ascii="Garamond" w:hAnsi="Garamond"/>
          <w:sz w:val="22"/>
          <w:szCs w:val="22"/>
        </w:rPr>
        <w:t>)</w:t>
      </w:r>
      <w:r w:rsidR="00731352">
        <w:rPr>
          <w:rFonts w:ascii="Garamond" w:hAnsi="Garamond"/>
          <w:sz w:val="22"/>
          <w:szCs w:val="22"/>
        </w:rPr>
        <w:t xml:space="preserve">. </w:t>
      </w:r>
      <w:r w:rsidR="00B52AE4">
        <w:rPr>
          <w:rFonts w:ascii="Garamond" w:hAnsi="Garamond"/>
          <w:sz w:val="22"/>
          <w:szCs w:val="22"/>
        </w:rPr>
        <w:t xml:space="preserve">Given </w:t>
      </w:r>
      <w:r w:rsidR="00C266DF" w:rsidRPr="00D4483A">
        <w:rPr>
          <w:rFonts w:ascii="Garamond" w:hAnsi="Garamond"/>
          <w:sz w:val="22"/>
          <w:szCs w:val="22"/>
        </w:rPr>
        <w:t xml:space="preserve">some </w:t>
      </w:r>
      <w:r w:rsidR="00E75CF0">
        <w:rPr>
          <w:rFonts w:ascii="Garamond" w:hAnsi="Garamond"/>
          <w:sz w:val="22"/>
          <w:szCs w:val="22"/>
        </w:rPr>
        <w:t>perceistence</w:t>
      </w:r>
      <w:r w:rsidR="00E75CF0" w:rsidRPr="00D4483A">
        <w:rPr>
          <w:rFonts w:ascii="Garamond" w:hAnsi="Garamond"/>
          <w:sz w:val="22"/>
          <w:szCs w:val="22"/>
        </w:rPr>
        <w:t xml:space="preserve"> </w:t>
      </w:r>
      <w:r w:rsidR="00C266DF" w:rsidRPr="00D4483A">
        <w:rPr>
          <w:rFonts w:ascii="Garamond" w:hAnsi="Garamond"/>
          <w:sz w:val="22"/>
          <w:szCs w:val="22"/>
        </w:rPr>
        <w:t>of consumption</w:t>
      </w:r>
      <w:r w:rsidR="00C266DF">
        <w:rPr>
          <w:rFonts w:ascii="Garamond" w:hAnsi="Garamond"/>
          <w:sz w:val="22"/>
          <w:szCs w:val="22"/>
        </w:rPr>
        <w:t xml:space="preserve"> and that </w:t>
      </w:r>
      <w:r w:rsidR="00D35148">
        <w:rPr>
          <w:rFonts w:ascii="Garamond" w:hAnsi="Garamond"/>
          <w:sz w:val="22"/>
          <w:szCs w:val="22"/>
        </w:rPr>
        <w:t xml:space="preserve">international tourism grows continuously </w:t>
      </w:r>
      <w:r w:rsidR="00B52AE4">
        <w:rPr>
          <w:rFonts w:ascii="Garamond" w:hAnsi="Garamond"/>
          <w:sz w:val="22"/>
          <w:szCs w:val="22"/>
        </w:rPr>
        <w:t xml:space="preserve">(it reached </w:t>
      </w:r>
      <w:r w:rsidR="00B52AE4" w:rsidRPr="00B52AE4">
        <w:rPr>
          <w:rFonts w:ascii="Garamond" w:hAnsi="Garamond"/>
          <w:sz w:val="22"/>
          <w:szCs w:val="22"/>
        </w:rPr>
        <w:t>5.2% in the first quarter of 2019)</w:t>
      </w:r>
      <w:r w:rsidR="00B52AE4">
        <w:rPr>
          <w:rFonts w:ascii="Garamond" w:hAnsi="Garamond"/>
          <w:sz w:val="22"/>
          <w:szCs w:val="22"/>
        </w:rPr>
        <w:t xml:space="preserve"> there</w:t>
      </w:r>
      <w:r w:rsidR="00731352">
        <w:rPr>
          <w:rFonts w:ascii="Garamond" w:hAnsi="Garamond"/>
          <w:sz w:val="22"/>
          <w:szCs w:val="22"/>
        </w:rPr>
        <w:t xml:space="preserve"> is </w:t>
      </w:r>
      <w:r w:rsidR="00731352" w:rsidRPr="00D576E2">
        <w:rPr>
          <w:rFonts w:ascii="Garamond" w:hAnsi="Garamond"/>
          <w:sz w:val="22"/>
          <w:szCs w:val="22"/>
        </w:rPr>
        <w:t>expect</w:t>
      </w:r>
      <w:r w:rsidR="00731352">
        <w:rPr>
          <w:rFonts w:ascii="Garamond" w:hAnsi="Garamond"/>
          <w:sz w:val="22"/>
          <w:szCs w:val="22"/>
        </w:rPr>
        <w:t xml:space="preserve">ation that </w:t>
      </w:r>
      <w:r w:rsidR="00B52AE4">
        <w:rPr>
          <w:rFonts w:ascii="Garamond" w:hAnsi="Garamond"/>
          <w:sz w:val="22"/>
          <w:szCs w:val="22"/>
        </w:rPr>
        <w:t xml:space="preserve">the growth in services in 2019 will be higher from the previous estimate. </w:t>
      </w:r>
      <w:r w:rsidR="00A94878">
        <w:rPr>
          <w:rFonts w:ascii="Garamond" w:hAnsi="Garamond"/>
          <w:sz w:val="22"/>
          <w:szCs w:val="22"/>
        </w:rPr>
        <w:t>The industry’</w:t>
      </w:r>
      <w:r w:rsidR="00A94878" w:rsidRPr="00A94878">
        <w:rPr>
          <w:rFonts w:ascii="Garamond" w:hAnsi="Garamond"/>
          <w:sz w:val="22"/>
          <w:szCs w:val="22"/>
        </w:rPr>
        <w:t xml:space="preserve">s rate of growth </w:t>
      </w:r>
      <w:r w:rsidR="00A94878">
        <w:rPr>
          <w:rFonts w:ascii="Garamond" w:hAnsi="Garamond"/>
          <w:sz w:val="22"/>
          <w:szCs w:val="22"/>
        </w:rPr>
        <w:t xml:space="preserve">was </w:t>
      </w:r>
      <w:r w:rsidR="00A94878" w:rsidRPr="00A94878">
        <w:rPr>
          <w:rFonts w:ascii="Garamond" w:hAnsi="Garamond"/>
          <w:sz w:val="22"/>
          <w:szCs w:val="22"/>
        </w:rPr>
        <w:t xml:space="preserve">revised slightly </w:t>
      </w:r>
      <w:r w:rsidR="00A94878">
        <w:rPr>
          <w:rFonts w:ascii="Garamond" w:hAnsi="Garamond"/>
          <w:sz w:val="22"/>
          <w:szCs w:val="22"/>
        </w:rPr>
        <w:t xml:space="preserve">upside too, owing to </w:t>
      </w:r>
      <w:r w:rsidR="00A94878" w:rsidRPr="00A94878">
        <w:rPr>
          <w:rFonts w:ascii="Garamond" w:hAnsi="Garamond"/>
          <w:sz w:val="22"/>
          <w:szCs w:val="22"/>
        </w:rPr>
        <w:t xml:space="preserve">investment activity </w:t>
      </w:r>
      <w:r w:rsidR="00A94878">
        <w:rPr>
          <w:rFonts w:ascii="Garamond" w:hAnsi="Garamond"/>
          <w:sz w:val="22"/>
          <w:szCs w:val="22"/>
        </w:rPr>
        <w:lastRenderedPageBreak/>
        <w:t>observable in this sector recently</w:t>
      </w:r>
      <w:r w:rsidR="00A94878">
        <w:rPr>
          <w:rStyle w:val="FootnoteReference"/>
          <w:rFonts w:ascii="Garamond" w:hAnsi="Garamond"/>
          <w:sz w:val="22"/>
          <w:szCs w:val="22"/>
        </w:rPr>
        <w:footnoteReference w:customMarkFollows="1" w:id="9"/>
        <w:t>11</w:t>
      </w:r>
      <w:r w:rsidR="00A94878">
        <w:rPr>
          <w:rFonts w:ascii="Garamond" w:hAnsi="Garamond"/>
          <w:sz w:val="22"/>
          <w:szCs w:val="22"/>
        </w:rPr>
        <w:t xml:space="preserve">. </w:t>
      </w:r>
      <w:r w:rsidR="005C4379" w:rsidRPr="005C4379">
        <w:rPr>
          <w:rFonts w:ascii="Garamond" w:hAnsi="Garamond"/>
          <w:sz w:val="22"/>
          <w:szCs w:val="22"/>
        </w:rPr>
        <w:t xml:space="preserve">As a result, economic growth in 2019 will be higher than </w:t>
      </w:r>
      <w:r w:rsidR="005C4379">
        <w:rPr>
          <w:rFonts w:ascii="Garamond" w:hAnsi="Garamond"/>
          <w:sz w:val="22"/>
          <w:szCs w:val="22"/>
        </w:rPr>
        <w:t xml:space="preserve">estimated </w:t>
      </w:r>
      <w:r w:rsidR="005C4379" w:rsidRPr="005C4379">
        <w:rPr>
          <w:rFonts w:ascii="Garamond" w:hAnsi="Garamond"/>
          <w:sz w:val="22"/>
          <w:szCs w:val="22"/>
        </w:rPr>
        <w:t>previous</w:t>
      </w:r>
      <w:r w:rsidR="005C4379">
        <w:rPr>
          <w:rFonts w:ascii="Garamond" w:hAnsi="Garamond"/>
          <w:sz w:val="22"/>
          <w:szCs w:val="22"/>
        </w:rPr>
        <w:t>ly</w:t>
      </w:r>
      <w:r w:rsidR="005C4379" w:rsidRPr="005C4379">
        <w:rPr>
          <w:rFonts w:ascii="Garamond" w:hAnsi="Garamond"/>
          <w:sz w:val="22"/>
          <w:szCs w:val="22"/>
        </w:rPr>
        <w:t xml:space="preserve"> (see </w:t>
      </w:r>
      <w:r w:rsidR="005C4379">
        <w:rPr>
          <w:rFonts w:ascii="Garamond" w:hAnsi="Garamond"/>
          <w:sz w:val="22"/>
          <w:szCs w:val="22"/>
        </w:rPr>
        <w:t>Chart</w:t>
      </w:r>
      <w:r w:rsidR="005C4379" w:rsidRPr="005C4379">
        <w:rPr>
          <w:rFonts w:ascii="Garamond" w:hAnsi="Garamond"/>
          <w:sz w:val="22"/>
          <w:szCs w:val="22"/>
        </w:rPr>
        <w:t xml:space="preserve"> 18). </w:t>
      </w:r>
      <w:r w:rsidR="005C4379">
        <w:rPr>
          <w:rFonts w:ascii="Garamond" w:hAnsi="Garamond"/>
          <w:sz w:val="22"/>
          <w:szCs w:val="22"/>
        </w:rPr>
        <w:t>T</w:t>
      </w:r>
      <w:r w:rsidR="005C4379" w:rsidRPr="005C4379">
        <w:rPr>
          <w:rFonts w:ascii="Garamond" w:hAnsi="Garamond"/>
          <w:sz w:val="22"/>
          <w:szCs w:val="22"/>
        </w:rPr>
        <w:t>he mid-term</w:t>
      </w:r>
      <w:r w:rsidR="005C4379">
        <w:rPr>
          <w:rFonts w:ascii="Garamond" w:hAnsi="Garamond"/>
          <w:sz w:val="22"/>
          <w:szCs w:val="22"/>
        </w:rPr>
        <w:t xml:space="preserve"> </w:t>
      </w:r>
      <w:r w:rsidR="005C4379" w:rsidRPr="005C4379">
        <w:rPr>
          <w:rFonts w:ascii="Garamond" w:hAnsi="Garamond"/>
          <w:sz w:val="22"/>
          <w:szCs w:val="22"/>
        </w:rPr>
        <w:t xml:space="preserve">economic growth estimates </w:t>
      </w:r>
      <w:r w:rsidR="005C4379">
        <w:rPr>
          <w:rFonts w:ascii="Garamond" w:hAnsi="Garamond"/>
          <w:sz w:val="22"/>
          <w:szCs w:val="22"/>
        </w:rPr>
        <w:t xml:space="preserve">did </w:t>
      </w:r>
      <w:r w:rsidR="005C4379" w:rsidRPr="005C4379">
        <w:rPr>
          <w:rFonts w:ascii="Garamond" w:hAnsi="Garamond"/>
          <w:sz w:val="22"/>
          <w:szCs w:val="22"/>
        </w:rPr>
        <w:t xml:space="preserve">not change </w:t>
      </w:r>
      <w:r w:rsidR="005C4379">
        <w:rPr>
          <w:rFonts w:ascii="Garamond" w:hAnsi="Garamond"/>
          <w:sz w:val="22"/>
          <w:szCs w:val="22"/>
        </w:rPr>
        <w:t>notably</w:t>
      </w:r>
      <w:r w:rsidR="005C4379" w:rsidRPr="005C4379">
        <w:rPr>
          <w:rFonts w:ascii="Garamond" w:hAnsi="Garamond"/>
          <w:sz w:val="22"/>
          <w:szCs w:val="22"/>
        </w:rPr>
        <w:t xml:space="preserve">, </w:t>
      </w:r>
      <w:r w:rsidR="005C4379">
        <w:rPr>
          <w:rFonts w:ascii="Garamond" w:hAnsi="Garamond"/>
          <w:sz w:val="22"/>
          <w:szCs w:val="22"/>
        </w:rPr>
        <w:t>with t</w:t>
      </w:r>
      <w:r w:rsidR="005C4379" w:rsidRPr="005C4379">
        <w:rPr>
          <w:rFonts w:ascii="Garamond" w:hAnsi="Garamond"/>
          <w:sz w:val="22"/>
          <w:szCs w:val="22"/>
        </w:rPr>
        <w:t>he services and industr</w:t>
      </w:r>
      <w:r w:rsidR="005C4379">
        <w:rPr>
          <w:rFonts w:ascii="Garamond" w:hAnsi="Garamond"/>
          <w:sz w:val="22"/>
          <w:szCs w:val="22"/>
        </w:rPr>
        <w:t>y sectors being the key</w:t>
      </w:r>
      <w:r w:rsidR="005C4379" w:rsidRPr="005C4379">
        <w:rPr>
          <w:rFonts w:ascii="Garamond" w:hAnsi="Garamond"/>
          <w:sz w:val="22"/>
          <w:szCs w:val="22"/>
        </w:rPr>
        <w:t xml:space="preserve"> driv</w:t>
      </w:r>
      <w:r w:rsidR="005C4379">
        <w:rPr>
          <w:rFonts w:ascii="Garamond" w:hAnsi="Garamond"/>
          <w:sz w:val="22"/>
          <w:szCs w:val="22"/>
        </w:rPr>
        <w:t xml:space="preserve">es to the growth. </w:t>
      </w:r>
    </w:p>
    <w:p w14:paraId="5268167F" w14:textId="58AB8AE0" w:rsidR="005C4379" w:rsidRPr="00EE5F0F" w:rsidRDefault="00B5695E"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Facilitated by an e</w:t>
      </w:r>
      <w:r w:rsidRPr="00B5695E">
        <w:rPr>
          <w:rFonts w:ascii="Garamond" w:hAnsi="Garamond"/>
          <w:sz w:val="22"/>
          <w:szCs w:val="22"/>
        </w:rPr>
        <w:t>xpan</w:t>
      </w:r>
      <w:r>
        <w:rPr>
          <w:rFonts w:ascii="Garamond" w:hAnsi="Garamond"/>
          <w:sz w:val="22"/>
          <w:szCs w:val="22"/>
        </w:rPr>
        <w:t xml:space="preserve">sionary </w:t>
      </w:r>
      <w:r w:rsidRPr="00B5695E">
        <w:rPr>
          <w:rFonts w:ascii="Garamond" w:hAnsi="Garamond"/>
          <w:sz w:val="22"/>
          <w:szCs w:val="22"/>
        </w:rPr>
        <w:t>monetary policy</w:t>
      </w:r>
      <w:r>
        <w:rPr>
          <w:rFonts w:ascii="Garamond" w:hAnsi="Garamond"/>
          <w:sz w:val="22"/>
          <w:szCs w:val="22"/>
        </w:rPr>
        <w:t xml:space="preserve"> and in view of a stimulati</w:t>
      </w:r>
      <w:r w:rsidR="006B538C">
        <w:rPr>
          <w:rFonts w:ascii="Garamond" w:hAnsi="Garamond"/>
          <w:sz w:val="22"/>
          <w:szCs w:val="22"/>
        </w:rPr>
        <w:t xml:space="preserve">ve </w:t>
      </w:r>
      <w:r>
        <w:rPr>
          <w:rFonts w:ascii="Garamond" w:hAnsi="Garamond"/>
          <w:sz w:val="22"/>
          <w:szCs w:val="22"/>
        </w:rPr>
        <w:t>effect of s</w:t>
      </w:r>
      <w:r w:rsidRPr="00B5695E">
        <w:rPr>
          <w:rFonts w:ascii="Garamond" w:hAnsi="Garamond"/>
          <w:sz w:val="22"/>
          <w:szCs w:val="22"/>
        </w:rPr>
        <w:t>tate budge</w:t>
      </w:r>
      <w:r>
        <w:rPr>
          <w:rFonts w:ascii="Garamond" w:hAnsi="Garamond"/>
          <w:sz w:val="22"/>
          <w:szCs w:val="22"/>
        </w:rPr>
        <w:t xml:space="preserve">t which is expected from </w:t>
      </w:r>
      <w:r w:rsidRPr="00B5695E">
        <w:rPr>
          <w:rFonts w:ascii="Garamond" w:hAnsi="Garamond"/>
          <w:sz w:val="22"/>
          <w:szCs w:val="22"/>
        </w:rPr>
        <w:t>the second half of the year</w:t>
      </w:r>
      <w:r>
        <w:rPr>
          <w:rFonts w:ascii="Garamond" w:hAnsi="Garamond"/>
          <w:sz w:val="22"/>
          <w:szCs w:val="22"/>
        </w:rPr>
        <w:t>,</w:t>
      </w:r>
      <w:r w:rsidRPr="00B5695E">
        <w:rPr>
          <w:rFonts w:ascii="Garamond" w:hAnsi="Garamond"/>
          <w:sz w:val="22"/>
          <w:szCs w:val="22"/>
        </w:rPr>
        <w:t xml:space="preserve"> </w:t>
      </w:r>
      <w:r>
        <w:rPr>
          <w:rFonts w:ascii="Garamond" w:hAnsi="Garamond"/>
          <w:sz w:val="22"/>
          <w:szCs w:val="22"/>
        </w:rPr>
        <w:t>t</w:t>
      </w:r>
      <w:r w:rsidR="005C4379" w:rsidRPr="00EE5F0F">
        <w:rPr>
          <w:rFonts w:ascii="Garamond" w:hAnsi="Garamond"/>
          <w:sz w:val="22"/>
          <w:szCs w:val="22"/>
        </w:rPr>
        <w:t>he</w:t>
      </w:r>
      <w:r w:rsidR="005C4379">
        <w:rPr>
          <w:rFonts w:ascii="Garamond" w:hAnsi="Garamond"/>
          <w:sz w:val="22"/>
          <w:szCs w:val="22"/>
        </w:rPr>
        <w:t xml:space="preserve"> negative </w:t>
      </w:r>
      <w:r w:rsidR="005C4379" w:rsidRPr="00EE5F0F">
        <w:rPr>
          <w:rFonts w:ascii="Garamond" w:hAnsi="Garamond"/>
          <w:sz w:val="22"/>
          <w:szCs w:val="22"/>
        </w:rPr>
        <w:t>GDP gap</w:t>
      </w:r>
      <w:r w:rsidR="005C4379">
        <w:rPr>
          <w:rFonts w:ascii="Garamond" w:hAnsi="Garamond"/>
          <w:sz w:val="22"/>
          <w:szCs w:val="22"/>
        </w:rPr>
        <w:t xml:space="preserve"> </w:t>
      </w:r>
      <w:r>
        <w:rPr>
          <w:rFonts w:ascii="Garamond" w:hAnsi="Garamond"/>
          <w:sz w:val="22"/>
          <w:szCs w:val="22"/>
        </w:rPr>
        <w:t>will gradually phase out</w:t>
      </w:r>
      <w:r w:rsidR="005C4379">
        <w:rPr>
          <w:rFonts w:ascii="Garamond" w:hAnsi="Garamond"/>
          <w:sz w:val="22"/>
          <w:szCs w:val="22"/>
        </w:rPr>
        <w:t xml:space="preserve">, and in the forecast horizon the economic growth will approach its </w:t>
      </w:r>
      <w:r>
        <w:rPr>
          <w:rFonts w:ascii="Garamond" w:hAnsi="Garamond"/>
          <w:sz w:val="22"/>
          <w:szCs w:val="22"/>
        </w:rPr>
        <w:t xml:space="preserve">mid-term </w:t>
      </w:r>
      <w:r w:rsidR="005C4379">
        <w:rPr>
          <w:rFonts w:ascii="Garamond" w:hAnsi="Garamond"/>
          <w:sz w:val="22"/>
          <w:szCs w:val="22"/>
        </w:rPr>
        <w:t>potential</w:t>
      </w:r>
      <w:r w:rsidR="00E75CF0">
        <w:rPr>
          <w:rFonts w:ascii="Garamond" w:hAnsi="Garamond"/>
          <w:sz w:val="22"/>
          <w:szCs w:val="22"/>
        </w:rPr>
        <w:t>.</w:t>
      </w:r>
    </w:p>
    <w:tbl>
      <w:tblPr>
        <w:tblStyle w:val="TableGrid"/>
        <w:tblW w:w="0" w:type="auto"/>
        <w:tblLook w:val="04A0" w:firstRow="1" w:lastRow="0" w:firstColumn="1" w:lastColumn="0" w:noHBand="0" w:noVBand="1"/>
      </w:tblPr>
      <w:tblGrid>
        <w:gridCol w:w="9350"/>
      </w:tblGrid>
      <w:tr w:rsidR="00F93441" w:rsidRPr="003720FB" w14:paraId="25D6DA7F" w14:textId="77777777" w:rsidTr="00AC5AE0">
        <w:trPr>
          <w:trHeight w:val="335"/>
        </w:trPr>
        <w:tc>
          <w:tcPr>
            <w:tcW w:w="9576" w:type="dxa"/>
          </w:tcPr>
          <w:p w14:paraId="7E33D748" w14:textId="77777777" w:rsidR="00F93441" w:rsidRPr="003720FB" w:rsidRDefault="00963BDB" w:rsidP="005C4379">
            <w:pPr>
              <w:autoSpaceDE w:val="0"/>
              <w:autoSpaceDN w:val="0"/>
              <w:adjustRightInd w:val="0"/>
              <w:spacing w:after="120" w:line="360" w:lineRule="auto"/>
              <w:jc w:val="both"/>
              <w:rPr>
                <w:rFonts w:ascii="Garamond" w:hAnsi="Garamond"/>
                <w:b/>
                <w:color w:val="FF0000"/>
                <w:sz w:val="18"/>
                <w:szCs w:val="18"/>
              </w:rPr>
            </w:pPr>
            <w:r>
              <w:rPr>
                <w:rFonts w:ascii="Garamond" w:hAnsi="Garamond"/>
                <w:b/>
                <w:color w:val="FF0000"/>
                <w:sz w:val="18"/>
                <w:szCs w:val="18"/>
              </w:rPr>
              <w:t xml:space="preserve">Footnote </w:t>
            </w:r>
            <w:r w:rsidR="005C4379">
              <w:rPr>
                <w:rFonts w:ascii="Garamond" w:hAnsi="Garamond"/>
                <w:b/>
                <w:color w:val="FF0000"/>
                <w:sz w:val="18"/>
                <w:szCs w:val="18"/>
              </w:rPr>
              <w:t>12</w:t>
            </w:r>
            <w:r w:rsidR="00F93441" w:rsidRPr="003720FB">
              <w:rPr>
                <w:rFonts w:ascii="Garamond" w:hAnsi="Garamond"/>
                <w:b/>
                <w:color w:val="FF0000"/>
                <w:sz w:val="18"/>
                <w:szCs w:val="18"/>
              </w:rPr>
              <w:t xml:space="preserve">. </w:t>
            </w:r>
            <w:r w:rsidR="00F93441" w:rsidRPr="00DD0E48">
              <w:rPr>
                <w:rFonts w:ascii="Garamond" w:hAnsi="Garamond"/>
                <w:sz w:val="18"/>
                <w:szCs w:val="18"/>
              </w:rPr>
              <w:t>The growth rate of each quarter is calculated as the cumulative growth rate for the last four quarters.</w:t>
            </w:r>
          </w:p>
        </w:tc>
      </w:tr>
    </w:tbl>
    <w:p w14:paraId="3E88FEFF" w14:textId="77777777" w:rsidR="00963BDB" w:rsidRDefault="00963BDB" w:rsidP="00963BDB">
      <w:pPr>
        <w:autoSpaceDE w:val="0"/>
        <w:autoSpaceDN w:val="0"/>
        <w:adjustRightInd w:val="0"/>
        <w:spacing w:after="120" w:line="360" w:lineRule="auto"/>
        <w:jc w:val="both"/>
        <w:rPr>
          <w:rFonts w:ascii="Garamond" w:hAnsi="Garamond"/>
          <w:sz w:val="22"/>
          <w:szCs w:val="22"/>
        </w:rPr>
      </w:pPr>
    </w:p>
    <w:p w14:paraId="28AB53B5" w14:textId="77777777" w:rsidR="00F93441" w:rsidRPr="00EE5F0F" w:rsidRDefault="00963BDB" w:rsidP="00F93441">
      <w:pPr>
        <w:autoSpaceDE w:val="0"/>
        <w:autoSpaceDN w:val="0"/>
        <w:adjustRightInd w:val="0"/>
        <w:spacing w:after="120" w:line="360" w:lineRule="auto"/>
        <w:jc w:val="both"/>
        <w:rPr>
          <w:rFonts w:ascii="Garamond" w:hAnsi="Garamond"/>
          <w:b/>
          <w:sz w:val="22"/>
          <w:szCs w:val="22"/>
        </w:rPr>
      </w:pPr>
      <w:r w:rsidRPr="00972A2E">
        <w:rPr>
          <w:rFonts w:ascii="Garamond" w:hAnsi="Garamond"/>
          <w:b/>
          <w:color w:val="C00000"/>
          <w:sz w:val="22"/>
          <w:szCs w:val="22"/>
        </w:rPr>
        <w:t>Table 2:</w:t>
      </w:r>
    </w:p>
    <w:p w14:paraId="4FB6FCC7" w14:textId="77777777" w:rsidR="00BE69EE" w:rsidRPr="00EE5F0F" w:rsidRDefault="00E713AF"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In 201</w:t>
      </w:r>
      <w:r w:rsidR="00D96CC6">
        <w:rPr>
          <w:rFonts w:ascii="Garamond" w:hAnsi="Garamond"/>
          <w:sz w:val="22"/>
          <w:szCs w:val="22"/>
        </w:rPr>
        <w:t>9</w:t>
      </w:r>
      <w:r w:rsidR="00AA75EC" w:rsidRPr="00EE5F0F">
        <w:rPr>
          <w:rFonts w:ascii="Garamond" w:hAnsi="Garamond"/>
          <w:sz w:val="22"/>
          <w:szCs w:val="22"/>
        </w:rPr>
        <w:t>,</w:t>
      </w:r>
      <w:r w:rsidRPr="00EE5F0F">
        <w:rPr>
          <w:rFonts w:ascii="Garamond" w:hAnsi="Garamond"/>
          <w:sz w:val="22"/>
          <w:szCs w:val="22"/>
        </w:rPr>
        <w:t xml:space="preserve"> the current account deficit-to-GDP ratio will </w:t>
      </w:r>
      <w:r w:rsidR="00F93441">
        <w:rPr>
          <w:rFonts w:ascii="Garamond" w:hAnsi="Garamond"/>
          <w:sz w:val="22"/>
          <w:szCs w:val="22"/>
        </w:rPr>
        <w:t>run above the previous</w:t>
      </w:r>
      <w:r w:rsidR="00C15D8C">
        <w:rPr>
          <w:rFonts w:ascii="Garamond" w:hAnsi="Garamond"/>
          <w:sz w:val="22"/>
          <w:szCs w:val="22"/>
        </w:rPr>
        <w:t xml:space="preserve"> </w:t>
      </w:r>
      <w:r w:rsidR="00F93441">
        <w:rPr>
          <w:rFonts w:ascii="Garamond" w:hAnsi="Garamond"/>
          <w:sz w:val="22"/>
          <w:szCs w:val="22"/>
        </w:rPr>
        <w:t xml:space="preserve">forecast, </w:t>
      </w:r>
      <w:r w:rsidR="006C67BA">
        <w:rPr>
          <w:rFonts w:ascii="Garamond" w:hAnsi="Garamond"/>
          <w:sz w:val="22"/>
          <w:szCs w:val="22"/>
        </w:rPr>
        <w:t xml:space="preserve">which </w:t>
      </w:r>
      <w:r w:rsidR="00C15D8C">
        <w:rPr>
          <w:rFonts w:ascii="Garamond" w:hAnsi="Garamond"/>
          <w:sz w:val="22"/>
          <w:szCs w:val="22"/>
        </w:rPr>
        <w:t xml:space="preserve">will </w:t>
      </w:r>
      <w:r w:rsidR="006C67BA" w:rsidRPr="006C67BA">
        <w:rPr>
          <w:rFonts w:ascii="Garamond" w:hAnsi="Garamond"/>
          <w:sz w:val="22"/>
          <w:szCs w:val="22"/>
        </w:rPr>
        <w:t>be</w:t>
      </w:r>
      <w:r w:rsidR="008E52CF">
        <w:rPr>
          <w:rFonts w:ascii="Garamond" w:hAnsi="Garamond"/>
          <w:sz w:val="22"/>
          <w:szCs w:val="22"/>
        </w:rPr>
        <w:t xml:space="preserve"> mostly </w:t>
      </w:r>
      <w:r w:rsidR="006C67BA">
        <w:rPr>
          <w:rFonts w:ascii="Garamond" w:hAnsi="Garamond"/>
          <w:sz w:val="22"/>
          <w:szCs w:val="22"/>
        </w:rPr>
        <w:t xml:space="preserve">attributable to </w:t>
      </w:r>
      <w:r w:rsidR="00C15D8C" w:rsidRPr="00C15D8C">
        <w:rPr>
          <w:rFonts w:ascii="Garamond" w:hAnsi="Garamond"/>
          <w:sz w:val="22"/>
          <w:szCs w:val="22"/>
        </w:rPr>
        <w:t>the negative balance of investment income</w:t>
      </w:r>
      <w:r w:rsidR="008E52CF">
        <w:rPr>
          <w:rFonts w:ascii="Garamond" w:hAnsi="Garamond"/>
          <w:sz w:val="22"/>
          <w:szCs w:val="22"/>
        </w:rPr>
        <w:t xml:space="preserve"> revised upside</w:t>
      </w:r>
      <w:r w:rsidR="006C67BA" w:rsidRPr="006C67BA">
        <w:rPr>
          <w:rFonts w:ascii="Garamond" w:hAnsi="Garamond"/>
          <w:sz w:val="22"/>
          <w:szCs w:val="22"/>
        </w:rPr>
        <w:t>.</w:t>
      </w:r>
      <w:r w:rsidR="00F93441">
        <w:rPr>
          <w:rFonts w:ascii="Garamond" w:hAnsi="Garamond"/>
          <w:sz w:val="22"/>
          <w:szCs w:val="22"/>
        </w:rPr>
        <w:t xml:space="preserve"> </w:t>
      </w:r>
    </w:p>
    <w:p w14:paraId="3A0C36B6" w14:textId="77777777" w:rsidR="00AC5AE0" w:rsidRDefault="006F1AAC" w:rsidP="00EE619D">
      <w:pPr>
        <w:autoSpaceDE w:val="0"/>
        <w:autoSpaceDN w:val="0"/>
        <w:adjustRightInd w:val="0"/>
        <w:spacing w:after="120" w:line="360" w:lineRule="auto"/>
        <w:jc w:val="both"/>
        <w:rPr>
          <w:rFonts w:ascii="Garamond" w:hAnsi="Garamond"/>
          <w:b/>
          <w:sz w:val="22"/>
          <w:szCs w:val="22"/>
        </w:rPr>
      </w:pPr>
      <w:r>
        <w:rPr>
          <w:rFonts w:ascii="Garamond" w:hAnsi="Garamond"/>
          <w:b/>
          <w:sz w:val="22"/>
          <w:szCs w:val="22"/>
        </w:rPr>
        <w:t>The f</w:t>
      </w:r>
      <w:r w:rsidRPr="00EE5F0F">
        <w:rPr>
          <w:rFonts w:ascii="Garamond" w:hAnsi="Garamond"/>
          <w:b/>
          <w:sz w:val="22"/>
          <w:szCs w:val="22"/>
        </w:rPr>
        <w:t>iscal sector</w:t>
      </w:r>
      <w:r>
        <w:rPr>
          <w:rFonts w:ascii="Garamond" w:hAnsi="Garamond"/>
          <w:b/>
          <w:sz w:val="22"/>
          <w:szCs w:val="22"/>
        </w:rPr>
        <w:t xml:space="preserve">’s </w:t>
      </w:r>
      <w:r w:rsidRPr="00EE5F0F">
        <w:rPr>
          <w:rFonts w:ascii="Garamond" w:hAnsi="Garamond"/>
          <w:b/>
          <w:sz w:val="22"/>
          <w:szCs w:val="22"/>
        </w:rPr>
        <w:t>impact</w:t>
      </w:r>
      <w:r>
        <w:rPr>
          <w:rFonts w:ascii="Garamond" w:hAnsi="Garamond"/>
          <w:b/>
          <w:sz w:val="22"/>
          <w:szCs w:val="22"/>
        </w:rPr>
        <w:t xml:space="preserve"> on a</w:t>
      </w:r>
      <w:r w:rsidR="006C67BA">
        <w:rPr>
          <w:rFonts w:ascii="Garamond" w:hAnsi="Garamond"/>
          <w:b/>
          <w:sz w:val="22"/>
          <w:szCs w:val="22"/>
        </w:rPr>
        <w:t xml:space="preserve">ggregate demand </w:t>
      </w:r>
      <w:r w:rsidR="008E52CF">
        <w:rPr>
          <w:rFonts w:ascii="Garamond" w:hAnsi="Garamond"/>
          <w:b/>
          <w:sz w:val="22"/>
          <w:szCs w:val="22"/>
        </w:rPr>
        <w:t>will be neutral compared to that of 0.4 pp contractionary outlined in</w:t>
      </w:r>
      <w:r w:rsidR="00BE69EE" w:rsidRPr="00EE5F0F">
        <w:rPr>
          <w:rFonts w:ascii="Garamond" w:hAnsi="Garamond"/>
          <w:b/>
          <w:sz w:val="22"/>
          <w:szCs w:val="22"/>
        </w:rPr>
        <w:t xml:space="preserve"> the previous forecast</w:t>
      </w:r>
      <w:r w:rsidR="00E673D5">
        <w:rPr>
          <w:rFonts w:ascii="Garamond" w:hAnsi="Garamond"/>
          <w:b/>
          <w:sz w:val="22"/>
          <w:szCs w:val="22"/>
        </w:rPr>
        <w:t>;</w:t>
      </w:r>
      <w:r>
        <w:rPr>
          <w:rFonts w:ascii="Garamond" w:hAnsi="Garamond"/>
          <w:b/>
          <w:sz w:val="22"/>
          <w:szCs w:val="22"/>
        </w:rPr>
        <w:t xml:space="preserve"> </w:t>
      </w:r>
      <w:r w:rsidR="006C67BA">
        <w:rPr>
          <w:rFonts w:ascii="Garamond" w:hAnsi="Garamond"/>
          <w:b/>
          <w:sz w:val="22"/>
          <w:szCs w:val="22"/>
        </w:rPr>
        <w:t xml:space="preserve">some </w:t>
      </w:r>
      <w:r w:rsidR="006C67BA" w:rsidRPr="006C67BA">
        <w:rPr>
          <w:rFonts w:ascii="Garamond" w:hAnsi="Garamond"/>
          <w:b/>
          <w:sz w:val="22"/>
          <w:szCs w:val="22"/>
        </w:rPr>
        <w:t xml:space="preserve">2.5% of </w:t>
      </w:r>
      <w:r w:rsidR="008E52CF">
        <w:rPr>
          <w:rFonts w:ascii="Garamond" w:hAnsi="Garamond"/>
          <w:b/>
          <w:sz w:val="22"/>
          <w:szCs w:val="22"/>
        </w:rPr>
        <w:t xml:space="preserve">saving of </w:t>
      </w:r>
      <w:r w:rsidR="006C67BA" w:rsidRPr="006C67BA">
        <w:rPr>
          <w:rFonts w:ascii="Garamond" w:hAnsi="Garamond"/>
          <w:b/>
          <w:sz w:val="22"/>
          <w:szCs w:val="22"/>
        </w:rPr>
        <w:t>public expenditure</w:t>
      </w:r>
      <w:r w:rsidR="006C67BA">
        <w:rPr>
          <w:rFonts w:ascii="Garamond" w:hAnsi="Garamond"/>
          <w:b/>
          <w:sz w:val="22"/>
          <w:szCs w:val="22"/>
        </w:rPr>
        <w:t>s</w:t>
      </w:r>
      <w:r w:rsidR="006C67BA" w:rsidRPr="006C67BA">
        <w:rPr>
          <w:rFonts w:ascii="Garamond" w:hAnsi="Garamond"/>
          <w:b/>
          <w:sz w:val="22"/>
          <w:szCs w:val="22"/>
        </w:rPr>
        <w:t xml:space="preserve"> is </w:t>
      </w:r>
      <w:r w:rsidR="006C67BA">
        <w:rPr>
          <w:rFonts w:ascii="Garamond" w:hAnsi="Garamond"/>
          <w:b/>
          <w:sz w:val="22"/>
          <w:szCs w:val="22"/>
        </w:rPr>
        <w:t>anticipated</w:t>
      </w:r>
      <w:r w:rsidR="00D104F4">
        <w:rPr>
          <w:rFonts w:ascii="Garamond" w:hAnsi="Garamond"/>
          <w:b/>
          <w:sz w:val="22"/>
          <w:szCs w:val="22"/>
        </w:rPr>
        <w:t xml:space="preserve"> along with at least AMD </w:t>
      </w:r>
      <w:r w:rsidR="00D104F4" w:rsidRPr="00D104F4">
        <w:rPr>
          <w:rFonts w:ascii="Garamond" w:hAnsi="Garamond"/>
          <w:b/>
          <w:sz w:val="22"/>
          <w:szCs w:val="22"/>
        </w:rPr>
        <w:t>62.0 billion</w:t>
      </w:r>
      <w:r w:rsidR="00E673D5">
        <w:rPr>
          <w:rFonts w:ascii="Garamond" w:hAnsi="Garamond"/>
          <w:b/>
          <w:sz w:val="22"/>
          <w:szCs w:val="22"/>
        </w:rPr>
        <w:t>-worth of overperformed revenues a</w:t>
      </w:r>
      <w:r w:rsidR="00D104F4">
        <w:rPr>
          <w:rFonts w:ascii="Garamond" w:hAnsi="Garamond"/>
          <w:b/>
          <w:sz w:val="22"/>
          <w:szCs w:val="22"/>
        </w:rPr>
        <w:t>nd</w:t>
      </w:r>
      <w:r w:rsidR="00E673D5">
        <w:rPr>
          <w:rFonts w:ascii="Garamond" w:hAnsi="Garamond"/>
          <w:b/>
          <w:sz w:val="22"/>
          <w:szCs w:val="22"/>
        </w:rPr>
        <w:t xml:space="preserve">, accordingly, </w:t>
      </w:r>
      <w:r w:rsidR="00D104F4">
        <w:rPr>
          <w:rFonts w:ascii="Garamond" w:hAnsi="Garamond"/>
          <w:b/>
          <w:sz w:val="22"/>
          <w:szCs w:val="22"/>
        </w:rPr>
        <w:t xml:space="preserve">public </w:t>
      </w:r>
      <w:r w:rsidR="00E673D5">
        <w:rPr>
          <w:rFonts w:ascii="Garamond" w:hAnsi="Garamond"/>
          <w:b/>
          <w:sz w:val="22"/>
          <w:szCs w:val="22"/>
        </w:rPr>
        <w:t xml:space="preserve">spending channeled to increase salaries of the military </w:t>
      </w:r>
      <w:r w:rsidR="00D104F4" w:rsidRPr="00D104F4">
        <w:rPr>
          <w:rFonts w:ascii="Garamond" w:hAnsi="Garamond"/>
          <w:b/>
          <w:sz w:val="22"/>
          <w:szCs w:val="22"/>
        </w:rPr>
        <w:t>and teachers</w:t>
      </w:r>
      <w:r w:rsidR="00E673D5">
        <w:rPr>
          <w:rFonts w:ascii="Garamond" w:hAnsi="Garamond"/>
          <w:b/>
          <w:sz w:val="22"/>
          <w:szCs w:val="22"/>
        </w:rPr>
        <w:t xml:space="preserve"> on the one hand</w:t>
      </w:r>
      <w:r w:rsidR="00D104F4" w:rsidRPr="00D104F4">
        <w:rPr>
          <w:rFonts w:ascii="Garamond" w:hAnsi="Garamond"/>
          <w:b/>
          <w:sz w:val="22"/>
          <w:szCs w:val="22"/>
        </w:rPr>
        <w:t xml:space="preserve">, </w:t>
      </w:r>
      <w:r w:rsidR="00E673D5">
        <w:rPr>
          <w:rFonts w:ascii="Garamond" w:hAnsi="Garamond"/>
          <w:b/>
          <w:sz w:val="22"/>
          <w:szCs w:val="22"/>
        </w:rPr>
        <w:t xml:space="preserve">and to fund </w:t>
      </w:r>
      <w:r w:rsidR="00D104F4" w:rsidRPr="00D104F4">
        <w:rPr>
          <w:rFonts w:ascii="Garamond" w:hAnsi="Garamond"/>
          <w:b/>
          <w:sz w:val="22"/>
          <w:szCs w:val="22"/>
        </w:rPr>
        <w:t xml:space="preserve">road construction and </w:t>
      </w:r>
      <w:r w:rsidR="00E673D5">
        <w:rPr>
          <w:rFonts w:ascii="Garamond" w:hAnsi="Garamond"/>
          <w:b/>
          <w:sz w:val="22"/>
          <w:szCs w:val="22"/>
        </w:rPr>
        <w:t xml:space="preserve">make </w:t>
      </w:r>
      <w:r w:rsidR="00D104F4" w:rsidRPr="00D104F4">
        <w:rPr>
          <w:rFonts w:ascii="Garamond" w:hAnsi="Garamond"/>
          <w:b/>
          <w:sz w:val="22"/>
          <w:szCs w:val="22"/>
        </w:rPr>
        <w:t>other capital expenditures</w:t>
      </w:r>
      <w:r w:rsidR="00E673D5">
        <w:rPr>
          <w:rFonts w:ascii="Garamond" w:hAnsi="Garamond"/>
          <w:b/>
          <w:sz w:val="22"/>
          <w:szCs w:val="22"/>
        </w:rPr>
        <w:t xml:space="preserve"> on the other</w:t>
      </w:r>
      <w:r w:rsidR="00D104F4" w:rsidRPr="00D104F4">
        <w:rPr>
          <w:rFonts w:ascii="Garamond" w:hAnsi="Garamond"/>
          <w:b/>
          <w:sz w:val="22"/>
          <w:szCs w:val="22"/>
        </w:rPr>
        <w:t>.</w:t>
      </w:r>
      <w:r w:rsidR="00116E8B">
        <w:rPr>
          <w:rFonts w:ascii="Garamond" w:hAnsi="Garamond"/>
          <w:b/>
          <w:sz w:val="22"/>
          <w:szCs w:val="22"/>
        </w:rPr>
        <w:t xml:space="preserve"> </w:t>
      </w:r>
    </w:p>
    <w:p w14:paraId="019BA47C" w14:textId="77777777" w:rsidR="00E50C7A" w:rsidRDefault="004F11B6"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Current forecasts </w:t>
      </w:r>
      <w:r w:rsidR="00E673D5">
        <w:rPr>
          <w:rFonts w:ascii="Garamond" w:hAnsi="Garamond"/>
          <w:sz w:val="22"/>
          <w:szCs w:val="22"/>
        </w:rPr>
        <w:t>suggest that</w:t>
      </w:r>
      <w:r>
        <w:rPr>
          <w:rFonts w:ascii="Garamond" w:hAnsi="Garamond"/>
          <w:sz w:val="22"/>
          <w:szCs w:val="22"/>
        </w:rPr>
        <w:t xml:space="preserve"> the</w:t>
      </w:r>
      <w:r w:rsidR="00C21775">
        <w:rPr>
          <w:rFonts w:ascii="Garamond" w:hAnsi="Garamond"/>
          <w:sz w:val="22"/>
          <w:szCs w:val="22"/>
        </w:rPr>
        <w:t xml:space="preserve"> i</w:t>
      </w:r>
      <w:r w:rsidR="00C21775" w:rsidRPr="00C21775">
        <w:rPr>
          <w:rFonts w:ascii="Garamond" w:hAnsi="Garamond"/>
          <w:sz w:val="22"/>
          <w:szCs w:val="22"/>
        </w:rPr>
        <w:t xml:space="preserve">nflation </w:t>
      </w:r>
      <w:r>
        <w:rPr>
          <w:rFonts w:ascii="Garamond" w:hAnsi="Garamond"/>
          <w:sz w:val="22"/>
          <w:szCs w:val="22"/>
        </w:rPr>
        <w:t xml:space="preserve">in the short run </w:t>
      </w:r>
      <w:r w:rsidR="00C21775" w:rsidRPr="00C21775">
        <w:rPr>
          <w:rFonts w:ascii="Garamond" w:hAnsi="Garamond"/>
          <w:sz w:val="22"/>
          <w:szCs w:val="22"/>
        </w:rPr>
        <w:t xml:space="preserve">will be </w:t>
      </w:r>
      <w:r w:rsidR="00E673D5">
        <w:rPr>
          <w:rFonts w:ascii="Garamond" w:hAnsi="Garamond"/>
          <w:sz w:val="22"/>
          <w:szCs w:val="22"/>
        </w:rPr>
        <w:t>above th</w:t>
      </w:r>
      <w:r w:rsidR="00116E8B">
        <w:rPr>
          <w:rFonts w:ascii="Garamond" w:hAnsi="Garamond"/>
          <w:sz w:val="22"/>
          <w:szCs w:val="22"/>
        </w:rPr>
        <w:t xml:space="preserve">e </w:t>
      </w:r>
      <w:r w:rsidR="00C21775" w:rsidRPr="00C21775">
        <w:rPr>
          <w:rFonts w:ascii="Garamond" w:hAnsi="Garamond"/>
          <w:sz w:val="22"/>
          <w:szCs w:val="22"/>
        </w:rPr>
        <w:t xml:space="preserve">previous </w:t>
      </w:r>
      <w:r w:rsidR="00E673D5">
        <w:rPr>
          <w:rFonts w:ascii="Garamond" w:hAnsi="Garamond"/>
          <w:sz w:val="22"/>
          <w:szCs w:val="22"/>
        </w:rPr>
        <w:t>forecasts</w:t>
      </w:r>
      <w:r w:rsidR="00C21775" w:rsidRPr="00C21775">
        <w:rPr>
          <w:rFonts w:ascii="Garamond" w:hAnsi="Garamond"/>
          <w:sz w:val="22"/>
          <w:szCs w:val="22"/>
        </w:rPr>
        <w:t xml:space="preserve">, </w:t>
      </w:r>
      <w:r w:rsidR="009559B2">
        <w:rPr>
          <w:rFonts w:ascii="Garamond" w:hAnsi="Garamond"/>
          <w:sz w:val="22"/>
          <w:szCs w:val="22"/>
        </w:rPr>
        <w:t xml:space="preserve">which is explained by </w:t>
      </w:r>
      <w:r w:rsidR="00E673D5">
        <w:rPr>
          <w:rFonts w:ascii="Garamond" w:hAnsi="Garamond"/>
          <w:sz w:val="22"/>
          <w:szCs w:val="22"/>
        </w:rPr>
        <w:t>higher</w:t>
      </w:r>
      <w:r>
        <w:rPr>
          <w:rFonts w:ascii="Garamond" w:hAnsi="Garamond"/>
          <w:sz w:val="22"/>
          <w:szCs w:val="22"/>
        </w:rPr>
        <w:t>-than-expected prices of</w:t>
      </w:r>
      <w:r w:rsidR="00116E8B">
        <w:rPr>
          <w:rFonts w:ascii="Garamond" w:hAnsi="Garamond"/>
          <w:sz w:val="22"/>
          <w:szCs w:val="22"/>
        </w:rPr>
        <w:t xml:space="preserve"> </w:t>
      </w:r>
      <w:r w:rsidR="00E673D5">
        <w:rPr>
          <w:rFonts w:ascii="Garamond" w:hAnsi="Garamond"/>
          <w:sz w:val="22"/>
          <w:szCs w:val="22"/>
        </w:rPr>
        <w:t>agricultural goods</w:t>
      </w:r>
      <w:r w:rsidR="008C1DD3">
        <w:rPr>
          <w:rFonts w:ascii="Garamond" w:hAnsi="Garamond"/>
          <w:sz w:val="22"/>
          <w:szCs w:val="22"/>
        </w:rPr>
        <w:t xml:space="preserve">, vegetables in particular. </w:t>
      </w:r>
      <w:r w:rsidR="008C1DD3" w:rsidRPr="008C1DD3">
        <w:rPr>
          <w:rFonts w:ascii="Garamond" w:hAnsi="Garamond"/>
          <w:sz w:val="22"/>
          <w:szCs w:val="22"/>
        </w:rPr>
        <w:t xml:space="preserve">The latter is mainly conditioned by the </w:t>
      </w:r>
      <w:r w:rsidR="008C1DD3">
        <w:rPr>
          <w:rFonts w:ascii="Garamond" w:hAnsi="Garamond"/>
          <w:sz w:val="22"/>
          <w:szCs w:val="22"/>
        </w:rPr>
        <w:t>shift in the</w:t>
      </w:r>
      <w:r w:rsidR="008C1DD3" w:rsidRPr="008C1DD3">
        <w:rPr>
          <w:rFonts w:ascii="Garamond" w:hAnsi="Garamond"/>
          <w:sz w:val="22"/>
          <w:szCs w:val="22"/>
        </w:rPr>
        <w:t xml:space="preserve"> agricultural season and, therefore, will </w:t>
      </w:r>
      <w:r w:rsidR="008C1DD3">
        <w:rPr>
          <w:rFonts w:ascii="Garamond" w:hAnsi="Garamond"/>
          <w:sz w:val="22"/>
          <w:szCs w:val="22"/>
        </w:rPr>
        <w:t>only leave a t</w:t>
      </w:r>
      <w:r w:rsidR="008C1DD3" w:rsidRPr="008C1DD3">
        <w:rPr>
          <w:rFonts w:ascii="Garamond" w:hAnsi="Garamond"/>
          <w:sz w:val="22"/>
          <w:szCs w:val="22"/>
        </w:rPr>
        <w:t>emporary effect.</w:t>
      </w:r>
    </w:p>
    <w:p w14:paraId="4B01DDA5" w14:textId="77777777" w:rsidR="002A0418" w:rsidRDefault="001D2F62"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In the meanwhile, core i</w:t>
      </w:r>
      <w:r w:rsidRPr="00C21775">
        <w:rPr>
          <w:rFonts w:ascii="Garamond" w:hAnsi="Garamond"/>
          <w:sz w:val="22"/>
          <w:szCs w:val="22"/>
        </w:rPr>
        <w:t xml:space="preserve">nflation </w:t>
      </w:r>
      <w:r>
        <w:rPr>
          <w:rFonts w:ascii="Garamond" w:hAnsi="Garamond"/>
          <w:sz w:val="22"/>
          <w:szCs w:val="22"/>
        </w:rPr>
        <w:t>will run</w:t>
      </w:r>
      <w:r w:rsidRPr="00C21775">
        <w:rPr>
          <w:rFonts w:ascii="Garamond" w:hAnsi="Garamond"/>
          <w:sz w:val="22"/>
          <w:szCs w:val="22"/>
        </w:rPr>
        <w:t xml:space="preserve"> </w:t>
      </w:r>
      <w:r w:rsidR="008C1DD3">
        <w:rPr>
          <w:rFonts w:ascii="Garamond" w:hAnsi="Garamond"/>
          <w:sz w:val="22"/>
          <w:szCs w:val="22"/>
        </w:rPr>
        <w:t xml:space="preserve">in line with </w:t>
      </w:r>
      <w:r>
        <w:rPr>
          <w:rFonts w:ascii="Garamond" w:hAnsi="Garamond"/>
          <w:sz w:val="22"/>
          <w:szCs w:val="22"/>
        </w:rPr>
        <w:t xml:space="preserve">the path outlined </w:t>
      </w:r>
      <w:r w:rsidR="0058338A">
        <w:rPr>
          <w:rFonts w:ascii="Garamond" w:hAnsi="Garamond"/>
          <w:sz w:val="22"/>
          <w:szCs w:val="22"/>
        </w:rPr>
        <w:t xml:space="preserve">in </w:t>
      </w:r>
      <w:r>
        <w:rPr>
          <w:rFonts w:ascii="Garamond" w:hAnsi="Garamond"/>
          <w:sz w:val="22"/>
          <w:szCs w:val="22"/>
        </w:rPr>
        <w:t>t</w:t>
      </w:r>
      <w:r w:rsidRPr="00C21775">
        <w:rPr>
          <w:rFonts w:ascii="Garamond" w:hAnsi="Garamond"/>
          <w:sz w:val="22"/>
          <w:szCs w:val="22"/>
        </w:rPr>
        <w:t xml:space="preserve">he previous scenario, </w:t>
      </w:r>
      <w:r w:rsidR="000B0F52">
        <w:rPr>
          <w:rFonts w:ascii="Garamond" w:hAnsi="Garamond"/>
          <w:sz w:val="22"/>
          <w:szCs w:val="22"/>
        </w:rPr>
        <w:t>consistent with aggregate demand</w:t>
      </w:r>
      <w:r w:rsidR="008C1DD3">
        <w:rPr>
          <w:rFonts w:ascii="Garamond" w:hAnsi="Garamond"/>
          <w:sz w:val="22"/>
          <w:szCs w:val="22"/>
        </w:rPr>
        <w:t xml:space="preserve"> developments</w:t>
      </w:r>
      <w:r w:rsidR="000B0F52">
        <w:rPr>
          <w:rFonts w:ascii="Garamond" w:hAnsi="Garamond"/>
          <w:sz w:val="22"/>
          <w:szCs w:val="22"/>
        </w:rPr>
        <w:t xml:space="preserve">. </w:t>
      </w:r>
      <w:r w:rsidR="009559B2" w:rsidRPr="00EE5F0F">
        <w:rPr>
          <w:rFonts w:ascii="Garamond" w:hAnsi="Garamond"/>
          <w:sz w:val="22"/>
          <w:szCs w:val="22"/>
        </w:rPr>
        <w:t>Consequently,</w:t>
      </w:r>
      <w:r w:rsidR="009559B2">
        <w:rPr>
          <w:rFonts w:ascii="Garamond" w:hAnsi="Garamond"/>
          <w:sz w:val="22"/>
          <w:szCs w:val="22"/>
        </w:rPr>
        <w:t xml:space="preserve"> </w:t>
      </w:r>
      <w:r w:rsidR="008C1DD3">
        <w:rPr>
          <w:rFonts w:ascii="Garamond" w:hAnsi="Garamond"/>
          <w:sz w:val="22"/>
          <w:szCs w:val="22"/>
        </w:rPr>
        <w:t xml:space="preserve">in pursuit of </w:t>
      </w:r>
      <w:r w:rsidR="009559B2" w:rsidRPr="00EE5F0F">
        <w:rPr>
          <w:rFonts w:ascii="Garamond" w:hAnsi="Garamond"/>
          <w:sz w:val="22"/>
          <w:szCs w:val="22"/>
        </w:rPr>
        <w:t>the inflation target</w:t>
      </w:r>
      <w:r w:rsidR="008C1DD3">
        <w:rPr>
          <w:rFonts w:ascii="Garamond" w:hAnsi="Garamond"/>
          <w:sz w:val="22"/>
          <w:szCs w:val="22"/>
        </w:rPr>
        <w:t>, the m</w:t>
      </w:r>
      <w:r w:rsidR="009559B2" w:rsidRPr="00EE5F0F">
        <w:rPr>
          <w:rFonts w:ascii="Garamond" w:hAnsi="Garamond"/>
          <w:sz w:val="22"/>
          <w:szCs w:val="22"/>
        </w:rPr>
        <w:t xml:space="preserve">onetary </w:t>
      </w:r>
      <w:r w:rsidR="009559B2">
        <w:rPr>
          <w:rFonts w:ascii="Garamond" w:hAnsi="Garamond"/>
          <w:sz w:val="22"/>
          <w:szCs w:val="22"/>
        </w:rPr>
        <w:t xml:space="preserve">policy </w:t>
      </w:r>
      <w:r w:rsidR="008C1DD3">
        <w:rPr>
          <w:rFonts w:ascii="Garamond" w:hAnsi="Garamond"/>
          <w:sz w:val="22"/>
          <w:szCs w:val="22"/>
        </w:rPr>
        <w:t>stance still</w:t>
      </w:r>
      <w:r w:rsidR="00837168">
        <w:rPr>
          <w:rFonts w:ascii="Garamond" w:hAnsi="Garamond"/>
          <w:sz w:val="22"/>
          <w:szCs w:val="22"/>
        </w:rPr>
        <w:t xml:space="preserve"> needs to</w:t>
      </w:r>
      <w:r w:rsidR="008C1DD3">
        <w:rPr>
          <w:rFonts w:ascii="Garamond" w:hAnsi="Garamond"/>
          <w:sz w:val="22"/>
          <w:szCs w:val="22"/>
        </w:rPr>
        <w:t xml:space="preserve"> be </w:t>
      </w:r>
      <w:r w:rsidR="00837168">
        <w:rPr>
          <w:rFonts w:ascii="Garamond" w:hAnsi="Garamond"/>
          <w:sz w:val="22"/>
          <w:szCs w:val="22"/>
        </w:rPr>
        <w:t xml:space="preserve">expansionary which will </w:t>
      </w:r>
      <w:r w:rsidR="00261149">
        <w:rPr>
          <w:rFonts w:ascii="Garamond" w:hAnsi="Garamond"/>
          <w:sz w:val="22"/>
          <w:szCs w:val="22"/>
        </w:rPr>
        <w:t>help</w:t>
      </w:r>
      <w:r w:rsidR="00837168">
        <w:rPr>
          <w:rFonts w:ascii="Garamond" w:hAnsi="Garamond"/>
          <w:sz w:val="22"/>
          <w:szCs w:val="22"/>
        </w:rPr>
        <w:t xml:space="preserve"> the inflation </w:t>
      </w:r>
      <w:r w:rsidR="00261149">
        <w:rPr>
          <w:rFonts w:ascii="Garamond" w:hAnsi="Garamond"/>
          <w:sz w:val="22"/>
          <w:szCs w:val="22"/>
        </w:rPr>
        <w:t xml:space="preserve">stabilize around the target </w:t>
      </w:r>
      <w:r w:rsidR="008904D7">
        <w:rPr>
          <w:rFonts w:ascii="Garamond" w:hAnsi="Garamond"/>
          <w:sz w:val="22"/>
          <w:szCs w:val="22"/>
        </w:rPr>
        <w:t xml:space="preserve">at the end of the forecast horizon </w:t>
      </w:r>
      <w:r w:rsidR="00261149" w:rsidRPr="00EE5F0F">
        <w:rPr>
          <w:rFonts w:ascii="Garamond" w:hAnsi="Garamond"/>
          <w:sz w:val="22"/>
          <w:szCs w:val="22"/>
        </w:rPr>
        <w:t xml:space="preserve">(see </w:t>
      </w:r>
      <w:r w:rsidR="002B088F">
        <w:rPr>
          <w:rFonts w:ascii="Garamond" w:hAnsi="Garamond"/>
          <w:sz w:val="22"/>
          <w:szCs w:val="22"/>
        </w:rPr>
        <w:t>C</w:t>
      </w:r>
      <w:r w:rsidR="008904D7">
        <w:rPr>
          <w:rFonts w:ascii="Garamond" w:hAnsi="Garamond"/>
          <w:sz w:val="22"/>
          <w:szCs w:val="22"/>
        </w:rPr>
        <w:t>hart 1: “</w:t>
      </w:r>
      <w:r w:rsidR="00261149" w:rsidRPr="00EE5F0F">
        <w:rPr>
          <w:rFonts w:ascii="Garamond" w:hAnsi="Garamond"/>
          <w:sz w:val="22"/>
          <w:szCs w:val="22"/>
        </w:rPr>
        <w:t>Inflation Forecasts Probability Distribution</w:t>
      </w:r>
      <w:r w:rsidR="008904D7">
        <w:rPr>
          <w:rFonts w:ascii="Garamond" w:hAnsi="Garamond"/>
          <w:sz w:val="22"/>
          <w:szCs w:val="22"/>
        </w:rPr>
        <w:t>”</w:t>
      </w:r>
      <w:r w:rsidR="00261149" w:rsidRPr="00EE5F0F">
        <w:rPr>
          <w:rFonts w:ascii="Garamond" w:hAnsi="Garamond"/>
          <w:sz w:val="22"/>
          <w:szCs w:val="22"/>
        </w:rPr>
        <w:t>).</w:t>
      </w:r>
      <w:r w:rsidR="00261149">
        <w:rPr>
          <w:rFonts w:ascii="Garamond" w:hAnsi="Garamond"/>
          <w:sz w:val="22"/>
          <w:szCs w:val="22"/>
        </w:rPr>
        <w:t xml:space="preserve"> </w:t>
      </w:r>
    </w:p>
    <w:p w14:paraId="21A0F06A" w14:textId="77777777" w:rsidR="002A0418" w:rsidRPr="00EE5F0F" w:rsidRDefault="00C34BCA" w:rsidP="00EE619D">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 xml:space="preserve">Short-term inflation expectations </w:t>
      </w:r>
      <w:r w:rsidR="000B0F52">
        <w:rPr>
          <w:rFonts w:ascii="Garamond" w:hAnsi="Garamond"/>
          <w:b/>
          <w:sz w:val="22"/>
          <w:szCs w:val="22"/>
        </w:rPr>
        <w:t xml:space="preserve">are </w:t>
      </w:r>
      <w:r w:rsidR="00837168">
        <w:rPr>
          <w:rFonts w:ascii="Garamond" w:hAnsi="Garamond"/>
          <w:b/>
          <w:sz w:val="22"/>
          <w:szCs w:val="22"/>
        </w:rPr>
        <w:t xml:space="preserve">almost in line with the ones </w:t>
      </w:r>
      <w:r w:rsidRPr="00EE5F0F">
        <w:rPr>
          <w:rFonts w:ascii="Garamond" w:hAnsi="Garamond"/>
          <w:b/>
          <w:sz w:val="22"/>
          <w:szCs w:val="22"/>
        </w:rPr>
        <w:t xml:space="preserve">outlined </w:t>
      </w:r>
      <w:r w:rsidR="00837168">
        <w:rPr>
          <w:rFonts w:ascii="Garamond" w:hAnsi="Garamond"/>
          <w:b/>
          <w:sz w:val="22"/>
          <w:szCs w:val="22"/>
        </w:rPr>
        <w:t xml:space="preserve">in the </w:t>
      </w:r>
      <w:r w:rsidRPr="00EE5F0F">
        <w:rPr>
          <w:rFonts w:ascii="Garamond" w:hAnsi="Garamond"/>
          <w:b/>
          <w:sz w:val="22"/>
          <w:szCs w:val="22"/>
        </w:rPr>
        <w:t>previous</w:t>
      </w:r>
      <w:r w:rsidR="00837168">
        <w:rPr>
          <w:rFonts w:ascii="Garamond" w:hAnsi="Garamond"/>
          <w:b/>
          <w:sz w:val="22"/>
          <w:szCs w:val="22"/>
        </w:rPr>
        <w:t xml:space="preserve"> scenario and virtually depend on </w:t>
      </w:r>
      <w:r w:rsidRPr="00EE5F0F">
        <w:rPr>
          <w:rFonts w:ascii="Garamond" w:hAnsi="Garamond"/>
          <w:b/>
          <w:sz w:val="22"/>
          <w:szCs w:val="22"/>
        </w:rPr>
        <w:t xml:space="preserve">how core inflation </w:t>
      </w:r>
      <w:r w:rsidR="00626606">
        <w:rPr>
          <w:rFonts w:ascii="Garamond" w:hAnsi="Garamond"/>
          <w:b/>
          <w:sz w:val="22"/>
          <w:szCs w:val="22"/>
        </w:rPr>
        <w:t xml:space="preserve">patterns </w:t>
      </w:r>
      <w:r w:rsidR="00837168">
        <w:rPr>
          <w:rFonts w:ascii="Garamond" w:hAnsi="Garamond"/>
          <w:b/>
          <w:sz w:val="22"/>
          <w:szCs w:val="22"/>
        </w:rPr>
        <w:t xml:space="preserve">will </w:t>
      </w:r>
      <w:r w:rsidRPr="00EE5F0F">
        <w:rPr>
          <w:rFonts w:ascii="Garamond" w:hAnsi="Garamond"/>
          <w:b/>
          <w:sz w:val="22"/>
          <w:szCs w:val="22"/>
        </w:rPr>
        <w:t xml:space="preserve">unfold. </w:t>
      </w:r>
    </w:p>
    <w:p w14:paraId="3633DFE9" w14:textId="77777777" w:rsidR="00565F75" w:rsidRDefault="00565F75" w:rsidP="00EE619D">
      <w:pPr>
        <w:autoSpaceDE w:val="0"/>
        <w:autoSpaceDN w:val="0"/>
        <w:adjustRightInd w:val="0"/>
        <w:spacing w:after="120" w:line="360" w:lineRule="auto"/>
        <w:jc w:val="both"/>
        <w:rPr>
          <w:rFonts w:ascii="Garamond" w:hAnsi="Garamond"/>
          <w:b/>
          <w:color w:val="0070C0"/>
          <w:sz w:val="22"/>
          <w:szCs w:val="22"/>
        </w:rPr>
      </w:pPr>
    </w:p>
    <w:p w14:paraId="7F21B978" w14:textId="77777777" w:rsidR="00815906" w:rsidRPr="00EE5F0F" w:rsidRDefault="00815906" w:rsidP="00EE619D">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2.2.4. Main assumptions and risks</w:t>
      </w:r>
    </w:p>
    <w:p w14:paraId="4BD529E7" w14:textId="77777777" w:rsidR="00815906" w:rsidRDefault="00C95BEF"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lastRenderedPageBreak/>
        <w:t xml:space="preserve">This section </w:t>
      </w:r>
      <w:r w:rsidR="009A6F46" w:rsidRPr="00EE5F0F">
        <w:rPr>
          <w:rFonts w:ascii="Garamond" w:hAnsi="Garamond"/>
          <w:sz w:val="22"/>
          <w:szCs w:val="22"/>
        </w:rPr>
        <w:t>contains</w:t>
      </w:r>
      <w:r w:rsidRPr="00EE5F0F">
        <w:rPr>
          <w:rFonts w:ascii="Garamond" w:hAnsi="Garamond"/>
          <w:sz w:val="22"/>
          <w:szCs w:val="22"/>
        </w:rPr>
        <w:t xml:space="preserve"> the main assumptions underlying the Monetary</w:t>
      </w:r>
      <w:r w:rsidR="00815906" w:rsidRPr="00EE5F0F">
        <w:rPr>
          <w:rFonts w:ascii="Garamond" w:hAnsi="Garamond"/>
          <w:sz w:val="22"/>
          <w:szCs w:val="22"/>
        </w:rPr>
        <w:t xml:space="preserve"> </w:t>
      </w:r>
      <w:r w:rsidRPr="00EE5F0F">
        <w:rPr>
          <w:rFonts w:ascii="Garamond" w:hAnsi="Garamond"/>
          <w:sz w:val="22"/>
          <w:szCs w:val="22"/>
        </w:rPr>
        <w:t>P</w:t>
      </w:r>
      <w:r w:rsidR="00815906" w:rsidRPr="00EE5F0F">
        <w:rPr>
          <w:rFonts w:ascii="Garamond" w:hAnsi="Garamond"/>
          <w:sz w:val="22"/>
          <w:szCs w:val="22"/>
        </w:rPr>
        <w:t xml:space="preserve">olicy </w:t>
      </w:r>
      <w:r w:rsidRPr="00EE5F0F">
        <w:rPr>
          <w:rFonts w:ascii="Garamond" w:hAnsi="Garamond"/>
          <w:sz w:val="22"/>
          <w:szCs w:val="22"/>
        </w:rPr>
        <w:t xml:space="preserve">Program for the </w:t>
      </w:r>
      <w:r w:rsidR="00846EFB">
        <w:rPr>
          <w:rFonts w:ascii="Garamond" w:hAnsi="Garamond"/>
          <w:sz w:val="22"/>
          <w:szCs w:val="22"/>
        </w:rPr>
        <w:t>first</w:t>
      </w:r>
      <w:r w:rsidRPr="00EE5F0F">
        <w:rPr>
          <w:rFonts w:ascii="Garamond" w:hAnsi="Garamond"/>
          <w:sz w:val="22"/>
          <w:szCs w:val="22"/>
        </w:rPr>
        <w:t xml:space="preserve"> quarter of 201</w:t>
      </w:r>
      <w:r w:rsidR="00846EFB">
        <w:rPr>
          <w:rFonts w:ascii="Garamond" w:hAnsi="Garamond"/>
          <w:sz w:val="22"/>
          <w:szCs w:val="22"/>
        </w:rPr>
        <w:t>9</w:t>
      </w:r>
      <w:r w:rsidRPr="00EE5F0F">
        <w:rPr>
          <w:rFonts w:ascii="Garamond" w:hAnsi="Garamond"/>
          <w:sz w:val="22"/>
          <w:szCs w:val="22"/>
        </w:rPr>
        <w:t xml:space="preserve"> and the </w:t>
      </w:r>
      <w:r w:rsidR="00815906" w:rsidRPr="00EE5F0F">
        <w:rPr>
          <w:rFonts w:ascii="Garamond" w:hAnsi="Garamond"/>
          <w:sz w:val="22"/>
          <w:szCs w:val="22"/>
        </w:rPr>
        <w:t xml:space="preserve">risks </w:t>
      </w:r>
      <w:r w:rsidRPr="00EE5F0F">
        <w:rPr>
          <w:rFonts w:ascii="Garamond" w:hAnsi="Garamond"/>
          <w:sz w:val="22"/>
          <w:szCs w:val="22"/>
        </w:rPr>
        <w:t>to implementation of the program</w:t>
      </w:r>
      <w:r w:rsidR="00C90711" w:rsidRPr="00EE5F0F">
        <w:rPr>
          <w:rFonts w:ascii="Garamond" w:hAnsi="Garamond"/>
          <w:sz w:val="22"/>
          <w:szCs w:val="22"/>
        </w:rPr>
        <w:t>, which</w:t>
      </w:r>
      <w:r w:rsidR="00FA0C20" w:rsidRPr="00EE5F0F">
        <w:rPr>
          <w:rFonts w:ascii="Garamond" w:hAnsi="Garamond"/>
          <w:sz w:val="22"/>
          <w:szCs w:val="22"/>
        </w:rPr>
        <w:t xml:space="preserve"> </w:t>
      </w:r>
      <w:r w:rsidR="00815906" w:rsidRPr="00EE5F0F">
        <w:rPr>
          <w:rFonts w:ascii="Garamond" w:hAnsi="Garamond"/>
          <w:sz w:val="22"/>
          <w:szCs w:val="22"/>
        </w:rPr>
        <w:t xml:space="preserve">derive from </w:t>
      </w:r>
      <w:r w:rsidR="00FA0C20" w:rsidRPr="00EE5F0F">
        <w:rPr>
          <w:rFonts w:ascii="Garamond" w:hAnsi="Garamond"/>
          <w:sz w:val="22"/>
          <w:szCs w:val="22"/>
        </w:rPr>
        <w:t xml:space="preserve">the </w:t>
      </w:r>
      <w:r w:rsidR="00815906" w:rsidRPr="00EE5F0F">
        <w:rPr>
          <w:rFonts w:ascii="Garamond" w:hAnsi="Garamond"/>
          <w:sz w:val="22"/>
          <w:szCs w:val="22"/>
        </w:rPr>
        <w:t xml:space="preserve">external sector developments, </w:t>
      </w:r>
      <w:r w:rsidR="00FA0C20" w:rsidRPr="00EE5F0F">
        <w:rPr>
          <w:rFonts w:ascii="Garamond" w:hAnsi="Garamond"/>
          <w:sz w:val="22"/>
          <w:szCs w:val="22"/>
        </w:rPr>
        <w:t xml:space="preserve">the </w:t>
      </w:r>
      <w:r w:rsidR="00815906" w:rsidRPr="00EE5F0F">
        <w:rPr>
          <w:rFonts w:ascii="Garamond" w:hAnsi="Garamond"/>
          <w:sz w:val="22"/>
          <w:szCs w:val="22"/>
        </w:rPr>
        <w:t xml:space="preserve">fiscal policy, </w:t>
      </w:r>
      <w:r w:rsidR="008904D7">
        <w:rPr>
          <w:rFonts w:ascii="Garamond" w:hAnsi="Garamond"/>
          <w:sz w:val="22"/>
          <w:szCs w:val="22"/>
        </w:rPr>
        <w:t xml:space="preserve">current </w:t>
      </w:r>
      <w:r w:rsidR="00815906" w:rsidRPr="00EE5F0F">
        <w:rPr>
          <w:rFonts w:ascii="Garamond" w:hAnsi="Garamond"/>
          <w:sz w:val="22"/>
          <w:szCs w:val="22"/>
        </w:rPr>
        <w:t xml:space="preserve">trends and short-term forecasts. </w:t>
      </w:r>
    </w:p>
    <w:tbl>
      <w:tblPr>
        <w:tblStyle w:val="TableGrid"/>
        <w:tblW w:w="0" w:type="auto"/>
        <w:tblLook w:val="04A0" w:firstRow="1" w:lastRow="0" w:firstColumn="1" w:lastColumn="0" w:noHBand="0" w:noVBand="1"/>
      </w:tblPr>
      <w:tblGrid>
        <w:gridCol w:w="9350"/>
      </w:tblGrid>
      <w:tr w:rsidR="00467C2C" w:rsidRPr="00EE5F0F" w14:paraId="4237C0DD" w14:textId="77777777" w:rsidTr="00467C2C">
        <w:tc>
          <w:tcPr>
            <w:tcW w:w="9350" w:type="dxa"/>
          </w:tcPr>
          <w:p w14:paraId="4BB55FC1" w14:textId="77777777" w:rsidR="00467C2C" w:rsidRPr="00CF2C97" w:rsidRDefault="00837168" w:rsidP="006966A5">
            <w:pPr>
              <w:autoSpaceDE w:val="0"/>
              <w:autoSpaceDN w:val="0"/>
              <w:adjustRightInd w:val="0"/>
              <w:spacing w:after="120" w:line="360" w:lineRule="auto"/>
              <w:jc w:val="both"/>
              <w:rPr>
                <w:rFonts w:ascii="Garamond" w:hAnsi="Garamond"/>
                <w:b/>
                <w:color w:val="0070C0"/>
                <w:sz w:val="21"/>
                <w:szCs w:val="21"/>
              </w:rPr>
            </w:pPr>
            <w:r>
              <w:rPr>
                <w:rFonts w:ascii="Garamond" w:hAnsi="Garamond"/>
                <w:b/>
                <w:color w:val="0070C0"/>
                <w:sz w:val="21"/>
                <w:szCs w:val="21"/>
              </w:rPr>
              <w:t>Box 2</w:t>
            </w:r>
            <w:r w:rsidR="00467C2C" w:rsidRPr="00CF2C97">
              <w:rPr>
                <w:rFonts w:ascii="Garamond" w:hAnsi="Garamond"/>
                <w:b/>
                <w:color w:val="0070C0"/>
                <w:sz w:val="21"/>
                <w:szCs w:val="21"/>
              </w:rPr>
              <w:t>:</w:t>
            </w:r>
          </w:p>
          <w:p w14:paraId="08274AFB" w14:textId="77777777" w:rsidR="00467C2C" w:rsidRPr="00CF2C97" w:rsidRDefault="00467C2C" w:rsidP="006966A5">
            <w:pPr>
              <w:autoSpaceDE w:val="0"/>
              <w:autoSpaceDN w:val="0"/>
              <w:adjustRightInd w:val="0"/>
              <w:spacing w:after="120" w:line="360" w:lineRule="auto"/>
              <w:jc w:val="both"/>
              <w:rPr>
                <w:rFonts w:ascii="Garamond" w:hAnsi="Garamond"/>
                <w:b/>
                <w:color w:val="0070C0"/>
                <w:sz w:val="21"/>
                <w:szCs w:val="21"/>
              </w:rPr>
            </w:pPr>
            <w:r w:rsidRPr="00CF2C97">
              <w:rPr>
                <w:rFonts w:ascii="Garamond" w:hAnsi="Garamond"/>
                <w:b/>
                <w:color w:val="0070C0"/>
                <w:sz w:val="21"/>
                <w:szCs w:val="21"/>
              </w:rPr>
              <w:t>The results of survey on expectations by the households and the financial system</w:t>
            </w:r>
          </w:p>
          <w:p w14:paraId="667426D2" w14:textId="77777777" w:rsidR="004C4C65" w:rsidRDefault="00467C2C" w:rsidP="006966A5">
            <w:pPr>
              <w:autoSpaceDE w:val="0"/>
              <w:autoSpaceDN w:val="0"/>
              <w:adjustRightInd w:val="0"/>
              <w:spacing w:after="120" w:line="360" w:lineRule="auto"/>
              <w:jc w:val="both"/>
              <w:rPr>
                <w:rFonts w:ascii="Garamond" w:hAnsi="Garamond"/>
                <w:sz w:val="21"/>
                <w:szCs w:val="21"/>
              </w:rPr>
            </w:pPr>
            <w:r w:rsidRPr="00CF2C97">
              <w:rPr>
                <w:rFonts w:ascii="Garamond" w:hAnsi="Garamond"/>
                <w:sz w:val="21"/>
                <w:szCs w:val="21"/>
              </w:rPr>
              <w:t xml:space="preserve">The inflation expectations </w:t>
            </w:r>
            <w:r w:rsidR="00846EFB">
              <w:rPr>
                <w:rFonts w:ascii="Garamond" w:hAnsi="Garamond"/>
                <w:sz w:val="21"/>
                <w:szCs w:val="21"/>
              </w:rPr>
              <w:t>did not change notably at the end of the year</w:t>
            </w:r>
            <w:r w:rsidRPr="00CF2C97">
              <w:rPr>
                <w:rFonts w:ascii="Garamond" w:hAnsi="Garamond"/>
                <w:sz w:val="21"/>
                <w:szCs w:val="21"/>
              </w:rPr>
              <w:t>, ac</w:t>
            </w:r>
            <w:r w:rsidR="00404293" w:rsidRPr="00CF2C97">
              <w:rPr>
                <w:rFonts w:ascii="Garamond" w:hAnsi="Garamond"/>
                <w:sz w:val="21"/>
                <w:szCs w:val="21"/>
              </w:rPr>
              <w:t xml:space="preserve">cording to the </w:t>
            </w:r>
            <w:r w:rsidR="000D465D">
              <w:rPr>
                <w:rFonts w:ascii="Garamond" w:hAnsi="Garamond"/>
                <w:sz w:val="21"/>
                <w:szCs w:val="21"/>
              </w:rPr>
              <w:t xml:space="preserve">results of </w:t>
            </w:r>
            <w:r w:rsidR="00404293" w:rsidRPr="00CF2C97">
              <w:rPr>
                <w:rFonts w:ascii="Garamond" w:hAnsi="Garamond"/>
                <w:sz w:val="21"/>
                <w:szCs w:val="21"/>
              </w:rPr>
              <w:t>Q</w:t>
            </w:r>
            <w:r w:rsidR="00837168">
              <w:rPr>
                <w:rFonts w:ascii="Garamond" w:hAnsi="Garamond"/>
                <w:sz w:val="21"/>
                <w:szCs w:val="21"/>
              </w:rPr>
              <w:t>1</w:t>
            </w:r>
            <w:r w:rsidRPr="00CF2C97">
              <w:rPr>
                <w:rFonts w:ascii="Garamond" w:hAnsi="Garamond"/>
                <w:sz w:val="21"/>
                <w:szCs w:val="21"/>
              </w:rPr>
              <w:t>, 201</w:t>
            </w:r>
            <w:r w:rsidR="00837168">
              <w:rPr>
                <w:rFonts w:ascii="Garamond" w:hAnsi="Garamond"/>
                <w:sz w:val="21"/>
                <w:szCs w:val="21"/>
              </w:rPr>
              <w:t>9</w:t>
            </w:r>
            <w:r w:rsidR="000D465D">
              <w:rPr>
                <w:rFonts w:ascii="Garamond" w:hAnsi="Garamond"/>
                <w:sz w:val="21"/>
                <w:szCs w:val="21"/>
              </w:rPr>
              <w:t xml:space="preserve"> </w:t>
            </w:r>
            <w:r w:rsidRPr="00CF2C97">
              <w:rPr>
                <w:rFonts w:ascii="Garamond" w:hAnsi="Garamond"/>
                <w:sz w:val="21"/>
                <w:szCs w:val="21"/>
              </w:rPr>
              <w:t>survey on se</w:t>
            </w:r>
            <w:r w:rsidR="00846EFB">
              <w:rPr>
                <w:rFonts w:ascii="Garamond" w:hAnsi="Garamond"/>
                <w:sz w:val="21"/>
                <w:szCs w:val="21"/>
              </w:rPr>
              <w:t xml:space="preserve">lected macroeconomic indicators, which </w:t>
            </w:r>
            <w:r w:rsidRPr="00CF2C97">
              <w:rPr>
                <w:rFonts w:ascii="Garamond" w:hAnsi="Garamond"/>
                <w:sz w:val="21"/>
                <w:szCs w:val="21"/>
              </w:rPr>
              <w:t xml:space="preserve">the Central Bank </w:t>
            </w:r>
            <w:r w:rsidR="0010487A" w:rsidRPr="00CF2C97">
              <w:rPr>
                <w:rFonts w:ascii="Garamond" w:hAnsi="Garamond"/>
                <w:sz w:val="21"/>
                <w:szCs w:val="21"/>
              </w:rPr>
              <w:t>c</w:t>
            </w:r>
            <w:r w:rsidR="00410D16" w:rsidRPr="00CF2C97">
              <w:rPr>
                <w:rFonts w:ascii="Garamond" w:hAnsi="Garamond"/>
                <w:sz w:val="21"/>
                <w:szCs w:val="21"/>
              </w:rPr>
              <w:t xml:space="preserve">arries out </w:t>
            </w:r>
            <w:r w:rsidR="000D465D">
              <w:rPr>
                <w:rFonts w:ascii="Garamond" w:hAnsi="Garamond"/>
                <w:sz w:val="21"/>
                <w:szCs w:val="21"/>
              </w:rPr>
              <w:t xml:space="preserve">each quarter </w:t>
            </w:r>
            <w:r w:rsidR="0010487A" w:rsidRPr="00CF2C97">
              <w:rPr>
                <w:rFonts w:ascii="Garamond" w:hAnsi="Garamond"/>
                <w:sz w:val="21"/>
                <w:szCs w:val="21"/>
              </w:rPr>
              <w:t xml:space="preserve">by way of inquiries among </w:t>
            </w:r>
            <w:r w:rsidR="00BA3D0E" w:rsidRPr="00CF2C97">
              <w:rPr>
                <w:rFonts w:ascii="Garamond" w:hAnsi="Garamond"/>
                <w:sz w:val="21"/>
                <w:szCs w:val="21"/>
              </w:rPr>
              <w:t>households a</w:t>
            </w:r>
            <w:r w:rsidR="0010487A" w:rsidRPr="00CF2C97">
              <w:rPr>
                <w:rFonts w:ascii="Garamond" w:hAnsi="Garamond"/>
                <w:sz w:val="21"/>
                <w:szCs w:val="21"/>
              </w:rPr>
              <w:t xml:space="preserve">nd companies in the </w:t>
            </w:r>
            <w:r w:rsidRPr="00CF2C97">
              <w:rPr>
                <w:rFonts w:ascii="Garamond" w:hAnsi="Garamond"/>
                <w:sz w:val="21"/>
                <w:szCs w:val="21"/>
              </w:rPr>
              <w:t xml:space="preserve">financial sector. </w:t>
            </w:r>
            <w:r w:rsidR="0038793E">
              <w:rPr>
                <w:rFonts w:ascii="Garamond" w:hAnsi="Garamond"/>
                <w:sz w:val="21"/>
                <w:szCs w:val="21"/>
              </w:rPr>
              <w:t xml:space="preserve">Specifically, </w:t>
            </w:r>
            <w:r w:rsidR="006573EF" w:rsidRPr="00CF2C97">
              <w:rPr>
                <w:rFonts w:ascii="Garamond" w:hAnsi="Garamond"/>
                <w:sz w:val="21"/>
                <w:szCs w:val="21"/>
              </w:rPr>
              <w:t xml:space="preserve">the share of households expecting </w:t>
            </w:r>
            <w:r w:rsidR="005B015A" w:rsidRPr="00CF2C97">
              <w:rPr>
                <w:rFonts w:ascii="Garamond" w:hAnsi="Garamond"/>
                <w:sz w:val="21"/>
                <w:szCs w:val="21"/>
              </w:rPr>
              <w:t xml:space="preserve">high and </w:t>
            </w:r>
            <w:r w:rsidR="006573EF" w:rsidRPr="00CF2C97">
              <w:rPr>
                <w:rFonts w:ascii="Garamond" w:hAnsi="Garamond"/>
                <w:sz w:val="21"/>
                <w:szCs w:val="21"/>
              </w:rPr>
              <w:t>very high inflation rate</w:t>
            </w:r>
            <w:r w:rsidR="000612ED">
              <w:rPr>
                <w:rFonts w:ascii="Garamond" w:hAnsi="Garamond"/>
                <w:sz w:val="21"/>
                <w:szCs w:val="21"/>
              </w:rPr>
              <w:t>s</w:t>
            </w:r>
            <w:r w:rsidR="005B015A" w:rsidRPr="00CF2C97">
              <w:rPr>
                <w:rFonts w:ascii="Garamond" w:hAnsi="Garamond"/>
                <w:sz w:val="21"/>
                <w:szCs w:val="21"/>
              </w:rPr>
              <w:t xml:space="preserve"> for a one-year horizon </w:t>
            </w:r>
            <w:r w:rsidR="0038793E">
              <w:rPr>
                <w:rFonts w:ascii="Garamond" w:hAnsi="Garamond"/>
                <w:sz w:val="21"/>
                <w:szCs w:val="21"/>
              </w:rPr>
              <w:t xml:space="preserve">in a total respondents </w:t>
            </w:r>
            <w:r w:rsidR="000612ED" w:rsidRPr="000612ED">
              <w:rPr>
                <w:rFonts w:ascii="Garamond" w:hAnsi="Garamond"/>
                <w:sz w:val="21"/>
                <w:szCs w:val="21"/>
              </w:rPr>
              <w:t>remained a</w:t>
            </w:r>
            <w:r w:rsidR="000612ED">
              <w:rPr>
                <w:rFonts w:ascii="Garamond" w:hAnsi="Garamond"/>
                <w:sz w:val="21"/>
                <w:szCs w:val="21"/>
              </w:rPr>
              <w:t xml:space="preserve">lmost </w:t>
            </w:r>
            <w:r w:rsidR="00394592">
              <w:rPr>
                <w:rFonts w:ascii="Garamond" w:hAnsi="Garamond"/>
                <w:sz w:val="21"/>
                <w:szCs w:val="21"/>
              </w:rPr>
              <w:t xml:space="preserve">the same </w:t>
            </w:r>
            <w:r w:rsidR="0038793E">
              <w:rPr>
                <w:rFonts w:ascii="Garamond" w:hAnsi="Garamond"/>
                <w:sz w:val="21"/>
                <w:szCs w:val="21"/>
              </w:rPr>
              <w:t xml:space="preserve">with the previous </w:t>
            </w:r>
            <w:r w:rsidR="00394592">
              <w:rPr>
                <w:rFonts w:ascii="Garamond" w:hAnsi="Garamond"/>
                <w:sz w:val="21"/>
                <w:szCs w:val="21"/>
              </w:rPr>
              <w:t>quarter</w:t>
            </w:r>
            <w:r w:rsidR="0038793E">
              <w:rPr>
                <w:rFonts w:ascii="Garamond" w:hAnsi="Garamond"/>
                <w:sz w:val="21"/>
                <w:szCs w:val="21"/>
              </w:rPr>
              <w:t>’s level</w:t>
            </w:r>
            <w:r w:rsidR="00394592">
              <w:rPr>
                <w:rFonts w:ascii="Garamond" w:hAnsi="Garamond"/>
                <w:sz w:val="21"/>
                <w:szCs w:val="21"/>
              </w:rPr>
              <w:t xml:space="preserve"> (</w:t>
            </w:r>
            <w:r w:rsidR="00BD488F">
              <w:rPr>
                <w:rFonts w:ascii="Garamond" w:hAnsi="Garamond"/>
                <w:sz w:val="21"/>
                <w:szCs w:val="21"/>
              </w:rPr>
              <w:t>very close to</w:t>
            </w:r>
            <w:r w:rsidR="00394592">
              <w:rPr>
                <w:rFonts w:ascii="Garamond" w:hAnsi="Garamond"/>
                <w:sz w:val="21"/>
                <w:szCs w:val="21"/>
              </w:rPr>
              <w:t xml:space="preserve"> a</w:t>
            </w:r>
            <w:r w:rsidR="000612ED" w:rsidRPr="000612ED">
              <w:rPr>
                <w:rFonts w:ascii="Garamond" w:hAnsi="Garamond"/>
                <w:sz w:val="21"/>
                <w:szCs w:val="21"/>
              </w:rPr>
              <w:t xml:space="preserve"> zero</w:t>
            </w:r>
            <w:r w:rsidR="00394592">
              <w:rPr>
                <w:rFonts w:ascii="Garamond" w:hAnsi="Garamond"/>
                <w:sz w:val="21"/>
                <w:szCs w:val="21"/>
              </w:rPr>
              <w:t>)</w:t>
            </w:r>
            <w:r w:rsidR="005B015A" w:rsidRPr="00CF2C97">
              <w:rPr>
                <w:rFonts w:ascii="Garamond" w:hAnsi="Garamond"/>
                <w:sz w:val="21"/>
                <w:szCs w:val="21"/>
              </w:rPr>
              <w:t>.</w:t>
            </w:r>
          </w:p>
          <w:p w14:paraId="11022381" w14:textId="77777777" w:rsidR="000D465D" w:rsidRPr="00CF2C97" w:rsidRDefault="000D465D" w:rsidP="006966A5">
            <w:pPr>
              <w:autoSpaceDE w:val="0"/>
              <w:autoSpaceDN w:val="0"/>
              <w:adjustRightInd w:val="0"/>
              <w:spacing w:after="120" w:line="360" w:lineRule="auto"/>
              <w:jc w:val="both"/>
              <w:rPr>
                <w:rFonts w:ascii="Garamond" w:hAnsi="Garamond"/>
                <w:sz w:val="21"/>
                <w:szCs w:val="21"/>
              </w:rPr>
            </w:pPr>
            <w:r>
              <w:rPr>
                <w:rFonts w:ascii="Garamond" w:hAnsi="Garamond"/>
                <w:sz w:val="21"/>
                <w:szCs w:val="21"/>
              </w:rPr>
              <w:t>Meanwhile, t</w:t>
            </w:r>
            <w:r w:rsidRPr="000D465D">
              <w:rPr>
                <w:rFonts w:ascii="Garamond" w:hAnsi="Garamond"/>
                <w:sz w:val="21"/>
                <w:szCs w:val="21"/>
              </w:rPr>
              <w:t xml:space="preserve">he dollarization continues to decline, </w:t>
            </w:r>
            <w:r>
              <w:rPr>
                <w:rFonts w:ascii="Garamond" w:hAnsi="Garamond"/>
                <w:sz w:val="21"/>
                <w:szCs w:val="21"/>
              </w:rPr>
              <w:t xml:space="preserve">which points to the </w:t>
            </w:r>
            <w:r w:rsidRPr="000D465D">
              <w:rPr>
                <w:rFonts w:ascii="Garamond" w:hAnsi="Garamond"/>
                <w:sz w:val="21"/>
                <w:szCs w:val="21"/>
              </w:rPr>
              <w:t>long-term inflation expectations</w:t>
            </w:r>
            <w:r>
              <w:rPr>
                <w:rFonts w:ascii="Garamond" w:hAnsi="Garamond"/>
                <w:sz w:val="21"/>
                <w:szCs w:val="21"/>
              </w:rPr>
              <w:t xml:space="preserve"> following a downward path and</w:t>
            </w:r>
            <w:r w:rsidRPr="000D465D">
              <w:rPr>
                <w:rFonts w:ascii="Garamond" w:hAnsi="Garamond"/>
                <w:sz w:val="21"/>
                <w:szCs w:val="21"/>
              </w:rPr>
              <w:t xml:space="preserve"> approaching the target level.</w:t>
            </w:r>
          </w:p>
          <w:p w14:paraId="1A18BDD8" w14:textId="77777777" w:rsidR="00467C2C" w:rsidRPr="00EE5F0F" w:rsidRDefault="00467C2C" w:rsidP="003654D5">
            <w:pPr>
              <w:autoSpaceDE w:val="0"/>
              <w:autoSpaceDN w:val="0"/>
              <w:adjustRightInd w:val="0"/>
              <w:spacing w:after="120" w:line="360" w:lineRule="auto"/>
              <w:jc w:val="both"/>
              <w:rPr>
                <w:rFonts w:ascii="Garamond" w:hAnsi="Garamond"/>
                <w:b/>
                <w:color w:val="0070C0"/>
                <w:sz w:val="22"/>
                <w:szCs w:val="22"/>
              </w:rPr>
            </w:pPr>
            <w:r w:rsidRPr="00CF2C97">
              <w:rPr>
                <w:rFonts w:ascii="Garamond" w:hAnsi="Garamond"/>
                <w:sz w:val="21"/>
                <w:szCs w:val="21"/>
              </w:rPr>
              <w:t xml:space="preserve">The </w:t>
            </w:r>
            <w:r w:rsidRPr="00CF2C97">
              <w:rPr>
                <w:rFonts w:ascii="Garamond" w:hAnsi="Garamond"/>
                <w:b/>
                <w:sz w:val="21"/>
                <w:szCs w:val="21"/>
              </w:rPr>
              <w:t>average level of inflation expectations of the financial system</w:t>
            </w:r>
            <w:r w:rsidRPr="00CF2C97">
              <w:rPr>
                <w:rFonts w:ascii="Garamond" w:hAnsi="Garamond"/>
                <w:sz w:val="21"/>
                <w:szCs w:val="21"/>
              </w:rPr>
              <w:t xml:space="preserve"> in the upcoming one-year horizon</w:t>
            </w:r>
            <w:r w:rsidR="005C6027" w:rsidRPr="00CF2C97">
              <w:rPr>
                <w:rFonts w:ascii="Garamond" w:hAnsi="Garamond"/>
                <w:sz w:val="21"/>
                <w:szCs w:val="21"/>
              </w:rPr>
              <w:t xml:space="preserve"> has </w:t>
            </w:r>
            <w:r w:rsidR="000D465D">
              <w:rPr>
                <w:rFonts w:ascii="Garamond" w:hAnsi="Garamond"/>
                <w:sz w:val="21"/>
                <w:szCs w:val="21"/>
              </w:rPr>
              <w:t>been somewhat steady</w:t>
            </w:r>
            <w:r w:rsidR="003654D5">
              <w:rPr>
                <w:rFonts w:ascii="Garamond" w:hAnsi="Garamond"/>
                <w:sz w:val="21"/>
                <w:szCs w:val="21"/>
              </w:rPr>
              <w:t xml:space="preserve"> in relation to the previous survey</w:t>
            </w:r>
            <w:r w:rsidR="000D465D">
              <w:rPr>
                <w:rFonts w:ascii="Garamond" w:hAnsi="Garamond"/>
                <w:sz w:val="21"/>
                <w:szCs w:val="21"/>
              </w:rPr>
              <w:t xml:space="preserve">, </w:t>
            </w:r>
            <w:r w:rsidR="003654D5">
              <w:rPr>
                <w:rFonts w:ascii="Garamond" w:hAnsi="Garamond"/>
                <w:sz w:val="21"/>
                <w:szCs w:val="21"/>
              </w:rPr>
              <w:t xml:space="preserve">remaining </w:t>
            </w:r>
            <w:r w:rsidR="004C4C65" w:rsidRPr="007576AC">
              <w:rPr>
                <w:rFonts w:ascii="Garamond" w:hAnsi="Garamond"/>
                <w:b/>
                <w:sz w:val="21"/>
                <w:szCs w:val="21"/>
              </w:rPr>
              <w:t>3</w:t>
            </w:r>
            <w:r w:rsidRPr="007576AC">
              <w:rPr>
                <w:rFonts w:ascii="Garamond" w:hAnsi="Garamond"/>
                <w:b/>
                <w:sz w:val="21"/>
                <w:szCs w:val="21"/>
              </w:rPr>
              <w:t>.</w:t>
            </w:r>
            <w:r w:rsidR="00BD488F" w:rsidRPr="007576AC">
              <w:rPr>
                <w:rFonts w:ascii="Garamond" w:hAnsi="Garamond"/>
                <w:b/>
                <w:sz w:val="21"/>
                <w:szCs w:val="21"/>
              </w:rPr>
              <w:t>2</w:t>
            </w:r>
            <w:r w:rsidRPr="007576AC">
              <w:rPr>
                <w:rFonts w:ascii="Garamond" w:hAnsi="Garamond"/>
                <w:b/>
                <w:sz w:val="21"/>
                <w:szCs w:val="21"/>
              </w:rPr>
              <w:t>%</w:t>
            </w:r>
            <w:r w:rsidRPr="00CF2C97">
              <w:rPr>
                <w:rFonts w:ascii="Garamond" w:hAnsi="Garamond"/>
                <w:sz w:val="21"/>
                <w:szCs w:val="21"/>
              </w:rPr>
              <w:t>.</w:t>
            </w:r>
          </w:p>
        </w:tc>
      </w:tr>
    </w:tbl>
    <w:p w14:paraId="6FEEBD5E" w14:textId="77777777" w:rsidR="005C6536" w:rsidRPr="00EE5F0F" w:rsidRDefault="005C6536" w:rsidP="005C6536">
      <w:pPr>
        <w:autoSpaceDE w:val="0"/>
        <w:autoSpaceDN w:val="0"/>
        <w:adjustRightInd w:val="0"/>
        <w:spacing w:after="120" w:line="360" w:lineRule="auto"/>
        <w:jc w:val="both"/>
        <w:rPr>
          <w:rFonts w:ascii="Garamond" w:hAnsi="Garamond"/>
          <w:sz w:val="22"/>
          <w:szCs w:val="22"/>
        </w:rPr>
      </w:pPr>
    </w:p>
    <w:p w14:paraId="34E3AC3F" w14:textId="77777777" w:rsidR="005C6536" w:rsidRPr="00EE5F0F" w:rsidRDefault="005C6536" w:rsidP="005C6536">
      <w:pPr>
        <w:autoSpaceDE w:val="0"/>
        <w:autoSpaceDN w:val="0"/>
        <w:adjustRightInd w:val="0"/>
        <w:spacing w:after="120" w:line="360" w:lineRule="auto"/>
        <w:jc w:val="both"/>
        <w:rPr>
          <w:rFonts w:ascii="Garamond" w:hAnsi="Garamond"/>
          <w:b/>
          <w:sz w:val="22"/>
          <w:szCs w:val="22"/>
        </w:rPr>
      </w:pPr>
      <w:r w:rsidRPr="00EE5F0F">
        <w:rPr>
          <w:rFonts w:ascii="Garamond" w:hAnsi="Garamond"/>
          <w:b/>
          <w:sz w:val="22"/>
          <w:szCs w:val="22"/>
        </w:rPr>
        <w:t>Forecast assumptions</w:t>
      </w:r>
      <w:r w:rsidR="00FA46F4" w:rsidRPr="00EE5F0F">
        <w:rPr>
          <w:rFonts w:ascii="Garamond" w:hAnsi="Garamond"/>
          <w:b/>
          <w:sz w:val="22"/>
          <w:szCs w:val="22"/>
        </w:rPr>
        <w:t xml:space="preserve"> </w:t>
      </w:r>
    </w:p>
    <w:p w14:paraId="1D53B259" w14:textId="77777777" w:rsidR="005C6536" w:rsidRPr="000A2CFF" w:rsidRDefault="004C4C65" w:rsidP="005C6536">
      <w:pPr>
        <w:autoSpaceDE w:val="0"/>
        <w:autoSpaceDN w:val="0"/>
        <w:adjustRightInd w:val="0"/>
        <w:spacing w:after="120" w:line="360" w:lineRule="auto"/>
        <w:jc w:val="both"/>
        <w:rPr>
          <w:rFonts w:ascii="Garamond" w:hAnsi="Garamond" w:cs="Sylfaen"/>
          <w:b/>
          <w:i/>
          <w:iCs/>
          <w:color w:val="C00000"/>
          <w:sz w:val="22"/>
          <w:szCs w:val="22"/>
        </w:rPr>
      </w:pPr>
      <w:r w:rsidRPr="000A2CFF">
        <w:rPr>
          <w:rFonts w:ascii="Garamond" w:hAnsi="Garamond"/>
          <w:b/>
          <w:color w:val="C00000"/>
          <w:sz w:val="22"/>
          <w:szCs w:val="22"/>
        </w:rPr>
        <w:t>Table 3</w:t>
      </w:r>
      <w:r w:rsidR="005C6536" w:rsidRPr="000A2CFF">
        <w:rPr>
          <w:rFonts w:ascii="Garamond" w:hAnsi="Garamond"/>
          <w:b/>
          <w:color w:val="C00000"/>
          <w:sz w:val="22"/>
          <w:szCs w:val="22"/>
        </w:rPr>
        <w:t>:</w:t>
      </w:r>
      <w:r w:rsidR="00DA0E4F" w:rsidRPr="000A2CFF">
        <w:rPr>
          <w:rFonts w:ascii="Garamond" w:hAnsi="Garamond"/>
          <w:b/>
          <w:color w:val="C00000"/>
          <w:sz w:val="22"/>
          <w:szCs w:val="22"/>
        </w:rPr>
        <w:t xml:space="preserve"> </w:t>
      </w:r>
    </w:p>
    <w:tbl>
      <w:tblPr>
        <w:tblStyle w:val="TableGrid"/>
        <w:tblW w:w="6243" w:type="dxa"/>
        <w:tblInd w:w="43" w:type="dxa"/>
        <w:tblLayout w:type="fixed"/>
        <w:tblCellMar>
          <w:left w:w="57" w:type="dxa"/>
          <w:right w:w="57" w:type="dxa"/>
        </w:tblCellMar>
        <w:tblLook w:val="04A0" w:firstRow="1" w:lastRow="0" w:firstColumn="1" w:lastColumn="0" w:noHBand="0" w:noVBand="1"/>
      </w:tblPr>
      <w:tblGrid>
        <w:gridCol w:w="1715"/>
        <w:gridCol w:w="4528"/>
      </w:tblGrid>
      <w:tr w:rsidR="005C6536" w:rsidRPr="00EE5F0F" w14:paraId="5E4A3614" w14:textId="77777777" w:rsidTr="004D4A0F">
        <w:trPr>
          <w:trHeight w:val="20"/>
        </w:trPr>
        <w:tc>
          <w:tcPr>
            <w:tcW w:w="1715" w:type="dxa"/>
            <w:vAlign w:val="center"/>
          </w:tcPr>
          <w:p w14:paraId="2EEDC26C" w14:textId="77777777" w:rsidR="005C6536" w:rsidRPr="00EE5F0F" w:rsidRDefault="005C6536" w:rsidP="004D4A0F">
            <w:pPr>
              <w:spacing w:before="30" w:after="30"/>
              <w:rPr>
                <w:rFonts w:ascii="Garamond" w:eastAsia="Calibri" w:hAnsi="Garamond" w:cs="GHEA Grapalat"/>
                <w:b/>
                <w:sz w:val="22"/>
                <w:szCs w:val="22"/>
                <w:lang w:val="hy-AM"/>
              </w:rPr>
            </w:pPr>
            <w:r w:rsidRPr="00EE5F0F">
              <w:rPr>
                <w:rFonts w:ascii="Garamond" w:hAnsi="Garamond" w:cs="Sylfaen"/>
                <w:b/>
                <w:sz w:val="22"/>
                <w:szCs w:val="22"/>
              </w:rPr>
              <w:t xml:space="preserve">Main </w:t>
            </w:r>
            <w:r w:rsidRPr="00EE5F0F">
              <w:rPr>
                <w:rFonts w:ascii="Garamond" w:hAnsi="Garamond" w:cs="Sylfaen"/>
                <w:b/>
                <w:sz w:val="22"/>
                <w:szCs w:val="22"/>
                <w:lang w:val="hy-AM"/>
              </w:rPr>
              <w:t>judgments and assumptions</w:t>
            </w:r>
          </w:p>
        </w:tc>
        <w:tc>
          <w:tcPr>
            <w:tcW w:w="4528" w:type="dxa"/>
            <w:vAlign w:val="center"/>
          </w:tcPr>
          <w:p w14:paraId="724864A6" w14:textId="77777777" w:rsidR="005C6536" w:rsidRPr="00EE5F0F" w:rsidRDefault="005C6536" w:rsidP="007859CB">
            <w:pPr>
              <w:spacing w:before="30" w:after="30"/>
              <w:rPr>
                <w:rFonts w:ascii="Garamond" w:eastAsia="Calibri" w:hAnsi="Garamond" w:cs="GHEA Grapalat"/>
                <w:b/>
                <w:sz w:val="22"/>
                <w:szCs w:val="22"/>
              </w:rPr>
            </w:pPr>
            <w:r w:rsidRPr="00EE5F0F">
              <w:rPr>
                <w:rFonts w:ascii="Garamond" w:eastAsia="Calibri" w:hAnsi="Garamond" w:cs="GHEA Grapalat"/>
                <w:b/>
                <w:sz w:val="22"/>
                <w:szCs w:val="22"/>
              </w:rPr>
              <w:t>P</w:t>
            </w:r>
            <w:r w:rsidRPr="00EE5F0F">
              <w:rPr>
                <w:rFonts w:ascii="Garamond" w:eastAsia="Calibri" w:hAnsi="Garamond" w:cs="GHEA Grapalat"/>
                <w:b/>
                <w:sz w:val="22"/>
                <w:szCs w:val="22"/>
                <w:lang w:val="hy-AM"/>
              </w:rPr>
              <w:t>ossible developments</w:t>
            </w:r>
            <w:r w:rsidR="006C3065">
              <w:rPr>
                <w:rFonts w:ascii="Garamond" w:eastAsia="Calibri" w:hAnsi="Garamond" w:cs="GHEA Grapalat"/>
                <w:b/>
                <w:sz w:val="22"/>
                <w:szCs w:val="22"/>
              </w:rPr>
              <w:t>,</w:t>
            </w:r>
            <w:r w:rsidRPr="00EE5F0F">
              <w:rPr>
                <w:rFonts w:ascii="Garamond" w:eastAsia="Calibri" w:hAnsi="Garamond" w:cs="GHEA Grapalat"/>
                <w:b/>
                <w:sz w:val="22"/>
                <w:szCs w:val="22"/>
                <w:lang w:val="hy-AM"/>
              </w:rPr>
              <w:t xml:space="preserve"> i</w:t>
            </w:r>
            <w:r w:rsidR="000A2CFF">
              <w:rPr>
                <w:rFonts w:ascii="Garamond" w:eastAsia="Calibri" w:hAnsi="Garamond" w:cs="GHEA Grapalat"/>
                <w:b/>
                <w:sz w:val="22"/>
                <w:szCs w:val="22"/>
              </w:rPr>
              <w:t>f</w:t>
            </w:r>
            <w:r w:rsidR="00FA46F4" w:rsidRPr="00EE5F0F">
              <w:rPr>
                <w:rFonts w:ascii="Garamond" w:eastAsia="Calibri" w:hAnsi="Garamond" w:cs="GHEA Grapalat"/>
                <w:b/>
                <w:sz w:val="22"/>
                <w:szCs w:val="22"/>
              </w:rPr>
              <w:t xml:space="preserve"> th</w:t>
            </w:r>
            <w:r w:rsidR="006C3065">
              <w:rPr>
                <w:rFonts w:ascii="Garamond" w:eastAsia="Calibri" w:hAnsi="Garamond" w:cs="GHEA Grapalat"/>
                <w:b/>
                <w:sz w:val="22"/>
                <w:szCs w:val="22"/>
              </w:rPr>
              <w:t xml:space="preserve">is </w:t>
            </w:r>
            <w:r w:rsidR="00FA46F4" w:rsidRPr="00EE5F0F">
              <w:rPr>
                <w:rFonts w:ascii="Garamond" w:eastAsia="Calibri" w:hAnsi="Garamond" w:cs="GHEA Grapalat"/>
                <w:b/>
                <w:sz w:val="22"/>
                <w:szCs w:val="22"/>
              </w:rPr>
              <w:t xml:space="preserve">assumption </w:t>
            </w:r>
            <w:r w:rsidR="00A241EA" w:rsidRPr="00EE5F0F">
              <w:rPr>
                <w:rFonts w:ascii="Garamond" w:eastAsia="Calibri" w:hAnsi="Garamond" w:cs="GHEA Grapalat"/>
                <w:b/>
                <w:sz w:val="22"/>
                <w:szCs w:val="22"/>
              </w:rPr>
              <w:t>proves correct</w:t>
            </w:r>
            <w:r w:rsidRPr="00EE5F0F">
              <w:rPr>
                <w:rFonts w:ascii="Garamond" w:eastAsia="Calibri" w:hAnsi="Garamond" w:cs="GHEA Grapalat"/>
                <w:b/>
                <w:sz w:val="22"/>
                <w:szCs w:val="22"/>
              </w:rPr>
              <w:t xml:space="preserve"> </w:t>
            </w:r>
          </w:p>
        </w:tc>
      </w:tr>
      <w:tr w:rsidR="005C6536" w:rsidRPr="00EE5F0F" w14:paraId="027B2595" w14:textId="77777777" w:rsidTr="004D4A0F">
        <w:trPr>
          <w:trHeight w:val="20"/>
        </w:trPr>
        <w:tc>
          <w:tcPr>
            <w:tcW w:w="1715" w:type="dxa"/>
            <w:vAlign w:val="center"/>
          </w:tcPr>
          <w:p w14:paraId="60098E2E" w14:textId="77777777" w:rsidR="005C6536" w:rsidRPr="00EE5F0F" w:rsidRDefault="00227821" w:rsidP="003654D5">
            <w:pPr>
              <w:spacing w:before="30" w:after="30"/>
              <w:rPr>
                <w:rFonts w:ascii="Garamond" w:eastAsia="Calibri" w:hAnsi="Garamond" w:cs="GHEA Grapalat"/>
                <w:sz w:val="22"/>
                <w:szCs w:val="22"/>
                <w:lang w:val="hy-AM"/>
              </w:rPr>
            </w:pPr>
            <w:r>
              <w:rPr>
                <w:rFonts w:ascii="Garamond" w:eastAsia="Calibri" w:hAnsi="Garamond" w:cs="Sylfaen"/>
                <w:sz w:val="22"/>
                <w:szCs w:val="22"/>
              </w:rPr>
              <w:t xml:space="preserve">Economic growth rates </w:t>
            </w:r>
            <w:r w:rsidR="003654D5">
              <w:rPr>
                <w:rFonts w:ascii="Garamond" w:eastAsia="Calibri" w:hAnsi="Garamond" w:cs="Sylfaen"/>
                <w:sz w:val="22"/>
                <w:szCs w:val="22"/>
              </w:rPr>
              <w:t xml:space="preserve">slow </w:t>
            </w:r>
            <w:r>
              <w:rPr>
                <w:rFonts w:ascii="Garamond" w:eastAsia="Calibri" w:hAnsi="Garamond" w:cs="Sylfaen"/>
                <w:sz w:val="22"/>
                <w:szCs w:val="22"/>
              </w:rPr>
              <w:t xml:space="preserve">in </w:t>
            </w:r>
            <w:r w:rsidR="003654D5">
              <w:rPr>
                <w:rFonts w:ascii="Garamond" w:eastAsia="Calibri" w:hAnsi="Garamond" w:cs="Sylfaen"/>
                <w:sz w:val="22"/>
                <w:szCs w:val="22"/>
              </w:rPr>
              <w:t xml:space="preserve">principal </w:t>
            </w:r>
            <w:r>
              <w:rPr>
                <w:rFonts w:ascii="Garamond" w:eastAsia="Calibri" w:hAnsi="Garamond" w:cs="Sylfaen"/>
                <w:sz w:val="22"/>
                <w:szCs w:val="22"/>
              </w:rPr>
              <w:t>partner countries to Armenia</w:t>
            </w:r>
            <w:r w:rsidR="006573EF" w:rsidRPr="00EE5F0F">
              <w:rPr>
                <w:rFonts w:ascii="Garamond" w:eastAsia="Calibri" w:hAnsi="Garamond" w:cs="Sylfaen"/>
                <w:sz w:val="22"/>
                <w:szCs w:val="22"/>
              </w:rPr>
              <w:t xml:space="preserve"> </w:t>
            </w:r>
          </w:p>
        </w:tc>
        <w:tc>
          <w:tcPr>
            <w:tcW w:w="4528" w:type="dxa"/>
            <w:vAlign w:val="center"/>
          </w:tcPr>
          <w:p w14:paraId="69A070A5" w14:textId="77777777" w:rsidR="00703FA4" w:rsidRPr="00EE5F0F" w:rsidRDefault="007859CB" w:rsidP="007859CB">
            <w:pPr>
              <w:pStyle w:val="ListParagraph"/>
              <w:numPr>
                <w:ilvl w:val="0"/>
                <w:numId w:val="5"/>
              </w:numPr>
              <w:spacing w:before="30" w:after="30"/>
              <w:rPr>
                <w:rFonts w:ascii="Garamond" w:hAnsi="Garamond" w:cs="Sylfaen"/>
                <w:sz w:val="22"/>
                <w:szCs w:val="22"/>
                <w:lang w:val="hy-AM"/>
              </w:rPr>
            </w:pPr>
            <w:r>
              <w:rPr>
                <w:rFonts w:ascii="Garamond" w:hAnsi="Garamond" w:cs="Sylfaen"/>
                <w:sz w:val="22"/>
                <w:szCs w:val="22"/>
              </w:rPr>
              <w:t xml:space="preserve">As </w:t>
            </w:r>
            <w:r w:rsidR="003654D5">
              <w:rPr>
                <w:rFonts w:ascii="Garamond" w:hAnsi="Garamond" w:cs="Sylfaen"/>
                <w:sz w:val="22"/>
                <w:szCs w:val="22"/>
              </w:rPr>
              <w:t xml:space="preserve">weakening of </w:t>
            </w:r>
            <w:r w:rsidRPr="007859CB">
              <w:rPr>
                <w:rFonts w:ascii="Garamond" w:hAnsi="Garamond" w:cs="Sylfaen"/>
                <w:sz w:val="22"/>
                <w:szCs w:val="22"/>
              </w:rPr>
              <w:t xml:space="preserve">global demand </w:t>
            </w:r>
            <w:r w:rsidR="003654D5">
              <w:rPr>
                <w:rFonts w:ascii="Garamond" w:hAnsi="Garamond" w:cs="Sylfaen"/>
                <w:sz w:val="22"/>
                <w:szCs w:val="22"/>
              </w:rPr>
              <w:t xml:space="preserve">lingers for a longer while, </w:t>
            </w:r>
            <w:r w:rsidR="006B751A">
              <w:rPr>
                <w:rFonts w:ascii="Garamond" w:hAnsi="Garamond" w:cs="Sylfaen"/>
                <w:sz w:val="22"/>
                <w:szCs w:val="22"/>
              </w:rPr>
              <w:t xml:space="preserve">external demand in </w:t>
            </w:r>
            <w:r w:rsidRPr="007859CB">
              <w:rPr>
                <w:rFonts w:ascii="Garamond" w:hAnsi="Garamond" w:cs="Sylfaen"/>
                <w:sz w:val="22"/>
                <w:szCs w:val="22"/>
              </w:rPr>
              <w:t xml:space="preserve">partner countries will slow, </w:t>
            </w:r>
            <w:r w:rsidR="006B751A">
              <w:rPr>
                <w:rFonts w:ascii="Garamond" w:hAnsi="Garamond" w:cs="Sylfaen"/>
                <w:sz w:val="22"/>
                <w:szCs w:val="22"/>
              </w:rPr>
              <w:t xml:space="preserve">in which case </w:t>
            </w:r>
            <w:r w:rsidR="003654D5">
              <w:rPr>
                <w:rFonts w:ascii="Garamond" w:hAnsi="Garamond" w:cs="Sylfaen"/>
                <w:sz w:val="22"/>
                <w:szCs w:val="22"/>
              </w:rPr>
              <w:t xml:space="preserve">loosening of </w:t>
            </w:r>
            <w:r w:rsidRPr="007859CB">
              <w:rPr>
                <w:rFonts w:ascii="Garamond" w:hAnsi="Garamond" w:cs="Sylfaen"/>
                <w:sz w:val="22"/>
                <w:szCs w:val="22"/>
              </w:rPr>
              <w:t xml:space="preserve">monetary conditions in </w:t>
            </w:r>
            <w:r w:rsidR="003654D5">
              <w:rPr>
                <w:rFonts w:ascii="Garamond" w:hAnsi="Garamond" w:cs="Sylfaen"/>
                <w:sz w:val="22"/>
                <w:szCs w:val="22"/>
              </w:rPr>
              <w:t>these countries is likely</w:t>
            </w:r>
            <w:r w:rsidRPr="007859CB">
              <w:rPr>
                <w:rFonts w:ascii="Garamond" w:hAnsi="Garamond" w:cs="Sylfaen"/>
                <w:sz w:val="22"/>
                <w:szCs w:val="22"/>
              </w:rPr>
              <w:t>.</w:t>
            </w:r>
            <w:r w:rsidR="006B751A">
              <w:rPr>
                <w:rFonts w:ascii="Garamond" w:hAnsi="Garamond" w:cs="Sylfaen"/>
                <w:sz w:val="22"/>
                <w:szCs w:val="22"/>
              </w:rPr>
              <w:t xml:space="preserve"> </w:t>
            </w:r>
          </w:p>
          <w:p w14:paraId="4B0E6666" w14:textId="77777777" w:rsidR="005C6536" w:rsidRPr="00EE5F0F" w:rsidRDefault="003654D5" w:rsidP="005C432C">
            <w:pPr>
              <w:pStyle w:val="ListParagraph"/>
              <w:numPr>
                <w:ilvl w:val="0"/>
                <w:numId w:val="5"/>
              </w:numPr>
              <w:spacing w:before="30" w:after="30"/>
              <w:rPr>
                <w:rFonts w:ascii="Garamond" w:hAnsi="Garamond" w:cs="GHEA Grapalat"/>
                <w:sz w:val="22"/>
                <w:szCs w:val="22"/>
                <w:lang w:val="hy-AM"/>
              </w:rPr>
            </w:pPr>
            <w:r>
              <w:rPr>
                <w:rFonts w:ascii="Garamond" w:hAnsi="Garamond" w:cs="Sylfaen"/>
                <w:sz w:val="22"/>
                <w:szCs w:val="22"/>
              </w:rPr>
              <w:t xml:space="preserve">International copper prices will settle on lower levels </w:t>
            </w:r>
            <w:r w:rsidR="005C432C">
              <w:rPr>
                <w:rFonts w:ascii="Garamond" w:hAnsi="Garamond" w:cs="Sylfaen"/>
                <w:sz w:val="22"/>
                <w:szCs w:val="22"/>
              </w:rPr>
              <w:t>due to escalation of trade wars</w:t>
            </w:r>
            <w:r w:rsidR="006B751A" w:rsidRPr="006B751A">
              <w:rPr>
                <w:rFonts w:ascii="Garamond" w:hAnsi="Garamond" w:cs="Sylfaen"/>
                <w:sz w:val="22"/>
                <w:szCs w:val="22"/>
              </w:rPr>
              <w:t>.</w:t>
            </w:r>
            <w:r w:rsidR="00F41ADC">
              <w:rPr>
                <w:rFonts w:ascii="Garamond" w:hAnsi="Garamond" w:cs="Sylfaen"/>
                <w:sz w:val="22"/>
                <w:szCs w:val="22"/>
              </w:rPr>
              <w:t xml:space="preserve"> </w:t>
            </w:r>
          </w:p>
        </w:tc>
      </w:tr>
      <w:tr w:rsidR="00E218FC" w:rsidRPr="00EE5F0F" w14:paraId="3783E075" w14:textId="77777777" w:rsidTr="004D4A0F">
        <w:trPr>
          <w:trHeight w:val="20"/>
        </w:trPr>
        <w:tc>
          <w:tcPr>
            <w:tcW w:w="1715" w:type="dxa"/>
            <w:vAlign w:val="center"/>
          </w:tcPr>
          <w:p w14:paraId="495D8664" w14:textId="77777777" w:rsidR="00E218FC" w:rsidRPr="00EE5F0F" w:rsidRDefault="00E218FC" w:rsidP="006B751A">
            <w:pPr>
              <w:spacing w:before="30" w:after="30"/>
              <w:rPr>
                <w:rFonts w:ascii="Garamond" w:eastAsia="Calibri" w:hAnsi="Garamond" w:cs="Sylfaen"/>
                <w:sz w:val="22"/>
                <w:szCs w:val="22"/>
              </w:rPr>
            </w:pPr>
            <w:r w:rsidRPr="00EE5F0F">
              <w:rPr>
                <w:rFonts w:ascii="Garamond" w:eastAsia="Calibri" w:hAnsi="Garamond" w:cs="Sylfaen"/>
                <w:sz w:val="22"/>
                <w:szCs w:val="22"/>
              </w:rPr>
              <w:t xml:space="preserve">Armenia’s risk premium </w:t>
            </w:r>
            <w:r w:rsidR="006B751A">
              <w:rPr>
                <w:rFonts w:ascii="Garamond" w:eastAsia="Calibri" w:hAnsi="Garamond" w:cs="Sylfaen"/>
                <w:sz w:val="22"/>
                <w:szCs w:val="22"/>
              </w:rPr>
              <w:t>recovers much slower in the medium run</w:t>
            </w:r>
          </w:p>
        </w:tc>
        <w:tc>
          <w:tcPr>
            <w:tcW w:w="4528" w:type="dxa"/>
            <w:vAlign w:val="center"/>
          </w:tcPr>
          <w:p w14:paraId="23F98C30" w14:textId="77777777" w:rsidR="00E218FC" w:rsidRPr="00EE5F0F" w:rsidRDefault="00A7522C" w:rsidP="00F539A0">
            <w:pPr>
              <w:pStyle w:val="ListParagraph"/>
              <w:numPr>
                <w:ilvl w:val="0"/>
                <w:numId w:val="5"/>
              </w:numPr>
              <w:spacing w:before="30" w:after="30"/>
              <w:rPr>
                <w:rFonts w:ascii="Garamond" w:hAnsi="Garamond" w:cs="Sylfaen"/>
                <w:sz w:val="22"/>
                <w:szCs w:val="22"/>
              </w:rPr>
            </w:pPr>
            <w:r>
              <w:rPr>
                <w:rFonts w:ascii="Garamond" w:hAnsi="Garamond" w:cs="Sylfaen"/>
                <w:sz w:val="22"/>
                <w:szCs w:val="22"/>
              </w:rPr>
              <w:t xml:space="preserve">The Government of </w:t>
            </w:r>
            <w:r w:rsidR="00A272AA">
              <w:rPr>
                <w:rFonts w:ascii="Garamond" w:hAnsi="Garamond" w:cs="Sylfaen"/>
                <w:sz w:val="22"/>
                <w:szCs w:val="22"/>
              </w:rPr>
              <w:t>Armenia</w:t>
            </w:r>
            <w:r w:rsidR="00F4743D">
              <w:rPr>
                <w:rFonts w:ascii="Garamond" w:hAnsi="Garamond" w:cs="Sylfaen"/>
                <w:sz w:val="22"/>
                <w:szCs w:val="22"/>
              </w:rPr>
              <w:t xml:space="preserve"> </w:t>
            </w:r>
            <w:r w:rsidR="00A272AA">
              <w:rPr>
                <w:rFonts w:ascii="Garamond" w:hAnsi="Garamond" w:cs="Sylfaen"/>
                <w:sz w:val="22"/>
                <w:szCs w:val="22"/>
              </w:rPr>
              <w:t xml:space="preserve">10-year Eurobond </w:t>
            </w:r>
            <w:r w:rsidR="00AC0D05">
              <w:rPr>
                <w:rFonts w:ascii="Garamond" w:hAnsi="Garamond" w:cs="Sylfaen"/>
                <w:sz w:val="22"/>
                <w:szCs w:val="22"/>
              </w:rPr>
              <w:t xml:space="preserve">rates </w:t>
            </w:r>
            <w:r w:rsidR="00A272AA">
              <w:rPr>
                <w:rFonts w:ascii="Garamond" w:hAnsi="Garamond" w:cs="Sylfaen"/>
                <w:sz w:val="22"/>
                <w:szCs w:val="22"/>
              </w:rPr>
              <w:t>spread</w:t>
            </w:r>
            <w:r w:rsidR="00AC0D05">
              <w:rPr>
                <w:rFonts w:ascii="Garamond" w:hAnsi="Garamond" w:cs="Sylfaen"/>
                <w:sz w:val="22"/>
                <w:szCs w:val="22"/>
              </w:rPr>
              <w:t>,</w:t>
            </w:r>
            <w:r w:rsidR="00A272AA">
              <w:rPr>
                <w:rFonts w:ascii="Garamond" w:hAnsi="Garamond" w:cs="Sylfaen"/>
                <w:sz w:val="22"/>
                <w:szCs w:val="22"/>
              </w:rPr>
              <w:t xml:space="preserve"> </w:t>
            </w:r>
            <w:r w:rsidR="00AC0D05" w:rsidRPr="00EE5F0F">
              <w:rPr>
                <w:rFonts w:ascii="Garamond" w:hAnsi="Garamond" w:cs="Sylfaen"/>
                <w:sz w:val="22"/>
                <w:szCs w:val="22"/>
              </w:rPr>
              <w:t>r</w:t>
            </w:r>
            <w:r w:rsidR="00AC0D05">
              <w:rPr>
                <w:rFonts w:ascii="Garamond" w:hAnsi="Garamond" w:cs="Sylfaen"/>
                <w:sz w:val="22"/>
                <w:szCs w:val="22"/>
              </w:rPr>
              <w:t xml:space="preserve">elative to </w:t>
            </w:r>
            <w:r>
              <w:rPr>
                <w:rFonts w:ascii="Garamond" w:hAnsi="Garamond" w:cs="Sylfaen"/>
                <w:sz w:val="22"/>
                <w:szCs w:val="22"/>
              </w:rPr>
              <w:t xml:space="preserve">a </w:t>
            </w:r>
            <w:r w:rsidR="00AC0D05">
              <w:rPr>
                <w:rFonts w:ascii="Garamond" w:hAnsi="Garamond" w:cs="Sylfaen"/>
                <w:sz w:val="22"/>
                <w:szCs w:val="22"/>
              </w:rPr>
              <w:t xml:space="preserve">similar-maturity </w:t>
            </w:r>
            <w:r w:rsidR="00AC0D05" w:rsidRPr="00EE5F0F">
              <w:rPr>
                <w:rFonts w:ascii="Garamond" w:hAnsi="Garamond" w:cs="Sylfaen"/>
                <w:sz w:val="22"/>
                <w:szCs w:val="22"/>
              </w:rPr>
              <w:t>US assets</w:t>
            </w:r>
            <w:r>
              <w:rPr>
                <w:rFonts w:ascii="Garamond" w:hAnsi="Garamond" w:cs="Sylfaen"/>
                <w:sz w:val="22"/>
                <w:szCs w:val="22"/>
              </w:rPr>
              <w:t xml:space="preserve">, </w:t>
            </w:r>
            <w:r w:rsidRPr="00A7522C">
              <w:rPr>
                <w:rFonts w:ascii="Garamond" w:hAnsi="Garamond" w:cs="Sylfaen"/>
                <w:sz w:val="22"/>
                <w:szCs w:val="22"/>
              </w:rPr>
              <w:t xml:space="preserve">will still </w:t>
            </w:r>
            <w:r>
              <w:rPr>
                <w:rFonts w:ascii="Garamond" w:hAnsi="Garamond" w:cs="Sylfaen"/>
                <w:sz w:val="22"/>
                <w:szCs w:val="22"/>
              </w:rPr>
              <w:t xml:space="preserve">be </w:t>
            </w:r>
            <w:r w:rsidRPr="00A7522C">
              <w:rPr>
                <w:rFonts w:ascii="Garamond" w:hAnsi="Garamond" w:cs="Sylfaen"/>
                <w:sz w:val="22"/>
                <w:szCs w:val="22"/>
              </w:rPr>
              <w:t xml:space="preserve">within </w:t>
            </w:r>
            <w:r>
              <w:rPr>
                <w:rFonts w:ascii="Garamond" w:hAnsi="Garamond" w:cs="Sylfaen"/>
                <w:sz w:val="22"/>
                <w:szCs w:val="22"/>
              </w:rPr>
              <w:t xml:space="preserve">a current </w:t>
            </w:r>
            <w:r w:rsidRPr="00A7522C">
              <w:rPr>
                <w:rFonts w:ascii="Garamond" w:hAnsi="Garamond" w:cs="Sylfaen"/>
                <w:sz w:val="22"/>
                <w:szCs w:val="22"/>
              </w:rPr>
              <w:t xml:space="preserve">2.5% </w:t>
            </w:r>
            <w:r>
              <w:rPr>
                <w:rFonts w:ascii="Garamond" w:hAnsi="Garamond" w:cs="Sylfaen"/>
                <w:sz w:val="22"/>
                <w:szCs w:val="22"/>
              </w:rPr>
              <w:t xml:space="preserve">range in the upcoming quarters. Armenia’s </w:t>
            </w:r>
            <w:r w:rsidR="006D593F" w:rsidRPr="006D593F">
              <w:rPr>
                <w:rFonts w:ascii="Garamond" w:hAnsi="Garamond" w:cs="Sylfaen"/>
                <w:sz w:val="22"/>
                <w:szCs w:val="22"/>
              </w:rPr>
              <w:t>current risk premium is</w:t>
            </w:r>
            <w:r w:rsidR="00D74881">
              <w:rPr>
                <w:rFonts w:ascii="Garamond" w:hAnsi="Garamond" w:cs="Sylfaen"/>
                <w:sz w:val="22"/>
                <w:szCs w:val="22"/>
              </w:rPr>
              <w:t xml:space="preserve"> </w:t>
            </w:r>
            <w:r w:rsidR="006D593F" w:rsidRPr="006D593F">
              <w:rPr>
                <w:rFonts w:ascii="Garamond" w:hAnsi="Garamond" w:cs="Sylfaen"/>
                <w:sz w:val="22"/>
                <w:szCs w:val="22"/>
              </w:rPr>
              <w:t xml:space="preserve">estimated </w:t>
            </w:r>
            <w:r w:rsidR="00F539A0">
              <w:rPr>
                <w:rFonts w:ascii="Garamond" w:hAnsi="Garamond" w:cs="Sylfaen"/>
                <w:sz w:val="22"/>
                <w:szCs w:val="22"/>
              </w:rPr>
              <w:t>accordingly.</w:t>
            </w:r>
          </w:p>
        </w:tc>
      </w:tr>
      <w:tr w:rsidR="00F4743D" w:rsidRPr="00EE5F0F" w14:paraId="3FD4B589" w14:textId="77777777" w:rsidTr="004D4A0F">
        <w:trPr>
          <w:trHeight w:val="20"/>
        </w:trPr>
        <w:tc>
          <w:tcPr>
            <w:tcW w:w="1715" w:type="dxa"/>
            <w:vAlign w:val="center"/>
          </w:tcPr>
          <w:p w14:paraId="5946CC3B" w14:textId="77777777" w:rsidR="00F4743D" w:rsidRPr="00EE5F0F" w:rsidRDefault="00177746" w:rsidP="00177746">
            <w:pPr>
              <w:spacing w:before="30" w:after="30"/>
              <w:rPr>
                <w:rFonts w:ascii="Garamond" w:eastAsia="Calibri" w:hAnsi="Garamond" w:cs="Sylfaen"/>
                <w:sz w:val="22"/>
                <w:szCs w:val="22"/>
              </w:rPr>
            </w:pPr>
            <w:r>
              <w:rPr>
                <w:rFonts w:ascii="Garamond" w:eastAsia="Calibri" w:hAnsi="Garamond" w:cs="Sylfaen"/>
                <w:sz w:val="22"/>
                <w:szCs w:val="22"/>
              </w:rPr>
              <w:t>The 2019 fiscal policy leaves a neutral impact on aggregate demand</w:t>
            </w:r>
          </w:p>
        </w:tc>
        <w:tc>
          <w:tcPr>
            <w:tcW w:w="4528" w:type="dxa"/>
            <w:vAlign w:val="center"/>
          </w:tcPr>
          <w:p w14:paraId="0C15EA93" w14:textId="77777777" w:rsidR="00F4743D" w:rsidRDefault="0010339C" w:rsidP="00F913AD">
            <w:pPr>
              <w:pStyle w:val="ListParagraph"/>
              <w:numPr>
                <w:ilvl w:val="0"/>
                <w:numId w:val="5"/>
              </w:numPr>
              <w:spacing w:before="30" w:after="30"/>
              <w:rPr>
                <w:rFonts w:ascii="Garamond" w:hAnsi="Garamond" w:cs="Sylfaen"/>
                <w:sz w:val="22"/>
                <w:szCs w:val="22"/>
              </w:rPr>
            </w:pPr>
            <w:r>
              <w:rPr>
                <w:rFonts w:ascii="Garamond" w:hAnsi="Garamond" w:cs="Sylfaen"/>
                <w:sz w:val="22"/>
                <w:szCs w:val="22"/>
              </w:rPr>
              <w:t xml:space="preserve">The </w:t>
            </w:r>
            <w:r w:rsidR="00177746">
              <w:rPr>
                <w:rFonts w:ascii="Garamond" w:hAnsi="Garamond" w:cs="Sylfaen"/>
                <w:sz w:val="22"/>
                <w:szCs w:val="22"/>
              </w:rPr>
              <w:t>f</w:t>
            </w:r>
            <w:r w:rsidR="00177746" w:rsidRPr="00177746">
              <w:rPr>
                <w:rFonts w:ascii="Garamond" w:hAnsi="Garamond" w:cs="Sylfaen"/>
                <w:sz w:val="22"/>
                <w:szCs w:val="22"/>
              </w:rPr>
              <w:t>iscal policy</w:t>
            </w:r>
            <w:r w:rsidR="00177746">
              <w:rPr>
                <w:rFonts w:ascii="Garamond" w:hAnsi="Garamond" w:cs="Sylfaen"/>
                <w:sz w:val="22"/>
                <w:szCs w:val="22"/>
              </w:rPr>
              <w:t xml:space="preserve">’s impact </w:t>
            </w:r>
            <w:r w:rsidR="00177746" w:rsidRPr="00177746">
              <w:rPr>
                <w:rFonts w:ascii="Garamond" w:hAnsi="Garamond" w:cs="Sylfaen"/>
                <w:sz w:val="22"/>
                <w:szCs w:val="22"/>
              </w:rPr>
              <w:t xml:space="preserve">is </w:t>
            </w:r>
            <w:r w:rsidR="00177746">
              <w:rPr>
                <w:rFonts w:ascii="Garamond" w:hAnsi="Garamond" w:cs="Sylfaen"/>
                <w:sz w:val="22"/>
                <w:szCs w:val="22"/>
              </w:rPr>
              <w:t xml:space="preserve">estimated </w:t>
            </w:r>
            <w:r w:rsidR="00177746" w:rsidRPr="00177746">
              <w:rPr>
                <w:rFonts w:ascii="Garamond" w:hAnsi="Garamond" w:cs="Sylfaen"/>
                <w:sz w:val="22"/>
                <w:szCs w:val="22"/>
              </w:rPr>
              <w:t>neutral</w:t>
            </w:r>
            <w:r w:rsidR="00177746">
              <w:rPr>
                <w:rFonts w:ascii="Garamond" w:hAnsi="Garamond" w:cs="Sylfaen"/>
                <w:sz w:val="22"/>
                <w:szCs w:val="22"/>
              </w:rPr>
              <w:t xml:space="preserve"> in view of overly collected revenues by now and an</w:t>
            </w:r>
            <w:r w:rsidR="00177746" w:rsidRPr="00177746">
              <w:rPr>
                <w:rFonts w:ascii="Garamond" w:hAnsi="Garamond" w:cs="Sylfaen"/>
                <w:sz w:val="22"/>
                <w:szCs w:val="22"/>
              </w:rPr>
              <w:t xml:space="preserve"> expected </w:t>
            </w:r>
            <w:r w:rsidR="00177746">
              <w:rPr>
                <w:rFonts w:ascii="Garamond" w:hAnsi="Garamond" w:cs="Sylfaen"/>
                <w:sz w:val="22"/>
                <w:szCs w:val="22"/>
              </w:rPr>
              <w:t xml:space="preserve">AMD 62 billion-worth of revenue overperformance by annual results </w:t>
            </w:r>
            <w:r w:rsidR="00177746" w:rsidRPr="00177746">
              <w:rPr>
                <w:rFonts w:ascii="Garamond" w:hAnsi="Garamond" w:cs="Sylfaen"/>
                <w:sz w:val="22"/>
                <w:szCs w:val="22"/>
              </w:rPr>
              <w:t xml:space="preserve">as </w:t>
            </w:r>
            <w:r w:rsidR="00177746" w:rsidRPr="00177746">
              <w:rPr>
                <w:rFonts w:ascii="Garamond" w:hAnsi="Garamond" w:cs="Sylfaen"/>
                <w:sz w:val="22"/>
                <w:szCs w:val="22"/>
              </w:rPr>
              <w:lastRenderedPageBreak/>
              <w:t xml:space="preserve">well as </w:t>
            </w:r>
            <w:r w:rsidR="00F913AD">
              <w:rPr>
                <w:rFonts w:ascii="Garamond" w:hAnsi="Garamond" w:cs="Sylfaen"/>
                <w:sz w:val="22"/>
                <w:szCs w:val="22"/>
              </w:rPr>
              <w:t>channeling that revenue entirely into making expenditures</w:t>
            </w:r>
            <w:r w:rsidR="00F913AD">
              <w:rPr>
                <w:rStyle w:val="FootnoteReference"/>
                <w:rFonts w:ascii="Garamond" w:hAnsi="Garamond" w:cs="Sylfaen"/>
                <w:sz w:val="22"/>
                <w:szCs w:val="22"/>
              </w:rPr>
              <w:footnoteReference w:customMarkFollows="1" w:id="10"/>
              <w:t>13</w:t>
            </w:r>
            <w:r w:rsidR="00F913AD">
              <w:rPr>
                <w:rFonts w:ascii="Garamond" w:hAnsi="Garamond" w:cs="Sylfaen"/>
                <w:sz w:val="22"/>
                <w:szCs w:val="22"/>
              </w:rPr>
              <w:t>.</w:t>
            </w:r>
          </w:p>
        </w:tc>
      </w:tr>
      <w:tr w:rsidR="00BE2729" w:rsidRPr="00EE5F0F" w14:paraId="700E973A" w14:textId="77777777" w:rsidTr="004D4A0F">
        <w:trPr>
          <w:trHeight w:val="20"/>
        </w:trPr>
        <w:tc>
          <w:tcPr>
            <w:tcW w:w="1715" w:type="dxa"/>
            <w:vAlign w:val="center"/>
          </w:tcPr>
          <w:p w14:paraId="5E452215" w14:textId="77777777" w:rsidR="00BE2729" w:rsidRPr="00EE5F0F" w:rsidRDefault="00BE2729" w:rsidP="00BE2729">
            <w:pPr>
              <w:spacing w:before="40" w:after="40"/>
              <w:rPr>
                <w:rFonts w:ascii="Garamond" w:eastAsia="Calibri" w:hAnsi="Garamond" w:cs="Sylfaen"/>
                <w:sz w:val="22"/>
                <w:szCs w:val="22"/>
              </w:rPr>
            </w:pPr>
            <w:r w:rsidRPr="00BE2729">
              <w:rPr>
                <w:rFonts w:ascii="Garamond" w:eastAsia="Calibri" w:hAnsi="Garamond" w:cs="Sylfaen"/>
                <w:sz w:val="22"/>
                <w:szCs w:val="22"/>
              </w:rPr>
              <w:lastRenderedPageBreak/>
              <w:t>Measures</w:t>
            </w:r>
            <w:r>
              <w:rPr>
                <w:rFonts w:ascii="Garamond" w:eastAsia="Calibri" w:hAnsi="Garamond" w:cs="Sylfaen"/>
                <w:sz w:val="22"/>
                <w:szCs w:val="22"/>
              </w:rPr>
              <w:t xml:space="preserve"> to</w:t>
            </w:r>
            <w:r w:rsidRPr="00BE2729">
              <w:rPr>
                <w:rFonts w:ascii="Garamond" w:eastAsia="Calibri" w:hAnsi="Garamond" w:cs="Sylfaen"/>
                <w:sz w:val="22"/>
                <w:szCs w:val="22"/>
              </w:rPr>
              <w:t xml:space="preserve"> </w:t>
            </w:r>
            <w:r>
              <w:rPr>
                <w:rFonts w:ascii="Garamond" w:eastAsia="Calibri" w:hAnsi="Garamond" w:cs="Sylfaen"/>
                <w:sz w:val="22"/>
                <w:szCs w:val="22"/>
              </w:rPr>
              <w:t xml:space="preserve">bolstering </w:t>
            </w:r>
            <w:r w:rsidRPr="00BE2729">
              <w:rPr>
                <w:rFonts w:ascii="Garamond" w:eastAsia="Calibri" w:hAnsi="Garamond" w:cs="Sylfaen"/>
                <w:sz w:val="22"/>
                <w:szCs w:val="22"/>
              </w:rPr>
              <w:t>p</w:t>
            </w:r>
            <w:r>
              <w:rPr>
                <w:rFonts w:ascii="Garamond" w:eastAsia="Calibri" w:hAnsi="Garamond" w:cs="Sylfaen"/>
                <w:sz w:val="22"/>
                <w:szCs w:val="22"/>
              </w:rPr>
              <w:t xml:space="preserve">otential </w:t>
            </w:r>
            <w:r w:rsidRPr="00BE2729">
              <w:rPr>
                <w:rFonts w:ascii="Garamond" w:eastAsia="Calibri" w:hAnsi="Garamond" w:cs="Sylfaen"/>
                <w:sz w:val="22"/>
                <w:szCs w:val="22"/>
              </w:rPr>
              <w:t xml:space="preserve">GDP </w:t>
            </w:r>
            <w:r>
              <w:rPr>
                <w:rFonts w:ascii="Garamond" w:eastAsia="Calibri" w:hAnsi="Garamond" w:cs="Sylfaen"/>
                <w:sz w:val="22"/>
                <w:szCs w:val="22"/>
              </w:rPr>
              <w:t>growth</w:t>
            </w:r>
          </w:p>
        </w:tc>
        <w:tc>
          <w:tcPr>
            <w:tcW w:w="4528" w:type="dxa"/>
            <w:vAlign w:val="center"/>
          </w:tcPr>
          <w:p w14:paraId="1D396D40" w14:textId="77777777" w:rsidR="00BE2729" w:rsidRDefault="003A4930" w:rsidP="003A4930">
            <w:pPr>
              <w:pStyle w:val="ListParagraph"/>
              <w:numPr>
                <w:ilvl w:val="0"/>
                <w:numId w:val="5"/>
              </w:numPr>
              <w:spacing w:before="30" w:after="30"/>
              <w:rPr>
                <w:rFonts w:ascii="Garamond" w:hAnsi="Garamond" w:cs="Sylfaen"/>
                <w:color w:val="000000" w:themeColor="text1"/>
                <w:sz w:val="22"/>
                <w:szCs w:val="22"/>
              </w:rPr>
            </w:pPr>
            <w:r>
              <w:rPr>
                <w:rFonts w:ascii="Garamond" w:hAnsi="Garamond" w:cs="Sylfaen"/>
                <w:color w:val="000000" w:themeColor="text1"/>
                <w:sz w:val="22"/>
                <w:szCs w:val="22"/>
              </w:rPr>
              <w:t xml:space="preserve">Armenia’s </w:t>
            </w:r>
            <w:r w:rsidR="00D36461">
              <w:rPr>
                <w:rFonts w:ascii="Garamond" w:hAnsi="Garamond" w:cs="Sylfaen"/>
                <w:color w:val="000000" w:themeColor="text1"/>
                <w:sz w:val="22"/>
                <w:szCs w:val="22"/>
              </w:rPr>
              <w:t xml:space="preserve">GDP potential will be </w:t>
            </w:r>
            <w:r>
              <w:rPr>
                <w:rFonts w:ascii="Garamond" w:hAnsi="Garamond" w:cs="Sylfaen"/>
                <w:color w:val="000000" w:themeColor="text1"/>
                <w:sz w:val="22"/>
                <w:szCs w:val="22"/>
              </w:rPr>
              <w:t xml:space="preserve">discernable by increasing output capacities for both goods and services by way of continued </w:t>
            </w:r>
            <w:r w:rsidRPr="003A4930">
              <w:rPr>
                <w:rFonts w:ascii="Garamond" w:hAnsi="Garamond" w:cs="Sylfaen"/>
                <w:color w:val="000000" w:themeColor="text1"/>
                <w:sz w:val="22"/>
                <w:szCs w:val="22"/>
              </w:rPr>
              <w:t xml:space="preserve">growth of </w:t>
            </w:r>
            <w:r>
              <w:rPr>
                <w:rFonts w:ascii="Garamond" w:hAnsi="Garamond" w:cs="Sylfaen"/>
                <w:color w:val="000000" w:themeColor="text1"/>
                <w:sz w:val="22"/>
                <w:szCs w:val="22"/>
              </w:rPr>
              <w:t xml:space="preserve">private investment in tradable sector of the economy, ensuring an annual 4.5-5.0% </w:t>
            </w:r>
            <w:r w:rsidRPr="003A4930">
              <w:rPr>
                <w:rFonts w:ascii="Garamond" w:hAnsi="Garamond" w:cs="Sylfaen"/>
                <w:color w:val="000000" w:themeColor="text1"/>
                <w:sz w:val="22"/>
                <w:szCs w:val="22"/>
              </w:rPr>
              <w:t>growth in the long-term.</w:t>
            </w:r>
          </w:p>
          <w:p w14:paraId="3F210020" w14:textId="77777777" w:rsidR="003A4930" w:rsidRDefault="003A4930" w:rsidP="00D5545E">
            <w:pPr>
              <w:pStyle w:val="ListParagraph"/>
              <w:numPr>
                <w:ilvl w:val="0"/>
                <w:numId w:val="5"/>
              </w:numPr>
              <w:spacing w:before="30" w:after="30"/>
              <w:rPr>
                <w:rFonts w:ascii="Garamond" w:hAnsi="Garamond" w:cs="Sylfaen"/>
                <w:color w:val="000000" w:themeColor="text1"/>
                <w:sz w:val="22"/>
                <w:szCs w:val="22"/>
              </w:rPr>
            </w:pPr>
            <w:r w:rsidRPr="003A4930">
              <w:rPr>
                <w:rFonts w:ascii="Garamond" w:hAnsi="Garamond" w:cs="Sylfaen"/>
                <w:color w:val="000000" w:themeColor="text1"/>
                <w:sz w:val="22"/>
                <w:szCs w:val="22"/>
              </w:rPr>
              <w:t>The</w:t>
            </w:r>
            <w:r>
              <w:rPr>
                <w:rFonts w:ascii="Garamond" w:hAnsi="Garamond" w:cs="Sylfaen"/>
                <w:color w:val="000000" w:themeColor="text1"/>
                <w:sz w:val="22"/>
                <w:szCs w:val="22"/>
              </w:rPr>
              <w:t xml:space="preserve"> monetary policy s</w:t>
            </w:r>
            <w:r w:rsidRPr="003A4930">
              <w:rPr>
                <w:rFonts w:ascii="Garamond" w:hAnsi="Garamond" w:cs="Sylfaen"/>
                <w:color w:val="000000" w:themeColor="text1"/>
                <w:sz w:val="22"/>
                <w:szCs w:val="22"/>
              </w:rPr>
              <w:t>cenario d</w:t>
            </w:r>
            <w:r>
              <w:rPr>
                <w:rFonts w:ascii="Garamond" w:hAnsi="Garamond" w:cs="Sylfaen"/>
                <w:color w:val="000000" w:themeColor="text1"/>
                <w:sz w:val="22"/>
                <w:szCs w:val="22"/>
              </w:rPr>
              <w:t xml:space="preserve">id not consider </w:t>
            </w:r>
            <w:r w:rsidRPr="003A4930">
              <w:rPr>
                <w:rFonts w:ascii="Garamond" w:hAnsi="Garamond" w:cs="Sylfaen"/>
                <w:color w:val="000000" w:themeColor="text1"/>
                <w:sz w:val="22"/>
                <w:szCs w:val="22"/>
              </w:rPr>
              <w:t xml:space="preserve">the </w:t>
            </w:r>
            <w:r w:rsidR="003B77BB">
              <w:rPr>
                <w:rFonts w:ascii="Garamond" w:hAnsi="Garamond" w:cs="Sylfaen"/>
                <w:color w:val="000000" w:themeColor="text1"/>
                <w:sz w:val="22"/>
                <w:szCs w:val="22"/>
              </w:rPr>
              <w:t xml:space="preserve">activities of </w:t>
            </w:r>
            <w:r w:rsidRPr="003A4930">
              <w:rPr>
                <w:rFonts w:ascii="Garamond" w:hAnsi="Garamond" w:cs="Sylfaen"/>
                <w:color w:val="000000" w:themeColor="text1"/>
                <w:sz w:val="22"/>
                <w:szCs w:val="22"/>
              </w:rPr>
              <w:t>Amulsar mine</w:t>
            </w:r>
            <w:r w:rsidR="003B77BB">
              <w:rPr>
                <w:rFonts w:ascii="Garamond" w:hAnsi="Garamond" w:cs="Sylfaen"/>
                <w:color w:val="000000" w:themeColor="text1"/>
                <w:sz w:val="22"/>
                <w:szCs w:val="22"/>
              </w:rPr>
              <w:t xml:space="preserve">, Teghut mine and </w:t>
            </w:r>
            <w:r w:rsidRPr="003A4930">
              <w:rPr>
                <w:rFonts w:ascii="Garamond" w:hAnsi="Garamond" w:cs="Sylfaen"/>
                <w:color w:val="000000" w:themeColor="text1"/>
                <w:sz w:val="22"/>
                <w:szCs w:val="22"/>
              </w:rPr>
              <w:t>Alaverdi copper smelter.</w:t>
            </w:r>
            <w:r w:rsidR="003B77BB">
              <w:rPr>
                <w:rFonts w:ascii="Garamond" w:hAnsi="Garamond" w:cs="Sylfaen"/>
                <w:color w:val="000000" w:themeColor="text1"/>
                <w:sz w:val="22"/>
                <w:szCs w:val="22"/>
              </w:rPr>
              <w:t xml:space="preserve"> </w:t>
            </w:r>
            <w:r w:rsidR="003B77BB" w:rsidRPr="003B77BB">
              <w:rPr>
                <w:rFonts w:ascii="Garamond" w:hAnsi="Garamond" w:cs="Sylfaen"/>
                <w:color w:val="000000" w:themeColor="text1"/>
                <w:sz w:val="22"/>
                <w:szCs w:val="22"/>
              </w:rPr>
              <w:t>The</w:t>
            </w:r>
            <w:r w:rsidR="003B77BB">
              <w:rPr>
                <w:rFonts w:ascii="Garamond" w:hAnsi="Garamond" w:cs="Sylfaen"/>
                <w:color w:val="000000" w:themeColor="text1"/>
                <w:sz w:val="22"/>
                <w:szCs w:val="22"/>
              </w:rPr>
              <w:t xml:space="preserve">ir </w:t>
            </w:r>
            <w:r w:rsidR="003B77BB" w:rsidRPr="003B77BB">
              <w:rPr>
                <w:rFonts w:ascii="Garamond" w:hAnsi="Garamond" w:cs="Sylfaen"/>
                <w:color w:val="000000" w:themeColor="text1"/>
                <w:sz w:val="22"/>
                <w:szCs w:val="22"/>
              </w:rPr>
              <w:t>potential impact</w:t>
            </w:r>
            <w:r w:rsidR="003B77BB">
              <w:rPr>
                <w:rFonts w:ascii="Garamond" w:hAnsi="Garamond" w:cs="Sylfaen"/>
                <w:color w:val="000000" w:themeColor="text1"/>
                <w:sz w:val="22"/>
                <w:szCs w:val="22"/>
              </w:rPr>
              <w:t xml:space="preserve"> is considered in the framework of forecast risks</w:t>
            </w:r>
            <w:r w:rsidR="003B77BB" w:rsidRPr="003B77BB">
              <w:rPr>
                <w:rFonts w:ascii="Garamond" w:hAnsi="Garamond" w:cs="Sylfaen"/>
                <w:color w:val="000000" w:themeColor="text1"/>
                <w:sz w:val="22"/>
                <w:szCs w:val="22"/>
              </w:rPr>
              <w:t>.</w:t>
            </w:r>
          </w:p>
        </w:tc>
      </w:tr>
    </w:tbl>
    <w:p w14:paraId="7ACC7079" w14:textId="77777777" w:rsidR="00E218FC" w:rsidRDefault="00E218FC" w:rsidP="005C6536">
      <w:pPr>
        <w:autoSpaceDE w:val="0"/>
        <w:autoSpaceDN w:val="0"/>
        <w:adjustRightInd w:val="0"/>
        <w:spacing w:after="120" w:line="360" w:lineRule="auto"/>
        <w:jc w:val="both"/>
        <w:rPr>
          <w:rFonts w:ascii="Garamond" w:hAnsi="Garamond"/>
          <w:sz w:val="22"/>
          <w:szCs w:val="22"/>
        </w:rPr>
      </w:pPr>
    </w:p>
    <w:p w14:paraId="1003BB16" w14:textId="77777777" w:rsidR="00627013" w:rsidRDefault="00627013" w:rsidP="005C6536">
      <w:pPr>
        <w:autoSpaceDE w:val="0"/>
        <w:autoSpaceDN w:val="0"/>
        <w:adjustRightInd w:val="0"/>
        <w:spacing w:after="120" w:line="360" w:lineRule="auto"/>
        <w:jc w:val="both"/>
        <w:rPr>
          <w:rFonts w:ascii="Garamond" w:hAnsi="Garamond"/>
          <w:b/>
          <w:sz w:val="22"/>
          <w:szCs w:val="22"/>
        </w:rPr>
      </w:pPr>
      <w:r w:rsidRPr="00627013">
        <w:rPr>
          <w:rFonts w:ascii="Garamond" w:hAnsi="Garamond"/>
          <w:b/>
          <w:sz w:val="22"/>
          <w:szCs w:val="22"/>
        </w:rPr>
        <w:t>Forecast risks</w:t>
      </w:r>
    </w:p>
    <w:p w14:paraId="7A2CE878" w14:textId="77777777" w:rsidR="0003340B" w:rsidRPr="0003340B" w:rsidRDefault="0003340B" w:rsidP="0003340B">
      <w:pPr>
        <w:autoSpaceDE w:val="0"/>
        <w:autoSpaceDN w:val="0"/>
        <w:adjustRightInd w:val="0"/>
        <w:spacing w:after="120" w:line="360" w:lineRule="auto"/>
        <w:jc w:val="both"/>
        <w:rPr>
          <w:rFonts w:ascii="Garamond" w:hAnsi="Garamond"/>
          <w:sz w:val="22"/>
          <w:szCs w:val="22"/>
        </w:rPr>
      </w:pPr>
      <w:r w:rsidRPr="001D0479">
        <w:rPr>
          <w:rFonts w:ascii="Garamond" w:hAnsi="Garamond"/>
          <w:sz w:val="22"/>
          <w:szCs w:val="22"/>
        </w:rPr>
        <w:t xml:space="preserve">The risks </w:t>
      </w:r>
      <w:r w:rsidR="003B77BB">
        <w:rPr>
          <w:rFonts w:ascii="Garamond" w:hAnsi="Garamond"/>
          <w:sz w:val="22"/>
          <w:szCs w:val="22"/>
        </w:rPr>
        <w:t xml:space="preserve">considered under the </w:t>
      </w:r>
      <w:r w:rsidR="00C86E56">
        <w:rPr>
          <w:rFonts w:ascii="Garamond" w:hAnsi="Garamond"/>
          <w:sz w:val="22"/>
          <w:szCs w:val="22"/>
        </w:rPr>
        <w:t xml:space="preserve">baseline scenario </w:t>
      </w:r>
      <w:r w:rsidR="003B77BB">
        <w:rPr>
          <w:rFonts w:ascii="Garamond" w:hAnsi="Garamond"/>
          <w:sz w:val="22"/>
          <w:szCs w:val="22"/>
        </w:rPr>
        <w:t>a</w:t>
      </w:r>
      <w:r w:rsidRPr="001D0479">
        <w:rPr>
          <w:rFonts w:ascii="Garamond" w:hAnsi="Garamond"/>
          <w:sz w:val="22"/>
          <w:szCs w:val="22"/>
        </w:rPr>
        <w:t xml:space="preserve">re </w:t>
      </w:r>
      <w:r w:rsidR="00C86E56">
        <w:rPr>
          <w:rFonts w:ascii="Garamond" w:hAnsi="Garamond"/>
          <w:sz w:val="22"/>
          <w:szCs w:val="22"/>
        </w:rPr>
        <w:t xml:space="preserve">associated with </w:t>
      </w:r>
      <w:r w:rsidRPr="001D0479">
        <w:rPr>
          <w:rFonts w:ascii="Garamond" w:hAnsi="Garamond"/>
          <w:sz w:val="22"/>
          <w:szCs w:val="22"/>
        </w:rPr>
        <w:t>both the supply and demand-driven developments in the</w:t>
      </w:r>
      <w:r w:rsidRPr="0003340B">
        <w:rPr>
          <w:rFonts w:ascii="Garamond" w:hAnsi="Garamond"/>
          <w:sz w:val="22"/>
          <w:szCs w:val="22"/>
        </w:rPr>
        <w:t xml:space="preserve"> relevant sectors of the economy.</w:t>
      </w:r>
    </w:p>
    <w:p w14:paraId="27DF4D9D" w14:textId="77777777" w:rsidR="0003340B" w:rsidRPr="0003340B" w:rsidRDefault="0003340B" w:rsidP="0003340B">
      <w:pPr>
        <w:autoSpaceDE w:val="0"/>
        <w:autoSpaceDN w:val="0"/>
        <w:adjustRightInd w:val="0"/>
        <w:spacing w:after="120" w:line="360" w:lineRule="auto"/>
        <w:jc w:val="both"/>
        <w:rPr>
          <w:rFonts w:ascii="Garamond" w:hAnsi="Garamond"/>
          <w:sz w:val="22"/>
          <w:szCs w:val="22"/>
        </w:rPr>
      </w:pPr>
      <w:r w:rsidRPr="0003340B">
        <w:rPr>
          <w:rFonts w:ascii="Garamond" w:hAnsi="Garamond"/>
          <w:sz w:val="22"/>
          <w:szCs w:val="22"/>
        </w:rPr>
        <w:t xml:space="preserve">In terms of </w:t>
      </w:r>
      <w:r>
        <w:rPr>
          <w:rFonts w:ascii="Garamond" w:hAnsi="Garamond"/>
          <w:sz w:val="22"/>
          <w:szCs w:val="22"/>
        </w:rPr>
        <w:t>aggregate</w:t>
      </w:r>
      <w:r w:rsidRPr="0003340B">
        <w:rPr>
          <w:rFonts w:ascii="Garamond" w:hAnsi="Garamond"/>
          <w:sz w:val="22"/>
          <w:szCs w:val="22"/>
        </w:rPr>
        <w:t xml:space="preserve"> demand, the main risks </w:t>
      </w:r>
      <w:r w:rsidR="0037064D">
        <w:rPr>
          <w:rFonts w:ascii="Garamond" w:hAnsi="Garamond"/>
          <w:sz w:val="22"/>
          <w:szCs w:val="22"/>
        </w:rPr>
        <w:t>are attributable to the following factors:</w:t>
      </w:r>
    </w:p>
    <w:p w14:paraId="3CB149FD" w14:textId="77777777" w:rsidR="0003340B" w:rsidRDefault="00C86E56" w:rsidP="0037064D">
      <w:pPr>
        <w:pStyle w:val="ListParagraph"/>
        <w:numPr>
          <w:ilvl w:val="0"/>
          <w:numId w:val="7"/>
        </w:numPr>
        <w:autoSpaceDE w:val="0"/>
        <w:autoSpaceDN w:val="0"/>
        <w:adjustRightInd w:val="0"/>
        <w:spacing w:after="120" w:line="360" w:lineRule="auto"/>
        <w:jc w:val="both"/>
        <w:rPr>
          <w:rFonts w:ascii="Garamond" w:hAnsi="Garamond"/>
          <w:sz w:val="22"/>
          <w:szCs w:val="22"/>
        </w:rPr>
      </w:pPr>
      <w:r>
        <w:rPr>
          <w:rFonts w:ascii="Garamond" w:hAnsi="Garamond"/>
          <w:sz w:val="22"/>
          <w:szCs w:val="22"/>
        </w:rPr>
        <w:t>M</w:t>
      </w:r>
      <w:r w:rsidR="0037064D">
        <w:rPr>
          <w:rFonts w:ascii="Garamond" w:hAnsi="Garamond"/>
          <w:sz w:val="22"/>
          <w:szCs w:val="22"/>
        </w:rPr>
        <w:t xml:space="preserve">ostly short-term </w:t>
      </w:r>
      <w:r w:rsidRPr="00C86E56">
        <w:rPr>
          <w:rFonts w:ascii="Garamond" w:hAnsi="Garamond"/>
          <w:sz w:val="22"/>
          <w:szCs w:val="22"/>
        </w:rPr>
        <w:t>deflation</w:t>
      </w:r>
      <w:r w:rsidR="0037064D">
        <w:rPr>
          <w:rFonts w:ascii="Garamond" w:hAnsi="Garamond"/>
          <w:sz w:val="22"/>
          <w:szCs w:val="22"/>
        </w:rPr>
        <w:t>ary</w:t>
      </w:r>
      <w:r w:rsidRPr="00C86E56">
        <w:rPr>
          <w:rFonts w:ascii="Garamond" w:hAnsi="Garamond"/>
          <w:sz w:val="22"/>
          <w:szCs w:val="22"/>
        </w:rPr>
        <w:t xml:space="preserve"> risks </w:t>
      </w:r>
      <w:r w:rsidR="0037064D">
        <w:rPr>
          <w:rFonts w:ascii="Garamond" w:hAnsi="Garamond"/>
          <w:sz w:val="22"/>
          <w:szCs w:val="22"/>
        </w:rPr>
        <w:t xml:space="preserve">may arise in connection with </w:t>
      </w:r>
      <w:r w:rsidR="0037064D" w:rsidRPr="0037064D">
        <w:rPr>
          <w:rFonts w:ascii="Garamond" w:hAnsi="Garamond"/>
          <w:sz w:val="22"/>
          <w:szCs w:val="22"/>
        </w:rPr>
        <w:t xml:space="preserve">insufficient rates </w:t>
      </w:r>
      <w:r w:rsidR="0037064D">
        <w:rPr>
          <w:rFonts w:ascii="Garamond" w:hAnsi="Garamond"/>
          <w:sz w:val="22"/>
          <w:szCs w:val="22"/>
        </w:rPr>
        <w:t>at which demand and, consequently, core inflation recovers</w:t>
      </w:r>
      <w:r w:rsidRPr="00C86E56">
        <w:rPr>
          <w:rFonts w:ascii="Garamond" w:hAnsi="Garamond"/>
          <w:sz w:val="22"/>
          <w:szCs w:val="22"/>
        </w:rPr>
        <w:t>.</w:t>
      </w:r>
    </w:p>
    <w:p w14:paraId="78705376" w14:textId="77777777" w:rsidR="00C86E56" w:rsidRDefault="00C86E56" w:rsidP="0003340B">
      <w:pPr>
        <w:pStyle w:val="ListParagraph"/>
        <w:numPr>
          <w:ilvl w:val="0"/>
          <w:numId w:val="7"/>
        </w:numPr>
        <w:autoSpaceDE w:val="0"/>
        <w:autoSpaceDN w:val="0"/>
        <w:adjustRightInd w:val="0"/>
        <w:spacing w:after="120" w:line="360" w:lineRule="auto"/>
        <w:jc w:val="both"/>
        <w:rPr>
          <w:rFonts w:ascii="Garamond" w:hAnsi="Garamond"/>
          <w:sz w:val="22"/>
          <w:szCs w:val="22"/>
        </w:rPr>
      </w:pPr>
      <w:r>
        <w:rPr>
          <w:rFonts w:ascii="Garamond" w:hAnsi="Garamond"/>
          <w:sz w:val="22"/>
          <w:szCs w:val="22"/>
        </w:rPr>
        <w:t>T</w:t>
      </w:r>
      <w:r w:rsidRPr="0003340B">
        <w:rPr>
          <w:rFonts w:ascii="Garamond" w:hAnsi="Garamond"/>
          <w:sz w:val="22"/>
          <w:szCs w:val="22"/>
        </w:rPr>
        <w:t>he budget</w:t>
      </w:r>
      <w:r>
        <w:rPr>
          <w:rFonts w:ascii="Garamond" w:hAnsi="Garamond"/>
          <w:sz w:val="22"/>
          <w:szCs w:val="22"/>
        </w:rPr>
        <w:t xml:space="preserve"> leaves a bigger contractionary impact</w:t>
      </w:r>
      <w:r w:rsidR="007117A9">
        <w:rPr>
          <w:rFonts w:ascii="Garamond" w:hAnsi="Garamond"/>
          <w:sz w:val="22"/>
          <w:szCs w:val="22"/>
        </w:rPr>
        <w:t xml:space="preserve"> </w:t>
      </w:r>
      <w:r w:rsidR="00A54087">
        <w:rPr>
          <w:rFonts w:ascii="Garamond" w:hAnsi="Garamond"/>
          <w:sz w:val="22"/>
          <w:szCs w:val="22"/>
        </w:rPr>
        <w:t xml:space="preserve">during </w:t>
      </w:r>
      <w:r w:rsidR="007117A9">
        <w:rPr>
          <w:rFonts w:ascii="Garamond" w:hAnsi="Garamond"/>
          <w:sz w:val="22"/>
          <w:szCs w:val="22"/>
        </w:rPr>
        <w:t xml:space="preserve">2019, </w:t>
      </w:r>
      <w:r w:rsidRPr="0003340B">
        <w:rPr>
          <w:rFonts w:ascii="Garamond" w:hAnsi="Garamond"/>
          <w:sz w:val="22"/>
          <w:szCs w:val="22"/>
        </w:rPr>
        <w:t xml:space="preserve">as a result of which </w:t>
      </w:r>
      <w:r>
        <w:rPr>
          <w:rFonts w:ascii="Garamond" w:hAnsi="Garamond"/>
          <w:sz w:val="22"/>
          <w:szCs w:val="22"/>
        </w:rPr>
        <w:t xml:space="preserve">the aggregate </w:t>
      </w:r>
      <w:r w:rsidRPr="0003340B">
        <w:rPr>
          <w:rFonts w:ascii="Garamond" w:hAnsi="Garamond"/>
          <w:sz w:val="22"/>
          <w:szCs w:val="22"/>
        </w:rPr>
        <w:t xml:space="preserve">demand will have </w:t>
      </w:r>
      <w:r>
        <w:rPr>
          <w:rFonts w:ascii="Garamond" w:hAnsi="Garamond"/>
          <w:sz w:val="22"/>
          <w:szCs w:val="22"/>
        </w:rPr>
        <w:t xml:space="preserve">even </w:t>
      </w:r>
      <w:r w:rsidRPr="0003340B">
        <w:rPr>
          <w:rFonts w:ascii="Garamond" w:hAnsi="Garamond"/>
          <w:sz w:val="22"/>
          <w:szCs w:val="22"/>
        </w:rPr>
        <w:t>more def</w:t>
      </w:r>
      <w:r>
        <w:rPr>
          <w:rFonts w:ascii="Garamond" w:hAnsi="Garamond"/>
          <w:sz w:val="22"/>
          <w:szCs w:val="22"/>
        </w:rPr>
        <w:t>lationary effec</w:t>
      </w:r>
      <w:r w:rsidRPr="0003340B">
        <w:rPr>
          <w:rFonts w:ascii="Garamond" w:hAnsi="Garamond"/>
          <w:sz w:val="22"/>
          <w:szCs w:val="22"/>
        </w:rPr>
        <w:t xml:space="preserve">t on the inflation, </w:t>
      </w:r>
      <w:r w:rsidR="0037064D">
        <w:rPr>
          <w:rFonts w:ascii="Garamond" w:hAnsi="Garamond"/>
          <w:sz w:val="22"/>
          <w:szCs w:val="22"/>
        </w:rPr>
        <w:t xml:space="preserve">calling for implementing a more vigorous </w:t>
      </w:r>
      <w:r>
        <w:rPr>
          <w:rFonts w:ascii="Garamond" w:hAnsi="Garamond"/>
          <w:sz w:val="22"/>
          <w:szCs w:val="22"/>
        </w:rPr>
        <w:t xml:space="preserve">expansionary </w:t>
      </w:r>
      <w:r w:rsidRPr="0003340B">
        <w:rPr>
          <w:rFonts w:ascii="Garamond" w:hAnsi="Garamond"/>
          <w:sz w:val="22"/>
          <w:szCs w:val="22"/>
        </w:rPr>
        <w:t>monetary policy.</w:t>
      </w:r>
    </w:p>
    <w:p w14:paraId="083ECCEF" w14:textId="77777777" w:rsidR="00A54087" w:rsidRPr="00A54087" w:rsidRDefault="00A54087" w:rsidP="00A54087">
      <w:pPr>
        <w:autoSpaceDE w:val="0"/>
        <w:autoSpaceDN w:val="0"/>
        <w:adjustRightInd w:val="0"/>
        <w:spacing w:after="120" w:line="360" w:lineRule="auto"/>
        <w:jc w:val="both"/>
        <w:rPr>
          <w:rFonts w:ascii="Garamond" w:hAnsi="Garamond"/>
          <w:sz w:val="22"/>
          <w:szCs w:val="22"/>
        </w:rPr>
      </w:pPr>
      <w:r w:rsidRPr="00A54087">
        <w:rPr>
          <w:rFonts w:ascii="Garamond" w:hAnsi="Garamond"/>
          <w:sz w:val="22"/>
          <w:szCs w:val="22"/>
        </w:rPr>
        <w:t xml:space="preserve">Actual </w:t>
      </w:r>
      <w:r w:rsidR="00601760">
        <w:rPr>
          <w:rFonts w:ascii="Garamond" w:hAnsi="Garamond"/>
          <w:sz w:val="22"/>
          <w:szCs w:val="22"/>
        </w:rPr>
        <w:t xml:space="preserve">budget </w:t>
      </w:r>
      <w:r w:rsidRPr="00A54087">
        <w:rPr>
          <w:rFonts w:ascii="Garamond" w:hAnsi="Garamond"/>
          <w:sz w:val="22"/>
          <w:szCs w:val="22"/>
        </w:rPr>
        <w:t xml:space="preserve">expenditures </w:t>
      </w:r>
      <w:r w:rsidR="00601760">
        <w:rPr>
          <w:rFonts w:ascii="Garamond" w:hAnsi="Garamond"/>
          <w:sz w:val="22"/>
          <w:szCs w:val="22"/>
        </w:rPr>
        <w:t xml:space="preserve">made </w:t>
      </w:r>
      <w:r w:rsidRPr="00A54087">
        <w:rPr>
          <w:rFonts w:ascii="Garamond" w:hAnsi="Garamond"/>
          <w:sz w:val="22"/>
          <w:szCs w:val="22"/>
        </w:rPr>
        <w:t xml:space="preserve">for 5 months of </w:t>
      </w:r>
      <w:r w:rsidR="00601760">
        <w:rPr>
          <w:rFonts w:ascii="Garamond" w:hAnsi="Garamond"/>
          <w:sz w:val="22"/>
          <w:szCs w:val="22"/>
        </w:rPr>
        <w:t xml:space="preserve">2019 </w:t>
      </w:r>
      <w:r w:rsidRPr="00A54087">
        <w:rPr>
          <w:rFonts w:ascii="Garamond" w:hAnsi="Garamond"/>
          <w:sz w:val="22"/>
          <w:szCs w:val="22"/>
        </w:rPr>
        <w:t>(savings</w:t>
      </w:r>
      <w:r w:rsidR="00601760">
        <w:rPr>
          <w:rFonts w:ascii="Garamond" w:hAnsi="Garamond"/>
          <w:sz w:val="22"/>
          <w:szCs w:val="22"/>
        </w:rPr>
        <w:t xml:space="preserve"> of expenditures</w:t>
      </w:r>
      <w:r w:rsidRPr="00A54087">
        <w:rPr>
          <w:rFonts w:ascii="Garamond" w:hAnsi="Garamond"/>
          <w:sz w:val="22"/>
          <w:szCs w:val="22"/>
        </w:rPr>
        <w:t xml:space="preserve">, </w:t>
      </w:r>
      <w:r w:rsidR="00601760">
        <w:rPr>
          <w:rFonts w:ascii="Garamond" w:hAnsi="Garamond"/>
          <w:sz w:val="22"/>
          <w:szCs w:val="22"/>
        </w:rPr>
        <w:t xml:space="preserve">underfunding of capital programs </w:t>
      </w:r>
      <w:r w:rsidRPr="00A54087">
        <w:rPr>
          <w:rFonts w:ascii="Garamond" w:hAnsi="Garamond"/>
          <w:sz w:val="22"/>
          <w:szCs w:val="22"/>
        </w:rPr>
        <w:t xml:space="preserve">in particular) </w:t>
      </w:r>
      <w:r w:rsidR="00601760">
        <w:rPr>
          <w:rFonts w:ascii="Garamond" w:hAnsi="Garamond"/>
          <w:sz w:val="22"/>
          <w:szCs w:val="22"/>
        </w:rPr>
        <w:t xml:space="preserve">against </w:t>
      </w:r>
      <w:r w:rsidRPr="00A54087">
        <w:rPr>
          <w:rFonts w:ascii="Garamond" w:hAnsi="Garamond"/>
          <w:sz w:val="22"/>
          <w:szCs w:val="22"/>
        </w:rPr>
        <w:t xml:space="preserve">the baseline scenario implies certain risks </w:t>
      </w:r>
      <w:r w:rsidR="00601760">
        <w:rPr>
          <w:rFonts w:ascii="Garamond" w:hAnsi="Garamond"/>
          <w:sz w:val="22"/>
          <w:szCs w:val="22"/>
        </w:rPr>
        <w:t xml:space="preserve">to </w:t>
      </w:r>
      <w:r w:rsidRPr="00A54087">
        <w:rPr>
          <w:rFonts w:ascii="Garamond" w:hAnsi="Garamond"/>
          <w:sz w:val="22"/>
          <w:szCs w:val="22"/>
        </w:rPr>
        <w:t xml:space="preserve">the </w:t>
      </w:r>
      <w:r w:rsidR="00601760">
        <w:rPr>
          <w:rFonts w:ascii="Garamond" w:hAnsi="Garamond"/>
          <w:sz w:val="22"/>
          <w:szCs w:val="22"/>
        </w:rPr>
        <w:t xml:space="preserve">performing of </w:t>
      </w:r>
      <w:r w:rsidRPr="00A54087">
        <w:rPr>
          <w:rFonts w:ascii="Garamond" w:hAnsi="Garamond"/>
          <w:sz w:val="22"/>
          <w:szCs w:val="22"/>
        </w:rPr>
        <w:t>public expenditures</w:t>
      </w:r>
      <w:r w:rsidR="00601760">
        <w:rPr>
          <w:rFonts w:ascii="Garamond" w:hAnsi="Garamond"/>
          <w:sz w:val="22"/>
          <w:szCs w:val="22"/>
        </w:rPr>
        <w:t xml:space="preserve"> fully</w:t>
      </w:r>
      <w:r w:rsidRPr="00A54087">
        <w:rPr>
          <w:rFonts w:ascii="Garamond" w:hAnsi="Garamond"/>
          <w:sz w:val="22"/>
          <w:szCs w:val="22"/>
        </w:rPr>
        <w:t xml:space="preserve">. In </w:t>
      </w:r>
      <w:r w:rsidR="00601760">
        <w:rPr>
          <w:rFonts w:ascii="Garamond" w:hAnsi="Garamond"/>
          <w:sz w:val="22"/>
          <w:szCs w:val="22"/>
        </w:rPr>
        <w:t xml:space="preserve">the event savings of public expenditures reach </w:t>
      </w:r>
      <w:r w:rsidRPr="00A54087">
        <w:rPr>
          <w:rFonts w:ascii="Garamond" w:hAnsi="Garamond"/>
          <w:sz w:val="22"/>
          <w:szCs w:val="22"/>
        </w:rPr>
        <w:t xml:space="preserve">4% and </w:t>
      </w:r>
      <w:r w:rsidR="00601760">
        <w:rPr>
          <w:rFonts w:ascii="Garamond" w:hAnsi="Garamond"/>
          <w:sz w:val="22"/>
          <w:szCs w:val="22"/>
        </w:rPr>
        <w:t xml:space="preserve">half of AMD </w:t>
      </w:r>
      <w:r w:rsidRPr="00A54087">
        <w:rPr>
          <w:rFonts w:ascii="Garamond" w:hAnsi="Garamond"/>
          <w:sz w:val="22"/>
          <w:szCs w:val="22"/>
        </w:rPr>
        <w:t>62</w:t>
      </w:r>
      <w:r w:rsidR="00601760">
        <w:rPr>
          <w:rFonts w:ascii="Garamond" w:hAnsi="Garamond"/>
          <w:sz w:val="22"/>
          <w:szCs w:val="22"/>
        </w:rPr>
        <w:t xml:space="preserve"> billion-worth of </w:t>
      </w:r>
      <w:r w:rsidR="0027739D">
        <w:rPr>
          <w:rFonts w:ascii="Garamond" w:hAnsi="Garamond"/>
          <w:sz w:val="22"/>
          <w:szCs w:val="22"/>
        </w:rPr>
        <w:t>collected r</w:t>
      </w:r>
      <w:r w:rsidR="00601760">
        <w:rPr>
          <w:rFonts w:ascii="Garamond" w:hAnsi="Garamond"/>
          <w:sz w:val="22"/>
          <w:szCs w:val="22"/>
        </w:rPr>
        <w:t xml:space="preserve">evenues </w:t>
      </w:r>
      <w:r w:rsidR="0027739D">
        <w:rPr>
          <w:rFonts w:ascii="Garamond" w:hAnsi="Garamond"/>
          <w:sz w:val="22"/>
          <w:szCs w:val="22"/>
        </w:rPr>
        <w:t>are expended (although spending direction is not clear yet), t</w:t>
      </w:r>
      <w:r w:rsidRPr="00A54087">
        <w:rPr>
          <w:rFonts w:ascii="Garamond" w:hAnsi="Garamond"/>
          <w:sz w:val="22"/>
          <w:szCs w:val="22"/>
        </w:rPr>
        <w:t xml:space="preserve">he fiscal policy will have a </w:t>
      </w:r>
      <w:r w:rsidR="0027739D">
        <w:rPr>
          <w:rFonts w:ascii="Garamond" w:hAnsi="Garamond"/>
          <w:sz w:val="22"/>
          <w:szCs w:val="22"/>
        </w:rPr>
        <w:t>contractionary impact</w:t>
      </w:r>
      <w:r w:rsidRPr="00A54087">
        <w:rPr>
          <w:rFonts w:ascii="Garamond" w:hAnsi="Garamond"/>
          <w:sz w:val="22"/>
          <w:szCs w:val="22"/>
        </w:rPr>
        <w:t xml:space="preserve"> in the third and fourth quarters instead of </w:t>
      </w:r>
      <w:r w:rsidR="0027739D">
        <w:rPr>
          <w:rFonts w:ascii="Garamond" w:hAnsi="Garamond"/>
          <w:sz w:val="22"/>
          <w:szCs w:val="22"/>
        </w:rPr>
        <w:t>the contractionary projected under the baseline scenario. Given this, the contractionary impact is estimated more than 1.0 pp for the year</w:t>
      </w:r>
      <w:r w:rsidRPr="00A54087">
        <w:rPr>
          <w:rFonts w:ascii="Garamond" w:hAnsi="Garamond"/>
          <w:sz w:val="22"/>
          <w:szCs w:val="22"/>
        </w:rPr>
        <w:t>.</w:t>
      </w:r>
    </w:p>
    <w:p w14:paraId="6C489210" w14:textId="77777777" w:rsidR="00A54087" w:rsidRPr="00A54087" w:rsidRDefault="0027739D" w:rsidP="00A54087">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Overall, downside </w:t>
      </w:r>
      <w:r w:rsidR="00A54087" w:rsidRPr="00A54087">
        <w:rPr>
          <w:rFonts w:ascii="Garamond" w:hAnsi="Garamond"/>
          <w:sz w:val="22"/>
          <w:szCs w:val="22"/>
        </w:rPr>
        <w:t xml:space="preserve">risks to the </w:t>
      </w:r>
      <w:r>
        <w:rPr>
          <w:rFonts w:ascii="Garamond" w:hAnsi="Garamond"/>
          <w:sz w:val="22"/>
          <w:szCs w:val="22"/>
        </w:rPr>
        <w:t>inflation deviating from its path in the medium term prevail</w:t>
      </w:r>
      <w:r w:rsidR="00A54087" w:rsidRPr="00A54087">
        <w:rPr>
          <w:rFonts w:ascii="Garamond" w:hAnsi="Garamond"/>
          <w:sz w:val="22"/>
          <w:szCs w:val="22"/>
        </w:rPr>
        <w:t xml:space="preserve"> (see </w:t>
      </w:r>
      <w:r w:rsidR="00A54087">
        <w:rPr>
          <w:rFonts w:ascii="Garamond" w:hAnsi="Garamond"/>
          <w:sz w:val="22"/>
          <w:szCs w:val="22"/>
        </w:rPr>
        <w:t xml:space="preserve">Chart </w:t>
      </w:r>
      <w:r w:rsidR="00A54087" w:rsidRPr="00A54087">
        <w:rPr>
          <w:rFonts w:ascii="Garamond" w:hAnsi="Garamond"/>
          <w:sz w:val="22"/>
          <w:szCs w:val="22"/>
        </w:rPr>
        <w:t>1).</w:t>
      </w:r>
    </w:p>
    <w:p w14:paraId="37185438" w14:textId="77777777" w:rsidR="0003340B" w:rsidRPr="0003340B" w:rsidRDefault="00B95881" w:rsidP="0003340B">
      <w:pPr>
        <w:autoSpaceDE w:val="0"/>
        <w:autoSpaceDN w:val="0"/>
        <w:adjustRightInd w:val="0"/>
        <w:spacing w:after="120" w:line="360" w:lineRule="auto"/>
        <w:jc w:val="both"/>
        <w:rPr>
          <w:rFonts w:ascii="Garamond" w:hAnsi="Garamond"/>
          <w:sz w:val="22"/>
          <w:szCs w:val="22"/>
        </w:rPr>
      </w:pPr>
      <w:r>
        <w:rPr>
          <w:rFonts w:ascii="Garamond" w:hAnsi="Garamond"/>
          <w:sz w:val="22"/>
          <w:szCs w:val="22"/>
        </w:rPr>
        <w:t>In terms of supply</w:t>
      </w:r>
      <w:r w:rsidR="0003340B" w:rsidRPr="0003340B">
        <w:rPr>
          <w:rFonts w:ascii="Garamond" w:hAnsi="Garamond"/>
          <w:sz w:val="22"/>
          <w:szCs w:val="22"/>
        </w:rPr>
        <w:t xml:space="preserve">, the following </w:t>
      </w:r>
      <w:r>
        <w:rPr>
          <w:rFonts w:ascii="Garamond" w:hAnsi="Garamond"/>
          <w:sz w:val="22"/>
          <w:szCs w:val="22"/>
        </w:rPr>
        <w:t xml:space="preserve">are </w:t>
      </w:r>
      <w:r w:rsidR="0003340B" w:rsidRPr="0003340B">
        <w:rPr>
          <w:rFonts w:ascii="Garamond" w:hAnsi="Garamond"/>
          <w:sz w:val="22"/>
          <w:szCs w:val="22"/>
        </w:rPr>
        <w:t xml:space="preserve">risks </w:t>
      </w:r>
      <w:r>
        <w:rPr>
          <w:rFonts w:ascii="Garamond" w:hAnsi="Garamond"/>
          <w:sz w:val="22"/>
          <w:szCs w:val="22"/>
        </w:rPr>
        <w:t xml:space="preserve">to the </w:t>
      </w:r>
      <w:r w:rsidR="0003340B" w:rsidRPr="0003340B">
        <w:rPr>
          <w:rFonts w:ascii="Garamond" w:hAnsi="Garamond"/>
          <w:sz w:val="22"/>
          <w:szCs w:val="22"/>
        </w:rPr>
        <w:t>inflation:</w:t>
      </w:r>
    </w:p>
    <w:p w14:paraId="3B63AB1B" w14:textId="77777777" w:rsidR="0003340B" w:rsidRDefault="00DF4AF7" w:rsidP="00291B43">
      <w:pPr>
        <w:pStyle w:val="ListParagraph"/>
        <w:numPr>
          <w:ilvl w:val="0"/>
          <w:numId w:val="7"/>
        </w:numPr>
        <w:autoSpaceDE w:val="0"/>
        <w:autoSpaceDN w:val="0"/>
        <w:adjustRightInd w:val="0"/>
        <w:spacing w:after="120" w:line="360" w:lineRule="auto"/>
        <w:jc w:val="both"/>
        <w:rPr>
          <w:rFonts w:ascii="Garamond" w:hAnsi="Garamond"/>
          <w:sz w:val="22"/>
          <w:szCs w:val="22"/>
        </w:rPr>
      </w:pPr>
      <w:r w:rsidRPr="00DF4AF7">
        <w:rPr>
          <w:rFonts w:ascii="Garamond" w:hAnsi="Garamond"/>
          <w:sz w:val="22"/>
          <w:szCs w:val="22"/>
        </w:rPr>
        <w:t>In the short term</w:t>
      </w:r>
      <w:r>
        <w:rPr>
          <w:rFonts w:ascii="Garamond" w:hAnsi="Garamond"/>
          <w:sz w:val="22"/>
          <w:szCs w:val="22"/>
        </w:rPr>
        <w:t>,</w:t>
      </w:r>
      <w:r w:rsidRPr="00DF4AF7">
        <w:rPr>
          <w:rFonts w:ascii="Garamond" w:hAnsi="Garamond"/>
          <w:sz w:val="22"/>
          <w:szCs w:val="22"/>
        </w:rPr>
        <w:t xml:space="preserve"> </w:t>
      </w:r>
      <w:r>
        <w:rPr>
          <w:rFonts w:ascii="Garamond" w:hAnsi="Garamond"/>
          <w:sz w:val="22"/>
          <w:szCs w:val="22"/>
        </w:rPr>
        <w:t xml:space="preserve">prices of </w:t>
      </w:r>
      <w:r w:rsidRPr="00DF4AF7">
        <w:rPr>
          <w:rFonts w:ascii="Garamond" w:hAnsi="Garamond"/>
          <w:sz w:val="22"/>
          <w:szCs w:val="22"/>
        </w:rPr>
        <w:t>meat pr</w:t>
      </w:r>
      <w:r>
        <w:rPr>
          <w:rFonts w:ascii="Garamond" w:hAnsi="Garamond"/>
          <w:sz w:val="22"/>
          <w:szCs w:val="22"/>
        </w:rPr>
        <w:t xml:space="preserve">oducts may </w:t>
      </w:r>
      <w:r w:rsidRPr="00DF4AF7">
        <w:rPr>
          <w:rFonts w:ascii="Garamond" w:hAnsi="Garamond"/>
          <w:sz w:val="22"/>
          <w:szCs w:val="22"/>
        </w:rPr>
        <w:t xml:space="preserve">grow faster than expected due to </w:t>
      </w:r>
      <w:r w:rsidR="00291B43">
        <w:rPr>
          <w:rFonts w:ascii="Garamond" w:hAnsi="Garamond"/>
          <w:sz w:val="22"/>
          <w:szCs w:val="22"/>
        </w:rPr>
        <w:t xml:space="preserve">a possible </w:t>
      </w:r>
      <w:r w:rsidRPr="00DF4AF7">
        <w:rPr>
          <w:rFonts w:ascii="Garamond" w:hAnsi="Garamond"/>
          <w:sz w:val="22"/>
          <w:szCs w:val="22"/>
        </w:rPr>
        <w:t>shortage of livestock.</w:t>
      </w:r>
      <w:r w:rsidR="00291B43">
        <w:rPr>
          <w:rFonts w:ascii="Garamond" w:hAnsi="Garamond"/>
          <w:sz w:val="22"/>
          <w:szCs w:val="22"/>
        </w:rPr>
        <w:t xml:space="preserve"> On the other hand, second-round effects may play out vibrantly </w:t>
      </w:r>
      <w:r w:rsidR="00291B43" w:rsidRPr="00291B43">
        <w:rPr>
          <w:rFonts w:ascii="Garamond" w:hAnsi="Garamond"/>
          <w:sz w:val="22"/>
          <w:szCs w:val="22"/>
        </w:rPr>
        <w:t>a as a result of the change in gas price for cars.</w:t>
      </w:r>
    </w:p>
    <w:p w14:paraId="79A7FE93" w14:textId="77777777" w:rsidR="00DF4AF7" w:rsidRDefault="00DF4AF7" w:rsidP="00DF4AF7">
      <w:pPr>
        <w:pStyle w:val="ListParagraph"/>
        <w:numPr>
          <w:ilvl w:val="0"/>
          <w:numId w:val="7"/>
        </w:numPr>
        <w:autoSpaceDE w:val="0"/>
        <w:autoSpaceDN w:val="0"/>
        <w:adjustRightInd w:val="0"/>
        <w:spacing w:after="120" w:line="360" w:lineRule="auto"/>
        <w:jc w:val="both"/>
        <w:rPr>
          <w:rFonts w:ascii="Garamond" w:hAnsi="Garamond"/>
          <w:sz w:val="22"/>
          <w:szCs w:val="22"/>
        </w:rPr>
      </w:pPr>
      <w:r w:rsidRPr="00DF4AF7">
        <w:rPr>
          <w:rFonts w:ascii="Garamond" w:hAnsi="Garamond"/>
          <w:sz w:val="22"/>
          <w:szCs w:val="22"/>
        </w:rPr>
        <w:lastRenderedPageBreak/>
        <w:t xml:space="preserve">There are risks </w:t>
      </w:r>
      <w:r w:rsidR="00DD78E8" w:rsidRPr="00DD78E8">
        <w:rPr>
          <w:rFonts w:ascii="Garamond" w:hAnsi="Garamond"/>
          <w:sz w:val="22"/>
          <w:szCs w:val="22"/>
        </w:rPr>
        <w:t xml:space="preserve">to </w:t>
      </w:r>
      <w:r w:rsidRPr="00DD78E8">
        <w:rPr>
          <w:rFonts w:ascii="Garamond" w:hAnsi="Garamond"/>
          <w:sz w:val="22"/>
          <w:szCs w:val="22"/>
        </w:rPr>
        <w:t>the impact o</w:t>
      </w:r>
      <w:r w:rsidR="00DD78E8" w:rsidRPr="00DD78E8">
        <w:rPr>
          <w:rFonts w:ascii="Garamond" w:hAnsi="Garamond"/>
          <w:sz w:val="22"/>
          <w:szCs w:val="22"/>
        </w:rPr>
        <w:t>n</w:t>
      </w:r>
      <w:r w:rsidRPr="00DD78E8">
        <w:rPr>
          <w:rFonts w:ascii="Garamond" w:hAnsi="Garamond"/>
          <w:sz w:val="22"/>
          <w:szCs w:val="22"/>
        </w:rPr>
        <w:t xml:space="preserve"> inflation </w:t>
      </w:r>
      <w:r w:rsidR="00DD78E8" w:rsidRPr="00DD78E8">
        <w:rPr>
          <w:rFonts w:ascii="Garamond" w:hAnsi="Garamond"/>
          <w:sz w:val="22"/>
          <w:szCs w:val="22"/>
        </w:rPr>
        <w:t>(</w:t>
      </w:r>
      <w:r w:rsidR="00291B43">
        <w:rPr>
          <w:rFonts w:ascii="Garamond" w:hAnsi="Garamond"/>
          <w:sz w:val="22"/>
          <w:szCs w:val="22"/>
        </w:rPr>
        <w:t xml:space="preserve">an </w:t>
      </w:r>
      <w:r w:rsidR="00DD78E8" w:rsidRPr="00DD78E8">
        <w:rPr>
          <w:rFonts w:ascii="Garamond" w:hAnsi="Garamond"/>
          <w:sz w:val="22"/>
          <w:szCs w:val="22"/>
        </w:rPr>
        <w:t xml:space="preserve">estimated </w:t>
      </w:r>
      <w:r w:rsidR="00DD78E8" w:rsidRPr="00DF4AF7">
        <w:rPr>
          <w:rFonts w:ascii="Garamond" w:hAnsi="Garamond"/>
          <w:sz w:val="22"/>
          <w:szCs w:val="22"/>
        </w:rPr>
        <w:t>0.</w:t>
      </w:r>
      <w:r w:rsidR="00291B43">
        <w:rPr>
          <w:rFonts w:ascii="Garamond" w:hAnsi="Garamond"/>
          <w:sz w:val="22"/>
          <w:szCs w:val="22"/>
        </w:rPr>
        <w:t>3</w:t>
      </w:r>
      <w:r w:rsidR="00DD78E8" w:rsidRPr="00DF4AF7">
        <w:rPr>
          <w:rFonts w:ascii="Garamond" w:hAnsi="Garamond"/>
          <w:sz w:val="22"/>
          <w:szCs w:val="22"/>
        </w:rPr>
        <w:t xml:space="preserve"> p</w:t>
      </w:r>
      <w:r w:rsidR="00DD78E8">
        <w:rPr>
          <w:rFonts w:ascii="Garamond" w:hAnsi="Garamond"/>
          <w:sz w:val="22"/>
          <w:szCs w:val="22"/>
        </w:rPr>
        <w:t>p</w:t>
      </w:r>
      <w:r w:rsidR="00DD78E8" w:rsidRPr="00DF4AF7">
        <w:rPr>
          <w:rFonts w:ascii="Garamond" w:hAnsi="Garamond"/>
          <w:sz w:val="22"/>
          <w:szCs w:val="22"/>
        </w:rPr>
        <w:t>)</w:t>
      </w:r>
      <w:r w:rsidR="00DD78E8">
        <w:rPr>
          <w:rFonts w:ascii="Garamond" w:hAnsi="Garamond"/>
          <w:sz w:val="22"/>
          <w:szCs w:val="22"/>
        </w:rPr>
        <w:t xml:space="preserve"> </w:t>
      </w:r>
      <w:r w:rsidR="00DD78E8" w:rsidRPr="00DD78E8">
        <w:rPr>
          <w:rFonts w:ascii="Garamond" w:hAnsi="Garamond"/>
          <w:sz w:val="22"/>
          <w:szCs w:val="22"/>
        </w:rPr>
        <w:t xml:space="preserve">due </w:t>
      </w:r>
      <w:r w:rsidRPr="00DD78E8">
        <w:rPr>
          <w:rFonts w:ascii="Garamond" w:hAnsi="Garamond"/>
          <w:sz w:val="22"/>
          <w:szCs w:val="22"/>
        </w:rPr>
        <w:t>to change</w:t>
      </w:r>
      <w:r w:rsidR="00DD78E8" w:rsidRPr="00DD78E8">
        <w:rPr>
          <w:rFonts w:ascii="Garamond" w:hAnsi="Garamond"/>
          <w:sz w:val="22"/>
          <w:szCs w:val="22"/>
        </w:rPr>
        <w:t xml:space="preserve"> in customs duty on some products in 2020</w:t>
      </w:r>
      <w:r w:rsidRPr="00DF4AF7">
        <w:rPr>
          <w:rFonts w:ascii="Garamond" w:hAnsi="Garamond"/>
          <w:sz w:val="22"/>
          <w:szCs w:val="22"/>
        </w:rPr>
        <w:t>.</w:t>
      </w:r>
    </w:p>
    <w:p w14:paraId="3CDE5074" w14:textId="77777777" w:rsidR="0003340B" w:rsidRPr="0003340B" w:rsidRDefault="0039351A" w:rsidP="0003340B">
      <w:pPr>
        <w:autoSpaceDE w:val="0"/>
        <w:autoSpaceDN w:val="0"/>
        <w:adjustRightInd w:val="0"/>
        <w:spacing w:after="120" w:line="360" w:lineRule="auto"/>
        <w:jc w:val="both"/>
        <w:rPr>
          <w:rFonts w:ascii="Garamond" w:hAnsi="Garamond"/>
          <w:sz w:val="22"/>
          <w:szCs w:val="22"/>
        </w:rPr>
      </w:pPr>
      <w:r>
        <w:rPr>
          <w:rFonts w:ascii="Garamond" w:hAnsi="Garamond"/>
          <w:sz w:val="22"/>
          <w:szCs w:val="22"/>
        </w:rPr>
        <w:t>In addition to the risks mentioned above, t</w:t>
      </w:r>
      <w:r w:rsidR="0003340B" w:rsidRPr="0003340B">
        <w:rPr>
          <w:rFonts w:ascii="Garamond" w:hAnsi="Garamond"/>
          <w:sz w:val="22"/>
          <w:szCs w:val="22"/>
        </w:rPr>
        <w:t xml:space="preserve">here are </w:t>
      </w:r>
      <w:r>
        <w:rPr>
          <w:rFonts w:ascii="Garamond" w:hAnsi="Garamond"/>
          <w:sz w:val="22"/>
          <w:szCs w:val="22"/>
        </w:rPr>
        <w:t xml:space="preserve">mid-term </w:t>
      </w:r>
      <w:r w:rsidR="00124193" w:rsidRPr="00124193">
        <w:rPr>
          <w:rFonts w:ascii="Garamond" w:hAnsi="Garamond"/>
          <w:sz w:val="22"/>
          <w:szCs w:val="22"/>
        </w:rPr>
        <w:t>risks</w:t>
      </w:r>
      <w:r>
        <w:rPr>
          <w:rFonts w:ascii="Garamond" w:hAnsi="Garamond"/>
          <w:sz w:val="22"/>
          <w:szCs w:val="22"/>
        </w:rPr>
        <w:t xml:space="preserve"> (which are </w:t>
      </w:r>
      <w:r w:rsidR="00124193">
        <w:rPr>
          <w:rFonts w:ascii="Garamond" w:hAnsi="Garamond"/>
          <w:sz w:val="22"/>
          <w:szCs w:val="22"/>
        </w:rPr>
        <w:t>dual-sided</w:t>
      </w:r>
      <w:r>
        <w:rPr>
          <w:rFonts w:ascii="Garamond" w:hAnsi="Garamond"/>
          <w:sz w:val="22"/>
          <w:szCs w:val="22"/>
        </w:rPr>
        <w:t xml:space="preserve"> but upside risks prevail, however) associated with </w:t>
      </w:r>
      <w:r w:rsidR="00124193">
        <w:rPr>
          <w:rFonts w:ascii="Garamond" w:hAnsi="Garamond"/>
          <w:sz w:val="22"/>
          <w:szCs w:val="22"/>
        </w:rPr>
        <w:t xml:space="preserve">potential </w:t>
      </w:r>
      <w:r w:rsidR="00124193" w:rsidRPr="00124193">
        <w:rPr>
          <w:rFonts w:ascii="Garamond" w:hAnsi="Garamond"/>
          <w:sz w:val="22"/>
          <w:szCs w:val="22"/>
        </w:rPr>
        <w:t>economic growth</w:t>
      </w:r>
      <w:r w:rsidR="00124193">
        <w:rPr>
          <w:rFonts w:ascii="Garamond" w:hAnsi="Garamond"/>
          <w:sz w:val="22"/>
          <w:szCs w:val="22"/>
        </w:rPr>
        <w:t>, as follows:</w:t>
      </w:r>
    </w:p>
    <w:p w14:paraId="37C14024" w14:textId="77777777" w:rsidR="0003340B" w:rsidRPr="00E66AD8" w:rsidRDefault="00124193" w:rsidP="00E16BAF">
      <w:pPr>
        <w:pStyle w:val="ListParagraph"/>
        <w:numPr>
          <w:ilvl w:val="0"/>
          <w:numId w:val="7"/>
        </w:numPr>
        <w:autoSpaceDE w:val="0"/>
        <w:autoSpaceDN w:val="0"/>
        <w:adjustRightInd w:val="0"/>
        <w:spacing w:after="120" w:line="360" w:lineRule="auto"/>
        <w:jc w:val="both"/>
        <w:rPr>
          <w:rFonts w:ascii="Garamond" w:hAnsi="Garamond"/>
          <w:sz w:val="22"/>
          <w:szCs w:val="22"/>
        </w:rPr>
      </w:pPr>
      <w:r>
        <w:rPr>
          <w:rFonts w:ascii="Garamond" w:hAnsi="Garamond"/>
          <w:sz w:val="22"/>
          <w:szCs w:val="22"/>
        </w:rPr>
        <w:t>T</w:t>
      </w:r>
      <w:r w:rsidR="00E16BAF" w:rsidRPr="00E16BAF">
        <w:rPr>
          <w:rFonts w:ascii="Garamond" w:hAnsi="Garamond"/>
          <w:sz w:val="22"/>
          <w:szCs w:val="22"/>
        </w:rPr>
        <w:t>he uncertainties associated with fu</w:t>
      </w:r>
      <w:r>
        <w:rPr>
          <w:rFonts w:ascii="Garamond" w:hAnsi="Garamond"/>
          <w:sz w:val="22"/>
          <w:szCs w:val="22"/>
        </w:rPr>
        <w:t xml:space="preserve">rther operating </w:t>
      </w:r>
      <w:r w:rsidR="00E16BAF" w:rsidRPr="00E16BAF">
        <w:rPr>
          <w:rFonts w:ascii="Garamond" w:hAnsi="Garamond"/>
          <w:sz w:val="22"/>
          <w:szCs w:val="22"/>
        </w:rPr>
        <w:t xml:space="preserve">of </w:t>
      </w:r>
      <w:r w:rsidR="00D5545E">
        <w:rPr>
          <w:rFonts w:ascii="Garamond" w:hAnsi="Garamond"/>
          <w:sz w:val="22"/>
          <w:szCs w:val="22"/>
        </w:rPr>
        <w:t>Am</w:t>
      </w:r>
      <w:r>
        <w:rPr>
          <w:rFonts w:ascii="Garamond" w:hAnsi="Garamond"/>
          <w:sz w:val="22"/>
          <w:szCs w:val="22"/>
        </w:rPr>
        <w:t xml:space="preserve">ulsar mine and </w:t>
      </w:r>
      <w:r w:rsidR="00E16BAF" w:rsidRPr="00E16BAF">
        <w:rPr>
          <w:rFonts w:ascii="Garamond" w:hAnsi="Garamond"/>
          <w:sz w:val="22"/>
          <w:szCs w:val="22"/>
        </w:rPr>
        <w:t>Alaverdi copper smelter</w:t>
      </w:r>
      <w:r w:rsidR="0039351A">
        <w:rPr>
          <w:rFonts w:ascii="Garamond" w:hAnsi="Garamond"/>
          <w:sz w:val="22"/>
          <w:szCs w:val="22"/>
        </w:rPr>
        <w:t xml:space="preserve"> (see Box 3)</w:t>
      </w:r>
      <w:r w:rsidR="00E16BAF" w:rsidRPr="00E16BAF">
        <w:rPr>
          <w:rFonts w:ascii="Garamond" w:hAnsi="Garamond"/>
          <w:sz w:val="22"/>
          <w:szCs w:val="22"/>
        </w:rPr>
        <w:t>.</w:t>
      </w:r>
    </w:p>
    <w:p w14:paraId="0BC6824B" w14:textId="77777777" w:rsidR="0003340B" w:rsidRDefault="0003340B" w:rsidP="00E66AD8">
      <w:pPr>
        <w:pStyle w:val="ListParagraph"/>
        <w:numPr>
          <w:ilvl w:val="0"/>
          <w:numId w:val="7"/>
        </w:numPr>
        <w:autoSpaceDE w:val="0"/>
        <w:autoSpaceDN w:val="0"/>
        <w:adjustRightInd w:val="0"/>
        <w:spacing w:after="120" w:line="360" w:lineRule="auto"/>
        <w:jc w:val="both"/>
        <w:rPr>
          <w:rFonts w:ascii="Garamond" w:hAnsi="Garamond"/>
          <w:sz w:val="22"/>
          <w:szCs w:val="22"/>
        </w:rPr>
      </w:pPr>
      <w:r w:rsidRPr="00E66AD8">
        <w:rPr>
          <w:rFonts w:ascii="Garamond" w:hAnsi="Garamond"/>
          <w:sz w:val="22"/>
          <w:szCs w:val="22"/>
        </w:rPr>
        <w:t>In the context of long-term economic growth</w:t>
      </w:r>
      <w:r w:rsidR="00F10FA6">
        <w:rPr>
          <w:rFonts w:ascii="Garamond" w:hAnsi="Garamond"/>
          <w:sz w:val="22"/>
          <w:szCs w:val="22"/>
        </w:rPr>
        <w:t xml:space="preserve"> estimation</w:t>
      </w:r>
      <w:r w:rsidRPr="00E66AD8">
        <w:rPr>
          <w:rFonts w:ascii="Garamond" w:hAnsi="Garamond"/>
          <w:sz w:val="22"/>
          <w:szCs w:val="22"/>
        </w:rPr>
        <w:t xml:space="preserve">, the </w:t>
      </w:r>
      <w:r w:rsidR="00124193">
        <w:rPr>
          <w:rFonts w:ascii="Garamond" w:hAnsi="Garamond"/>
          <w:sz w:val="22"/>
          <w:szCs w:val="22"/>
        </w:rPr>
        <w:t xml:space="preserve">further </w:t>
      </w:r>
      <w:r w:rsidRPr="00E66AD8">
        <w:rPr>
          <w:rFonts w:ascii="Garamond" w:hAnsi="Garamond"/>
          <w:sz w:val="22"/>
          <w:szCs w:val="22"/>
        </w:rPr>
        <w:t xml:space="preserve">course of structural reforms in the economy and </w:t>
      </w:r>
      <w:r w:rsidR="00164956">
        <w:rPr>
          <w:rFonts w:ascii="Garamond" w:hAnsi="Garamond"/>
          <w:sz w:val="22"/>
          <w:szCs w:val="22"/>
        </w:rPr>
        <w:t xml:space="preserve">to which extent </w:t>
      </w:r>
      <w:r w:rsidR="00164956" w:rsidRPr="00EE5F0F">
        <w:rPr>
          <w:rFonts w:ascii="Garamond" w:hAnsi="Garamond"/>
          <w:sz w:val="22"/>
          <w:szCs w:val="22"/>
        </w:rPr>
        <w:t>the</w:t>
      </w:r>
      <w:r w:rsidR="00164956">
        <w:rPr>
          <w:rFonts w:ascii="Garamond" w:hAnsi="Garamond"/>
          <w:sz w:val="22"/>
          <w:szCs w:val="22"/>
        </w:rPr>
        <w:t>y will affect the</w:t>
      </w:r>
      <w:r w:rsidRPr="00E66AD8">
        <w:rPr>
          <w:rFonts w:ascii="Garamond" w:hAnsi="Garamond"/>
          <w:sz w:val="22"/>
          <w:szCs w:val="22"/>
        </w:rPr>
        <w:t xml:space="preserve"> business and investment </w:t>
      </w:r>
      <w:r w:rsidR="00F10FA6">
        <w:rPr>
          <w:rFonts w:ascii="Garamond" w:hAnsi="Garamond"/>
          <w:sz w:val="22"/>
          <w:szCs w:val="22"/>
        </w:rPr>
        <w:t>climate</w:t>
      </w:r>
      <w:r w:rsidRPr="00E66AD8">
        <w:rPr>
          <w:rFonts w:ascii="Garamond" w:hAnsi="Garamond"/>
          <w:sz w:val="22"/>
          <w:szCs w:val="22"/>
        </w:rPr>
        <w:t>.</w:t>
      </w:r>
      <w:r w:rsidR="00F10FA6">
        <w:rPr>
          <w:rFonts w:ascii="Garamond" w:hAnsi="Garamond"/>
          <w:sz w:val="22"/>
          <w:szCs w:val="22"/>
        </w:rPr>
        <w:t xml:space="preserve"> </w:t>
      </w:r>
    </w:p>
    <w:p w14:paraId="59812939" w14:textId="77777777" w:rsidR="00F73ECD" w:rsidRDefault="00F73ECD" w:rsidP="00F73ECD">
      <w:pPr>
        <w:autoSpaceDE w:val="0"/>
        <w:autoSpaceDN w:val="0"/>
        <w:adjustRightInd w:val="0"/>
        <w:spacing w:after="120" w:line="360" w:lineRule="auto"/>
        <w:jc w:val="both"/>
        <w:rPr>
          <w:rFonts w:ascii="Garamond" w:hAnsi="Garamond"/>
          <w:sz w:val="22"/>
          <w:szCs w:val="22"/>
        </w:rPr>
      </w:pPr>
    </w:p>
    <w:tbl>
      <w:tblPr>
        <w:tblStyle w:val="TableGrid"/>
        <w:tblW w:w="0" w:type="auto"/>
        <w:tblLook w:val="04A0" w:firstRow="1" w:lastRow="0" w:firstColumn="1" w:lastColumn="0" w:noHBand="0" w:noVBand="1"/>
      </w:tblPr>
      <w:tblGrid>
        <w:gridCol w:w="9350"/>
      </w:tblGrid>
      <w:tr w:rsidR="00F73ECD" w:rsidRPr="00EE5F0F" w14:paraId="70112425" w14:textId="77777777" w:rsidTr="00DD5090">
        <w:tc>
          <w:tcPr>
            <w:tcW w:w="9350" w:type="dxa"/>
          </w:tcPr>
          <w:p w14:paraId="4B174F77" w14:textId="77777777" w:rsidR="00F73ECD" w:rsidRPr="00CF2C97" w:rsidRDefault="00F73ECD" w:rsidP="00DD5090">
            <w:pPr>
              <w:autoSpaceDE w:val="0"/>
              <w:autoSpaceDN w:val="0"/>
              <w:adjustRightInd w:val="0"/>
              <w:spacing w:after="120" w:line="360" w:lineRule="auto"/>
              <w:jc w:val="both"/>
              <w:rPr>
                <w:rFonts w:ascii="Garamond" w:hAnsi="Garamond"/>
                <w:b/>
                <w:color w:val="0070C0"/>
                <w:sz w:val="21"/>
                <w:szCs w:val="21"/>
              </w:rPr>
            </w:pPr>
            <w:r>
              <w:rPr>
                <w:rFonts w:ascii="Garamond" w:hAnsi="Garamond"/>
                <w:b/>
                <w:color w:val="0070C0"/>
                <w:sz w:val="21"/>
                <w:szCs w:val="21"/>
              </w:rPr>
              <w:t>Box 3</w:t>
            </w:r>
            <w:r w:rsidRPr="00CF2C97">
              <w:rPr>
                <w:rFonts w:ascii="Garamond" w:hAnsi="Garamond"/>
                <w:b/>
                <w:color w:val="0070C0"/>
                <w:sz w:val="21"/>
                <w:szCs w:val="21"/>
              </w:rPr>
              <w:t>:</w:t>
            </w:r>
          </w:p>
          <w:p w14:paraId="58506750" w14:textId="77777777" w:rsidR="00F73ECD" w:rsidRPr="00CF2C97" w:rsidRDefault="00F73ECD" w:rsidP="00DD5090">
            <w:pPr>
              <w:autoSpaceDE w:val="0"/>
              <w:autoSpaceDN w:val="0"/>
              <w:adjustRightInd w:val="0"/>
              <w:spacing w:after="120" w:line="360" w:lineRule="auto"/>
              <w:jc w:val="both"/>
              <w:rPr>
                <w:rFonts w:ascii="Garamond" w:hAnsi="Garamond"/>
                <w:b/>
                <w:color w:val="0070C0"/>
                <w:sz w:val="21"/>
                <w:szCs w:val="21"/>
              </w:rPr>
            </w:pPr>
            <w:r>
              <w:rPr>
                <w:rFonts w:ascii="Garamond" w:hAnsi="Garamond"/>
                <w:b/>
                <w:color w:val="0070C0"/>
                <w:sz w:val="21"/>
                <w:szCs w:val="21"/>
              </w:rPr>
              <w:t>Possible developments in mining and metallurgy branches</w:t>
            </w:r>
          </w:p>
          <w:p w14:paraId="1F985529" w14:textId="77777777" w:rsidR="00F73ECD" w:rsidRPr="00F73ECD" w:rsidRDefault="00F73ECD" w:rsidP="00F73ECD">
            <w:pPr>
              <w:autoSpaceDE w:val="0"/>
              <w:autoSpaceDN w:val="0"/>
              <w:adjustRightInd w:val="0"/>
              <w:spacing w:after="120" w:line="360" w:lineRule="auto"/>
              <w:jc w:val="both"/>
              <w:rPr>
                <w:rFonts w:ascii="Garamond" w:hAnsi="Garamond"/>
                <w:sz w:val="21"/>
                <w:szCs w:val="21"/>
              </w:rPr>
            </w:pPr>
            <w:r w:rsidRPr="00F73ECD">
              <w:rPr>
                <w:rFonts w:ascii="Garamond" w:hAnsi="Garamond"/>
                <w:sz w:val="21"/>
                <w:szCs w:val="21"/>
              </w:rPr>
              <w:t xml:space="preserve">The </w:t>
            </w:r>
            <w:r w:rsidR="0039351A" w:rsidRPr="00F73ECD">
              <w:rPr>
                <w:rFonts w:ascii="Garamond" w:hAnsi="Garamond"/>
                <w:sz w:val="21"/>
                <w:szCs w:val="21"/>
              </w:rPr>
              <w:t xml:space="preserve">results of </w:t>
            </w:r>
            <w:r w:rsidR="0039351A">
              <w:rPr>
                <w:rFonts w:ascii="Garamond" w:hAnsi="Garamond"/>
                <w:sz w:val="21"/>
                <w:szCs w:val="21"/>
              </w:rPr>
              <w:t xml:space="preserve">operation of </w:t>
            </w:r>
            <w:r w:rsidR="00E5159E">
              <w:rPr>
                <w:rFonts w:ascii="Garamond" w:hAnsi="Garamond"/>
                <w:sz w:val="21"/>
                <w:szCs w:val="21"/>
              </w:rPr>
              <w:t>A</w:t>
            </w:r>
            <w:r w:rsidR="00D5545E">
              <w:rPr>
                <w:rFonts w:ascii="Garamond" w:hAnsi="Garamond"/>
                <w:sz w:val="21"/>
                <w:szCs w:val="21"/>
              </w:rPr>
              <w:t>m</w:t>
            </w:r>
            <w:r w:rsidR="00E5159E">
              <w:rPr>
                <w:rFonts w:ascii="Garamond" w:hAnsi="Garamond"/>
                <w:sz w:val="21"/>
                <w:szCs w:val="21"/>
              </w:rPr>
              <w:t xml:space="preserve">ulsar mine, Teghut mine and </w:t>
            </w:r>
            <w:r w:rsidR="0039351A" w:rsidRPr="00F73ECD">
              <w:rPr>
                <w:rFonts w:ascii="Garamond" w:hAnsi="Garamond"/>
                <w:sz w:val="21"/>
                <w:szCs w:val="21"/>
              </w:rPr>
              <w:t xml:space="preserve">Alaverdi copper smelter </w:t>
            </w:r>
            <w:r w:rsidR="00D5545E">
              <w:rPr>
                <w:rFonts w:ascii="Garamond" w:hAnsi="Garamond"/>
                <w:sz w:val="21"/>
                <w:szCs w:val="21"/>
              </w:rPr>
              <w:t xml:space="preserve">are not incorporated in the </w:t>
            </w:r>
            <w:r w:rsidRPr="00F73ECD">
              <w:rPr>
                <w:rFonts w:ascii="Garamond" w:hAnsi="Garamond"/>
                <w:sz w:val="21"/>
                <w:szCs w:val="21"/>
              </w:rPr>
              <w:t>M</w:t>
            </w:r>
            <w:r w:rsidR="0039351A">
              <w:rPr>
                <w:rFonts w:ascii="Garamond" w:hAnsi="Garamond"/>
                <w:sz w:val="21"/>
                <w:szCs w:val="21"/>
              </w:rPr>
              <w:t>P p</w:t>
            </w:r>
            <w:r w:rsidRPr="00F73ECD">
              <w:rPr>
                <w:rFonts w:ascii="Garamond" w:hAnsi="Garamond"/>
                <w:sz w:val="21"/>
                <w:szCs w:val="21"/>
              </w:rPr>
              <w:t xml:space="preserve">rogram as the </w:t>
            </w:r>
            <w:r w:rsidR="00D5545E">
              <w:rPr>
                <w:rFonts w:ascii="Garamond" w:hAnsi="Garamond"/>
                <w:sz w:val="21"/>
                <w:szCs w:val="21"/>
              </w:rPr>
              <w:t>i</w:t>
            </w:r>
            <w:r w:rsidRPr="00F73ECD">
              <w:rPr>
                <w:rFonts w:ascii="Garamond" w:hAnsi="Garamond"/>
                <w:sz w:val="21"/>
                <w:szCs w:val="21"/>
              </w:rPr>
              <w:t xml:space="preserve">nformation </w:t>
            </w:r>
            <w:r w:rsidR="00D5545E">
              <w:rPr>
                <w:rFonts w:ascii="Garamond" w:hAnsi="Garamond"/>
                <w:sz w:val="21"/>
                <w:szCs w:val="21"/>
              </w:rPr>
              <w:t xml:space="preserve">the Central Bank had at the time of preparing the program was </w:t>
            </w:r>
            <w:r w:rsidRPr="00F73ECD">
              <w:rPr>
                <w:rFonts w:ascii="Garamond" w:hAnsi="Garamond"/>
                <w:sz w:val="21"/>
                <w:szCs w:val="21"/>
              </w:rPr>
              <w:t xml:space="preserve">not enough </w:t>
            </w:r>
            <w:r w:rsidR="00D5545E">
              <w:rPr>
                <w:rFonts w:ascii="Garamond" w:hAnsi="Garamond"/>
                <w:sz w:val="21"/>
                <w:szCs w:val="21"/>
              </w:rPr>
              <w:t xml:space="preserve">to make </w:t>
            </w:r>
            <w:r w:rsidRPr="00F73ECD">
              <w:rPr>
                <w:rFonts w:ascii="Garamond" w:hAnsi="Garamond"/>
                <w:sz w:val="21"/>
                <w:szCs w:val="21"/>
              </w:rPr>
              <w:t xml:space="preserve">judgments about </w:t>
            </w:r>
            <w:r w:rsidR="00D5545E">
              <w:rPr>
                <w:rFonts w:ascii="Garamond" w:hAnsi="Garamond"/>
                <w:sz w:val="21"/>
                <w:szCs w:val="21"/>
              </w:rPr>
              <w:t>their</w:t>
            </w:r>
            <w:r w:rsidR="00E75CF0">
              <w:rPr>
                <w:rFonts w:ascii="Garamond" w:hAnsi="Garamond"/>
                <w:sz w:val="21"/>
                <w:szCs w:val="21"/>
              </w:rPr>
              <w:t xml:space="preserve"> further</w:t>
            </w:r>
            <w:r w:rsidR="00D5545E">
              <w:rPr>
                <w:rFonts w:ascii="Garamond" w:hAnsi="Garamond"/>
                <w:sz w:val="21"/>
                <w:szCs w:val="21"/>
              </w:rPr>
              <w:t xml:space="preserve"> </w:t>
            </w:r>
            <w:r w:rsidRPr="00F73ECD">
              <w:rPr>
                <w:rFonts w:ascii="Garamond" w:hAnsi="Garamond"/>
                <w:sz w:val="21"/>
                <w:szCs w:val="21"/>
              </w:rPr>
              <w:t xml:space="preserve">activities. However, given the </w:t>
            </w:r>
            <w:r w:rsidR="00D5545E">
              <w:rPr>
                <w:rFonts w:ascii="Garamond" w:hAnsi="Garamond"/>
                <w:sz w:val="21"/>
                <w:szCs w:val="21"/>
              </w:rPr>
              <w:t xml:space="preserve">potentially </w:t>
            </w:r>
            <w:r w:rsidRPr="00F73ECD">
              <w:rPr>
                <w:rFonts w:ascii="Garamond" w:hAnsi="Garamond"/>
                <w:sz w:val="21"/>
                <w:szCs w:val="21"/>
              </w:rPr>
              <w:t xml:space="preserve">large </w:t>
            </w:r>
            <w:r w:rsidR="00D5545E">
              <w:rPr>
                <w:rFonts w:ascii="Garamond" w:hAnsi="Garamond"/>
                <w:sz w:val="21"/>
                <w:szCs w:val="21"/>
              </w:rPr>
              <w:t xml:space="preserve">output </w:t>
            </w:r>
            <w:r w:rsidRPr="00F73ECD">
              <w:rPr>
                <w:rFonts w:ascii="Garamond" w:hAnsi="Garamond"/>
                <w:sz w:val="21"/>
                <w:szCs w:val="21"/>
              </w:rPr>
              <w:t xml:space="preserve">volumes of these enterprises, the Central Bank </w:t>
            </w:r>
            <w:r w:rsidR="00D5545E">
              <w:rPr>
                <w:rFonts w:ascii="Garamond" w:hAnsi="Garamond"/>
                <w:sz w:val="21"/>
                <w:szCs w:val="21"/>
              </w:rPr>
              <w:t xml:space="preserve">has measured </w:t>
            </w:r>
            <w:r w:rsidRPr="00F73ECD">
              <w:rPr>
                <w:rFonts w:ascii="Garamond" w:hAnsi="Garamond"/>
                <w:sz w:val="21"/>
                <w:szCs w:val="21"/>
              </w:rPr>
              <w:t>the impact</w:t>
            </w:r>
            <w:r w:rsidR="00D5545E">
              <w:rPr>
                <w:rFonts w:ascii="Garamond" w:hAnsi="Garamond"/>
                <w:sz w:val="21"/>
                <w:szCs w:val="21"/>
              </w:rPr>
              <w:t xml:space="preserve"> these companies would directly </w:t>
            </w:r>
            <w:r w:rsidR="00E5159E">
              <w:rPr>
                <w:rFonts w:ascii="Garamond" w:hAnsi="Garamond"/>
                <w:sz w:val="21"/>
                <w:szCs w:val="21"/>
              </w:rPr>
              <w:t xml:space="preserve">have </w:t>
            </w:r>
            <w:r w:rsidRPr="00F73ECD">
              <w:rPr>
                <w:rFonts w:ascii="Garamond" w:hAnsi="Garamond"/>
                <w:sz w:val="21"/>
                <w:szCs w:val="21"/>
              </w:rPr>
              <w:t>on economic growth and export</w:t>
            </w:r>
            <w:r w:rsidR="00D5545E">
              <w:rPr>
                <w:rFonts w:ascii="Garamond" w:hAnsi="Garamond"/>
                <w:sz w:val="21"/>
                <w:szCs w:val="21"/>
              </w:rPr>
              <w:t xml:space="preserve">s, if operated </w:t>
            </w:r>
            <w:r w:rsidR="00E5159E">
              <w:rPr>
                <w:rFonts w:ascii="Garamond" w:hAnsi="Garamond"/>
                <w:sz w:val="21"/>
                <w:szCs w:val="21"/>
              </w:rPr>
              <w:t xml:space="preserve">at </w:t>
            </w:r>
            <w:r w:rsidRPr="00F73ECD">
              <w:rPr>
                <w:rFonts w:ascii="Garamond" w:hAnsi="Garamond"/>
                <w:sz w:val="21"/>
                <w:szCs w:val="21"/>
              </w:rPr>
              <w:t xml:space="preserve">full capacity, based on a number of publications and calculations. Thus, Amulsar mine is expected to export </w:t>
            </w:r>
            <w:r w:rsidR="00E5159E">
              <w:rPr>
                <w:rFonts w:ascii="Garamond" w:hAnsi="Garamond"/>
                <w:sz w:val="21"/>
                <w:szCs w:val="21"/>
              </w:rPr>
              <w:t xml:space="preserve">USD </w:t>
            </w:r>
            <w:r w:rsidRPr="00F73ECD">
              <w:rPr>
                <w:rFonts w:ascii="Garamond" w:hAnsi="Garamond"/>
                <w:sz w:val="21"/>
                <w:szCs w:val="21"/>
              </w:rPr>
              <w:t>286 million</w:t>
            </w:r>
            <w:r w:rsidR="00E5159E">
              <w:rPr>
                <w:rFonts w:ascii="Garamond" w:hAnsi="Garamond"/>
                <w:sz w:val="21"/>
                <w:szCs w:val="21"/>
              </w:rPr>
              <w:t>-worth of gold</w:t>
            </w:r>
            <w:r w:rsidRPr="00F73ECD">
              <w:rPr>
                <w:rFonts w:ascii="Garamond" w:hAnsi="Garamond"/>
                <w:sz w:val="21"/>
                <w:szCs w:val="21"/>
              </w:rPr>
              <w:t xml:space="preserve"> annually</w:t>
            </w:r>
            <w:r w:rsidR="00E5159E">
              <w:rPr>
                <w:rStyle w:val="FootnoteReference"/>
                <w:rFonts w:ascii="Garamond" w:hAnsi="Garamond"/>
                <w:sz w:val="21"/>
                <w:szCs w:val="21"/>
              </w:rPr>
              <w:footnoteReference w:customMarkFollows="1" w:id="11"/>
              <w:t>14</w:t>
            </w:r>
            <w:r w:rsidRPr="00F73ECD">
              <w:rPr>
                <w:rFonts w:ascii="Garamond" w:hAnsi="Garamond"/>
                <w:sz w:val="21"/>
                <w:szCs w:val="21"/>
              </w:rPr>
              <w:t xml:space="preserve"> </w:t>
            </w:r>
            <w:r w:rsidR="00E5159E">
              <w:rPr>
                <w:rFonts w:ascii="Garamond" w:hAnsi="Garamond"/>
                <w:sz w:val="21"/>
                <w:szCs w:val="21"/>
              </w:rPr>
              <w:t>while t</w:t>
            </w:r>
            <w:r w:rsidRPr="00F73ECD">
              <w:rPr>
                <w:rFonts w:ascii="Garamond" w:hAnsi="Garamond"/>
                <w:sz w:val="21"/>
                <w:szCs w:val="21"/>
              </w:rPr>
              <w:t xml:space="preserve">he </w:t>
            </w:r>
            <w:r w:rsidR="00E5159E">
              <w:rPr>
                <w:rFonts w:ascii="Garamond" w:hAnsi="Garamond"/>
                <w:sz w:val="21"/>
                <w:szCs w:val="21"/>
              </w:rPr>
              <w:t xml:space="preserve">figures of actual output from Teghut mine and </w:t>
            </w:r>
            <w:r w:rsidR="00E5159E" w:rsidRPr="00F73ECD">
              <w:rPr>
                <w:rFonts w:ascii="Garamond" w:hAnsi="Garamond"/>
                <w:sz w:val="21"/>
                <w:szCs w:val="21"/>
              </w:rPr>
              <w:t>Alaverdi copper smelter</w:t>
            </w:r>
            <w:r w:rsidR="00E5159E">
              <w:rPr>
                <w:rFonts w:ascii="Garamond" w:hAnsi="Garamond"/>
                <w:sz w:val="21"/>
                <w:szCs w:val="21"/>
              </w:rPr>
              <w:t xml:space="preserve"> based on the </w:t>
            </w:r>
            <w:r w:rsidRPr="00F73ECD">
              <w:rPr>
                <w:rFonts w:ascii="Garamond" w:hAnsi="Garamond"/>
                <w:sz w:val="21"/>
                <w:szCs w:val="21"/>
              </w:rPr>
              <w:t xml:space="preserve">2017 </w:t>
            </w:r>
            <w:r w:rsidR="00E5159E">
              <w:rPr>
                <w:rFonts w:ascii="Garamond" w:hAnsi="Garamond"/>
                <w:sz w:val="21"/>
                <w:szCs w:val="21"/>
              </w:rPr>
              <w:t>activities are a</w:t>
            </w:r>
            <w:r w:rsidRPr="00F73ECD">
              <w:rPr>
                <w:rFonts w:ascii="Garamond" w:hAnsi="Garamond"/>
                <w:sz w:val="21"/>
                <w:szCs w:val="21"/>
              </w:rPr>
              <w:t xml:space="preserve">ssessed </w:t>
            </w:r>
            <w:r w:rsidR="00E5159E">
              <w:rPr>
                <w:rFonts w:ascii="Garamond" w:hAnsi="Garamond"/>
                <w:sz w:val="21"/>
                <w:szCs w:val="21"/>
              </w:rPr>
              <w:t>to amount</w:t>
            </w:r>
            <w:r w:rsidRPr="00F73ECD">
              <w:rPr>
                <w:rFonts w:ascii="Garamond" w:hAnsi="Garamond"/>
                <w:sz w:val="21"/>
                <w:szCs w:val="21"/>
              </w:rPr>
              <w:t xml:space="preserve"> to </w:t>
            </w:r>
            <w:r w:rsidR="00E5159E">
              <w:rPr>
                <w:rFonts w:ascii="Garamond" w:hAnsi="Garamond"/>
                <w:sz w:val="21"/>
                <w:szCs w:val="21"/>
              </w:rPr>
              <w:t xml:space="preserve">AMD </w:t>
            </w:r>
            <w:r w:rsidRPr="00F73ECD">
              <w:rPr>
                <w:rFonts w:ascii="Garamond" w:hAnsi="Garamond"/>
                <w:sz w:val="21"/>
                <w:szCs w:val="21"/>
              </w:rPr>
              <w:t xml:space="preserve">70.1 billion and </w:t>
            </w:r>
            <w:r w:rsidR="00E5159E">
              <w:rPr>
                <w:rFonts w:ascii="Garamond" w:hAnsi="Garamond"/>
                <w:sz w:val="21"/>
                <w:szCs w:val="21"/>
              </w:rPr>
              <w:t xml:space="preserve">AMD </w:t>
            </w:r>
            <w:r w:rsidRPr="00F73ECD">
              <w:rPr>
                <w:rFonts w:ascii="Garamond" w:hAnsi="Garamond"/>
                <w:sz w:val="21"/>
                <w:szCs w:val="21"/>
              </w:rPr>
              <w:t>34.7 billion</w:t>
            </w:r>
            <w:r w:rsidR="00E5159E">
              <w:rPr>
                <w:rFonts w:ascii="Garamond" w:hAnsi="Garamond"/>
                <w:sz w:val="21"/>
                <w:szCs w:val="21"/>
              </w:rPr>
              <w:t>, respectively</w:t>
            </w:r>
            <w:r w:rsidR="00DD5090">
              <w:rPr>
                <w:rStyle w:val="FootnoteReference"/>
                <w:rFonts w:ascii="Garamond" w:hAnsi="Garamond"/>
                <w:sz w:val="21"/>
                <w:szCs w:val="21"/>
              </w:rPr>
              <w:footnoteReference w:customMarkFollows="1" w:id="12"/>
              <w:t>15</w:t>
            </w:r>
            <w:r w:rsidRPr="00F73ECD">
              <w:rPr>
                <w:rFonts w:ascii="Garamond" w:hAnsi="Garamond"/>
                <w:sz w:val="21"/>
                <w:szCs w:val="21"/>
              </w:rPr>
              <w:t xml:space="preserve">. There is a chart of economic growth probability distribution </w:t>
            </w:r>
            <w:r w:rsidR="0019052E">
              <w:rPr>
                <w:rFonts w:ascii="Garamond" w:hAnsi="Garamond"/>
                <w:sz w:val="21"/>
                <w:szCs w:val="21"/>
              </w:rPr>
              <w:t xml:space="preserve">which has two scenarios (baseline and alternative) on the premise that </w:t>
            </w:r>
            <w:r w:rsidRPr="00F73ECD">
              <w:rPr>
                <w:rFonts w:ascii="Garamond" w:hAnsi="Garamond"/>
                <w:sz w:val="21"/>
                <w:szCs w:val="21"/>
              </w:rPr>
              <w:t xml:space="preserve">the three companies </w:t>
            </w:r>
            <w:r w:rsidR="0019052E">
              <w:rPr>
                <w:rFonts w:ascii="Garamond" w:hAnsi="Garamond"/>
                <w:sz w:val="21"/>
                <w:szCs w:val="21"/>
              </w:rPr>
              <w:t>start operating</w:t>
            </w:r>
            <w:r w:rsidRPr="00F73ECD">
              <w:rPr>
                <w:rFonts w:ascii="Garamond" w:hAnsi="Garamond"/>
                <w:sz w:val="21"/>
                <w:szCs w:val="21"/>
              </w:rPr>
              <w:t xml:space="preserve"> from the third quarter of 2019.</w:t>
            </w:r>
          </w:p>
          <w:p w14:paraId="3207CB5B" w14:textId="71C9CE0C" w:rsidR="00F73ECD" w:rsidRPr="00EE5F0F" w:rsidRDefault="00F73ECD" w:rsidP="009161BF">
            <w:pPr>
              <w:autoSpaceDE w:val="0"/>
              <w:autoSpaceDN w:val="0"/>
              <w:adjustRightInd w:val="0"/>
              <w:spacing w:after="120" w:line="360" w:lineRule="auto"/>
              <w:jc w:val="both"/>
              <w:rPr>
                <w:rFonts w:ascii="Garamond" w:hAnsi="Garamond"/>
                <w:b/>
                <w:color w:val="0070C0"/>
                <w:sz w:val="22"/>
                <w:szCs w:val="22"/>
              </w:rPr>
            </w:pPr>
            <w:r w:rsidRPr="00F73ECD">
              <w:rPr>
                <w:rFonts w:ascii="Garamond" w:hAnsi="Garamond"/>
                <w:sz w:val="21"/>
                <w:szCs w:val="21"/>
              </w:rPr>
              <w:t>It should be noted that the GDP gap, which is the difference between</w:t>
            </w:r>
            <w:r w:rsidR="0019052E">
              <w:rPr>
                <w:rFonts w:ascii="Garamond" w:hAnsi="Garamond"/>
                <w:sz w:val="21"/>
                <w:szCs w:val="21"/>
              </w:rPr>
              <w:t xml:space="preserve"> the</w:t>
            </w:r>
            <w:r w:rsidRPr="00F73ECD">
              <w:rPr>
                <w:rFonts w:ascii="Garamond" w:hAnsi="Garamond"/>
                <w:sz w:val="21"/>
                <w:szCs w:val="21"/>
              </w:rPr>
              <w:t xml:space="preserve"> actual and potential GDP</w:t>
            </w:r>
            <w:r w:rsidR="00037AE4">
              <w:rPr>
                <w:rStyle w:val="FootnoteReference"/>
                <w:rFonts w:ascii="Garamond" w:hAnsi="Garamond"/>
                <w:sz w:val="21"/>
                <w:szCs w:val="21"/>
              </w:rPr>
              <w:footnoteReference w:customMarkFollows="1" w:id="13"/>
              <w:t>17</w:t>
            </w:r>
            <w:r w:rsidRPr="00F73ECD">
              <w:rPr>
                <w:rFonts w:ascii="Garamond" w:hAnsi="Garamond"/>
                <w:sz w:val="21"/>
                <w:szCs w:val="21"/>
              </w:rPr>
              <w:t xml:space="preserve"> and </w:t>
            </w:r>
            <w:r w:rsidR="0019052E">
              <w:rPr>
                <w:rFonts w:ascii="Garamond" w:hAnsi="Garamond"/>
                <w:sz w:val="21"/>
                <w:szCs w:val="21"/>
              </w:rPr>
              <w:t xml:space="preserve">denotes if the demand is </w:t>
            </w:r>
            <w:r w:rsidRPr="00F73ECD">
              <w:rPr>
                <w:rFonts w:ascii="Garamond" w:hAnsi="Garamond"/>
                <w:sz w:val="21"/>
                <w:szCs w:val="21"/>
              </w:rPr>
              <w:t xml:space="preserve">weak or strong, </w:t>
            </w:r>
            <w:r w:rsidR="0019052E">
              <w:rPr>
                <w:rFonts w:ascii="Garamond" w:hAnsi="Garamond"/>
                <w:sz w:val="21"/>
                <w:szCs w:val="21"/>
              </w:rPr>
              <w:t>is important in the monetary policy point of view.</w:t>
            </w:r>
            <w:r w:rsidR="009161BF">
              <w:rPr>
                <w:rFonts w:ascii="Garamond" w:hAnsi="Garamond"/>
                <w:sz w:val="21"/>
                <w:szCs w:val="21"/>
              </w:rPr>
              <w:t xml:space="preserve"> According to Central Bank estimations</w:t>
            </w:r>
            <w:r w:rsidR="0019052E">
              <w:rPr>
                <w:rFonts w:ascii="Garamond" w:hAnsi="Garamond"/>
                <w:sz w:val="21"/>
                <w:szCs w:val="21"/>
              </w:rPr>
              <w:t xml:space="preserve"> </w:t>
            </w:r>
            <w:r w:rsidR="009161BF">
              <w:rPr>
                <w:rFonts w:ascii="Garamond" w:hAnsi="Garamond"/>
                <w:sz w:val="21"/>
                <w:szCs w:val="21"/>
              </w:rPr>
              <w:t xml:space="preserve">if </w:t>
            </w:r>
            <w:r w:rsidRPr="00F73ECD">
              <w:rPr>
                <w:rFonts w:ascii="Garamond" w:hAnsi="Garamond"/>
                <w:sz w:val="21"/>
                <w:szCs w:val="21"/>
              </w:rPr>
              <w:t xml:space="preserve">the above risks </w:t>
            </w:r>
            <w:r w:rsidR="00037AE4">
              <w:rPr>
                <w:rFonts w:ascii="Garamond" w:hAnsi="Garamond"/>
                <w:sz w:val="21"/>
                <w:szCs w:val="21"/>
              </w:rPr>
              <w:t>materialize, no</w:t>
            </w:r>
            <w:r w:rsidRPr="00F73ECD">
              <w:rPr>
                <w:rFonts w:ascii="Garamond" w:hAnsi="Garamond"/>
                <w:sz w:val="21"/>
                <w:szCs w:val="21"/>
              </w:rPr>
              <w:t xml:space="preserve"> significant changes in </w:t>
            </w:r>
            <w:r w:rsidR="00037AE4">
              <w:rPr>
                <w:rFonts w:ascii="Garamond" w:hAnsi="Garamond"/>
                <w:sz w:val="21"/>
                <w:szCs w:val="21"/>
              </w:rPr>
              <w:t xml:space="preserve">the </w:t>
            </w:r>
            <w:r w:rsidRPr="00F73ECD">
              <w:rPr>
                <w:rFonts w:ascii="Garamond" w:hAnsi="Garamond"/>
                <w:sz w:val="21"/>
                <w:szCs w:val="21"/>
              </w:rPr>
              <w:t xml:space="preserve">GDP </w:t>
            </w:r>
            <w:r w:rsidR="00037AE4">
              <w:rPr>
                <w:rFonts w:ascii="Garamond" w:hAnsi="Garamond"/>
                <w:sz w:val="21"/>
                <w:szCs w:val="21"/>
              </w:rPr>
              <w:t xml:space="preserve">gap will take place, since these lead </w:t>
            </w:r>
            <w:r w:rsidRPr="00F73ECD">
              <w:rPr>
                <w:rFonts w:ascii="Garamond" w:hAnsi="Garamond"/>
                <w:sz w:val="21"/>
                <w:szCs w:val="21"/>
              </w:rPr>
              <w:t xml:space="preserve">to both </w:t>
            </w:r>
            <w:r w:rsidR="00037AE4">
              <w:rPr>
                <w:rFonts w:ascii="Garamond" w:hAnsi="Garamond"/>
                <w:sz w:val="21"/>
                <w:szCs w:val="21"/>
              </w:rPr>
              <w:t xml:space="preserve">the </w:t>
            </w:r>
            <w:r w:rsidRPr="00F73ECD">
              <w:rPr>
                <w:rFonts w:ascii="Garamond" w:hAnsi="Garamond"/>
                <w:sz w:val="21"/>
                <w:szCs w:val="21"/>
              </w:rPr>
              <w:t xml:space="preserve">GDP growth and </w:t>
            </w:r>
            <w:r w:rsidR="00542F22">
              <w:rPr>
                <w:rFonts w:ascii="Garamond" w:hAnsi="Garamond"/>
                <w:sz w:val="21"/>
                <w:szCs w:val="21"/>
              </w:rPr>
              <w:t xml:space="preserve">potential </w:t>
            </w:r>
            <w:r w:rsidRPr="00F73ECD">
              <w:rPr>
                <w:rFonts w:ascii="Garamond" w:hAnsi="Garamond"/>
                <w:sz w:val="21"/>
                <w:szCs w:val="21"/>
              </w:rPr>
              <w:t>GDP growth at the same time</w:t>
            </w:r>
            <w:r w:rsidR="00542F22">
              <w:rPr>
                <w:rStyle w:val="FootnoteReference"/>
                <w:rFonts w:ascii="Garamond" w:hAnsi="Garamond"/>
                <w:sz w:val="21"/>
                <w:szCs w:val="21"/>
              </w:rPr>
              <w:footnoteReference w:customMarkFollows="1" w:id="14"/>
              <w:t>18</w:t>
            </w:r>
            <w:r w:rsidRPr="00F73ECD">
              <w:rPr>
                <w:rFonts w:ascii="Garamond" w:hAnsi="Garamond"/>
                <w:sz w:val="21"/>
                <w:szCs w:val="21"/>
              </w:rPr>
              <w:t>.</w:t>
            </w:r>
            <w:r w:rsidR="0019052E">
              <w:rPr>
                <w:rFonts w:ascii="Garamond" w:hAnsi="Garamond"/>
                <w:sz w:val="21"/>
                <w:szCs w:val="21"/>
              </w:rPr>
              <w:t xml:space="preserve"> </w:t>
            </w:r>
          </w:p>
        </w:tc>
      </w:tr>
    </w:tbl>
    <w:p w14:paraId="5CA48139" w14:textId="77777777" w:rsidR="00037AE4" w:rsidRPr="00EE5F0F" w:rsidRDefault="00037AE4" w:rsidP="00037AE4">
      <w:pPr>
        <w:autoSpaceDE w:val="0"/>
        <w:autoSpaceDN w:val="0"/>
        <w:adjustRightInd w:val="0"/>
        <w:spacing w:after="120" w:line="360" w:lineRule="auto"/>
        <w:jc w:val="both"/>
        <w:rPr>
          <w:rFonts w:ascii="Garamond" w:hAnsi="Garamond"/>
          <w:sz w:val="22"/>
          <w:szCs w:val="22"/>
        </w:rPr>
      </w:pPr>
    </w:p>
    <w:tbl>
      <w:tblPr>
        <w:tblStyle w:val="TableGrid"/>
        <w:tblW w:w="0" w:type="auto"/>
        <w:tblLook w:val="04A0" w:firstRow="1" w:lastRow="0" w:firstColumn="1" w:lastColumn="0" w:noHBand="0" w:noVBand="1"/>
      </w:tblPr>
      <w:tblGrid>
        <w:gridCol w:w="9350"/>
      </w:tblGrid>
      <w:tr w:rsidR="00037AE4" w:rsidRPr="003720FB" w14:paraId="0E64A6B0" w14:textId="77777777" w:rsidTr="000D538D">
        <w:trPr>
          <w:trHeight w:val="335"/>
        </w:trPr>
        <w:tc>
          <w:tcPr>
            <w:tcW w:w="9576" w:type="dxa"/>
          </w:tcPr>
          <w:p w14:paraId="2DFE4332" w14:textId="77777777" w:rsidR="00037AE4" w:rsidRPr="003720FB" w:rsidRDefault="00037AE4" w:rsidP="00037AE4">
            <w:pPr>
              <w:autoSpaceDE w:val="0"/>
              <w:autoSpaceDN w:val="0"/>
              <w:adjustRightInd w:val="0"/>
              <w:spacing w:after="120" w:line="360" w:lineRule="auto"/>
              <w:jc w:val="both"/>
              <w:rPr>
                <w:rFonts w:ascii="Garamond" w:hAnsi="Garamond"/>
                <w:b/>
                <w:color w:val="FF0000"/>
                <w:sz w:val="18"/>
                <w:szCs w:val="18"/>
              </w:rPr>
            </w:pPr>
            <w:r>
              <w:rPr>
                <w:rFonts w:ascii="Garamond" w:hAnsi="Garamond"/>
                <w:b/>
                <w:color w:val="FF0000"/>
                <w:sz w:val="18"/>
                <w:szCs w:val="18"/>
              </w:rPr>
              <w:t>Footnote 16</w:t>
            </w:r>
            <w:r w:rsidRPr="003720FB">
              <w:rPr>
                <w:rFonts w:ascii="Garamond" w:hAnsi="Garamond"/>
                <w:b/>
                <w:color w:val="FF0000"/>
                <w:sz w:val="18"/>
                <w:szCs w:val="18"/>
              </w:rPr>
              <w:t xml:space="preserve">. </w:t>
            </w:r>
            <w:r w:rsidRPr="00DD0E48">
              <w:rPr>
                <w:rFonts w:ascii="Garamond" w:hAnsi="Garamond"/>
                <w:sz w:val="18"/>
                <w:szCs w:val="18"/>
              </w:rPr>
              <w:t>The growth rate of each quarter is calculated as the cumulative growth rate for the last four quarters.</w:t>
            </w:r>
          </w:p>
        </w:tc>
      </w:tr>
    </w:tbl>
    <w:p w14:paraId="465B7964" w14:textId="77777777" w:rsidR="00037AE4" w:rsidRDefault="00037AE4" w:rsidP="00933B63">
      <w:pPr>
        <w:autoSpaceDE w:val="0"/>
        <w:autoSpaceDN w:val="0"/>
        <w:adjustRightInd w:val="0"/>
        <w:spacing w:after="120" w:line="360" w:lineRule="auto"/>
        <w:jc w:val="both"/>
        <w:rPr>
          <w:rFonts w:ascii="Garamond" w:hAnsi="Garamond"/>
          <w:b/>
          <w:color w:val="0070C0"/>
          <w:sz w:val="22"/>
          <w:szCs w:val="22"/>
        </w:rPr>
      </w:pPr>
    </w:p>
    <w:p w14:paraId="3E4CC7CC" w14:textId="77777777" w:rsidR="00933B63" w:rsidRPr="00EE5F0F" w:rsidRDefault="00933B63" w:rsidP="00933B63">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 ACTUAL DEVELOPMENTS IN Q</w:t>
      </w:r>
      <w:r w:rsidR="00542F22">
        <w:rPr>
          <w:rFonts w:ascii="Garamond" w:hAnsi="Garamond"/>
          <w:b/>
          <w:color w:val="0070C0"/>
          <w:sz w:val="22"/>
          <w:szCs w:val="22"/>
        </w:rPr>
        <w:t>1</w:t>
      </w:r>
      <w:r w:rsidRPr="00EE5F0F">
        <w:rPr>
          <w:rFonts w:ascii="Garamond" w:hAnsi="Garamond"/>
          <w:b/>
          <w:color w:val="0070C0"/>
          <w:sz w:val="22"/>
          <w:szCs w:val="22"/>
        </w:rPr>
        <w:t>, 201</w:t>
      </w:r>
      <w:r w:rsidR="00542F22">
        <w:rPr>
          <w:rFonts w:ascii="Garamond" w:hAnsi="Garamond"/>
          <w:b/>
          <w:color w:val="0070C0"/>
          <w:sz w:val="22"/>
          <w:szCs w:val="22"/>
        </w:rPr>
        <w:t>9</w:t>
      </w:r>
    </w:p>
    <w:p w14:paraId="2299A81D" w14:textId="77777777" w:rsidR="00933B63" w:rsidRPr="00EE5F0F" w:rsidRDefault="00933B63" w:rsidP="00933B63">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3.1. Inflation</w:t>
      </w:r>
    </w:p>
    <w:p w14:paraId="7BD3338D" w14:textId="77777777" w:rsidR="00933B63" w:rsidRPr="00EE5F0F" w:rsidRDefault="00933B63" w:rsidP="00933B63">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3.1.1. Fulfilment of the inflation target</w:t>
      </w:r>
    </w:p>
    <w:p w14:paraId="706DB250" w14:textId="77777777" w:rsidR="006F2DA8" w:rsidRPr="00924A9E" w:rsidRDefault="004A1A32" w:rsidP="00933B63">
      <w:pPr>
        <w:autoSpaceDE w:val="0"/>
        <w:autoSpaceDN w:val="0"/>
        <w:adjustRightInd w:val="0"/>
        <w:spacing w:after="120" w:line="360" w:lineRule="auto"/>
        <w:jc w:val="both"/>
        <w:rPr>
          <w:rFonts w:ascii="Garamond" w:hAnsi="Garamond"/>
          <w:b/>
          <w:sz w:val="22"/>
          <w:szCs w:val="22"/>
        </w:rPr>
      </w:pPr>
      <w:r w:rsidRPr="004A1A32">
        <w:rPr>
          <w:rFonts w:ascii="Garamond" w:hAnsi="Garamond"/>
          <w:sz w:val="22"/>
          <w:szCs w:val="22"/>
        </w:rPr>
        <w:t xml:space="preserve">For a 1-year horizon </w:t>
      </w:r>
      <w:r w:rsidR="00FE7435" w:rsidRPr="004A1A32">
        <w:rPr>
          <w:rFonts w:ascii="Garamond" w:hAnsi="Garamond"/>
          <w:sz w:val="22"/>
          <w:szCs w:val="22"/>
        </w:rPr>
        <w:t>preceding</w:t>
      </w:r>
      <w:r w:rsidR="00530CFA" w:rsidRPr="004A1A32">
        <w:rPr>
          <w:rFonts w:ascii="Garamond" w:hAnsi="Garamond"/>
          <w:sz w:val="22"/>
          <w:szCs w:val="22"/>
        </w:rPr>
        <w:t xml:space="preserve"> </w:t>
      </w:r>
      <w:r w:rsidRPr="004A1A32">
        <w:rPr>
          <w:rFonts w:ascii="Garamond" w:hAnsi="Garamond"/>
          <w:sz w:val="22"/>
          <w:szCs w:val="22"/>
        </w:rPr>
        <w:t>the second quarter of 2019, t</w:t>
      </w:r>
      <w:r w:rsidR="00A6694B" w:rsidRPr="004A1A32">
        <w:rPr>
          <w:rFonts w:ascii="Garamond" w:hAnsi="Garamond"/>
          <w:sz w:val="22"/>
          <w:szCs w:val="22"/>
        </w:rPr>
        <w:t xml:space="preserve">he </w:t>
      </w:r>
      <w:r w:rsidR="00146A2B" w:rsidRPr="004A1A32">
        <w:rPr>
          <w:rFonts w:ascii="Garamond" w:hAnsi="Garamond"/>
          <w:sz w:val="22"/>
          <w:szCs w:val="22"/>
        </w:rPr>
        <w:t>inflation environment</w:t>
      </w:r>
      <w:r>
        <w:rPr>
          <w:rFonts w:ascii="Garamond" w:hAnsi="Garamond"/>
          <w:sz w:val="22"/>
          <w:szCs w:val="22"/>
        </w:rPr>
        <w:t>,</w:t>
      </w:r>
      <w:r w:rsidR="00146A2B" w:rsidRPr="004A1A32">
        <w:rPr>
          <w:rFonts w:ascii="Garamond" w:hAnsi="Garamond"/>
          <w:sz w:val="22"/>
          <w:szCs w:val="22"/>
        </w:rPr>
        <w:t xml:space="preserve"> </w:t>
      </w:r>
      <w:r>
        <w:rPr>
          <w:rFonts w:ascii="Garamond" w:hAnsi="Garamond"/>
          <w:sz w:val="22"/>
          <w:szCs w:val="22"/>
        </w:rPr>
        <w:t xml:space="preserve">low at the time, </w:t>
      </w:r>
      <w:r w:rsidR="00146A2B" w:rsidRPr="004A1A32">
        <w:rPr>
          <w:rFonts w:ascii="Garamond" w:hAnsi="Garamond"/>
          <w:sz w:val="22"/>
          <w:szCs w:val="22"/>
        </w:rPr>
        <w:t>w</w:t>
      </w:r>
      <w:r>
        <w:rPr>
          <w:rFonts w:ascii="Garamond" w:hAnsi="Garamond"/>
          <w:sz w:val="22"/>
          <w:szCs w:val="22"/>
        </w:rPr>
        <w:t xml:space="preserve">as to expand gradually according to Q2, 2018 MP program, which would be </w:t>
      </w:r>
      <w:r w:rsidR="00773681">
        <w:rPr>
          <w:rFonts w:ascii="Garamond" w:hAnsi="Garamond"/>
          <w:sz w:val="22"/>
          <w:szCs w:val="22"/>
        </w:rPr>
        <w:t xml:space="preserve">fuelled by </w:t>
      </w:r>
      <w:r>
        <w:rPr>
          <w:rFonts w:ascii="Garamond" w:hAnsi="Garamond"/>
          <w:sz w:val="22"/>
          <w:szCs w:val="22"/>
        </w:rPr>
        <w:t>positive developments</w:t>
      </w:r>
      <w:r w:rsidR="00773681">
        <w:rPr>
          <w:rFonts w:ascii="Garamond" w:hAnsi="Garamond"/>
          <w:sz w:val="22"/>
          <w:szCs w:val="22"/>
        </w:rPr>
        <w:t xml:space="preserve"> </w:t>
      </w:r>
      <w:r w:rsidR="00791CC6">
        <w:rPr>
          <w:rFonts w:ascii="Garamond" w:hAnsi="Garamond"/>
          <w:sz w:val="22"/>
          <w:szCs w:val="22"/>
        </w:rPr>
        <w:t>thanks to a</w:t>
      </w:r>
      <w:r>
        <w:rPr>
          <w:rFonts w:ascii="Garamond" w:hAnsi="Garamond"/>
          <w:sz w:val="22"/>
          <w:szCs w:val="22"/>
        </w:rPr>
        <w:t xml:space="preserve">n expansionary monetary policy </w:t>
      </w:r>
      <w:r w:rsidR="00791CC6">
        <w:rPr>
          <w:rFonts w:ascii="Garamond" w:hAnsi="Garamond"/>
          <w:sz w:val="22"/>
          <w:szCs w:val="22"/>
        </w:rPr>
        <w:t xml:space="preserve">and in anticipation of effects from </w:t>
      </w:r>
      <w:r w:rsidR="00773681" w:rsidRPr="00773681">
        <w:rPr>
          <w:rFonts w:ascii="Garamond" w:hAnsi="Garamond"/>
          <w:sz w:val="22"/>
          <w:szCs w:val="22"/>
        </w:rPr>
        <w:t>continued recovery in demand</w:t>
      </w:r>
      <w:r w:rsidR="00791CC6">
        <w:rPr>
          <w:rFonts w:ascii="Garamond" w:hAnsi="Garamond"/>
          <w:sz w:val="22"/>
          <w:szCs w:val="22"/>
        </w:rPr>
        <w:t xml:space="preserve"> in the external sector. T</w:t>
      </w:r>
      <w:r w:rsidR="00791CC6" w:rsidRPr="00791CC6">
        <w:rPr>
          <w:rFonts w:ascii="Garamond" w:hAnsi="Garamond"/>
          <w:sz w:val="22"/>
          <w:szCs w:val="22"/>
        </w:rPr>
        <w:t xml:space="preserve">o </w:t>
      </w:r>
      <w:r w:rsidR="00E42369">
        <w:rPr>
          <w:rFonts w:ascii="Garamond" w:hAnsi="Garamond"/>
          <w:sz w:val="22"/>
          <w:szCs w:val="22"/>
        </w:rPr>
        <w:t xml:space="preserve">facilitate a </w:t>
      </w:r>
      <w:r w:rsidR="00791CC6">
        <w:rPr>
          <w:rFonts w:ascii="Garamond" w:hAnsi="Garamond"/>
          <w:sz w:val="22"/>
          <w:szCs w:val="22"/>
        </w:rPr>
        <w:t>sustained recovery of domestic demand, an expansionary stance of the m</w:t>
      </w:r>
      <w:r w:rsidR="00E42369">
        <w:rPr>
          <w:rFonts w:ascii="Garamond" w:hAnsi="Garamond"/>
          <w:sz w:val="22"/>
          <w:szCs w:val="22"/>
        </w:rPr>
        <w:t>onetary policy was still needed, which would only phase out in concurrence with restoring</w:t>
      </w:r>
      <w:r w:rsidR="00791CC6" w:rsidRPr="00791CC6">
        <w:rPr>
          <w:rFonts w:ascii="Garamond" w:hAnsi="Garamond"/>
          <w:sz w:val="22"/>
          <w:szCs w:val="22"/>
        </w:rPr>
        <w:t xml:space="preserve"> inflation, </w:t>
      </w:r>
      <w:r w:rsidR="00E42369">
        <w:rPr>
          <w:rFonts w:ascii="Garamond" w:hAnsi="Garamond"/>
          <w:sz w:val="22"/>
          <w:szCs w:val="22"/>
        </w:rPr>
        <w:t xml:space="preserve">while fulfilling the goal of </w:t>
      </w:r>
      <w:r w:rsidR="00791CC6" w:rsidRPr="00791CC6">
        <w:rPr>
          <w:rFonts w:ascii="Garamond" w:hAnsi="Garamond"/>
          <w:sz w:val="22"/>
          <w:szCs w:val="22"/>
        </w:rPr>
        <w:t>price stability.</w:t>
      </w:r>
      <w:r w:rsidR="00E42369">
        <w:rPr>
          <w:rFonts w:ascii="Garamond" w:hAnsi="Garamond"/>
          <w:sz w:val="22"/>
          <w:szCs w:val="22"/>
        </w:rPr>
        <w:t xml:space="preserve"> </w:t>
      </w:r>
    </w:p>
    <w:p w14:paraId="3B5E9E46" w14:textId="77777777" w:rsidR="00E52EA2" w:rsidRDefault="00E42369" w:rsidP="00E55655">
      <w:pPr>
        <w:autoSpaceDE w:val="0"/>
        <w:autoSpaceDN w:val="0"/>
        <w:adjustRightInd w:val="0"/>
        <w:spacing w:after="120" w:line="360" w:lineRule="auto"/>
        <w:jc w:val="both"/>
        <w:rPr>
          <w:rFonts w:ascii="Garamond" w:hAnsi="Garamond"/>
          <w:sz w:val="22"/>
          <w:szCs w:val="22"/>
        </w:rPr>
      </w:pPr>
      <w:r>
        <w:rPr>
          <w:rFonts w:ascii="Garamond" w:hAnsi="Garamond"/>
          <w:sz w:val="22"/>
          <w:szCs w:val="22"/>
        </w:rPr>
        <w:t>A</w:t>
      </w:r>
      <w:r w:rsidR="006428B8" w:rsidRPr="006428B8">
        <w:rPr>
          <w:rFonts w:ascii="Garamond" w:hAnsi="Garamond"/>
          <w:sz w:val="22"/>
          <w:szCs w:val="22"/>
        </w:rPr>
        <w:t xml:space="preserve">ctual </w:t>
      </w:r>
      <w:r>
        <w:rPr>
          <w:rFonts w:ascii="Garamond" w:hAnsi="Garamond"/>
          <w:sz w:val="22"/>
          <w:szCs w:val="22"/>
        </w:rPr>
        <w:t xml:space="preserve">inflation </w:t>
      </w:r>
      <w:r w:rsidR="006428B8" w:rsidRPr="006428B8">
        <w:rPr>
          <w:rFonts w:ascii="Garamond" w:hAnsi="Garamond"/>
          <w:sz w:val="22"/>
          <w:szCs w:val="22"/>
        </w:rPr>
        <w:t xml:space="preserve">developments </w:t>
      </w:r>
      <w:r>
        <w:rPr>
          <w:rFonts w:ascii="Garamond" w:hAnsi="Garamond"/>
          <w:sz w:val="22"/>
          <w:szCs w:val="22"/>
        </w:rPr>
        <w:t>of the time have somewhat deviated from the scenario</w:t>
      </w:r>
      <w:r w:rsidR="00492A4E">
        <w:rPr>
          <w:rFonts w:ascii="Garamond" w:hAnsi="Garamond"/>
          <w:sz w:val="22"/>
          <w:szCs w:val="22"/>
        </w:rPr>
        <w:t>,</w:t>
      </w:r>
      <w:r>
        <w:rPr>
          <w:rFonts w:ascii="Garamond" w:hAnsi="Garamond"/>
          <w:sz w:val="22"/>
          <w:szCs w:val="22"/>
        </w:rPr>
        <w:t xml:space="preserve"> as</w:t>
      </w:r>
      <w:r w:rsidR="00492A4E" w:rsidRPr="00492A4E">
        <w:rPr>
          <w:rFonts w:ascii="Garamond" w:hAnsi="Garamond"/>
          <w:sz w:val="22"/>
          <w:szCs w:val="22"/>
        </w:rPr>
        <w:t xml:space="preserve"> </w:t>
      </w:r>
      <w:r w:rsidR="00492A4E">
        <w:rPr>
          <w:rFonts w:ascii="Garamond" w:hAnsi="Garamond"/>
          <w:sz w:val="22"/>
          <w:szCs w:val="22"/>
        </w:rPr>
        <w:t xml:space="preserve">the implemented </w:t>
      </w:r>
      <w:r w:rsidR="00492A4E" w:rsidRPr="00E42369">
        <w:rPr>
          <w:rFonts w:ascii="Garamond" w:hAnsi="Garamond"/>
          <w:sz w:val="22"/>
          <w:szCs w:val="22"/>
        </w:rPr>
        <w:t>fiscal policy</w:t>
      </w:r>
      <w:r w:rsidR="00492A4E">
        <w:rPr>
          <w:rFonts w:ascii="Garamond" w:hAnsi="Garamond"/>
          <w:sz w:val="22"/>
          <w:szCs w:val="22"/>
        </w:rPr>
        <w:t xml:space="preserve"> f</w:t>
      </w:r>
      <w:r>
        <w:rPr>
          <w:rFonts w:ascii="Garamond" w:hAnsi="Garamond"/>
          <w:sz w:val="22"/>
          <w:szCs w:val="22"/>
        </w:rPr>
        <w:t>ollowing t</w:t>
      </w:r>
      <w:r w:rsidRPr="00E42369">
        <w:rPr>
          <w:rFonts w:ascii="Garamond" w:hAnsi="Garamond"/>
          <w:sz w:val="22"/>
          <w:szCs w:val="22"/>
        </w:rPr>
        <w:t>he political events in Armenia</w:t>
      </w:r>
      <w:r w:rsidR="00492A4E">
        <w:rPr>
          <w:rFonts w:ascii="Garamond" w:hAnsi="Garamond"/>
          <w:sz w:val="22"/>
          <w:szCs w:val="22"/>
        </w:rPr>
        <w:t xml:space="preserve"> since the second quarter of 2018 proved more contractionary</w:t>
      </w:r>
      <w:r>
        <w:rPr>
          <w:rFonts w:ascii="Garamond" w:hAnsi="Garamond"/>
          <w:sz w:val="22"/>
          <w:szCs w:val="22"/>
        </w:rPr>
        <w:t>,</w:t>
      </w:r>
      <w:r w:rsidR="00492A4E">
        <w:rPr>
          <w:rFonts w:ascii="Garamond" w:hAnsi="Garamond"/>
          <w:sz w:val="22"/>
          <w:szCs w:val="22"/>
        </w:rPr>
        <w:t xml:space="preserve"> causing </w:t>
      </w:r>
      <w:r w:rsidRPr="00E42369">
        <w:rPr>
          <w:rFonts w:ascii="Garamond" w:hAnsi="Garamond"/>
          <w:sz w:val="22"/>
          <w:szCs w:val="22"/>
        </w:rPr>
        <w:t>domestic demand</w:t>
      </w:r>
      <w:r w:rsidR="00492A4E">
        <w:rPr>
          <w:rFonts w:ascii="Garamond" w:hAnsi="Garamond"/>
          <w:sz w:val="22"/>
          <w:szCs w:val="22"/>
        </w:rPr>
        <w:t xml:space="preserve"> to slacken</w:t>
      </w:r>
      <w:r w:rsidRPr="00E42369">
        <w:rPr>
          <w:rFonts w:ascii="Garamond" w:hAnsi="Garamond"/>
          <w:sz w:val="22"/>
          <w:szCs w:val="22"/>
        </w:rPr>
        <w:t>.</w:t>
      </w:r>
      <w:r w:rsidR="00A56924">
        <w:t xml:space="preserve"> </w:t>
      </w:r>
      <w:r w:rsidR="00492A4E">
        <w:rPr>
          <w:rFonts w:ascii="Garamond" w:hAnsi="Garamond"/>
          <w:sz w:val="22"/>
          <w:szCs w:val="22"/>
        </w:rPr>
        <w:t>In</w:t>
      </w:r>
      <w:r w:rsidR="00492A4E" w:rsidRPr="00492A4E">
        <w:rPr>
          <w:rFonts w:ascii="Garamond" w:hAnsi="Garamond"/>
          <w:sz w:val="22"/>
          <w:szCs w:val="22"/>
        </w:rPr>
        <w:t xml:space="preserve"> the second half of the year, </w:t>
      </w:r>
      <w:r w:rsidR="00A56924">
        <w:rPr>
          <w:rFonts w:ascii="Garamond" w:hAnsi="Garamond"/>
          <w:sz w:val="22"/>
          <w:szCs w:val="22"/>
        </w:rPr>
        <w:t xml:space="preserve">the </w:t>
      </w:r>
      <w:r w:rsidR="00A56924" w:rsidRPr="00492A4E">
        <w:rPr>
          <w:rFonts w:ascii="Garamond" w:hAnsi="Garamond"/>
          <w:sz w:val="22"/>
          <w:szCs w:val="22"/>
        </w:rPr>
        <w:t xml:space="preserve">global economy and demand growth </w:t>
      </w:r>
      <w:r w:rsidR="00A56924">
        <w:rPr>
          <w:rFonts w:ascii="Garamond" w:hAnsi="Garamond"/>
          <w:sz w:val="22"/>
          <w:szCs w:val="22"/>
        </w:rPr>
        <w:t>rates slowed down as well. T</w:t>
      </w:r>
      <w:r w:rsidR="009D05A1" w:rsidRPr="009D05A1">
        <w:rPr>
          <w:rFonts w:ascii="Garamond" w:hAnsi="Garamond"/>
          <w:sz w:val="22"/>
          <w:szCs w:val="22"/>
        </w:rPr>
        <w:t xml:space="preserve">he </w:t>
      </w:r>
      <w:r w:rsidR="00CD5699">
        <w:rPr>
          <w:rFonts w:ascii="Garamond" w:hAnsi="Garamond"/>
          <w:sz w:val="22"/>
          <w:szCs w:val="22"/>
        </w:rPr>
        <w:t xml:space="preserve">impact of these developments </w:t>
      </w:r>
      <w:r w:rsidR="009D05A1" w:rsidRPr="009D05A1">
        <w:rPr>
          <w:rFonts w:ascii="Garamond" w:hAnsi="Garamond"/>
          <w:sz w:val="22"/>
          <w:szCs w:val="22"/>
        </w:rPr>
        <w:t>w</w:t>
      </w:r>
      <w:r w:rsidR="00CD5699">
        <w:rPr>
          <w:rFonts w:ascii="Garamond" w:hAnsi="Garamond"/>
          <w:sz w:val="22"/>
          <w:szCs w:val="22"/>
        </w:rPr>
        <w:t xml:space="preserve">as especially noticeable in the behavior of </w:t>
      </w:r>
      <w:r w:rsidR="00500C78">
        <w:rPr>
          <w:rFonts w:ascii="Garamond" w:hAnsi="Garamond"/>
          <w:sz w:val="22"/>
          <w:szCs w:val="22"/>
        </w:rPr>
        <w:t xml:space="preserve">the </w:t>
      </w:r>
      <w:r w:rsidR="00CD5699">
        <w:rPr>
          <w:rFonts w:ascii="Garamond" w:hAnsi="Garamond"/>
          <w:sz w:val="22"/>
          <w:szCs w:val="22"/>
        </w:rPr>
        <w:t xml:space="preserve">12-month core inflation which has gradually subdued in the </w:t>
      </w:r>
      <w:r w:rsidR="00500C78">
        <w:rPr>
          <w:rFonts w:ascii="Garamond" w:hAnsi="Garamond"/>
          <w:sz w:val="22"/>
          <w:szCs w:val="22"/>
        </w:rPr>
        <w:t xml:space="preserve">last 1-year period </w:t>
      </w:r>
      <w:r w:rsidR="00CD5699">
        <w:rPr>
          <w:rFonts w:ascii="Garamond" w:hAnsi="Garamond"/>
          <w:sz w:val="22"/>
          <w:szCs w:val="22"/>
        </w:rPr>
        <w:t xml:space="preserve">to 1.3% at the end of March from 4.9% </w:t>
      </w:r>
      <w:r w:rsidR="00500C78">
        <w:rPr>
          <w:rFonts w:ascii="Garamond" w:hAnsi="Garamond"/>
          <w:sz w:val="22"/>
          <w:szCs w:val="22"/>
        </w:rPr>
        <w:t xml:space="preserve">reported as of </w:t>
      </w:r>
      <w:r w:rsidR="00CD5699">
        <w:rPr>
          <w:rFonts w:ascii="Garamond" w:hAnsi="Garamond"/>
          <w:sz w:val="22"/>
          <w:szCs w:val="22"/>
        </w:rPr>
        <w:t xml:space="preserve">end-March of the previous year. </w:t>
      </w:r>
      <w:r w:rsidR="00500C78">
        <w:rPr>
          <w:rFonts w:ascii="Garamond" w:hAnsi="Garamond"/>
          <w:sz w:val="22"/>
          <w:szCs w:val="22"/>
        </w:rPr>
        <w:t xml:space="preserve">Unlike core inflation, headline inflation behaved too volatile, especially in the second and third quarters of 2018 when </w:t>
      </w:r>
      <w:r w:rsidR="00E55655">
        <w:rPr>
          <w:rFonts w:ascii="Garamond" w:hAnsi="Garamond"/>
          <w:sz w:val="22"/>
          <w:szCs w:val="22"/>
        </w:rPr>
        <w:t xml:space="preserve">earlier seasonality of harvest pushed agricultural prices </w:t>
      </w:r>
      <w:r w:rsidR="004D616F">
        <w:rPr>
          <w:rFonts w:ascii="Garamond" w:hAnsi="Garamond"/>
          <w:sz w:val="22"/>
          <w:szCs w:val="22"/>
        </w:rPr>
        <w:t xml:space="preserve">first </w:t>
      </w:r>
      <w:r w:rsidR="00E55655">
        <w:rPr>
          <w:rFonts w:ascii="Garamond" w:hAnsi="Garamond"/>
          <w:sz w:val="22"/>
          <w:szCs w:val="22"/>
        </w:rPr>
        <w:t xml:space="preserve">down and </w:t>
      </w:r>
      <w:r w:rsidR="004D616F">
        <w:rPr>
          <w:rFonts w:ascii="Garamond" w:hAnsi="Garamond"/>
          <w:sz w:val="22"/>
          <w:szCs w:val="22"/>
        </w:rPr>
        <w:t xml:space="preserve">then </w:t>
      </w:r>
      <w:r w:rsidR="00E55655">
        <w:rPr>
          <w:rFonts w:ascii="Garamond" w:hAnsi="Garamond"/>
          <w:sz w:val="22"/>
          <w:szCs w:val="22"/>
        </w:rPr>
        <w:t xml:space="preserve">up, causing </w:t>
      </w:r>
      <w:r w:rsidR="00A750B9" w:rsidRPr="00A750B9">
        <w:rPr>
          <w:rFonts w:ascii="Garamond" w:hAnsi="Garamond"/>
          <w:sz w:val="22"/>
          <w:szCs w:val="22"/>
        </w:rPr>
        <w:t xml:space="preserve">the 12-month inflation </w:t>
      </w:r>
      <w:r w:rsidR="00A750B9">
        <w:rPr>
          <w:rFonts w:ascii="Garamond" w:hAnsi="Garamond"/>
          <w:sz w:val="22"/>
          <w:szCs w:val="22"/>
        </w:rPr>
        <w:t xml:space="preserve">rate </w:t>
      </w:r>
      <w:r w:rsidR="00E55655">
        <w:rPr>
          <w:rFonts w:ascii="Garamond" w:hAnsi="Garamond"/>
          <w:sz w:val="22"/>
          <w:szCs w:val="22"/>
        </w:rPr>
        <w:t>to plunge to 0</w:t>
      </w:r>
      <w:r w:rsidR="00A750B9">
        <w:rPr>
          <w:rFonts w:ascii="Garamond" w:hAnsi="Garamond"/>
          <w:sz w:val="22"/>
          <w:szCs w:val="22"/>
        </w:rPr>
        <w:t>.</w:t>
      </w:r>
      <w:r w:rsidR="00E55655">
        <w:rPr>
          <w:rFonts w:ascii="Garamond" w:hAnsi="Garamond"/>
          <w:sz w:val="22"/>
          <w:szCs w:val="22"/>
        </w:rPr>
        <w:t>9%</w:t>
      </w:r>
      <w:r w:rsidR="00A750B9">
        <w:rPr>
          <w:rFonts w:ascii="Garamond" w:hAnsi="Garamond"/>
          <w:sz w:val="22"/>
          <w:szCs w:val="22"/>
        </w:rPr>
        <w:t xml:space="preserve"> in </w:t>
      </w:r>
      <w:r w:rsidR="00E55655">
        <w:rPr>
          <w:rFonts w:ascii="Garamond" w:hAnsi="Garamond"/>
          <w:sz w:val="22"/>
          <w:szCs w:val="22"/>
        </w:rPr>
        <w:t>end-June and recover to about 3.5% at the end of September.</w:t>
      </w:r>
      <w:r w:rsidR="00890E8A">
        <w:rPr>
          <w:rFonts w:ascii="Garamond" w:hAnsi="Garamond"/>
          <w:sz w:val="22"/>
          <w:szCs w:val="22"/>
        </w:rPr>
        <w:t xml:space="preserve"> </w:t>
      </w:r>
      <w:r w:rsidR="004D616F" w:rsidRPr="004D616F">
        <w:rPr>
          <w:rFonts w:ascii="Garamond" w:hAnsi="Garamond"/>
          <w:sz w:val="22"/>
          <w:szCs w:val="22"/>
        </w:rPr>
        <w:t xml:space="preserve">In the fourth quarter, </w:t>
      </w:r>
      <w:r w:rsidR="004D616F">
        <w:rPr>
          <w:rFonts w:ascii="Garamond" w:hAnsi="Garamond"/>
          <w:sz w:val="22"/>
          <w:szCs w:val="22"/>
        </w:rPr>
        <w:t xml:space="preserve">induced by the contractionary impulse of the fiscal policy </w:t>
      </w:r>
      <w:r w:rsidR="004D616F" w:rsidRPr="004D616F">
        <w:rPr>
          <w:rFonts w:ascii="Garamond" w:hAnsi="Garamond"/>
          <w:sz w:val="22"/>
          <w:szCs w:val="22"/>
        </w:rPr>
        <w:t xml:space="preserve">and the deflationary effects </w:t>
      </w:r>
      <w:r w:rsidR="004D616F">
        <w:rPr>
          <w:rFonts w:ascii="Garamond" w:hAnsi="Garamond"/>
          <w:sz w:val="22"/>
          <w:szCs w:val="22"/>
        </w:rPr>
        <w:t>transmitted from the</w:t>
      </w:r>
      <w:r w:rsidR="004D616F" w:rsidRPr="004D616F">
        <w:rPr>
          <w:rFonts w:ascii="Garamond" w:hAnsi="Garamond"/>
          <w:sz w:val="22"/>
          <w:szCs w:val="22"/>
        </w:rPr>
        <w:t xml:space="preserve"> external sector, </w:t>
      </w:r>
      <w:r w:rsidR="004D616F" w:rsidRPr="004D616F">
        <w:rPr>
          <w:rFonts w:ascii="Garamond" w:hAnsi="Garamond"/>
          <w:b/>
          <w:sz w:val="22"/>
          <w:szCs w:val="22"/>
        </w:rPr>
        <w:t>the 12-month inflation has decreased to 1.8% at the end of the year</w:t>
      </w:r>
      <w:r w:rsidR="004D616F" w:rsidRPr="004D616F">
        <w:rPr>
          <w:rFonts w:ascii="Garamond" w:hAnsi="Garamond"/>
          <w:sz w:val="22"/>
          <w:szCs w:val="22"/>
        </w:rPr>
        <w:t xml:space="preserve">, which </w:t>
      </w:r>
      <w:r w:rsidR="004D616F">
        <w:rPr>
          <w:rFonts w:ascii="Garamond" w:hAnsi="Garamond"/>
          <w:sz w:val="22"/>
          <w:szCs w:val="22"/>
        </w:rPr>
        <w:t>persisted with some stability patterns over the first quarter of 2019 too</w:t>
      </w:r>
      <w:r w:rsidR="004D616F" w:rsidRPr="004D616F">
        <w:rPr>
          <w:rFonts w:ascii="Garamond" w:hAnsi="Garamond"/>
          <w:sz w:val="22"/>
          <w:szCs w:val="22"/>
        </w:rPr>
        <w:t>.</w:t>
      </w:r>
    </w:p>
    <w:p w14:paraId="37EABCF8" w14:textId="77777777" w:rsidR="00303988" w:rsidRDefault="00CE7ACC" w:rsidP="00933B63">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Note that </w:t>
      </w:r>
      <w:r w:rsidR="00BB6AF7">
        <w:rPr>
          <w:rFonts w:ascii="Garamond" w:hAnsi="Garamond"/>
          <w:sz w:val="22"/>
          <w:szCs w:val="22"/>
        </w:rPr>
        <w:t xml:space="preserve">the </w:t>
      </w:r>
      <w:r w:rsidRPr="00CE7ACC">
        <w:rPr>
          <w:rFonts w:ascii="Garamond" w:hAnsi="Garamond"/>
          <w:sz w:val="22"/>
          <w:szCs w:val="22"/>
        </w:rPr>
        <w:t>C</w:t>
      </w:r>
      <w:r>
        <w:rPr>
          <w:rFonts w:ascii="Garamond" w:hAnsi="Garamond"/>
          <w:sz w:val="22"/>
          <w:szCs w:val="22"/>
        </w:rPr>
        <w:t xml:space="preserve">entral </w:t>
      </w:r>
      <w:r w:rsidRPr="00CE7ACC">
        <w:rPr>
          <w:rFonts w:ascii="Garamond" w:hAnsi="Garamond"/>
          <w:sz w:val="22"/>
          <w:szCs w:val="22"/>
        </w:rPr>
        <w:t>B</w:t>
      </w:r>
      <w:r>
        <w:rPr>
          <w:rFonts w:ascii="Garamond" w:hAnsi="Garamond"/>
          <w:sz w:val="22"/>
          <w:szCs w:val="22"/>
        </w:rPr>
        <w:t>ank</w:t>
      </w:r>
      <w:r w:rsidRPr="00CE7ACC">
        <w:rPr>
          <w:rFonts w:ascii="Garamond" w:hAnsi="Garamond"/>
          <w:sz w:val="22"/>
          <w:szCs w:val="22"/>
        </w:rPr>
        <w:t xml:space="preserve"> has </w:t>
      </w:r>
      <w:r w:rsidR="00BB6AF7">
        <w:rPr>
          <w:rFonts w:ascii="Garamond" w:hAnsi="Garamond"/>
          <w:sz w:val="22"/>
          <w:szCs w:val="22"/>
        </w:rPr>
        <w:t>for a while favored</w:t>
      </w:r>
      <w:r w:rsidRPr="00CE7ACC">
        <w:rPr>
          <w:rFonts w:ascii="Garamond" w:hAnsi="Garamond"/>
          <w:sz w:val="22"/>
          <w:szCs w:val="22"/>
        </w:rPr>
        <w:t xml:space="preserve"> </w:t>
      </w:r>
      <w:r>
        <w:rPr>
          <w:rFonts w:ascii="Garamond" w:hAnsi="Garamond"/>
          <w:sz w:val="22"/>
          <w:szCs w:val="22"/>
        </w:rPr>
        <w:t xml:space="preserve">a policy of </w:t>
      </w:r>
      <w:r w:rsidRPr="00CE7ACC">
        <w:rPr>
          <w:rFonts w:ascii="Garamond" w:hAnsi="Garamond"/>
          <w:sz w:val="22"/>
          <w:szCs w:val="22"/>
        </w:rPr>
        <w:t>gradual recovery of inflation,</w:t>
      </w:r>
      <w:r>
        <w:rPr>
          <w:rFonts w:ascii="Garamond" w:hAnsi="Garamond"/>
          <w:sz w:val="22"/>
          <w:szCs w:val="22"/>
        </w:rPr>
        <w:t xml:space="preserve"> since </w:t>
      </w:r>
      <w:r w:rsidRPr="00C02601">
        <w:rPr>
          <w:rFonts w:ascii="Garamond" w:hAnsi="Garamond"/>
          <w:sz w:val="22"/>
          <w:szCs w:val="22"/>
        </w:rPr>
        <w:t>low inflation contributes to anchoring long-term inflation expectations and maintaining</w:t>
      </w:r>
      <w:r>
        <w:rPr>
          <w:rFonts w:ascii="Garamond" w:hAnsi="Garamond"/>
          <w:sz w:val="22"/>
          <w:szCs w:val="22"/>
        </w:rPr>
        <w:t xml:space="preserve"> the purchasing power of income. Also, </w:t>
      </w:r>
      <w:r w:rsidR="00303988">
        <w:rPr>
          <w:rFonts w:ascii="Garamond" w:hAnsi="Garamond"/>
          <w:sz w:val="22"/>
          <w:szCs w:val="22"/>
        </w:rPr>
        <w:t xml:space="preserve">as no </w:t>
      </w:r>
      <w:r>
        <w:rPr>
          <w:rFonts w:ascii="Garamond" w:hAnsi="Garamond"/>
          <w:sz w:val="22"/>
          <w:szCs w:val="22"/>
        </w:rPr>
        <w:t xml:space="preserve">considerable </w:t>
      </w:r>
      <w:r w:rsidRPr="007E496A">
        <w:rPr>
          <w:rFonts w:ascii="Garamond" w:hAnsi="Garamond"/>
          <w:sz w:val="22"/>
          <w:szCs w:val="22"/>
        </w:rPr>
        <w:t xml:space="preserve">inflationary </w:t>
      </w:r>
      <w:r>
        <w:rPr>
          <w:rFonts w:ascii="Garamond" w:hAnsi="Garamond"/>
          <w:sz w:val="22"/>
          <w:szCs w:val="22"/>
        </w:rPr>
        <w:t xml:space="preserve">effects </w:t>
      </w:r>
      <w:r w:rsidR="00303988">
        <w:rPr>
          <w:rFonts w:ascii="Garamond" w:hAnsi="Garamond"/>
          <w:sz w:val="22"/>
          <w:szCs w:val="22"/>
        </w:rPr>
        <w:t xml:space="preserve">were observable </w:t>
      </w:r>
      <w:r w:rsidRPr="007E496A">
        <w:rPr>
          <w:rFonts w:ascii="Garamond" w:hAnsi="Garamond"/>
          <w:sz w:val="22"/>
          <w:szCs w:val="22"/>
        </w:rPr>
        <w:t xml:space="preserve">from external and </w:t>
      </w:r>
      <w:r>
        <w:rPr>
          <w:rFonts w:ascii="Garamond" w:hAnsi="Garamond"/>
          <w:sz w:val="22"/>
          <w:szCs w:val="22"/>
        </w:rPr>
        <w:t xml:space="preserve">domestic </w:t>
      </w:r>
      <w:r w:rsidRPr="007E496A">
        <w:rPr>
          <w:rFonts w:ascii="Garamond" w:hAnsi="Garamond"/>
          <w:sz w:val="22"/>
          <w:szCs w:val="22"/>
        </w:rPr>
        <w:t>economies</w:t>
      </w:r>
      <w:r>
        <w:rPr>
          <w:rFonts w:ascii="Garamond" w:hAnsi="Garamond"/>
          <w:sz w:val="22"/>
          <w:szCs w:val="22"/>
        </w:rPr>
        <w:t xml:space="preserve"> in the upcoming period because of persistently weak </w:t>
      </w:r>
      <w:r w:rsidRPr="00C02601">
        <w:rPr>
          <w:rFonts w:ascii="Garamond" w:hAnsi="Garamond"/>
          <w:sz w:val="22"/>
          <w:szCs w:val="22"/>
        </w:rPr>
        <w:t>global and domestic demand, and that the current interest rate</w:t>
      </w:r>
      <w:r>
        <w:rPr>
          <w:rFonts w:ascii="Garamond" w:hAnsi="Garamond"/>
          <w:sz w:val="22"/>
          <w:szCs w:val="22"/>
        </w:rPr>
        <w:t xml:space="preserve"> was estimated to be expansionary enough on the back of </w:t>
      </w:r>
      <w:r w:rsidRPr="00C02601">
        <w:rPr>
          <w:rFonts w:ascii="Garamond" w:hAnsi="Garamond"/>
          <w:sz w:val="22"/>
          <w:szCs w:val="22"/>
        </w:rPr>
        <w:t xml:space="preserve">interest rate </w:t>
      </w:r>
      <w:r>
        <w:rPr>
          <w:rFonts w:ascii="Garamond" w:hAnsi="Garamond"/>
          <w:sz w:val="22"/>
          <w:szCs w:val="22"/>
        </w:rPr>
        <w:t xml:space="preserve">rise </w:t>
      </w:r>
      <w:r w:rsidRPr="00C02601">
        <w:rPr>
          <w:rFonts w:ascii="Garamond" w:hAnsi="Garamond"/>
          <w:sz w:val="22"/>
          <w:szCs w:val="22"/>
        </w:rPr>
        <w:t xml:space="preserve">by major trading partner countries, </w:t>
      </w:r>
      <w:r>
        <w:rPr>
          <w:rFonts w:ascii="Garamond" w:hAnsi="Garamond"/>
          <w:sz w:val="22"/>
          <w:szCs w:val="22"/>
        </w:rPr>
        <w:t xml:space="preserve">the </w:t>
      </w:r>
      <w:r w:rsidR="00397003" w:rsidRPr="009D1727">
        <w:rPr>
          <w:rFonts w:ascii="Garamond" w:hAnsi="Garamond"/>
          <w:b/>
          <w:sz w:val="22"/>
          <w:szCs w:val="22"/>
        </w:rPr>
        <w:t>Central Bank ha</w:t>
      </w:r>
      <w:r w:rsidR="00AB265B" w:rsidRPr="009D1727">
        <w:rPr>
          <w:rFonts w:ascii="Garamond" w:hAnsi="Garamond"/>
          <w:b/>
          <w:sz w:val="22"/>
          <w:szCs w:val="22"/>
        </w:rPr>
        <w:t>s</w:t>
      </w:r>
      <w:r w:rsidR="009D1727" w:rsidRPr="009D1727">
        <w:rPr>
          <w:rFonts w:ascii="Garamond" w:hAnsi="Garamond"/>
          <w:b/>
          <w:sz w:val="22"/>
          <w:szCs w:val="22"/>
        </w:rPr>
        <w:t xml:space="preserve"> </w:t>
      </w:r>
      <w:r w:rsidR="00BB6AF7">
        <w:rPr>
          <w:rFonts w:ascii="Garamond" w:hAnsi="Garamond"/>
          <w:b/>
          <w:sz w:val="22"/>
          <w:szCs w:val="22"/>
        </w:rPr>
        <w:t>left t</w:t>
      </w:r>
      <w:r w:rsidR="00397003" w:rsidRPr="00EE5F0F">
        <w:rPr>
          <w:rFonts w:ascii="Garamond" w:hAnsi="Garamond"/>
          <w:b/>
          <w:sz w:val="22"/>
          <w:szCs w:val="22"/>
        </w:rPr>
        <w:t xml:space="preserve">he refinancing rate </w:t>
      </w:r>
      <w:r w:rsidR="009D1727">
        <w:rPr>
          <w:rFonts w:ascii="Garamond" w:hAnsi="Garamond"/>
          <w:b/>
          <w:sz w:val="22"/>
          <w:szCs w:val="22"/>
        </w:rPr>
        <w:t>unchanged</w:t>
      </w:r>
      <w:r w:rsidR="00BB6AF7">
        <w:rPr>
          <w:rFonts w:ascii="Garamond" w:hAnsi="Garamond"/>
          <w:b/>
          <w:sz w:val="22"/>
          <w:szCs w:val="22"/>
        </w:rPr>
        <w:t xml:space="preserve"> in April-December 2018</w:t>
      </w:r>
      <w:r w:rsidR="00764595" w:rsidRPr="00764595">
        <w:rPr>
          <w:rFonts w:ascii="Garamond" w:hAnsi="Garamond"/>
          <w:b/>
          <w:sz w:val="22"/>
          <w:szCs w:val="22"/>
        </w:rPr>
        <w:t>.</w:t>
      </w:r>
      <w:r w:rsidR="00764595">
        <w:rPr>
          <w:rFonts w:ascii="Garamond" w:hAnsi="Garamond"/>
          <w:sz w:val="22"/>
          <w:szCs w:val="22"/>
        </w:rPr>
        <w:t xml:space="preserve"> </w:t>
      </w:r>
      <w:r w:rsidR="00303988" w:rsidRPr="00303988">
        <w:rPr>
          <w:rFonts w:ascii="Garamond" w:hAnsi="Garamond"/>
          <w:sz w:val="22"/>
          <w:szCs w:val="22"/>
        </w:rPr>
        <w:t xml:space="preserve">In </w:t>
      </w:r>
      <w:r w:rsidR="00303988">
        <w:rPr>
          <w:rFonts w:ascii="Garamond" w:hAnsi="Garamond"/>
          <w:sz w:val="22"/>
          <w:szCs w:val="22"/>
        </w:rPr>
        <w:t xml:space="preserve">view of </w:t>
      </w:r>
      <w:r w:rsidR="00303988" w:rsidRPr="00303988">
        <w:rPr>
          <w:rFonts w:ascii="Garamond" w:hAnsi="Garamond"/>
          <w:sz w:val="22"/>
          <w:szCs w:val="22"/>
        </w:rPr>
        <w:t>continu</w:t>
      </w:r>
      <w:r w:rsidR="00303988">
        <w:rPr>
          <w:rFonts w:ascii="Garamond" w:hAnsi="Garamond"/>
          <w:sz w:val="22"/>
          <w:szCs w:val="22"/>
        </w:rPr>
        <w:t>ed</w:t>
      </w:r>
      <w:r w:rsidR="00303988" w:rsidRPr="00303988">
        <w:rPr>
          <w:rFonts w:ascii="Garamond" w:hAnsi="Garamond"/>
          <w:sz w:val="22"/>
          <w:szCs w:val="22"/>
        </w:rPr>
        <w:t xml:space="preserve"> slow</w:t>
      </w:r>
      <w:r w:rsidR="00303988">
        <w:rPr>
          <w:rFonts w:ascii="Garamond" w:hAnsi="Garamond"/>
          <w:sz w:val="22"/>
          <w:szCs w:val="22"/>
        </w:rPr>
        <w:t xml:space="preserve">ing </w:t>
      </w:r>
      <w:r w:rsidR="00F6107C">
        <w:rPr>
          <w:rFonts w:ascii="Garamond" w:hAnsi="Garamond"/>
          <w:sz w:val="22"/>
          <w:szCs w:val="22"/>
        </w:rPr>
        <w:t>in</w:t>
      </w:r>
      <w:r w:rsidR="00303988" w:rsidRPr="00303988">
        <w:rPr>
          <w:rFonts w:ascii="Garamond" w:hAnsi="Garamond"/>
          <w:sz w:val="22"/>
          <w:szCs w:val="22"/>
        </w:rPr>
        <w:t xml:space="preserve"> global economic growth and </w:t>
      </w:r>
      <w:r w:rsidR="00303988">
        <w:rPr>
          <w:rFonts w:ascii="Garamond" w:hAnsi="Garamond"/>
          <w:sz w:val="22"/>
          <w:szCs w:val="22"/>
        </w:rPr>
        <w:t>anticipated</w:t>
      </w:r>
      <w:r w:rsidR="00303988" w:rsidRPr="00303988">
        <w:rPr>
          <w:rFonts w:ascii="Garamond" w:hAnsi="Garamond"/>
          <w:sz w:val="22"/>
          <w:szCs w:val="22"/>
        </w:rPr>
        <w:t xml:space="preserve"> weakening of the inflation environment in </w:t>
      </w:r>
      <w:r w:rsidR="00303988">
        <w:rPr>
          <w:rFonts w:ascii="Garamond" w:hAnsi="Garamond"/>
          <w:sz w:val="22"/>
          <w:szCs w:val="22"/>
        </w:rPr>
        <w:t>world</w:t>
      </w:r>
      <w:r w:rsidR="00303988" w:rsidRPr="00303988">
        <w:rPr>
          <w:rFonts w:ascii="Garamond" w:hAnsi="Garamond"/>
          <w:sz w:val="22"/>
          <w:szCs w:val="22"/>
        </w:rPr>
        <w:t xml:space="preserve"> commodity markets, </w:t>
      </w:r>
      <w:r w:rsidR="0086276B">
        <w:rPr>
          <w:rFonts w:ascii="Garamond" w:hAnsi="Garamond"/>
          <w:sz w:val="22"/>
          <w:szCs w:val="22"/>
        </w:rPr>
        <w:t>considering that the monetary stimulus</w:t>
      </w:r>
      <w:r w:rsidR="0086276B" w:rsidRPr="00303988">
        <w:rPr>
          <w:rFonts w:ascii="Garamond" w:hAnsi="Garamond"/>
          <w:sz w:val="22"/>
          <w:szCs w:val="22"/>
        </w:rPr>
        <w:t xml:space="preserve"> </w:t>
      </w:r>
      <w:r w:rsidR="0086276B">
        <w:rPr>
          <w:rFonts w:ascii="Garamond" w:hAnsi="Garamond"/>
          <w:sz w:val="22"/>
          <w:szCs w:val="22"/>
        </w:rPr>
        <w:t xml:space="preserve">needed a slight boost-up, </w:t>
      </w:r>
      <w:r w:rsidR="00303988" w:rsidRPr="00303988">
        <w:rPr>
          <w:rFonts w:ascii="Garamond" w:hAnsi="Garamond"/>
          <w:sz w:val="22"/>
          <w:szCs w:val="22"/>
        </w:rPr>
        <w:t xml:space="preserve">the Central Bank </w:t>
      </w:r>
      <w:r w:rsidR="0086276B">
        <w:rPr>
          <w:rFonts w:ascii="Garamond" w:hAnsi="Garamond"/>
          <w:sz w:val="22"/>
          <w:szCs w:val="22"/>
        </w:rPr>
        <w:t>cut the</w:t>
      </w:r>
      <w:r w:rsidR="00303988" w:rsidRPr="00303988">
        <w:rPr>
          <w:rFonts w:ascii="Garamond" w:hAnsi="Garamond"/>
          <w:sz w:val="22"/>
          <w:szCs w:val="22"/>
        </w:rPr>
        <w:t xml:space="preserve"> refinancing rate </w:t>
      </w:r>
      <w:r w:rsidR="00F6107C">
        <w:rPr>
          <w:rFonts w:ascii="Garamond" w:hAnsi="Garamond"/>
          <w:sz w:val="22"/>
          <w:szCs w:val="22"/>
        </w:rPr>
        <w:t xml:space="preserve">by </w:t>
      </w:r>
      <w:r w:rsidR="00303988" w:rsidRPr="00303988">
        <w:rPr>
          <w:rFonts w:ascii="Garamond" w:hAnsi="Garamond"/>
          <w:sz w:val="22"/>
          <w:szCs w:val="22"/>
        </w:rPr>
        <w:t>0.25 p</w:t>
      </w:r>
      <w:r w:rsidR="00F6107C">
        <w:rPr>
          <w:rFonts w:ascii="Garamond" w:hAnsi="Garamond"/>
          <w:sz w:val="22"/>
          <w:szCs w:val="22"/>
        </w:rPr>
        <w:t>p to</w:t>
      </w:r>
      <w:r w:rsidR="00303988" w:rsidRPr="00303988">
        <w:rPr>
          <w:rFonts w:ascii="Garamond" w:hAnsi="Garamond"/>
          <w:sz w:val="22"/>
          <w:szCs w:val="22"/>
        </w:rPr>
        <w:t xml:space="preserve"> 5.75% </w:t>
      </w:r>
      <w:r w:rsidR="00F6107C">
        <w:rPr>
          <w:rFonts w:ascii="Garamond" w:hAnsi="Garamond"/>
          <w:sz w:val="22"/>
          <w:szCs w:val="22"/>
        </w:rPr>
        <w:t>i</w:t>
      </w:r>
      <w:r w:rsidR="00F6107C" w:rsidRPr="00303988">
        <w:rPr>
          <w:rFonts w:ascii="Garamond" w:hAnsi="Garamond"/>
          <w:sz w:val="22"/>
          <w:szCs w:val="22"/>
        </w:rPr>
        <w:t>n January</w:t>
      </w:r>
      <w:r w:rsidR="00F6107C">
        <w:rPr>
          <w:rFonts w:ascii="Garamond" w:hAnsi="Garamond"/>
          <w:sz w:val="22"/>
          <w:szCs w:val="22"/>
        </w:rPr>
        <w:t xml:space="preserve"> 2019 but le</w:t>
      </w:r>
      <w:r w:rsidR="0086276B">
        <w:rPr>
          <w:rFonts w:ascii="Garamond" w:hAnsi="Garamond"/>
          <w:sz w:val="22"/>
          <w:szCs w:val="22"/>
        </w:rPr>
        <w:t>ft it</w:t>
      </w:r>
      <w:r w:rsidR="00F6107C">
        <w:rPr>
          <w:rFonts w:ascii="Garamond" w:hAnsi="Garamond"/>
          <w:sz w:val="22"/>
          <w:szCs w:val="22"/>
        </w:rPr>
        <w:t xml:space="preserve"> unchanged i</w:t>
      </w:r>
      <w:r w:rsidR="00303988" w:rsidRPr="00303988">
        <w:rPr>
          <w:rFonts w:ascii="Garamond" w:hAnsi="Garamond"/>
          <w:sz w:val="22"/>
          <w:szCs w:val="22"/>
        </w:rPr>
        <w:t>n March and April</w:t>
      </w:r>
      <w:r w:rsidR="00F6107C">
        <w:rPr>
          <w:rFonts w:ascii="Garamond" w:hAnsi="Garamond"/>
          <w:sz w:val="22"/>
          <w:szCs w:val="22"/>
        </w:rPr>
        <w:t xml:space="preserve"> however, reckoning that </w:t>
      </w:r>
      <w:r w:rsidR="00303988" w:rsidRPr="00303988">
        <w:rPr>
          <w:rFonts w:ascii="Garamond" w:hAnsi="Garamond"/>
          <w:sz w:val="22"/>
          <w:szCs w:val="22"/>
        </w:rPr>
        <w:t xml:space="preserve">the amount of stimulus </w:t>
      </w:r>
      <w:r w:rsidR="00F6107C">
        <w:rPr>
          <w:rFonts w:ascii="Garamond" w:hAnsi="Garamond"/>
          <w:sz w:val="22"/>
          <w:szCs w:val="22"/>
        </w:rPr>
        <w:t>was satisfactory</w:t>
      </w:r>
      <w:r w:rsidR="00303988" w:rsidRPr="00303988">
        <w:rPr>
          <w:rFonts w:ascii="Garamond" w:hAnsi="Garamond"/>
          <w:sz w:val="22"/>
          <w:szCs w:val="22"/>
        </w:rPr>
        <w:t xml:space="preserve">. </w:t>
      </w:r>
      <w:r w:rsidR="0086276B">
        <w:rPr>
          <w:rFonts w:ascii="Garamond" w:hAnsi="Garamond"/>
          <w:sz w:val="22"/>
          <w:szCs w:val="22"/>
        </w:rPr>
        <w:t xml:space="preserve">In the meanwhile, </w:t>
      </w:r>
      <w:r w:rsidR="00303988" w:rsidRPr="00303988">
        <w:rPr>
          <w:rFonts w:ascii="Garamond" w:hAnsi="Garamond"/>
          <w:sz w:val="22"/>
          <w:szCs w:val="22"/>
        </w:rPr>
        <w:t>the C</w:t>
      </w:r>
      <w:r w:rsidR="0086276B">
        <w:rPr>
          <w:rFonts w:ascii="Garamond" w:hAnsi="Garamond"/>
          <w:sz w:val="22"/>
          <w:szCs w:val="22"/>
        </w:rPr>
        <w:t xml:space="preserve">entral </w:t>
      </w:r>
      <w:r w:rsidR="00303988" w:rsidRPr="00303988">
        <w:rPr>
          <w:rFonts w:ascii="Garamond" w:hAnsi="Garamond"/>
          <w:sz w:val="22"/>
          <w:szCs w:val="22"/>
        </w:rPr>
        <w:t>B</w:t>
      </w:r>
      <w:r w:rsidR="0086276B">
        <w:rPr>
          <w:rFonts w:ascii="Garamond" w:hAnsi="Garamond"/>
          <w:sz w:val="22"/>
          <w:szCs w:val="22"/>
        </w:rPr>
        <w:t>ank</w:t>
      </w:r>
      <w:r w:rsidR="00303988" w:rsidRPr="00303988">
        <w:rPr>
          <w:rFonts w:ascii="Garamond" w:hAnsi="Garamond"/>
          <w:sz w:val="22"/>
          <w:szCs w:val="22"/>
        </w:rPr>
        <w:t xml:space="preserve"> has </w:t>
      </w:r>
      <w:r w:rsidR="0086276B">
        <w:rPr>
          <w:rFonts w:ascii="Garamond" w:hAnsi="Garamond"/>
          <w:sz w:val="22"/>
          <w:szCs w:val="22"/>
        </w:rPr>
        <w:t xml:space="preserve">signaled </w:t>
      </w:r>
      <w:r w:rsidR="00303988" w:rsidRPr="00303988">
        <w:rPr>
          <w:rFonts w:ascii="Garamond" w:hAnsi="Garamond"/>
          <w:sz w:val="22"/>
          <w:szCs w:val="22"/>
        </w:rPr>
        <w:t xml:space="preserve">the financial market </w:t>
      </w:r>
      <w:r w:rsidR="0086276B">
        <w:rPr>
          <w:rFonts w:ascii="Garamond" w:hAnsi="Garamond"/>
          <w:sz w:val="22"/>
          <w:szCs w:val="22"/>
        </w:rPr>
        <w:t>that the monetary conditions will remain expansionary for as long a period as required</w:t>
      </w:r>
      <w:r w:rsidR="00303988" w:rsidRPr="00303988">
        <w:rPr>
          <w:rFonts w:ascii="Garamond" w:hAnsi="Garamond"/>
          <w:sz w:val="22"/>
          <w:szCs w:val="22"/>
        </w:rPr>
        <w:t>.</w:t>
      </w:r>
    </w:p>
    <w:p w14:paraId="43605241" w14:textId="77777777" w:rsidR="0086276B" w:rsidRDefault="0086276B" w:rsidP="00933B63">
      <w:pPr>
        <w:autoSpaceDE w:val="0"/>
        <w:autoSpaceDN w:val="0"/>
        <w:adjustRightInd w:val="0"/>
        <w:spacing w:after="120" w:line="360" w:lineRule="auto"/>
        <w:jc w:val="both"/>
        <w:rPr>
          <w:rFonts w:ascii="Garamond" w:hAnsi="Garamond"/>
          <w:b/>
          <w:color w:val="0070C0"/>
          <w:sz w:val="22"/>
          <w:szCs w:val="22"/>
        </w:rPr>
      </w:pPr>
    </w:p>
    <w:p w14:paraId="6140717C" w14:textId="77777777" w:rsidR="001E301B" w:rsidRPr="00EE5F0F" w:rsidRDefault="001E301B" w:rsidP="00933B63">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3.1.2. Prices</w:t>
      </w:r>
    </w:p>
    <w:p w14:paraId="004E9524" w14:textId="77777777" w:rsidR="00375165" w:rsidRDefault="00781ACF" w:rsidP="00781ACF">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Consumer prices:</w:t>
      </w:r>
      <w:r w:rsidRPr="00EE5F0F">
        <w:rPr>
          <w:rFonts w:ascii="Garamond" w:hAnsi="Garamond"/>
          <w:sz w:val="22"/>
          <w:szCs w:val="22"/>
        </w:rPr>
        <w:t xml:space="preserve"> There was </w:t>
      </w:r>
      <w:r w:rsidR="005515AB" w:rsidRPr="00290CA2">
        <w:rPr>
          <w:rFonts w:ascii="Garamond" w:hAnsi="Garamond"/>
          <w:sz w:val="22"/>
          <w:szCs w:val="22"/>
        </w:rPr>
        <w:t>2</w:t>
      </w:r>
      <w:r w:rsidR="004E7901" w:rsidRPr="00290CA2">
        <w:rPr>
          <w:rFonts w:ascii="Garamond" w:hAnsi="Garamond"/>
          <w:sz w:val="22"/>
          <w:szCs w:val="22"/>
        </w:rPr>
        <w:t>.</w:t>
      </w:r>
      <w:r w:rsidR="005515AB" w:rsidRPr="00290CA2">
        <w:rPr>
          <w:rFonts w:ascii="Garamond" w:hAnsi="Garamond"/>
          <w:sz w:val="22"/>
          <w:szCs w:val="22"/>
        </w:rPr>
        <w:t>6</w:t>
      </w:r>
      <w:r w:rsidRPr="00290CA2">
        <w:rPr>
          <w:rFonts w:ascii="Garamond" w:hAnsi="Garamond"/>
          <w:sz w:val="22"/>
          <w:szCs w:val="22"/>
        </w:rPr>
        <w:t xml:space="preserve">% </w:t>
      </w:r>
      <w:r w:rsidR="005515AB" w:rsidRPr="00290CA2">
        <w:rPr>
          <w:rFonts w:ascii="Garamond" w:hAnsi="Garamond"/>
          <w:sz w:val="22"/>
          <w:szCs w:val="22"/>
        </w:rPr>
        <w:t>in</w:t>
      </w:r>
      <w:r w:rsidRPr="00290CA2">
        <w:rPr>
          <w:rFonts w:ascii="Garamond" w:hAnsi="Garamond"/>
          <w:sz w:val="22"/>
          <w:szCs w:val="22"/>
        </w:rPr>
        <w:t>flation</w:t>
      </w:r>
      <w:r w:rsidRPr="00EE5F0F">
        <w:rPr>
          <w:rFonts w:ascii="Garamond" w:hAnsi="Garamond"/>
          <w:sz w:val="22"/>
          <w:szCs w:val="22"/>
        </w:rPr>
        <w:t xml:space="preserve"> recorded in the </w:t>
      </w:r>
      <w:r w:rsidR="00290CA2">
        <w:rPr>
          <w:rFonts w:ascii="Garamond" w:hAnsi="Garamond"/>
          <w:sz w:val="22"/>
          <w:szCs w:val="22"/>
        </w:rPr>
        <w:t xml:space="preserve">first </w:t>
      </w:r>
      <w:r w:rsidRPr="00EE5F0F">
        <w:rPr>
          <w:rFonts w:ascii="Garamond" w:hAnsi="Garamond"/>
          <w:sz w:val="22"/>
          <w:szCs w:val="22"/>
        </w:rPr>
        <w:t>quarter of 201</w:t>
      </w:r>
      <w:r w:rsidR="00290CA2">
        <w:rPr>
          <w:rFonts w:ascii="Garamond" w:hAnsi="Garamond"/>
          <w:sz w:val="22"/>
          <w:szCs w:val="22"/>
        </w:rPr>
        <w:t>9</w:t>
      </w:r>
      <w:r w:rsidRPr="00EE5F0F">
        <w:rPr>
          <w:rFonts w:ascii="Garamond" w:hAnsi="Garamond"/>
          <w:sz w:val="22"/>
          <w:szCs w:val="22"/>
        </w:rPr>
        <w:t xml:space="preserve">, </w:t>
      </w:r>
      <w:r w:rsidR="00290CA2">
        <w:rPr>
          <w:rFonts w:ascii="Garamond" w:hAnsi="Garamond"/>
          <w:sz w:val="22"/>
          <w:szCs w:val="22"/>
        </w:rPr>
        <w:t>with the 12-month inflation remaining low (1.9% y/y as of the end of March 2019). In the same period of time, the 12-month price inflation in f</w:t>
      </w:r>
      <w:r w:rsidR="005515AB">
        <w:rPr>
          <w:rFonts w:ascii="Garamond" w:hAnsi="Garamond"/>
          <w:sz w:val="22"/>
          <w:szCs w:val="22"/>
        </w:rPr>
        <w:t xml:space="preserve">ood </w:t>
      </w:r>
      <w:r w:rsidR="00375165">
        <w:rPr>
          <w:rFonts w:ascii="Garamond" w:hAnsi="Garamond"/>
          <w:sz w:val="22"/>
          <w:szCs w:val="22"/>
        </w:rPr>
        <w:t xml:space="preserve">products </w:t>
      </w:r>
      <w:r w:rsidR="005515AB">
        <w:rPr>
          <w:rFonts w:ascii="Garamond" w:hAnsi="Garamond"/>
          <w:sz w:val="22"/>
          <w:szCs w:val="22"/>
        </w:rPr>
        <w:t>and non-alcohol</w:t>
      </w:r>
      <w:r w:rsidR="00BB7433">
        <w:rPr>
          <w:rFonts w:ascii="Garamond" w:hAnsi="Garamond"/>
          <w:sz w:val="22"/>
          <w:szCs w:val="22"/>
        </w:rPr>
        <w:t>ic beverage (</w:t>
      </w:r>
      <w:r w:rsidR="00290CA2">
        <w:rPr>
          <w:rFonts w:ascii="Garamond" w:hAnsi="Garamond"/>
          <w:sz w:val="22"/>
          <w:szCs w:val="22"/>
        </w:rPr>
        <w:t>a</w:t>
      </w:r>
      <w:r w:rsidR="00BB7433">
        <w:rPr>
          <w:rFonts w:ascii="Garamond" w:hAnsi="Garamond"/>
          <w:sz w:val="22"/>
          <w:szCs w:val="22"/>
        </w:rPr>
        <w:t>lcoholic beverage and tobacco</w:t>
      </w:r>
      <w:r w:rsidR="00290CA2">
        <w:rPr>
          <w:rFonts w:ascii="Garamond" w:hAnsi="Garamond"/>
          <w:sz w:val="22"/>
          <w:szCs w:val="22"/>
        </w:rPr>
        <w:t xml:space="preserve"> inclusive</w:t>
      </w:r>
      <w:r w:rsidR="00BB7433">
        <w:rPr>
          <w:rFonts w:ascii="Garamond" w:hAnsi="Garamond"/>
          <w:sz w:val="22"/>
          <w:szCs w:val="22"/>
        </w:rPr>
        <w:t>)</w:t>
      </w:r>
      <w:r w:rsidR="00290CA2">
        <w:rPr>
          <w:rFonts w:ascii="Garamond" w:hAnsi="Garamond"/>
          <w:sz w:val="22"/>
          <w:szCs w:val="22"/>
        </w:rPr>
        <w:t xml:space="preserve">, </w:t>
      </w:r>
      <w:r w:rsidR="00556AD8">
        <w:rPr>
          <w:rFonts w:ascii="Garamond" w:hAnsi="Garamond"/>
          <w:sz w:val="22"/>
          <w:szCs w:val="22"/>
        </w:rPr>
        <w:t>n</w:t>
      </w:r>
      <w:r w:rsidR="00556AD8" w:rsidRPr="00556AD8">
        <w:rPr>
          <w:rFonts w:ascii="Garamond" w:hAnsi="Garamond"/>
          <w:sz w:val="22"/>
          <w:szCs w:val="22"/>
        </w:rPr>
        <w:t xml:space="preserve">on-food </w:t>
      </w:r>
      <w:r w:rsidR="00290CA2">
        <w:rPr>
          <w:rFonts w:ascii="Garamond" w:hAnsi="Garamond"/>
          <w:sz w:val="22"/>
          <w:szCs w:val="22"/>
        </w:rPr>
        <w:t xml:space="preserve">products </w:t>
      </w:r>
      <w:r w:rsidR="00556AD8" w:rsidRPr="00556AD8">
        <w:rPr>
          <w:rFonts w:ascii="Garamond" w:hAnsi="Garamond"/>
          <w:sz w:val="22"/>
          <w:szCs w:val="22"/>
        </w:rPr>
        <w:t xml:space="preserve">and service tariffs </w:t>
      </w:r>
      <w:r w:rsidR="00556AD8">
        <w:rPr>
          <w:rFonts w:ascii="Garamond" w:hAnsi="Garamond"/>
          <w:sz w:val="22"/>
          <w:szCs w:val="22"/>
        </w:rPr>
        <w:t>ha</w:t>
      </w:r>
      <w:r w:rsidR="00290CA2">
        <w:rPr>
          <w:rFonts w:ascii="Garamond" w:hAnsi="Garamond"/>
          <w:sz w:val="22"/>
          <w:szCs w:val="22"/>
        </w:rPr>
        <w:t>s been 3.5%, 0.9% and 0.1%</w:t>
      </w:r>
      <w:r w:rsidR="00556AD8" w:rsidRPr="00556AD8">
        <w:rPr>
          <w:rFonts w:ascii="Garamond" w:hAnsi="Garamond"/>
          <w:sz w:val="22"/>
          <w:szCs w:val="22"/>
        </w:rPr>
        <w:t>, respectively</w:t>
      </w:r>
      <w:r w:rsidR="00375165">
        <w:rPr>
          <w:rFonts w:ascii="Garamond" w:hAnsi="Garamond"/>
          <w:sz w:val="22"/>
          <w:szCs w:val="22"/>
        </w:rPr>
        <w:t>.</w:t>
      </w:r>
    </w:p>
    <w:tbl>
      <w:tblPr>
        <w:tblStyle w:val="TableGrid"/>
        <w:tblW w:w="0" w:type="auto"/>
        <w:tblLook w:val="04A0" w:firstRow="1" w:lastRow="0" w:firstColumn="1" w:lastColumn="0" w:noHBand="0" w:noVBand="1"/>
      </w:tblPr>
      <w:tblGrid>
        <w:gridCol w:w="5561"/>
      </w:tblGrid>
      <w:tr w:rsidR="0086276B" w14:paraId="0CF8CE43" w14:textId="77777777" w:rsidTr="000D538D">
        <w:trPr>
          <w:trHeight w:val="492"/>
        </w:trPr>
        <w:tc>
          <w:tcPr>
            <w:tcW w:w="5561" w:type="dxa"/>
          </w:tcPr>
          <w:p w14:paraId="61BC398D" w14:textId="77777777" w:rsidR="0086276B" w:rsidRPr="00375165" w:rsidRDefault="00375165" w:rsidP="00375165">
            <w:pPr>
              <w:autoSpaceDE w:val="0"/>
              <w:autoSpaceDN w:val="0"/>
              <w:adjustRightInd w:val="0"/>
              <w:spacing w:after="120" w:line="360" w:lineRule="auto"/>
              <w:jc w:val="both"/>
              <w:rPr>
                <w:rFonts w:ascii="Garamond" w:hAnsi="Garamond"/>
                <w:color w:val="00B0F0"/>
                <w:sz w:val="20"/>
                <w:szCs w:val="20"/>
              </w:rPr>
            </w:pPr>
            <w:r w:rsidRPr="00375165">
              <w:rPr>
                <w:rFonts w:ascii="Garamond" w:hAnsi="Garamond"/>
                <w:color w:val="00B0F0"/>
                <w:sz w:val="20"/>
                <w:szCs w:val="20"/>
              </w:rPr>
              <w:t>Inflation in the first quarter of 2019 was 2.6%, with the 12-month inflation still at a low level, making up 1.9% y/y as of March 2019.</w:t>
            </w:r>
          </w:p>
        </w:tc>
      </w:tr>
    </w:tbl>
    <w:p w14:paraId="400DA1C1" w14:textId="77777777" w:rsidR="00375165" w:rsidRDefault="00375165" w:rsidP="00375165">
      <w:pPr>
        <w:autoSpaceDE w:val="0"/>
        <w:autoSpaceDN w:val="0"/>
        <w:adjustRightInd w:val="0"/>
        <w:spacing w:after="120" w:line="360" w:lineRule="auto"/>
        <w:jc w:val="both"/>
        <w:rPr>
          <w:rFonts w:ascii="Garamond" w:hAnsi="Garamond"/>
          <w:sz w:val="22"/>
          <w:szCs w:val="22"/>
        </w:rPr>
      </w:pPr>
      <w:r>
        <w:rPr>
          <w:rFonts w:ascii="Garamond" w:hAnsi="Garamond"/>
          <w:sz w:val="22"/>
          <w:szCs w:val="22"/>
        </w:rPr>
        <w:t>Specifically, price inflation in the group “</w:t>
      </w:r>
      <w:r w:rsidRPr="00BB7433">
        <w:rPr>
          <w:rFonts w:ascii="Garamond" w:hAnsi="Garamond"/>
          <w:sz w:val="22"/>
          <w:szCs w:val="22"/>
        </w:rPr>
        <w:t>Food and non-alcoholic beverage</w:t>
      </w:r>
      <w:r w:rsidR="00AD0843">
        <w:rPr>
          <w:rFonts w:ascii="Garamond" w:hAnsi="Garamond"/>
          <w:sz w:val="22"/>
          <w:szCs w:val="22"/>
        </w:rPr>
        <w:t xml:space="preserve"> (alcoholic beverage and tobacco inclusive)</w:t>
      </w:r>
      <w:r>
        <w:rPr>
          <w:rFonts w:ascii="Garamond" w:hAnsi="Garamond"/>
          <w:sz w:val="22"/>
          <w:szCs w:val="22"/>
        </w:rPr>
        <w:t xml:space="preserve">” </w:t>
      </w:r>
      <w:r w:rsidR="00AD0843">
        <w:rPr>
          <w:rFonts w:ascii="Garamond" w:hAnsi="Garamond"/>
          <w:sz w:val="22"/>
          <w:szCs w:val="22"/>
        </w:rPr>
        <w:t xml:space="preserve">was </w:t>
      </w:r>
      <w:r>
        <w:rPr>
          <w:rFonts w:ascii="Garamond" w:hAnsi="Garamond"/>
          <w:sz w:val="22"/>
          <w:szCs w:val="22"/>
        </w:rPr>
        <w:t xml:space="preserve">fueled by </w:t>
      </w:r>
      <w:r w:rsidRPr="00BB7433">
        <w:rPr>
          <w:rFonts w:ascii="Garamond" w:hAnsi="Garamond"/>
          <w:sz w:val="22"/>
          <w:szCs w:val="22"/>
        </w:rPr>
        <w:t xml:space="preserve">vegetable </w:t>
      </w:r>
      <w:r w:rsidR="00AD0843">
        <w:rPr>
          <w:rFonts w:ascii="Garamond" w:hAnsi="Garamond"/>
          <w:sz w:val="22"/>
          <w:szCs w:val="22"/>
        </w:rPr>
        <w:t>and potato, fruit, bread, meat</w:t>
      </w:r>
      <w:r w:rsidR="00CC2154">
        <w:rPr>
          <w:rFonts w:ascii="Garamond" w:hAnsi="Garamond"/>
          <w:sz w:val="22"/>
          <w:szCs w:val="22"/>
        </w:rPr>
        <w:t>,</w:t>
      </w:r>
      <w:r w:rsidR="00AD0843">
        <w:rPr>
          <w:rFonts w:ascii="Garamond" w:hAnsi="Garamond"/>
          <w:sz w:val="22"/>
          <w:szCs w:val="22"/>
        </w:rPr>
        <w:t xml:space="preserve"> </w:t>
      </w:r>
      <w:r w:rsidRPr="00BB7433">
        <w:rPr>
          <w:rFonts w:ascii="Garamond" w:hAnsi="Garamond"/>
          <w:sz w:val="22"/>
          <w:szCs w:val="22"/>
        </w:rPr>
        <w:t xml:space="preserve">and </w:t>
      </w:r>
      <w:r w:rsidR="00AD0843">
        <w:rPr>
          <w:rFonts w:ascii="Garamond" w:hAnsi="Garamond"/>
          <w:sz w:val="22"/>
          <w:szCs w:val="22"/>
        </w:rPr>
        <w:t xml:space="preserve">tobacco </w:t>
      </w:r>
      <w:r w:rsidR="00CC2154">
        <w:rPr>
          <w:rFonts w:ascii="Garamond" w:hAnsi="Garamond"/>
          <w:sz w:val="22"/>
          <w:szCs w:val="22"/>
        </w:rPr>
        <w:t xml:space="preserve">prices </w:t>
      </w:r>
      <w:r w:rsidR="00AD0843">
        <w:rPr>
          <w:rFonts w:ascii="Garamond" w:hAnsi="Garamond"/>
          <w:sz w:val="22"/>
          <w:szCs w:val="22"/>
        </w:rPr>
        <w:t>hav</w:t>
      </w:r>
      <w:r w:rsidR="00CC2154">
        <w:rPr>
          <w:rFonts w:ascii="Garamond" w:hAnsi="Garamond"/>
          <w:sz w:val="22"/>
          <w:szCs w:val="22"/>
        </w:rPr>
        <w:t xml:space="preserve">ing </w:t>
      </w:r>
      <w:r w:rsidR="00AD0843">
        <w:rPr>
          <w:rFonts w:ascii="Garamond" w:hAnsi="Garamond"/>
          <w:sz w:val="22"/>
          <w:szCs w:val="22"/>
        </w:rPr>
        <w:t xml:space="preserve">risen </w:t>
      </w:r>
      <w:r w:rsidRPr="00BB7433">
        <w:rPr>
          <w:rFonts w:ascii="Garamond" w:hAnsi="Garamond"/>
          <w:sz w:val="22"/>
          <w:szCs w:val="22"/>
        </w:rPr>
        <w:t xml:space="preserve">by </w:t>
      </w:r>
      <w:r w:rsidR="00CC2154">
        <w:rPr>
          <w:rFonts w:ascii="Garamond" w:hAnsi="Garamond"/>
          <w:sz w:val="22"/>
          <w:szCs w:val="22"/>
        </w:rPr>
        <w:t>8</w:t>
      </w:r>
      <w:r w:rsidRPr="00BB7433">
        <w:rPr>
          <w:rFonts w:ascii="Garamond" w:hAnsi="Garamond"/>
          <w:sz w:val="22"/>
          <w:szCs w:val="22"/>
        </w:rPr>
        <w:t>.</w:t>
      </w:r>
      <w:r w:rsidR="00CC2154">
        <w:rPr>
          <w:rFonts w:ascii="Garamond" w:hAnsi="Garamond"/>
          <w:sz w:val="22"/>
          <w:szCs w:val="22"/>
        </w:rPr>
        <w:t>2</w:t>
      </w:r>
      <w:r w:rsidRPr="00BB7433">
        <w:rPr>
          <w:rFonts w:ascii="Garamond" w:hAnsi="Garamond"/>
          <w:sz w:val="22"/>
          <w:szCs w:val="22"/>
        </w:rPr>
        <w:t>%, 3.</w:t>
      </w:r>
      <w:r w:rsidR="00CC2154">
        <w:rPr>
          <w:rFonts w:ascii="Garamond" w:hAnsi="Garamond"/>
          <w:sz w:val="22"/>
          <w:szCs w:val="22"/>
        </w:rPr>
        <w:t>3</w:t>
      </w:r>
      <w:r w:rsidRPr="00BB7433">
        <w:rPr>
          <w:rFonts w:ascii="Garamond" w:hAnsi="Garamond"/>
          <w:sz w:val="22"/>
          <w:szCs w:val="22"/>
        </w:rPr>
        <w:t>%</w:t>
      </w:r>
      <w:r w:rsidR="00CC2154">
        <w:rPr>
          <w:rFonts w:ascii="Garamond" w:hAnsi="Garamond"/>
          <w:sz w:val="22"/>
          <w:szCs w:val="22"/>
        </w:rPr>
        <w:t xml:space="preserve">, 3.8%, 3.6% </w:t>
      </w:r>
      <w:r w:rsidRPr="00BB7433">
        <w:rPr>
          <w:rFonts w:ascii="Garamond" w:hAnsi="Garamond"/>
          <w:sz w:val="22"/>
          <w:szCs w:val="22"/>
        </w:rPr>
        <w:t xml:space="preserve">and </w:t>
      </w:r>
      <w:r w:rsidR="00CC2154">
        <w:rPr>
          <w:rFonts w:ascii="Garamond" w:hAnsi="Garamond"/>
          <w:sz w:val="22"/>
          <w:szCs w:val="22"/>
        </w:rPr>
        <w:t>9</w:t>
      </w:r>
      <w:r w:rsidRPr="00BB7433">
        <w:rPr>
          <w:rFonts w:ascii="Garamond" w:hAnsi="Garamond"/>
          <w:sz w:val="22"/>
          <w:szCs w:val="22"/>
        </w:rPr>
        <w:t>.7%, respectively (</w:t>
      </w:r>
      <w:r w:rsidR="00CC2154">
        <w:rPr>
          <w:rFonts w:ascii="Garamond" w:hAnsi="Garamond"/>
          <w:sz w:val="22"/>
          <w:szCs w:val="22"/>
        </w:rPr>
        <w:t xml:space="preserve">combined </w:t>
      </w:r>
      <w:r w:rsidRPr="00BB7433">
        <w:rPr>
          <w:rFonts w:ascii="Garamond" w:hAnsi="Garamond"/>
          <w:sz w:val="22"/>
          <w:szCs w:val="22"/>
        </w:rPr>
        <w:t>contributi</w:t>
      </w:r>
      <w:r>
        <w:rPr>
          <w:rFonts w:ascii="Garamond" w:hAnsi="Garamond"/>
          <w:sz w:val="22"/>
          <w:szCs w:val="22"/>
        </w:rPr>
        <w:t>on</w:t>
      </w:r>
      <w:r w:rsidRPr="00BB7433">
        <w:rPr>
          <w:rFonts w:ascii="Garamond" w:hAnsi="Garamond"/>
          <w:sz w:val="22"/>
          <w:szCs w:val="22"/>
        </w:rPr>
        <w:t xml:space="preserve"> to the </w:t>
      </w:r>
      <w:r w:rsidR="00CC2154">
        <w:rPr>
          <w:rFonts w:ascii="Garamond" w:hAnsi="Garamond"/>
          <w:sz w:val="22"/>
          <w:szCs w:val="22"/>
        </w:rPr>
        <w:t xml:space="preserve">12-month </w:t>
      </w:r>
      <w:r w:rsidRPr="00BB7433">
        <w:rPr>
          <w:rFonts w:ascii="Garamond" w:hAnsi="Garamond"/>
          <w:sz w:val="22"/>
          <w:szCs w:val="22"/>
        </w:rPr>
        <w:t>inflation</w:t>
      </w:r>
      <w:r>
        <w:rPr>
          <w:rFonts w:ascii="Garamond" w:hAnsi="Garamond"/>
          <w:sz w:val="22"/>
          <w:szCs w:val="22"/>
        </w:rPr>
        <w:t>:</w:t>
      </w:r>
      <w:r w:rsidRPr="00BB7433">
        <w:rPr>
          <w:rFonts w:ascii="Garamond" w:hAnsi="Garamond"/>
          <w:sz w:val="22"/>
          <w:szCs w:val="22"/>
        </w:rPr>
        <w:t xml:space="preserve"> about </w:t>
      </w:r>
      <w:r w:rsidR="00CC2154">
        <w:rPr>
          <w:rFonts w:ascii="Garamond" w:hAnsi="Garamond"/>
          <w:sz w:val="22"/>
          <w:szCs w:val="22"/>
        </w:rPr>
        <w:t>1</w:t>
      </w:r>
      <w:r w:rsidRPr="00BB7433">
        <w:rPr>
          <w:rFonts w:ascii="Garamond" w:hAnsi="Garamond"/>
          <w:sz w:val="22"/>
          <w:szCs w:val="22"/>
        </w:rPr>
        <w:t>.</w:t>
      </w:r>
      <w:r w:rsidR="00CC2154">
        <w:rPr>
          <w:rFonts w:ascii="Garamond" w:hAnsi="Garamond"/>
          <w:sz w:val="22"/>
          <w:szCs w:val="22"/>
        </w:rPr>
        <w:t>5</w:t>
      </w:r>
      <w:r w:rsidRPr="00BB7433">
        <w:rPr>
          <w:rFonts w:ascii="Garamond" w:hAnsi="Garamond"/>
          <w:sz w:val="22"/>
          <w:szCs w:val="22"/>
        </w:rPr>
        <w:t xml:space="preserve"> p</w:t>
      </w:r>
      <w:r>
        <w:rPr>
          <w:rFonts w:ascii="Garamond" w:hAnsi="Garamond"/>
          <w:sz w:val="22"/>
          <w:szCs w:val="22"/>
        </w:rPr>
        <w:t>p</w:t>
      </w:r>
      <w:r w:rsidRPr="00BB7433">
        <w:rPr>
          <w:rFonts w:ascii="Garamond" w:hAnsi="Garamond"/>
          <w:sz w:val="22"/>
          <w:szCs w:val="22"/>
        </w:rPr>
        <w:t>).</w:t>
      </w:r>
    </w:p>
    <w:p w14:paraId="6603328A" w14:textId="77777777" w:rsidR="007A7566" w:rsidRDefault="00CC2154" w:rsidP="00781ACF">
      <w:pPr>
        <w:autoSpaceDE w:val="0"/>
        <w:autoSpaceDN w:val="0"/>
        <w:adjustRightInd w:val="0"/>
        <w:spacing w:after="120" w:line="360" w:lineRule="auto"/>
        <w:jc w:val="both"/>
        <w:rPr>
          <w:rFonts w:ascii="Garamond" w:hAnsi="Garamond"/>
          <w:sz w:val="22"/>
          <w:szCs w:val="22"/>
        </w:rPr>
      </w:pPr>
      <w:r w:rsidRPr="007A7566">
        <w:rPr>
          <w:rFonts w:ascii="Garamond" w:hAnsi="Garamond"/>
          <w:sz w:val="22"/>
          <w:szCs w:val="22"/>
        </w:rPr>
        <w:t>In the group “Non-food products”</w:t>
      </w:r>
      <w:r w:rsidR="007A7566" w:rsidRPr="007A7566">
        <w:rPr>
          <w:rFonts w:ascii="Sylfaen" w:hAnsi="Sylfaen"/>
          <w:sz w:val="22"/>
          <w:szCs w:val="22"/>
          <w:lang w:val="hy-AM"/>
        </w:rPr>
        <w:t>,</w:t>
      </w:r>
      <w:r w:rsidR="007A7566">
        <w:rPr>
          <w:rFonts w:ascii="Garamond" w:hAnsi="Garamond"/>
          <w:sz w:val="22"/>
          <w:szCs w:val="22"/>
        </w:rPr>
        <w:t xml:space="preserve"> th</w:t>
      </w:r>
      <w:r w:rsidRPr="007A7566">
        <w:rPr>
          <w:rFonts w:ascii="Garamond" w:hAnsi="Garamond"/>
          <w:sz w:val="22"/>
          <w:szCs w:val="22"/>
        </w:rPr>
        <w:t>e cloth</w:t>
      </w:r>
      <w:r w:rsidR="007A7566">
        <w:rPr>
          <w:rFonts w:ascii="Garamond" w:hAnsi="Garamond"/>
          <w:sz w:val="22"/>
          <w:szCs w:val="22"/>
        </w:rPr>
        <w:t>es</w:t>
      </w:r>
      <w:r w:rsidRPr="007A7566">
        <w:rPr>
          <w:rFonts w:ascii="Garamond" w:hAnsi="Garamond"/>
          <w:sz w:val="22"/>
          <w:szCs w:val="22"/>
        </w:rPr>
        <w:t xml:space="preserve">, footwear and </w:t>
      </w:r>
      <w:r w:rsidR="007A7566">
        <w:rPr>
          <w:rFonts w:ascii="Garamond" w:hAnsi="Garamond"/>
          <w:sz w:val="22"/>
          <w:szCs w:val="22"/>
        </w:rPr>
        <w:t>pharmaceutical</w:t>
      </w:r>
      <w:r w:rsidR="007A7566" w:rsidRPr="007A7566">
        <w:rPr>
          <w:rFonts w:ascii="Garamond" w:hAnsi="Garamond"/>
          <w:sz w:val="22"/>
          <w:szCs w:val="22"/>
        </w:rPr>
        <w:t>s</w:t>
      </w:r>
      <w:r w:rsidR="007A7566">
        <w:rPr>
          <w:rFonts w:ascii="Garamond" w:hAnsi="Garamond"/>
          <w:sz w:val="22"/>
          <w:szCs w:val="22"/>
        </w:rPr>
        <w:t xml:space="preserve"> prices posted a slight increase </w:t>
      </w:r>
      <w:r w:rsidRPr="007A7566">
        <w:rPr>
          <w:rFonts w:ascii="Garamond" w:hAnsi="Garamond"/>
          <w:sz w:val="22"/>
          <w:szCs w:val="22"/>
        </w:rPr>
        <w:t>in March 2019</w:t>
      </w:r>
      <w:r w:rsidR="007A7566">
        <w:rPr>
          <w:rFonts w:ascii="Garamond" w:hAnsi="Garamond"/>
          <w:sz w:val="22"/>
          <w:szCs w:val="22"/>
        </w:rPr>
        <w:t>,</w:t>
      </w:r>
      <w:r w:rsidRPr="007A7566">
        <w:rPr>
          <w:rFonts w:ascii="Garamond" w:hAnsi="Garamond"/>
          <w:sz w:val="22"/>
          <w:szCs w:val="22"/>
        </w:rPr>
        <w:t xml:space="preserve"> by</w:t>
      </w:r>
      <w:r>
        <w:rPr>
          <w:rFonts w:ascii="Garamond" w:hAnsi="Garamond"/>
          <w:sz w:val="22"/>
          <w:szCs w:val="22"/>
        </w:rPr>
        <w:t xml:space="preserve"> </w:t>
      </w:r>
      <w:r w:rsidRPr="00CC2154">
        <w:rPr>
          <w:rFonts w:ascii="Garamond" w:hAnsi="Garamond"/>
          <w:sz w:val="22"/>
          <w:szCs w:val="22"/>
        </w:rPr>
        <w:t>2.8%, 3.6% and 1.1%</w:t>
      </w:r>
      <w:r>
        <w:rPr>
          <w:rFonts w:ascii="Garamond" w:hAnsi="Garamond"/>
          <w:sz w:val="22"/>
          <w:szCs w:val="22"/>
        </w:rPr>
        <w:t>,</w:t>
      </w:r>
      <w:r w:rsidRPr="00CC2154">
        <w:rPr>
          <w:rFonts w:ascii="Garamond" w:hAnsi="Garamond"/>
          <w:sz w:val="22"/>
          <w:szCs w:val="22"/>
        </w:rPr>
        <w:t xml:space="preserve"> respectively</w:t>
      </w:r>
      <w:r w:rsidR="007A7566">
        <w:rPr>
          <w:rFonts w:ascii="Garamond" w:hAnsi="Garamond"/>
          <w:sz w:val="22"/>
          <w:szCs w:val="22"/>
        </w:rPr>
        <w:t>,</w:t>
      </w:r>
      <w:r w:rsidRPr="00CC2154">
        <w:rPr>
          <w:rFonts w:ascii="Garamond" w:hAnsi="Garamond"/>
          <w:sz w:val="22"/>
          <w:szCs w:val="22"/>
        </w:rPr>
        <w:t xml:space="preserve"> compar</w:t>
      </w:r>
      <w:r>
        <w:rPr>
          <w:rFonts w:ascii="Garamond" w:hAnsi="Garamond"/>
          <w:sz w:val="22"/>
          <w:szCs w:val="22"/>
        </w:rPr>
        <w:t>ed to the same period last year</w:t>
      </w:r>
      <w:r w:rsidR="007A7566">
        <w:rPr>
          <w:rFonts w:ascii="Garamond" w:hAnsi="Garamond"/>
          <w:sz w:val="22"/>
          <w:szCs w:val="22"/>
        </w:rPr>
        <w:t xml:space="preserve"> </w:t>
      </w:r>
      <w:r w:rsidR="00E23235">
        <w:rPr>
          <w:rFonts w:ascii="Garamond" w:hAnsi="Garamond"/>
          <w:sz w:val="22"/>
          <w:szCs w:val="22"/>
        </w:rPr>
        <w:t>(</w:t>
      </w:r>
      <w:r w:rsidR="007A7566">
        <w:rPr>
          <w:rFonts w:ascii="Garamond" w:hAnsi="Garamond"/>
          <w:sz w:val="22"/>
          <w:szCs w:val="22"/>
        </w:rPr>
        <w:t xml:space="preserve">combined </w:t>
      </w:r>
      <w:r w:rsidR="00E23235">
        <w:rPr>
          <w:rFonts w:ascii="Garamond" w:hAnsi="Garamond"/>
          <w:sz w:val="22"/>
          <w:szCs w:val="22"/>
        </w:rPr>
        <w:t xml:space="preserve">contribution </w:t>
      </w:r>
      <w:r w:rsidR="007A7566" w:rsidRPr="00BB7433">
        <w:rPr>
          <w:rFonts w:ascii="Garamond" w:hAnsi="Garamond"/>
          <w:sz w:val="22"/>
          <w:szCs w:val="22"/>
        </w:rPr>
        <w:t xml:space="preserve">to the </w:t>
      </w:r>
      <w:r w:rsidR="007A7566">
        <w:rPr>
          <w:rFonts w:ascii="Garamond" w:hAnsi="Garamond"/>
          <w:sz w:val="22"/>
          <w:szCs w:val="22"/>
        </w:rPr>
        <w:t xml:space="preserve">12-month </w:t>
      </w:r>
      <w:r w:rsidR="007A7566" w:rsidRPr="00BB7433">
        <w:rPr>
          <w:rFonts w:ascii="Garamond" w:hAnsi="Garamond"/>
          <w:sz w:val="22"/>
          <w:szCs w:val="22"/>
        </w:rPr>
        <w:t>inflation</w:t>
      </w:r>
      <w:r w:rsidR="007A7566">
        <w:rPr>
          <w:rFonts w:ascii="Garamond" w:hAnsi="Garamond"/>
          <w:sz w:val="22"/>
          <w:szCs w:val="22"/>
        </w:rPr>
        <w:t>:</w:t>
      </w:r>
      <w:r w:rsidR="00E23235" w:rsidRPr="00BB7433">
        <w:rPr>
          <w:rFonts w:ascii="Garamond" w:hAnsi="Garamond"/>
          <w:sz w:val="22"/>
          <w:szCs w:val="22"/>
        </w:rPr>
        <w:t xml:space="preserve"> about </w:t>
      </w:r>
      <w:r w:rsidR="00183633">
        <w:rPr>
          <w:rFonts w:ascii="Garamond" w:hAnsi="Garamond"/>
          <w:sz w:val="22"/>
          <w:szCs w:val="22"/>
        </w:rPr>
        <w:t>0</w:t>
      </w:r>
      <w:r w:rsidR="00E23235" w:rsidRPr="00BB7433">
        <w:rPr>
          <w:rFonts w:ascii="Garamond" w:hAnsi="Garamond"/>
          <w:sz w:val="22"/>
          <w:szCs w:val="22"/>
        </w:rPr>
        <w:t>.</w:t>
      </w:r>
      <w:r w:rsidR="007A7566">
        <w:rPr>
          <w:rFonts w:ascii="Garamond" w:hAnsi="Garamond"/>
          <w:sz w:val="22"/>
          <w:szCs w:val="22"/>
        </w:rPr>
        <w:t>2</w:t>
      </w:r>
      <w:r w:rsidR="00E23235" w:rsidRPr="00BB7433">
        <w:rPr>
          <w:rFonts w:ascii="Garamond" w:hAnsi="Garamond"/>
          <w:sz w:val="22"/>
          <w:szCs w:val="22"/>
        </w:rPr>
        <w:t xml:space="preserve"> p</w:t>
      </w:r>
      <w:r w:rsidR="00E23235">
        <w:rPr>
          <w:rFonts w:ascii="Garamond" w:hAnsi="Garamond"/>
          <w:sz w:val="22"/>
          <w:szCs w:val="22"/>
        </w:rPr>
        <w:t>p</w:t>
      </w:r>
      <w:r w:rsidR="00183633">
        <w:rPr>
          <w:rFonts w:ascii="Garamond" w:hAnsi="Garamond"/>
          <w:sz w:val="22"/>
          <w:szCs w:val="22"/>
        </w:rPr>
        <w:t>).</w:t>
      </w:r>
    </w:p>
    <w:p w14:paraId="23B6D8A3" w14:textId="77777777" w:rsidR="00246039" w:rsidRDefault="00246039" w:rsidP="00781ACF">
      <w:pPr>
        <w:autoSpaceDE w:val="0"/>
        <w:autoSpaceDN w:val="0"/>
        <w:adjustRightInd w:val="0"/>
        <w:spacing w:after="120" w:line="360" w:lineRule="auto"/>
        <w:jc w:val="both"/>
        <w:rPr>
          <w:rFonts w:ascii="Garamond" w:hAnsi="Garamond"/>
          <w:sz w:val="22"/>
          <w:szCs w:val="22"/>
        </w:rPr>
      </w:pPr>
      <w:r w:rsidRPr="00246039">
        <w:rPr>
          <w:rFonts w:ascii="Garamond" w:hAnsi="Garamond"/>
          <w:sz w:val="22"/>
          <w:szCs w:val="22"/>
        </w:rPr>
        <w:t xml:space="preserve">The </w:t>
      </w:r>
      <w:r>
        <w:rPr>
          <w:rFonts w:ascii="Garamond" w:hAnsi="Garamond"/>
          <w:sz w:val="22"/>
          <w:szCs w:val="22"/>
        </w:rPr>
        <w:t xml:space="preserve">growth in service </w:t>
      </w:r>
      <w:r w:rsidRPr="00246039">
        <w:rPr>
          <w:rFonts w:ascii="Garamond" w:hAnsi="Garamond"/>
          <w:sz w:val="22"/>
          <w:szCs w:val="22"/>
        </w:rPr>
        <w:t xml:space="preserve">tariffs </w:t>
      </w:r>
      <w:r>
        <w:rPr>
          <w:rFonts w:ascii="Garamond" w:hAnsi="Garamond"/>
          <w:sz w:val="22"/>
          <w:szCs w:val="22"/>
        </w:rPr>
        <w:t xml:space="preserve">owed to </w:t>
      </w:r>
      <w:r w:rsidRPr="00246039">
        <w:rPr>
          <w:rFonts w:ascii="Garamond" w:hAnsi="Garamond"/>
          <w:sz w:val="22"/>
          <w:szCs w:val="22"/>
        </w:rPr>
        <w:t xml:space="preserve">the </w:t>
      </w:r>
      <w:r>
        <w:rPr>
          <w:rFonts w:ascii="Garamond" w:hAnsi="Garamond"/>
          <w:sz w:val="22"/>
          <w:szCs w:val="22"/>
        </w:rPr>
        <w:t>increased prices for</w:t>
      </w:r>
      <w:r w:rsidRPr="00246039">
        <w:rPr>
          <w:rFonts w:ascii="Garamond" w:hAnsi="Garamond"/>
          <w:sz w:val="22"/>
          <w:szCs w:val="22"/>
        </w:rPr>
        <w:t xml:space="preserve"> ambulatory services, education</w:t>
      </w:r>
      <w:r>
        <w:rPr>
          <w:rFonts w:ascii="Garamond" w:hAnsi="Garamond"/>
          <w:sz w:val="22"/>
          <w:szCs w:val="22"/>
        </w:rPr>
        <w:t xml:space="preserve"> services</w:t>
      </w:r>
      <w:r w:rsidRPr="00246039">
        <w:rPr>
          <w:rFonts w:ascii="Garamond" w:hAnsi="Garamond"/>
          <w:sz w:val="22"/>
          <w:szCs w:val="22"/>
        </w:rPr>
        <w:t>, as well as restaurants and hotel services, by 2.2%, 1.2% and 2.7% respectively</w:t>
      </w:r>
      <w:r>
        <w:rPr>
          <w:rFonts w:ascii="Garamond" w:hAnsi="Garamond"/>
          <w:sz w:val="22"/>
          <w:szCs w:val="22"/>
        </w:rPr>
        <w:t xml:space="preserve"> (combined contribution </w:t>
      </w:r>
      <w:r w:rsidRPr="00BB7433">
        <w:rPr>
          <w:rFonts w:ascii="Garamond" w:hAnsi="Garamond"/>
          <w:sz w:val="22"/>
          <w:szCs w:val="22"/>
        </w:rPr>
        <w:t xml:space="preserve">to the </w:t>
      </w:r>
      <w:r>
        <w:rPr>
          <w:rFonts w:ascii="Garamond" w:hAnsi="Garamond"/>
          <w:sz w:val="22"/>
          <w:szCs w:val="22"/>
        </w:rPr>
        <w:t xml:space="preserve">12-month </w:t>
      </w:r>
      <w:r w:rsidRPr="00BB7433">
        <w:rPr>
          <w:rFonts w:ascii="Garamond" w:hAnsi="Garamond"/>
          <w:sz w:val="22"/>
          <w:szCs w:val="22"/>
        </w:rPr>
        <w:t>inflation</w:t>
      </w:r>
      <w:r>
        <w:rPr>
          <w:rFonts w:ascii="Garamond" w:hAnsi="Garamond"/>
          <w:sz w:val="22"/>
          <w:szCs w:val="22"/>
        </w:rPr>
        <w:t>:</w:t>
      </w:r>
      <w:r w:rsidRPr="00BB7433">
        <w:rPr>
          <w:rFonts w:ascii="Garamond" w:hAnsi="Garamond"/>
          <w:sz w:val="22"/>
          <w:szCs w:val="22"/>
        </w:rPr>
        <w:t xml:space="preserve"> about </w:t>
      </w:r>
      <w:r>
        <w:rPr>
          <w:rFonts w:ascii="Garamond" w:hAnsi="Garamond"/>
          <w:sz w:val="22"/>
          <w:szCs w:val="22"/>
        </w:rPr>
        <w:t>0</w:t>
      </w:r>
      <w:r w:rsidRPr="00BB7433">
        <w:rPr>
          <w:rFonts w:ascii="Garamond" w:hAnsi="Garamond"/>
          <w:sz w:val="22"/>
          <w:szCs w:val="22"/>
        </w:rPr>
        <w:t>.</w:t>
      </w:r>
      <w:r>
        <w:rPr>
          <w:rFonts w:ascii="Garamond" w:hAnsi="Garamond"/>
          <w:sz w:val="22"/>
          <w:szCs w:val="22"/>
        </w:rPr>
        <w:t>1</w:t>
      </w:r>
      <w:r w:rsidRPr="00BB7433">
        <w:rPr>
          <w:rFonts w:ascii="Garamond" w:hAnsi="Garamond"/>
          <w:sz w:val="22"/>
          <w:szCs w:val="22"/>
        </w:rPr>
        <w:t xml:space="preserve"> p</w:t>
      </w:r>
      <w:r>
        <w:rPr>
          <w:rFonts w:ascii="Garamond" w:hAnsi="Garamond"/>
          <w:sz w:val="22"/>
          <w:szCs w:val="22"/>
        </w:rPr>
        <w:t>p).</w:t>
      </w:r>
    </w:p>
    <w:p w14:paraId="38A1AC66" w14:textId="77777777" w:rsidR="00246039" w:rsidRDefault="00246039" w:rsidP="00781ACF">
      <w:pPr>
        <w:autoSpaceDE w:val="0"/>
        <w:autoSpaceDN w:val="0"/>
        <w:adjustRightInd w:val="0"/>
        <w:spacing w:after="120" w:line="360" w:lineRule="auto"/>
        <w:jc w:val="both"/>
        <w:rPr>
          <w:rFonts w:ascii="Garamond" w:hAnsi="Garamond"/>
          <w:sz w:val="22"/>
          <w:szCs w:val="22"/>
        </w:rPr>
      </w:pPr>
      <w:r>
        <w:rPr>
          <w:rFonts w:ascii="Garamond" w:hAnsi="Garamond"/>
          <w:sz w:val="22"/>
          <w:szCs w:val="22"/>
        </w:rPr>
        <w:t>Caused by the developments mentioned above, t</w:t>
      </w:r>
      <w:r w:rsidRPr="007A7566">
        <w:rPr>
          <w:rFonts w:ascii="Garamond" w:hAnsi="Garamond"/>
          <w:sz w:val="22"/>
          <w:szCs w:val="22"/>
        </w:rPr>
        <w:t xml:space="preserve">he 12-month </w:t>
      </w:r>
      <w:r>
        <w:rPr>
          <w:rFonts w:ascii="Garamond" w:hAnsi="Garamond"/>
          <w:sz w:val="22"/>
          <w:szCs w:val="22"/>
        </w:rPr>
        <w:t xml:space="preserve">core inflation’s </w:t>
      </w:r>
      <w:r w:rsidRPr="007A7566">
        <w:rPr>
          <w:rFonts w:ascii="Garamond" w:hAnsi="Garamond"/>
          <w:sz w:val="22"/>
          <w:szCs w:val="22"/>
        </w:rPr>
        <w:t xml:space="preserve">March 2018 </w:t>
      </w:r>
      <w:r>
        <w:rPr>
          <w:rFonts w:ascii="Garamond" w:hAnsi="Garamond"/>
          <w:sz w:val="22"/>
          <w:szCs w:val="22"/>
        </w:rPr>
        <w:t xml:space="preserve">indicator </w:t>
      </w:r>
      <w:r w:rsidRPr="007A7566">
        <w:rPr>
          <w:rFonts w:ascii="Garamond" w:hAnsi="Garamond"/>
          <w:sz w:val="22"/>
          <w:szCs w:val="22"/>
        </w:rPr>
        <w:t xml:space="preserve">has dropped </w:t>
      </w:r>
      <w:r>
        <w:rPr>
          <w:rFonts w:ascii="Garamond" w:hAnsi="Garamond"/>
          <w:sz w:val="22"/>
          <w:szCs w:val="22"/>
        </w:rPr>
        <w:t xml:space="preserve">throughout </w:t>
      </w:r>
      <w:r w:rsidRPr="007A7566">
        <w:rPr>
          <w:rFonts w:ascii="Garamond" w:hAnsi="Garamond"/>
          <w:sz w:val="22"/>
          <w:szCs w:val="22"/>
        </w:rPr>
        <w:t xml:space="preserve">the year </w:t>
      </w:r>
      <w:r>
        <w:rPr>
          <w:rFonts w:ascii="Garamond" w:hAnsi="Garamond"/>
          <w:sz w:val="22"/>
          <w:szCs w:val="22"/>
        </w:rPr>
        <w:t xml:space="preserve">to </w:t>
      </w:r>
      <w:r w:rsidRPr="007A7566">
        <w:rPr>
          <w:rFonts w:ascii="Garamond" w:hAnsi="Garamond"/>
          <w:sz w:val="22"/>
          <w:szCs w:val="22"/>
        </w:rPr>
        <w:t>1.3% as of March 2019.</w:t>
      </w:r>
    </w:p>
    <w:p w14:paraId="2D5F8DF6" w14:textId="77777777" w:rsidR="006A09E1" w:rsidRDefault="00246039" w:rsidP="00781ACF">
      <w:pPr>
        <w:autoSpaceDE w:val="0"/>
        <w:autoSpaceDN w:val="0"/>
        <w:adjustRightInd w:val="0"/>
        <w:spacing w:after="120" w:line="360" w:lineRule="auto"/>
        <w:jc w:val="both"/>
        <w:rPr>
          <w:rFonts w:ascii="Garamond" w:hAnsi="Garamond"/>
          <w:sz w:val="22"/>
          <w:szCs w:val="22"/>
        </w:rPr>
      </w:pPr>
      <w:r w:rsidRPr="00246039">
        <w:rPr>
          <w:rFonts w:ascii="Garamond" w:hAnsi="Garamond"/>
          <w:sz w:val="22"/>
          <w:szCs w:val="22"/>
        </w:rPr>
        <w:t xml:space="preserve">The 12-month rate of tariffs for regulated services has dropped slightly due to a 0.2% decrease in housing utility </w:t>
      </w:r>
      <w:r>
        <w:rPr>
          <w:rFonts w:ascii="Garamond" w:hAnsi="Garamond"/>
          <w:sz w:val="22"/>
          <w:szCs w:val="22"/>
        </w:rPr>
        <w:t xml:space="preserve">fees </w:t>
      </w:r>
      <w:r w:rsidRPr="00246039">
        <w:rPr>
          <w:rFonts w:ascii="Garamond" w:hAnsi="Garamond"/>
          <w:sz w:val="22"/>
          <w:szCs w:val="22"/>
        </w:rPr>
        <w:t>tariffs and amounted to -0.1%. The 12-month rate of</w:t>
      </w:r>
      <w:r w:rsidR="006A09E1">
        <w:rPr>
          <w:rFonts w:ascii="Garamond" w:hAnsi="Garamond"/>
          <w:sz w:val="22"/>
          <w:szCs w:val="22"/>
        </w:rPr>
        <w:t xml:space="preserve"> prices of</w:t>
      </w:r>
      <w:r w:rsidRPr="00246039">
        <w:rPr>
          <w:rFonts w:ascii="Garamond" w:hAnsi="Garamond"/>
          <w:sz w:val="22"/>
          <w:szCs w:val="22"/>
        </w:rPr>
        <w:t xml:space="preserve"> seasona</w:t>
      </w:r>
      <w:r w:rsidR="006A09E1">
        <w:rPr>
          <w:rFonts w:ascii="Garamond" w:hAnsi="Garamond"/>
          <w:sz w:val="22"/>
          <w:szCs w:val="22"/>
        </w:rPr>
        <w:t xml:space="preserve">lly-sensitive goods amounted to 6.5% </w:t>
      </w:r>
      <w:r w:rsidRPr="00246039">
        <w:rPr>
          <w:rFonts w:ascii="Garamond" w:hAnsi="Garamond"/>
          <w:sz w:val="22"/>
          <w:szCs w:val="22"/>
        </w:rPr>
        <w:t>due to the growth of vegetable, fruit and egg</w:t>
      </w:r>
      <w:r w:rsidR="006A09E1">
        <w:rPr>
          <w:rFonts w:ascii="Garamond" w:hAnsi="Garamond"/>
          <w:sz w:val="22"/>
          <w:szCs w:val="22"/>
        </w:rPr>
        <w:t xml:space="preserve"> prices </w:t>
      </w:r>
      <w:r w:rsidRPr="00246039">
        <w:rPr>
          <w:rFonts w:ascii="Garamond" w:hAnsi="Garamond"/>
          <w:sz w:val="22"/>
          <w:szCs w:val="22"/>
        </w:rPr>
        <w:t>by 8.2%, 3.3% and 5.5%, respectively (</w:t>
      </w:r>
      <w:r w:rsidR="006A09E1">
        <w:rPr>
          <w:rFonts w:ascii="Garamond" w:hAnsi="Garamond"/>
          <w:sz w:val="22"/>
          <w:szCs w:val="22"/>
        </w:rPr>
        <w:t xml:space="preserve">combined contribution </w:t>
      </w:r>
      <w:r w:rsidR="006A09E1" w:rsidRPr="00BB7433">
        <w:rPr>
          <w:rFonts w:ascii="Garamond" w:hAnsi="Garamond"/>
          <w:sz w:val="22"/>
          <w:szCs w:val="22"/>
        </w:rPr>
        <w:t xml:space="preserve">to the </w:t>
      </w:r>
      <w:r w:rsidR="006A09E1">
        <w:rPr>
          <w:rFonts w:ascii="Garamond" w:hAnsi="Garamond"/>
          <w:sz w:val="22"/>
          <w:szCs w:val="22"/>
        </w:rPr>
        <w:t xml:space="preserve">12-month </w:t>
      </w:r>
      <w:r w:rsidR="006A09E1" w:rsidRPr="00BB7433">
        <w:rPr>
          <w:rFonts w:ascii="Garamond" w:hAnsi="Garamond"/>
          <w:sz w:val="22"/>
          <w:szCs w:val="22"/>
        </w:rPr>
        <w:t>inflation</w:t>
      </w:r>
      <w:r w:rsidR="006A09E1">
        <w:rPr>
          <w:rFonts w:ascii="Garamond" w:hAnsi="Garamond"/>
          <w:sz w:val="22"/>
          <w:szCs w:val="22"/>
        </w:rPr>
        <w:t>:</w:t>
      </w:r>
      <w:r w:rsidRPr="00246039">
        <w:rPr>
          <w:rFonts w:ascii="Garamond" w:hAnsi="Garamond"/>
          <w:sz w:val="22"/>
          <w:szCs w:val="22"/>
        </w:rPr>
        <w:t xml:space="preserve"> about 0.7 p</w:t>
      </w:r>
      <w:r w:rsidR="006A09E1">
        <w:rPr>
          <w:rFonts w:ascii="Garamond" w:hAnsi="Garamond"/>
          <w:sz w:val="22"/>
          <w:szCs w:val="22"/>
        </w:rPr>
        <w:t>p</w:t>
      </w:r>
      <w:r w:rsidRPr="00246039">
        <w:rPr>
          <w:rFonts w:ascii="Garamond" w:hAnsi="Garamond"/>
          <w:sz w:val="22"/>
          <w:szCs w:val="22"/>
        </w:rPr>
        <w:t>).</w:t>
      </w:r>
      <w:r w:rsidR="006A09E1">
        <w:rPr>
          <w:rFonts w:ascii="Garamond" w:hAnsi="Garamond"/>
          <w:sz w:val="22"/>
          <w:szCs w:val="22"/>
        </w:rPr>
        <w:t xml:space="preserve"> </w:t>
      </w:r>
    </w:p>
    <w:p w14:paraId="45D5E617" w14:textId="77777777" w:rsidR="005C339F" w:rsidRDefault="006A09E1" w:rsidP="00781ACF">
      <w:pPr>
        <w:autoSpaceDE w:val="0"/>
        <w:autoSpaceDN w:val="0"/>
        <w:adjustRightInd w:val="0"/>
        <w:spacing w:after="120" w:line="360" w:lineRule="auto"/>
        <w:jc w:val="both"/>
        <w:rPr>
          <w:rFonts w:ascii="Garamond" w:hAnsi="Garamond"/>
          <w:sz w:val="22"/>
          <w:szCs w:val="22"/>
        </w:rPr>
      </w:pPr>
      <w:r w:rsidRPr="006A09E1">
        <w:rPr>
          <w:rFonts w:ascii="Garamond" w:hAnsi="Garamond"/>
          <w:sz w:val="22"/>
          <w:szCs w:val="22"/>
        </w:rPr>
        <w:t xml:space="preserve">In the past year, inflation has been largely in line with demand developments, although </w:t>
      </w:r>
      <w:r>
        <w:rPr>
          <w:rFonts w:ascii="Garamond" w:hAnsi="Garamond"/>
          <w:sz w:val="22"/>
          <w:szCs w:val="22"/>
        </w:rPr>
        <w:t xml:space="preserve">it had to endure a certain amount of impact from </w:t>
      </w:r>
      <w:r w:rsidRPr="006A09E1">
        <w:rPr>
          <w:rFonts w:ascii="Garamond" w:hAnsi="Garamond"/>
          <w:sz w:val="22"/>
          <w:szCs w:val="22"/>
        </w:rPr>
        <w:t xml:space="preserve">the supply of </w:t>
      </w:r>
      <w:r>
        <w:rPr>
          <w:rFonts w:ascii="Garamond" w:hAnsi="Garamond"/>
          <w:sz w:val="22"/>
          <w:szCs w:val="22"/>
        </w:rPr>
        <w:t xml:space="preserve">individual </w:t>
      </w:r>
      <w:r w:rsidRPr="006A09E1">
        <w:rPr>
          <w:rFonts w:ascii="Garamond" w:hAnsi="Garamond"/>
          <w:sz w:val="22"/>
          <w:szCs w:val="22"/>
        </w:rPr>
        <w:t xml:space="preserve">products. Particularly, </w:t>
      </w:r>
      <w:r>
        <w:rPr>
          <w:rFonts w:ascii="Garamond" w:hAnsi="Garamond"/>
          <w:sz w:val="22"/>
          <w:szCs w:val="22"/>
        </w:rPr>
        <w:t>supply factors</w:t>
      </w:r>
      <w:r w:rsidR="0024036F">
        <w:rPr>
          <w:rFonts w:ascii="Garamond" w:hAnsi="Garamond"/>
          <w:sz w:val="22"/>
          <w:szCs w:val="22"/>
        </w:rPr>
        <w:t xml:space="preserve"> resulted in a change in </w:t>
      </w:r>
      <w:r w:rsidRPr="006A09E1">
        <w:rPr>
          <w:rFonts w:ascii="Garamond" w:hAnsi="Garamond"/>
          <w:sz w:val="22"/>
          <w:szCs w:val="22"/>
        </w:rPr>
        <w:t xml:space="preserve">the price of beef (due to </w:t>
      </w:r>
      <w:r w:rsidR="0024036F">
        <w:rPr>
          <w:rFonts w:ascii="Garamond" w:hAnsi="Garamond"/>
          <w:sz w:val="22"/>
          <w:szCs w:val="22"/>
        </w:rPr>
        <w:t>an altered headcount</w:t>
      </w:r>
      <w:r w:rsidRPr="006A09E1">
        <w:rPr>
          <w:rFonts w:ascii="Garamond" w:hAnsi="Garamond"/>
          <w:sz w:val="22"/>
          <w:szCs w:val="22"/>
        </w:rPr>
        <w:t>)</w:t>
      </w:r>
      <w:r w:rsidR="0024036F">
        <w:rPr>
          <w:rFonts w:ascii="Garamond" w:hAnsi="Garamond"/>
          <w:sz w:val="22"/>
          <w:szCs w:val="22"/>
        </w:rPr>
        <w:t xml:space="preserve"> in the third quarter of 2018</w:t>
      </w:r>
      <w:r w:rsidRPr="006A09E1">
        <w:rPr>
          <w:rFonts w:ascii="Garamond" w:hAnsi="Garamond"/>
          <w:sz w:val="22"/>
          <w:szCs w:val="22"/>
        </w:rPr>
        <w:t xml:space="preserve"> and </w:t>
      </w:r>
      <w:r w:rsidR="0024036F">
        <w:rPr>
          <w:rFonts w:ascii="Garamond" w:hAnsi="Garamond"/>
          <w:sz w:val="22"/>
          <w:szCs w:val="22"/>
        </w:rPr>
        <w:t>a</w:t>
      </w:r>
      <w:r w:rsidRPr="006A09E1">
        <w:rPr>
          <w:rFonts w:ascii="Garamond" w:hAnsi="Garamond"/>
          <w:sz w:val="22"/>
          <w:szCs w:val="22"/>
        </w:rPr>
        <w:t xml:space="preserve"> change in flour and bread prices (</w:t>
      </w:r>
      <w:r w:rsidR="0024036F">
        <w:rPr>
          <w:rFonts w:ascii="Garamond" w:hAnsi="Garamond"/>
          <w:sz w:val="22"/>
          <w:szCs w:val="22"/>
        </w:rPr>
        <w:t xml:space="preserve">amid the </w:t>
      </w:r>
      <w:r w:rsidRPr="006A09E1">
        <w:rPr>
          <w:rFonts w:ascii="Garamond" w:hAnsi="Garamond"/>
          <w:sz w:val="22"/>
          <w:szCs w:val="22"/>
        </w:rPr>
        <w:t>developments</w:t>
      </w:r>
      <w:r w:rsidR="0024036F">
        <w:rPr>
          <w:rFonts w:ascii="Garamond" w:hAnsi="Garamond"/>
          <w:sz w:val="22"/>
          <w:szCs w:val="22"/>
        </w:rPr>
        <w:t xml:space="preserve"> in the world markets</w:t>
      </w:r>
      <w:r w:rsidRPr="006A09E1">
        <w:rPr>
          <w:rFonts w:ascii="Garamond" w:hAnsi="Garamond"/>
          <w:sz w:val="22"/>
          <w:szCs w:val="22"/>
        </w:rPr>
        <w:t xml:space="preserve">) </w:t>
      </w:r>
      <w:r w:rsidR="0024036F">
        <w:rPr>
          <w:rFonts w:ascii="Garamond" w:hAnsi="Garamond"/>
          <w:sz w:val="22"/>
          <w:szCs w:val="22"/>
        </w:rPr>
        <w:t xml:space="preserve">starting from </w:t>
      </w:r>
      <w:r w:rsidRPr="006A09E1">
        <w:rPr>
          <w:rFonts w:ascii="Garamond" w:hAnsi="Garamond"/>
          <w:sz w:val="22"/>
          <w:szCs w:val="22"/>
        </w:rPr>
        <w:t xml:space="preserve">the fourth quarter, </w:t>
      </w:r>
      <w:r w:rsidR="0024036F">
        <w:rPr>
          <w:rFonts w:ascii="Garamond" w:hAnsi="Garamond"/>
          <w:sz w:val="22"/>
          <w:szCs w:val="22"/>
        </w:rPr>
        <w:t xml:space="preserve">with their combined </w:t>
      </w:r>
      <w:r w:rsidRPr="006A09E1">
        <w:rPr>
          <w:rFonts w:ascii="Garamond" w:hAnsi="Garamond"/>
          <w:sz w:val="22"/>
          <w:szCs w:val="22"/>
        </w:rPr>
        <w:t xml:space="preserve">inflation impact estimated </w:t>
      </w:r>
      <w:r w:rsidR="0024036F">
        <w:rPr>
          <w:rFonts w:ascii="Garamond" w:hAnsi="Garamond"/>
          <w:sz w:val="22"/>
          <w:szCs w:val="22"/>
        </w:rPr>
        <w:t>to reach</w:t>
      </w:r>
      <w:r w:rsidRPr="006A09E1">
        <w:rPr>
          <w:rFonts w:ascii="Garamond" w:hAnsi="Garamond"/>
          <w:sz w:val="22"/>
          <w:szCs w:val="22"/>
        </w:rPr>
        <w:t xml:space="preserve"> 0.4 p</w:t>
      </w:r>
      <w:r w:rsidR="0024036F">
        <w:rPr>
          <w:rFonts w:ascii="Garamond" w:hAnsi="Garamond"/>
          <w:sz w:val="22"/>
          <w:szCs w:val="22"/>
        </w:rPr>
        <w:t>p</w:t>
      </w:r>
      <w:r w:rsidRPr="006A09E1">
        <w:rPr>
          <w:rFonts w:ascii="Garamond" w:hAnsi="Garamond"/>
          <w:sz w:val="22"/>
          <w:szCs w:val="22"/>
        </w:rPr>
        <w:t xml:space="preserve">. </w:t>
      </w:r>
      <w:r w:rsidR="0024036F">
        <w:rPr>
          <w:rFonts w:ascii="Garamond" w:hAnsi="Garamond"/>
          <w:sz w:val="22"/>
          <w:szCs w:val="22"/>
        </w:rPr>
        <w:t xml:space="preserve">The inflation impact of the change in </w:t>
      </w:r>
      <w:r w:rsidR="0024036F" w:rsidRPr="003B756E">
        <w:rPr>
          <w:rFonts w:ascii="Garamond" w:hAnsi="Garamond"/>
          <w:sz w:val="22"/>
          <w:szCs w:val="22"/>
        </w:rPr>
        <w:t xml:space="preserve">customs </w:t>
      </w:r>
      <w:r w:rsidR="0024036F">
        <w:rPr>
          <w:rFonts w:ascii="Garamond" w:hAnsi="Garamond"/>
          <w:sz w:val="22"/>
          <w:szCs w:val="22"/>
        </w:rPr>
        <w:t xml:space="preserve">duty on </w:t>
      </w:r>
      <w:r w:rsidRPr="006A09E1">
        <w:rPr>
          <w:rFonts w:ascii="Garamond" w:hAnsi="Garamond"/>
          <w:sz w:val="22"/>
          <w:szCs w:val="22"/>
        </w:rPr>
        <w:t xml:space="preserve">some commodity </w:t>
      </w:r>
      <w:r w:rsidR="0024036F">
        <w:rPr>
          <w:rFonts w:ascii="Garamond" w:hAnsi="Garamond"/>
          <w:sz w:val="22"/>
          <w:szCs w:val="22"/>
        </w:rPr>
        <w:t xml:space="preserve">groups </w:t>
      </w:r>
      <w:r w:rsidRPr="006A09E1">
        <w:rPr>
          <w:rFonts w:ascii="Garamond" w:hAnsi="Garamond"/>
          <w:sz w:val="22"/>
          <w:szCs w:val="22"/>
        </w:rPr>
        <w:t>is estimated at about 0.3 p</w:t>
      </w:r>
      <w:r w:rsidR="0024036F">
        <w:rPr>
          <w:rFonts w:ascii="Garamond" w:hAnsi="Garamond"/>
          <w:sz w:val="22"/>
          <w:szCs w:val="22"/>
        </w:rPr>
        <w:t>p in the first quarter of 2019</w:t>
      </w:r>
      <w:r w:rsidRPr="006A09E1">
        <w:rPr>
          <w:rFonts w:ascii="Garamond" w:hAnsi="Garamond"/>
          <w:sz w:val="22"/>
          <w:szCs w:val="22"/>
        </w:rPr>
        <w:t xml:space="preserve">, </w:t>
      </w:r>
      <w:r w:rsidR="0024036F">
        <w:rPr>
          <w:rFonts w:ascii="Garamond" w:hAnsi="Garamond"/>
          <w:sz w:val="22"/>
          <w:szCs w:val="22"/>
        </w:rPr>
        <w:t xml:space="preserve">which is </w:t>
      </w:r>
      <w:r w:rsidRPr="006A09E1">
        <w:rPr>
          <w:rFonts w:ascii="Garamond" w:hAnsi="Garamond"/>
          <w:sz w:val="22"/>
          <w:szCs w:val="22"/>
        </w:rPr>
        <w:t>mainly due to the increase in poultry prices.</w:t>
      </w:r>
      <w:r w:rsidR="0024036F">
        <w:rPr>
          <w:rFonts w:ascii="Garamond" w:hAnsi="Garamond"/>
          <w:sz w:val="22"/>
          <w:szCs w:val="22"/>
        </w:rPr>
        <w:t xml:space="preserve"> </w:t>
      </w:r>
    </w:p>
    <w:p w14:paraId="39E8E463" w14:textId="77777777" w:rsidR="00D4511A" w:rsidRDefault="00D4511A" w:rsidP="006A09E1">
      <w:pPr>
        <w:autoSpaceDE w:val="0"/>
        <w:autoSpaceDN w:val="0"/>
        <w:adjustRightInd w:val="0"/>
        <w:spacing w:after="120" w:line="360" w:lineRule="auto"/>
        <w:jc w:val="both"/>
        <w:rPr>
          <w:rFonts w:ascii="Garamond" w:hAnsi="Garamond"/>
          <w:b/>
          <w:color w:val="C00000"/>
          <w:sz w:val="22"/>
          <w:szCs w:val="22"/>
        </w:rPr>
      </w:pPr>
    </w:p>
    <w:p w14:paraId="368E7040" w14:textId="77777777" w:rsidR="006A09E1" w:rsidRDefault="006A09E1" w:rsidP="006A09E1">
      <w:pPr>
        <w:autoSpaceDE w:val="0"/>
        <w:autoSpaceDN w:val="0"/>
        <w:adjustRightInd w:val="0"/>
        <w:spacing w:after="120" w:line="360" w:lineRule="auto"/>
        <w:jc w:val="both"/>
        <w:rPr>
          <w:rFonts w:ascii="Garamond" w:hAnsi="Garamond"/>
          <w:b/>
          <w:color w:val="C00000"/>
          <w:sz w:val="22"/>
          <w:szCs w:val="22"/>
        </w:rPr>
      </w:pPr>
      <w:r w:rsidRPr="008B5651">
        <w:rPr>
          <w:rFonts w:ascii="Garamond" w:hAnsi="Garamond"/>
          <w:b/>
          <w:color w:val="C00000"/>
          <w:sz w:val="22"/>
          <w:szCs w:val="22"/>
        </w:rPr>
        <w:lastRenderedPageBreak/>
        <w:t>Table 4</w:t>
      </w:r>
      <w:r>
        <w:rPr>
          <w:rFonts w:ascii="Garamond" w:hAnsi="Garamond"/>
          <w:b/>
          <w:color w:val="C00000"/>
          <w:sz w:val="22"/>
          <w:szCs w:val="22"/>
        </w:rPr>
        <w:t>:</w:t>
      </w:r>
    </w:p>
    <w:tbl>
      <w:tblPr>
        <w:tblStyle w:val="TableGrid"/>
        <w:tblW w:w="0" w:type="auto"/>
        <w:tblLook w:val="04A0" w:firstRow="1" w:lastRow="0" w:firstColumn="1" w:lastColumn="0" w:noHBand="0" w:noVBand="1"/>
      </w:tblPr>
      <w:tblGrid>
        <w:gridCol w:w="9350"/>
      </w:tblGrid>
      <w:tr w:rsidR="00C57632" w14:paraId="51F12A27" w14:textId="77777777" w:rsidTr="00C57632">
        <w:tc>
          <w:tcPr>
            <w:tcW w:w="9576" w:type="dxa"/>
          </w:tcPr>
          <w:p w14:paraId="11750944" w14:textId="77777777" w:rsidR="00C57632" w:rsidRPr="00C57632" w:rsidRDefault="00C57632" w:rsidP="00C57632">
            <w:pPr>
              <w:autoSpaceDE w:val="0"/>
              <w:autoSpaceDN w:val="0"/>
              <w:adjustRightInd w:val="0"/>
              <w:spacing w:after="120" w:line="360" w:lineRule="auto"/>
              <w:jc w:val="both"/>
              <w:rPr>
                <w:rFonts w:ascii="Garamond" w:hAnsi="Garamond"/>
                <w:sz w:val="18"/>
                <w:szCs w:val="18"/>
              </w:rPr>
            </w:pPr>
            <w:r w:rsidRPr="00C57632">
              <w:rPr>
                <w:rFonts w:ascii="Garamond" w:hAnsi="Garamond"/>
                <w:color w:val="FF0000"/>
                <w:sz w:val="18"/>
                <w:szCs w:val="18"/>
              </w:rPr>
              <w:t xml:space="preserve">Footnote 19 </w:t>
            </w:r>
            <w:r w:rsidRPr="00C57632">
              <w:rPr>
                <w:rFonts w:ascii="Garamond" w:hAnsi="Garamond"/>
                <w:sz w:val="18"/>
                <w:szCs w:val="18"/>
                <w:lang w:val="hy-AM"/>
              </w:rPr>
              <w:t>In the table</w:t>
            </w:r>
            <w:r w:rsidRPr="00C57632">
              <w:rPr>
                <w:rFonts w:ascii="Garamond" w:hAnsi="Garamond"/>
                <w:sz w:val="18"/>
                <w:szCs w:val="18"/>
              </w:rPr>
              <w:t>,</w:t>
            </w:r>
            <w:r w:rsidRPr="00C57632">
              <w:rPr>
                <w:rFonts w:ascii="Garamond" w:hAnsi="Garamond"/>
                <w:sz w:val="18"/>
                <w:szCs w:val="18"/>
                <w:lang w:val="hy-AM"/>
              </w:rPr>
              <w:t xml:space="preserve"> the </w:t>
            </w:r>
            <w:r w:rsidRPr="00C57632">
              <w:rPr>
                <w:rFonts w:ascii="Garamond" w:hAnsi="Garamond"/>
                <w:sz w:val="18"/>
                <w:szCs w:val="18"/>
              </w:rPr>
              <w:t xml:space="preserve">y/y </w:t>
            </w:r>
            <w:r w:rsidRPr="00C57632">
              <w:rPr>
                <w:rFonts w:ascii="Garamond" w:hAnsi="Garamond"/>
                <w:sz w:val="18"/>
                <w:szCs w:val="18"/>
                <w:lang w:val="hy-AM"/>
              </w:rPr>
              <w:t xml:space="preserve">data of structural elements of food products are calculated by the Central Bank </w:t>
            </w:r>
            <w:r w:rsidRPr="00C57632">
              <w:rPr>
                <w:rFonts w:ascii="Garamond" w:hAnsi="Garamond"/>
                <w:sz w:val="18"/>
                <w:szCs w:val="18"/>
              </w:rPr>
              <w:t>using the information provided from the Republic of Armenia Statistics Committee</w:t>
            </w:r>
            <w:r w:rsidRPr="00C57632">
              <w:rPr>
                <w:rFonts w:ascii="Garamond" w:hAnsi="Garamond"/>
                <w:sz w:val="18"/>
                <w:szCs w:val="18"/>
                <w:lang w:val="hy-AM"/>
              </w:rPr>
              <w:t>.</w:t>
            </w:r>
          </w:p>
        </w:tc>
      </w:tr>
    </w:tbl>
    <w:p w14:paraId="2BEAF9B4" w14:textId="77777777" w:rsidR="00C57632" w:rsidRDefault="00C57632" w:rsidP="006A09E1">
      <w:pPr>
        <w:autoSpaceDE w:val="0"/>
        <w:autoSpaceDN w:val="0"/>
        <w:adjustRightInd w:val="0"/>
        <w:spacing w:after="120" w:line="360" w:lineRule="auto"/>
        <w:jc w:val="both"/>
        <w:rPr>
          <w:rFonts w:ascii="Garamond" w:hAnsi="Garamond"/>
          <w:sz w:val="22"/>
          <w:szCs w:val="22"/>
        </w:rPr>
      </w:pPr>
    </w:p>
    <w:p w14:paraId="707A3891" w14:textId="77777777" w:rsidR="000D538D" w:rsidRDefault="00781ACF" w:rsidP="00781ACF">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Import prices:</w:t>
      </w:r>
      <w:r w:rsidR="00543AF2">
        <w:rPr>
          <w:rFonts w:ascii="Garamond" w:hAnsi="Garamond"/>
          <w:sz w:val="22"/>
          <w:szCs w:val="22"/>
        </w:rPr>
        <w:t xml:space="preserve"> The dollar prices of import of </w:t>
      </w:r>
      <w:r w:rsidRPr="00EE5F0F">
        <w:rPr>
          <w:rFonts w:ascii="Garamond" w:hAnsi="Garamond"/>
          <w:sz w:val="22"/>
          <w:szCs w:val="22"/>
        </w:rPr>
        <w:t xml:space="preserve">goods </w:t>
      </w:r>
      <w:r w:rsidR="00BF2BF1">
        <w:rPr>
          <w:rFonts w:ascii="Garamond" w:hAnsi="Garamond"/>
          <w:sz w:val="22"/>
          <w:szCs w:val="22"/>
        </w:rPr>
        <w:t xml:space="preserve">and services </w:t>
      </w:r>
      <w:r w:rsidRPr="00EE5F0F">
        <w:rPr>
          <w:rFonts w:ascii="Garamond" w:hAnsi="Garamond"/>
          <w:sz w:val="22"/>
          <w:szCs w:val="22"/>
        </w:rPr>
        <w:t xml:space="preserve">to Armenia </w:t>
      </w:r>
      <w:r w:rsidR="00BF2BF1">
        <w:rPr>
          <w:rFonts w:ascii="Garamond" w:hAnsi="Garamond"/>
          <w:sz w:val="22"/>
          <w:szCs w:val="22"/>
        </w:rPr>
        <w:t xml:space="preserve">increased by 1.2% q/q in </w:t>
      </w:r>
      <w:r w:rsidRPr="00EE5F0F">
        <w:rPr>
          <w:rFonts w:ascii="Garamond" w:hAnsi="Garamond"/>
          <w:sz w:val="22"/>
          <w:szCs w:val="22"/>
        </w:rPr>
        <w:t xml:space="preserve">the </w:t>
      </w:r>
      <w:r w:rsidR="00F44E5F">
        <w:rPr>
          <w:rFonts w:ascii="Garamond" w:hAnsi="Garamond"/>
          <w:sz w:val="22"/>
          <w:szCs w:val="22"/>
        </w:rPr>
        <w:t>f</w:t>
      </w:r>
      <w:r w:rsidR="00BF2BF1">
        <w:rPr>
          <w:rFonts w:ascii="Garamond" w:hAnsi="Garamond"/>
          <w:sz w:val="22"/>
          <w:szCs w:val="22"/>
        </w:rPr>
        <w:t xml:space="preserve">irst </w:t>
      </w:r>
      <w:r w:rsidRPr="00EE5F0F">
        <w:rPr>
          <w:rFonts w:ascii="Garamond" w:hAnsi="Garamond"/>
          <w:sz w:val="22"/>
          <w:szCs w:val="22"/>
        </w:rPr>
        <w:t>quarter of 201</w:t>
      </w:r>
      <w:r w:rsidR="00BF2BF1">
        <w:rPr>
          <w:rFonts w:ascii="Garamond" w:hAnsi="Garamond"/>
          <w:sz w:val="22"/>
          <w:szCs w:val="22"/>
        </w:rPr>
        <w:t>9</w:t>
      </w:r>
      <w:r w:rsidR="00F44E5F">
        <w:rPr>
          <w:rFonts w:ascii="Garamond" w:hAnsi="Garamond"/>
          <w:sz w:val="22"/>
          <w:szCs w:val="22"/>
        </w:rPr>
        <w:t xml:space="preserve">. </w:t>
      </w:r>
      <w:r w:rsidR="00A543D4">
        <w:rPr>
          <w:rFonts w:ascii="Garamond" w:hAnsi="Garamond"/>
          <w:sz w:val="22"/>
          <w:szCs w:val="22"/>
        </w:rPr>
        <w:t>It should be noted however that t</w:t>
      </w:r>
      <w:r w:rsidR="00F44E5F">
        <w:rPr>
          <w:rFonts w:ascii="Garamond" w:hAnsi="Garamond"/>
          <w:sz w:val="22"/>
          <w:szCs w:val="22"/>
        </w:rPr>
        <w:t xml:space="preserve">he </w:t>
      </w:r>
      <w:r w:rsidR="00F44E5F" w:rsidRPr="00F44E5F">
        <w:rPr>
          <w:rFonts w:ascii="Garamond" w:hAnsi="Garamond"/>
          <w:sz w:val="22"/>
          <w:szCs w:val="22"/>
        </w:rPr>
        <w:t xml:space="preserve">dollar prices </w:t>
      </w:r>
      <w:r w:rsidR="00A543D4">
        <w:rPr>
          <w:rFonts w:ascii="Garamond" w:hAnsi="Garamond"/>
          <w:sz w:val="22"/>
          <w:szCs w:val="22"/>
        </w:rPr>
        <w:t>of import have reduced by 4.9% y/y, relative to the first quarter of 2018, driven mostly by y/y deprec</w:t>
      </w:r>
      <w:r w:rsidR="00C509B2">
        <w:rPr>
          <w:rFonts w:ascii="Garamond" w:hAnsi="Garamond"/>
          <w:sz w:val="22"/>
          <w:szCs w:val="22"/>
        </w:rPr>
        <w:t>i</w:t>
      </w:r>
      <w:r w:rsidR="00A543D4">
        <w:rPr>
          <w:rFonts w:ascii="Garamond" w:hAnsi="Garamond"/>
          <w:sz w:val="22"/>
          <w:szCs w:val="22"/>
        </w:rPr>
        <w:t xml:space="preserve">ation of nominal exchange rates in trade partner countries. The y/y reduction in </w:t>
      </w:r>
      <w:r w:rsidR="00A543D4" w:rsidRPr="00A543D4">
        <w:rPr>
          <w:rFonts w:ascii="Garamond" w:hAnsi="Garamond"/>
          <w:sz w:val="22"/>
          <w:szCs w:val="22"/>
        </w:rPr>
        <w:t xml:space="preserve">prices </w:t>
      </w:r>
      <w:r w:rsidR="00A543D4">
        <w:rPr>
          <w:rFonts w:ascii="Garamond" w:hAnsi="Garamond"/>
          <w:sz w:val="22"/>
          <w:szCs w:val="22"/>
        </w:rPr>
        <w:t xml:space="preserve">of </w:t>
      </w:r>
      <w:r w:rsidR="00A543D4" w:rsidRPr="00A543D4">
        <w:rPr>
          <w:rFonts w:ascii="Garamond" w:hAnsi="Garamond"/>
          <w:sz w:val="22"/>
          <w:szCs w:val="22"/>
        </w:rPr>
        <w:t xml:space="preserve">intermediate goods </w:t>
      </w:r>
      <w:r w:rsidR="00A543D4">
        <w:rPr>
          <w:rFonts w:ascii="Garamond" w:hAnsi="Garamond"/>
          <w:sz w:val="22"/>
          <w:szCs w:val="22"/>
        </w:rPr>
        <w:t xml:space="preserve">owed to the falling </w:t>
      </w:r>
      <w:r w:rsidR="000D538D">
        <w:rPr>
          <w:rFonts w:ascii="Garamond" w:hAnsi="Garamond"/>
          <w:sz w:val="22"/>
          <w:szCs w:val="22"/>
        </w:rPr>
        <w:t xml:space="preserve">in </w:t>
      </w:r>
      <w:r w:rsidR="00A543D4" w:rsidRPr="00A543D4">
        <w:rPr>
          <w:rFonts w:ascii="Garamond" w:hAnsi="Garamond"/>
          <w:sz w:val="22"/>
          <w:szCs w:val="22"/>
        </w:rPr>
        <w:t>oil and aluminum prices.</w:t>
      </w:r>
      <w:r w:rsidR="000D538D">
        <w:rPr>
          <w:rFonts w:ascii="Garamond" w:hAnsi="Garamond"/>
          <w:sz w:val="22"/>
          <w:szCs w:val="22"/>
        </w:rPr>
        <w:t xml:space="preserve"> </w:t>
      </w:r>
    </w:p>
    <w:p w14:paraId="1BD90C23" w14:textId="77777777" w:rsidR="00085F36" w:rsidRDefault="00085F36" w:rsidP="00781ACF">
      <w:pPr>
        <w:autoSpaceDE w:val="0"/>
        <w:autoSpaceDN w:val="0"/>
        <w:adjustRightInd w:val="0"/>
        <w:spacing w:after="120" w:line="360" w:lineRule="auto"/>
        <w:jc w:val="both"/>
        <w:rPr>
          <w:rFonts w:ascii="Garamond" w:hAnsi="Garamond"/>
          <w:b/>
          <w:color w:val="0070C0"/>
          <w:sz w:val="22"/>
          <w:szCs w:val="22"/>
        </w:rPr>
      </w:pPr>
    </w:p>
    <w:p w14:paraId="70B35F1F" w14:textId="77777777" w:rsidR="000D538D" w:rsidRDefault="000D538D" w:rsidP="00781ACF">
      <w:pPr>
        <w:autoSpaceDE w:val="0"/>
        <w:autoSpaceDN w:val="0"/>
        <w:adjustRightInd w:val="0"/>
        <w:spacing w:after="120" w:line="360" w:lineRule="auto"/>
        <w:jc w:val="both"/>
        <w:rPr>
          <w:rFonts w:ascii="Garamond" w:hAnsi="Garamond"/>
          <w:b/>
          <w:color w:val="0070C0"/>
          <w:sz w:val="22"/>
          <w:szCs w:val="22"/>
        </w:rPr>
      </w:pPr>
    </w:p>
    <w:p w14:paraId="2C55223F" w14:textId="77777777" w:rsidR="00781ACF" w:rsidRPr="00EE5F0F" w:rsidRDefault="00781ACF" w:rsidP="00781ACF">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3.2 Economic developments</w:t>
      </w:r>
    </w:p>
    <w:p w14:paraId="590F99A3" w14:textId="77777777" w:rsidR="000D538D" w:rsidRDefault="00781ACF" w:rsidP="00781ACF">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3.2.1. Economy position</w:t>
      </w:r>
    </w:p>
    <w:p w14:paraId="4685D862" w14:textId="25342404" w:rsidR="00781ACF" w:rsidRDefault="002D378F" w:rsidP="00781ACF">
      <w:pPr>
        <w:autoSpaceDE w:val="0"/>
        <w:autoSpaceDN w:val="0"/>
        <w:adjustRightInd w:val="0"/>
        <w:spacing w:after="120" w:line="360" w:lineRule="auto"/>
        <w:jc w:val="both"/>
        <w:rPr>
          <w:rFonts w:ascii="Garamond" w:hAnsi="Garamond"/>
          <w:sz w:val="22"/>
          <w:szCs w:val="22"/>
        </w:rPr>
      </w:pPr>
      <w:r>
        <w:rPr>
          <w:rFonts w:ascii="Garamond" w:hAnsi="Garamond"/>
          <w:b/>
          <w:sz w:val="22"/>
          <w:szCs w:val="22"/>
        </w:rPr>
        <w:t>T</w:t>
      </w:r>
      <w:r w:rsidRPr="00EE5F0F">
        <w:rPr>
          <w:rFonts w:ascii="Garamond" w:hAnsi="Garamond"/>
          <w:b/>
          <w:sz w:val="22"/>
          <w:szCs w:val="22"/>
        </w:rPr>
        <w:t xml:space="preserve">he </w:t>
      </w:r>
      <w:r w:rsidR="00403AC4">
        <w:rPr>
          <w:rFonts w:ascii="Garamond" w:hAnsi="Garamond"/>
          <w:b/>
          <w:sz w:val="22"/>
          <w:szCs w:val="22"/>
        </w:rPr>
        <w:t xml:space="preserve">estimation of the </w:t>
      </w:r>
      <w:r w:rsidRPr="00EE5F0F">
        <w:rPr>
          <w:rFonts w:ascii="Garamond" w:hAnsi="Garamond"/>
          <w:b/>
          <w:sz w:val="22"/>
          <w:szCs w:val="22"/>
        </w:rPr>
        <w:t xml:space="preserve">GDP </w:t>
      </w:r>
      <w:r>
        <w:rPr>
          <w:rFonts w:ascii="Garamond" w:hAnsi="Garamond"/>
          <w:b/>
          <w:sz w:val="22"/>
          <w:szCs w:val="22"/>
        </w:rPr>
        <w:t xml:space="preserve">gap </w:t>
      </w:r>
      <w:r w:rsidR="000D538D">
        <w:rPr>
          <w:rFonts w:ascii="Garamond" w:hAnsi="Garamond"/>
          <w:b/>
          <w:sz w:val="22"/>
          <w:szCs w:val="22"/>
        </w:rPr>
        <w:t xml:space="preserve">in the first quarter of 2019 </w:t>
      </w:r>
      <w:r>
        <w:rPr>
          <w:rFonts w:ascii="Garamond" w:hAnsi="Garamond"/>
          <w:b/>
          <w:sz w:val="22"/>
          <w:szCs w:val="22"/>
        </w:rPr>
        <w:t>is negative</w:t>
      </w:r>
      <w:r w:rsidR="00A06C09">
        <w:rPr>
          <w:rFonts w:ascii="Garamond" w:hAnsi="Garamond"/>
          <w:b/>
          <w:sz w:val="22"/>
          <w:szCs w:val="22"/>
        </w:rPr>
        <w:t xml:space="preserve">. </w:t>
      </w:r>
      <w:r w:rsidR="00A06C09">
        <w:rPr>
          <w:rFonts w:ascii="Garamond" w:hAnsi="Garamond"/>
          <w:sz w:val="22"/>
          <w:szCs w:val="22"/>
        </w:rPr>
        <w:t>Alt</w:t>
      </w:r>
      <w:r w:rsidR="000D538D">
        <w:rPr>
          <w:rFonts w:ascii="Garamond" w:hAnsi="Garamond"/>
          <w:sz w:val="22"/>
          <w:szCs w:val="22"/>
        </w:rPr>
        <w:t>hough higher</w:t>
      </w:r>
      <w:r w:rsidR="00403AC4">
        <w:rPr>
          <w:rFonts w:ascii="Garamond" w:hAnsi="Garamond"/>
          <w:sz w:val="22"/>
          <w:szCs w:val="22"/>
        </w:rPr>
        <w:t xml:space="preserve">-than-anticipated </w:t>
      </w:r>
      <w:r w:rsidR="00403AC4" w:rsidRPr="00403AC4">
        <w:rPr>
          <w:rFonts w:ascii="Garamond" w:hAnsi="Garamond"/>
          <w:sz w:val="22"/>
          <w:szCs w:val="22"/>
        </w:rPr>
        <w:t xml:space="preserve">economic growth and </w:t>
      </w:r>
      <w:r w:rsidR="00403AC4">
        <w:rPr>
          <w:rFonts w:ascii="Garamond" w:hAnsi="Garamond"/>
          <w:sz w:val="22"/>
          <w:szCs w:val="22"/>
        </w:rPr>
        <w:t xml:space="preserve">accelerated </w:t>
      </w:r>
      <w:r w:rsidR="00403AC4" w:rsidRPr="00403AC4">
        <w:rPr>
          <w:rFonts w:ascii="Garamond" w:hAnsi="Garamond"/>
          <w:sz w:val="22"/>
          <w:szCs w:val="22"/>
        </w:rPr>
        <w:t xml:space="preserve">private consumption in the </w:t>
      </w:r>
      <w:r w:rsidR="000D538D">
        <w:rPr>
          <w:rFonts w:ascii="Garamond" w:hAnsi="Garamond"/>
          <w:sz w:val="22"/>
          <w:szCs w:val="22"/>
        </w:rPr>
        <w:t>first</w:t>
      </w:r>
      <w:r w:rsidR="00403AC4" w:rsidRPr="00403AC4">
        <w:rPr>
          <w:rFonts w:ascii="Garamond" w:hAnsi="Garamond"/>
          <w:sz w:val="22"/>
          <w:szCs w:val="22"/>
        </w:rPr>
        <w:t xml:space="preserve"> quarter (see </w:t>
      </w:r>
      <w:r w:rsidR="00403AC4">
        <w:rPr>
          <w:rFonts w:ascii="Garamond" w:hAnsi="Garamond"/>
          <w:sz w:val="22"/>
          <w:szCs w:val="22"/>
        </w:rPr>
        <w:t>sub</w:t>
      </w:r>
      <w:r w:rsidR="00403AC4" w:rsidRPr="00403AC4">
        <w:rPr>
          <w:rFonts w:ascii="Garamond" w:hAnsi="Garamond"/>
          <w:sz w:val="22"/>
          <w:szCs w:val="22"/>
        </w:rPr>
        <w:t>section</w:t>
      </w:r>
      <w:r w:rsidR="00A06C09">
        <w:rPr>
          <w:rFonts w:ascii="Garamond" w:hAnsi="Garamond"/>
          <w:sz w:val="22"/>
          <w:szCs w:val="22"/>
        </w:rPr>
        <w:t xml:space="preserve">s 3.2.2 and 3.2.3) </w:t>
      </w:r>
      <w:r w:rsidR="000D538D">
        <w:rPr>
          <w:rFonts w:ascii="Garamond" w:hAnsi="Garamond"/>
          <w:sz w:val="22"/>
          <w:szCs w:val="22"/>
        </w:rPr>
        <w:t xml:space="preserve">helped revise </w:t>
      </w:r>
      <w:r w:rsidR="00403AC4" w:rsidRPr="00403AC4">
        <w:rPr>
          <w:rFonts w:ascii="Garamond" w:hAnsi="Garamond"/>
          <w:sz w:val="22"/>
          <w:szCs w:val="22"/>
        </w:rPr>
        <w:t xml:space="preserve">the </w:t>
      </w:r>
      <w:r w:rsidR="000D538D">
        <w:rPr>
          <w:rFonts w:ascii="Garamond" w:hAnsi="Garamond"/>
          <w:sz w:val="22"/>
          <w:szCs w:val="22"/>
        </w:rPr>
        <w:t xml:space="preserve">negative </w:t>
      </w:r>
      <w:r w:rsidR="00403AC4" w:rsidRPr="00403AC4">
        <w:rPr>
          <w:rFonts w:ascii="Garamond" w:hAnsi="Garamond"/>
          <w:sz w:val="22"/>
          <w:szCs w:val="22"/>
        </w:rPr>
        <w:t>GDP gap</w:t>
      </w:r>
      <w:r w:rsidR="00403AC4">
        <w:rPr>
          <w:rFonts w:ascii="Garamond" w:hAnsi="Garamond"/>
          <w:sz w:val="22"/>
          <w:szCs w:val="22"/>
        </w:rPr>
        <w:t xml:space="preserve"> </w:t>
      </w:r>
      <w:r w:rsidR="000D538D">
        <w:rPr>
          <w:rFonts w:ascii="Garamond" w:hAnsi="Garamond"/>
          <w:sz w:val="22"/>
          <w:szCs w:val="22"/>
        </w:rPr>
        <w:t xml:space="preserve">upside, </w:t>
      </w:r>
      <w:r w:rsidR="00403AC4">
        <w:rPr>
          <w:rFonts w:ascii="Garamond" w:hAnsi="Garamond"/>
          <w:sz w:val="22"/>
          <w:szCs w:val="22"/>
        </w:rPr>
        <w:t xml:space="preserve">it is </w:t>
      </w:r>
      <w:r w:rsidR="000D538D">
        <w:rPr>
          <w:rFonts w:ascii="Garamond" w:hAnsi="Garamond"/>
          <w:sz w:val="22"/>
          <w:szCs w:val="22"/>
        </w:rPr>
        <w:t xml:space="preserve">still </w:t>
      </w:r>
      <w:r w:rsidR="00403AC4">
        <w:rPr>
          <w:rFonts w:ascii="Garamond" w:hAnsi="Garamond"/>
          <w:sz w:val="22"/>
          <w:szCs w:val="22"/>
        </w:rPr>
        <w:t xml:space="preserve">estimated </w:t>
      </w:r>
      <w:r w:rsidR="000D538D">
        <w:rPr>
          <w:rFonts w:ascii="Garamond" w:hAnsi="Garamond"/>
          <w:sz w:val="22"/>
          <w:szCs w:val="22"/>
        </w:rPr>
        <w:t xml:space="preserve">as </w:t>
      </w:r>
      <w:r w:rsidR="00403AC4">
        <w:rPr>
          <w:rFonts w:ascii="Garamond" w:hAnsi="Garamond"/>
          <w:sz w:val="22"/>
          <w:szCs w:val="22"/>
        </w:rPr>
        <w:t>negative due to a</w:t>
      </w:r>
      <w:r w:rsidR="00403AC4" w:rsidRPr="00403AC4">
        <w:rPr>
          <w:rFonts w:ascii="Garamond" w:hAnsi="Garamond"/>
          <w:sz w:val="22"/>
          <w:szCs w:val="22"/>
        </w:rPr>
        <w:t xml:space="preserve"> </w:t>
      </w:r>
      <w:r w:rsidR="00403AC4">
        <w:rPr>
          <w:rFonts w:ascii="Garamond" w:hAnsi="Garamond"/>
          <w:sz w:val="22"/>
          <w:szCs w:val="22"/>
        </w:rPr>
        <w:t>number o</w:t>
      </w:r>
      <w:r w:rsidR="00403AC4" w:rsidRPr="00403AC4">
        <w:rPr>
          <w:rFonts w:ascii="Garamond" w:hAnsi="Garamond"/>
          <w:sz w:val="22"/>
          <w:szCs w:val="22"/>
        </w:rPr>
        <w:t>f factors</w:t>
      </w:r>
      <w:r w:rsidR="000D538D">
        <w:rPr>
          <w:rFonts w:ascii="Garamond" w:hAnsi="Garamond"/>
          <w:sz w:val="22"/>
          <w:szCs w:val="22"/>
        </w:rPr>
        <w:t xml:space="preserve">, which is </w:t>
      </w:r>
      <w:r w:rsidR="00403AC4" w:rsidRPr="00403AC4">
        <w:rPr>
          <w:rFonts w:ascii="Garamond" w:hAnsi="Garamond"/>
          <w:sz w:val="22"/>
          <w:szCs w:val="22"/>
        </w:rPr>
        <w:t xml:space="preserve">consistent with </w:t>
      </w:r>
      <w:r w:rsidR="00403AC4">
        <w:rPr>
          <w:rFonts w:ascii="Garamond" w:hAnsi="Garamond"/>
          <w:sz w:val="22"/>
          <w:szCs w:val="22"/>
        </w:rPr>
        <w:t xml:space="preserve">a </w:t>
      </w:r>
      <w:r w:rsidR="00403AC4" w:rsidRPr="00403AC4">
        <w:rPr>
          <w:rFonts w:ascii="Garamond" w:hAnsi="Garamond"/>
          <w:sz w:val="22"/>
          <w:szCs w:val="22"/>
        </w:rPr>
        <w:t xml:space="preserve">low inflation environment </w:t>
      </w:r>
      <w:r w:rsidR="000D538D">
        <w:rPr>
          <w:rFonts w:ascii="Garamond" w:hAnsi="Garamond"/>
          <w:sz w:val="22"/>
          <w:szCs w:val="22"/>
        </w:rPr>
        <w:t xml:space="preserve">observable </w:t>
      </w:r>
      <w:r w:rsidR="00403AC4" w:rsidRPr="00403AC4">
        <w:rPr>
          <w:rFonts w:ascii="Garamond" w:hAnsi="Garamond"/>
          <w:sz w:val="22"/>
          <w:szCs w:val="22"/>
        </w:rPr>
        <w:t>in the consumer market</w:t>
      </w:r>
      <w:r w:rsidR="001B4328">
        <w:rPr>
          <w:rFonts w:ascii="Garamond" w:hAnsi="Garamond"/>
          <w:sz w:val="22"/>
          <w:szCs w:val="22"/>
        </w:rPr>
        <w:t xml:space="preserve"> </w:t>
      </w:r>
      <w:r w:rsidR="00403AC4" w:rsidRPr="00403AC4">
        <w:rPr>
          <w:rFonts w:ascii="Garamond" w:hAnsi="Garamond"/>
          <w:sz w:val="22"/>
          <w:szCs w:val="22"/>
        </w:rPr>
        <w:t xml:space="preserve">(see section </w:t>
      </w:r>
      <w:r w:rsidR="000D538D">
        <w:rPr>
          <w:rFonts w:ascii="Garamond" w:hAnsi="Garamond"/>
          <w:sz w:val="22"/>
          <w:szCs w:val="22"/>
        </w:rPr>
        <w:t>2</w:t>
      </w:r>
      <w:r w:rsidR="00403AC4" w:rsidRPr="00403AC4">
        <w:rPr>
          <w:rFonts w:ascii="Garamond" w:hAnsi="Garamond"/>
          <w:sz w:val="22"/>
          <w:szCs w:val="22"/>
        </w:rPr>
        <w:t>.</w:t>
      </w:r>
      <w:r w:rsidR="001B4328">
        <w:rPr>
          <w:rFonts w:ascii="Garamond" w:hAnsi="Garamond"/>
          <w:sz w:val="22"/>
          <w:szCs w:val="22"/>
        </w:rPr>
        <w:t>2.</w:t>
      </w:r>
      <w:r w:rsidR="00403AC4" w:rsidRPr="00403AC4">
        <w:rPr>
          <w:rFonts w:ascii="Garamond" w:hAnsi="Garamond"/>
          <w:sz w:val="22"/>
          <w:szCs w:val="22"/>
        </w:rPr>
        <w:t xml:space="preserve">1). In particular, </w:t>
      </w:r>
      <w:r w:rsidR="000C22CD">
        <w:rPr>
          <w:rFonts w:ascii="Garamond" w:hAnsi="Garamond"/>
          <w:sz w:val="22"/>
          <w:szCs w:val="22"/>
        </w:rPr>
        <w:t xml:space="preserve">even more </w:t>
      </w:r>
      <w:r w:rsidR="001B4328">
        <w:rPr>
          <w:rFonts w:ascii="Garamond" w:hAnsi="Garamond"/>
          <w:sz w:val="22"/>
          <w:szCs w:val="22"/>
        </w:rPr>
        <w:t xml:space="preserve">contractionary </w:t>
      </w:r>
      <w:r w:rsidR="001B4328" w:rsidRPr="00403AC4">
        <w:rPr>
          <w:rFonts w:ascii="Garamond" w:hAnsi="Garamond"/>
          <w:sz w:val="22"/>
          <w:szCs w:val="22"/>
        </w:rPr>
        <w:t>fiscal policy in the f</w:t>
      </w:r>
      <w:r w:rsidR="000C22CD">
        <w:rPr>
          <w:rFonts w:ascii="Garamond" w:hAnsi="Garamond"/>
          <w:sz w:val="22"/>
          <w:szCs w:val="22"/>
        </w:rPr>
        <w:t xml:space="preserve">irst </w:t>
      </w:r>
      <w:r w:rsidR="001B4328" w:rsidRPr="00403AC4">
        <w:rPr>
          <w:rFonts w:ascii="Garamond" w:hAnsi="Garamond"/>
          <w:sz w:val="22"/>
          <w:szCs w:val="22"/>
        </w:rPr>
        <w:t>quarter of 201</w:t>
      </w:r>
      <w:r w:rsidR="000C22CD">
        <w:rPr>
          <w:rFonts w:ascii="Garamond" w:hAnsi="Garamond"/>
          <w:sz w:val="22"/>
          <w:szCs w:val="22"/>
        </w:rPr>
        <w:t>9</w:t>
      </w:r>
      <w:r w:rsidR="001B4328" w:rsidRPr="00403AC4">
        <w:rPr>
          <w:rFonts w:ascii="Garamond" w:hAnsi="Garamond"/>
          <w:sz w:val="22"/>
          <w:szCs w:val="22"/>
        </w:rPr>
        <w:t>, de</w:t>
      </w:r>
      <w:r w:rsidR="001B4328">
        <w:rPr>
          <w:rFonts w:ascii="Garamond" w:hAnsi="Garamond"/>
          <w:sz w:val="22"/>
          <w:szCs w:val="22"/>
        </w:rPr>
        <w:t xml:space="preserve">preciated </w:t>
      </w:r>
      <w:r w:rsidR="001B4328" w:rsidRPr="00403AC4">
        <w:rPr>
          <w:rFonts w:ascii="Garamond" w:hAnsi="Garamond"/>
          <w:sz w:val="22"/>
          <w:szCs w:val="22"/>
        </w:rPr>
        <w:t xml:space="preserve">exchange rates </w:t>
      </w:r>
      <w:r w:rsidR="001B4328">
        <w:rPr>
          <w:rFonts w:ascii="Garamond" w:hAnsi="Garamond"/>
          <w:sz w:val="22"/>
          <w:szCs w:val="22"/>
        </w:rPr>
        <w:t xml:space="preserve">in </w:t>
      </w:r>
      <w:r w:rsidR="000C22CD">
        <w:rPr>
          <w:rFonts w:ascii="Garamond" w:hAnsi="Garamond"/>
          <w:sz w:val="22"/>
          <w:szCs w:val="22"/>
        </w:rPr>
        <w:t xml:space="preserve">trade </w:t>
      </w:r>
      <w:r w:rsidR="001B4328">
        <w:rPr>
          <w:rFonts w:ascii="Garamond" w:hAnsi="Garamond"/>
          <w:sz w:val="22"/>
          <w:szCs w:val="22"/>
        </w:rPr>
        <w:t>p</w:t>
      </w:r>
      <w:r w:rsidR="001B4328" w:rsidRPr="00403AC4">
        <w:rPr>
          <w:rFonts w:ascii="Garamond" w:hAnsi="Garamond"/>
          <w:sz w:val="22"/>
          <w:szCs w:val="22"/>
        </w:rPr>
        <w:t xml:space="preserve">artner countries, the </w:t>
      </w:r>
      <w:r w:rsidR="000C22CD">
        <w:rPr>
          <w:rFonts w:ascii="Garamond" w:hAnsi="Garamond"/>
          <w:sz w:val="22"/>
          <w:szCs w:val="22"/>
        </w:rPr>
        <w:t>slowing of economic growth in principal trade partner countries, the l</w:t>
      </w:r>
      <w:r w:rsidR="000C22CD" w:rsidRPr="000C22CD">
        <w:rPr>
          <w:rFonts w:ascii="Garamond" w:hAnsi="Garamond"/>
          <w:sz w:val="22"/>
          <w:szCs w:val="22"/>
        </w:rPr>
        <w:t xml:space="preserve">ow level of </w:t>
      </w:r>
      <w:r w:rsidR="000C22CD">
        <w:rPr>
          <w:rFonts w:ascii="Garamond" w:hAnsi="Garamond"/>
          <w:sz w:val="22"/>
          <w:szCs w:val="22"/>
        </w:rPr>
        <w:t xml:space="preserve">remittances in real terms </w:t>
      </w:r>
      <w:r w:rsidR="001B4328">
        <w:rPr>
          <w:rFonts w:ascii="Garamond" w:hAnsi="Garamond"/>
          <w:sz w:val="22"/>
          <w:szCs w:val="22"/>
        </w:rPr>
        <w:t xml:space="preserve">all have </w:t>
      </w:r>
      <w:r w:rsidR="001B4328" w:rsidRPr="00086E60">
        <w:rPr>
          <w:rFonts w:ascii="Garamond" w:hAnsi="Garamond"/>
          <w:sz w:val="22"/>
          <w:szCs w:val="22"/>
        </w:rPr>
        <w:t xml:space="preserve">contributed to the </w:t>
      </w:r>
      <w:r w:rsidR="001B4328">
        <w:rPr>
          <w:rFonts w:ascii="Garamond" w:hAnsi="Garamond"/>
          <w:sz w:val="22"/>
          <w:szCs w:val="22"/>
        </w:rPr>
        <w:t xml:space="preserve">shaping of </w:t>
      </w:r>
      <w:r w:rsidR="000C22CD">
        <w:rPr>
          <w:rFonts w:ascii="Garamond" w:hAnsi="Garamond"/>
          <w:sz w:val="22"/>
          <w:szCs w:val="22"/>
        </w:rPr>
        <w:t>a</w:t>
      </w:r>
      <w:r w:rsidR="001B4328">
        <w:rPr>
          <w:rFonts w:ascii="Garamond" w:hAnsi="Garamond"/>
          <w:sz w:val="22"/>
          <w:szCs w:val="22"/>
        </w:rPr>
        <w:t xml:space="preserve"> </w:t>
      </w:r>
      <w:r w:rsidR="001B4328" w:rsidRPr="00086E60">
        <w:rPr>
          <w:rFonts w:ascii="Garamond" w:hAnsi="Garamond"/>
          <w:sz w:val="22"/>
          <w:szCs w:val="22"/>
        </w:rPr>
        <w:t>negative GDP gap</w:t>
      </w:r>
      <w:r w:rsidR="000C22CD">
        <w:rPr>
          <w:rFonts w:ascii="Garamond" w:hAnsi="Garamond"/>
          <w:sz w:val="22"/>
          <w:szCs w:val="22"/>
        </w:rPr>
        <w:t xml:space="preserve">. </w:t>
      </w:r>
      <w:r w:rsidR="000C22CD" w:rsidRPr="000C22CD">
        <w:rPr>
          <w:rFonts w:ascii="Garamond" w:hAnsi="Garamond"/>
          <w:sz w:val="22"/>
          <w:szCs w:val="22"/>
        </w:rPr>
        <w:t xml:space="preserve">It should be noted that </w:t>
      </w:r>
      <w:r w:rsidR="000C22CD">
        <w:rPr>
          <w:rFonts w:ascii="Garamond" w:hAnsi="Garamond"/>
          <w:sz w:val="22"/>
          <w:szCs w:val="22"/>
        </w:rPr>
        <w:t xml:space="preserve">high </w:t>
      </w:r>
      <w:r w:rsidR="0082104C">
        <w:rPr>
          <w:rFonts w:ascii="Garamond" w:hAnsi="Garamond"/>
          <w:sz w:val="22"/>
          <w:szCs w:val="22"/>
        </w:rPr>
        <w:t xml:space="preserve">economic </w:t>
      </w:r>
      <w:r w:rsidR="000C22CD" w:rsidRPr="000C22CD">
        <w:rPr>
          <w:rFonts w:ascii="Garamond" w:hAnsi="Garamond"/>
          <w:sz w:val="22"/>
          <w:szCs w:val="22"/>
        </w:rPr>
        <w:t xml:space="preserve">growth </w:t>
      </w:r>
      <w:r w:rsidR="0082104C">
        <w:rPr>
          <w:rFonts w:ascii="Garamond" w:hAnsi="Garamond"/>
          <w:sz w:val="22"/>
          <w:szCs w:val="22"/>
        </w:rPr>
        <w:t xml:space="preserve">is </w:t>
      </w:r>
      <w:r w:rsidR="007D0C8B">
        <w:rPr>
          <w:rFonts w:ascii="Garamond" w:hAnsi="Garamond"/>
          <w:sz w:val="22"/>
          <w:szCs w:val="22"/>
        </w:rPr>
        <w:t xml:space="preserve">somehow </w:t>
      </w:r>
      <w:r w:rsidR="0082104C">
        <w:rPr>
          <w:rFonts w:ascii="Garamond" w:hAnsi="Garamond"/>
          <w:sz w:val="22"/>
          <w:szCs w:val="22"/>
        </w:rPr>
        <w:t xml:space="preserve">attributable to </w:t>
      </w:r>
      <w:r w:rsidR="007D0C8B">
        <w:rPr>
          <w:rFonts w:ascii="Garamond" w:hAnsi="Garamond"/>
          <w:sz w:val="22"/>
          <w:szCs w:val="22"/>
        </w:rPr>
        <w:t xml:space="preserve">the </w:t>
      </w:r>
      <w:r w:rsidR="000C22CD" w:rsidRPr="000C22CD">
        <w:rPr>
          <w:rFonts w:ascii="Garamond" w:hAnsi="Garamond"/>
          <w:sz w:val="22"/>
          <w:szCs w:val="22"/>
        </w:rPr>
        <w:t xml:space="preserve">structural changes and increased competition, which, </w:t>
      </w:r>
      <w:r w:rsidR="007D0C8B">
        <w:rPr>
          <w:rFonts w:ascii="Garamond" w:hAnsi="Garamond"/>
          <w:sz w:val="22"/>
          <w:szCs w:val="22"/>
        </w:rPr>
        <w:t xml:space="preserve">coupled with </w:t>
      </w:r>
      <w:r w:rsidR="000C22CD" w:rsidRPr="000C22CD">
        <w:rPr>
          <w:rFonts w:ascii="Garamond" w:hAnsi="Garamond"/>
          <w:sz w:val="22"/>
          <w:szCs w:val="22"/>
        </w:rPr>
        <w:t>supply</w:t>
      </w:r>
      <w:r w:rsidR="007D0C8B">
        <w:rPr>
          <w:rFonts w:ascii="Garamond" w:hAnsi="Garamond"/>
          <w:sz w:val="22"/>
          <w:szCs w:val="22"/>
        </w:rPr>
        <w:t>-side</w:t>
      </w:r>
      <w:r w:rsidR="000C22CD" w:rsidRPr="000C22CD">
        <w:rPr>
          <w:rFonts w:ascii="Garamond" w:hAnsi="Garamond"/>
          <w:sz w:val="22"/>
          <w:szCs w:val="22"/>
        </w:rPr>
        <w:t xml:space="preserve"> factors, positive</w:t>
      </w:r>
      <w:r w:rsidR="007D0C8B">
        <w:rPr>
          <w:rFonts w:ascii="Garamond" w:hAnsi="Garamond"/>
          <w:sz w:val="22"/>
          <w:szCs w:val="22"/>
        </w:rPr>
        <w:t xml:space="preserve">ly affects </w:t>
      </w:r>
      <w:r w:rsidR="000C22CD" w:rsidRPr="000C22CD">
        <w:rPr>
          <w:rFonts w:ascii="Garamond" w:hAnsi="Garamond"/>
          <w:sz w:val="22"/>
          <w:szCs w:val="22"/>
        </w:rPr>
        <w:t xml:space="preserve">economic </w:t>
      </w:r>
      <w:r w:rsidR="007D0C8B">
        <w:rPr>
          <w:rFonts w:ascii="Garamond" w:hAnsi="Garamond"/>
          <w:sz w:val="22"/>
          <w:szCs w:val="22"/>
        </w:rPr>
        <w:t xml:space="preserve">activity. However, the impact on inflation is limited relative to </w:t>
      </w:r>
      <w:r w:rsidR="00EF2632">
        <w:rPr>
          <w:rFonts w:ascii="Garamond" w:hAnsi="Garamond"/>
          <w:sz w:val="22"/>
          <w:szCs w:val="22"/>
        </w:rPr>
        <w:t xml:space="preserve"> the case when economic growth is driven by increase in demand factors</w:t>
      </w:r>
      <w:r w:rsidR="000C22CD" w:rsidRPr="000C22CD">
        <w:rPr>
          <w:rFonts w:ascii="Garamond" w:hAnsi="Garamond"/>
          <w:sz w:val="22"/>
          <w:szCs w:val="22"/>
        </w:rPr>
        <w:t>.</w:t>
      </w:r>
      <w:r w:rsidR="001B4328">
        <w:rPr>
          <w:rFonts w:ascii="Garamond" w:hAnsi="Garamond"/>
          <w:sz w:val="22"/>
          <w:szCs w:val="22"/>
        </w:rPr>
        <w:t xml:space="preserve"> </w:t>
      </w:r>
    </w:p>
    <w:p w14:paraId="17CAFD19" w14:textId="77777777" w:rsidR="00371990" w:rsidRPr="00EE5F0F" w:rsidRDefault="00371990" w:rsidP="00781ACF">
      <w:pPr>
        <w:autoSpaceDE w:val="0"/>
        <w:autoSpaceDN w:val="0"/>
        <w:adjustRightInd w:val="0"/>
        <w:spacing w:after="120" w:line="360" w:lineRule="auto"/>
        <w:jc w:val="both"/>
        <w:rPr>
          <w:rFonts w:ascii="Garamond" w:hAnsi="Garamond"/>
          <w:sz w:val="22"/>
          <w:szCs w:val="22"/>
        </w:rPr>
      </w:pPr>
    </w:p>
    <w:p w14:paraId="615C6539" w14:textId="77777777" w:rsidR="00781ACF" w:rsidRPr="00EE5F0F" w:rsidRDefault="00781ACF" w:rsidP="00781ACF">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3.2.2. The expenditures aspect of the economy</w:t>
      </w:r>
    </w:p>
    <w:p w14:paraId="30A41DF0" w14:textId="657565E1" w:rsidR="00E37C05" w:rsidRDefault="00E21DBB" w:rsidP="00781ACF">
      <w:pPr>
        <w:autoSpaceDE w:val="0"/>
        <w:autoSpaceDN w:val="0"/>
        <w:adjustRightInd w:val="0"/>
        <w:spacing w:after="120" w:line="360" w:lineRule="auto"/>
        <w:jc w:val="both"/>
        <w:rPr>
          <w:rFonts w:ascii="Garamond" w:hAnsi="Garamond"/>
          <w:sz w:val="22"/>
          <w:szCs w:val="22"/>
        </w:rPr>
      </w:pPr>
      <w:r>
        <w:rPr>
          <w:rFonts w:ascii="Garamond" w:hAnsi="Garamond"/>
          <w:sz w:val="22"/>
          <w:szCs w:val="22"/>
        </w:rPr>
        <w:t>T</w:t>
      </w:r>
      <w:r w:rsidRPr="00EE5F0F">
        <w:rPr>
          <w:rFonts w:ascii="Garamond" w:hAnsi="Garamond"/>
          <w:sz w:val="22"/>
          <w:szCs w:val="22"/>
        </w:rPr>
        <w:t xml:space="preserve">he growth rate of </w:t>
      </w:r>
      <w:r>
        <w:rPr>
          <w:rFonts w:ascii="Garamond" w:hAnsi="Garamond"/>
          <w:sz w:val="22"/>
          <w:szCs w:val="22"/>
        </w:rPr>
        <w:t xml:space="preserve">private </w:t>
      </w:r>
      <w:r w:rsidRPr="00EE5F0F">
        <w:rPr>
          <w:rFonts w:ascii="Garamond" w:hAnsi="Garamond"/>
          <w:sz w:val="22"/>
          <w:szCs w:val="22"/>
        </w:rPr>
        <w:t xml:space="preserve">demand </w:t>
      </w:r>
      <w:r w:rsidR="007D0C8B">
        <w:rPr>
          <w:rFonts w:ascii="Garamond" w:hAnsi="Garamond"/>
          <w:sz w:val="22"/>
          <w:szCs w:val="22"/>
        </w:rPr>
        <w:t xml:space="preserve">was still </w:t>
      </w:r>
      <w:r>
        <w:rPr>
          <w:rFonts w:ascii="Garamond" w:hAnsi="Garamond"/>
          <w:sz w:val="22"/>
          <w:szCs w:val="22"/>
        </w:rPr>
        <w:t xml:space="preserve">high </w:t>
      </w:r>
      <w:r w:rsidR="0080412F">
        <w:rPr>
          <w:rFonts w:ascii="Garamond" w:hAnsi="Garamond"/>
          <w:sz w:val="22"/>
          <w:szCs w:val="22"/>
        </w:rPr>
        <w:t>over</w:t>
      </w:r>
      <w:r w:rsidR="00A44FBE">
        <w:rPr>
          <w:rFonts w:ascii="Garamond" w:hAnsi="Garamond"/>
          <w:sz w:val="22"/>
          <w:szCs w:val="22"/>
        </w:rPr>
        <w:t xml:space="preserve"> </w:t>
      </w:r>
      <w:r w:rsidR="00781ACF" w:rsidRPr="00EE5F0F">
        <w:rPr>
          <w:rFonts w:ascii="Garamond" w:hAnsi="Garamond"/>
          <w:sz w:val="22"/>
          <w:szCs w:val="22"/>
        </w:rPr>
        <w:t xml:space="preserve">the </w:t>
      </w:r>
      <w:r w:rsidR="007D0C8B">
        <w:rPr>
          <w:rFonts w:ascii="Garamond" w:hAnsi="Garamond"/>
          <w:sz w:val="22"/>
          <w:szCs w:val="22"/>
        </w:rPr>
        <w:t>first</w:t>
      </w:r>
      <w:r w:rsidR="00781ACF" w:rsidRPr="00EE5F0F">
        <w:rPr>
          <w:rFonts w:ascii="Garamond" w:hAnsi="Garamond"/>
          <w:sz w:val="22"/>
          <w:szCs w:val="22"/>
        </w:rPr>
        <w:t xml:space="preserve"> quarter of 201</w:t>
      </w:r>
      <w:r w:rsidR="007D0C8B">
        <w:rPr>
          <w:rFonts w:ascii="Garamond" w:hAnsi="Garamond"/>
          <w:sz w:val="22"/>
          <w:szCs w:val="22"/>
        </w:rPr>
        <w:t>9 thanks to double-</w:t>
      </w:r>
      <w:r w:rsidR="007D0C8B" w:rsidRPr="007D0C8B">
        <w:rPr>
          <w:rFonts w:ascii="Garamond" w:hAnsi="Garamond"/>
          <w:sz w:val="22"/>
          <w:szCs w:val="22"/>
        </w:rPr>
        <w:t xml:space="preserve">digit growth </w:t>
      </w:r>
      <w:r w:rsidR="007D0C8B">
        <w:rPr>
          <w:rFonts w:ascii="Garamond" w:hAnsi="Garamond"/>
          <w:sz w:val="22"/>
          <w:szCs w:val="22"/>
        </w:rPr>
        <w:t xml:space="preserve">reported for </w:t>
      </w:r>
      <w:r w:rsidR="000500A0">
        <w:rPr>
          <w:rFonts w:ascii="Garamond" w:hAnsi="Garamond"/>
          <w:sz w:val="22"/>
          <w:szCs w:val="22"/>
        </w:rPr>
        <w:t xml:space="preserve">both private consumption and gross accumulation of </w:t>
      </w:r>
      <w:r w:rsidR="007D0C8B" w:rsidRPr="007D0C8B">
        <w:rPr>
          <w:rFonts w:ascii="Garamond" w:hAnsi="Garamond"/>
          <w:sz w:val="22"/>
          <w:szCs w:val="22"/>
        </w:rPr>
        <w:t>private fixed assets</w:t>
      </w:r>
      <w:r w:rsidR="000500A0">
        <w:rPr>
          <w:rStyle w:val="FootnoteReference"/>
          <w:rFonts w:ascii="Garamond" w:hAnsi="Garamond"/>
          <w:sz w:val="22"/>
          <w:szCs w:val="22"/>
        </w:rPr>
        <w:footnoteReference w:customMarkFollows="1" w:id="15"/>
        <w:t>20</w:t>
      </w:r>
      <w:r>
        <w:rPr>
          <w:rFonts w:ascii="Garamond" w:hAnsi="Garamond"/>
          <w:sz w:val="22"/>
          <w:szCs w:val="22"/>
        </w:rPr>
        <w:t>.</w:t>
      </w:r>
      <w:r w:rsidR="00781ACF" w:rsidRPr="00EE5F0F">
        <w:rPr>
          <w:rFonts w:ascii="Garamond" w:hAnsi="Garamond"/>
          <w:sz w:val="22"/>
          <w:szCs w:val="22"/>
        </w:rPr>
        <w:t xml:space="preserve"> </w:t>
      </w:r>
      <w:r w:rsidR="00C06571">
        <w:rPr>
          <w:rFonts w:ascii="Garamond" w:hAnsi="Garamond"/>
          <w:sz w:val="22"/>
          <w:szCs w:val="22"/>
        </w:rPr>
        <w:t>Such a high growth in p</w:t>
      </w:r>
      <w:r w:rsidR="00C06571" w:rsidRPr="00C06571">
        <w:rPr>
          <w:rFonts w:ascii="Garamond" w:hAnsi="Garamond"/>
          <w:sz w:val="22"/>
          <w:szCs w:val="22"/>
        </w:rPr>
        <w:t>rivate consumption</w:t>
      </w:r>
      <w:r w:rsidR="00C06571">
        <w:rPr>
          <w:rFonts w:ascii="Garamond" w:hAnsi="Garamond"/>
          <w:sz w:val="22"/>
          <w:szCs w:val="22"/>
        </w:rPr>
        <w:t xml:space="preserve"> over the quarter amid a narrowing inflow of </w:t>
      </w:r>
      <w:r w:rsidR="00C06571" w:rsidRPr="00C06571">
        <w:rPr>
          <w:rFonts w:ascii="Garamond" w:hAnsi="Garamond"/>
          <w:sz w:val="22"/>
          <w:szCs w:val="22"/>
        </w:rPr>
        <w:t xml:space="preserve">remittances is largely </w:t>
      </w:r>
      <w:r w:rsidR="00C06571">
        <w:rPr>
          <w:rFonts w:ascii="Garamond" w:hAnsi="Garamond"/>
          <w:sz w:val="22"/>
          <w:szCs w:val="22"/>
        </w:rPr>
        <w:t xml:space="preserve">determined by strong growth in </w:t>
      </w:r>
      <w:r w:rsidR="00C06571" w:rsidRPr="00C06571">
        <w:rPr>
          <w:rFonts w:ascii="Garamond" w:hAnsi="Garamond"/>
          <w:sz w:val="22"/>
          <w:szCs w:val="22"/>
        </w:rPr>
        <w:t xml:space="preserve">lending to households, </w:t>
      </w:r>
      <w:r w:rsidR="00C06571">
        <w:rPr>
          <w:rFonts w:ascii="Garamond" w:hAnsi="Garamond"/>
          <w:sz w:val="22"/>
          <w:szCs w:val="22"/>
        </w:rPr>
        <w:t xml:space="preserve">facilitated by a </w:t>
      </w:r>
      <w:r w:rsidR="00EF2632">
        <w:rPr>
          <w:rFonts w:ascii="Garamond" w:hAnsi="Garamond"/>
          <w:sz w:val="22"/>
          <w:szCs w:val="22"/>
        </w:rPr>
        <w:t xml:space="preserve">continuous </w:t>
      </w:r>
      <w:r w:rsidR="00C06571">
        <w:rPr>
          <w:rFonts w:ascii="Garamond" w:hAnsi="Garamond"/>
          <w:sz w:val="22"/>
          <w:szCs w:val="22"/>
        </w:rPr>
        <w:t xml:space="preserve">expansionary </w:t>
      </w:r>
      <w:r w:rsidR="00C06571" w:rsidRPr="00C06571">
        <w:rPr>
          <w:rFonts w:ascii="Garamond" w:hAnsi="Garamond"/>
          <w:sz w:val="22"/>
          <w:szCs w:val="22"/>
        </w:rPr>
        <w:t xml:space="preserve">monetary policy </w:t>
      </w:r>
      <w:r w:rsidR="00C06571">
        <w:rPr>
          <w:rFonts w:ascii="Garamond" w:hAnsi="Garamond"/>
          <w:sz w:val="22"/>
          <w:szCs w:val="22"/>
        </w:rPr>
        <w:t xml:space="preserve">pursued in </w:t>
      </w:r>
      <w:r w:rsidR="00C06571" w:rsidRPr="00C06571">
        <w:rPr>
          <w:rFonts w:ascii="Garamond" w:hAnsi="Garamond"/>
          <w:sz w:val="22"/>
          <w:szCs w:val="22"/>
        </w:rPr>
        <w:t xml:space="preserve">recent </w:t>
      </w:r>
      <w:r w:rsidR="00C06571" w:rsidRPr="00C06571">
        <w:rPr>
          <w:rFonts w:ascii="Garamond" w:hAnsi="Garamond"/>
          <w:sz w:val="22"/>
          <w:szCs w:val="22"/>
        </w:rPr>
        <w:lastRenderedPageBreak/>
        <w:t>years.</w:t>
      </w:r>
      <w:r w:rsidR="00C06571">
        <w:rPr>
          <w:rFonts w:ascii="Garamond" w:hAnsi="Garamond"/>
          <w:sz w:val="22"/>
          <w:szCs w:val="22"/>
        </w:rPr>
        <w:t xml:space="preserve"> Thus, w</w:t>
      </w:r>
      <w:r w:rsidR="00781ACF" w:rsidRPr="00EE5F0F">
        <w:rPr>
          <w:rFonts w:ascii="Garamond" w:hAnsi="Garamond"/>
          <w:sz w:val="22"/>
          <w:szCs w:val="22"/>
        </w:rPr>
        <w:t xml:space="preserve">ith a </w:t>
      </w:r>
      <w:r w:rsidR="00C06571">
        <w:rPr>
          <w:rFonts w:ascii="Garamond" w:hAnsi="Garamond"/>
          <w:sz w:val="22"/>
          <w:szCs w:val="22"/>
        </w:rPr>
        <w:t>7</w:t>
      </w:r>
      <w:r w:rsidR="00781ACF" w:rsidRPr="00EE5F0F">
        <w:rPr>
          <w:rFonts w:ascii="Garamond" w:hAnsi="Garamond"/>
          <w:sz w:val="22"/>
          <w:szCs w:val="22"/>
        </w:rPr>
        <w:t>.</w:t>
      </w:r>
      <w:r w:rsidR="00C06571">
        <w:rPr>
          <w:rFonts w:ascii="Garamond" w:hAnsi="Garamond"/>
          <w:sz w:val="22"/>
          <w:szCs w:val="22"/>
        </w:rPr>
        <w:t>1</w:t>
      </w:r>
      <w:r w:rsidR="00781ACF" w:rsidRPr="00EE5F0F">
        <w:rPr>
          <w:rFonts w:ascii="Garamond" w:hAnsi="Garamond"/>
          <w:sz w:val="22"/>
          <w:szCs w:val="22"/>
        </w:rPr>
        <w:t>% economic growth</w:t>
      </w:r>
      <w:r w:rsidR="00C06571">
        <w:rPr>
          <w:rFonts w:ascii="Garamond" w:hAnsi="Garamond"/>
          <w:sz w:val="22"/>
          <w:szCs w:val="22"/>
        </w:rPr>
        <w:t xml:space="preserve"> </w:t>
      </w:r>
      <w:r w:rsidR="00EF2632">
        <w:rPr>
          <w:rFonts w:ascii="Garamond" w:hAnsi="Garamond"/>
          <w:sz w:val="22"/>
          <w:szCs w:val="22"/>
        </w:rPr>
        <w:t xml:space="preserve">observed </w:t>
      </w:r>
      <w:r w:rsidR="00C06571">
        <w:rPr>
          <w:rFonts w:ascii="Garamond" w:hAnsi="Garamond"/>
          <w:sz w:val="22"/>
          <w:szCs w:val="22"/>
        </w:rPr>
        <w:t>in the reporting period</w:t>
      </w:r>
      <w:r w:rsidR="00837208">
        <w:rPr>
          <w:rFonts w:ascii="Garamond" w:hAnsi="Garamond"/>
          <w:sz w:val="22"/>
          <w:szCs w:val="22"/>
        </w:rPr>
        <w:t>,</w:t>
      </w:r>
      <w:r w:rsidR="0080412F">
        <w:rPr>
          <w:rFonts w:ascii="Garamond" w:hAnsi="Garamond"/>
          <w:sz w:val="22"/>
          <w:szCs w:val="22"/>
        </w:rPr>
        <w:t xml:space="preserve"> </w:t>
      </w:r>
      <w:r w:rsidR="00781ACF" w:rsidRPr="00EE5F0F">
        <w:rPr>
          <w:rFonts w:ascii="Garamond" w:hAnsi="Garamond"/>
          <w:sz w:val="22"/>
          <w:szCs w:val="22"/>
        </w:rPr>
        <w:t>private spending</w:t>
      </w:r>
      <w:r w:rsidR="004F68C6">
        <w:rPr>
          <w:rStyle w:val="FootnoteReference"/>
          <w:rFonts w:ascii="Garamond" w:hAnsi="Garamond"/>
          <w:sz w:val="22"/>
          <w:szCs w:val="22"/>
        </w:rPr>
        <w:footnoteReference w:customMarkFollows="1" w:id="16"/>
        <w:t>21</w:t>
      </w:r>
      <w:r w:rsidR="00781ACF" w:rsidRPr="00EE5F0F">
        <w:rPr>
          <w:rFonts w:ascii="Garamond" w:hAnsi="Garamond"/>
          <w:sz w:val="22"/>
          <w:szCs w:val="22"/>
        </w:rPr>
        <w:t xml:space="preserve"> </w:t>
      </w:r>
      <w:r w:rsidR="00642308">
        <w:rPr>
          <w:rFonts w:ascii="Garamond" w:hAnsi="Garamond"/>
          <w:sz w:val="22"/>
          <w:szCs w:val="22"/>
        </w:rPr>
        <w:t>has grown by 1</w:t>
      </w:r>
      <w:r w:rsidR="00837208">
        <w:rPr>
          <w:rFonts w:ascii="Garamond" w:hAnsi="Garamond"/>
          <w:sz w:val="22"/>
          <w:szCs w:val="22"/>
        </w:rPr>
        <w:t>3</w:t>
      </w:r>
      <w:r w:rsidR="00642308">
        <w:rPr>
          <w:rFonts w:ascii="Garamond" w:hAnsi="Garamond"/>
          <w:sz w:val="22"/>
          <w:szCs w:val="22"/>
        </w:rPr>
        <w:t>.8</w:t>
      </w:r>
      <w:r w:rsidR="00781ACF" w:rsidRPr="00EE5F0F">
        <w:rPr>
          <w:rFonts w:ascii="Garamond" w:hAnsi="Garamond"/>
          <w:sz w:val="22"/>
          <w:szCs w:val="22"/>
        </w:rPr>
        <w:t>%</w:t>
      </w:r>
      <w:r w:rsidR="00E37C05">
        <w:rPr>
          <w:rFonts w:ascii="Garamond" w:hAnsi="Garamond"/>
          <w:sz w:val="22"/>
          <w:szCs w:val="22"/>
        </w:rPr>
        <w:t xml:space="preserve"> owing to </w:t>
      </w:r>
      <w:r w:rsidR="00642308" w:rsidRPr="00642308">
        <w:rPr>
          <w:rFonts w:ascii="Garamond" w:hAnsi="Garamond"/>
          <w:sz w:val="22"/>
          <w:szCs w:val="22"/>
        </w:rPr>
        <w:t xml:space="preserve">private consumption and gross </w:t>
      </w:r>
      <w:r w:rsidR="00E37C05">
        <w:rPr>
          <w:rFonts w:ascii="Garamond" w:hAnsi="Garamond"/>
          <w:sz w:val="22"/>
          <w:szCs w:val="22"/>
        </w:rPr>
        <w:t xml:space="preserve">accumulation of </w:t>
      </w:r>
      <w:r w:rsidR="00642308" w:rsidRPr="00642308">
        <w:rPr>
          <w:rFonts w:ascii="Garamond" w:hAnsi="Garamond"/>
          <w:sz w:val="22"/>
          <w:szCs w:val="22"/>
        </w:rPr>
        <w:t>private fixed assets</w:t>
      </w:r>
      <w:r w:rsidR="00E37C05">
        <w:rPr>
          <w:rFonts w:ascii="Garamond" w:hAnsi="Garamond"/>
          <w:sz w:val="22"/>
          <w:szCs w:val="22"/>
        </w:rPr>
        <w:t xml:space="preserve"> (with their growths of </w:t>
      </w:r>
      <w:r w:rsidR="00BE2F66">
        <w:rPr>
          <w:rFonts w:ascii="Garamond" w:hAnsi="Garamond"/>
          <w:sz w:val="22"/>
          <w:szCs w:val="22"/>
        </w:rPr>
        <w:t>13.6</w:t>
      </w:r>
      <w:r w:rsidR="00E37C05">
        <w:rPr>
          <w:rFonts w:ascii="Garamond" w:hAnsi="Garamond"/>
          <w:sz w:val="22"/>
          <w:szCs w:val="22"/>
        </w:rPr>
        <w:t>% and 15.6%, respectively)</w:t>
      </w:r>
      <w:r w:rsidR="00642308" w:rsidRPr="00642308">
        <w:rPr>
          <w:rFonts w:ascii="Garamond" w:hAnsi="Garamond"/>
          <w:sz w:val="22"/>
          <w:szCs w:val="22"/>
        </w:rPr>
        <w:t>, which is significantly higher than the previous forecast.</w:t>
      </w:r>
      <w:r w:rsidR="00E37C05">
        <w:rPr>
          <w:rFonts w:ascii="Garamond" w:hAnsi="Garamond"/>
          <w:sz w:val="22"/>
          <w:szCs w:val="22"/>
        </w:rPr>
        <w:t xml:space="preserve"> </w:t>
      </w:r>
    </w:p>
    <w:p w14:paraId="231D5F0C" w14:textId="77777777" w:rsidR="00781ACF" w:rsidRPr="00EE5F0F" w:rsidRDefault="00831D7D" w:rsidP="00781ACF">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In </w:t>
      </w:r>
      <w:r w:rsidRPr="00EE5F0F">
        <w:rPr>
          <w:rFonts w:ascii="Garamond" w:hAnsi="Garamond"/>
          <w:sz w:val="22"/>
          <w:szCs w:val="22"/>
        </w:rPr>
        <w:t xml:space="preserve">the </w:t>
      </w:r>
      <w:r w:rsidR="0065456A">
        <w:rPr>
          <w:rFonts w:ascii="Garamond" w:hAnsi="Garamond"/>
          <w:sz w:val="22"/>
          <w:szCs w:val="22"/>
        </w:rPr>
        <w:t>first</w:t>
      </w:r>
      <w:r w:rsidR="00B2087D">
        <w:rPr>
          <w:rFonts w:ascii="Garamond" w:hAnsi="Garamond"/>
          <w:sz w:val="22"/>
          <w:szCs w:val="22"/>
        </w:rPr>
        <w:t xml:space="preserve"> quarter o</w:t>
      </w:r>
      <w:r>
        <w:rPr>
          <w:rFonts w:ascii="Garamond" w:hAnsi="Garamond"/>
          <w:sz w:val="22"/>
          <w:szCs w:val="22"/>
        </w:rPr>
        <w:t>f 201</w:t>
      </w:r>
      <w:r w:rsidR="0065456A">
        <w:rPr>
          <w:rFonts w:ascii="Garamond" w:hAnsi="Garamond"/>
          <w:sz w:val="22"/>
          <w:szCs w:val="22"/>
        </w:rPr>
        <w:t xml:space="preserve">9 </w:t>
      </w:r>
      <w:r w:rsidR="00BE2F66">
        <w:rPr>
          <w:rFonts w:ascii="Garamond" w:hAnsi="Garamond"/>
          <w:sz w:val="22"/>
          <w:szCs w:val="22"/>
        </w:rPr>
        <w:t xml:space="preserve">the estimate of </w:t>
      </w:r>
      <w:r w:rsidR="00781ACF" w:rsidRPr="00EE5F0F">
        <w:rPr>
          <w:rFonts w:ascii="Garamond" w:hAnsi="Garamond"/>
          <w:sz w:val="22"/>
          <w:szCs w:val="22"/>
        </w:rPr>
        <w:t xml:space="preserve">private </w:t>
      </w:r>
      <w:r w:rsidR="0065456A">
        <w:rPr>
          <w:rFonts w:ascii="Garamond" w:hAnsi="Garamond"/>
          <w:sz w:val="22"/>
          <w:szCs w:val="22"/>
        </w:rPr>
        <w:t xml:space="preserve">consumption </w:t>
      </w:r>
      <w:r w:rsidR="00BE2F66">
        <w:rPr>
          <w:rFonts w:ascii="Garamond" w:hAnsi="Garamond"/>
          <w:sz w:val="22"/>
          <w:szCs w:val="22"/>
        </w:rPr>
        <w:t xml:space="preserve">is </w:t>
      </w:r>
      <w:r w:rsidR="0065456A">
        <w:rPr>
          <w:rFonts w:ascii="Garamond" w:hAnsi="Garamond"/>
          <w:sz w:val="22"/>
          <w:szCs w:val="22"/>
        </w:rPr>
        <w:t xml:space="preserve">above </w:t>
      </w:r>
      <w:r w:rsidR="00781ACF" w:rsidRPr="00EE5F0F">
        <w:rPr>
          <w:rFonts w:ascii="Garamond" w:hAnsi="Garamond"/>
          <w:sz w:val="22"/>
          <w:szCs w:val="22"/>
        </w:rPr>
        <w:t xml:space="preserve">its </w:t>
      </w:r>
      <w:r>
        <w:rPr>
          <w:rFonts w:ascii="Garamond" w:hAnsi="Garamond"/>
          <w:sz w:val="22"/>
          <w:szCs w:val="22"/>
        </w:rPr>
        <w:t>potential value</w:t>
      </w:r>
      <w:r w:rsidR="00B2087D">
        <w:rPr>
          <w:rFonts w:ascii="Garamond" w:hAnsi="Garamond"/>
          <w:sz w:val="22"/>
          <w:szCs w:val="22"/>
        </w:rPr>
        <w:t xml:space="preserve">, so </w:t>
      </w:r>
      <w:r w:rsidR="00BE2F66">
        <w:rPr>
          <w:rFonts w:ascii="Garamond" w:hAnsi="Garamond"/>
          <w:sz w:val="22"/>
          <w:szCs w:val="22"/>
        </w:rPr>
        <w:t xml:space="preserve">minor </w:t>
      </w:r>
      <w:r w:rsidR="00B2087D" w:rsidRPr="00B2087D">
        <w:rPr>
          <w:rFonts w:ascii="Garamond" w:hAnsi="Garamond"/>
          <w:sz w:val="22"/>
          <w:szCs w:val="22"/>
        </w:rPr>
        <w:t xml:space="preserve">inflationary </w:t>
      </w:r>
      <w:r w:rsidR="00BE2F66">
        <w:rPr>
          <w:rFonts w:ascii="Garamond" w:hAnsi="Garamond"/>
          <w:sz w:val="22"/>
          <w:szCs w:val="22"/>
        </w:rPr>
        <w:t xml:space="preserve">pressures are </w:t>
      </w:r>
      <w:r w:rsidR="00B2087D">
        <w:rPr>
          <w:rFonts w:ascii="Garamond" w:hAnsi="Garamond"/>
          <w:sz w:val="22"/>
          <w:szCs w:val="22"/>
        </w:rPr>
        <w:t xml:space="preserve">likely. </w:t>
      </w:r>
    </w:p>
    <w:p w14:paraId="38D4278D" w14:textId="77777777" w:rsidR="00781ACF" w:rsidRPr="00EE5F0F" w:rsidRDefault="00781ACF" w:rsidP="00781ACF">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In the </w:t>
      </w:r>
      <w:r w:rsidR="006E6EEA">
        <w:rPr>
          <w:rFonts w:ascii="Garamond" w:hAnsi="Garamond"/>
          <w:sz w:val="22"/>
          <w:szCs w:val="22"/>
        </w:rPr>
        <w:t>first</w:t>
      </w:r>
      <w:r w:rsidR="00B2087D">
        <w:rPr>
          <w:rFonts w:ascii="Garamond" w:hAnsi="Garamond"/>
          <w:sz w:val="22"/>
          <w:szCs w:val="22"/>
        </w:rPr>
        <w:t xml:space="preserve"> quarter</w:t>
      </w:r>
      <w:r w:rsidRPr="00EE5F0F">
        <w:rPr>
          <w:rFonts w:ascii="Garamond" w:hAnsi="Garamond"/>
          <w:sz w:val="22"/>
          <w:szCs w:val="22"/>
        </w:rPr>
        <w:t xml:space="preserve"> of 201</w:t>
      </w:r>
      <w:r w:rsidR="006E6EEA">
        <w:rPr>
          <w:rFonts w:ascii="Garamond" w:hAnsi="Garamond"/>
          <w:sz w:val="22"/>
          <w:szCs w:val="22"/>
        </w:rPr>
        <w:t xml:space="preserve">9 the real </w:t>
      </w:r>
      <w:r w:rsidR="00B2087D" w:rsidRPr="00B2087D">
        <w:rPr>
          <w:rFonts w:ascii="Garamond" w:hAnsi="Garamond"/>
          <w:sz w:val="22"/>
          <w:szCs w:val="22"/>
        </w:rPr>
        <w:t>export and import</w:t>
      </w:r>
      <w:r w:rsidR="00B2087D">
        <w:rPr>
          <w:rFonts w:ascii="Garamond" w:hAnsi="Garamond"/>
          <w:sz w:val="22"/>
          <w:szCs w:val="22"/>
        </w:rPr>
        <w:t xml:space="preserve"> volumes </w:t>
      </w:r>
      <w:r w:rsidR="006E6EEA">
        <w:rPr>
          <w:rFonts w:ascii="Garamond" w:hAnsi="Garamond"/>
          <w:sz w:val="22"/>
          <w:szCs w:val="22"/>
        </w:rPr>
        <w:t xml:space="preserve">contracted relative </w:t>
      </w:r>
      <w:r w:rsidR="00B2087D" w:rsidRPr="00B2087D">
        <w:rPr>
          <w:rFonts w:ascii="Garamond" w:hAnsi="Garamond"/>
          <w:sz w:val="22"/>
          <w:szCs w:val="22"/>
        </w:rPr>
        <w:t xml:space="preserve">to </w:t>
      </w:r>
      <w:r w:rsidR="006E6EEA">
        <w:rPr>
          <w:rFonts w:ascii="Garamond" w:hAnsi="Garamond"/>
          <w:sz w:val="22"/>
          <w:szCs w:val="22"/>
        </w:rPr>
        <w:t>the first quarter of the previous year. The r</w:t>
      </w:r>
      <w:r w:rsidR="00B2087D" w:rsidRPr="00B2087D">
        <w:rPr>
          <w:rFonts w:ascii="Garamond" w:hAnsi="Garamond"/>
          <w:sz w:val="22"/>
          <w:szCs w:val="22"/>
        </w:rPr>
        <w:t xml:space="preserve">eal </w:t>
      </w:r>
      <w:r w:rsidR="006E6EEA">
        <w:rPr>
          <w:rFonts w:ascii="Garamond" w:hAnsi="Garamond"/>
          <w:sz w:val="22"/>
          <w:szCs w:val="22"/>
        </w:rPr>
        <w:t xml:space="preserve">export </w:t>
      </w:r>
      <w:r w:rsidR="00B2087D" w:rsidRPr="00B2087D">
        <w:rPr>
          <w:rFonts w:ascii="Garamond" w:hAnsi="Garamond"/>
          <w:sz w:val="22"/>
          <w:szCs w:val="22"/>
        </w:rPr>
        <w:t xml:space="preserve">volumes </w:t>
      </w:r>
      <w:r w:rsidR="006E6EEA">
        <w:rPr>
          <w:rFonts w:ascii="Garamond" w:hAnsi="Garamond"/>
          <w:sz w:val="22"/>
          <w:szCs w:val="22"/>
        </w:rPr>
        <w:t>have reduced faster than those of import</w:t>
      </w:r>
      <w:r w:rsidR="00B2087D" w:rsidRPr="00B2087D">
        <w:rPr>
          <w:rFonts w:ascii="Garamond" w:hAnsi="Garamond"/>
          <w:sz w:val="22"/>
          <w:szCs w:val="22"/>
        </w:rPr>
        <w:t>.</w:t>
      </w:r>
      <w:r w:rsidR="00ED54BB">
        <w:rPr>
          <w:rFonts w:ascii="Garamond" w:hAnsi="Garamond"/>
          <w:sz w:val="22"/>
          <w:szCs w:val="22"/>
        </w:rPr>
        <w:t xml:space="preserve"> As a result, the contribution of </w:t>
      </w:r>
      <w:r w:rsidR="00ED54BB" w:rsidRPr="00ED54BB">
        <w:rPr>
          <w:rFonts w:ascii="Garamond" w:hAnsi="Garamond"/>
          <w:sz w:val="22"/>
          <w:szCs w:val="22"/>
        </w:rPr>
        <w:t>net real export</w:t>
      </w:r>
      <w:r w:rsidR="00ED54BB">
        <w:rPr>
          <w:rFonts w:ascii="Garamond" w:hAnsi="Garamond"/>
          <w:sz w:val="22"/>
          <w:szCs w:val="22"/>
        </w:rPr>
        <w:t xml:space="preserve"> to the GDP </w:t>
      </w:r>
      <w:r w:rsidR="006E6EEA">
        <w:rPr>
          <w:rFonts w:ascii="Garamond" w:hAnsi="Garamond"/>
          <w:sz w:val="22"/>
          <w:szCs w:val="22"/>
        </w:rPr>
        <w:t xml:space="preserve">proved </w:t>
      </w:r>
      <w:r w:rsidR="00ED54BB" w:rsidRPr="00ED54BB">
        <w:rPr>
          <w:rFonts w:ascii="Garamond" w:hAnsi="Garamond"/>
          <w:sz w:val="22"/>
          <w:szCs w:val="22"/>
        </w:rPr>
        <w:t>negative.</w:t>
      </w:r>
      <w:r w:rsidR="00ED54BB">
        <w:rPr>
          <w:rFonts w:ascii="Garamond" w:hAnsi="Garamond"/>
          <w:sz w:val="22"/>
          <w:szCs w:val="22"/>
        </w:rPr>
        <w:t xml:space="preserve"> </w:t>
      </w:r>
      <w:r w:rsidR="00ED54BB" w:rsidRPr="00ED54BB">
        <w:rPr>
          <w:rFonts w:ascii="Garamond" w:hAnsi="Garamond"/>
          <w:sz w:val="22"/>
          <w:szCs w:val="22"/>
        </w:rPr>
        <w:t xml:space="preserve">Thus, </w:t>
      </w:r>
      <w:r w:rsidR="00ED54BB">
        <w:rPr>
          <w:rFonts w:ascii="Garamond" w:hAnsi="Garamond"/>
          <w:sz w:val="22"/>
          <w:szCs w:val="22"/>
        </w:rPr>
        <w:t>i</w:t>
      </w:r>
      <w:r w:rsidR="006E6EEA">
        <w:rPr>
          <w:rFonts w:ascii="Garamond" w:hAnsi="Garamond"/>
          <w:sz w:val="22"/>
          <w:szCs w:val="22"/>
        </w:rPr>
        <w:t>n the first</w:t>
      </w:r>
      <w:r w:rsidR="00ED54BB" w:rsidRPr="00ED54BB">
        <w:rPr>
          <w:rFonts w:ascii="Garamond" w:hAnsi="Garamond"/>
          <w:sz w:val="22"/>
          <w:szCs w:val="22"/>
        </w:rPr>
        <w:t xml:space="preserve"> quarter</w:t>
      </w:r>
      <w:r w:rsidR="00ED54BB">
        <w:rPr>
          <w:rFonts w:ascii="Garamond" w:hAnsi="Garamond"/>
          <w:sz w:val="22"/>
          <w:szCs w:val="22"/>
        </w:rPr>
        <w:t xml:space="preserve"> of 201</w:t>
      </w:r>
      <w:r w:rsidR="006E6EEA">
        <w:rPr>
          <w:rFonts w:ascii="Garamond" w:hAnsi="Garamond"/>
          <w:sz w:val="22"/>
          <w:szCs w:val="22"/>
        </w:rPr>
        <w:t>9</w:t>
      </w:r>
      <w:r w:rsidR="00ED54BB">
        <w:rPr>
          <w:rFonts w:ascii="Garamond" w:hAnsi="Garamond"/>
          <w:sz w:val="22"/>
          <w:szCs w:val="22"/>
        </w:rPr>
        <w:t xml:space="preserve"> </w:t>
      </w:r>
      <w:r w:rsidR="00ED54BB" w:rsidRPr="00ED54BB">
        <w:rPr>
          <w:rFonts w:ascii="Garamond" w:hAnsi="Garamond"/>
          <w:sz w:val="22"/>
          <w:szCs w:val="22"/>
        </w:rPr>
        <w:t xml:space="preserve">the real export </w:t>
      </w:r>
      <w:r w:rsidR="006E6EEA">
        <w:rPr>
          <w:rFonts w:ascii="Garamond" w:hAnsi="Garamond"/>
          <w:sz w:val="22"/>
          <w:szCs w:val="22"/>
        </w:rPr>
        <w:t xml:space="preserve">and import </w:t>
      </w:r>
      <w:r w:rsidR="00ED54BB" w:rsidRPr="00ED54BB">
        <w:rPr>
          <w:rFonts w:ascii="Garamond" w:hAnsi="Garamond"/>
          <w:sz w:val="22"/>
          <w:szCs w:val="22"/>
        </w:rPr>
        <w:t xml:space="preserve">of goods and services </w:t>
      </w:r>
      <w:r w:rsidR="00D222B3">
        <w:rPr>
          <w:rFonts w:ascii="Garamond" w:hAnsi="Garamond"/>
          <w:sz w:val="22"/>
          <w:szCs w:val="22"/>
        </w:rPr>
        <w:t>declined by 4</w:t>
      </w:r>
      <w:r w:rsidR="00ED54BB" w:rsidRPr="00ED54BB">
        <w:rPr>
          <w:rFonts w:ascii="Garamond" w:hAnsi="Garamond"/>
          <w:sz w:val="22"/>
          <w:szCs w:val="22"/>
        </w:rPr>
        <w:t>.3%</w:t>
      </w:r>
      <w:r w:rsidR="00ED54BB">
        <w:rPr>
          <w:rFonts w:ascii="Garamond" w:hAnsi="Garamond"/>
          <w:sz w:val="22"/>
          <w:szCs w:val="22"/>
        </w:rPr>
        <w:t xml:space="preserve"> </w:t>
      </w:r>
      <w:r w:rsidR="00D222B3">
        <w:rPr>
          <w:rFonts w:ascii="Garamond" w:hAnsi="Garamond"/>
          <w:sz w:val="22"/>
          <w:szCs w:val="22"/>
        </w:rPr>
        <w:t xml:space="preserve">and 0.1% </w:t>
      </w:r>
      <w:r w:rsidR="00ED54BB">
        <w:rPr>
          <w:rFonts w:ascii="Garamond" w:hAnsi="Garamond"/>
          <w:sz w:val="22"/>
          <w:szCs w:val="22"/>
        </w:rPr>
        <w:t>y/y</w:t>
      </w:r>
      <w:r w:rsidR="00ED54BB" w:rsidRPr="00ED54BB">
        <w:rPr>
          <w:rFonts w:ascii="Garamond" w:hAnsi="Garamond"/>
          <w:sz w:val="22"/>
          <w:szCs w:val="22"/>
        </w:rPr>
        <w:t xml:space="preserve">, </w:t>
      </w:r>
      <w:r w:rsidR="00D222B3">
        <w:rPr>
          <w:rFonts w:ascii="Garamond" w:hAnsi="Garamond"/>
          <w:sz w:val="22"/>
          <w:szCs w:val="22"/>
        </w:rPr>
        <w:t xml:space="preserve">respectively. </w:t>
      </w:r>
    </w:p>
    <w:p w14:paraId="3DFE1E0B" w14:textId="77777777" w:rsidR="00781ACF" w:rsidRDefault="00781ACF" w:rsidP="00781ACF">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In the </w:t>
      </w:r>
      <w:r w:rsidR="00D222B3">
        <w:rPr>
          <w:rFonts w:ascii="Garamond" w:hAnsi="Garamond"/>
          <w:sz w:val="22"/>
          <w:szCs w:val="22"/>
        </w:rPr>
        <w:t>first</w:t>
      </w:r>
      <w:r w:rsidRPr="00EE5F0F">
        <w:rPr>
          <w:rFonts w:ascii="Garamond" w:hAnsi="Garamond"/>
          <w:sz w:val="22"/>
          <w:szCs w:val="22"/>
        </w:rPr>
        <w:t xml:space="preserve"> quarter of 201</w:t>
      </w:r>
      <w:r w:rsidR="00D222B3">
        <w:rPr>
          <w:rFonts w:ascii="Garamond" w:hAnsi="Garamond"/>
          <w:sz w:val="22"/>
          <w:szCs w:val="22"/>
        </w:rPr>
        <w:t xml:space="preserve">9 </w:t>
      </w:r>
      <w:r w:rsidRPr="00EE5F0F">
        <w:rPr>
          <w:rFonts w:ascii="Garamond" w:hAnsi="Garamond"/>
          <w:sz w:val="22"/>
          <w:szCs w:val="22"/>
        </w:rPr>
        <w:t>net remittances of individuals (seasonal workers’ income and personal transfers inclusive)</w:t>
      </w:r>
      <w:r w:rsidR="000C1208">
        <w:rPr>
          <w:rFonts w:ascii="Garamond" w:hAnsi="Garamond"/>
          <w:sz w:val="22"/>
          <w:szCs w:val="22"/>
        </w:rPr>
        <w:t xml:space="preserve"> in </w:t>
      </w:r>
      <w:r w:rsidR="00FD0ABE">
        <w:rPr>
          <w:rFonts w:ascii="Garamond" w:hAnsi="Garamond"/>
          <w:sz w:val="22"/>
          <w:szCs w:val="22"/>
        </w:rPr>
        <w:t>US dollars</w:t>
      </w:r>
      <w:r w:rsidRPr="00EE5F0F">
        <w:rPr>
          <w:rFonts w:ascii="Garamond" w:hAnsi="Garamond"/>
          <w:sz w:val="22"/>
          <w:szCs w:val="22"/>
        </w:rPr>
        <w:t xml:space="preserve"> </w:t>
      </w:r>
      <w:r w:rsidR="004D2425">
        <w:rPr>
          <w:rFonts w:ascii="Garamond" w:hAnsi="Garamond"/>
          <w:sz w:val="22"/>
          <w:szCs w:val="22"/>
        </w:rPr>
        <w:t>narrowed t</w:t>
      </w:r>
      <w:r w:rsidRPr="00EE5F0F">
        <w:rPr>
          <w:rFonts w:ascii="Garamond" w:hAnsi="Garamond"/>
          <w:sz w:val="22"/>
          <w:szCs w:val="22"/>
        </w:rPr>
        <w:t xml:space="preserve">o an estimated </w:t>
      </w:r>
      <w:r w:rsidR="00D222B3">
        <w:rPr>
          <w:rFonts w:ascii="Garamond" w:hAnsi="Garamond"/>
          <w:sz w:val="22"/>
          <w:szCs w:val="22"/>
        </w:rPr>
        <w:t>5</w:t>
      </w:r>
      <w:r w:rsidRPr="00EE5F0F">
        <w:rPr>
          <w:rFonts w:ascii="Garamond" w:hAnsi="Garamond"/>
          <w:sz w:val="22"/>
          <w:szCs w:val="22"/>
        </w:rPr>
        <w:t>.</w:t>
      </w:r>
      <w:r w:rsidR="00D222B3">
        <w:rPr>
          <w:rFonts w:ascii="Garamond" w:hAnsi="Garamond"/>
          <w:sz w:val="22"/>
          <w:szCs w:val="22"/>
        </w:rPr>
        <w:t>7</w:t>
      </w:r>
      <w:r w:rsidRPr="00EE5F0F">
        <w:rPr>
          <w:rFonts w:ascii="Garamond" w:hAnsi="Garamond"/>
          <w:sz w:val="22"/>
          <w:szCs w:val="22"/>
        </w:rPr>
        <w:t xml:space="preserve">% y/y, as the </w:t>
      </w:r>
      <w:r w:rsidR="00FD0ABE">
        <w:rPr>
          <w:rFonts w:ascii="Garamond" w:hAnsi="Garamond"/>
          <w:sz w:val="22"/>
          <w:szCs w:val="22"/>
        </w:rPr>
        <w:t xml:space="preserve">Russian </w:t>
      </w:r>
      <w:r w:rsidRPr="00EE5F0F">
        <w:rPr>
          <w:rFonts w:ascii="Garamond" w:hAnsi="Garamond"/>
          <w:sz w:val="22"/>
          <w:szCs w:val="22"/>
        </w:rPr>
        <w:t xml:space="preserve">ruble exchange rate </w:t>
      </w:r>
      <w:r w:rsidR="00FD0ABE">
        <w:rPr>
          <w:rFonts w:ascii="Garamond" w:hAnsi="Garamond"/>
          <w:sz w:val="22"/>
          <w:szCs w:val="22"/>
        </w:rPr>
        <w:t xml:space="preserve">continued </w:t>
      </w:r>
      <w:r w:rsidR="00E90953">
        <w:rPr>
          <w:rFonts w:ascii="Garamond" w:hAnsi="Garamond"/>
          <w:sz w:val="22"/>
          <w:szCs w:val="22"/>
        </w:rPr>
        <w:t>de</w:t>
      </w:r>
      <w:r w:rsidRPr="00EE5F0F">
        <w:rPr>
          <w:rFonts w:ascii="Garamond" w:hAnsi="Garamond"/>
          <w:sz w:val="22"/>
          <w:szCs w:val="22"/>
        </w:rPr>
        <w:t>preciat</w:t>
      </w:r>
      <w:r w:rsidR="00FD0ABE">
        <w:rPr>
          <w:rFonts w:ascii="Garamond" w:hAnsi="Garamond"/>
          <w:sz w:val="22"/>
          <w:szCs w:val="22"/>
        </w:rPr>
        <w:t xml:space="preserve">ing </w:t>
      </w:r>
      <w:r w:rsidRPr="00EE5F0F">
        <w:rPr>
          <w:rFonts w:ascii="Garamond" w:hAnsi="Garamond"/>
          <w:sz w:val="22"/>
          <w:szCs w:val="22"/>
        </w:rPr>
        <w:t>versus the US dollar.</w:t>
      </w:r>
      <w:r w:rsidR="009953EF">
        <w:rPr>
          <w:rFonts w:ascii="Garamond" w:hAnsi="Garamond"/>
          <w:sz w:val="22"/>
          <w:szCs w:val="22"/>
        </w:rPr>
        <w:t xml:space="preserve"> </w:t>
      </w:r>
    </w:p>
    <w:p w14:paraId="58D37352" w14:textId="77777777" w:rsidR="00E90953" w:rsidRPr="00EE5F0F" w:rsidRDefault="004D2425" w:rsidP="00781ACF">
      <w:pPr>
        <w:autoSpaceDE w:val="0"/>
        <w:autoSpaceDN w:val="0"/>
        <w:adjustRightInd w:val="0"/>
        <w:spacing w:after="120" w:line="360" w:lineRule="auto"/>
        <w:jc w:val="both"/>
        <w:rPr>
          <w:rFonts w:ascii="Garamond" w:hAnsi="Garamond"/>
          <w:sz w:val="22"/>
          <w:szCs w:val="22"/>
        </w:rPr>
      </w:pPr>
      <w:r>
        <w:rPr>
          <w:rFonts w:ascii="Garamond" w:hAnsi="Garamond"/>
          <w:sz w:val="22"/>
          <w:szCs w:val="22"/>
        </w:rPr>
        <w:t>I</w:t>
      </w:r>
      <w:r w:rsidRPr="00EE5F0F">
        <w:rPr>
          <w:rFonts w:ascii="Garamond" w:hAnsi="Garamond"/>
          <w:sz w:val="22"/>
          <w:szCs w:val="22"/>
        </w:rPr>
        <w:t xml:space="preserve">n the </w:t>
      </w:r>
      <w:r w:rsidR="00D222B3">
        <w:rPr>
          <w:rFonts w:ascii="Garamond" w:hAnsi="Garamond"/>
          <w:sz w:val="22"/>
          <w:szCs w:val="22"/>
        </w:rPr>
        <w:t xml:space="preserve">first </w:t>
      </w:r>
      <w:r w:rsidRPr="00EE5F0F">
        <w:rPr>
          <w:rFonts w:ascii="Garamond" w:hAnsi="Garamond"/>
          <w:sz w:val="22"/>
          <w:szCs w:val="22"/>
        </w:rPr>
        <w:t>quarter of 201</w:t>
      </w:r>
      <w:r w:rsidR="00D222B3">
        <w:rPr>
          <w:rFonts w:ascii="Garamond" w:hAnsi="Garamond"/>
          <w:sz w:val="22"/>
          <w:szCs w:val="22"/>
        </w:rPr>
        <w:t>9</w:t>
      </w:r>
      <w:r>
        <w:rPr>
          <w:rFonts w:ascii="Garamond" w:hAnsi="Garamond"/>
          <w:sz w:val="22"/>
          <w:szCs w:val="22"/>
        </w:rPr>
        <w:t xml:space="preserve"> </w:t>
      </w:r>
      <w:r w:rsidR="0016421D" w:rsidRPr="00EE5F0F">
        <w:rPr>
          <w:rFonts w:ascii="Garamond" w:hAnsi="Garamond"/>
          <w:sz w:val="22"/>
          <w:szCs w:val="22"/>
        </w:rPr>
        <w:t xml:space="preserve">the current account deficit-to-GDP ratio </w:t>
      </w:r>
      <w:r>
        <w:rPr>
          <w:rFonts w:ascii="Garamond" w:hAnsi="Garamond"/>
          <w:sz w:val="22"/>
          <w:szCs w:val="22"/>
        </w:rPr>
        <w:t xml:space="preserve">dropped </w:t>
      </w:r>
      <w:r w:rsidR="0016421D" w:rsidRPr="00EE5F0F">
        <w:rPr>
          <w:rFonts w:ascii="Garamond" w:hAnsi="Garamond"/>
          <w:sz w:val="22"/>
          <w:szCs w:val="22"/>
        </w:rPr>
        <w:t xml:space="preserve">by about </w:t>
      </w:r>
      <w:r w:rsidR="0016421D">
        <w:rPr>
          <w:rFonts w:ascii="Garamond" w:hAnsi="Garamond"/>
          <w:sz w:val="22"/>
          <w:szCs w:val="22"/>
        </w:rPr>
        <w:t>0</w:t>
      </w:r>
      <w:r>
        <w:rPr>
          <w:rFonts w:ascii="Garamond" w:hAnsi="Garamond"/>
          <w:sz w:val="22"/>
          <w:szCs w:val="22"/>
        </w:rPr>
        <w:t>.</w:t>
      </w:r>
      <w:r w:rsidR="00D222B3">
        <w:rPr>
          <w:rFonts w:ascii="Garamond" w:hAnsi="Garamond"/>
          <w:sz w:val="22"/>
          <w:szCs w:val="22"/>
        </w:rPr>
        <w:t>4</w:t>
      </w:r>
      <w:r>
        <w:rPr>
          <w:rFonts w:ascii="Garamond" w:hAnsi="Garamond"/>
          <w:sz w:val="22"/>
          <w:szCs w:val="22"/>
        </w:rPr>
        <w:t xml:space="preserve"> pp</w:t>
      </w:r>
      <w:r w:rsidR="0016421D" w:rsidRPr="0016421D">
        <w:rPr>
          <w:rFonts w:ascii="Garamond" w:hAnsi="Garamond"/>
          <w:sz w:val="22"/>
          <w:szCs w:val="22"/>
        </w:rPr>
        <w:t xml:space="preserve">, </w:t>
      </w:r>
      <w:r>
        <w:rPr>
          <w:rFonts w:ascii="Garamond" w:hAnsi="Garamond"/>
          <w:sz w:val="22"/>
          <w:szCs w:val="22"/>
        </w:rPr>
        <w:t xml:space="preserve">according to estimations, due to </w:t>
      </w:r>
      <w:r w:rsidR="00D222B3">
        <w:rPr>
          <w:rFonts w:ascii="Garamond" w:hAnsi="Garamond"/>
          <w:sz w:val="22"/>
          <w:szCs w:val="22"/>
        </w:rPr>
        <w:t>a faster growing GDP</w:t>
      </w:r>
      <w:r w:rsidRPr="004D2425">
        <w:rPr>
          <w:rFonts w:ascii="Garamond" w:hAnsi="Garamond"/>
          <w:sz w:val="22"/>
          <w:szCs w:val="22"/>
        </w:rPr>
        <w:t>.</w:t>
      </w:r>
    </w:p>
    <w:p w14:paraId="42FBFD23" w14:textId="77777777" w:rsidR="006A3AB4" w:rsidRDefault="00781ACF" w:rsidP="00781ACF">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Fiscal policy</w:t>
      </w:r>
      <w:r w:rsidR="00D222B3">
        <w:rPr>
          <w:rStyle w:val="FootnoteReference"/>
          <w:rFonts w:ascii="Garamond" w:hAnsi="Garamond"/>
          <w:b/>
          <w:sz w:val="22"/>
          <w:szCs w:val="22"/>
        </w:rPr>
        <w:footnoteReference w:customMarkFollows="1" w:id="17"/>
        <w:t>22</w:t>
      </w:r>
      <w:r w:rsidRPr="00EE5F0F">
        <w:rPr>
          <w:rFonts w:ascii="Garamond" w:hAnsi="Garamond"/>
          <w:b/>
          <w:sz w:val="22"/>
          <w:szCs w:val="22"/>
        </w:rPr>
        <w:t xml:space="preserve">: </w:t>
      </w:r>
      <w:r w:rsidRPr="00EE5F0F">
        <w:rPr>
          <w:rFonts w:ascii="Garamond" w:hAnsi="Garamond"/>
          <w:sz w:val="22"/>
          <w:szCs w:val="22"/>
        </w:rPr>
        <w:t xml:space="preserve">In the </w:t>
      </w:r>
      <w:r w:rsidR="00D222B3">
        <w:rPr>
          <w:rFonts w:ascii="Garamond" w:hAnsi="Garamond"/>
          <w:sz w:val="22"/>
          <w:szCs w:val="22"/>
        </w:rPr>
        <w:t>first quarter of 2019</w:t>
      </w:r>
      <w:r w:rsidR="0022067B">
        <w:rPr>
          <w:rFonts w:ascii="Garamond" w:hAnsi="Garamond"/>
          <w:sz w:val="22"/>
          <w:szCs w:val="22"/>
        </w:rPr>
        <w:t xml:space="preserve"> the state b</w:t>
      </w:r>
      <w:r w:rsidRPr="00EE5F0F">
        <w:rPr>
          <w:rFonts w:ascii="Garamond" w:hAnsi="Garamond"/>
          <w:sz w:val="22"/>
          <w:szCs w:val="22"/>
        </w:rPr>
        <w:t>udget performed with actual expenditures and revenues deviat</w:t>
      </w:r>
      <w:r w:rsidR="0022067B">
        <w:rPr>
          <w:rFonts w:ascii="Garamond" w:hAnsi="Garamond"/>
          <w:sz w:val="22"/>
          <w:szCs w:val="22"/>
        </w:rPr>
        <w:t xml:space="preserve">ing </w:t>
      </w:r>
      <w:r w:rsidRPr="00EE5F0F">
        <w:rPr>
          <w:rFonts w:ascii="Garamond" w:hAnsi="Garamond"/>
          <w:sz w:val="22"/>
          <w:szCs w:val="22"/>
        </w:rPr>
        <w:t>from the Central Bank’s projections</w:t>
      </w:r>
      <w:r w:rsidR="00D222B3">
        <w:rPr>
          <w:rStyle w:val="FootnoteReference"/>
          <w:rFonts w:ascii="Garamond" w:hAnsi="Garamond"/>
          <w:sz w:val="22"/>
          <w:szCs w:val="22"/>
        </w:rPr>
        <w:footnoteReference w:customMarkFollows="1" w:id="18"/>
        <w:t>23</w:t>
      </w:r>
      <w:r w:rsidRPr="00EE5F0F">
        <w:rPr>
          <w:rFonts w:ascii="Garamond" w:hAnsi="Garamond"/>
          <w:sz w:val="22"/>
          <w:szCs w:val="22"/>
        </w:rPr>
        <w:t xml:space="preserve">. </w:t>
      </w:r>
      <w:r w:rsidR="003A3F08">
        <w:rPr>
          <w:rFonts w:ascii="Garamond" w:hAnsi="Garamond"/>
          <w:sz w:val="22"/>
          <w:szCs w:val="22"/>
        </w:rPr>
        <w:t>T</w:t>
      </w:r>
      <w:r w:rsidR="0025574B" w:rsidRPr="0025574B">
        <w:rPr>
          <w:rFonts w:ascii="Garamond" w:hAnsi="Garamond"/>
          <w:sz w:val="22"/>
          <w:szCs w:val="22"/>
        </w:rPr>
        <w:t>he</w:t>
      </w:r>
      <w:r w:rsidR="0025574B">
        <w:rPr>
          <w:rFonts w:ascii="Garamond" w:hAnsi="Garamond"/>
          <w:sz w:val="22"/>
          <w:szCs w:val="22"/>
        </w:rPr>
        <w:t xml:space="preserve"> quarter saw more </w:t>
      </w:r>
      <w:r w:rsidR="0025574B" w:rsidRPr="0025574B">
        <w:rPr>
          <w:rFonts w:ascii="Garamond" w:hAnsi="Garamond"/>
          <w:sz w:val="22"/>
          <w:szCs w:val="22"/>
        </w:rPr>
        <w:t>revenue</w:t>
      </w:r>
      <w:r w:rsidR="0025574B">
        <w:rPr>
          <w:rFonts w:ascii="Garamond" w:hAnsi="Garamond"/>
          <w:sz w:val="22"/>
          <w:szCs w:val="22"/>
        </w:rPr>
        <w:t xml:space="preserve"> collect</w:t>
      </w:r>
      <w:r w:rsidR="0053128D">
        <w:rPr>
          <w:rFonts w:ascii="Garamond" w:hAnsi="Garamond"/>
          <w:sz w:val="22"/>
          <w:szCs w:val="22"/>
        </w:rPr>
        <w:t xml:space="preserve">ed </w:t>
      </w:r>
      <w:r w:rsidR="0025574B" w:rsidRPr="0025574B">
        <w:rPr>
          <w:rFonts w:ascii="Garamond" w:hAnsi="Garamond"/>
          <w:sz w:val="22"/>
          <w:szCs w:val="22"/>
        </w:rPr>
        <w:t xml:space="preserve">and </w:t>
      </w:r>
      <w:r w:rsidR="0053128D">
        <w:rPr>
          <w:rFonts w:ascii="Garamond" w:hAnsi="Garamond"/>
          <w:sz w:val="22"/>
          <w:szCs w:val="22"/>
        </w:rPr>
        <w:t>less</w:t>
      </w:r>
      <w:r w:rsidR="0025574B" w:rsidRPr="0025574B">
        <w:rPr>
          <w:rFonts w:ascii="Garamond" w:hAnsi="Garamond"/>
          <w:sz w:val="22"/>
          <w:szCs w:val="22"/>
        </w:rPr>
        <w:t xml:space="preserve"> </w:t>
      </w:r>
      <w:r w:rsidR="0025574B">
        <w:rPr>
          <w:rFonts w:ascii="Garamond" w:hAnsi="Garamond"/>
          <w:sz w:val="22"/>
          <w:szCs w:val="22"/>
        </w:rPr>
        <w:t xml:space="preserve">expenditures </w:t>
      </w:r>
      <w:r w:rsidR="0053128D">
        <w:rPr>
          <w:rFonts w:ascii="Garamond" w:hAnsi="Garamond"/>
          <w:sz w:val="22"/>
          <w:szCs w:val="22"/>
        </w:rPr>
        <w:t xml:space="preserve">made </w:t>
      </w:r>
      <w:r w:rsidR="0025574B">
        <w:rPr>
          <w:rFonts w:ascii="Garamond" w:hAnsi="Garamond"/>
          <w:sz w:val="22"/>
          <w:szCs w:val="22"/>
        </w:rPr>
        <w:t>against the quarter</w:t>
      </w:r>
      <w:r w:rsidR="0053128D">
        <w:rPr>
          <w:rFonts w:ascii="Garamond" w:hAnsi="Garamond"/>
          <w:sz w:val="22"/>
          <w:szCs w:val="22"/>
        </w:rPr>
        <w:t>’s plan</w:t>
      </w:r>
      <w:r w:rsidR="0025574B" w:rsidRPr="0025574B">
        <w:rPr>
          <w:rFonts w:ascii="Garamond" w:hAnsi="Garamond"/>
          <w:sz w:val="22"/>
          <w:szCs w:val="22"/>
        </w:rPr>
        <w:t>.</w:t>
      </w:r>
      <w:r w:rsidR="0025574B">
        <w:rPr>
          <w:rFonts w:ascii="Garamond" w:hAnsi="Garamond"/>
          <w:sz w:val="22"/>
          <w:szCs w:val="22"/>
        </w:rPr>
        <w:t xml:space="preserve"> </w:t>
      </w:r>
      <w:r w:rsidR="003A3F08">
        <w:rPr>
          <w:rFonts w:ascii="Garamond" w:hAnsi="Garamond"/>
          <w:sz w:val="22"/>
          <w:szCs w:val="22"/>
        </w:rPr>
        <w:t>As a result,</w:t>
      </w:r>
      <w:r w:rsidR="000B4A00">
        <w:rPr>
          <w:rFonts w:ascii="Garamond" w:hAnsi="Garamond"/>
          <w:sz w:val="22"/>
          <w:szCs w:val="22"/>
        </w:rPr>
        <w:t xml:space="preserve"> t</w:t>
      </w:r>
      <w:r w:rsidRPr="00EE5F0F">
        <w:rPr>
          <w:rFonts w:ascii="Garamond" w:hAnsi="Garamond"/>
          <w:sz w:val="22"/>
          <w:szCs w:val="22"/>
        </w:rPr>
        <w:t>he fiscal policy</w:t>
      </w:r>
      <w:r w:rsidR="006A3AB4">
        <w:rPr>
          <w:rFonts w:ascii="Garamond" w:hAnsi="Garamond"/>
          <w:sz w:val="22"/>
          <w:szCs w:val="22"/>
        </w:rPr>
        <w:t>’s</w:t>
      </w:r>
      <w:r w:rsidRPr="00EE5F0F">
        <w:rPr>
          <w:rFonts w:ascii="Garamond" w:hAnsi="Garamond"/>
          <w:sz w:val="22"/>
          <w:szCs w:val="22"/>
        </w:rPr>
        <w:t xml:space="preserve"> imp</w:t>
      </w:r>
      <w:r w:rsidR="006A3AB4">
        <w:rPr>
          <w:rFonts w:ascii="Garamond" w:hAnsi="Garamond"/>
          <w:sz w:val="22"/>
          <w:szCs w:val="22"/>
        </w:rPr>
        <w:t>act</w:t>
      </w:r>
      <w:r w:rsidR="003A3F08">
        <w:rPr>
          <w:rFonts w:ascii="Garamond" w:hAnsi="Garamond"/>
          <w:sz w:val="22"/>
          <w:szCs w:val="22"/>
        </w:rPr>
        <w:t xml:space="preserve"> on aggregate demand i</w:t>
      </w:r>
      <w:r w:rsidRPr="00EE5F0F">
        <w:rPr>
          <w:rFonts w:ascii="Garamond" w:hAnsi="Garamond"/>
          <w:sz w:val="22"/>
          <w:szCs w:val="22"/>
        </w:rPr>
        <w:t xml:space="preserve">s an estimated </w:t>
      </w:r>
      <w:r w:rsidR="0053128D">
        <w:rPr>
          <w:rFonts w:ascii="Garamond" w:hAnsi="Garamond"/>
          <w:sz w:val="22"/>
          <w:szCs w:val="22"/>
        </w:rPr>
        <w:t>3</w:t>
      </w:r>
      <w:r w:rsidRPr="00EE5F0F">
        <w:rPr>
          <w:rFonts w:ascii="Garamond" w:hAnsi="Garamond"/>
          <w:sz w:val="22"/>
          <w:szCs w:val="22"/>
        </w:rPr>
        <w:t>.</w:t>
      </w:r>
      <w:r w:rsidR="0053128D">
        <w:rPr>
          <w:rFonts w:ascii="Garamond" w:hAnsi="Garamond"/>
          <w:sz w:val="22"/>
          <w:szCs w:val="22"/>
        </w:rPr>
        <w:t>9</w:t>
      </w:r>
      <w:r w:rsidRPr="00EE5F0F">
        <w:rPr>
          <w:rFonts w:ascii="Garamond" w:hAnsi="Garamond"/>
          <w:sz w:val="22"/>
          <w:szCs w:val="22"/>
        </w:rPr>
        <w:t xml:space="preserve"> pp contractionary instead of the predicted </w:t>
      </w:r>
      <w:r w:rsidR="0053128D">
        <w:rPr>
          <w:rFonts w:ascii="Garamond" w:hAnsi="Garamond"/>
          <w:sz w:val="22"/>
          <w:szCs w:val="22"/>
        </w:rPr>
        <w:t>2</w:t>
      </w:r>
      <w:r w:rsidRPr="00EE5F0F">
        <w:rPr>
          <w:rFonts w:ascii="Garamond" w:hAnsi="Garamond"/>
          <w:sz w:val="22"/>
          <w:szCs w:val="22"/>
        </w:rPr>
        <w:t>.</w:t>
      </w:r>
      <w:r w:rsidR="0053128D">
        <w:rPr>
          <w:rFonts w:ascii="Garamond" w:hAnsi="Garamond"/>
          <w:sz w:val="22"/>
          <w:szCs w:val="22"/>
        </w:rPr>
        <w:t>0</w:t>
      </w:r>
      <w:r w:rsidRPr="00EE5F0F">
        <w:rPr>
          <w:rFonts w:ascii="Garamond" w:hAnsi="Garamond"/>
          <w:sz w:val="22"/>
          <w:szCs w:val="22"/>
        </w:rPr>
        <w:t xml:space="preserve"> pp </w:t>
      </w:r>
      <w:r w:rsidR="006A3AB4">
        <w:rPr>
          <w:rFonts w:ascii="Garamond" w:hAnsi="Garamond"/>
          <w:sz w:val="22"/>
          <w:szCs w:val="22"/>
        </w:rPr>
        <w:t>contractionary</w:t>
      </w:r>
      <w:r w:rsidR="000B4A00">
        <w:rPr>
          <w:rFonts w:ascii="Garamond" w:hAnsi="Garamond"/>
          <w:sz w:val="22"/>
          <w:szCs w:val="22"/>
        </w:rPr>
        <w:t xml:space="preserve">, </w:t>
      </w:r>
      <w:r w:rsidR="000B4A00" w:rsidRPr="00EE5F0F">
        <w:rPr>
          <w:rFonts w:ascii="Garamond" w:hAnsi="Garamond"/>
          <w:sz w:val="22"/>
          <w:szCs w:val="22"/>
        </w:rPr>
        <w:t xml:space="preserve">for the </w:t>
      </w:r>
      <w:r w:rsidR="0053128D">
        <w:rPr>
          <w:rFonts w:ascii="Garamond" w:hAnsi="Garamond"/>
          <w:sz w:val="22"/>
          <w:szCs w:val="22"/>
        </w:rPr>
        <w:t xml:space="preserve">first </w:t>
      </w:r>
      <w:r w:rsidR="000B4A00">
        <w:rPr>
          <w:rFonts w:ascii="Garamond" w:hAnsi="Garamond"/>
          <w:sz w:val="22"/>
          <w:szCs w:val="22"/>
        </w:rPr>
        <w:t>quarter</w:t>
      </w:r>
      <w:r w:rsidRPr="00EE5F0F">
        <w:rPr>
          <w:rFonts w:ascii="Garamond" w:hAnsi="Garamond"/>
          <w:sz w:val="22"/>
          <w:szCs w:val="22"/>
        </w:rPr>
        <w:t>.</w:t>
      </w:r>
      <w:r w:rsidR="006A3AB4">
        <w:rPr>
          <w:rFonts w:ascii="Garamond" w:hAnsi="Garamond"/>
          <w:sz w:val="22"/>
          <w:szCs w:val="22"/>
        </w:rPr>
        <w:t xml:space="preserve"> </w:t>
      </w:r>
    </w:p>
    <w:p w14:paraId="582AF437" w14:textId="77777777" w:rsidR="00242EA6" w:rsidRPr="00EE5F0F" w:rsidRDefault="00242EA6" w:rsidP="00242EA6">
      <w:pPr>
        <w:autoSpaceDE w:val="0"/>
        <w:autoSpaceDN w:val="0"/>
        <w:adjustRightInd w:val="0"/>
        <w:spacing w:after="120" w:line="360" w:lineRule="auto"/>
        <w:jc w:val="both"/>
        <w:rPr>
          <w:rFonts w:ascii="Garamond" w:hAnsi="Garamond"/>
          <w:color w:val="000000"/>
          <w:sz w:val="22"/>
          <w:szCs w:val="22"/>
        </w:rPr>
      </w:pPr>
      <w:r w:rsidRPr="00EE5F0F">
        <w:rPr>
          <w:rFonts w:ascii="Garamond" w:hAnsi="Garamond"/>
          <w:color w:val="000000"/>
          <w:sz w:val="22"/>
          <w:szCs w:val="22"/>
        </w:rPr>
        <w:t xml:space="preserve">In the </w:t>
      </w:r>
      <w:r w:rsidR="0053128D">
        <w:rPr>
          <w:rFonts w:ascii="Garamond" w:hAnsi="Garamond"/>
          <w:color w:val="000000"/>
          <w:sz w:val="22"/>
          <w:szCs w:val="22"/>
        </w:rPr>
        <w:t>first</w:t>
      </w:r>
      <w:r w:rsidRPr="00EE5F0F">
        <w:rPr>
          <w:rFonts w:ascii="Garamond" w:hAnsi="Garamond"/>
          <w:color w:val="000000"/>
          <w:sz w:val="22"/>
          <w:szCs w:val="22"/>
        </w:rPr>
        <w:t xml:space="preserve"> quarter of 201</w:t>
      </w:r>
      <w:r w:rsidR="0053128D">
        <w:rPr>
          <w:rFonts w:ascii="Garamond" w:hAnsi="Garamond"/>
          <w:color w:val="000000"/>
          <w:sz w:val="22"/>
          <w:szCs w:val="22"/>
        </w:rPr>
        <w:t>9</w:t>
      </w:r>
      <w:r w:rsidRPr="00EE5F0F">
        <w:rPr>
          <w:rFonts w:ascii="Garamond" w:hAnsi="Garamond"/>
          <w:color w:val="000000"/>
          <w:sz w:val="22"/>
          <w:szCs w:val="22"/>
        </w:rPr>
        <w:t xml:space="preserve"> </w:t>
      </w:r>
      <w:r w:rsidR="0053128D">
        <w:rPr>
          <w:rFonts w:ascii="Garamond" w:hAnsi="Garamond"/>
          <w:color w:val="000000"/>
          <w:sz w:val="22"/>
          <w:szCs w:val="22"/>
        </w:rPr>
        <w:t xml:space="preserve">actual </w:t>
      </w:r>
      <w:r w:rsidRPr="00EE5F0F">
        <w:rPr>
          <w:rFonts w:ascii="Garamond" w:hAnsi="Garamond"/>
          <w:color w:val="000000"/>
          <w:sz w:val="22"/>
          <w:szCs w:val="22"/>
        </w:rPr>
        <w:t xml:space="preserve">budget revenues </w:t>
      </w:r>
      <w:r w:rsidR="0053128D">
        <w:rPr>
          <w:rFonts w:ascii="Garamond" w:hAnsi="Garamond"/>
          <w:color w:val="000000"/>
          <w:sz w:val="22"/>
          <w:szCs w:val="22"/>
        </w:rPr>
        <w:t>exceeded the projection by 3.3%,</w:t>
      </w:r>
      <w:r w:rsidRPr="00EE5F0F">
        <w:rPr>
          <w:rFonts w:ascii="Garamond" w:hAnsi="Garamond"/>
          <w:color w:val="000000"/>
          <w:sz w:val="22"/>
          <w:szCs w:val="22"/>
        </w:rPr>
        <w:t xml:space="preserve"> </w:t>
      </w:r>
      <w:r w:rsidR="00501718">
        <w:rPr>
          <w:rFonts w:ascii="Garamond" w:hAnsi="Garamond"/>
          <w:color w:val="000000"/>
          <w:sz w:val="22"/>
          <w:szCs w:val="22"/>
        </w:rPr>
        <w:t xml:space="preserve">and tax revenues, </w:t>
      </w:r>
      <w:r w:rsidR="0053128D">
        <w:rPr>
          <w:rFonts w:ascii="Garamond" w:hAnsi="Garamond"/>
          <w:color w:val="000000"/>
          <w:sz w:val="22"/>
          <w:szCs w:val="22"/>
        </w:rPr>
        <w:t>by 4.6</w:t>
      </w:r>
      <w:r w:rsidRPr="00EE5F0F">
        <w:rPr>
          <w:rFonts w:ascii="Garamond" w:hAnsi="Garamond"/>
          <w:color w:val="000000"/>
          <w:sz w:val="22"/>
          <w:szCs w:val="22"/>
        </w:rPr>
        <w:t>%</w:t>
      </w:r>
      <w:r w:rsidR="00501718">
        <w:rPr>
          <w:rFonts w:ascii="Garamond" w:hAnsi="Garamond"/>
          <w:color w:val="000000"/>
          <w:sz w:val="22"/>
          <w:szCs w:val="22"/>
        </w:rPr>
        <w:t xml:space="preserve">. </w:t>
      </w:r>
      <w:r w:rsidR="00F74134" w:rsidRPr="00F74134">
        <w:rPr>
          <w:rFonts w:ascii="Garamond" w:hAnsi="Garamond"/>
          <w:color w:val="000000"/>
          <w:sz w:val="22"/>
          <w:szCs w:val="22"/>
        </w:rPr>
        <w:t>As a result, the revenue i</w:t>
      </w:r>
      <w:r w:rsidR="00AC5A09">
        <w:rPr>
          <w:rFonts w:ascii="Garamond" w:hAnsi="Garamond"/>
          <w:color w:val="000000"/>
          <w:sz w:val="22"/>
          <w:szCs w:val="22"/>
        </w:rPr>
        <w:t xml:space="preserve">mpulse </w:t>
      </w:r>
      <w:r w:rsidR="0053128D">
        <w:rPr>
          <w:rFonts w:ascii="Garamond" w:hAnsi="Garamond"/>
          <w:color w:val="000000"/>
          <w:sz w:val="22"/>
          <w:szCs w:val="22"/>
        </w:rPr>
        <w:t>amounted to 1</w:t>
      </w:r>
      <w:r w:rsidR="00F74134" w:rsidRPr="00F74134">
        <w:rPr>
          <w:rFonts w:ascii="Garamond" w:hAnsi="Garamond"/>
          <w:color w:val="000000"/>
          <w:sz w:val="22"/>
          <w:szCs w:val="22"/>
        </w:rPr>
        <w:t>.</w:t>
      </w:r>
      <w:r w:rsidR="0053128D">
        <w:rPr>
          <w:rFonts w:ascii="Garamond" w:hAnsi="Garamond"/>
          <w:color w:val="000000"/>
          <w:sz w:val="22"/>
          <w:szCs w:val="22"/>
        </w:rPr>
        <w:t>9</w:t>
      </w:r>
      <w:r w:rsidR="00F74134" w:rsidRPr="00F74134">
        <w:rPr>
          <w:rFonts w:ascii="Garamond" w:hAnsi="Garamond"/>
          <w:color w:val="000000"/>
          <w:sz w:val="22"/>
          <w:szCs w:val="22"/>
        </w:rPr>
        <w:t xml:space="preserve"> p</w:t>
      </w:r>
      <w:r w:rsidR="00AC5A09">
        <w:rPr>
          <w:rFonts w:ascii="Garamond" w:hAnsi="Garamond"/>
          <w:color w:val="000000"/>
          <w:sz w:val="22"/>
          <w:szCs w:val="22"/>
        </w:rPr>
        <w:t>p contractionary</w:t>
      </w:r>
      <w:r w:rsidR="00F74134" w:rsidRPr="00F74134">
        <w:rPr>
          <w:rFonts w:ascii="Garamond" w:hAnsi="Garamond"/>
          <w:color w:val="000000"/>
          <w:sz w:val="22"/>
          <w:szCs w:val="22"/>
        </w:rPr>
        <w:t xml:space="preserve">, instead of </w:t>
      </w:r>
      <w:r w:rsidR="00AC5A09">
        <w:rPr>
          <w:rFonts w:ascii="Garamond" w:hAnsi="Garamond"/>
          <w:color w:val="000000"/>
          <w:sz w:val="22"/>
          <w:szCs w:val="22"/>
        </w:rPr>
        <w:t xml:space="preserve">predicted </w:t>
      </w:r>
      <w:r w:rsidR="00F74134" w:rsidRPr="00F74134">
        <w:rPr>
          <w:rFonts w:ascii="Garamond" w:hAnsi="Garamond"/>
          <w:color w:val="000000"/>
          <w:sz w:val="22"/>
          <w:szCs w:val="22"/>
        </w:rPr>
        <w:t>1.</w:t>
      </w:r>
      <w:r w:rsidR="0053128D">
        <w:rPr>
          <w:rFonts w:ascii="Garamond" w:hAnsi="Garamond"/>
          <w:color w:val="000000"/>
          <w:sz w:val="22"/>
          <w:szCs w:val="22"/>
        </w:rPr>
        <w:t>6</w:t>
      </w:r>
      <w:r w:rsidR="00F74134" w:rsidRPr="00F74134">
        <w:rPr>
          <w:rFonts w:ascii="Garamond" w:hAnsi="Garamond"/>
          <w:color w:val="000000"/>
          <w:sz w:val="22"/>
          <w:szCs w:val="22"/>
        </w:rPr>
        <w:t xml:space="preserve"> </w:t>
      </w:r>
      <w:r w:rsidR="00AC5A09">
        <w:rPr>
          <w:rFonts w:ascii="Garamond" w:hAnsi="Garamond"/>
          <w:color w:val="000000"/>
          <w:sz w:val="22"/>
          <w:szCs w:val="22"/>
        </w:rPr>
        <w:t>pp contractionary</w:t>
      </w:r>
      <w:r w:rsidR="00F74134" w:rsidRPr="00F74134">
        <w:rPr>
          <w:rFonts w:ascii="Garamond" w:hAnsi="Garamond"/>
          <w:color w:val="000000"/>
          <w:sz w:val="22"/>
          <w:szCs w:val="22"/>
        </w:rPr>
        <w:t>.</w:t>
      </w:r>
      <w:r w:rsidR="00AC5A09">
        <w:rPr>
          <w:rFonts w:ascii="Garamond" w:hAnsi="Garamond"/>
          <w:color w:val="000000"/>
          <w:sz w:val="22"/>
          <w:szCs w:val="22"/>
        </w:rPr>
        <w:t xml:space="preserve"> </w:t>
      </w:r>
    </w:p>
    <w:p w14:paraId="02E7CD48" w14:textId="77777777" w:rsidR="00242EA6" w:rsidRPr="0022067B" w:rsidRDefault="00242EA6" w:rsidP="00242EA6">
      <w:pPr>
        <w:autoSpaceDE w:val="0"/>
        <w:autoSpaceDN w:val="0"/>
        <w:adjustRightInd w:val="0"/>
        <w:spacing w:after="120" w:line="360" w:lineRule="auto"/>
        <w:jc w:val="both"/>
        <w:rPr>
          <w:rFonts w:ascii="Garamond" w:hAnsi="Garamond"/>
          <w:color w:val="000000"/>
          <w:sz w:val="22"/>
          <w:szCs w:val="22"/>
        </w:rPr>
      </w:pPr>
      <w:r w:rsidRPr="00EE5F0F">
        <w:rPr>
          <w:rFonts w:ascii="Garamond" w:hAnsi="Garamond"/>
          <w:sz w:val="22"/>
          <w:szCs w:val="22"/>
        </w:rPr>
        <w:t xml:space="preserve">The state budget expenditures </w:t>
      </w:r>
      <w:r w:rsidR="0053128D">
        <w:rPr>
          <w:rFonts w:ascii="Garamond" w:hAnsi="Garamond"/>
          <w:sz w:val="22"/>
          <w:szCs w:val="22"/>
        </w:rPr>
        <w:t>reached 92.3</w:t>
      </w:r>
      <w:r w:rsidRPr="00EE5F0F">
        <w:rPr>
          <w:rFonts w:ascii="Garamond" w:hAnsi="Garamond"/>
          <w:sz w:val="22"/>
          <w:szCs w:val="22"/>
        </w:rPr>
        <w:t xml:space="preserve">% of the </w:t>
      </w:r>
      <w:r w:rsidR="00AC5A09">
        <w:rPr>
          <w:rFonts w:ascii="Garamond" w:hAnsi="Garamond"/>
          <w:sz w:val="22"/>
          <w:szCs w:val="22"/>
        </w:rPr>
        <w:t xml:space="preserve">Central Bank </w:t>
      </w:r>
      <w:r w:rsidRPr="00EE5F0F">
        <w:rPr>
          <w:rFonts w:ascii="Garamond" w:hAnsi="Garamond"/>
          <w:sz w:val="22"/>
          <w:szCs w:val="22"/>
        </w:rPr>
        <w:t>projection</w:t>
      </w:r>
      <w:r w:rsidR="00AC5A09">
        <w:rPr>
          <w:rFonts w:ascii="Garamond" w:hAnsi="Garamond"/>
          <w:sz w:val="22"/>
          <w:szCs w:val="22"/>
        </w:rPr>
        <w:t xml:space="preserve">, </w:t>
      </w:r>
      <w:r w:rsidR="0053128D">
        <w:rPr>
          <w:rFonts w:ascii="Garamond" w:hAnsi="Garamond"/>
          <w:sz w:val="22"/>
          <w:szCs w:val="22"/>
        </w:rPr>
        <w:t xml:space="preserve">making </w:t>
      </w:r>
      <w:r w:rsidR="00AC5A09">
        <w:rPr>
          <w:rFonts w:ascii="Garamond" w:hAnsi="Garamond"/>
          <w:sz w:val="22"/>
          <w:szCs w:val="22"/>
        </w:rPr>
        <w:t>t</w:t>
      </w:r>
      <w:r w:rsidR="00AC5A09" w:rsidRPr="00AC5A09">
        <w:rPr>
          <w:rFonts w:ascii="Garamond" w:hAnsi="Garamond"/>
          <w:sz w:val="22"/>
          <w:szCs w:val="22"/>
        </w:rPr>
        <w:t>he expen</w:t>
      </w:r>
      <w:r w:rsidR="00AC5A09">
        <w:rPr>
          <w:rFonts w:ascii="Garamond" w:hAnsi="Garamond"/>
          <w:sz w:val="22"/>
          <w:szCs w:val="22"/>
        </w:rPr>
        <w:t xml:space="preserve">ditures </w:t>
      </w:r>
      <w:r w:rsidR="00AC5A09" w:rsidRPr="00AC5A09">
        <w:rPr>
          <w:rFonts w:ascii="Garamond" w:hAnsi="Garamond"/>
          <w:sz w:val="22"/>
          <w:szCs w:val="22"/>
        </w:rPr>
        <w:t xml:space="preserve">impulse </w:t>
      </w:r>
      <w:r w:rsidR="0053128D">
        <w:rPr>
          <w:rFonts w:ascii="Garamond" w:hAnsi="Garamond"/>
          <w:sz w:val="22"/>
          <w:szCs w:val="22"/>
        </w:rPr>
        <w:t>even more contractionary than predicted</w:t>
      </w:r>
      <w:r w:rsidR="00E24346">
        <w:rPr>
          <w:rFonts w:ascii="Garamond" w:hAnsi="Garamond"/>
          <w:sz w:val="22"/>
          <w:szCs w:val="22"/>
        </w:rPr>
        <w:t xml:space="preserve">. </w:t>
      </w:r>
      <w:r w:rsidRPr="00EE5F0F">
        <w:rPr>
          <w:rFonts w:ascii="Garamond" w:hAnsi="Garamond"/>
          <w:color w:val="000000"/>
          <w:sz w:val="22"/>
          <w:szCs w:val="22"/>
        </w:rPr>
        <w:t xml:space="preserve">In the expenditures structure </w:t>
      </w:r>
      <w:r w:rsidR="005708C3">
        <w:rPr>
          <w:rFonts w:ascii="Garamond" w:hAnsi="Garamond"/>
          <w:color w:val="000000"/>
          <w:sz w:val="22"/>
          <w:szCs w:val="22"/>
        </w:rPr>
        <w:t xml:space="preserve">of the budget </w:t>
      </w:r>
      <w:r w:rsidRPr="00EE5F0F">
        <w:rPr>
          <w:rFonts w:ascii="Garamond" w:hAnsi="Garamond"/>
          <w:color w:val="000000"/>
          <w:sz w:val="22"/>
          <w:szCs w:val="22"/>
        </w:rPr>
        <w:t xml:space="preserve">in the </w:t>
      </w:r>
      <w:r w:rsidR="00485256">
        <w:rPr>
          <w:rFonts w:ascii="Garamond" w:hAnsi="Garamond"/>
          <w:color w:val="000000"/>
          <w:sz w:val="22"/>
          <w:szCs w:val="22"/>
        </w:rPr>
        <w:t>first</w:t>
      </w:r>
      <w:r w:rsidRPr="00EE5F0F">
        <w:rPr>
          <w:rFonts w:ascii="Garamond" w:hAnsi="Garamond"/>
          <w:sz w:val="22"/>
          <w:szCs w:val="22"/>
        </w:rPr>
        <w:t xml:space="preserve"> quarter of 201</w:t>
      </w:r>
      <w:r w:rsidR="00485256">
        <w:rPr>
          <w:rFonts w:ascii="Garamond" w:hAnsi="Garamond"/>
          <w:sz w:val="22"/>
          <w:szCs w:val="22"/>
        </w:rPr>
        <w:t>9</w:t>
      </w:r>
      <w:r w:rsidRPr="00EE5F0F">
        <w:rPr>
          <w:rFonts w:ascii="Garamond" w:hAnsi="Garamond"/>
          <w:sz w:val="22"/>
          <w:szCs w:val="22"/>
        </w:rPr>
        <w:t xml:space="preserve">, </w:t>
      </w:r>
      <w:r w:rsidRPr="00EE5F0F">
        <w:rPr>
          <w:rFonts w:ascii="Garamond" w:hAnsi="Garamond"/>
          <w:b/>
          <w:sz w:val="22"/>
          <w:szCs w:val="22"/>
        </w:rPr>
        <w:t>government consumption</w:t>
      </w:r>
      <w:r w:rsidRPr="00EE5F0F">
        <w:rPr>
          <w:rFonts w:ascii="Garamond" w:hAnsi="Garamond"/>
          <w:sz w:val="22"/>
          <w:szCs w:val="22"/>
        </w:rPr>
        <w:t xml:space="preserve"> </w:t>
      </w:r>
      <w:r w:rsidR="00485256">
        <w:rPr>
          <w:rFonts w:ascii="Garamond" w:hAnsi="Garamond"/>
          <w:sz w:val="22"/>
          <w:szCs w:val="22"/>
        </w:rPr>
        <w:t xml:space="preserve">made up </w:t>
      </w:r>
      <w:r w:rsidR="00E24346">
        <w:rPr>
          <w:rFonts w:ascii="Garamond" w:hAnsi="Garamond"/>
          <w:sz w:val="22"/>
          <w:szCs w:val="22"/>
        </w:rPr>
        <w:t xml:space="preserve">nearly </w:t>
      </w:r>
      <w:r w:rsidR="00485256">
        <w:rPr>
          <w:rFonts w:ascii="Garamond" w:hAnsi="Garamond"/>
          <w:sz w:val="22"/>
          <w:szCs w:val="22"/>
        </w:rPr>
        <w:t>95</w:t>
      </w:r>
      <w:r w:rsidRPr="00EE5F0F">
        <w:rPr>
          <w:rFonts w:ascii="Garamond" w:hAnsi="Garamond"/>
          <w:sz w:val="22"/>
          <w:szCs w:val="22"/>
        </w:rPr>
        <w:t>%</w:t>
      </w:r>
      <w:r w:rsidR="00485256">
        <w:rPr>
          <w:rFonts w:ascii="Garamond" w:hAnsi="Garamond"/>
          <w:sz w:val="22"/>
          <w:szCs w:val="22"/>
        </w:rPr>
        <w:t xml:space="preserve"> of the projected indicator</w:t>
      </w:r>
      <w:r w:rsidR="003D59B0">
        <w:rPr>
          <w:rFonts w:ascii="Garamond" w:hAnsi="Garamond"/>
          <w:sz w:val="22"/>
          <w:szCs w:val="22"/>
        </w:rPr>
        <w:t xml:space="preserve">. The </w:t>
      </w:r>
      <w:r w:rsidRPr="00EE5F0F">
        <w:rPr>
          <w:rFonts w:ascii="Garamond" w:hAnsi="Garamond"/>
          <w:sz w:val="22"/>
          <w:szCs w:val="22"/>
        </w:rPr>
        <w:t xml:space="preserve">expenditures on item </w:t>
      </w:r>
      <w:r w:rsidRPr="00EE5F0F">
        <w:rPr>
          <w:rFonts w:ascii="Garamond" w:hAnsi="Garamond"/>
          <w:b/>
          <w:sz w:val="22"/>
          <w:szCs w:val="22"/>
        </w:rPr>
        <w:t>“Transactions with non-financial assets”</w:t>
      </w:r>
      <w:r w:rsidRPr="00EE5F0F">
        <w:rPr>
          <w:rFonts w:ascii="Garamond" w:hAnsi="Garamond"/>
          <w:sz w:val="22"/>
          <w:szCs w:val="22"/>
        </w:rPr>
        <w:t xml:space="preserve"> </w:t>
      </w:r>
      <w:r w:rsidR="003E4550">
        <w:rPr>
          <w:rFonts w:ascii="Garamond" w:hAnsi="Garamond"/>
          <w:sz w:val="22"/>
          <w:szCs w:val="22"/>
        </w:rPr>
        <w:t>amounted to 2</w:t>
      </w:r>
      <w:r w:rsidR="00E24346">
        <w:rPr>
          <w:rFonts w:ascii="Garamond" w:hAnsi="Garamond"/>
          <w:sz w:val="22"/>
          <w:szCs w:val="22"/>
        </w:rPr>
        <w:t>8</w:t>
      </w:r>
      <w:r w:rsidR="003D59B0">
        <w:rPr>
          <w:rFonts w:ascii="Garamond" w:hAnsi="Garamond"/>
          <w:sz w:val="22"/>
          <w:szCs w:val="22"/>
        </w:rPr>
        <w:t xml:space="preserve">% </w:t>
      </w:r>
      <w:r w:rsidR="003E4550">
        <w:rPr>
          <w:rFonts w:ascii="Garamond" w:hAnsi="Garamond"/>
          <w:sz w:val="22"/>
          <w:szCs w:val="22"/>
        </w:rPr>
        <w:t>of the projection</w:t>
      </w:r>
      <w:r w:rsidR="003D59B0">
        <w:rPr>
          <w:rFonts w:ascii="Garamond" w:hAnsi="Garamond"/>
          <w:sz w:val="22"/>
          <w:szCs w:val="22"/>
        </w:rPr>
        <w:t xml:space="preserve">, which is explained by </w:t>
      </w:r>
      <w:r w:rsidR="003E4550">
        <w:rPr>
          <w:rFonts w:ascii="Garamond" w:hAnsi="Garamond"/>
          <w:sz w:val="22"/>
          <w:szCs w:val="22"/>
        </w:rPr>
        <w:t xml:space="preserve">lower </w:t>
      </w:r>
      <w:r w:rsidR="00E24346">
        <w:rPr>
          <w:rFonts w:ascii="Garamond" w:hAnsi="Garamond"/>
          <w:sz w:val="22"/>
          <w:szCs w:val="22"/>
        </w:rPr>
        <w:t>p</w:t>
      </w:r>
      <w:r w:rsidR="003D59B0" w:rsidRPr="003D59B0">
        <w:rPr>
          <w:rFonts w:ascii="Garamond" w:hAnsi="Garamond"/>
          <w:sz w:val="22"/>
          <w:szCs w:val="22"/>
        </w:rPr>
        <w:t xml:space="preserve">erformance of </w:t>
      </w:r>
      <w:r w:rsidR="003E4550">
        <w:rPr>
          <w:rFonts w:ascii="Garamond" w:hAnsi="Garamond"/>
          <w:sz w:val="22"/>
          <w:szCs w:val="22"/>
        </w:rPr>
        <w:t xml:space="preserve">both foreign assistance and domestically-funded </w:t>
      </w:r>
      <w:r w:rsidR="003D59B0">
        <w:rPr>
          <w:rFonts w:ascii="Garamond" w:hAnsi="Garamond"/>
          <w:sz w:val="22"/>
          <w:szCs w:val="22"/>
        </w:rPr>
        <w:t>programs</w:t>
      </w:r>
      <w:r w:rsidR="003E4550">
        <w:rPr>
          <w:rFonts w:ascii="Garamond" w:hAnsi="Garamond"/>
          <w:sz w:val="22"/>
          <w:szCs w:val="22"/>
        </w:rPr>
        <w:t>.</w:t>
      </w:r>
      <w:r w:rsidRPr="00EE5F0F">
        <w:rPr>
          <w:rFonts w:ascii="Garamond" w:hAnsi="Garamond"/>
          <w:sz w:val="22"/>
          <w:szCs w:val="22"/>
        </w:rPr>
        <w:t xml:space="preserve"> For the quarter, </w:t>
      </w:r>
      <w:r w:rsidR="000E283C">
        <w:rPr>
          <w:rFonts w:ascii="Garamond" w:hAnsi="Garamond"/>
          <w:sz w:val="22"/>
          <w:szCs w:val="22"/>
        </w:rPr>
        <w:t xml:space="preserve">the expenditures impulse </w:t>
      </w:r>
      <w:r w:rsidR="00D61F69">
        <w:rPr>
          <w:rFonts w:ascii="Garamond" w:hAnsi="Garamond"/>
          <w:sz w:val="22"/>
          <w:szCs w:val="22"/>
        </w:rPr>
        <w:t>amounted to</w:t>
      </w:r>
      <w:r w:rsidR="000E283C">
        <w:rPr>
          <w:rFonts w:ascii="Garamond" w:hAnsi="Garamond"/>
          <w:sz w:val="22"/>
          <w:szCs w:val="22"/>
        </w:rPr>
        <w:t xml:space="preserve"> </w:t>
      </w:r>
      <w:r w:rsidR="00D61F69">
        <w:rPr>
          <w:rFonts w:ascii="Garamond" w:hAnsi="Garamond"/>
          <w:sz w:val="22"/>
          <w:szCs w:val="22"/>
        </w:rPr>
        <w:t>2</w:t>
      </w:r>
      <w:r w:rsidR="001A3C0A">
        <w:rPr>
          <w:rFonts w:ascii="Garamond" w:hAnsi="Garamond"/>
          <w:sz w:val="22"/>
          <w:szCs w:val="22"/>
        </w:rPr>
        <w:t>.</w:t>
      </w:r>
      <w:r w:rsidR="00D61F69">
        <w:rPr>
          <w:rFonts w:ascii="Garamond" w:hAnsi="Garamond"/>
          <w:sz w:val="22"/>
          <w:szCs w:val="22"/>
        </w:rPr>
        <w:t>0</w:t>
      </w:r>
      <w:r w:rsidRPr="00EE5F0F">
        <w:rPr>
          <w:rFonts w:ascii="Garamond" w:hAnsi="Garamond"/>
          <w:sz w:val="22"/>
          <w:szCs w:val="22"/>
        </w:rPr>
        <w:t xml:space="preserve"> pp </w:t>
      </w:r>
      <w:r w:rsidR="00D61F69">
        <w:rPr>
          <w:rFonts w:ascii="Garamond" w:hAnsi="Garamond"/>
          <w:sz w:val="22"/>
          <w:szCs w:val="22"/>
        </w:rPr>
        <w:t xml:space="preserve">contractionary </w:t>
      </w:r>
      <w:r w:rsidRPr="00EE5F0F">
        <w:rPr>
          <w:rFonts w:ascii="Garamond" w:hAnsi="Garamond"/>
          <w:sz w:val="22"/>
          <w:szCs w:val="22"/>
        </w:rPr>
        <w:t xml:space="preserve">instead of the forecast </w:t>
      </w:r>
      <w:r w:rsidR="00D61F69">
        <w:rPr>
          <w:rFonts w:ascii="Garamond" w:hAnsi="Garamond"/>
          <w:sz w:val="22"/>
          <w:szCs w:val="22"/>
        </w:rPr>
        <w:t>0</w:t>
      </w:r>
      <w:r w:rsidRPr="00EE5F0F">
        <w:rPr>
          <w:rFonts w:ascii="Garamond" w:hAnsi="Garamond"/>
          <w:sz w:val="22"/>
          <w:szCs w:val="22"/>
        </w:rPr>
        <w:t>.</w:t>
      </w:r>
      <w:r w:rsidR="00D61F69">
        <w:rPr>
          <w:rFonts w:ascii="Garamond" w:hAnsi="Garamond"/>
          <w:sz w:val="22"/>
          <w:szCs w:val="22"/>
        </w:rPr>
        <w:t>4</w:t>
      </w:r>
      <w:r w:rsidRPr="00EE5F0F">
        <w:rPr>
          <w:rFonts w:ascii="Garamond" w:hAnsi="Garamond"/>
          <w:sz w:val="22"/>
          <w:szCs w:val="22"/>
        </w:rPr>
        <w:t xml:space="preserve"> pp </w:t>
      </w:r>
      <w:r w:rsidR="005708C3">
        <w:rPr>
          <w:rFonts w:ascii="Garamond" w:hAnsi="Garamond"/>
          <w:sz w:val="22"/>
          <w:szCs w:val="22"/>
        </w:rPr>
        <w:t>contractionary.</w:t>
      </w:r>
      <w:r w:rsidRPr="00EE5F0F">
        <w:rPr>
          <w:rFonts w:ascii="Garamond" w:hAnsi="Garamond"/>
          <w:sz w:val="22"/>
          <w:szCs w:val="22"/>
        </w:rPr>
        <w:t xml:space="preserve"> </w:t>
      </w:r>
    </w:p>
    <w:p w14:paraId="11BAFAD5" w14:textId="77777777" w:rsidR="006A3AB4" w:rsidRDefault="00242EA6" w:rsidP="00242EA6">
      <w:pPr>
        <w:autoSpaceDE w:val="0"/>
        <w:autoSpaceDN w:val="0"/>
        <w:adjustRightInd w:val="0"/>
        <w:spacing w:after="120" w:line="360" w:lineRule="auto"/>
        <w:jc w:val="both"/>
        <w:rPr>
          <w:rFonts w:ascii="Garamond" w:hAnsi="Garamond"/>
          <w:bCs/>
          <w:iCs/>
          <w:color w:val="000000"/>
          <w:sz w:val="22"/>
          <w:szCs w:val="22"/>
        </w:rPr>
      </w:pPr>
      <w:r w:rsidRPr="00EE5F0F">
        <w:rPr>
          <w:rFonts w:ascii="Garamond" w:hAnsi="Garamond"/>
          <w:sz w:val="22"/>
          <w:szCs w:val="22"/>
        </w:rPr>
        <w:lastRenderedPageBreak/>
        <w:t xml:space="preserve">With </w:t>
      </w:r>
      <w:r w:rsidRPr="00EE5F0F">
        <w:rPr>
          <w:rFonts w:ascii="Garamond" w:hAnsi="Garamond"/>
          <w:bCs/>
          <w:iCs/>
          <w:color w:val="000000"/>
          <w:sz w:val="22"/>
          <w:szCs w:val="22"/>
        </w:rPr>
        <w:t xml:space="preserve">revenues and expenditures performance described above, the state budget generated a </w:t>
      </w:r>
      <w:r w:rsidR="00D61F69">
        <w:rPr>
          <w:rFonts w:ascii="Garamond" w:hAnsi="Garamond"/>
          <w:bCs/>
          <w:iCs/>
          <w:color w:val="000000"/>
          <w:sz w:val="22"/>
          <w:szCs w:val="22"/>
        </w:rPr>
        <w:t xml:space="preserve">surplus of </w:t>
      </w:r>
      <w:r w:rsidR="00D87037">
        <w:rPr>
          <w:rFonts w:ascii="Garamond" w:hAnsi="Garamond"/>
          <w:bCs/>
          <w:iCs/>
          <w:color w:val="000000"/>
          <w:sz w:val="22"/>
          <w:szCs w:val="22"/>
        </w:rPr>
        <w:t>A</w:t>
      </w:r>
      <w:r w:rsidRPr="00EE5F0F">
        <w:rPr>
          <w:rFonts w:ascii="Garamond" w:hAnsi="Garamond"/>
          <w:bCs/>
          <w:iCs/>
          <w:color w:val="000000"/>
          <w:sz w:val="22"/>
          <w:szCs w:val="22"/>
        </w:rPr>
        <w:t xml:space="preserve">MD </w:t>
      </w:r>
      <w:r w:rsidR="00D61F69">
        <w:rPr>
          <w:rFonts w:ascii="Garamond" w:hAnsi="Garamond"/>
          <w:bCs/>
          <w:iCs/>
          <w:color w:val="000000"/>
          <w:sz w:val="22"/>
          <w:szCs w:val="22"/>
        </w:rPr>
        <w:t>31</w:t>
      </w:r>
      <w:r w:rsidR="00916F0F">
        <w:rPr>
          <w:rFonts w:ascii="Garamond" w:hAnsi="Garamond"/>
          <w:bCs/>
          <w:iCs/>
          <w:color w:val="000000"/>
          <w:sz w:val="22"/>
          <w:szCs w:val="22"/>
        </w:rPr>
        <w:t>.</w:t>
      </w:r>
      <w:r w:rsidR="00D61F69">
        <w:rPr>
          <w:rFonts w:ascii="Garamond" w:hAnsi="Garamond"/>
          <w:bCs/>
          <w:iCs/>
          <w:color w:val="000000"/>
          <w:sz w:val="22"/>
          <w:szCs w:val="22"/>
        </w:rPr>
        <w:t>2</w:t>
      </w:r>
      <w:r w:rsidRPr="00EE5F0F">
        <w:rPr>
          <w:rFonts w:ascii="Garamond" w:hAnsi="Garamond"/>
          <w:bCs/>
          <w:iCs/>
          <w:color w:val="000000"/>
          <w:sz w:val="22"/>
          <w:szCs w:val="22"/>
        </w:rPr>
        <w:t xml:space="preserve"> billion in the </w:t>
      </w:r>
      <w:r w:rsidR="000E283C">
        <w:rPr>
          <w:rFonts w:ascii="Garamond" w:hAnsi="Garamond"/>
          <w:bCs/>
          <w:iCs/>
          <w:color w:val="000000"/>
          <w:sz w:val="22"/>
          <w:szCs w:val="22"/>
        </w:rPr>
        <w:t>f</w:t>
      </w:r>
      <w:r w:rsidR="00D61F69">
        <w:rPr>
          <w:rFonts w:ascii="Garamond" w:hAnsi="Garamond"/>
          <w:bCs/>
          <w:iCs/>
          <w:color w:val="000000"/>
          <w:sz w:val="22"/>
          <w:szCs w:val="22"/>
        </w:rPr>
        <w:t xml:space="preserve">irst </w:t>
      </w:r>
      <w:r w:rsidRPr="00EE5F0F">
        <w:rPr>
          <w:rFonts w:ascii="Garamond" w:hAnsi="Garamond"/>
          <w:bCs/>
          <w:iCs/>
          <w:color w:val="000000"/>
          <w:sz w:val="22"/>
          <w:szCs w:val="22"/>
        </w:rPr>
        <w:t>quarter of 201</w:t>
      </w:r>
      <w:r w:rsidR="00D61F69">
        <w:rPr>
          <w:rFonts w:ascii="Garamond" w:hAnsi="Garamond"/>
          <w:bCs/>
          <w:iCs/>
          <w:color w:val="000000"/>
          <w:sz w:val="22"/>
          <w:szCs w:val="22"/>
        </w:rPr>
        <w:t>9</w:t>
      </w:r>
      <w:r w:rsidR="00AC5C9B">
        <w:rPr>
          <w:rFonts w:ascii="Garamond" w:hAnsi="Garamond"/>
          <w:bCs/>
          <w:iCs/>
          <w:color w:val="000000"/>
          <w:sz w:val="22"/>
          <w:szCs w:val="22"/>
        </w:rPr>
        <w:t xml:space="preserve">, </w:t>
      </w:r>
      <w:r w:rsidR="00D61F69">
        <w:rPr>
          <w:rFonts w:ascii="Garamond" w:hAnsi="Garamond"/>
          <w:bCs/>
          <w:iCs/>
          <w:color w:val="000000"/>
          <w:sz w:val="22"/>
          <w:szCs w:val="22"/>
        </w:rPr>
        <w:t xml:space="preserve">as opposed to </w:t>
      </w:r>
      <w:r w:rsidR="00AC5C9B">
        <w:rPr>
          <w:rFonts w:ascii="Garamond" w:hAnsi="Garamond"/>
          <w:bCs/>
          <w:iCs/>
          <w:color w:val="000000"/>
          <w:sz w:val="22"/>
          <w:szCs w:val="22"/>
        </w:rPr>
        <w:t xml:space="preserve">AMD </w:t>
      </w:r>
      <w:r w:rsidR="00D61F69">
        <w:rPr>
          <w:rFonts w:ascii="Garamond" w:hAnsi="Garamond"/>
          <w:bCs/>
          <w:iCs/>
          <w:color w:val="000000"/>
          <w:sz w:val="22"/>
          <w:szCs w:val="22"/>
        </w:rPr>
        <w:t>17</w:t>
      </w:r>
      <w:r w:rsidR="00AC5C9B" w:rsidRPr="00AC5C9B">
        <w:rPr>
          <w:rFonts w:ascii="Garamond" w:hAnsi="Garamond"/>
          <w:bCs/>
          <w:iCs/>
          <w:color w:val="000000"/>
          <w:sz w:val="22"/>
          <w:szCs w:val="22"/>
        </w:rPr>
        <w:t>.</w:t>
      </w:r>
      <w:r w:rsidR="00D61F69">
        <w:rPr>
          <w:rFonts w:ascii="Garamond" w:hAnsi="Garamond"/>
          <w:bCs/>
          <w:iCs/>
          <w:color w:val="000000"/>
          <w:sz w:val="22"/>
          <w:szCs w:val="22"/>
        </w:rPr>
        <w:t xml:space="preserve">5 billion-worth of deficit </w:t>
      </w:r>
      <w:r w:rsidR="000E283C">
        <w:rPr>
          <w:rFonts w:ascii="Garamond" w:hAnsi="Garamond"/>
          <w:bCs/>
          <w:iCs/>
          <w:color w:val="000000"/>
          <w:sz w:val="22"/>
          <w:szCs w:val="22"/>
        </w:rPr>
        <w:t>estimated by the Central Bank</w:t>
      </w:r>
      <w:r w:rsidR="00AC5C9B" w:rsidRPr="00AC5C9B">
        <w:rPr>
          <w:rFonts w:ascii="Garamond" w:hAnsi="Garamond"/>
          <w:bCs/>
          <w:iCs/>
          <w:color w:val="000000"/>
          <w:sz w:val="22"/>
          <w:szCs w:val="22"/>
        </w:rPr>
        <w:t xml:space="preserve">. </w:t>
      </w:r>
    </w:p>
    <w:p w14:paraId="4D356F48" w14:textId="77777777" w:rsidR="006A3AB4" w:rsidRPr="00EE5F0F" w:rsidRDefault="006A3AB4" w:rsidP="00242EA6">
      <w:pPr>
        <w:autoSpaceDE w:val="0"/>
        <w:autoSpaceDN w:val="0"/>
        <w:adjustRightInd w:val="0"/>
        <w:spacing w:after="120" w:line="360" w:lineRule="auto"/>
        <w:jc w:val="both"/>
        <w:rPr>
          <w:rFonts w:ascii="Garamond" w:hAnsi="Garamond"/>
          <w:b/>
          <w:bCs/>
          <w:iCs/>
          <w:color w:val="0070C0"/>
          <w:sz w:val="22"/>
          <w:szCs w:val="22"/>
        </w:rPr>
      </w:pPr>
    </w:p>
    <w:p w14:paraId="15FB0CF4" w14:textId="77777777" w:rsidR="00242EA6" w:rsidRPr="00EE5F0F" w:rsidRDefault="00242EA6" w:rsidP="00242EA6">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bCs/>
          <w:iCs/>
          <w:color w:val="0070C0"/>
          <w:sz w:val="22"/>
          <w:szCs w:val="22"/>
        </w:rPr>
        <w:t xml:space="preserve">3.2.3. The production </w:t>
      </w:r>
      <w:r w:rsidRPr="00EE5F0F">
        <w:rPr>
          <w:rFonts w:ascii="Garamond" w:hAnsi="Garamond"/>
          <w:b/>
          <w:color w:val="0070C0"/>
          <w:sz w:val="22"/>
          <w:szCs w:val="22"/>
        </w:rPr>
        <w:t>aspect of the economy</w:t>
      </w:r>
    </w:p>
    <w:p w14:paraId="5B2CA06A" w14:textId="15A34286" w:rsidR="00080015" w:rsidRDefault="00FA3C9F" w:rsidP="00242EA6">
      <w:pPr>
        <w:autoSpaceDE w:val="0"/>
        <w:autoSpaceDN w:val="0"/>
        <w:adjustRightInd w:val="0"/>
        <w:spacing w:after="120" w:line="360" w:lineRule="auto"/>
        <w:jc w:val="both"/>
        <w:rPr>
          <w:rFonts w:ascii="Garamond" w:hAnsi="Garamond"/>
          <w:sz w:val="22"/>
          <w:szCs w:val="22"/>
        </w:rPr>
      </w:pPr>
      <w:r>
        <w:rPr>
          <w:rFonts w:ascii="Garamond" w:hAnsi="Garamond"/>
          <w:sz w:val="22"/>
          <w:szCs w:val="22"/>
        </w:rPr>
        <w:t>With 6.5%</w:t>
      </w:r>
      <w:r w:rsidR="00EF2632">
        <w:rPr>
          <w:rFonts w:ascii="Garamond" w:hAnsi="Garamond"/>
          <w:sz w:val="22"/>
          <w:szCs w:val="22"/>
        </w:rPr>
        <w:t xml:space="preserve"> economic activity</w:t>
      </w:r>
      <w:r>
        <w:rPr>
          <w:rFonts w:ascii="Garamond" w:hAnsi="Garamond"/>
          <w:sz w:val="22"/>
          <w:szCs w:val="22"/>
        </w:rPr>
        <w:t xml:space="preserve"> </w:t>
      </w:r>
      <w:r w:rsidR="00080015" w:rsidRPr="00FA3C9F">
        <w:rPr>
          <w:rFonts w:ascii="Garamond" w:hAnsi="Garamond"/>
          <w:sz w:val="22"/>
          <w:szCs w:val="22"/>
        </w:rPr>
        <w:t xml:space="preserve">in the </w:t>
      </w:r>
      <w:r w:rsidR="00850B87" w:rsidRPr="00FA3C9F">
        <w:rPr>
          <w:rFonts w:ascii="Garamond" w:hAnsi="Garamond"/>
          <w:sz w:val="22"/>
          <w:szCs w:val="22"/>
        </w:rPr>
        <w:t>first quarter of 2019</w:t>
      </w:r>
      <w:r>
        <w:rPr>
          <w:rFonts w:ascii="Garamond" w:hAnsi="Garamond"/>
          <w:sz w:val="22"/>
          <w:szCs w:val="22"/>
        </w:rPr>
        <w:t>,</w:t>
      </w:r>
      <w:r w:rsidR="00080015" w:rsidRPr="00FA3C9F">
        <w:rPr>
          <w:rFonts w:ascii="Garamond" w:hAnsi="Garamond"/>
          <w:sz w:val="22"/>
          <w:szCs w:val="22"/>
        </w:rPr>
        <w:t xml:space="preserve"> </w:t>
      </w:r>
      <w:r>
        <w:rPr>
          <w:rFonts w:ascii="Garamond" w:hAnsi="Garamond"/>
          <w:sz w:val="22"/>
          <w:szCs w:val="22"/>
        </w:rPr>
        <w:t xml:space="preserve">the GDP growth amounted to 7.1% </w:t>
      </w:r>
      <w:r w:rsidRPr="00FA3C9F">
        <w:rPr>
          <w:rFonts w:ascii="Garamond" w:hAnsi="Garamond"/>
          <w:sz w:val="22"/>
          <w:szCs w:val="22"/>
        </w:rPr>
        <w:t>instead of previous estimat</w:t>
      </w:r>
      <w:r>
        <w:rPr>
          <w:rFonts w:ascii="Garamond" w:hAnsi="Garamond"/>
          <w:sz w:val="22"/>
          <w:szCs w:val="22"/>
        </w:rPr>
        <w:t xml:space="preserve">ion of </w:t>
      </w:r>
      <w:r w:rsidRPr="00FA3C9F">
        <w:rPr>
          <w:rFonts w:ascii="Garamond" w:hAnsi="Garamond"/>
          <w:sz w:val="22"/>
          <w:szCs w:val="22"/>
        </w:rPr>
        <w:t>6.0%.</w:t>
      </w:r>
      <w:r>
        <w:rPr>
          <w:rFonts w:ascii="Garamond" w:hAnsi="Garamond"/>
          <w:sz w:val="22"/>
          <w:szCs w:val="22"/>
        </w:rPr>
        <w:t xml:space="preserve"> </w:t>
      </w:r>
      <w:r w:rsidR="00080015" w:rsidRPr="00080015">
        <w:rPr>
          <w:rFonts w:ascii="Garamond" w:hAnsi="Garamond"/>
          <w:sz w:val="22"/>
          <w:szCs w:val="22"/>
        </w:rPr>
        <w:t xml:space="preserve">The deviation </w:t>
      </w:r>
      <w:r>
        <w:rPr>
          <w:rFonts w:ascii="Garamond" w:hAnsi="Garamond"/>
          <w:sz w:val="22"/>
          <w:szCs w:val="22"/>
        </w:rPr>
        <w:t xml:space="preserve">owed primarily to </w:t>
      </w:r>
      <w:r w:rsidR="00080015">
        <w:rPr>
          <w:rFonts w:ascii="Garamond" w:hAnsi="Garamond"/>
          <w:sz w:val="22"/>
          <w:szCs w:val="22"/>
        </w:rPr>
        <w:t xml:space="preserve">the </w:t>
      </w:r>
      <w:r>
        <w:rPr>
          <w:rFonts w:ascii="Garamond" w:hAnsi="Garamond"/>
          <w:sz w:val="22"/>
          <w:szCs w:val="22"/>
        </w:rPr>
        <w:t xml:space="preserve">value added having increased faster </w:t>
      </w:r>
      <w:r w:rsidR="00B93149">
        <w:rPr>
          <w:rFonts w:ascii="Garamond" w:hAnsi="Garamond"/>
          <w:sz w:val="22"/>
          <w:szCs w:val="22"/>
        </w:rPr>
        <w:t xml:space="preserve">than </w:t>
      </w:r>
      <w:r>
        <w:rPr>
          <w:rFonts w:ascii="Garamond" w:hAnsi="Garamond"/>
          <w:sz w:val="22"/>
          <w:szCs w:val="22"/>
        </w:rPr>
        <w:t xml:space="preserve">output. </w:t>
      </w:r>
      <w:r w:rsidR="00266698" w:rsidRPr="00266698">
        <w:rPr>
          <w:rFonts w:ascii="Garamond" w:hAnsi="Garamond"/>
          <w:sz w:val="22"/>
          <w:szCs w:val="22"/>
        </w:rPr>
        <w:t xml:space="preserve">The growth </w:t>
      </w:r>
      <w:r w:rsidR="00543A66">
        <w:rPr>
          <w:rFonts w:ascii="Garamond" w:hAnsi="Garamond"/>
          <w:sz w:val="22"/>
          <w:szCs w:val="22"/>
        </w:rPr>
        <w:t xml:space="preserve">was largely driven by </w:t>
      </w:r>
      <w:r w:rsidR="00266698" w:rsidRPr="00266698">
        <w:rPr>
          <w:rFonts w:ascii="Garamond" w:hAnsi="Garamond"/>
          <w:sz w:val="22"/>
          <w:szCs w:val="22"/>
        </w:rPr>
        <w:t>the services sector</w:t>
      </w:r>
      <w:r w:rsidR="00B93149">
        <w:rPr>
          <w:rFonts w:ascii="Garamond" w:hAnsi="Garamond"/>
          <w:sz w:val="22"/>
          <w:szCs w:val="22"/>
        </w:rPr>
        <w:t>,</w:t>
      </w:r>
      <w:r w:rsidR="00266698" w:rsidRPr="00266698">
        <w:rPr>
          <w:rFonts w:ascii="Garamond" w:hAnsi="Garamond"/>
          <w:sz w:val="22"/>
          <w:szCs w:val="22"/>
        </w:rPr>
        <w:t xml:space="preserve"> </w:t>
      </w:r>
      <w:r w:rsidR="00543A66">
        <w:rPr>
          <w:rFonts w:ascii="Garamond" w:hAnsi="Garamond"/>
          <w:sz w:val="22"/>
          <w:szCs w:val="22"/>
        </w:rPr>
        <w:t xml:space="preserve">which reported as much as </w:t>
      </w:r>
      <w:r w:rsidR="00266698" w:rsidRPr="00266698">
        <w:rPr>
          <w:rFonts w:ascii="Garamond" w:hAnsi="Garamond"/>
          <w:sz w:val="22"/>
          <w:szCs w:val="22"/>
        </w:rPr>
        <w:t xml:space="preserve">11.0% in the </w:t>
      </w:r>
      <w:r w:rsidR="00543A66">
        <w:rPr>
          <w:rFonts w:ascii="Garamond" w:hAnsi="Garamond"/>
          <w:sz w:val="22"/>
          <w:szCs w:val="22"/>
        </w:rPr>
        <w:t>first</w:t>
      </w:r>
      <w:r w:rsidR="00266698" w:rsidRPr="00266698">
        <w:rPr>
          <w:rFonts w:ascii="Garamond" w:hAnsi="Garamond"/>
          <w:sz w:val="22"/>
          <w:szCs w:val="22"/>
        </w:rPr>
        <w:t xml:space="preserve"> quarter and </w:t>
      </w:r>
      <w:r w:rsidR="00543A66">
        <w:rPr>
          <w:rFonts w:ascii="Garamond" w:hAnsi="Garamond"/>
          <w:sz w:val="22"/>
          <w:szCs w:val="22"/>
        </w:rPr>
        <w:t xml:space="preserve">stays not that different from </w:t>
      </w:r>
      <w:r w:rsidR="00266698" w:rsidRPr="00266698">
        <w:rPr>
          <w:rFonts w:ascii="Garamond" w:hAnsi="Garamond"/>
          <w:sz w:val="22"/>
          <w:szCs w:val="22"/>
        </w:rPr>
        <w:t xml:space="preserve">previous estimates. </w:t>
      </w:r>
      <w:r w:rsidR="00543A66">
        <w:rPr>
          <w:rFonts w:ascii="Garamond" w:hAnsi="Garamond"/>
          <w:sz w:val="22"/>
          <w:szCs w:val="22"/>
        </w:rPr>
        <w:t>S</w:t>
      </w:r>
      <w:r w:rsidR="00266698" w:rsidRPr="00266698">
        <w:rPr>
          <w:rFonts w:ascii="Garamond" w:hAnsi="Garamond"/>
          <w:sz w:val="22"/>
          <w:szCs w:val="22"/>
        </w:rPr>
        <w:t xml:space="preserve">lightly lower than the previous </w:t>
      </w:r>
      <w:r w:rsidR="00543A66">
        <w:rPr>
          <w:rFonts w:ascii="Garamond" w:hAnsi="Garamond"/>
          <w:sz w:val="22"/>
          <w:szCs w:val="22"/>
        </w:rPr>
        <w:t xml:space="preserve">forecasts, the </w:t>
      </w:r>
      <w:r w:rsidR="00543A66" w:rsidRPr="00266698">
        <w:rPr>
          <w:rFonts w:ascii="Garamond" w:hAnsi="Garamond"/>
          <w:sz w:val="22"/>
          <w:szCs w:val="22"/>
        </w:rPr>
        <w:t xml:space="preserve">construction growth </w:t>
      </w:r>
      <w:r w:rsidR="00543A66">
        <w:rPr>
          <w:rFonts w:ascii="Garamond" w:hAnsi="Garamond"/>
          <w:sz w:val="22"/>
          <w:szCs w:val="22"/>
        </w:rPr>
        <w:t xml:space="preserve">of </w:t>
      </w:r>
      <w:r w:rsidR="00543A66" w:rsidRPr="00266698">
        <w:rPr>
          <w:rFonts w:ascii="Garamond" w:hAnsi="Garamond"/>
          <w:sz w:val="22"/>
          <w:szCs w:val="22"/>
        </w:rPr>
        <w:t>9.2%</w:t>
      </w:r>
      <w:r w:rsidR="00543A66">
        <w:rPr>
          <w:rFonts w:ascii="Garamond" w:hAnsi="Garamond"/>
          <w:sz w:val="22"/>
          <w:szCs w:val="22"/>
        </w:rPr>
        <w:t xml:space="preserve"> came amid t</w:t>
      </w:r>
      <w:r w:rsidR="00266698" w:rsidRPr="00266698">
        <w:rPr>
          <w:rFonts w:ascii="Garamond" w:hAnsi="Garamond"/>
          <w:sz w:val="22"/>
          <w:szCs w:val="22"/>
        </w:rPr>
        <w:t>he slow</w:t>
      </w:r>
      <w:r w:rsidR="00543A66">
        <w:rPr>
          <w:rFonts w:ascii="Garamond" w:hAnsi="Garamond"/>
          <w:sz w:val="22"/>
          <w:szCs w:val="22"/>
        </w:rPr>
        <w:t xml:space="preserve">ing of growth rates </w:t>
      </w:r>
      <w:r w:rsidR="00266698" w:rsidRPr="00266698">
        <w:rPr>
          <w:rFonts w:ascii="Garamond" w:hAnsi="Garamond"/>
          <w:sz w:val="22"/>
          <w:szCs w:val="22"/>
        </w:rPr>
        <w:t xml:space="preserve">in </w:t>
      </w:r>
      <w:r w:rsidR="008674CA">
        <w:rPr>
          <w:rFonts w:ascii="Garamond" w:hAnsi="Garamond"/>
          <w:sz w:val="22"/>
          <w:szCs w:val="22"/>
        </w:rPr>
        <w:t xml:space="preserve">the sector </w:t>
      </w:r>
      <w:r w:rsidR="00266698" w:rsidRPr="00266698">
        <w:rPr>
          <w:rFonts w:ascii="Garamond" w:hAnsi="Garamond"/>
          <w:sz w:val="22"/>
          <w:szCs w:val="22"/>
        </w:rPr>
        <w:t xml:space="preserve">in March, but it should be noted that </w:t>
      </w:r>
      <w:r w:rsidR="008674CA">
        <w:rPr>
          <w:rFonts w:ascii="Garamond" w:hAnsi="Garamond"/>
          <w:sz w:val="22"/>
          <w:szCs w:val="22"/>
        </w:rPr>
        <w:t xml:space="preserve">household-funded and company-funded </w:t>
      </w:r>
      <w:r w:rsidR="00266698" w:rsidRPr="00266698">
        <w:rPr>
          <w:rFonts w:ascii="Garamond" w:hAnsi="Garamond"/>
          <w:sz w:val="22"/>
          <w:szCs w:val="22"/>
        </w:rPr>
        <w:t xml:space="preserve">construction is rather </w:t>
      </w:r>
      <w:r w:rsidR="008674CA">
        <w:rPr>
          <w:rFonts w:ascii="Garamond" w:hAnsi="Garamond"/>
          <w:sz w:val="22"/>
          <w:szCs w:val="22"/>
        </w:rPr>
        <w:t>strong</w:t>
      </w:r>
      <w:r w:rsidR="00266698" w:rsidRPr="00266698">
        <w:rPr>
          <w:rFonts w:ascii="Garamond" w:hAnsi="Garamond"/>
          <w:sz w:val="22"/>
          <w:szCs w:val="22"/>
        </w:rPr>
        <w:t xml:space="preserve">, which </w:t>
      </w:r>
      <w:r w:rsidR="008674CA">
        <w:rPr>
          <w:rFonts w:ascii="Garamond" w:hAnsi="Garamond"/>
          <w:sz w:val="22"/>
          <w:szCs w:val="22"/>
        </w:rPr>
        <w:t xml:space="preserve">points to </w:t>
      </w:r>
      <w:r w:rsidR="00266698" w:rsidRPr="00266698">
        <w:rPr>
          <w:rFonts w:ascii="Garamond" w:hAnsi="Garamond"/>
          <w:sz w:val="22"/>
          <w:szCs w:val="22"/>
        </w:rPr>
        <w:t xml:space="preserve">positive expectations and </w:t>
      </w:r>
      <w:r w:rsidR="008674CA">
        <w:rPr>
          <w:rFonts w:ascii="Garamond" w:hAnsi="Garamond"/>
          <w:sz w:val="22"/>
          <w:szCs w:val="22"/>
        </w:rPr>
        <w:t>continued vibrant growth in the sector</w:t>
      </w:r>
      <w:r w:rsidR="00266698" w:rsidRPr="00266698">
        <w:rPr>
          <w:rFonts w:ascii="Garamond" w:hAnsi="Garamond"/>
          <w:sz w:val="22"/>
          <w:szCs w:val="22"/>
        </w:rPr>
        <w:t>.</w:t>
      </w:r>
      <w:r w:rsidR="008674CA">
        <w:rPr>
          <w:rFonts w:ascii="Garamond" w:hAnsi="Garamond"/>
          <w:sz w:val="22"/>
          <w:szCs w:val="22"/>
        </w:rPr>
        <w:t xml:space="preserve"> The industry growth amounted to 0</w:t>
      </w:r>
      <w:r w:rsidR="00080015" w:rsidRPr="00080015">
        <w:rPr>
          <w:rFonts w:ascii="Garamond" w:hAnsi="Garamond"/>
          <w:sz w:val="22"/>
          <w:szCs w:val="22"/>
        </w:rPr>
        <w:t>.</w:t>
      </w:r>
      <w:r w:rsidR="008674CA">
        <w:rPr>
          <w:rFonts w:ascii="Garamond" w:hAnsi="Garamond"/>
          <w:sz w:val="22"/>
          <w:szCs w:val="22"/>
        </w:rPr>
        <w:t>4</w:t>
      </w:r>
      <w:r w:rsidR="00080015" w:rsidRPr="00080015">
        <w:rPr>
          <w:rFonts w:ascii="Garamond" w:hAnsi="Garamond"/>
          <w:sz w:val="22"/>
          <w:szCs w:val="22"/>
        </w:rPr>
        <w:t xml:space="preserve">%, which </w:t>
      </w:r>
      <w:r w:rsidR="008674CA">
        <w:rPr>
          <w:rFonts w:ascii="Garamond" w:hAnsi="Garamond"/>
          <w:sz w:val="22"/>
          <w:szCs w:val="22"/>
        </w:rPr>
        <w:t xml:space="preserve">is somewhat higher from the </w:t>
      </w:r>
      <w:r w:rsidR="00080015" w:rsidRPr="00080015">
        <w:rPr>
          <w:rFonts w:ascii="Garamond" w:hAnsi="Garamond"/>
          <w:sz w:val="22"/>
          <w:szCs w:val="22"/>
        </w:rPr>
        <w:t xml:space="preserve">previous </w:t>
      </w:r>
      <w:r w:rsidR="008674CA">
        <w:rPr>
          <w:rFonts w:ascii="Garamond" w:hAnsi="Garamond"/>
          <w:sz w:val="22"/>
          <w:szCs w:val="22"/>
        </w:rPr>
        <w:t xml:space="preserve">forecasts and attributable to more-than-anticipated positive developments in the processing industry. The agriculture sector reported a 0.8% growth rate, </w:t>
      </w:r>
      <w:r w:rsidR="008674CA" w:rsidRPr="008674CA">
        <w:rPr>
          <w:rFonts w:ascii="Garamond" w:hAnsi="Garamond"/>
          <w:sz w:val="22"/>
          <w:szCs w:val="22"/>
        </w:rPr>
        <w:t xml:space="preserve">which does not essentially deviate from previous </w:t>
      </w:r>
      <w:r w:rsidR="008674CA">
        <w:rPr>
          <w:rFonts w:ascii="Garamond" w:hAnsi="Garamond"/>
          <w:sz w:val="22"/>
          <w:szCs w:val="22"/>
        </w:rPr>
        <w:t xml:space="preserve">estimation </w:t>
      </w:r>
      <w:r w:rsidR="008674CA" w:rsidRPr="008674CA">
        <w:rPr>
          <w:rFonts w:ascii="Garamond" w:hAnsi="Garamond"/>
          <w:sz w:val="22"/>
          <w:szCs w:val="22"/>
        </w:rPr>
        <w:t>of the Central Bank</w:t>
      </w:r>
      <w:r w:rsidR="008674CA">
        <w:rPr>
          <w:rFonts w:ascii="Garamond" w:hAnsi="Garamond"/>
          <w:sz w:val="22"/>
          <w:szCs w:val="22"/>
        </w:rPr>
        <w:t>.</w:t>
      </w:r>
    </w:p>
    <w:p w14:paraId="5A12F00D" w14:textId="77777777" w:rsidR="00C623D0" w:rsidRDefault="00C623D0" w:rsidP="00242EA6">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There is anticipation that services will </w:t>
      </w:r>
      <w:r w:rsidR="00553961">
        <w:rPr>
          <w:rFonts w:ascii="Garamond" w:hAnsi="Garamond"/>
          <w:sz w:val="22"/>
          <w:szCs w:val="22"/>
        </w:rPr>
        <w:t>further remain the key</w:t>
      </w:r>
      <w:r>
        <w:rPr>
          <w:rFonts w:ascii="Garamond" w:hAnsi="Garamond"/>
          <w:sz w:val="22"/>
          <w:szCs w:val="22"/>
        </w:rPr>
        <w:t xml:space="preserve"> driver to economic growth over </w:t>
      </w:r>
      <w:r w:rsidRPr="00C623D0">
        <w:rPr>
          <w:rFonts w:ascii="Garamond" w:hAnsi="Garamond"/>
          <w:sz w:val="22"/>
          <w:szCs w:val="22"/>
        </w:rPr>
        <w:t xml:space="preserve">the </w:t>
      </w:r>
      <w:r w:rsidR="00553961">
        <w:rPr>
          <w:rFonts w:ascii="Garamond" w:hAnsi="Garamond"/>
          <w:sz w:val="22"/>
          <w:szCs w:val="22"/>
        </w:rPr>
        <w:t>second</w:t>
      </w:r>
      <w:r w:rsidRPr="00C623D0">
        <w:rPr>
          <w:rFonts w:ascii="Garamond" w:hAnsi="Garamond"/>
          <w:sz w:val="22"/>
          <w:szCs w:val="22"/>
        </w:rPr>
        <w:t xml:space="preserve"> quarter of 2019, </w:t>
      </w:r>
      <w:r w:rsidR="00553961" w:rsidRPr="00553961">
        <w:rPr>
          <w:rFonts w:ascii="Garamond" w:hAnsi="Garamond"/>
          <w:sz w:val="22"/>
          <w:szCs w:val="22"/>
        </w:rPr>
        <w:t xml:space="preserve">as well as some </w:t>
      </w:r>
      <w:r w:rsidR="00553961">
        <w:rPr>
          <w:rFonts w:ascii="Garamond" w:hAnsi="Garamond"/>
          <w:sz w:val="22"/>
          <w:szCs w:val="22"/>
        </w:rPr>
        <w:t xml:space="preserve">reviving is </w:t>
      </w:r>
      <w:r w:rsidR="00553961" w:rsidRPr="00553961">
        <w:rPr>
          <w:rFonts w:ascii="Garamond" w:hAnsi="Garamond"/>
          <w:sz w:val="22"/>
          <w:szCs w:val="22"/>
        </w:rPr>
        <w:t xml:space="preserve">expected in the industry, </w:t>
      </w:r>
      <w:r w:rsidR="00553961">
        <w:rPr>
          <w:rFonts w:ascii="Garamond" w:hAnsi="Garamond"/>
          <w:sz w:val="22"/>
          <w:szCs w:val="22"/>
        </w:rPr>
        <w:t>supported by h</w:t>
      </w:r>
      <w:r w:rsidR="00553961" w:rsidRPr="00553961">
        <w:rPr>
          <w:rFonts w:ascii="Garamond" w:hAnsi="Garamond"/>
          <w:sz w:val="22"/>
          <w:szCs w:val="22"/>
        </w:rPr>
        <w:t>igh economic activity in</w:t>
      </w:r>
      <w:r w:rsidR="006C4749">
        <w:rPr>
          <w:rFonts w:ascii="Garamond" w:hAnsi="Garamond"/>
          <w:sz w:val="22"/>
          <w:szCs w:val="22"/>
        </w:rPr>
        <w:t xml:space="preserve">dicators </w:t>
      </w:r>
      <w:r w:rsidR="00553961">
        <w:rPr>
          <w:rFonts w:ascii="Garamond" w:hAnsi="Garamond"/>
          <w:sz w:val="22"/>
          <w:szCs w:val="22"/>
        </w:rPr>
        <w:t>in</w:t>
      </w:r>
      <w:r w:rsidR="00553961" w:rsidRPr="00553961">
        <w:rPr>
          <w:rFonts w:ascii="Garamond" w:hAnsi="Garamond"/>
          <w:sz w:val="22"/>
          <w:szCs w:val="22"/>
        </w:rPr>
        <w:t xml:space="preserve"> April. In particular, the growth in the trade </w:t>
      </w:r>
      <w:r w:rsidR="00553961">
        <w:rPr>
          <w:rFonts w:ascii="Garamond" w:hAnsi="Garamond"/>
          <w:sz w:val="22"/>
          <w:szCs w:val="22"/>
        </w:rPr>
        <w:t xml:space="preserve">branch amounted to </w:t>
      </w:r>
      <w:r w:rsidR="00553961" w:rsidRPr="00553961">
        <w:rPr>
          <w:rFonts w:ascii="Garamond" w:hAnsi="Garamond"/>
          <w:sz w:val="22"/>
          <w:szCs w:val="22"/>
        </w:rPr>
        <w:t>9.0%, in services</w:t>
      </w:r>
      <w:r w:rsidR="00553961">
        <w:rPr>
          <w:rFonts w:ascii="Garamond" w:hAnsi="Garamond"/>
          <w:sz w:val="22"/>
          <w:szCs w:val="22"/>
        </w:rPr>
        <w:t>,</w:t>
      </w:r>
      <w:r w:rsidR="00553961" w:rsidRPr="00553961">
        <w:rPr>
          <w:rFonts w:ascii="Garamond" w:hAnsi="Garamond"/>
          <w:sz w:val="22"/>
          <w:szCs w:val="22"/>
        </w:rPr>
        <w:t xml:space="preserve"> 16.2%, in industry</w:t>
      </w:r>
      <w:r w:rsidR="00553961">
        <w:rPr>
          <w:rFonts w:ascii="Garamond" w:hAnsi="Garamond"/>
          <w:sz w:val="22"/>
          <w:szCs w:val="22"/>
        </w:rPr>
        <w:t xml:space="preserve">, </w:t>
      </w:r>
      <w:r w:rsidR="00553961" w:rsidRPr="00553961">
        <w:rPr>
          <w:rFonts w:ascii="Garamond" w:hAnsi="Garamond"/>
          <w:sz w:val="22"/>
          <w:szCs w:val="22"/>
        </w:rPr>
        <w:t>13.2%.</w:t>
      </w:r>
    </w:p>
    <w:p w14:paraId="239011FE" w14:textId="77777777" w:rsidR="00242EA6" w:rsidRPr="00EE5F0F" w:rsidRDefault="00194D78" w:rsidP="00242EA6">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In the </w:t>
      </w:r>
      <w:r w:rsidR="00D16EEC">
        <w:rPr>
          <w:rFonts w:ascii="Garamond" w:hAnsi="Garamond"/>
          <w:sz w:val="22"/>
          <w:szCs w:val="22"/>
        </w:rPr>
        <w:t>first</w:t>
      </w:r>
      <w:r>
        <w:rPr>
          <w:rFonts w:ascii="Garamond" w:hAnsi="Garamond"/>
          <w:sz w:val="22"/>
          <w:szCs w:val="22"/>
        </w:rPr>
        <w:t xml:space="preserve"> quarter of 201</w:t>
      </w:r>
      <w:r w:rsidR="00D16EEC">
        <w:rPr>
          <w:rFonts w:ascii="Garamond" w:hAnsi="Garamond"/>
          <w:sz w:val="22"/>
          <w:szCs w:val="22"/>
        </w:rPr>
        <w:t>9</w:t>
      </w:r>
      <w:r>
        <w:rPr>
          <w:rFonts w:ascii="Garamond" w:hAnsi="Garamond"/>
          <w:sz w:val="22"/>
          <w:szCs w:val="22"/>
        </w:rPr>
        <w:t>, relative to the same reference period last year, t</w:t>
      </w:r>
      <w:r w:rsidR="00242EA6" w:rsidRPr="00EE5F0F">
        <w:rPr>
          <w:rFonts w:ascii="Garamond" w:hAnsi="Garamond"/>
          <w:sz w:val="22"/>
          <w:szCs w:val="22"/>
        </w:rPr>
        <w:t xml:space="preserve">he productivity, calculated as real </w:t>
      </w:r>
      <w:r w:rsidR="002F6593">
        <w:rPr>
          <w:rFonts w:ascii="Garamond" w:hAnsi="Garamond"/>
          <w:sz w:val="22"/>
          <w:szCs w:val="22"/>
        </w:rPr>
        <w:t xml:space="preserve">value added </w:t>
      </w:r>
      <w:r w:rsidR="00242EA6" w:rsidRPr="00EE5F0F">
        <w:rPr>
          <w:rFonts w:ascii="Garamond" w:hAnsi="Garamond"/>
          <w:sz w:val="22"/>
          <w:szCs w:val="22"/>
        </w:rPr>
        <w:t>per hour</w:t>
      </w:r>
      <w:r w:rsidR="002C0A14">
        <w:rPr>
          <w:rFonts w:ascii="Garamond" w:hAnsi="Garamond"/>
          <w:sz w:val="22"/>
          <w:szCs w:val="22"/>
        </w:rPr>
        <w:t xml:space="preserve"> worked</w:t>
      </w:r>
      <w:r w:rsidR="00242EA6" w:rsidRPr="00EE5F0F">
        <w:rPr>
          <w:rFonts w:ascii="Garamond" w:hAnsi="Garamond"/>
          <w:sz w:val="22"/>
          <w:szCs w:val="22"/>
        </w:rPr>
        <w:t xml:space="preserve">, </w:t>
      </w:r>
      <w:r w:rsidR="002F6593">
        <w:rPr>
          <w:rFonts w:ascii="Garamond" w:hAnsi="Garamond"/>
          <w:sz w:val="22"/>
          <w:szCs w:val="22"/>
        </w:rPr>
        <w:t xml:space="preserve">has </w:t>
      </w:r>
      <w:r w:rsidR="006C4749">
        <w:rPr>
          <w:rFonts w:ascii="Garamond" w:hAnsi="Garamond"/>
          <w:sz w:val="22"/>
          <w:szCs w:val="22"/>
        </w:rPr>
        <w:t>increased by 2</w:t>
      </w:r>
      <w:r>
        <w:rPr>
          <w:rFonts w:ascii="Garamond" w:hAnsi="Garamond"/>
          <w:sz w:val="22"/>
          <w:szCs w:val="22"/>
        </w:rPr>
        <w:t>.</w:t>
      </w:r>
      <w:r w:rsidR="006C4749">
        <w:rPr>
          <w:rFonts w:ascii="Garamond" w:hAnsi="Garamond"/>
          <w:sz w:val="22"/>
          <w:szCs w:val="22"/>
        </w:rPr>
        <w:t>2</w:t>
      </w:r>
      <w:r>
        <w:rPr>
          <w:rFonts w:ascii="Garamond" w:hAnsi="Garamond"/>
          <w:sz w:val="22"/>
          <w:szCs w:val="22"/>
        </w:rPr>
        <w:t>%, according to th</w:t>
      </w:r>
      <w:r w:rsidR="002F6593" w:rsidRPr="00EE5F0F">
        <w:rPr>
          <w:rFonts w:ascii="Garamond" w:hAnsi="Garamond"/>
          <w:sz w:val="22"/>
          <w:szCs w:val="22"/>
        </w:rPr>
        <w:t>e Central Bank estimat</w:t>
      </w:r>
      <w:r w:rsidR="00F37BF2">
        <w:rPr>
          <w:rFonts w:ascii="Garamond" w:hAnsi="Garamond"/>
          <w:sz w:val="22"/>
          <w:szCs w:val="22"/>
        </w:rPr>
        <w:t>ions</w:t>
      </w:r>
      <w:r>
        <w:rPr>
          <w:rFonts w:ascii="Garamond" w:hAnsi="Garamond"/>
          <w:sz w:val="22"/>
          <w:szCs w:val="22"/>
        </w:rPr>
        <w:t xml:space="preserve">. </w:t>
      </w:r>
    </w:p>
    <w:p w14:paraId="690F0CFF" w14:textId="77777777" w:rsidR="006C4749" w:rsidRDefault="006C4749" w:rsidP="00242EA6">
      <w:pPr>
        <w:autoSpaceDE w:val="0"/>
        <w:autoSpaceDN w:val="0"/>
        <w:adjustRightInd w:val="0"/>
        <w:spacing w:after="120" w:line="360" w:lineRule="auto"/>
        <w:jc w:val="both"/>
        <w:rPr>
          <w:rFonts w:ascii="Garamond" w:hAnsi="Garamond"/>
          <w:b/>
          <w:color w:val="0070C0"/>
          <w:sz w:val="22"/>
          <w:szCs w:val="22"/>
        </w:rPr>
      </w:pPr>
    </w:p>
    <w:p w14:paraId="017276AC" w14:textId="77777777" w:rsidR="00242EA6" w:rsidRPr="00EE5F0F" w:rsidRDefault="00242EA6" w:rsidP="00242EA6">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3.2.4. Labor market</w:t>
      </w:r>
      <w:r w:rsidR="006C4749">
        <w:rPr>
          <w:rStyle w:val="FootnoteReference"/>
          <w:rFonts w:ascii="Garamond" w:hAnsi="Garamond"/>
          <w:b/>
          <w:color w:val="0070C0"/>
          <w:sz w:val="22"/>
          <w:szCs w:val="22"/>
        </w:rPr>
        <w:footnoteReference w:customMarkFollows="1" w:id="19"/>
        <w:t>24</w:t>
      </w:r>
    </w:p>
    <w:p w14:paraId="1F3F4468" w14:textId="77777777" w:rsidR="00242EA6" w:rsidRPr="00EE5F0F" w:rsidRDefault="00B805F6" w:rsidP="00242EA6">
      <w:pPr>
        <w:autoSpaceDE w:val="0"/>
        <w:autoSpaceDN w:val="0"/>
        <w:adjustRightInd w:val="0"/>
        <w:spacing w:after="120" w:line="360" w:lineRule="auto"/>
        <w:jc w:val="both"/>
        <w:rPr>
          <w:rFonts w:ascii="Garamond" w:hAnsi="Garamond"/>
          <w:sz w:val="22"/>
          <w:szCs w:val="22"/>
        </w:rPr>
      </w:pPr>
      <w:r>
        <w:rPr>
          <w:rFonts w:ascii="Garamond" w:hAnsi="Garamond"/>
          <w:sz w:val="22"/>
          <w:szCs w:val="22"/>
        </w:rPr>
        <w:t>Economic growth in t</w:t>
      </w:r>
      <w:r w:rsidR="003E2223">
        <w:rPr>
          <w:rFonts w:ascii="Garamond" w:hAnsi="Garamond"/>
          <w:sz w:val="22"/>
          <w:szCs w:val="22"/>
        </w:rPr>
        <w:t xml:space="preserve">he </w:t>
      </w:r>
      <w:r w:rsidR="006C4749">
        <w:rPr>
          <w:rFonts w:ascii="Garamond" w:hAnsi="Garamond"/>
          <w:sz w:val="22"/>
          <w:szCs w:val="22"/>
        </w:rPr>
        <w:t>first</w:t>
      </w:r>
      <w:r w:rsidR="003E2223">
        <w:rPr>
          <w:rFonts w:ascii="Garamond" w:hAnsi="Garamond"/>
          <w:sz w:val="22"/>
          <w:szCs w:val="22"/>
        </w:rPr>
        <w:t xml:space="preserve"> quarter</w:t>
      </w:r>
      <w:r>
        <w:rPr>
          <w:rFonts w:ascii="Garamond" w:hAnsi="Garamond"/>
          <w:sz w:val="22"/>
          <w:szCs w:val="22"/>
        </w:rPr>
        <w:t xml:space="preserve"> </w:t>
      </w:r>
      <w:r w:rsidR="006C4749">
        <w:rPr>
          <w:rFonts w:ascii="Garamond" w:hAnsi="Garamond"/>
          <w:sz w:val="22"/>
          <w:szCs w:val="22"/>
        </w:rPr>
        <w:t xml:space="preserve">of 2019 </w:t>
      </w:r>
      <w:r>
        <w:rPr>
          <w:rFonts w:ascii="Garamond" w:hAnsi="Garamond"/>
          <w:sz w:val="22"/>
          <w:szCs w:val="22"/>
        </w:rPr>
        <w:t xml:space="preserve">came along with a </w:t>
      </w:r>
      <w:r w:rsidR="006C4749">
        <w:rPr>
          <w:rFonts w:ascii="Garamond" w:hAnsi="Garamond"/>
          <w:sz w:val="22"/>
          <w:szCs w:val="22"/>
        </w:rPr>
        <w:t xml:space="preserve">5.5% increase in </w:t>
      </w:r>
      <w:r>
        <w:rPr>
          <w:rFonts w:ascii="Garamond" w:hAnsi="Garamond"/>
          <w:sz w:val="22"/>
          <w:szCs w:val="22"/>
        </w:rPr>
        <w:t>labor productivity</w:t>
      </w:r>
      <w:r w:rsidR="006C4749">
        <w:rPr>
          <w:rStyle w:val="FootnoteReference"/>
          <w:rFonts w:ascii="Garamond" w:hAnsi="Garamond"/>
          <w:sz w:val="22"/>
          <w:szCs w:val="22"/>
        </w:rPr>
        <w:footnoteReference w:customMarkFollows="1" w:id="20"/>
        <w:t>25</w:t>
      </w:r>
      <w:r w:rsidR="006C4749">
        <w:rPr>
          <w:rFonts w:ascii="Garamond" w:hAnsi="Garamond"/>
          <w:sz w:val="22"/>
          <w:szCs w:val="22"/>
        </w:rPr>
        <w:t>.</w:t>
      </w:r>
      <w:r w:rsidR="00BF06EF">
        <w:rPr>
          <w:rFonts w:ascii="Garamond" w:hAnsi="Garamond"/>
          <w:sz w:val="22"/>
          <w:szCs w:val="22"/>
        </w:rPr>
        <w:t xml:space="preserve"> </w:t>
      </w:r>
      <w:r w:rsidR="006C4749">
        <w:rPr>
          <w:rFonts w:ascii="Garamond" w:hAnsi="Garamond"/>
          <w:sz w:val="22"/>
          <w:szCs w:val="22"/>
        </w:rPr>
        <w:t xml:space="preserve">This </w:t>
      </w:r>
      <w:r w:rsidR="006C4749" w:rsidRPr="006C4749">
        <w:rPr>
          <w:rFonts w:ascii="Garamond" w:hAnsi="Garamond"/>
          <w:sz w:val="22"/>
          <w:szCs w:val="22"/>
        </w:rPr>
        <w:t>positive</w:t>
      </w:r>
      <w:r w:rsidR="006C4749">
        <w:rPr>
          <w:rFonts w:ascii="Garamond" w:hAnsi="Garamond"/>
          <w:sz w:val="22"/>
          <w:szCs w:val="22"/>
        </w:rPr>
        <w:t>ly affected t</w:t>
      </w:r>
      <w:r w:rsidR="006C4749" w:rsidRPr="006C4749">
        <w:rPr>
          <w:rFonts w:ascii="Garamond" w:hAnsi="Garamond"/>
          <w:sz w:val="22"/>
          <w:szCs w:val="22"/>
        </w:rPr>
        <w:t>he private sector nominal wage</w:t>
      </w:r>
      <w:r w:rsidR="006C4749">
        <w:rPr>
          <w:rFonts w:ascii="Garamond" w:hAnsi="Garamond"/>
          <w:sz w:val="22"/>
          <w:szCs w:val="22"/>
        </w:rPr>
        <w:t xml:space="preserve"> </w:t>
      </w:r>
      <w:r w:rsidR="006C4749" w:rsidRPr="006C4749">
        <w:rPr>
          <w:rFonts w:ascii="Garamond" w:hAnsi="Garamond"/>
          <w:sz w:val="22"/>
          <w:szCs w:val="22"/>
        </w:rPr>
        <w:t xml:space="preserve">growth rate, which is </w:t>
      </w:r>
      <w:r w:rsidR="006C4749">
        <w:rPr>
          <w:rFonts w:ascii="Garamond" w:hAnsi="Garamond"/>
          <w:sz w:val="22"/>
          <w:szCs w:val="22"/>
        </w:rPr>
        <w:t xml:space="preserve">an </w:t>
      </w:r>
      <w:r w:rsidR="006C4749" w:rsidRPr="006C4749">
        <w:rPr>
          <w:rFonts w:ascii="Garamond" w:hAnsi="Garamond"/>
          <w:sz w:val="22"/>
          <w:szCs w:val="22"/>
        </w:rPr>
        <w:t>estimated 5.8% for organizations with more than 1 employee. As a result, low inflation</w:t>
      </w:r>
      <w:r w:rsidR="00912BAE">
        <w:rPr>
          <w:rFonts w:ascii="Garamond" w:hAnsi="Garamond"/>
          <w:sz w:val="22"/>
          <w:szCs w:val="22"/>
        </w:rPr>
        <w:t xml:space="preserve"> has pushed real</w:t>
      </w:r>
      <w:r w:rsidR="006C4749" w:rsidRPr="006C4749">
        <w:rPr>
          <w:rFonts w:ascii="Garamond" w:hAnsi="Garamond"/>
          <w:sz w:val="22"/>
          <w:szCs w:val="22"/>
        </w:rPr>
        <w:t xml:space="preserve"> wage growth </w:t>
      </w:r>
      <w:r w:rsidR="00912BAE">
        <w:rPr>
          <w:rFonts w:ascii="Garamond" w:hAnsi="Garamond"/>
          <w:sz w:val="22"/>
          <w:szCs w:val="22"/>
        </w:rPr>
        <w:t xml:space="preserve">up in the private sector. </w:t>
      </w:r>
    </w:p>
    <w:p w14:paraId="59300BCB" w14:textId="77777777" w:rsidR="00242EA6" w:rsidRDefault="00BF06EF" w:rsidP="00242EA6">
      <w:pPr>
        <w:autoSpaceDE w:val="0"/>
        <w:autoSpaceDN w:val="0"/>
        <w:adjustRightInd w:val="0"/>
        <w:spacing w:after="120" w:line="360" w:lineRule="auto"/>
        <w:jc w:val="both"/>
        <w:rPr>
          <w:rFonts w:ascii="Garamond" w:hAnsi="Garamond"/>
          <w:sz w:val="22"/>
          <w:szCs w:val="22"/>
        </w:rPr>
      </w:pPr>
      <w:r>
        <w:rPr>
          <w:rFonts w:ascii="Garamond" w:hAnsi="Garamond"/>
          <w:sz w:val="22"/>
          <w:szCs w:val="22"/>
        </w:rPr>
        <w:t>With economic growth and productivity developments</w:t>
      </w:r>
      <w:r w:rsidR="004F787B">
        <w:rPr>
          <w:rFonts w:ascii="Garamond" w:hAnsi="Garamond"/>
          <w:sz w:val="22"/>
          <w:szCs w:val="22"/>
        </w:rPr>
        <w:t xml:space="preserve"> mentioned above</w:t>
      </w:r>
      <w:r>
        <w:rPr>
          <w:rFonts w:ascii="Garamond" w:hAnsi="Garamond"/>
          <w:sz w:val="22"/>
          <w:szCs w:val="22"/>
        </w:rPr>
        <w:t>, t</w:t>
      </w:r>
      <w:r w:rsidR="00242EA6" w:rsidRPr="00EE5F0F">
        <w:rPr>
          <w:rFonts w:ascii="Garamond" w:hAnsi="Garamond"/>
          <w:sz w:val="22"/>
          <w:szCs w:val="22"/>
        </w:rPr>
        <w:t xml:space="preserve">he unemployment rate </w:t>
      </w:r>
      <w:r w:rsidR="004F787B">
        <w:rPr>
          <w:rFonts w:ascii="Garamond" w:hAnsi="Garamond"/>
          <w:sz w:val="22"/>
          <w:szCs w:val="22"/>
        </w:rPr>
        <w:t>i</w:t>
      </w:r>
      <w:r w:rsidR="00242EA6" w:rsidRPr="00EE5F0F">
        <w:rPr>
          <w:rFonts w:ascii="Garamond" w:hAnsi="Garamond"/>
          <w:sz w:val="22"/>
          <w:szCs w:val="22"/>
        </w:rPr>
        <w:t>s an estimated 1</w:t>
      </w:r>
      <w:r w:rsidR="004F787B">
        <w:rPr>
          <w:rFonts w:ascii="Garamond" w:hAnsi="Garamond"/>
          <w:sz w:val="22"/>
          <w:szCs w:val="22"/>
        </w:rPr>
        <w:t>6</w:t>
      </w:r>
      <w:r w:rsidR="00912BAE">
        <w:rPr>
          <w:rFonts w:ascii="Garamond" w:hAnsi="Garamond"/>
          <w:sz w:val="22"/>
          <w:szCs w:val="22"/>
        </w:rPr>
        <w:t>.5</w:t>
      </w:r>
      <w:r w:rsidR="00242EA6" w:rsidRPr="00EE5F0F">
        <w:rPr>
          <w:rFonts w:ascii="Garamond" w:hAnsi="Garamond"/>
          <w:sz w:val="22"/>
          <w:szCs w:val="22"/>
        </w:rPr>
        <w:t xml:space="preserve">% </w:t>
      </w:r>
      <w:r w:rsidR="00912BAE">
        <w:rPr>
          <w:rFonts w:ascii="Garamond" w:hAnsi="Garamond"/>
          <w:sz w:val="22"/>
          <w:szCs w:val="22"/>
        </w:rPr>
        <w:t>for</w:t>
      </w:r>
      <w:r w:rsidR="00242EA6" w:rsidRPr="00EE5F0F">
        <w:rPr>
          <w:rFonts w:ascii="Garamond" w:hAnsi="Garamond"/>
          <w:sz w:val="22"/>
          <w:szCs w:val="22"/>
        </w:rPr>
        <w:t xml:space="preserve"> the </w:t>
      </w:r>
      <w:r w:rsidR="00912BAE">
        <w:rPr>
          <w:rFonts w:ascii="Garamond" w:hAnsi="Garamond"/>
          <w:sz w:val="22"/>
          <w:szCs w:val="22"/>
        </w:rPr>
        <w:t>first</w:t>
      </w:r>
      <w:r w:rsidR="00242EA6" w:rsidRPr="00EE5F0F">
        <w:rPr>
          <w:rFonts w:ascii="Garamond" w:hAnsi="Garamond"/>
          <w:sz w:val="22"/>
          <w:szCs w:val="22"/>
        </w:rPr>
        <w:t xml:space="preserve"> quarter of 201</w:t>
      </w:r>
      <w:r w:rsidR="00912BAE">
        <w:rPr>
          <w:rFonts w:ascii="Garamond" w:hAnsi="Garamond"/>
          <w:sz w:val="22"/>
          <w:szCs w:val="22"/>
        </w:rPr>
        <w:t>9 compared to that of 17.6% reported in the same quarter of the previous year</w:t>
      </w:r>
      <w:r w:rsidR="00CC70D3">
        <w:rPr>
          <w:rFonts w:ascii="Garamond" w:hAnsi="Garamond"/>
          <w:sz w:val="22"/>
          <w:szCs w:val="22"/>
        </w:rPr>
        <w:t>.</w:t>
      </w:r>
      <w:r w:rsidR="00242EA6" w:rsidRPr="00EE5F0F">
        <w:rPr>
          <w:rFonts w:ascii="Garamond" w:hAnsi="Garamond"/>
          <w:sz w:val="22"/>
          <w:szCs w:val="22"/>
        </w:rPr>
        <w:t xml:space="preserve"> </w:t>
      </w:r>
    </w:p>
    <w:p w14:paraId="23415110" w14:textId="77777777" w:rsidR="00912BAE" w:rsidRDefault="00912BAE" w:rsidP="00242EA6">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lastRenderedPageBreak/>
        <w:t xml:space="preserve">In the </w:t>
      </w:r>
      <w:r>
        <w:rPr>
          <w:rFonts w:ascii="Garamond" w:hAnsi="Garamond"/>
          <w:sz w:val="22"/>
          <w:szCs w:val="22"/>
        </w:rPr>
        <w:t>reporting period</w:t>
      </w:r>
      <w:r w:rsidRPr="00EE5F0F">
        <w:rPr>
          <w:rFonts w:ascii="Garamond" w:hAnsi="Garamond"/>
          <w:sz w:val="22"/>
          <w:szCs w:val="22"/>
        </w:rPr>
        <w:t xml:space="preserve">, unit labor costs of the firms </w:t>
      </w:r>
      <w:r>
        <w:rPr>
          <w:rFonts w:ascii="Garamond" w:hAnsi="Garamond"/>
          <w:sz w:val="22"/>
          <w:szCs w:val="22"/>
        </w:rPr>
        <w:t xml:space="preserve">remained unchanged, with </w:t>
      </w:r>
      <w:r w:rsidRPr="00EE5F0F">
        <w:rPr>
          <w:rFonts w:ascii="Garamond" w:hAnsi="Garamond"/>
          <w:sz w:val="22"/>
          <w:szCs w:val="22"/>
        </w:rPr>
        <w:t>the private sector wage growth</w:t>
      </w:r>
      <w:r>
        <w:rPr>
          <w:rFonts w:ascii="Garamond" w:hAnsi="Garamond"/>
          <w:sz w:val="22"/>
          <w:szCs w:val="22"/>
        </w:rPr>
        <w:t xml:space="preserve"> rate pacing in line with the </w:t>
      </w:r>
      <w:r w:rsidRPr="00EE5F0F">
        <w:rPr>
          <w:rFonts w:ascii="Garamond" w:hAnsi="Garamond"/>
          <w:sz w:val="22"/>
          <w:szCs w:val="22"/>
        </w:rPr>
        <w:t>outpu</w:t>
      </w:r>
      <w:r>
        <w:rPr>
          <w:rFonts w:ascii="Garamond" w:hAnsi="Garamond"/>
          <w:sz w:val="22"/>
          <w:szCs w:val="22"/>
        </w:rPr>
        <w:t xml:space="preserve">t growth rate per unit of labor. This means that </w:t>
      </w:r>
      <w:r w:rsidRPr="004F787B">
        <w:rPr>
          <w:rFonts w:ascii="Garamond" w:hAnsi="Garamond"/>
          <w:sz w:val="22"/>
          <w:szCs w:val="22"/>
        </w:rPr>
        <w:t>inflationary pressures from the labor market</w:t>
      </w:r>
      <w:r>
        <w:rPr>
          <w:rFonts w:ascii="Garamond" w:hAnsi="Garamond"/>
          <w:sz w:val="22"/>
          <w:szCs w:val="22"/>
        </w:rPr>
        <w:t xml:space="preserve"> are not likely</w:t>
      </w:r>
      <w:r w:rsidRPr="004F787B">
        <w:rPr>
          <w:rFonts w:ascii="Garamond" w:hAnsi="Garamond"/>
          <w:sz w:val="22"/>
          <w:szCs w:val="22"/>
        </w:rPr>
        <w:t>.</w:t>
      </w:r>
    </w:p>
    <w:p w14:paraId="1BCF9A99" w14:textId="77777777" w:rsidR="00242EA6" w:rsidRPr="00EE5F0F" w:rsidRDefault="00242EA6" w:rsidP="00242EA6">
      <w:pPr>
        <w:autoSpaceDE w:val="0"/>
        <w:autoSpaceDN w:val="0"/>
        <w:adjustRightInd w:val="0"/>
        <w:spacing w:after="120" w:line="360" w:lineRule="auto"/>
        <w:jc w:val="both"/>
        <w:rPr>
          <w:rFonts w:ascii="Garamond" w:hAnsi="Garamond"/>
          <w:b/>
          <w:color w:val="0070C0"/>
          <w:sz w:val="22"/>
          <w:szCs w:val="22"/>
        </w:rPr>
      </w:pPr>
    </w:p>
    <w:p w14:paraId="066A9383" w14:textId="77777777" w:rsidR="00242EA6" w:rsidRPr="00EE5F0F" w:rsidRDefault="00242EA6" w:rsidP="00242EA6">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3.3. Financial market developments</w:t>
      </w:r>
    </w:p>
    <w:p w14:paraId="41A9B758" w14:textId="77777777" w:rsidR="009D336B" w:rsidRDefault="00242EA6" w:rsidP="00334AFE">
      <w:pPr>
        <w:autoSpaceDE w:val="0"/>
        <w:autoSpaceDN w:val="0"/>
        <w:adjustRightInd w:val="0"/>
        <w:spacing w:after="120" w:line="360" w:lineRule="auto"/>
        <w:jc w:val="both"/>
        <w:rPr>
          <w:rFonts w:ascii="Garamond" w:hAnsi="Garamond"/>
          <w:b/>
          <w:sz w:val="22"/>
          <w:szCs w:val="22"/>
        </w:rPr>
      </w:pPr>
      <w:r w:rsidRPr="00EE5F0F">
        <w:rPr>
          <w:rFonts w:ascii="Garamond" w:hAnsi="Garamond"/>
          <w:b/>
          <w:sz w:val="22"/>
          <w:szCs w:val="22"/>
        </w:rPr>
        <w:t xml:space="preserve">In the </w:t>
      </w:r>
      <w:r w:rsidR="00912BAE">
        <w:rPr>
          <w:rFonts w:ascii="Garamond" w:hAnsi="Garamond"/>
          <w:b/>
          <w:sz w:val="22"/>
          <w:szCs w:val="22"/>
        </w:rPr>
        <w:t>first</w:t>
      </w:r>
      <w:r w:rsidRPr="00EE5F0F">
        <w:rPr>
          <w:rFonts w:ascii="Garamond" w:hAnsi="Garamond"/>
          <w:b/>
          <w:sz w:val="22"/>
          <w:szCs w:val="22"/>
        </w:rPr>
        <w:t xml:space="preserve"> quarter of 201</w:t>
      </w:r>
      <w:r w:rsidR="00912BAE">
        <w:rPr>
          <w:rFonts w:ascii="Garamond" w:hAnsi="Garamond"/>
          <w:b/>
          <w:sz w:val="22"/>
          <w:szCs w:val="22"/>
        </w:rPr>
        <w:t>9</w:t>
      </w:r>
      <w:r w:rsidRPr="00EE5F0F">
        <w:rPr>
          <w:rFonts w:ascii="Garamond" w:hAnsi="Garamond"/>
          <w:b/>
          <w:sz w:val="22"/>
          <w:szCs w:val="22"/>
        </w:rPr>
        <w:t xml:space="preserve"> the </w:t>
      </w:r>
      <w:r w:rsidR="00113D70">
        <w:rPr>
          <w:rFonts w:ascii="Garamond" w:hAnsi="Garamond"/>
          <w:b/>
          <w:sz w:val="22"/>
          <w:szCs w:val="22"/>
        </w:rPr>
        <w:t xml:space="preserve">Board of the </w:t>
      </w:r>
      <w:r w:rsidRPr="00EE5F0F">
        <w:rPr>
          <w:rFonts w:ascii="Garamond" w:hAnsi="Garamond"/>
          <w:b/>
          <w:sz w:val="22"/>
          <w:szCs w:val="22"/>
        </w:rPr>
        <w:t>Central Bank</w:t>
      </w:r>
      <w:r w:rsidR="00113D70">
        <w:rPr>
          <w:rFonts w:ascii="Garamond" w:hAnsi="Garamond"/>
          <w:b/>
          <w:sz w:val="22"/>
          <w:szCs w:val="22"/>
        </w:rPr>
        <w:t xml:space="preserve"> cut</w:t>
      </w:r>
      <w:r w:rsidRPr="00EE5F0F">
        <w:rPr>
          <w:rFonts w:ascii="Garamond" w:hAnsi="Garamond"/>
          <w:b/>
          <w:sz w:val="22"/>
          <w:szCs w:val="22"/>
        </w:rPr>
        <w:t xml:space="preserve"> the refinancing rate </w:t>
      </w:r>
      <w:r w:rsidR="00113D70">
        <w:rPr>
          <w:rFonts w:ascii="Garamond" w:hAnsi="Garamond"/>
          <w:b/>
          <w:sz w:val="22"/>
          <w:szCs w:val="22"/>
        </w:rPr>
        <w:t>by 0.25 pp to 5.75%</w:t>
      </w:r>
      <w:r w:rsidRPr="00EE5F0F">
        <w:rPr>
          <w:rFonts w:ascii="Garamond" w:hAnsi="Garamond"/>
          <w:b/>
          <w:sz w:val="22"/>
          <w:szCs w:val="22"/>
        </w:rPr>
        <w:t>.</w:t>
      </w:r>
      <w:r w:rsidR="00334AFE" w:rsidRPr="00EE5F0F">
        <w:rPr>
          <w:rFonts w:ascii="Garamond" w:hAnsi="Garamond"/>
          <w:b/>
          <w:sz w:val="22"/>
          <w:szCs w:val="22"/>
        </w:rPr>
        <w:t xml:space="preserve"> </w:t>
      </w:r>
    </w:p>
    <w:tbl>
      <w:tblPr>
        <w:tblStyle w:val="TableGrid"/>
        <w:tblW w:w="0" w:type="auto"/>
        <w:tblLook w:val="04A0" w:firstRow="1" w:lastRow="0" w:firstColumn="1" w:lastColumn="0" w:noHBand="0" w:noVBand="1"/>
      </w:tblPr>
      <w:tblGrid>
        <w:gridCol w:w="5598"/>
      </w:tblGrid>
      <w:tr w:rsidR="00912BAE" w14:paraId="364CB41C" w14:textId="77777777" w:rsidTr="00912BAE">
        <w:tc>
          <w:tcPr>
            <w:tcW w:w="5598" w:type="dxa"/>
          </w:tcPr>
          <w:p w14:paraId="26EB91FF" w14:textId="77777777" w:rsidR="00912BAE" w:rsidRPr="004F787B" w:rsidRDefault="00912BAE" w:rsidP="00113D70">
            <w:pPr>
              <w:autoSpaceDE w:val="0"/>
              <w:autoSpaceDN w:val="0"/>
              <w:adjustRightInd w:val="0"/>
              <w:spacing w:after="120" w:line="360" w:lineRule="auto"/>
              <w:jc w:val="both"/>
              <w:rPr>
                <w:rFonts w:ascii="Garamond" w:hAnsi="Garamond"/>
                <w:color w:val="002060"/>
                <w:sz w:val="20"/>
                <w:szCs w:val="20"/>
              </w:rPr>
            </w:pPr>
            <w:r>
              <w:rPr>
                <w:rFonts w:ascii="Garamond" w:hAnsi="Garamond"/>
                <w:color w:val="002060"/>
                <w:sz w:val="20"/>
                <w:szCs w:val="20"/>
              </w:rPr>
              <w:t>In</w:t>
            </w:r>
            <w:r w:rsidRPr="004F787B">
              <w:rPr>
                <w:rFonts w:ascii="Garamond" w:hAnsi="Garamond"/>
                <w:color w:val="002060"/>
                <w:sz w:val="20"/>
                <w:szCs w:val="20"/>
              </w:rPr>
              <w:t xml:space="preserve"> the f</w:t>
            </w:r>
            <w:r w:rsidR="00113D70">
              <w:rPr>
                <w:rFonts w:ascii="Garamond" w:hAnsi="Garamond"/>
                <w:color w:val="002060"/>
                <w:sz w:val="20"/>
                <w:szCs w:val="20"/>
              </w:rPr>
              <w:t xml:space="preserve">irst </w:t>
            </w:r>
            <w:r w:rsidRPr="004F787B">
              <w:rPr>
                <w:rFonts w:ascii="Garamond" w:hAnsi="Garamond"/>
                <w:color w:val="002060"/>
                <w:sz w:val="20"/>
                <w:szCs w:val="20"/>
              </w:rPr>
              <w:t>quarter</w:t>
            </w:r>
            <w:r>
              <w:rPr>
                <w:rFonts w:ascii="Garamond" w:hAnsi="Garamond"/>
                <w:color w:val="002060"/>
                <w:sz w:val="20"/>
                <w:szCs w:val="20"/>
              </w:rPr>
              <w:t xml:space="preserve"> of 201</w:t>
            </w:r>
            <w:r w:rsidR="00113D70">
              <w:rPr>
                <w:rFonts w:ascii="Garamond" w:hAnsi="Garamond"/>
                <w:color w:val="002060"/>
                <w:sz w:val="20"/>
                <w:szCs w:val="20"/>
              </w:rPr>
              <w:t>9</w:t>
            </w:r>
            <w:r w:rsidRPr="004F787B">
              <w:rPr>
                <w:rFonts w:ascii="Garamond" w:hAnsi="Garamond"/>
                <w:color w:val="002060"/>
                <w:sz w:val="20"/>
                <w:szCs w:val="20"/>
              </w:rPr>
              <w:t xml:space="preserve"> the </w:t>
            </w:r>
            <w:r>
              <w:rPr>
                <w:rFonts w:ascii="Garamond" w:hAnsi="Garamond"/>
                <w:color w:val="002060"/>
                <w:sz w:val="20"/>
                <w:szCs w:val="20"/>
              </w:rPr>
              <w:t xml:space="preserve">Central Bank </w:t>
            </w:r>
            <w:r w:rsidR="00113D70">
              <w:rPr>
                <w:rFonts w:ascii="Garamond" w:hAnsi="Garamond"/>
                <w:color w:val="002060"/>
                <w:sz w:val="20"/>
                <w:szCs w:val="20"/>
              </w:rPr>
              <w:t>Board cut</w:t>
            </w:r>
            <w:r w:rsidRPr="004F787B">
              <w:rPr>
                <w:rFonts w:ascii="Garamond" w:hAnsi="Garamond"/>
                <w:color w:val="002060"/>
                <w:sz w:val="20"/>
                <w:szCs w:val="20"/>
              </w:rPr>
              <w:t xml:space="preserve"> the refinancing rate </w:t>
            </w:r>
            <w:r w:rsidR="00113D70">
              <w:rPr>
                <w:rFonts w:ascii="Garamond" w:hAnsi="Garamond"/>
                <w:color w:val="002060"/>
                <w:sz w:val="20"/>
                <w:szCs w:val="20"/>
              </w:rPr>
              <w:t>by 0.25 pp to 5.75%</w:t>
            </w:r>
            <w:r w:rsidRPr="004F787B">
              <w:rPr>
                <w:rFonts w:ascii="Garamond" w:hAnsi="Garamond"/>
                <w:color w:val="002060"/>
                <w:sz w:val="20"/>
                <w:szCs w:val="20"/>
              </w:rPr>
              <w:t>.</w:t>
            </w:r>
          </w:p>
        </w:tc>
      </w:tr>
    </w:tbl>
    <w:p w14:paraId="37A67329" w14:textId="77777777" w:rsidR="00912BAE" w:rsidRPr="00EE5F0F" w:rsidRDefault="00912BAE" w:rsidP="00912BAE">
      <w:pPr>
        <w:autoSpaceDE w:val="0"/>
        <w:autoSpaceDN w:val="0"/>
        <w:adjustRightInd w:val="0"/>
        <w:spacing w:after="120" w:line="360" w:lineRule="auto"/>
        <w:jc w:val="both"/>
        <w:rPr>
          <w:rFonts w:ascii="Garamond" w:hAnsi="Garamond"/>
          <w:sz w:val="22"/>
          <w:szCs w:val="22"/>
        </w:rPr>
      </w:pPr>
    </w:p>
    <w:p w14:paraId="079CAF55" w14:textId="77777777" w:rsidR="00C00DF3" w:rsidRDefault="00BE3246" w:rsidP="00242EA6">
      <w:pPr>
        <w:autoSpaceDE w:val="0"/>
        <w:autoSpaceDN w:val="0"/>
        <w:adjustRightInd w:val="0"/>
        <w:spacing w:after="120" w:line="360" w:lineRule="auto"/>
        <w:jc w:val="both"/>
        <w:rPr>
          <w:rFonts w:ascii="Garamond" w:hAnsi="Garamond"/>
          <w:sz w:val="22"/>
          <w:szCs w:val="22"/>
        </w:rPr>
      </w:pPr>
      <w:r>
        <w:rPr>
          <w:rFonts w:ascii="Garamond" w:hAnsi="Garamond"/>
          <w:sz w:val="22"/>
          <w:szCs w:val="22"/>
        </w:rPr>
        <w:t>T</w:t>
      </w:r>
      <w:r w:rsidRPr="00BE3246">
        <w:rPr>
          <w:rFonts w:ascii="Garamond" w:hAnsi="Garamond"/>
          <w:sz w:val="22"/>
          <w:szCs w:val="22"/>
        </w:rPr>
        <w:t xml:space="preserve">here was a need to slightly increase the amount of monetary stimulus in January, taking into account </w:t>
      </w:r>
      <w:r w:rsidR="00C00DF3">
        <w:rPr>
          <w:rFonts w:ascii="Garamond" w:hAnsi="Garamond"/>
          <w:sz w:val="22"/>
          <w:szCs w:val="22"/>
        </w:rPr>
        <w:t xml:space="preserve">how </w:t>
      </w:r>
      <w:r>
        <w:rPr>
          <w:rFonts w:ascii="Garamond" w:hAnsi="Garamond"/>
          <w:sz w:val="22"/>
          <w:szCs w:val="22"/>
        </w:rPr>
        <w:t xml:space="preserve">continued </w:t>
      </w:r>
      <w:r w:rsidRPr="00BE3246">
        <w:rPr>
          <w:rFonts w:ascii="Garamond" w:hAnsi="Garamond"/>
          <w:sz w:val="22"/>
          <w:szCs w:val="22"/>
        </w:rPr>
        <w:t>slow</w:t>
      </w:r>
      <w:r>
        <w:rPr>
          <w:rFonts w:ascii="Garamond" w:hAnsi="Garamond"/>
          <w:sz w:val="22"/>
          <w:szCs w:val="22"/>
        </w:rPr>
        <w:t xml:space="preserve">ing </w:t>
      </w:r>
      <w:r w:rsidRPr="00BE3246">
        <w:rPr>
          <w:rFonts w:ascii="Garamond" w:hAnsi="Garamond"/>
          <w:sz w:val="22"/>
          <w:szCs w:val="22"/>
        </w:rPr>
        <w:t xml:space="preserve">in global economic growth </w:t>
      </w:r>
      <w:r w:rsidR="00C00DF3">
        <w:rPr>
          <w:rFonts w:ascii="Garamond" w:hAnsi="Garamond"/>
          <w:sz w:val="22"/>
          <w:szCs w:val="22"/>
        </w:rPr>
        <w:t xml:space="preserve">rates </w:t>
      </w:r>
      <w:r w:rsidRPr="00BE3246">
        <w:rPr>
          <w:rFonts w:ascii="Garamond" w:hAnsi="Garamond"/>
          <w:sz w:val="22"/>
          <w:szCs w:val="22"/>
        </w:rPr>
        <w:t xml:space="preserve">and </w:t>
      </w:r>
      <w:r w:rsidR="00C00DF3">
        <w:rPr>
          <w:rFonts w:ascii="Garamond" w:hAnsi="Garamond"/>
          <w:sz w:val="22"/>
          <w:szCs w:val="22"/>
        </w:rPr>
        <w:t>anticipated</w:t>
      </w:r>
      <w:r w:rsidRPr="00BE3246">
        <w:rPr>
          <w:rFonts w:ascii="Garamond" w:hAnsi="Garamond"/>
          <w:sz w:val="22"/>
          <w:szCs w:val="22"/>
        </w:rPr>
        <w:t xml:space="preserve"> </w:t>
      </w:r>
      <w:r w:rsidR="00C00DF3">
        <w:rPr>
          <w:rFonts w:ascii="Garamond" w:hAnsi="Garamond"/>
          <w:sz w:val="22"/>
          <w:szCs w:val="22"/>
        </w:rPr>
        <w:t>weakening of the</w:t>
      </w:r>
      <w:r w:rsidRPr="00BE3246">
        <w:rPr>
          <w:rFonts w:ascii="Garamond" w:hAnsi="Garamond"/>
          <w:sz w:val="22"/>
          <w:szCs w:val="22"/>
        </w:rPr>
        <w:t xml:space="preserve"> inflation</w:t>
      </w:r>
      <w:r w:rsidR="00C00DF3">
        <w:rPr>
          <w:rFonts w:ascii="Garamond" w:hAnsi="Garamond"/>
          <w:sz w:val="22"/>
          <w:szCs w:val="22"/>
        </w:rPr>
        <w:t xml:space="preserve"> environment </w:t>
      </w:r>
      <w:r w:rsidRPr="00BE3246">
        <w:rPr>
          <w:rFonts w:ascii="Garamond" w:hAnsi="Garamond"/>
          <w:sz w:val="22"/>
          <w:szCs w:val="22"/>
        </w:rPr>
        <w:t xml:space="preserve">in </w:t>
      </w:r>
      <w:r w:rsidR="00C00DF3">
        <w:rPr>
          <w:rFonts w:ascii="Garamond" w:hAnsi="Garamond"/>
          <w:sz w:val="22"/>
          <w:szCs w:val="22"/>
        </w:rPr>
        <w:t xml:space="preserve">world’s </w:t>
      </w:r>
      <w:r w:rsidRPr="00BE3246">
        <w:rPr>
          <w:rFonts w:ascii="Garamond" w:hAnsi="Garamond"/>
          <w:sz w:val="22"/>
          <w:szCs w:val="22"/>
        </w:rPr>
        <w:t>commodit</w:t>
      </w:r>
      <w:r w:rsidR="00C00DF3">
        <w:rPr>
          <w:rFonts w:ascii="Garamond" w:hAnsi="Garamond"/>
          <w:sz w:val="22"/>
          <w:szCs w:val="22"/>
        </w:rPr>
        <w:t xml:space="preserve">y markets would possibly influence </w:t>
      </w:r>
      <w:r w:rsidRPr="00BE3246">
        <w:rPr>
          <w:rFonts w:ascii="Garamond" w:hAnsi="Garamond"/>
          <w:sz w:val="22"/>
          <w:szCs w:val="22"/>
        </w:rPr>
        <w:t>aggregate demand and domestic prices.</w:t>
      </w:r>
      <w:r w:rsidR="00C00DF3">
        <w:rPr>
          <w:rFonts w:ascii="Garamond" w:hAnsi="Garamond"/>
          <w:sz w:val="22"/>
          <w:szCs w:val="22"/>
        </w:rPr>
        <w:t xml:space="preserve"> </w:t>
      </w:r>
      <w:r w:rsidR="00C00DF3" w:rsidRPr="00C00DF3">
        <w:rPr>
          <w:rFonts w:ascii="Garamond" w:hAnsi="Garamond"/>
          <w:sz w:val="22"/>
          <w:szCs w:val="22"/>
        </w:rPr>
        <w:t>Later, the C</w:t>
      </w:r>
      <w:r w:rsidR="00C00DF3">
        <w:rPr>
          <w:rFonts w:ascii="Garamond" w:hAnsi="Garamond"/>
          <w:sz w:val="22"/>
          <w:szCs w:val="22"/>
        </w:rPr>
        <w:t xml:space="preserve">entral </w:t>
      </w:r>
      <w:r w:rsidR="00C00DF3" w:rsidRPr="00C00DF3">
        <w:rPr>
          <w:rFonts w:ascii="Garamond" w:hAnsi="Garamond"/>
          <w:sz w:val="22"/>
          <w:szCs w:val="22"/>
        </w:rPr>
        <w:t>B</w:t>
      </w:r>
      <w:r w:rsidR="00C00DF3">
        <w:rPr>
          <w:rFonts w:ascii="Garamond" w:hAnsi="Garamond"/>
          <w:sz w:val="22"/>
          <w:szCs w:val="22"/>
        </w:rPr>
        <w:t>ank l</w:t>
      </w:r>
      <w:r w:rsidR="00C00DF3" w:rsidRPr="00C00DF3">
        <w:rPr>
          <w:rFonts w:ascii="Garamond" w:hAnsi="Garamond"/>
          <w:sz w:val="22"/>
          <w:szCs w:val="22"/>
        </w:rPr>
        <w:t>eft the policy rate unchanged, assessing</w:t>
      </w:r>
      <w:r w:rsidR="00C00DF3">
        <w:rPr>
          <w:rFonts w:ascii="Garamond" w:hAnsi="Garamond"/>
          <w:sz w:val="22"/>
          <w:szCs w:val="22"/>
        </w:rPr>
        <w:t xml:space="preserve"> </w:t>
      </w:r>
      <w:r w:rsidR="00C00DF3" w:rsidRPr="00C00DF3">
        <w:rPr>
          <w:rFonts w:ascii="Garamond" w:hAnsi="Garamond"/>
          <w:sz w:val="22"/>
          <w:szCs w:val="22"/>
        </w:rPr>
        <w:t xml:space="preserve">it </w:t>
      </w:r>
      <w:r w:rsidR="00C00DF3">
        <w:rPr>
          <w:rFonts w:ascii="Garamond" w:hAnsi="Garamond"/>
          <w:sz w:val="22"/>
          <w:szCs w:val="22"/>
        </w:rPr>
        <w:t xml:space="preserve">was expansionary enough. In the meanwhile, </w:t>
      </w:r>
      <w:r w:rsidR="00C00DF3" w:rsidRPr="00303988">
        <w:rPr>
          <w:rFonts w:ascii="Garamond" w:hAnsi="Garamond"/>
          <w:sz w:val="22"/>
          <w:szCs w:val="22"/>
        </w:rPr>
        <w:t>the C</w:t>
      </w:r>
      <w:r w:rsidR="00C00DF3">
        <w:rPr>
          <w:rFonts w:ascii="Garamond" w:hAnsi="Garamond"/>
          <w:sz w:val="22"/>
          <w:szCs w:val="22"/>
        </w:rPr>
        <w:t xml:space="preserve">entral </w:t>
      </w:r>
      <w:r w:rsidR="00C00DF3" w:rsidRPr="00303988">
        <w:rPr>
          <w:rFonts w:ascii="Garamond" w:hAnsi="Garamond"/>
          <w:sz w:val="22"/>
          <w:szCs w:val="22"/>
        </w:rPr>
        <w:t>B</w:t>
      </w:r>
      <w:r w:rsidR="00C00DF3">
        <w:rPr>
          <w:rFonts w:ascii="Garamond" w:hAnsi="Garamond"/>
          <w:sz w:val="22"/>
          <w:szCs w:val="22"/>
        </w:rPr>
        <w:t>ank</w:t>
      </w:r>
      <w:r w:rsidR="00C00DF3" w:rsidRPr="00303988">
        <w:rPr>
          <w:rFonts w:ascii="Garamond" w:hAnsi="Garamond"/>
          <w:sz w:val="22"/>
          <w:szCs w:val="22"/>
        </w:rPr>
        <w:t xml:space="preserve"> has </w:t>
      </w:r>
      <w:r w:rsidR="00C00DF3">
        <w:rPr>
          <w:rFonts w:ascii="Garamond" w:hAnsi="Garamond"/>
          <w:sz w:val="22"/>
          <w:szCs w:val="22"/>
        </w:rPr>
        <w:t xml:space="preserve">signaled </w:t>
      </w:r>
      <w:r w:rsidR="00C00DF3" w:rsidRPr="00303988">
        <w:rPr>
          <w:rFonts w:ascii="Garamond" w:hAnsi="Garamond"/>
          <w:sz w:val="22"/>
          <w:szCs w:val="22"/>
        </w:rPr>
        <w:t xml:space="preserve">the financial market </w:t>
      </w:r>
      <w:r w:rsidR="00C00DF3">
        <w:rPr>
          <w:rFonts w:ascii="Garamond" w:hAnsi="Garamond"/>
          <w:sz w:val="22"/>
          <w:szCs w:val="22"/>
        </w:rPr>
        <w:t>that the monetary conditions will remain expansionary for as long a period as required</w:t>
      </w:r>
      <w:r w:rsidR="00C00DF3" w:rsidRPr="00303988">
        <w:rPr>
          <w:rFonts w:ascii="Garamond" w:hAnsi="Garamond"/>
          <w:sz w:val="22"/>
          <w:szCs w:val="22"/>
        </w:rPr>
        <w:t>.</w:t>
      </w:r>
    </w:p>
    <w:p w14:paraId="20FF15A4" w14:textId="77777777" w:rsidR="00C00DF3" w:rsidRDefault="00C00DF3" w:rsidP="00242EA6">
      <w:pPr>
        <w:autoSpaceDE w:val="0"/>
        <w:autoSpaceDN w:val="0"/>
        <w:adjustRightInd w:val="0"/>
        <w:spacing w:after="120" w:line="360" w:lineRule="auto"/>
        <w:jc w:val="both"/>
        <w:rPr>
          <w:rFonts w:ascii="Garamond" w:hAnsi="Garamond"/>
          <w:sz w:val="22"/>
          <w:szCs w:val="22"/>
        </w:rPr>
      </w:pPr>
    </w:p>
    <w:p w14:paraId="74EDEC2C" w14:textId="77777777" w:rsidR="00194EA3" w:rsidRPr="00EE5F0F" w:rsidRDefault="00194EA3" w:rsidP="00242EA6">
      <w:pPr>
        <w:autoSpaceDE w:val="0"/>
        <w:autoSpaceDN w:val="0"/>
        <w:adjustRightInd w:val="0"/>
        <w:spacing w:after="120" w:line="360" w:lineRule="auto"/>
        <w:jc w:val="both"/>
        <w:rPr>
          <w:rFonts w:ascii="Garamond" w:hAnsi="Garamond"/>
          <w:sz w:val="22"/>
          <w:szCs w:val="22"/>
        </w:rPr>
      </w:pPr>
      <w:r>
        <w:rPr>
          <w:rFonts w:ascii="Garamond" w:hAnsi="Garamond"/>
          <w:b/>
          <w:color w:val="C00000"/>
          <w:sz w:val="22"/>
          <w:szCs w:val="22"/>
        </w:rPr>
        <w:t>Table 5:</w:t>
      </w:r>
    </w:p>
    <w:p w14:paraId="668A4BA5" w14:textId="77777777" w:rsidR="001C08CC" w:rsidRDefault="00747F05" w:rsidP="00062BF6">
      <w:pPr>
        <w:autoSpaceDE w:val="0"/>
        <w:autoSpaceDN w:val="0"/>
        <w:adjustRightInd w:val="0"/>
        <w:spacing w:after="120" w:line="360" w:lineRule="auto"/>
        <w:jc w:val="both"/>
        <w:rPr>
          <w:rFonts w:ascii="Garamond" w:hAnsi="Garamond"/>
          <w:sz w:val="22"/>
          <w:szCs w:val="22"/>
        </w:rPr>
      </w:pPr>
      <w:r>
        <w:rPr>
          <w:rFonts w:ascii="Garamond" w:hAnsi="Garamond"/>
          <w:sz w:val="22"/>
          <w:szCs w:val="22"/>
        </w:rPr>
        <w:t>Following a downward path along with refinancing rate cuts, s</w:t>
      </w:r>
      <w:r w:rsidRPr="00747F05">
        <w:rPr>
          <w:rFonts w:ascii="Garamond" w:hAnsi="Garamond"/>
          <w:sz w:val="22"/>
          <w:szCs w:val="22"/>
        </w:rPr>
        <w:t xml:space="preserve">hort-term </w:t>
      </w:r>
      <w:r>
        <w:rPr>
          <w:rFonts w:ascii="Garamond" w:hAnsi="Garamond"/>
          <w:sz w:val="22"/>
          <w:szCs w:val="22"/>
        </w:rPr>
        <w:t xml:space="preserve">money market rates </w:t>
      </w:r>
      <w:r w:rsidR="002966E3">
        <w:rPr>
          <w:rFonts w:ascii="Garamond" w:hAnsi="Garamond"/>
          <w:sz w:val="22"/>
          <w:szCs w:val="22"/>
        </w:rPr>
        <w:t xml:space="preserve">persisted </w:t>
      </w:r>
      <w:r>
        <w:rPr>
          <w:rFonts w:ascii="Garamond" w:hAnsi="Garamond"/>
          <w:sz w:val="22"/>
          <w:szCs w:val="22"/>
        </w:rPr>
        <w:t>around the policy rate of the Central Bank over the first quarter of 2019. T</w:t>
      </w:r>
      <w:r w:rsidRPr="00EE5F0F">
        <w:rPr>
          <w:rFonts w:ascii="Garamond" w:hAnsi="Garamond"/>
          <w:sz w:val="22"/>
          <w:szCs w:val="22"/>
        </w:rPr>
        <w:t xml:space="preserve">he </w:t>
      </w:r>
      <w:r>
        <w:rPr>
          <w:rFonts w:ascii="Garamond" w:hAnsi="Garamond"/>
          <w:sz w:val="22"/>
          <w:szCs w:val="22"/>
        </w:rPr>
        <w:t xml:space="preserve">quarterly </w:t>
      </w:r>
      <w:r w:rsidRPr="00EE5F0F">
        <w:rPr>
          <w:rFonts w:ascii="Garamond" w:hAnsi="Garamond"/>
          <w:sz w:val="22"/>
          <w:szCs w:val="22"/>
        </w:rPr>
        <w:t xml:space="preserve">interbank repo </w:t>
      </w:r>
      <w:r>
        <w:rPr>
          <w:rFonts w:ascii="Garamond" w:hAnsi="Garamond"/>
          <w:sz w:val="22"/>
          <w:szCs w:val="22"/>
        </w:rPr>
        <w:t xml:space="preserve">(up to 7-day) </w:t>
      </w:r>
      <w:r w:rsidRPr="00EE5F0F">
        <w:rPr>
          <w:rFonts w:ascii="Garamond" w:hAnsi="Garamond"/>
          <w:sz w:val="22"/>
          <w:szCs w:val="22"/>
        </w:rPr>
        <w:t xml:space="preserve">rate </w:t>
      </w:r>
      <w:r w:rsidR="002966E3">
        <w:rPr>
          <w:rFonts w:ascii="Garamond" w:hAnsi="Garamond"/>
          <w:sz w:val="22"/>
          <w:szCs w:val="22"/>
        </w:rPr>
        <w:t>has dropped to</w:t>
      </w:r>
      <w:r>
        <w:rPr>
          <w:rFonts w:ascii="Garamond" w:hAnsi="Garamond"/>
          <w:sz w:val="22"/>
          <w:szCs w:val="22"/>
        </w:rPr>
        <w:t xml:space="preserve"> </w:t>
      </w:r>
      <w:r w:rsidR="002966E3">
        <w:rPr>
          <w:rFonts w:ascii="Garamond" w:hAnsi="Garamond"/>
          <w:sz w:val="22"/>
          <w:szCs w:val="22"/>
        </w:rPr>
        <w:t>5</w:t>
      </w:r>
      <w:r w:rsidRPr="00EE5F0F">
        <w:rPr>
          <w:rFonts w:ascii="Garamond" w:hAnsi="Garamond"/>
          <w:sz w:val="22"/>
          <w:szCs w:val="22"/>
        </w:rPr>
        <w:t>.</w:t>
      </w:r>
      <w:r w:rsidR="002966E3">
        <w:rPr>
          <w:rFonts w:ascii="Garamond" w:hAnsi="Garamond"/>
          <w:sz w:val="22"/>
          <w:szCs w:val="22"/>
        </w:rPr>
        <w:t>94</w:t>
      </w:r>
      <w:r w:rsidRPr="00EE5F0F">
        <w:rPr>
          <w:rFonts w:ascii="Garamond" w:hAnsi="Garamond"/>
          <w:sz w:val="22"/>
          <w:szCs w:val="22"/>
        </w:rPr>
        <w:t>%</w:t>
      </w:r>
      <w:r>
        <w:rPr>
          <w:rFonts w:ascii="Garamond" w:hAnsi="Garamond"/>
          <w:sz w:val="22"/>
          <w:szCs w:val="22"/>
        </w:rPr>
        <w:t>.</w:t>
      </w:r>
      <w:r w:rsidR="002966E3">
        <w:rPr>
          <w:rFonts w:ascii="Garamond" w:hAnsi="Garamond"/>
          <w:sz w:val="22"/>
          <w:szCs w:val="22"/>
        </w:rPr>
        <w:t xml:space="preserve"> In addition to the main policy instrument, </w:t>
      </w:r>
      <w:r w:rsidR="002966E3" w:rsidRPr="002966E3">
        <w:rPr>
          <w:rFonts w:ascii="Garamond" w:hAnsi="Garamond"/>
          <w:sz w:val="22"/>
          <w:szCs w:val="22"/>
        </w:rPr>
        <w:t>the C</w:t>
      </w:r>
      <w:r w:rsidR="002966E3">
        <w:rPr>
          <w:rFonts w:ascii="Garamond" w:hAnsi="Garamond"/>
          <w:sz w:val="22"/>
          <w:szCs w:val="22"/>
        </w:rPr>
        <w:t xml:space="preserve">entral </w:t>
      </w:r>
      <w:r w:rsidR="002966E3" w:rsidRPr="002966E3">
        <w:rPr>
          <w:rFonts w:ascii="Garamond" w:hAnsi="Garamond"/>
          <w:sz w:val="22"/>
          <w:szCs w:val="22"/>
        </w:rPr>
        <w:t>B</w:t>
      </w:r>
      <w:r w:rsidR="002966E3">
        <w:rPr>
          <w:rFonts w:ascii="Garamond" w:hAnsi="Garamond"/>
          <w:sz w:val="22"/>
          <w:szCs w:val="22"/>
        </w:rPr>
        <w:t>ank</w:t>
      </w:r>
      <w:r w:rsidR="002966E3" w:rsidRPr="002966E3">
        <w:rPr>
          <w:rFonts w:ascii="Garamond" w:hAnsi="Garamond"/>
          <w:sz w:val="22"/>
          <w:szCs w:val="22"/>
        </w:rPr>
        <w:t xml:space="preserve"> </w:t>
      </w:r>
      <w:r w:rsidR="002966E3">
        <w:rPr>
          <w:rFonts w:ascii="Garamond" w:hAnsi="Garamond"/>
          <w:sz w:val="22"/>
          <w:szCs w:val="22"/>
        </w:rPr>
        <w:t xml:space="preserve">has </w:t>
      </w:r>
      <w:r w:rsidR="002966E3" w:rsidRPr="002966E3">
        <w:rPr>
          <w:rFonts w:ascii="Garamond" w:hAnsi="Garamond"/>
          <w:sz w:val="22"/>
          <w:szCs w:val="22"/>
        </w:rPr>
        <w:t xml:space="preserve">used </w:t>
      </w:r>
      <w:r w:rsidR="0070535A">
        <w:rPr>
          <w:rFonts w:ascii="Garamond" w:hAnsi="Garamond"/>
          <w:sz w:val="22"/>
          <w:szCs w:val="22"/>
        </w:rPr>
        <w:t xml:space="preserve">a </w:t>
      </w:r>
      <w:r w:rsidR="002966E3">
        <w:rPr>
          <w:rFonts w:ascii="Garamond" w:hAnsi="Garamond"/>
          <w:sz w:val="22"/>
          <w:szCs w:val="22"/>
        </w:rPr>
        <w:t xml:space="preserve">91-day </w:t>
      </w:r>
      <w:r w:rsidR="002966E3" w:rsidRPr="002966E3">
        <w:rPr>
          <w:rFonts w:ascii="Garamond" w:hAnsi="Garamond"/>
          <w:sz w:val="22"/>
          <w:szCs w:val="22"/>
        </w:rPr>
        <w:t xml:space="preserve">repo </w:t>
      </w:r>
      <w:r w:rsidR="0070535A">
        <w:rPr>
          <w:rFonts w:ascii="Garamond" w:hAnsi="Garamond"/>
          <w:sz w:val="22"/>
          <w:szCs w:val="22"/>
        </w:rPr>
        <w:t>tool over the quarter</w:t>
      </w:r>
      <w:r w:rsidR="002966E3" w:rsidRPr="002966E3">
        <w:rPr>
          <w:rFonts w:ascii="Garamond" w:hAnsi="Garamond"/>
          <w:sz w:val="22"/>
          <w:szCs w:val="22"/>
        </w:rPr>
        <w:t xml:space="preserve">, with a view to </w:t>
      </w:r>
      <w:r w:rsidR="0070535A">
        <w:rPr>
          <w:rFonts w:ascii="Garamond" w:hAnsi="Garamond"/>
          <w:sz w:val="22"/>
          <w:szCs w:val="22"/>
        </w:rPr>
        <w:t xml:space="preserve">placing part of </w:t>
      </w:r>
      <w:r w:rsidR="002966E3" w:rsidRPr="002966E3">
        <w:rPr>
          <w:rFonts w:ascii="Garamond" w:hAnsi="Garamond"/>
          <w:sz w:val="22"/>
          <w:szCs w:val="22"/>
        </w:rPr>
        <w:t xml:space="preserve">the 7-day liquidity </w:t>
      </w:r>
      <w:r w:rsidR="0070535A">
        <w:rPr>
          <w:rFonts w:ascii="Garamond" w:hAnsi="Garamond"/>
          <w:sz w:val="22"/>
          <w:szCs w:val="22"/>
        </w:rPr>
        <w:t>on</w:t>
      </w:r>
      <w:r w:rsidR="0070535A" w:rsidRPr="002966E3">
        <w:rPr>
          <w:rFonts w:ascii="Garamond" w:hAnsi="Garamond"/>
          <w:sz w:val="22"/>
          <w:szCs w:val="22"/>
        </w:rPr>
        <w:t>to a relatively long-term segment</w:t>
      </w:r>
      <w:r w:rsidR="0070535A">
        <w:rPr>
          <w:rFonts w:ascii="Garamond" w:hAnsi="Garamond"/>
          <w:sz w:val="22"/>
          <w:szCs w:val="22"/>
        </w:rPr>
        <w:t xml:space="preserve"> while ev</w:t>
      </w:r>
      <w:r w:rsidR="002966E3" w:rsidRPr="002966E3">
        <w:rPr>
          <w:rFonts w:ascii="Garamond" w:hAnsi="Garamond"/>
          <w:sz w:val="22"/>
          <w:szCs w:val="22"/>
        </w:rPr>
        <w:t>aluat</w:t>
      </w:r>
      <w:r w:rsidR="0070535A">
        <w:rPr>
          <w:rFonts w:ascii="Garamond" w:hAnsi="Garamond"/>
          <w:sz w:val="22"/>
          <w:szCs w:val="22"/>
        </w:rPr>
        <w:t>ing</w:t>
      </w:r>
      <w:r w:rsidR="002966E3" w:rsidRPr="002966E3">
        <w:rPr>
          <w:rFonts w:ascii="Garamond" w:hAnsi="Garamond"/>
          <w:sz w:val="22"/>
          <w:szCs w:val="22"/>
        </w:rPr>
        <w:t xml:space="preserve"> the liquidity price for that period. As a result, a</w:t>
      </w:r>
      <w:r w:rsidR="0070535A">
        <w:rPr>
          <w:rFonts w:ascii="Garamond" w:hAnsi="Garamond"/>
          <w:sz w:val="22"/>
          <w:szCs w:val="22"/>
        </w:rPr>
        <w:t xml:space="preserve">s of end-quarter the </w:t>
      </w:r>
      <w:r w:rsidR="002966E3" w:rsidRPr="002966E3">
        <w:rPr>
          <w:rFonts w:ascii="Garamond" w:hAnsi="Garamond"/>
          <w:sz w:val="22"/>
          <w:szCs w:val="22"/>
        </w:rPr>
        <w:t xml:space="preserve">91-day repo </w:t>
      </w:r>
      <w:r w:rsidR="0070535A">
        <w:rPr>
          <w:rFonts w:ascii="Garamond" w:hAnsi="Garamond"/>
          <w:sz w:val="22"/>
          <w:szCs w:val="22"/>
        </w:rPr>
        <w:t>tool had an AMD 40.0 billion-worth inventory, with an</w:t>
      </w:r>
      <w:r w:rsidR="002966E3" w:rsidRPr="002966E3">
        <w:rPr>
          <w:rFonts w:ascii="Garamond" w:hAnsi="Garamond"/>
          <w:sz w:val="22"/>
          <w:szCs w:val="22"/>
        </w:rPr>
        <w:t xml:space="preserve"> average interest rate </w:t>
      </w:r>
      <w:r w:rsidR="0070535A">
        <w:rPr>
          <w:rFonts w:ascii="Garamond" w:hAnsi="Garamond"/>
          <w:sz w:val="22"/>
          <w:szCs w:val="22"/>
        </w:rPr>
        <w:t xml:space="preserve">of </w:t>
      </w:r>
      <w:r w:rsidR="002966E3" w:rsidRPr="002966E3">
        <w:rPr>
          <w:rFonts w:ascii="Garamond" w:hAnsi="Garamond"/>
          <w:sz w:val="22"/>
          <w:szCs w:val="22"/>
        </w:rPr>
        <w:t>5.9%.</w:t>
      </w:r>
      <w:r w:rsidR="00C65D3C">
        <w:rPr>
          <w:rFonts w:ascii="Garamond" w:hAnsi="Garamond"/>
          <w:sz w:val="22"/>
          <w:szCs w:val="22"/>
        </w:rPr>
        <w:t xml:space="preserve"> </w:t>
      </w:r>
    </w:p>
    <w:p w14:paraId="6284D5ED" w14:textId="77777777" w:rsidR="00A64428" w:rsidRDefault="002D4EB4" w:rsidP="00062BF6">
      <w:pPr>
        <w:autoSpaceDE w:val="0"/>
        <w:autoSpaceDN w:val="0"/>
        <w:adjustRightInd w:val="0"/>
        <w:spacing w:after="120" w:line="360" w:lineRule="auto"/>
        <w:jc w:val="both"/>
        <w:rPr>
          <w:rFonts w:ascii="Garamond" w:hAnsi="Garamond"/>
          <w:sz w:val="22"/>
          <w:szCs w:val="22"/>
        </w:rPr>
      </w:pPr>
      <w:r w:rsidRPr="003E58CC">
        <w:rPr>
          <w:rFonts w:ascii="Garamond" w:hAnsi="Garamond"/>
          <w:sz w:val="22"/>
          <w:szCs w:val="22"/>
        </w:rPr>
        <w:t>In the government securities market during</w:t>
      </w:r>
      <w:r w:rsidR="00C61C55" w:rsidRPr="003E58CC">
        <w:rPr>
          <w:rFonts w:ascii="Garamond" w:hAnsi="Garamond"/>
          <w:sz w:val="22"/>
          <w:szCs w:val="22"/>
        </w:rPr>
        <w:t xml:space="preserve"> the quarter, short-term bonds </w:t>
      </w:r>
      <w:r w:rsidRPr="003E58CC">
        <w:rPr>
          <w:rFonts w:ascii="Garamond" w:hAnsi="Garamond"/>
          <w:sz w:val="22"/>
          <w:szCs w:val="22"/>
        </w:rPr>
        <w:t>further demonstrated patterns</w:t>
      </w:r>
      <w:r>
        <w:rPr>
          <w:rFonts w:ascii="Garamond" w:hAnsi="Garamond"/>
          <w:sz w:val="22"/>
          <w:szCs w:val="22"/>
        </w:rPr>
        <w:t xml:space="preserve"> typical of the money market: mirroring the</w:t>
      </w:r>
      <w:r w:rsidRPr="002D4EB4">
        <w:rPr>
          <w:rFonts w:ascii="Garamond" w:hAnsi="Garamond"/>
          <w:sz w:val="22"/>
          <w:szCs w:val="22"/>
        </w:rPr>
        <w:t xml:space="preserve"> refinancing rate</w:t>
      </w:r>
      <w:r>
        <w:rPr>
          <w:rFonts w:ascii="Garamond" w:hAnsi="Garamond"/>
          <w:sz w:val="22"/>
          <w:szCs w:val="22"/>
        </w:rPr>
        <w:t xml:space="preserve"> cuts, the T-bill yields in the primary market</w:t>
      </w:r>
      <w:r w:rsidRPr="002D4EB4">
        <w:rPr>
          <w:rFonts w:ascii="Garamond" w:hAnsi="Garamond"/>
          <w:sz w:val="22"/>
          <w:szCs w:val="22"/>
        </w:rPr>
        <w:t xml:space="preserve"> </w:t>
      </w:r>
      <w:r>
        <w:rPr>
          <w:rFonts w:ascii="Garamond" w:hAnsi="Garamond"/>
          <w:sz w:val="22"/>
          <w:szCs w:val="22"/>
        </w:rPr>
        <w:t xml:space="preserve">have </w:t>
      </w:r>
      <w:r w:rsidRPr="002D4EB4">
        <w:rPr>
          <w:rFonts w:ascii="Garamond" w:hAnsi="Garamond"/>
          <w:sz w:val="22"/>
          <w:szCs w:val="22"/>
        </w:rPr>
        <w:t xml:space="preserve">gradually </w:t>
      </w:r>
      <w:r>
        <w:rPr>
          <w:rFonts w:ascii="Garamond" w:hAnsi="Garamond"/>
          <w:sz w:val="22"/>
          <w:szCs w:val="22"/>
        </w:rPr>
        <w:t>reduced</w:t>
      </w:r>
      <w:r w:rsidRPr="002D4EB4">
        <w:rPr>
          <w:rFonts w:ascii="Garamond" w:hAnsi="Garamond"/>
          <w:sz w:val="22"/>
          <w:szCs w:val="22"/>
        </w:rPr>
        <w:t xml:space="preserve">, and </w:t>
      </w:r>
      <w:r w:rsidR="00AE2A60">
        <w:rPr>
          <w:rFonts w:ascii="Garamond" w:hAnsi="Garamond"/>
          <w:sz w:val="22"/>
          <w:szCs w:val="22"/>
        </w:rPr>
        <w:t xml:space="preserve">as government bond yield </w:t>
      </w:r>
      <w:r w:rsidRPr="002D4EB4">
        <w:rPr>
          <w:rFonts w:ascii="Garamond" w:hAnsi="Garamond"/>
          <w:sz w:val="22"/>
          <w:szCs w:val="22"/>
        </w:rPr>
        <w:t>curve</w:t>
      </w:r>
      <w:r w:rsidR="00AE2A60">
        <w:rPr>
          <w:rFonts w:ascii="Garamond" w:hAnsi="Garamond"/>
          <w:sz w:val="22"/>
          <w:szCs w:val="22"/>
        </w:rPr>
        <w:t xml:space="preserve"> showed, </w:t>
      </w:r>
      <w:r w:rsidR="00937BDC">
        <w:rPr>
          <w:rFonts w:ascii="Garamond" w:hAnsi="Garamond"/>
          <w:sz w:val="22"/>
          <w:szCs w:val="22"/>
        </w:rPr>
        <w:t xml:space="preserve">in </w:t>
      </w:r>
      <w:r w:rsidR="00937BDC" w:rsidRPr="002D4EB4">
        <w:rPr>
          <w:rFonts w:ascii="Garamond" w:hAnsi="Garamond"/>
          <w:sz w:val="22"/>
          <w:szCs w:val="22"/>
        </w:rPr>
        <w:t>end</w:t>
      </w:r>
      <w:r w:rsidR="00937BDC">
        <w:rPr>
          <w:rFonts w:ascii="Garamond" w:hAnsi="Garamond"/>
          <w:sz w:val="22"/>
          <w:szCs w:val="22"/>
        </w:rPr>
        <w:t>-</w:t>
      </w:r>
      <w:r w:rsidR="00937BDC" w:rsidRPr="002D4EB4">
        <w:rPr>
          <w:rFonts w:ascii="Garamond" w:hAnsi="Garamond"/>
          <w:sz w:val="22"/>
          <w:szCs w:val="22"/>
        </w:rPr>
        <w:t>March</w:t>
      </w:r>
      <w:r w:rsidR="00937BDC">
        <w:rPr>
          <w:rFonts w:ascii="Garamond" w:hAnsi="Garamond"/>
          <w:sz w:val="22"/>
          <w:szCs w:val="22"/>
        </w:rPr>
        <w:t xml:space="preserve"> </w:t>
      </w:r>
      <w:r w:rsidR="00AE2A60">
        <w:rPr>
          <w:rFonts w:ascii="Garamond" w:hAnsi="Garamond"/>
          <w:sz w:val="22"/>
          <w:szCs w:val="22"/>
        </w:rPr>
        <w:t xml:space="preserve">the yield on </w:t>
      </w:r>
      <w:r w:rsidRPr="002D4EB4">
        <w:rPr>
          <w:rFonts w:ascii="Garamond" w:hAnsi="Garamond"/>
          <w:sz w:val="22"/>
          <w:szCs w:val="22"/>
        </w:rPr>
        <w:t xml:space="preserve">short-term bonds </w:t>
      </w:r>
      <w:r w:rsidR="00AE2A60">
        <w:rPr>
          <w:rFonts w:ascii="Garamond" w:hAnsi="Garamond"/>
          <w:sz w:val="22"/>
          <w:szCs w:val="22"/>
        </w:rPr>
        <w:t xml:space="preserve">was </w:t>
      </w:r>
      <w:r w:rsidRPr="002D4EB4">
        <w:rPr>
          <w:rFonts w:ascii="Garamond" w:hAnsi="Garamond"/>
          <w:sz w:val="22"/>
          <w:szCs w:val="22"/>
        </w:rPr>
        <w:t xml:space="preserve">close to </w:t>
      </w:r>
      <w:r w:rsidR="00AE2A60">
        <w:rPr>
          <w:rFonts w:ascii="Garamond" w:hAnsi="Garamond"/>
          <w:sz w:val="22"/>
          <w:szCs w:val="22"/>
        </w:rPr>
        <w:t xml:space="preserve">the </w:t>
      </w:r>
      <w:r w:rsidRPr="002D4EB4">
        <w:rPr>
          <w:rFonts w:ascii="Garamond" w:hAnsi="Garamond"/>
          <w:sz w:val="22"/>
          <w:szCs w:val="22"/>
        </w:rPr>
        <w:t>C</w:t>
      </w:r>
      <w:r w:rsidR="00AE2A60">
        <w:rPr>
          <w:rFonts w:ascii="Garamond" w:hAnsi="Garamond"/>
          <w:sz w:val="22"/>
          <w:szCs w:val="22"/>
        </w:rPr>
        <w:t xml:space="preserve">entral </w:t>
      </w:r>
      <w:r w:rsidRPr="002D4EB4">
        <w:rPr>
          <w:rFonts w:ascii="Garamond" w:hAnsi="Garamond"/>
          <w:sz w:val="22"/>
          <w:szCs w:val="22"/>
        </w:rPr>
        <w:t>B</w:t>
      </w:r>
      <w:r w:rsidR="00AE2A60">
        <w:rPr>
          <w:rFonts w:ascii="Garamond" w:hAnsi="Garamond"/>
          <w:sz w:val="22"/>
          <w:szCs w:val="22"/>
        </w:rPr>
        <w:t xml:space="preserve">ank’s </w:t>
      </w:r>
      <w:r w:rsidRPr="002D4EB4">
        <w:rPr>
          <w:rFonts w:ascii="Garamond" w:hAnsi="Garamond"/>
          <w:sz w:val="22"/>
          <w:szCs w:val="22"/>
        </w:rPr>
        <w:t xml:space="preserve">refinancing rate. </w:t>
      </w:r>
      <w:r w:rsidR="00937BDC" w:rsidRPr="00937BDC">
        <w:rPr>
          <w:rFonts w:ascii="Garamond" w:hAnsi="Garamond"/>
          <w:sz w:val="22"/>
          <w:szCs w:val="22"/>
        </w:rPr>
        <w:t xml:space="preserve">Unlike the short-term </w:t>
      </w:r>
      <w:r w:rsidR="00937BDC">
        <w:rPr>
          <w:rFonts w:ascii="Garamond" w:hAnsi="Garamond"/>
          <w:sz w:val="22"/>
          <w:szCs w:val="22"/>
        </w:rPr>
        <w:t xml:space="preserve">segment on the </w:t>
      </w:r>
      <w:r w:rsidR="00937BDC" w:rsidRPr="00937BDC">
        <w:rPr>
          <w:rFonts w:ascii="Garamond" w:hAnsi="Garamond"/>
          <w:sz w:val="22"/>
          <w:szCs w:val="22"/>
        </w:rPr>
        <w:t>curve</w:t>
      </w:r>
      <w:r w:rsidR="00937BDC">
        <w:rPr>
          <w:rFonts w:ascii="Garamond" w:hAnsi="Garamond"/>
          <w:sz w:val="22"/>
          <w:szCs w:val="22"/>
        </w:rPr>
        <w:t>,</w:t>
      </w:r>
      <w:r w:rsidR="00937BDC" w:rsidRPr="00937BDC">
        <w:rPr>
          <w:rFonts w:ascii="Garamond" w:hAnsi="Garamond"/>
          <w:sz w:val="22"/>
          <w:szCs w:val="22"/>
        </w:rPr>
        <w:t xml:space="preserve"> </w:t>
      </w:r>
      <w:r w:rsidR="00937BDC">
        <w:rPr>
          <w:rFonts w:ascii="Garamond" w:hAnsi="Garamond"/>
          <w:sz w:val="22"/>
          <w:szCs w:val="22"/>
        </w:rPr>
        <w:t xml:space="preserve">long-term bond yields posted some 0.5 pp </w:t>
      </w:r>
      <w:r w:rsidR="00C442E5">
        <w:rPr>
          <w:rFonts w:ascii="Garamond" w:hAnsi="Garamond"/>
          <w:sz w:val="22"/>
          <w:szCs w:val="22"/>
        </w:rPr>
        <w:t xml:space="preserve">increase </w:t>
      </w:r>
      <w:r w:rsidR="00937BDC">
        <w:rPr>
          <w:rFonts w:ascii="Garamond" w:hAnsi="Garamond"/>
          <w:sz w:val="22"/>
          <w:szCs w:val="22"/>
        </w:rPr>
        <w:t xml:space="preserve">early in the quarter </w:t>
      </w:r>
      <w:r w:rsidR="00C442E5">
        <w:rPr>
          <w:rFonts w:ascii="Garamond" w:hAnsi="Garamond"/>
          <w:sz w:val="22"/>
          <w:szCs w:val="22"/>
        </w:rPr>
        <w:t xml:space="preserve">following revision to </w:t>
      </w:r>
      <w:r w:rsidR="00C442E5" w:rsidRPr="002D4EB4">
        <w:rPr>
          <w:rFonts w:ascii="Garamond" w:hAnsi="Garamond"/>
          <w:sz w:val="22"/>
          <w:szCs w:val="22"/>
        </w:rPr>
        <w:t>investment policy</w:t>
      </w:r>
      <w:r w:rsidR="00C442E5">
        <w:rPr>
          <w:rFonts w:ascii="Garamond" w:hAnsi="Garamond"/>
          <w:sz w:val="22"/>
          <w:szCs w:val="22"/>
        </w:rPr>
        <w:t xml:space="preserve"> by </w:t>
      </w:r>
      <w:r w:rsidR="00937BDC" w:rsidRPr="002D4EB4">
        <w:rPr>
          <w:rFonts w:ascii="Garamond" w:hAnsi="Garamond"/>
          <w:sz w:val="22"/>
          <w:szCs w:val="22"/>
        </w:rPr>
        <w:t>financial market participants</w:t>
      </w:r>
      <w:r w:rsidR="00C442E5">
        <w:rPr>
          <w:rFonts w:ascii="Garamond" w:hAnsi="Garamond"/>
          <w:sz w:val="22"/>
          <w:szCs w:val="22"/>
        </w:rPr>
        <w:t xml:space="preserve">. At some point later, the increase </w:t>
      </w:r>
      <w:r w:rsidR="009A0CAB">
        <w:rPr>
          <w:rFonts w:ascii="Garamond" w:hAnsi="Garamond"/>
          <w:sz w:val="22"/>
          <w:szCs w:val="22"/>
        </w:rPr>
        <w:t xml:space="preserve">was </w:t>
      </w:r>
      <w:r w:rsidRPr="002D4EB4">
        <w:rPr>
          <w:rFonts w:ascii="Garamond" w:hAnsi="Garamond"/>
          <w:sz w:val="22"/>
          <w:szCs w:val="22"/>
        </w:rPr>
        <w:t xml:space="preserve">partially </w:t>
      </w:r>
      <w:r w:rsidR="009A0CAB">
        <w:rPr>
          <w:rFonts w:ascii="Garamond" w:hAnsi="Garamond"/>
          <w:sz w:val="22"/>
          <w:szCs w:val="22"/>
        </w:rPr>
        <w:t xml:space="preserve">offset </w:t>
      </w:r>
      <w:r w:rsidR="00C442E5">
        <w:rPr>
          <w:rFonts w:ascii="Garamond" w:hAnsi="Garamond"/>
          <w:sz w:val="22"/>
          <w:szCs w:val="22"/>
        </w:rPr>
        <w:t>however, as</w:t>
      </w:r>
      <w:r w:rsidR="009A0CAB">
        <w:rPr>
          <w:rFonts w:ascii="Garamond" w:hAnsi="Garamond"/>
          <w:sz w:val="22"/>
          <w:szCs w:val="22"/>
        </w:rPr>
        <w:t xml:space="preserve"> the Central Bank trimmed down the </w:t>
      </w:r>
      <w:r w:rsidRPr="002D4EB4">
        <w:rPr>
          <w:rFonts w:ascii="Garamond" w:hAnsi="Garamond"/>
          <w:sz w:val="22"/>
          <w:szCs w:val="22"/>
        </w:rPr>
        <w:t>refinancing rate.</w:t>
      </w:r>
      <w:r w:rsidR="00062BF6" w:rsidRPr="001C08CC">
        <w:rPr>
          <w:rFonts w:ascii="Garamond" w:hAnsi="Garamond"/>
          <w:sz w:val="22"/>
          <w:szCs w:val="22"/>
        </w:rPr>
        <w:t xml:space="preserve"> </w:t>
      </w:r>
    </w:p>
    <w:p w14:paraId="1D0FCEE6" w14:textId="77777777" w:rsidR="003E58CC" w:rsidRDefault="003E58CC" w:rsidP="00062BF6">
      <w:pPr>
        <w:autoSpaceDE w:val="0"/>
        <w:autoSpaceDN w:val="0"/>
        <w:adjustRightInd w:val="0"/>
        <w:spacing w:after="120" w:line="360" w:lineRule="auto"/>
        <w:jc w:val="both"/>
        <w:rPr>
          <w:rFonts w:ascii="Garamond" w:hAnsi="Garamond"/>
          <w:sz w:val="22"/>
          <w:szCs w:val="22"/>
        </w:rPr>
      </w:pPr>
      <w:r w:rsidRPr="003E58CC">
        <w:rPr>
          <w:rFonts w:ascii="Garamond" w:hAnsi="Garamond"/>
          <w:sz w:val="22"/>
          <w:szCs w:val="22"/>
        </w:rPr>
        <w:lastRenderedPageBreak/>
        <w:t xml:space="preserve">In recent years </w:t>
      </w:r>
      <w:r>
        <w:rPr>
          <w:rFonts w:ascii="Garamond" w:hAnsi="Garamond"/>
          <w:sz w:val="22"/>
          <w:szCs w:val="22"/>
        </w:rPr>
        <w:t>loan interest rates incurred not only the influence of the</w:t>
      </w:r>
      <w:r w:rsidRPr="003E58CC">
        <w:rPr>
          <w:rFonts w:ascii="Garamond" w:hAnsi="Garamond"/>
          <w:sz w:val="22"/>
          <w:szCs w:val="22"/>
        </w:rPr>
        <w:t xml:space="preserve"> monetary policy </w:t>
      </w:r>
      <w:r>
        <w:rPr>
          <w:rFonts w:ascii="Garamond" w:hAnsi="Garamond"/>
          <w:sz w:val="22"/>
          <w:szCs w:val="22"/>
        </w:rPr>
        <w:t xml:space="preserve">pursued by the Central Bank </w:t>
      </w:r>
      <w:r w:rsidRPr="003E58CC">
        <w:rPr>
          <w:rFonts w:ascii="Garamond" w:hAnsi="Garamond"/>
          <w:sz w:val="22"/>
          <w:szCs w:val="22"/>
        </w:rPr>
        <w:t>and declining inflationary expectations</w:t>
      </w:r>
      <w:r>
        <w:rPr>
          <w:rFonts w:ascii="Garamond" w:hAnsi="Garamond"/>
          <w:sz w:val="22"/>
          <w:szCs w:val="22"/>
        </w:rPr>
        <w:t xml:space="preserve"> but the rather </w:t>
      </w:r>
      <w:r w:rsidRPr="003E58CC">
        <w:rPr>
          <w:rFonts w:ascii="Garamond" w:hAnsi="Garamond"/>
          <w:sz w:val="22"/>
          <w:szCs w:val="22"/>
        </w:rPr>
        <w:t>high level of capital in the banking system</w:t>
      </w:r>
      <w:r>
        <w:rPr>
          <w:rFonts w:ascii="Garamond" w:hAnsi="Garamond"/>
          <w:sz w:val="22"/>
          <w:szCs w:val="22"/>
        </w:rPr>
        <w:t xml:space="preserve">. </w:t>
      </w:r>
      <w:r w:rsidR="005E28F8">
        <w:rPr>
          <w:rFonts w:ascii="Garamond" w:hAnsi="Garamond"/>
          <w:sz w:val="22"/>
          <w:szCs w:val="22"/>
        </w:rPr>
        <w:t xml:space="preserve">The </w:t>
      </w:r>
      <w:r w:rsidR="005E28F8" w:rsidRPr="003E58CC">
        <w:rPr>
          <w:rFonts w:ascii="Garamond" w:hAnsi="Garamond"/>
          <w:sz w:val="22"/>
          <w:szCs w:val="22"/>
        </w:rPr>
        <w:t>capital adequacy</w:t>
      </w:r>
      <w:r w:rsidR="005E28F8">
        <w:rPr>
          <w:rFonts w:ascii="Garamond" w:hAnsi="Garamond"/>
          <w:sz w:val="22"/>
          <w:szCs w:val="22"/>
        </w:rPr>
        <w:t xml:space="preserve"> currently running above the required minimum threshold indicates that there is enough capital and liquidity in the banking system to sustain further growth in lending. </w:t>
      </w:r>
      <w:r w:rsidRPr="003E58CC">
        <w:rPr>
          <w:rFonts w:ascii="Garamond" w:hAnsi="Garamond"/>
          <w:sz w:val="22"/>
          <w:szCs w:val="22"/>
        </w:rPr>
        <w:t xml:space="preserve">However, the </w:t>
      </w:r>
      <w:r w:rsidR="005E28F8">
        <w:rPr>
          <w:rFonts w:ascii="Garamond" w:hAnsi="Garamond"/>
          <w:sz w:val="22"/>
          <w:szCs w:val="22"/>
        </w:rPr>
        <w:t xml:space="preserve">lending growth will trend up and </w:t>
      </w:r>
      <w:r w:rsidRPr="003E58CC">
        <w:rPr>
          <w:rFonts w:ascii="Garamond" w:hAnsi="Garamond"/>
          <w:sz w:val="22"/>
          <w:szCs w:val="22"/>
        </w:rPr>
        <w:t xml:space="preserve">interest rates </w:t>
      </w:r>
      <w:r w:rsidR="005E28F8">
        <w:rPr>
          <w:rFonts w:ascii="Garamond" w:hAnsi="Garamond"/>
          <w:sz w:val="22"/>
          <w:szCs w:val="22"/>
        </w:rPr>
        <w:t xml:space="preserve">down primarily on </w:t>
      </w:r>
      <w:r w:rsidR="00EE76B0">
        <w:rPr>
          <w:rFonts w:ascii="Garamond" w:hAnsi="Garamond"/>
          <w:sz w:val="22"/>
          <w:szCs w:val="22"/>
        </w:rPr>
        <w:t>the premise that t</w:t>
      </w:r>
      <w:r w:rsidR="005E28F8">
        <w:rPr>
          <w:rFonts w:ascii="Garamond" w:hAnsi="Garamond"/>
          <w:sz w:val="22"/>
          <w:szCs w:val="22"/>
        </w:rPr>
        <w:t xml:space="preserve">he fundamentals in the real sector of the economy – </w:t>
      </w:r>
      <w:r w:rsidR="00EE76B0" w:rsidRPr="003E58CC">
        <w:rPr>
          <w:rFonts w:ascii="Garamond" w:hAnsi="Garamond"/>
          <w:sz w:val="22"/>
          <w:szCs w:val="22"/>
        </w:rPr>
        <w:t>potential for economic growth</w:t>
      </w:r>
      <w:r w:rsidR="005E28F8">
        <w:rPr>
          <w:rFonts w:ascii="Garamond" w:hAnsi="Garamond"/>
          <w:sz w:val="22"/>
          <w:szCs w:val="22"/>
        </w:rPr>
        <w:t>, econom</w:t>
      </w:r>
      <w:r w:rsidR="00EE76B0">
        <w:rPr>
          <w:rFonts w:ascii="Garamond" w:hAnsi="Garamond"/>
          <w:sz w:val="22"/>
          <w:szCs w:val="22"/>
        </w:rPr>
        <w:t xml:space="preserve">y’s exposure to risks, household appetite for credit – unfold. </w:t>
      </w:r>
      <w:r w:rsidR="00EE76B0" w:rsidRPr="003E58CC">
        <w:rPr>
          <w:rFonts w:ascii="Garamond" w:hAnsi="Garamond"/>
          <w:sz w:val="22"/>
          <w:szCs w:val="22"/>
        </w:rPr>
        <w:t>Anyway</w:t>
      </w:r>
      <w:r w:rsidRPr="003E58CC">
        <w:rPr>
          <w:rFonts w:ascii="Garamond" w:hAnsi="Garamond"/>
          <w:sz w:val="22"/>
          <w:szCs w:val="22"/>
        </w:rPr>
        <w:t xml:space="preserve">, the </w:t>
      </w:r>
      <w:r w:rsidR="00EE76B0">
        <w:rPr>
          <w:rFonts w:ascii="Garamond" w:hAnsi="Garamond"/>
          <w:sz w:val="22"/>
          <w:szCs w:val="22"/>
        </w:rPr>
        <w:t>l</w:t>
      </w:r>
      <w:r w:rsidRPr="003E58CC">
        <w:rPr>
          <w:rFonts w:ascii="Garamond" w:hAnsi="Garamond"/>
          <w:sz w:val="22"/>
          <w:szCs w:val="22"/>
        </w:rPr>
        <w:t xml:space="preserve">evel of </w:t>
      </w:r>
      <w:r w:rsidR="00EE76B0">
        <w:rPr>
          <w:rFonts w:ascii="Garamond" w:hAnsi="Garamond"/>
          <w:sz w:val="22"/>
          <w:szCs w:val="22"/>
        </w:rPr>
        <w:t xml:space="preserve">loan </w:t>
      </w:r>
      <w:r w:rsidRPr="003E58CC">
        <w:rPr>
          <w:rFonts w:ascii="Garamond" w:hAnsi="Garamond"/>
          <w:sz w:val="22"/>
          <w:szCs w:val="22"/>
        </w:rPr>
        <w:t xml:space="preserve">interest rates </w:t>
      </w:r>
      <w:r w:rsidR="00EE76B0">
        <w:rPr>
          <w:rFonts w:ascii="Garamond" w:hAnsi="Garamond"/>
          <w:sz w:val="22"/>
          <w:szCs w:val="22"/>
        </w:rPr>
        <w:t xml:space="preserve">now </w:t>
      </w:r>
      <w:r w:rsidRPr="003E58CC">
        <w:rPr>
          <w:rFonts w:ascii="Garamond" w:hAnsi="Garamond"/>
          <w:sz w:val="22"/>
          <w:szCs w:val="22"/>
        </w:rPr>
        <w:t xml:space="preserve">is estimated </w:t>
      </w:r>
      <w:r w:rsidR="00EE76B0">
        <w:rPr>
          <w:rFonts w:ascii="Garamond" w:hAnsi="Garamond"/>
          <w:sz w:val="22"/>
          <w:szCs w:val="22"/>
        </w:rPr>
        <w:t xml:space="preserve">commensurate with the current expansionary </w:t>
      </w:r>
      <w:r w:rsidRPr="003E58CC">
        <w:rPr>
          <w:rFonts w:ascii="Garamond" w:hAnsi="Garamond"/>
          <w:sz w:val="22"/>
          <w:szCs w:val="22"/>
        </w:rPr>
        <w:t>monetary policy.</w:t>
      </w:r>
    </w:p>
    <w:p w14:paraId="02811351" w14:textId="77777777" w:rsidR="003E58CC" w:rsidRDefault="003E58CC" w:rsidP="00062BF6">
      <w:pPr>
        <w:autoSpaceDE w:val="0"/>
        <w:autoSpaceDN w:val="0"/>
        <w:adjustRightInd w:val="0"/>
        <w:spacing w:after="120" w:line="360" w:lineRule="auto"/>
        <w:jc w:val="both"/>
        <w:rPr>
          <w:rFonts w:ascii="Garamond" w:hAnsi="Garamond"/>
          <w:sz w:val="22"/>
          <w:szCs w:val="22"/>
        </w:rPr>
      </w:pPr>
    </w:p>
    <w:p w14:paraId="2CCEC206" w14:textId="77777777" w:rsidR="003E58CC" w:rsidRDefault="003E58CC" w:rsidP="00062BF6">
      <w:pPr>
        <w:autoSpaceDE w:val="0"/>
        <w:autoSpaceDN w:val="0"/>
        <w:adjustRightInd w:val="0"/>
        <w:spacing w:after="120" w:line="360" w:lineRule="auto"/>
        <w:jc w:val="both"/>
        <w:rPr>
          <w:rFonts w:ascii="Garamond" w:hAnsi="Garamond"/>
          <w:sz w:val="22"/>
          <w:szCs w:val="22"/>
        </w:rPr>
      </w:pPr>
    </w:p>
    <w:p w14:paraId="12F6317B" w14:textId="77777777" w:rsidR="003E58CC" w:rsidRDefault="003E58CC" w:rsidP="00062BF6">
      <w:pPr>
        <w:autoSpaceDE w:val="0"/>
        <w:autoSpaceDN w:val="0"/>
        <w:adjustRightInd w:val="0"/>
        <w:spacing w:after="120" w:line="360" w:lineRule="auto"/>
        <w:jc w:val="both"/>
        <w:rPr>
          <w:rFonts w:ascii="Garamond" w:hAnsi="Garamond"/>
          <w:sz w:val="22"/>
          <w:szCs w:val="22"/>
        </w:rPr>
      </w:pPr>
    </w:p>
    <w:p w14:paraId="09D5093D" w14:textId="77777777" w:rsidR="00563050" w:rsidRPr="00163C85" w:rsidRDefault="00563050" w:rsidP="00563050">
      <w:pPr>
        <w:spacing w:line="360" w:lineRule="auto"/>
        <w:jc w:val="center"/>
        <w:rPr>
          <w:rFonts w:ascii="Garamond" w:hAnsi="Garamond"/>
          <w:b/>
          <w:bCs/>
          <w:color w:val="0070C0"/>
          <w:sz w:val="22"/>
          <w:szCs w:val="22"/>
        </w:rPr>
      </w:pPr>
      <w:r w:rsidRPr="00163C85">
        <w:rPr>
          <w:rFonts w:ascii="Garamond" w:hAnsi="Garamond"/>
          <w:b/>
          <w:bCs/>
          <w:color w:val="0070C0"/>
          <w:sz w:val="22"/>
          <w:szCs w:val="22"/>
        </w:rPr>
        <w:t xml:space="preserve">BOARD </w:t>
      </w:r>
      <w:r>
        <w:rPr>
          <w:rFonts w:ascii="Garamond" w:hAnsi="Garamond"/>
          <w:b/>
          <w:bCs/>
          <w:color w:val="0070C0"/>
          <w:sz w:val="22"/>
          <w:szCs w:val="22"/>
        </w:rPr>
        <w:t xml:space="preserve">MEETING </w:t>
      </w:r>
      <w:r w:rsidRPr="00163C85">
        <w:rPr>
          <w:rFonts w:ascii="Garamond" w:hAnsi="Garamond"/>
          <w:b/>
          <w:bCs/>
          <w:color w:val="0070C0"/>
          <w:sz w:val="22"/>
          <w:szCs w:val="22"/>
        </w:rPr>
        <w:t>OF THE CBA</w:t>
      </w:r>
    </w:p>
    <w:p w14:paraId="4CD01C8F" w14:textId="77777777" w:rsidR="00563050" w:rsidRPr="00163C85" w:rsidRDefault="00563050" w:rsidP="00563050">
      <w:pPr>
        <w:spacing w:line="360" w:lineRule="auto"/>
        <w:jc w:val="center"/>
        <w:rPr>
          <w:rFonts w:ascii="Garamond" w:hAnsi="Garamond"/>
          <w:b/>
          <w:bCs/>
          <w:color w:val="0070C0"/>
          <w:sz w:val="22"/>
          <w:szCs w:val="22"/>
        </w:rPr>
      </w:pPr>
    </w:p>
    <w:p w14:paraId="66E48B04" w14:textId="77777777" w:rsidR="00563050" w:rsidRPr="00163C85" w:rsidRDefault="00563050" w:rsidP="00563050">
      <w:pPr>
        <w:spacing w:line="360" w:lineRule="auto"/>
        <w:jc w:val="center"/>
        <w:rPr>
          <w:rFonts w:ascii="Garamond" w:hAnsi="Garamond"/>
          <w:b/>
          <w:bCs/>
          <w:color w:val="0070C0"/>
          <w:sz w:val="22"/>
          <w:szCs w:val="22"/>
        </w:rPr>
      </w:pPr>
      <w:r w:rsidRPr="00163C85">
        <w:rPr>
          <w:rFonts w:ascii="Garamond" w:hAnsi="Garamond"/>
          <w:b/>
          <w:bCs/>
          <w:color w:val="0070C0"/>
          <w:sz w:val="22"/>
          <w:szCs w:val="22"/>
        </w:rPr>
        <w:t>MINUTES</w:t>
      </w:r>
    </w:p>
    <w:p w14:paraId="68B5F5F6" w14:textId="77777777" w:rsidR="00563050" w:rsidRPr="00163C85" w:rsidRDefault="00563050" w:rsidP="00563050">
      <w:pPr>
        <w:spacing w:line="360" w:lineRule="auto"/>
        <w:jc w:val="center"/>
        <w:rPr>
          <w:rFonts w:ascii="Garamond" w:hAnsi="Garamond"/>
          <w:b/>
          <w:bCs/>
          <w:sz w:val="22"/>
          <w:szCs w:val="22"/>
        </w:rPr>
      </w:pPr>
      <w:r w:rsidRPr="00163C85">
        <w:rPr>
          <w:rFonts w:ascii="Garamond" w:hAnsi="Garamond"/>
          <w:b/>
          <w:bCs/>
          <w:color w:val="0070C0"/>
          <w:sz w:val="22"/>
          <w:szCs w:val="22"/>
        </w:rPr>
        <w:t>(</w:t>
      </w:r>
      <w:r>
        <w:rPr>
          <w:rFonts w:ascii="Garamond" w:hAnsi="Garamond"/>
          <w:b/>
          <w:bCs/>
          <w:color w:val="0070C0"/>
          <w:sz w:val="22"/>
          <w:szCs w:val="22"/>
        </w:rPr>
        <w:t>1</w:t>
      </w:r>
      <w:r w:rsidR="00EA43F7">
        <w:rPr>
          <w:rFonts w:ascii="Garamond" w:hAnsi="Garamond"/>
          <w:b/>
          <w:bCs/>
          <w:color w:val="0070C0"/>
          <w:sz w:val="22"/>
          <w:szCs w:val="22"/>
        </w:rPr>
        <w:t>1</w:t>
      </w:r>
      <w:r w:rsidRPr="00163C85">
        <w:rPr>
          <w:rFonts w:ascii="Garamond" w:hAnsi="Garamond"/>
          <w:b/>
          <w:bCs/>
          <w:color w:val="0070C0"/>
          <w:sz w:val="22"/>
          <w:szCs w:val="22"/>
        </w:rPr>
        <w:t>.</w:t>
      </w:r>
      <w:r>
        <w:rPr>
          <w:rFonts w:ascii="Garamond" w:hAnsi="Garamond"/>
          <w:b/>
          <w:bCs/>
          <w:color w:val="0070C0"/>
          <w:sz w:val="22"/>
          <w:szCs w:val="22"/>
        </w:rPr>
        <w:t>0</w:t>
      </w:r>
      <w:r w:rsidR="00EA43F7">
        <w:rPr>
          <w:rFonts w:ascii="Garamond" w:hAnsi="Garamond"/>
          <w:b/>
          <w:bCs/>
          <w:color w:val="0070C0"/>
          <w:sz w:val="22"/>
          <w:szCs w:val="22"/>
        </w:rPr>
        <w:t>6</w:t>
      </w:r>
      <w:r w:rsidRPr="00163C85">
        <w:rPr>
          <w:rFonts w:ascii="Garamond" w:hAnsi="Garamond"/>
          <w:b/>
          <w:bCs/>
          <w:color w:val="0070C0"/>
          <w:sz w:val="22"/>
          <w:szCs w:val="22"/>
        </w:rPr>
        <w:t>.201</w:t>
      </w:r>
      <w:r>
        <w:rPr>
          <w:rFonts w:ascii="Garamond" w:hAnsi="Garamond"/>
          <w:b/>
          <w:bCs/>
          <w:color w:val="0070C0"/>
          <w:sz w:val="22"/>
          <w:szCs w:val="22"/>
        </w:rPr>
        <w:t>9</w:t>
      </w:r>
      <w:r w:rsidRPr="00163C85">
        <w:rPr>
          <w:rFonts w:ascii="Garamond" w:hAnsi="Garamond"/>
          <w:b/>
          <w:bCs/>
          <w:color w:val="0070C0"/>
          <w:sz w:val="22"/>
          <w:szCs w:val="22"/>
        </w:rPr>
        <w:t>)</w:t>
      </w:r>
    </w:p>
    <w:p w14:paraId="27A9D295" w14:textId="77777777" w:rsidR="00563050" w:rsidRPr="00163C85" w:rsidRDefault="00563050" w:rsidP="00563050">
      <w:pPr>
        <w:spacing w:line="360" w:lineRule="auto"/>
        <w:jc w:val="center"/>
        <w:rPr>
          <w:rFonts w:ascii="Garamond" w:hAnsi="Garamond"/>
          <w:b/>
          <w:bCs/>
          <w:sz w:val="22"/>
          <w:szCs w:val="22"/>
        </w:rPr>
      </w:pPr>
    </w:p>
    <w:p w14:paraId="39006D67" w14:textId="77777777" w:rsidR="00563050" w:rsidRPr="00163C85" w:rsidRDefault="00563050" w:rsidP="00563050">
      <w:pPr>
        <w:spacing w:line="360" w:lineRule="auto"/>
        <w:jc w:val="center"/>
        <w:rPr>
          <w:rFonts w:ascii="Garamond" w:hAnsi="Garamond"/>
          <w:color w:val="0070C0"/>
          <w:sz w:val="22"/>
          <w:szCs w:val="22"/>
        </w:rPr>
      </w:pPr>
      <w:r w:rsidRPr="00163C85">
        <w:rPr>
          <w:rFonts w:ascii="Garamond" w:hAnsi="Garamond"/>
          <w:b/>
          <w:bCs/>
          <w:color w:val="0070C0"/>
          <w:sz w:val="22"/>
          <w:szCs w:val="22"/>
        </w:rPr>
        <w:t>On the Refinancing Rate</w:t>
      </w:r>
    </w:p>
    <w:p w14:paraId="6071E900" w14:textId="77777777" w:rsidR="00563050" w:rsidRPr="00163C85" w:rsidRDefault="00563050" w:rsidP="00563050">
      <w:pPr>
        <w:spacing w:line="360" w:lineRule="auto"/>
        <w:jc w:val="center"/>
        <w:rPr>
          <w:rFonts w:ascii="Garamond" w:hAnsi="Garamond"/>
          <w:sz w:val="22"/>
          <w:szCs w:val="22"/>
        </w:rPr>
      </w:pPr>
    </w:p>
    <w:p w14:paraId="0D048403" w14:textId="77777777" w:rsidR="00EA43F7" w:rsidRPr="004D4162" w:rsidRDefault="00EA43F7" w:rsidP="00EA43F7">
      <w:pPr>
        <w:pStyle w:val="BodyText"/>
        <w:spacing w:line="360" w:lineRule="auto"/>
        <w:jc w:val="center"/>
        <w:rPr>
          <w:rFonts w:ascii="Garamond" w:hAnsi="Garamond"/>
          <w:b/>
        </w:rPr>
      </w:pPr>
      <w:r w:rsidRPr="004D4162">
        <w:rPr>
          <w:rFonts w:ascii="Garamond" w:hAnsi="Garamond"/>
          <w:b/>
        </w:rPr>
        <w:t>The CBA Board Meeting of June</w:t>
      </w:r>
      <w:r w:rsidRPr="004D4162">
        <w:rPr>
          <w:rFonts w:ascii="Garamond" w:hAnsi="Garamond"/>
          <w:b/>
          <w:bCs/>
        </w:rPr>
        <w:t xml:space="preserve"> 11, 2019</w:t>
      </w:r>
      <w:r w:rsidRPr="004D4162">
        <w:rPr>
          <w:rFonts w:ascii="Garamond" w:hAnsi="Garamond"/>
          <w:b/>
        </w:rPr>
        <w:t xml:space="preserve"> attended by Governor Arthur Javadyan, Deputy Governors Nerses Yeritsyan and Vakhtang Abrahamyan, and Board Members Arthur Stepanyan, Armenak Darbinyan and Oleg Aghasyan</w:t>
      </w:r>
    </w:p>
    <w:p w14:paraId="014926DC" w14:textId="77777777" w:rsidR="00EA43F7" w:rsidRPr="004D4162" w:rsidRDefault="00EA43F7" w:rsidP="00EA43F7">
      <w:pPr>
        <w:spacing w:line="360" w:lineRule="auto"/>
        <w:jc w:val="both"/>
        <w:rPr>
          <w:rFonts w:ascii="Garamond" w:hAnsi="Garamond"/>
          <w:sz w:val="22"/>
          <w:szCs w:val="22"/>
        </w:rPr>
      </w:pPr>
    </w:p>
    <w:p w14:paraId="6E646923" w14:textId="77777777" w:rsidR="00EA43F7" w:rsidRPr="004D4162" w:rsidRDefault="00EA43F7" w:rsidP="00EA43F7">
      <w:pPr>
        <w:spacing w:line="360" w:lineRule="auto"/>
        <w:jc w:val="both"/>
        <w:rPr>
          <w:rFonts w:ascii="Garamond" w:hAnsi="Garamond"/>
          <w:sz w:val="22"/>
          <w:szCs w:val="22"/>
        </w:rPr>
      </w:pPr>
      <w:r w:rsidRPr="004D4162">
        <w:rPr>
          <w:rFonts w:ascii="Garamond" w:hAnsi="Garamond"/>
          <w:sz w:val="22"/>
          <w:szCs w:val="22"/>
        </w:rPr>
        <w:t xml:space="preserve">The Board meeting opened with presentation of the Situation Report as of June </w:t>
      </w:r>
      <w:r w:rsidRPr="004D4162">
        <w:rPr>
          <w:rFonts w:ascii="Garamond" w:hAnsi="Garamond"/>
          <w:bCs/>
          <w:sz w:val="22"/>
          <w:szCs w:val="22"/>
        </w:rPr>
        <w:t>11, 2019</w:t>
      </w:r>
      <w:r w:rsidRPr="004D4162">
        <w:rPr>
          <w:rFonts w:ascii="Garamond" w:hAnsi="Garamond"/>
          <w:sz w:val="22"/>
          <w:szCs w:val="22"/>
        </w:rPr>
        <w:t xml:space="preserve">. It addressed current developments on inflation, external environment and real, fiscal and monetary sectors of the economy. </w:t>
      </w:r>
    </w:p>
    <w:p w14:paraId="1D224BCB" w14:textId="77777777" w:rsidR="00EA43F7" w:rsidRPr="004D4162" w:rsidRDefault="00EA43F7" w:rsidP="00EA43F7">
      <w:pPr>
        <w:spacing w:line="360" w:lineRule="auto"/>
        <w:jc w:val="both"/>
        <w:rPr>
          <w:rFonts w:ascii="Garamond" w:hAnsi="Garamond"/>
          <w:sz w:val="22"/>
          <w:szCs w:val="22"/>
        </w:rPr>
      </w:pPr>
    </w:p>
    <w:p w14:paraId="47C2754D" w14:textId="77777777" w:rsidR="00EA43F7" w:rsidRPr="004D4162" w:rsidRDefault="00EA43F7" w:rsidP="00EA43F7">
      <w:pPr>
        <w:spacing w:line="360" w:lineRule="auto"/>
        <w:jc w:val="both"/>
        <w:rPr>
          <w:rFonts w:ascii="Garamond" w:hAnsi="Garamond"/>
          <w:sz w:val="22"/>
          <w:szCs w:val="22"/>
        </w:rPr>
      </w:pPr>
      <w:r w:rsidRPr="004D4162">
        <w:rPr>
          <w:rFonts w:ascii="Garamond" w:hAnsi="Garamond"/>
          <w:b/>
          <w:sz w:val="22"/>
          <w:szCs w:val="22"/>
        </w:rPr>
        <w:t>There was 0.4% deflation registered in May 2019</w:t>
      </w:r>
      <w:r w:rsidRPr="004D4162">
        <w:rPr>
          <w:rFonts w:ascii="Garamond" w:hAnsi="Garamond"/>
          <w:sz w:val="22"/>
          <w:szCs w:val="22"/>
        </w:rPr>
        <w:t xml:space="preserve"> which was mainly due to a seasonal decline in prices of the group “Food product and non-alcohol beverage” (1.5%) and, particularly, of the group “Vegetable” (7.8%). The prices of non-food products and service tariffs grew during the month by 0.5% and 0.1%, respectively. As a result, compared to a 1.0% deflation in the same month of the previous year, the 12-month inflation in May has increased, amounting to 2.8%. During the month,</w:t>
      </w:r>
      <w:r w:rsidRPr="004D4162">
        <w:rPr>
          <w:rFonts w:ascii="Garamond" w:hAnsi="Garamond"/>
          <w:b/>
          <w:sz w:val="22"/>
          <w:szCs w:val="22"/>
        </w:rPr>
        <w:t xml:space="preserve"> the 12-month core inflation rate</w:t>
      </w:r>
      <w:r w:rsidRPr="004D4162">
        <w:rPr>
          <w:rFonts w:ascii="Garamond" w:hAnsi="Garamond"/>
          <w:sz w:val="22"/>
          <w:szCs w:val="22"/>
        </w:rPr>
        <w:t xml:space="preserve"> has slightly grown too, </w:t>
      </w:r>
      <w:r w:rsidRPr="004D4162">
        <w:rPr>
          <w:rFonts w:ascii="Garamond" w:hAnsi="Garamond"/>
          <w:b/>
          <w:sz w:val="22"/>
          <w:szCs w:val="22"/>
        </w:rPr>
        <w:t>reaching 1.4%</w:t>
      </w:r>
      <w:r w:rsidRPr="004D4162">
        <w:rPr>
          <w:rFonts w:ascii="Garamond" w:hAnsi="Garamond"/>
          <w:sz w:val="22"/>
          <w:szCs w:val="22"/>
        </w:rPr>
        <w:t xml:space="preserve">. </w:t>
      </w:r>
    </w:p>
    <w:p w14:paraId="0A1ADA8D" w14:textId="77777777" w:rsidR="00EA43F7" w:rsidRPr="004D4162" w:rsidRDefault="00EA43F7" w:rsidP="00EA43F7">
      <w:pPr>
        <w:spacing w:line="360" w:lineRule="auto"/>
        <w:jc w:val="both"/>
        <w:rPr>
          <w:rFonts w:ascii="Garamond" w:hAnsi="Garamond"/>
          <w:sz w:val="22"/>
          <w:szCs w:val="22"/>
        </w:rPr>
      </w:pPr>
    </w:p>
    <w:p w14:paraId="433F02F4" w14:textId="77777777" w:rsidR="00EA43F7" w:rsidRPr="004D4162" w:rsidRDefault="00EA43F7" w:rsidP="00EA43F7">
      <w:pPr>
        <w:spacing w:line="360" w:lineRule="auto"/>
        <w:jc w:val="both"/>
        <w:rPr>
          <w:rFonts w:ascii="Garamond" w:hAnsi="Garamond"/>
          <w:sz w:val="22"/>
          <w:szCs w:val="22"/>
        </w:rPr>
      </w:pPr>
      <w:r w:rsidRPr="004D4162">
        <w:rPr>
          <w:rFonts w:ascii="Garamond" w:hAnsi="Garamond"/>
          <w:sz w:val="22"/>
          <w:szCs w:val="22"/>
        </w:rPr>
        <w:t xml:space="preserve">Addressing the current economic situation, the Board stated that </w:t>
      </w:r>
      <w:r w:rsidRPr="004D4162">
        <w:rPr>
          <w:rFonts w:ascii="Garamond" w:hAnsi="Garamond"/>
          <w:b/>
          <w:sz w:val="22"/>
          <w:szCs w:val="22"/>
        </w:rPr>
        <w:t xml:space="preserve">economic activity over the past period of 2019 has persisted at a rather high level too, with the first quarter’s economic growth having exceeded </w:t>
      </w:r>
      <w:r w:rsidRPr="004D4162">
        <w:rPr>
          <w:rFonts w:ascii="Garamond" w:hAnsi="Garamond"/>
          <w:b/>
          <w:sz w:val="22"/>
          <w:szCs w:val="22"/>
        </w:rPr>
        <w:lastRenderedPageBreak/>
        <w:t>the expectations</w:t>
      </w:r>
      <w:r w:rsidRPr="004D4162">
        <w:rPr>
          <w:rFonts w:ascii="Garamond" w:hAnsi="Garamond"/>
          <w:sz w:val="22"/>
          <w:szCs w:val="22"/>
        </w:rPr>
        <w:t>. The registered high indicator largely owed to the growth in the services sector, which was accompanied by persistently high growth in private consumption. At the same time, domestic demand continued to be curbed during the second quarter as a result of the implemented fiscal policy, but a certain stimulus for demand might be expected over the second half of the year due to the increase in state budget expenditures, as a result of which the fiscal impulse will be neutral on an annual basis. It should be noted that, in light of economic activity remaining strong, the Central Bank has revised the year’s economic growth forecast upside in the Monetary Policy Program for the second quarter of 2019.</w:t>
      </w:r>
    </w:p>
    <w:p w14:paraId="6361192A" w14:textId="77777777" w:rsidR="00EA43F7" w:rsidRPr="004D4162" w:rsidRDefault="00EA43F7" w:rsidP="00EA43F7">
      <w:pPr>
        <w:spacing w:line="360" w:lineRule="auto"/>
        <w:jc w:val="both"/>
        <w:rPr>
          <w:rFonts w:ascii="Garamond" w:hAnsi="Garamond"/>
          <w:sz w:val="22"/>
          <w:szCs w:val="22"/>
        </w:rPr>
      </w:pPr>
    </w:p>
    <w:p w14:paraId="1F0F47E3" w14:textId="333BBD5C" w:rsidR="00EA43F7" w:rsidRPr="004D4162" w:rsidRDefault="00EA43F7" w:rsidP="00EA43F7">
      <w:pPr>
        <w:spacing w:line="360" w:lineRule="auto"/>
        <w:jc w:val="both"/>
        <w:rPr>
          <w:rFonts w:ascii="Garamond" w:hAnsi="Garamond"/>
          <w:sz w:val="22"/>
          <w:szCs w:val="22"/>
        </w:rPr>
      </w:pPr>
      <w:r w:rsidRPr="004D4162">
        <w:rPr>
          <w:rFonts w:ascii="Garamond" w:hAnsi="Garamond"/>
          <w:sz w:val="22"/>
          <w:szCs w:val="22"/>
        </w:rPr>
        <w:t xml:space="preserve">Trends in the external sector were discussed at the Board’s meeting, according to which the slowing of global economic and demand growth rates continues, which comes in line with further uncertainties associated with the escalation of trade wars. The latter reflected the deterioration of economic growth outlooks of major trade partner countries </w:t>
      </w:r>
      <w:r w:rsidR="00E9289B">
        <w:rPr>
          <w:rFonts w:ascii="Garamond" w:hAnsi="Garamond"/>
          <w:sz w:val="22"/>
          <w:szCs w:val="22"/>
        </w:rPr>
        <w:t xml:space="preserve"> of</w:t>
      </w:r>
      <w:r w:rsidR="00E9289B" w:rsidRPr="004D4162">
        <w:rPr>
          <w:rFonts w:ascii="Garamond" w:hAnsi="Garamond"/>
          <w:sz w:val="22"/>
          <w:szCs w:val="22"/>
        </w:rPr>
        <w:t xml:space="preserve"> </w:t>
      </w:r>
      <w:r w:rsidRPr="004D4162">
        <w:rPr>
          <w:rFonts w:ascii="Garamond" w:hAnsi="Garamond"/>
          <w:sz w:val="22"/>
          <w:szCs w:val="22"/>
        </w:rPr>
        <w:t xml:space="preserve">Armenia, which implies that they will pursue a more moderate monetary policy in future. In the meantime, in the international markets of basic commodities and food products, despite the rise in prices for some commodities, the inflationary environment remains low. </w:t>
      </w:r>
    </w:p>
    <w:p w14:paraId="28458AF6" w14:textId="77777777" w:rsidR="00EA43F7" w:rsidRPr="004D4162" w:rsidRDefault="00EA43F7" w:rsidP="00EA43F7">
      <w:pPr>
        <w:spacing w:line="360" w:lineRule="auto"/>
        <w:jc w:val="both"/>
        <w:rPr>
          <w:rFonts w:ascii="Garamond" w:hAnsi="Garamond"/>
          <w:sz w:val="22"/>
          <w:szCs w:val="22"/>
        </w:rPr>
      </w:pPr>
    </w:p>
    <w:p w14:paraId="0EF0BB63" w14:textId="77777777" w:rsidR="00EA43F7" w:rsidRPr="004D4162" w:rsidRDefault="00EA43F7" w:rsidP="00EA43F7">
      <w:pPr>
        <w:spacing w:line="360" w:lineRule="auto"/>
        <w:jc w:val="both"/>
        <w:rPr>
          <w:rFonts w:ascii="Garamond" w:hAnsi="Garamond"/>
          <w:sz w:val="22"/>
          <w:szCs w:val="22"/>
        </w:rPr>
      </w:pPr>
      <w:r w:rsidRPr="004D4162">
        <w:rPr>
          <w:rFonts w:ascii="Garamond" w:hAnsi="Garamond"/>
          <w:sz w:val="22"/>
          <w:szCs w:val="22"/>
        </w:rPr>
        <w:t xml:space="preserve">The Board talked about the developments in the domestic financial market, stating that in the second quarter too </w:t>
      </w:r>
      <w:r w:rsidRPr="004D4162">
        <w:rPr>
          <w:rFonts w:ascii="Garamond" w:hAnsi="Garamond"/>
          <w:b/>
          <w:sz w:val="22"/>
          <w:szCs w:val="22"/>
        </w:rPr>
        <w:t>financial market interest rates were fluctuating around the policy rate of the Central Bank</w:t>
      </w:r>
      <w:r w:rsidRPr="004D4162">
        <w:rPr>
          <w:rFonts w:ascii="Garamond" w:hAnsi="Garamond"/>
          <w:sz w:val="22"/>
          <w:szCs w:val="22"/>
        </w:rPr>
        <w:t xml:space="preserve">. </w:t>
      </w:r>
    </w:p>
    <w:p w14:paraId="44518B66" w14:textId="77777777" w:rsidR="00EA43F7" w:rsidRPr="004D4162" w:rsidRDefault="00EA43F7" w:rsidP="00EA43F7">
      <w:pPr>
        <w:spacing w:line="360" w:lineRule="auto"/>
        <w:jc w:val="both"/>
        <w:rPr>
          <w:rFonts w:ascii="Garamond" w:hAnsi="Garamond"/>
          <w:sz w:val="22"/>
          <w:szCs w:val="22"/>
        </w:rPr>
      </w:pPr>
    </w:p>
    <w:p w14:paraId="075D9802" w14:textId="77777777" w:rsidR="00EA43F7" w:rsidRPr="004D4162" w:rsidRDefault="00EA43F7" w:rsidP="00EA43F7">
      <w:pPr>
        <w:spacing w:line="360" w:lineRule="auto"/>
        <w:jc w:val="both"/>
        <w:rPr>
          <w:rFonts w:ascii="Garamond" w:hAnsi="Garamond"/>
          <w:sz w:val="22"/>
          <w:szCs w:val="22"/>
        </w:rPr>
      </w:pPr>
      <w:r w:rsidRPr="004D4162">
        <w:rPr>
          <w:rFonts w:ascii="Garamond" w:hAnsi="Garamond"/>
          <w:sz w:val="22"/>
          <w:szCs w:val="22"/>
        </w:rPr>
        <w:t xml:space="preserve">Following presentation of the Situation Report and the developments in external and domestic macroeconomic environments, the Board began addressing the monetary policy directions and making decision on the interest rate. The Board estimates that, in the current situation, low inflation contributes to anchoring long-term inflation expectations and maintaining the purchasing power of income, and since gradual recovery of inflation is preferable for now and in view of the inflationary effects expected of both the external sector and domestic economy in the near future, </w:t>
      </w:r>
      <w:r w:rsidRPr="004D4162">
        <w:rPr>
          <w:rFonts w:ascii="Garamond" w:hAnsi="Garamond"/>
          <w:b/>
          <w:sz w:val="22"/>
          <w:szCs w:val="22"/>
        </w:rPr>
        <w:t>leaving the refinancing rate unchanged is appropriate</w:t>
      </w:r>
      <w:r w:rsidRPr="004D4162">
        <w:rPr>
          <w:rFonts w:ascii="Garamond" w:hAnsi="Garamond"/>
          <w:sz w:val="22"/>
          <w:szCs w:val="22"/>
        </w:rPr>
        <w:t>. The Board has a consensus that given the predictable macroeconomic developments, the monetary conditions have to be kept expansionary for as long as needed for fulfillment of the inflation target in the medium run. As a result, the expectation is that the inflation will run below the target in the coming months but will be stabilizing around it later on.</w:t>
      </w:r>
    </w:p>
    <w:p w14:paraId="2C9D30F0" w14:textId="77777777" w:rsidR="00EA43F7" w:rsidRPr="004D4162" w:rsidRDefault="00EA43F7" w:rsidP="00EA43F7">
      <w:pPr>
        <w:spacing w:line="360" w:lineRule="auto"/>
        <w:jc w:val="both"/>
        <w:rPr>
          <w:rFonts w:ascii="Garamond" w:hAnsi="Garamond"/>
          <w:sz w:val="22"/>
          <w:szCs w:val="22"/>
        </w:rPr>
      </w:pPr>
    </w:p>
    <w:p w14:paraId="256B211C" w14:textId="77777777" w:rsidR="00EA43F7" w:rsidRPr="004D4162" w:rsidRDefault="00EA43F7" w:rsidP="00EA43F7">
      <w:pPr>
        <w:spacing w:line="360" w:lineRule="auto"/>
        <w:jc w:val="both"/>
        <w:rPr>
          <w:rFonts w:ascii="Garamond" w:hAnsi="Garamond"/>
          <w:sz w:val="22"/>
          <w:szCs w:val="22"/>
        </w:rPr>
      </w:pPr>
      <w:r w:rsidRPr="004D4162">
        <w:rPr>
          <w:rFonts w:ascii="Garamond" w:hAnsi="Garamond"/>
          <w:sz w:val="22"/>
          <w:szCs w:val="22"/>
        </w:rPr>
        <w:t xml:space="preserve">The Board also touched upon current inflation risks which are associated with global economic development uncertainties and a possibly more contractionary pace of the fiscal policy. If these risks materialize, an appropriate monetary policy response will be needed to ensure price stability in the medium term.           </w:t>
      </w:r>
    </w:p>
    <w:p w14:paraId="19E1F24F" w14:textId="77777777" w:rsidR="00EA43F7" w:rsidRPr="004D4162" w:rsidRDefault="00EA43F7" w:rsidP="00EA43F7">
      <w:pPr>
        <w:spacing w:line="360" w:lineRule="auto"/>
        <w:jc w:val="both"/>
        <w:rPr>
          <w:rFonts w:ascii="Garamond" w:hAnsi="Garamond"/>
          <w:sz w:val="22"/>
          <w:szCs w:val="22"/>
        </w:rPr>
      </w:pPr>
    </w:p>
    <w:p w14:paraId="0C1990F3" w14:textId="77777777" w:rsidR="007A3B46" w:rsidRPr="00163C85" w:rsidRDefault="00EA43F7" w:rsidP="00EA43F7">
      <w:pPr>
        <w:spacing w:line="360" w:lineRule="auto"/>
        <w:jc w:val="both"/>
        <w:rPr>
          <w:rFonts w:ascii="Garamond" w:hAnsi="Garamond"/>
          <w:sz w:val="22"/>
          <w:szCs w:val="22"/>
        </w:rPr>
      </w:pPr>
      <w:r w:rsidRPr="004D4162">
        <w:rPr>
          <w:rFonts w:ascii="Garamond" w:hAnsi="Garamond"/>
          <w:sz w:val="22"/>
          <w:szCs w:val="22"/>
        </w:rPr>
        <w:t>The Board approved the decision on interest rates of monetary instruments of the Central Bank and the proposed press release, which are attached hereto.</w:t>
      </w:r>
    </w:p>
    <w:p w14:paraId="4BDA825C" w14:textId="77777777" w:rsidR="007A3B46" w:rsidRPr="00163C85" w:rsidRDefault="007A3B46" w:rsidP="007A3B46">
      <w:pPr>
        <w:spacing w:line="360" w:lineRule="auto"/>
        <w:jc w:val="center"/>
        <w:rPr>
          <w:rFonts w:ascii="Garamond" w:hAnsi="Garamond"/>
          <w:b/>
          <w:sz w:val="22"/>
          <w:szCs w:val="22"/>
        </w:rPr>
      </w:pPr>
    </w:p>
    <w:p w14:paraId="18C7D339" w14:textId="77777777" w:rsidR="007A3B46" w:rsidRPr="00163C85" w:rsidRDefault="007A3B46" w:rsidP="007A3B46">
      <w:pPr>
        <w:spacing w:line="360" w:lineRule="auto"/>
        <w:jc w:val="center"/>
        <w:rPr>
          <w:rFonts w:ascii="Garamond" w:hAnsi="Garamond"/>
          <w:b/>
          <w:sz w:val="22"/>
          <w:szCs w:val="22"/>
        </w:rPr>
      </w:pPr>
    </w:p>
    <w:p w14:paraId="44FEF657" w14:textId="77777777" w:rsidR="007A3B46" w:rsidRPr="00163C85" w:rsidRDefault="007A3B46" w:rsidP="007A3B46">
      <w:pPr>
        <w:spacing w:line="360" w:lineRule="auto"/>
        <w:jc w:val="center"/>
        <w:rPr>
          <w:rFonts w:ascii="Garamond" w:hAnsi="Garamond"/>
          <w:b/>
          <w:sz w:val="22"/>
          <w:szCs w:val="22"/>
        </w:rPr>
      </w:pPr>
    </w:p>
    <w:p w14:paraId="043D5022" w14:textId="77777777" w:rsidR="007A3B46" w:rsidRPr="00163C85" w:rsidRDefault="007A3B46" w:rsidP="007A3B46">
      <w:pPr>
        <w:spacing w:line="360" w:lineRule="auto"/>
        <w:jc w:val="both"/>
        <w:rPr>
          <w:rFonts w:ascii="Garamond" w:hAnsi="Garamond"/>
          <w:b/>
          <w:color w:val="0070C0"/>
          <w:sz w:val="22"/>
          <w:szCs w:val="22"/>
        </w:rPr>
      </w:pPr>
    </w:p>
    <w:p w14:paraId="3F37EABD" w14:textId="77777777" w:rsidR="007A3B46" w:rsidRPr="00163C85" w:rsidRDefault="007A3B46" w:rsidP="007A3B46">
      <w:pPr>
        <w:spacing w:line="360" w:lineRule="auto"/>
        <w:jc w:val="both"/>
        <w:rPr>
          <w:rFonts w:ascii="Garamond" w:hAnsi="Garamond"/>
          <w:b/>
          <w:color w:val="0070C0"/>
          <w:sz w:val="22"/>
          <w:szCs w:val="22"/>
        </w:rPr>
      </w:pPr>
    </w:p>
    <w:p w14:paraId="5F352BF3" w14:textId="77777777" w:rsidR="007A3B46" w:rsidRPr="00163C85" w:rsidRDefault="007A3B46" w:rsidP="007A3B46">
      <w:pPr>
        <w:spacing w:line="360" w:lineRule="auto"/>
        <w:jc w:val="both"/>
        <w:rPr>
          <w:rFonts w:ascii="Garamond" w:hAnsi="Garamond"/>
          <w:b/>
          <w:color w:val="0070C0"/>
          <w:sz w:val="22"/>
          <w:szCs w:val="22"/>
        </w:rPr>
      </w:pPr>
    </w:p>
    <w:p w14:paraId="15E3FA92" w14:textId="77777777" w:rsidR="007A3B46" w:rsidRPr="00163C85" w:rsidRDefault="007A3B46" w:rsidP="007A3B46">
      <w:pPr>
        <w:spacing w:line="360" w:lineRule="auto"/>
        <w:jc w:val="both"/>
        <w:rPr>
          <w:rFonts w:ascii="Garamond" w:hAnsi="Garamond"/>
          <w:b/>
          <w:color w:val="0070C0"/>
          <w:sz w:val="22"/>
          <w:szCs w:val="22"/>
        </w:rPr>
      </w:pPr>
    </w:p>
    <w:p w14:paraId="66107F17" w14:textId="77777777" w:rsidR="007A3B46" w:rsidRPr="00163C85" w:rsidRDefault="007A3B46" w:rsidP="007A3B46">
      <w:pPr>
        <w:spacing w:line="360" w:lineRule="auto"/>
        <w:jc w:val="both"/>
        <w:rPr>
          <w:rFonts w:ascii="Garamond" w:hAnsi="Garamond"/>
          <w:b/>
          <w:color w:val="0070C0"/>
          <w:sz w:val="22"/>
          <w:szCs w:val="22"/>
        </w:rPr>
      </w:pPr>
    </w:p>
    <w:p w14:paraId="21E87D35" w14:textId="77777777" w:rsidR="007A3B46" w:rsidRPr="00163C85" w:rsidRDefault="007A3B46" w:rsidP="007A3B46">
      <w:pPr>
        <w:spacing w:line="360" w:lineRule="auto"/>
        <w:jc w:val="both"/>
        <w:rPr>
          <w:rFonts w:ascii="Garamond" w:hAnsi="Garamond"/>
          <w:b/>
          <w:color w:val="0070C0"/>
          <w:sz w:val="22"/>
          <w:szCs w:val="22"/>
        </w:rPr>
      </w:pPr>
    </w:p>
    <w:p w14:paraId="6F182AA6" w14:textId="77777777" w:rsidR="007A3B46" w:rsidRPr="00163C85" w:rsidRDefault="007A3B46" w:rsidP="007A3B46">
      <w:pPr>
        <w:spacing w:line="360" w:lineRule="auto"/>
        <w:jc w:val="both"/>
        <w:rPr>
          <w:rFonts w:ascii="Garamond" w:hAnsi="Garamond"/>
          <w:b/>
          <w:color w:val="0070C0"/>
          <w:sz w:val="22"/>
          <w:szCs w:val="22"/>
        </w:rPr>
      </w:pPr>
    </w:p>
    <w:p w14:paraId="0D291EB0" w14:textId="77777777" w:rsidR="00993B9C" w:rsidRDefault="00993B9C" w:rsidP="00993B9C">
      <w:pPr>
        <w:spacing w:line="360" w:lineRule="auto"/>
        <w:jc w:val="center"/>
        <w:rPr>
          <w:rFonts w:ascii="Garamond" w:hAnsi="Garamond"/>
          <w:b/>
          <w:color w:val="0070C0"/>
          <w:sz w:val="22"/>
          <w:szCs w:val="22"/>
        </w:rPr>
      </w:pPr>
      <w:r>
        <w:rPr>
          <w:rFonts w:ascii="Garamond" w:hAnsi="Garamond"/>
          <w:b/>
          <w:color w:val="0070C0"/>
          <w:sz w:val="22"/>
          <w:szCs w:val="22"/>
        </w:rPr>
        <w:t>Board of the Central Bank of Armenia</w:t>
      </w:r>
    </w:p>
    <w:p w14:paraId="7D8B0D7E" w14:textId="77777777" w:rsidR="00993B9C" w:rsidRDefault="00993B9C" w:rsidP="00993B9C">
      <w:pPr>
        <w:spacing w:line="360" w:lineRule="auto"/>
        <w:jc w:val="center"/>
        <w:rPr>
          <w:rFonts w:ascii="Garamond" w:hAnsi="Garamond"/>
          <w:b/>
          <w:color w:val="0070C0"/>
          <w:sz w:val="22"/>
          <w:szCs w:val="22"/>
        </w:rPr>
      </w:pPr>
      <w:r>
        <w:rPr>
          <w:rFonts w:ascii="Garamond" w:hAnsi="Garamond"/>
          <w:b/>
          <w:color w:val="0070C0"/>
          <w:sz w:val="22"/>
          <w:szCs w:val="22"/>
        </w:rPr>
        <w:t>RESOLUTION</w:t>
      </w:r>
    </w:p>
    <w:p w14:paraId="5A918685" w14:textId="77777777" w:rsidR="007A3B46" w:rsidRPr="00163C85" w:rsidRDefault="007A3B46" w:rsidP="00993B9C">
      <w:pPr>
        <w:spacing w:line="360" w:lineRule="auto"/>
        <w:jc w:val="center"/>
        <w:rPr>
          <w:rFonts w:ascii="Garamond" w:hAnsi="Garamond"/>
          <w:b/>
          <w:color w:val="0070C0"/>
          <w:sz w:val="22"/>
          <w:szCs w:val="22"/>
        </w:rPr>
      </w:pPr>
      <w:r w:rsidRPr="00163C85">
        <w:rPr>
          <w:rFonts w:ascii="Garamond" w:hAnsi="Garamond"/>
          <w:b/>
          <w:color w:val="0070C0"/>
          <w:sz w:val="22"/>
          <w:szCs w:val="22"/>
        </w:rPr>
        <w:t>Interest Rate</w:t>
      </w:r>
      <w:r w:rsidR="00993B9C">
        <w:rPr>
          <w:rFonts w:ascii="Garamond" w:hAnsi="Garamond"/>
          <w:b/>
          <w:color w:val="0070C0"/>
          <w:sz w:val="22"/>
          <w:szCs w:val="22"/>
        </w:rPr>
        <w:t>s of Operations by the Central Bank of the Republic of Armenia in the Financial Market</w:t>
      </w:r>
    </w:p>
    <w:p w14:paraId="1BE27DF3" w14:textId="77777777" w:rsidR="007A3B46" w:rsidRPr="00163C85" w:rsidRDefault="007A3B46" w:rsidP="007A3B46">
      <w:pPr>
        <w:spacing w:line="360" w:lineRule="auto"/>
        <w:jc w:val="center"/>
        <w:rPr>
          <w:rFonts w:ascii="Garamond" w:hAnsi="Garamond"/>
          <w:sz w:val="22"/>
          <w:szCs w:val="22"/>
        </w:rPr>
      </w:pPr>
    </w:p>
    <w:p w14:paraId="5B06A0C0" w14:textId="77777777" w:rsidR="00993B9C" w:rsidRPr="00163C85" w:rsidRDefault="00993B9C" w:rsidP="00993B9C">
      <w:pPr>
        <w:spacing w:line="360" w:lineRule="auto"/>
        <w:jc w:val="both"/>
        <w:rPr>
          <w:rFonts w:ascii="Garamond" w:hAnsi="Garamond"/>
          <w:sz w:val="22"/>
          <w:szCs w:val="22"/>
        </w:rPr>
      </w:pPr>
      <w:r w:rsidRPr="00163C85">
        <w:rPr>
          <w:rFonts w:ascii="Garamond" w:hAnsi="Garamond"/>
          <w:sz w:val="22"/>
          <w:szCs w:val="22"/>
        </w:rPr>
        <w:t xml:space="preserve">By virtue of Article 20 (c) of the Republic of Armenia Law on the Central Bank, the Board of the Central Bank of the Republic of Armenia </w:t>
      </w:r>
      <w:r w:rsidRPr="00163C85">
        <w:rPr>
          <w:rFonts w:ascii="Garamond" w:hAnsi="Garamond"/>
          <w:b/>
          <w:sz w:val="22"/>
          <w:szCs w:val="22"/>
        </w:rPr>
        <w:t>enacts:</w:t>
      </w:r>
    </w:p>
    <w:p w14:paraId="2851DEE9" w14:textId="77777777" w:rsidR="00993B9C" w:rsidRPr="00163C85" w:rsidRDefault="00993B9C" w:rsidP="00993B9C">
      <w:pPr>
        <w:spacing w:line="360" w:lineRule="auto"/>
        <w:jc w:val="both"/>
        <w:rPr>
          <w:rFonts w:ascii="Garamond" w:hAnsi="Garamond"/>
          <w:sz w:val="22"/>
          <w:szCs w:val="22"/>
        </w:rPr>
      </w:pPr>
      <w:r w:rsidRPr="00163C85">
        <w:rPr>
          <w:rFonts w:ascii="Garamond" w:hAnsi="Garamond"/>
          <w:sz w:val="22"/>
          <w:szCs w:val="22"/>
        </w:rPr>
        <w:t>1.</w:t>
      </w:r>
      <w:r w:rsidRPr="00163C85">
        <w:rPr>
          <w:rFonts w:ascii="Garamond" w:hAnsi="Garamond"/>
          <w:sz w:val="22"/>
          <w:szCs w:val="22"/>
        </w:rPr>
        <w:tab/>
      </w:r>
      <w:r>
        <w:rPr>
          <w:rFonts w:ascii="Garamond" w:hAnsi="Garamond"/>
          <w:sz w:val="22"/>
          <w:szCs w:val="22"/>
        </w:rPr>
        <w:t xml:space="preserve">To leave </w:t>
      </w:r>
      <w:r w:rsidRPr="00163C85">
        <w:rPr>
          <w:rFonts w:ascii="Garamond" w:hAnsi="Garamond"/>
          <w:sz w:val="22"/>
          <w:szCs w:val="22"/>
        </w:rPr>
        <w:t xml:space="preserve">the refinancing rate of the Central Bank of the Republic of Armenia </w:t>
      </w:r>
      <w:r>
        <w:rPr>
          <w:rFonts w:ascii="Garamond" w:hAnsi="Garamond"/>
          <w:sz w:val="22"/>
          <w:szCs w:val="22"/>
        </w:rPr>
        <w:t>unchanged, 5</w:t>
      </w:r>
      <w:r w:rsidRPr="00163C85">
        <w:rPr>
          <w:rFonts w:ascii="Garamond" w:hAnsi="Garamond"/>
          <w:sz w:val="22"/>
          <w:szCs w:val="22"/>
        </w:rPr>
        <w:t>.</w:t>
      </w:r>
      <w:r>
        <w:rPr>
          <w:rFonts w:ascii="Garamond" w:hAnsi="Garamond"/>
          <w:sz w:val="22"/>
          <w:szCs w:val="22"/>
        </w:rPr>
        <w:t>75</w:t>
      </w:r>
      <w:r w:rsidRPr="00163C85">
        <w:rPr>
          <w:rFonts w:ascii="Garamond" w:hAnsi="Garamond"/>
          <w:sz w:val="22"/>
          <w:szCs w:val="22"/>
        </w:rPr>
        <w:t>%.</w:t>
      </w:r>
    </w:p>
    <w:p w14:paraId="67E15F78" w14:textId="77777777" w:rsidR="00993B9C" w:rsidRPr="00163C85" w:rsidRDefault="00993B9C" w:rsidP="00993B9C">
      <w:pPr>
        <w:spacing w:line="360" w:lineRule="auto"/>
        <w:jc w:val="both"/>
        <w:rPr>
          <w:rFonts w:ascii="Garamond" w:hAnsi="Garamond"/>
          <w:sz w:val="22"/>
          <w:szCs w:val="22"/>
        </w:rPr>
      </w:pPr>
      <w:r w:rsidRPr="00163C85">
        <w:rPr>
          <w:rFonts w:ascii="Garamond" w:hAnsi="Garamond"/>
          <w:sz w:val="22"/>
          <w:szCs w:val="22"/>
        </w:rPr>
        <w:t>2.</w:t>
      </w:r>
      <w:r w:rsidRPr="00163C85">
        <w:rPr>
          <w:rFonts w:ascii="Garamond" w:hAnsi="Garamond"/>
          <w:sz w:val="22"/>
          <w:szCs w:val="22"/>
        </w:rPr>
        <w:tab/>
        <w:t>To the Financial Department of the Central Bank of the Republic of Armenia to carry out operations in the financial market of the Republic of Armenia, using the interest rates, as follows:</w:t>
      </w:r>
    </w:p>
    <w:p w14:paraId="4C185BBB" w14:textId="77777777" w:rsidR="00993B9C" w:rsidRPr="00163C85" w:rsidRDefault="00993B9C" w:rsidP="00993B9C">
      <w:pPr>
        <w:spacing w:line="360" w:lineRule="auto"/>
        <w:jc w:val="both"/>
        <w:rPr>
          <w:rFonts w:ascii="Garamond" w:hAnsi="Garamond"/>
          <w:sz w:val="22"/>
          <w:szCs w:val="22"/>
        </w:rPr>
      </w:pPr>
      <w:r w:rsidRPr="00163C85">
        <w:rPr>
          <w:rFonts w:ascii="Garamond" w:hAnsi="Garamond"/>
          <w:sz w:val="22"/>
          <w:szCs w:val="22"/>
        </w:rPr>
        <w:t>2.1</w:t>
      </w:r>
      <w:r w:rsidRPr="00163C85">
        <w:rPr>
          <w:rFonts w:ascii="Garamond" w:hAnsi="Garamond"/>
          <w:sz w:val="22"/>
          <w:szCs w:val="22"/>
        </w:rPr>
        <w:tab/>
        <w:t>Lombard facility rate offered by the Central Bank to be 7.</w:t>
      </w:r>
      <w:r>
        <w:rPr>
          <w:rFonts w:ascii="Garamond" w:hAnsi="Garamond"/>
          <w:sz w:val="22"/>
          <w:szCs w:val="22"/>
        </w:rPr>
        <w:t>2</w:t>
      </w:r>
      <w:r w:rsidRPr="00163C85">
        <w:rPr>
          <w:rFonts w:ascii="Garamond" w:hAnsi="Garamond"/>
          <w:sz w:val="22"/>
          <w:szCs w:val="22"/>
        </w:rPr>
        <w:t>5%.</w:t>
      </w:r>
    </w:p>
    <w:p w14:paraId="5D83E64E" w14:textId="77777777" w:rsidR="00993B9C" w:rsidRPr="00163C85" w:rsidRDefault="00993B9C" w:rsidP="00993B9C">
      <w:pPr>
        <w:spacing w:line="360" w:lineRule="auto"/>
        <w:jc w:val="both"/>
        <w:rPr>
          <w:rFonts w:ascii="Garamond" w:hAnsi="Garamond"/>
          <w:sz w:val="22"/>
          <w:szCs w:val="22"/>
        </w:rPr>
      </w:pPr>
      <w:r w:rsidRPr="00163C85">
        <w:rPr>
          <w:rFonts w:ascii="Garamond" w:hAnsi="Garamond"/>
          <w:sz w:val="22"/>
          <w:szCs w:val="22"/>
        </w:rPr>
        <w:t>2.2.</w:t>
      </w:r>
      <w:r w:rsidRPr="00163C85">
        <w:rPr>
          <w:rFonts w:ascii="Garamond" w:hAnsi="Garamond"/>
          <w:sz w:val="22"/>
          <w:szCs w:val="22"/>
        </w:rPr>
        <w:tab/>
        <w:t>Deposit facility rate offered by the Central Bank to be 4.</w:t>
      </w:r>
      <w:r>
        <w:rPr>
          <w:rFonts w:ascii="Garamond" w:hAnsi="Garamond"/>
          <w:sz w:val="22"/>
          <w:szCs w:val="22"/>
        </w:rPr>
        <w:t>2</w:t>
      </w:r>
      <w:r w:rsidRPr="00163C85">
        <w:rPr>
          <w:rFonts w:ascii="Garamond" w:hAnsi="Garamond"/>
          <w:sz w:val="22"/>
          <w:szCs w:val="22"/>
        </w:rPr>
        <w:t>5%.</w:t>
      </w:r>
    </w:p>
    <w:p w14:paraId="28272238" w14:textId="77777777" w:rsidR="00993B9C" w:rsidRPr="00163C85" w:rsidRDefault="00993B9C" w:rsidP="00993B9C">
      <w:pPr>
        <w:spacing w:line="360" w:lineRule="auto"/>
        <w:jc w:val="both"/>
        <w:rPr>
          <w:rFonts w:ascii="Garamond" w:hAnsi="Garamond"/>
          <w:sz w:val="22"/>
          <w:szCs w:val="22"/>
        </w:rPr>
      </w:pPr>
      <w:r w:rsidRPr="00163C85">
        <w:rPr>
          <w:rFonts w:ascii="Garamond" w:hAnsi="Garamond"/>
          <w:sz w:val="22"/>
          <w:szCs w:val="22"/>
        </w:rPr>
        <w:t>3.</w:t>
      </w:r>
      <w:r w:rsidRPr="00163C85">
        <w:rPr>
          <w:rFonts w:ascii="Garamond" w:hAnsi="Garamond"/>
          <w:sz w:val="22"/>
          <w:szCs w:val="22"/>
        </w:rPr>
        <w:tab/>
        <w:t>This decision shall take force on the day following the adoption thereof.</w:t>
      </w:r>
    </w:p>
    <w:p w14:paraId="005876B2" w14:textId="77777777" w:rsidR="00993B9C" w:rsidRPr="00163C85" w:rsidRDefault="00993B9C" w:rsidP="00993B9C">
      <w:pPr>
        <w:spacing w:line="360" w:lineRule="auto"/>
        <w:jc w:val="both"/>
        <w:rPr>
          <w:rFonts w:ascii="Garamond" w:hAnsi="Garamond"/>
          <w:sz w:val="22"/>
          <w:szCs w:val="22"/>
        </w:rPr>
      </w:pPr>
    </w:p>
    <w:p w14:paraId="5CCE2E8E" w14:textId="77777777" w:rsidR="00993B9C" w:rsidRPr="00163C85" w:rsidRDefault="00EA43F7" w:rsidP="00993B9C">
      <w:pPr>
        <w:spacing w:line="360" w:lineRule="auto"/>
        <w:jc w:val="both"/>
        <w:rPr>
          <w:rFonts w:ascii="Garamond" w:hAnsi="Garamond"/>
          <w:b/>
          <w:sz w:val="22"/>
          <w:szCs w:val="22"/>
        </w:rPr>
      </w:pPr>
      <w:r>
        <w:rPr>
          <w:rFonts w:ascii="Garamond" w:hAnsi="Garamond"/>
          <w:b/>
          <w:sz w:val="22"/>
          <w:szCs w:val="22"/>
        </w:rPr>
        <w:t>Arthur Javadyan</w:t>
      </w:r>
      <w:r w:rsidR="00993B9C" w:rsidRPr="00163C85">
        <w:rPr>
          <w:rFonts w:ascii="Garamond" w:hAnsi="Garamond"/>
          <w:b/>
          <w:sz w:val="22"/>
          <w:szCs w:val="22"/>
        </w:rPr>
        <w:t>,</w:t>
      </w:r>
    </w:p>
    <w:p w14:paraId="6CDCD7A6" w14:textId="77777777" w:rsidR="00993B9C" w:rsidRPr="00163C85" w:rsidRDefault="00EA43F7" w:rsidP="00993B9C">
      <w:pPr>
        <w:spacing w:line="360" w:lineRule="auto"/>
        <w:jc w:val="both"/>
        <w:rPr>
          <w:rFonts w:ascii="Garamond" w:hAnsi="Garamond"/>
          <w:b/>
          <w:sz w:val="22"/>
          <w:szCs w:val="22"/>
        </w:rPr>
      </w:pPr>
      <w:r>
        <w:rPr>
          <w:rFonts w:ascii="Garamond" w:hAnsi="Garamond"/>
          <w:b/>
          <w:sz w:val="22"/>
          <w:szCs w:val="22"/>
        </w:rPr>
        <w:t xml:space="preserve">Governor </w:t>
      </w:r>
      <w:r w:rsidR="00993B9C" w:rsidRPr="00163C85">
        <w:rPr>
          <w:rFonts w:ascii="Garamond" w:hAnsi="Garamond"/>
          <w:b/>
          <w:sz w:val="22"/>
          <w:szCs w:val="22"/>
        </w:rPr>
        <w:t>of the Central Bank</w:t>
      </w:r>
    </w:p>
    <w:p w14:paraId="6F49F044" w14:textId="77777777" w:rsidR="00993B9C" w:rsidRPr="00163C85" w:rsidRDefault="00993B9C" w:rsidP="00993B9C">
      <w:pPr>
        <w:spacing w:line="360" w:lineRule="auto"/>
        <w:jc w:val="both"/>
        <w:rPr>
          <w:rFonts w:ascii="Garamond" w:hAnsi="Garamond"/>
          <w:b/>
          <w:sz w:val="22"/>
          <w:szCs w:val="22"/>
        </w:rPr>
      </w:pPr>
    </w:p>
    <w:p w14:paraId="02934F60" w14:textId="77777777" w:rsidR="00993B9C" w:rsidRPr="00163C85" w:rsidRDefault="00EA43F7" w:rsidP="00993B9C">
      <w:pPr>
        <w:spacing w:line="360" w:lineRule="auto"/>
        <w:jc w:val="both"/>
        <w:rPr>
          <w:rFonts w:ascii="Garamond" w:hAnsi="Garamond"/>
          <w:sz w:val="22"/>
          <w:szCs w:val="22"/>
        </w:rPr>
      </w:pPr>
      <w:r>
        <w:rPr>
          <w:rFonts w:ascii="Garamond" w:hAnsi="Garamond"/>
          <w:b/>
          <w:sz w:val="22"/>
          <w:szCs w:val="22"/>
        </w:rPr>
        <w:t>June</w:t>
      </w:r>
      <w:r w:rsidR="00993B9C" w:rsidRPr="00163C85">
        <w:rPr>
          <w:rFonts w:ascii="Garamond" w:hAnsi="Garamond"/>
          <w:b/>
          <w:sz w:val="22"/>
          <w:szCs w:val="22"/>
        </w:rPr>
        <w:t xml:space="preserve"> </w:t>
      </w:r>
      <w:r w:rsidR="00993B9C">
        <w:rPr>
          <w:rFonts w:ascii="Garamond" w:hAnsi="Garamond"/>
          <w:b/>
          <w:sz w:val="22"/>
          <w:szCs w:val="22"/>
        </w:rPr>
        <w:t>1</w:t>
      </w:r>
      <w:r>
        <w:rPr>
          <w:rFonts w:ascii="Garamond" w:hAnsi="Garamond"/>
          <w:b/>
          <w:sz w:val="22"/>
          <w:szCs w:val="22"/>
        </w:rPr>
        <w:t>1</w:t>
      </w:r>
      <w:r w:rsidR="00993B9C" w:rsidRPr="00163C85">
        <w:rPr>
          <w:rFonts w:ascii="Garamond" w:hAnsi="Garamond"/>
          <w:b/>
          <w:sz w:val="22"/>
          <w:szCs w:val="22"/>
        </w:rPr>
        <w:t>, 201</w:t>
      </w:r>
      <w:r w:rsidR="00993B9C">
        <w:rPr>
          <w:rFonts w:ascii="Garamond" w:hAnsi="Garamond"/>
          <w:b/>
          <w:sz w:val="22"/>
          <w:szCs w:val="22"/>
        </w:rPr>
        <w:t>9</w:t>
      </w:r>
    </w:p>
    <w:p w14:paraId="6858D44A" w14:textId="77777777" w:rsidR="00993B9C" w:rsidRPr="00163C85" w:rsidRDefault="00993B9C" w:rsidP="00993B9C">
      <w:pPr>
        <w:spacing w:line="360" w:lineRule="auto"/>
        <w:jc w:val="both"/>
        <w:rPr>
          <w:rFonts w:ascii="Garamond" w:hAnsi="Garamond"/>
          <w:sz w:val="22"/>
          <w:szCs w:val="22"/>
        </w:rPr>
      </w:pPr>
      <w:r w:rsidRPr="00163C85">
        <w:rPr>
          <w:rFonts w:ascii="Garamond" w:hAnsi="Garamond"/>
          <w:sz w:val="22"/>
          <w:szCs w:val="22"/>
        </w:rPr>
        <w:t>c. Yerevan</w:t>
      </w:r>
    </w:p>
    <w:p w14:paraId="32D5007D" w14:textId="77777777" w:rsidR="00993B9C" w:rsidRPr="00163C85" w:rsidRDefault="00993B9C" w:rsidP="00993B9C">
      <w:pPr>
        <w:spacing w:line="360" w:lineRule="auto"/>
        <w:jc w:val="center"/>
        <w:rPr>
          <w:rFonts w:ascii="Garamond" w:hAnsi="Garamond"/>
          <w:b/>
          <w:color w:val="0070C0"/>
          <w:sz w:val="22"/>
          <w:szCs w:val="22"/>
        </w:rPr>
      </w:pPr>
    </w:p>
    <w:p w14:paraId="30809194" w14:textId="77777777" w:rsidR="00993B9C" w:rsidRPr="00163C85" w:rsidRDefault="00993B9C" w:rsidP="00993B9C">
      <w:pPr>
        <w:spacing w:line="360" w:lineRule="auto"/>
        <w:jc w:val="center"/>
        <w:rPr>
          <w:rFonts w:ascii="Garamond" w:hAnsi="Garamond"/>
          <w:b/>
          <w:color w:val="0070C0"/>
          <w:sz w:val="22"/>
          <w:szCs w:val="22"/>
        </w:rPr>
      </w:pPr>
    </w:p>
    <w:p w14:paraId="4F5DB042" w14:textId="77777777" w:rsidR="00993B9C" w:rsidRPr="00163C85" w:rsidRDefault="00993B9C" w:rsidP="00993B9C">
      <w:pPr>
        <w:spacing w:line="360" w:lineRule="auto"/>
        <w:jc w:val="center"/>
        <w:rPr>
          <w:rFonts w:ascii="Garamond" w:hAnsi="Garamond"/>
          <w:b/>
          <w:color w:val="0070C0"/>
          <w:sz w:val="22"/>
          <w:szCs w:val="22"/>
        </w:rPr>
      </w:pPr>
    </w:p>
    <w:p w14:paraId="583FB77B" w14:textId="77777777" w:rsidR="00993B9C" w:rsidRPr="00163C85" w:rsidRDefault="00993B9C" w:rsidP="00993B9C">
      <w:pPr>
        <w:spacing w:line="360" w:lineRule="auto"/>
        <w:jc w:val="center"/>
        <w:rPr>
          <w:rFonts w:ascii="Garamond" w:hAnsi="Garamond"/>
          <w:b/>
          <w:color w:val="0070C0"/>
          <w:sz w:val="22"/>
          <w:szCs w:val="22"/>
        </w:rPr>
      </w:pPr>
    </w:p>
    <w:p w14:paraId="1F6ECBEB" w14:textId="77777777" w:rsidR="00993B9C" w:rsidRPr="00163C85" w:rsidRDefault="00993B9C" w:rsidP="00993B9C">
      <w:pPr>
        <w:spacing w:line="360" w:lineRule="auto"/>
        <w:jc w:val="center"/>
        <w:rPr>
          <w:rFonts w:ascii="Garamond" w:hAnsi="Garamond"/>
          <w:b/>
          <w:color w:val="0070C0"/>
          <w:sz w:val="22"/>
          <w:szCs w:val="22"/>
        </w:rPr>
      </w:pPr>
    </w:p>
    <w:p w14:paraId="7891AEDD" w14:textId="77777777" w:rsidR="00993B9C" w:rsidRPr="00163C85" w:rsidRDefault="00993B9C" w:rsidP="00993B9C">
      <w:pPr>
        <w:spacing w:line="360" w:lineRule="auto"/>
        <w:jc w:val="center"/>
        <w:rPr>
          <w:rFonts w:ascii="Garamond" w:hAnsi="Garamond"/>
          <w:b/>
          <w:color w:val="0070C0"/>
          <w:sz w:val="22"/>
          <w:szCs w:val="22"/>
        </w:rPr>
      </w:pPr>
    </w:p>
    <w:p w14:paraId="07EE52D8" w14:textId="77777777" w:rsidR="00993B9C" w:rsidRPr="00163C85" w:rsidRDefault="00993B9C" w:rsidP="00993B9C">
      <w:pPr>
        <w:spacing w:line="360" w:lineRule="auto"/>
        <w:jc w:val="center"/>
        <w:rPr>
          <w:rFonts w:ascii="Garamond" w:hAnsi="Garamond"/>
          <w:b/>
          <w:color w:val="0070C0"/>
          <w:sz w:val="22"/>
          <w:szCs w:val="22"/>
        </w:rPr>
      </w:pPr>
    </w:p>
    <w:p w14:paraId="5CECD400" w14:textId="77777777" w:rsidR="00993B9C" w:rsidRPr="00163C85" w:rsidRDefault="00993B9C" w:rsidP="00993B9C">
      <w:pPr>
        <w:spacing w:line="360" w:lineRule="auto"/>
        <w:jc w:val="center"/>
        <w:rPr>
          <w:rFonts w:ascii="Garamond" w:hAnsi="Garamond"/>
          <w:b/>
          <w:color w:val="0070C0"/>
          <w:sz w:val="22"/>
          <w:szCs w:val="22"/>
        </w:rPr>
      </w:pPr>
    </w:p>
    <w:p w14:paraId="048DF24C" w14:textId="77777777" w:rsidR="00993B9C" w:rsidRPr="00163C85" w:rsidRDefault="00993B9C" w:rsidP="00993B9C">
      <w:pPr>
        <w:spacing w:line="360" w:lineRule="auto"/>
        <w:jc w:val="center"/>
        <w:rPr>
          <w:rFonts w:ascii="Garamond" w:hAnsi="Garamond"/>
          <w:b/>
          <w:color w:val="0070C0"/>
          <w:sz w:val="22"/>
          <w:szCs w:val="22"/>
        </w:rPr>
      </w:pPr>
    </w:p>
    <w:p w14:paraId="54950F78" w14:textId="77777777" w:rsidR="00993B9C" w:rsidRPr="00163C85" w:rsidRDefault="00993B9C" w:rsidP="00993B9C">
      <w:pPr>
        <w:jc w:val="center"/>
        <w:rPr>
          <w:rFonts w:ascii="Garamond" w:hAnsi="Garamond"/>
          <w:b/>
          <w:color w:val="0070C0"/>
          <w:sz w:val="22"/>
          <w:szCs w:val="22"/>
        </w:rPr>
      </w:pPr>
    </w:p>
    <w:p w14:paraId="757F61D5" w14:textId="77777777" w:rsidR="00993B9C" w:rsidRPr="00163C85" w:rsidRDefault="00993B9C" w:rsidP="00993B9C">
      <w:pPr>
        <w:jc w:val="center"/>
        <w:rPr>
          <w:rFonts w:ascii="Garamond" w:hAnsi="Garamond"/>
          <w:b/>
          <w:color w:val="0070C0"/>
          <w:sz w:val="22"/>
          <w:szCs w:val="22"/>
        </w:rPr>
      </w:pPr>
    </w:p>
    <w:p w14:paraId="32D91028" w14:textId="77777777" w:rsidR="00993B9C" w:rsidRPr="00163C85" w:rsidRDefault="00993B9C" w:rsidP="00993B9C">
      <w:pPr>
        <w:jc w:val="center"/>
        <w:rPr>
          <w:rFonts w:ascii="Garamond" w:hAnsi="Garamond"/>
          <w:b/>
          <w:color w:val="0070C0"/>
          <w:sz w:val="22"/>
          <w:szCs w:val="22"/>
        </w:rPr>
      </w:pPr>
    </w:p>
    <w:p w14:paraId="4C4D9809" w14:textId="77777777" w:rsidR="00993B9C" w:rsidRPr="00163C85" w:rsidRDefault="00993B9C" w:rsidP="00993B9C">
      <w:pPr>
        <w:jc w:val="center"/>
        <w:rPr>
          <w:rFonts w:ascii="Garamond" w:hAnsi="Garamond"/>
          <w:b/>
          <w:color w:val="0070C0"/>
          <w:sz w:val="22"/>
          <w:szCs w:val="22"/>
        </w:rPr>
      </w:pPr>
    </w:p>
    <w:p w14:paraId="57CE7260" w14:textId="77777777" w:rsidR="00993B9C" w:rsidRPr="00163C85" w:rsidRDefault="00993B9C" w:rsidP="00993B9C">
      <w:pPr>
        <w:jc w:val="center"/>
        <w:rPr>
          <w:rFonts w:ascii="Garamond" w:hAnsi="Garamond"/>
          <w:b/>
          <w:color w:val="0070C0"/>
          <w:sz w:val="22"/>
          <w:szCs w:val="22"/>
        </w:rPr>
      </w:pPr>
    </w:p>
    <w:p w14:paraId="2606B64D" w14:textId="77777777" w:rsidR="00EA43F7" w:rsidRDefault="00EA43F7" w:rsidP="00993B9C">
      <w:pPr>
        <w:jc w:val="center"/>
        <w:rPr>
          <w:rFonts w:ascii="Garamond" w:hAnsi="Garamond"/>
          <w:b/>
          <w:color w:val="0070C0"/>
          <w:sz w:val="22"/>
          <w:szCs w:val="22"/>
        </w:rPr>
      </w:pPr>
    </w:p>
    <w:p w14:paraId="6A8C7140" w14:textId="77777777" w:rsidR="00EA43F7" w:rsidRDefault="00EA43F7" w:rsidP="00993B9C">
      <w:pPr>
        <w:jc w:val="center"/>
        <w:rPr>
          <w:rFonts w:ascii="Garamond" w:hAnsi="Garamond"/>
          <w:b/>
          <w:color w:val="0070C0"/>
          <w:sz w:val="22"/>
          <w:szCs w:val="22"/>
        </w:rPr>
      </w:pPr>
    </w:p>
    <w:p w14:paraId="28E196D1" w14:textId="77777777" w:rsidR="00EA43F7" w:rsidRDefault="00EA43F7" w:rsidP="00993B9C">
      <w:pPr>
        <w:jc w:val="center"/>
        <w:rPr>
          <w:rFonts w:ascii="Garamond" w:hAnsi="Garamond"/>
          <w:b/>
          <w:color w:val="0070C0"/>
          <w:sz w:val="22"/>
          <w:szCs w:val="22"/>
        </w:rPr>
      </w:pPr>
    </w:p>
    <w:p w14:paraId="71639F59" w14:textId="77777777" w:rsidR="00EA43F7" w:rsidRDefault="00EA43F7" w:rsidP="00993B9C">
      <w:pPr>
        <w:jc w:val="center"/>
        <w:rPr>
          <w:rFonts w:ascii="Garamond" w:hAnsi="Garamond"/>
          <w:b/>
          <w:color w:val="0070C0"/>
          <w:sz w:val="22"/>
          <w:szCs w:val="22"/>
        </w:rPr>
      </w:pPr>
    </w:p>
    <w:p w14:paraId="15E507DB" w14:textId="77777777" w:rsidR="00EA43F7" w:rsidRDefault="00EA43F7" w:rsidP="00993B9C">
      <w:pPr>
        <w:jc w:val="center"/>
        <w:rPr>
          <w:rFonts w:ascii="Garamond" w:hAnsi="Garamond"/>
          <w:b/>
          <w:color w:val="0070C0"/>
          <w:sz w:val="22"/>
          <w:szCs w:val="22"/>
        </w:rPr>
      </w:pPr>
    </w:p>
    <w:p w14:paraId="0E6B0D0A" w14:textId="77777777" w:rsidR="00EA43F7" w:rsidRDefault="00EA43F7" w:rsidP="00993B9C">
      <w:pPr>
        <w:jc w:val="center"/>
        <w:rPr>
          <w:rFonts w:ascii="Garamond" w:hAnsi="Garamond"/>
          <w:b/>
          <w:color w:val="0070C0"/>
          <w:sz w:val="22"/>
          <w:szCs w:val="22"/>
        </w:rPr>
      </w:pPr>
    </w:p>
    <w:p w14:paraId="3BE0001D" w14:textId="77777777" w:rsidR="00EA43F7" w:rsidRPr="004D4162" w:rsidRDefault="00EA43F7" w:rsidP="00EA43F7">
      <w:pPr>
        <w:jc w:val="center"/>
        <w:rPr>
          <w:rFonts w:ascii="Garamond" w:hAnsi="Garamond"/>
          <w:b/>
          <w:color w:val="0070C0"/>
          <w:sz w:val="22"/>
          <w:szCs w:val="22"/>
        </w:rPr>
      </w:pPr>
      <w:r w:rsidRPr="004D4162">
        <w:rPr>
          <w:rFonts w:ascii="Garamond" w:hAnsi="Garamond"/>
          <w:b/>
          <w:color w:val="0070C0"/>
          <w:sz w:val="22"/>
          <w:szCs w:val="22"/>
        </w:rPr>
        <w:t>PRESS RELEASE</w:t>
      </w:r>
    </w:p>
    <w:p w14:paraId="1B713D51" w14:textId="77777777" w:rsidR="00EA43F7" w:rsidRPr="004D4162" w:rsidRDefault="00EA43F7" w:rsidP="00EA43F7">
      <w:pPr>
        <w:jc w:val="center"/>
        <w:rPr>
          <w:rFonts w:ascii="Garamond" w:hAnsi="Garamond"/>
          <w:sz w:val="22"/>
          <w:szCs w:val="22"/>
        </w:rPr>
      </w:pPr>
      <w:r w:rsidRPr="004D4162">
        <w:rPr>
          <w:rFonts w:ascii="Garamond" w:hAnsi="Garamond"/>
          <w:b/>
          <w:color w:val="0070C0"/>
          <w:sz w:val="22"/>
          <w:szCs w:val="22"/>
        </w:rPr>
        <w:t>11.06.2019</w:t>
      </w:r>
    </w:p>
    <w:p w14:paraId="624A0BAA" w14:textId="77777777" w:rsidR="00EA43F7" w:rsidRPr="004D4162" w:rsidRDefault="00EA43F7" w:rsidP="00EA43F7">
      <w:pPr>
        <w:jc w:val="both"/>
        <w:rPr>
          <w:rFonts w:ascii="Garamond" w:hAnsi="Garamond"/>
          <w:sz w:val="22"/>
          <w:szCs w:val="22"/>
        </w:rPr>
      </w:pPr>
    </w:p>
    <w:p w14:paraId="4DAE5E49" w14:textId="77777777" w:rsidR="00EA43F7" w:rsidRPr="004D4162" w:rsidRDefault="00EA43F7" w:rsidP="00EA43F7">
      <w:pPr>
        <w:jc w:val="both"/>
        <w:rPr>
          <w:rFonts w:ascii="Garamond" w:hAnsi="Garamond"/>
          <w:sz w:val="22"/>
          <w:szCs w:val="22"/>
        </w:rPr>
      </w:pPr>
      <w:r w:rsidRPr="004D4162">
        <w:rPr>
          <w:rFonts w:ascii="Garamond" w:hAnsi="Garamond"/>
          <w:sz w:val="22"/>
          <w:szCs w:val="22"/>
        </w:rPr>
        <w:t>In the June 11, 2019 meeting, the Board of the Central Bank of Armenia decided to leave the refinancing rate unchanged, at a 5.75% level.</w:t>
      </w:r>
    </w:p>
    <w:p w14:paraId="3563F514" w14:textId="77777777" w:rsidR="00EA43F7" w:rsidRPr="004D4162" w:rsidRDefault="00EA43F7" w:rsidP="00EA43F7">
      <w:pPr>
        <w:jc w:val="both"/>
        <w:rPr>
          <w:rFonts w:ascii="Garamond" w:hAnsi="Garamond"/>
          <w:sz w:val="22"/>
          <w:szCs w:val="22"/>
        </w:rPr>
      </w:pPr>
    </w:p>
    <w:p w14:paraId="56BDE2F2" w14:textId="77777777" w:rsidR="00EA43F7" w:rsidRPr="004D4162" w:rsidRDefault="00EA43F7" w:rsidP="00EA43F7">
      <w:pPr>
        <w:jc w:val="both"/>
        <w:rPr>
          <w:rFonts w:ascii="Garamond" w:hAnsi="Garamond"/>
          <w:sz w:val="22"/>
          <w:szCs w:val="22"/>
        </w:rPr>
      </w:pPr>
      <w:r w:rsidRPr="004D4162">
        <w:rPr>
          <w:rFonts w:ascii="Garamond" w:hAnsi="Garamond"/>
          <w:sz w:val="22"/>
          <w:szCs w:val="22"/>
        </w:rPr>
        <w:t xml:space="preserve">There was 0.4% deflation in May of 2019 compared with that of 1.0% recorded in the same period of the previous year, in which case the 12-month inflation has increased, amounting to 2.8% at the end of the month, determined by a seasonal rise in prices of some agricultural products. </w:t>
      </w:r>
    </w:p>
    <w:p w14:paraId="4DB84038" w14:textId="77777777" w:rsidR="00EA43F7" w:rsidRPr="004D4162" w:rsidRDefault="00EA43F7" w:rsidP="00EA43F7">
      <w:pPr>
        <w:jc w:val="both"/>
        <w:rPr>
          <w:rFonts w:ascii="Garamond" w:hAnsi="Garamond"/>
          <w:sz w:val="22"/>
          <w:szCs w:val="22"/>
        </w:rPr>
      </w:pPr>
    </w:p>
    <w:p w14:paraId="30848A2C" w14:textId="77777777" w:rsidR="00EA43F7" w:rsidRPr="004D4162" w:rsidRDefault="00EA43F7" w:rsidP="00EA43F7">
      <w:pPr>
        <w:jc w:val="both"/>
        <w:rPr>
          <w:rFonts w:ascii="Garamond" w:hAnsi="Garamond"/>
          <w:sz w:val="22"/>
          <w:szCs w:val="22"/>
        </w:rPr>
      </w:pPr>
      <w:r w:rsidRPr="004D4162">
        <w:rPr>
          <w:rFonts w:ascii="Garamond" w:hAnsi="Garamond"/>
          <w:sz w:val="22"/>
          <w:szCs w:val="22"/>
        </w:rPr>
        <w:t xml:space="preserve">In the external sector, trade wars gaining more tension have considerably added to uncertainties over global economic development, which have touched on trends in both financial and raw commodity markets. In addition, the US economic growth outlooks have deteriorated notably considerably, with the Federal Reserve System expected to make a much milder monetary policy in the future. Although some short-term inflationary trends are observable in the main food commodity markets, the Board of the Central Bank considers that, generally, significant inflationary pressures from the external sector are not likely. </w:t>
      </w:r>
    </w:p>
    <w:p w14:paraId="67B58E0D" w14:textId="77777777" w:rsidR="00EA43F7" w:rsidRPr="004D4162" w:rsidRDefault="00EA43F7" w:rsidP="00EA43F7">
      <w:pPr>
        <w:jc w:val="both"/>
        <w:rPr>
          <w:rFonts w:ascii="Garamond" w:hAnsi="Garamond"/>
          <w:sz w:val="22"/>
          <w:szCs w:val="22"/>
        </w:rPr>
      </w:pPr>
    </w:p>
    <w:p w14:paraId="3B178148" w14:textId="77777777" w:rsidR="00EA43F7" w:rsidRPr="004D4162" w:rsidRDefault="00EA43F7" w:rsidP="00EA43F7">
      <w:pPr>
        <w:jc w:val="both"/>
        <w:rPr>
          <w:rFonts w:ascii="Garamond" w:hAnsi="Garamond"/>
          <w:sz w:val="22"/>
          <w:szCs w:val="22"/>
        </w:rPr>
      </w:pPr>
      <w:r w:rsidRPr="004D4162">
        <w:rPr>
          <w:rFonts w:ascii="Garamond" w:hAnsi="Garamond"/>
          <w:sz w:val="22"/>
          <w:szCs w:val="22"/>
        </w:rPr>
        <w:t xml:space="preserve">The Board states that growth rates of economic activity remain strong, and the economic growth registered in the first quarter of 2019 has outpaced the expected indicator, with high private consumption growth still as the main driver to it. The impact of fiscal policy carried out over the first half of the year on the domestic demand is estimated as neutral. There is anticipation that in the second half of the year it will be notably expansionary and, consequently, the fiscal policy will have a neutral impact, according to the year’s results. </w:t>
      </w:r>
    </w:p>
    <w:p w14:paraId="0FC78AF7" w14:textId="77777777" w:rsidR="00EA43F7" w:rsidRPr="004D4162" w:rsidRDefault="00EA43F7" w:rsidP="00EA43F7">
      <w:pPr>
        <w:jc w:val="both"/>
        <w:rPr>
          <w:rFonts w:ascii="Garamond" w:hAnsi="Garamond"/>
          <w:sz w:val="22"/>
          <w:szCs w:val="22"/>
        </w:rPr>
      </w:pPr>
    </w:p>
    <w:p w14:paraId="752AD71B" w14:textId="77777777" w:rsidR="00EA43F7" w:rsidRPr="004D4162" w:rsidRDefault="00EA43F7" w:rsidP="00EA43F7">
      <w:pPr>
        <w:jc w:val="both"/>
        <w:rPr>
          <w:rFonts w:ascii="Garamond" w:hAnsi="Garamond"/>
          <w:sz w:val="22"/>
          <w:szCs w:val="22"/>
        </w:rPr>
      </w:pPr>
      <w:r w:rsidRPr="004D4162">
        <w:rPr>
          <w:rFonts w:ascii="Garamond" w:hAnsi="Garamond"/>
          <w:sz w:val="22"/>
          <w:szCs w:val="22"/>
        </w:rPr>
        <w:t>The Board believes that the currently low inflation contributes to the anchoring of long-term inflation expectations and maintaining of purchasing power of incomes. At present, the Board prefers to letting the inflation recover gradually and finds it reasonable to keep monetary conditions expansionary by leaving the refinancing rate unchanged. At the same time, in view of the anticipated macroeconomic developments, to leave the policy’s stance expansionary for a long period of time will be needed in fulfillment of the mid-term inflation target. As a result, the expectation is that the inflation will run below the target in the coming months but will stabilizing around the target in the medium run.</w:t>
      </w:r>
    </w:p>
    <w:p w14:paraId="078B1B8D" w14:textId="77777777" w:rsidR="00EA43F7" w:rsidRPr="004D4162" w:rsidRDefault="00EA43F7" w:rsidP="00EA43F7">
      <w:pPr>
        <w:jc w:val="both"/>
        <w:rPr>
          <w:rFonts w:ascii="Garamond" w:hAnsi="Garamond"/>
          <w:sz w:val="22"/>
          <w:szCs w:val="22"/>
        </w:rPr>
      </w:pPr>
    </w:p>
    <w:p w14:paraId="7EACA3B2" w14:textId="77777777" w:rsidR="00EA43F7" w:rsidRPr="004D4162" w:rsidRDefault="00EA43F7" w:rsidP="00EA43F7">
      <w:pPr>
        <w:jc w:val="both"/>
        <w:rPr>
          <w:rFonts w:ascii="Garamond" w:hAnsi="Garamond"/>
          <w:sz w:val="22"/>
          <w:szCs w:val="22"/>
        </w:rPr>
      </w:pPr>
      <w:r w:rsidRPr="004D4162">
        <w:rPr>
          <w:rFonts w:ascii="Garamond" w:hAnsi="Garamond"/>
          <w:sz w:val="22"/>
          <w:szCs w:val="22"/>
        </w:rPr>
        <w:t>It should be noted that risks to inflation deviating from the projection path, which is associated with global economic development uncertainties and the pace of a possibly more contractionary fiscal policy, are still persisting. The Central Bank will respond to the emergence of any of such risks and developments adequately while maintaining price stability in the medium run.</w:t>
      </w:r>
    </w:p>
    <w:p w14:paraId="4010DBB3" w14:textId="77777777" w:rsidR="00EA43F7" w:rsidRPr="004D4162" w:rsidRDefault="00EA43F7" w:rsidP="00EA43F7">
      <w:pPr>
        <w:jc w:val="both"/>
        <w:rPr>
          <w:rFonts w:ascii="Garamond" w:hAnsi="Garamond"/>
          <w:b/>
          <w:sz w:val="22"/>
          <w:szCs w:val="22"/>
        </w:rPr>
      </w:pPr>
    </w:p>
    <w:p w14:paraId="61C93B91" w14:textId="77777777" w:rsidR="00EA43F7" w:rsidRPr="004D4162" w:rsidRDefault="00EA43F7" w:rsidP="00EA43F7">
      <w:pPr>
        <w:jc w:val="both"/>
        <w:rPr>
          <w:rFonts w:ascii="Garamond" w:hAnsi="Garamond"/>
          <w:color w:val="C00000"/>
          <w:sz w:val="22"/>
          <w:szCs w:val="22"/>
        </w:rPr>
      </w:pPr>
      <w:r w:rsidRPr="004D4162">
        <w:rPr>
          <w:rFonts w:ascii="Garamond" w:hAnsi="Garamond"/>
          <w:color w:val="C00000"/>
          <w:sz w:val="22"/>
          <w:szCs w:val="22"/>
        </w:rPr>
        <w:t>…………………………………………………………………………………………………..….</w:t>
      </w:r>
    </w:p>
    <w:p w14:paraId="7FFF05D6" w14:textId="77777777" w:rsidR="00FA549B" w:rsidRPr="00EE5F0F" w:rsidRDefault="00EA43F7" w:rsidP="00EA43F7">
      <w:pPr>
        <w:spacing w:line="360" w:lineRule="auto"/>
        <w:jc w:val="both"/>
        <w:rPr>
          <w:rFonts w:ascii="Garamond" w:hAnsi="Garamond"/>
          <w:sz w:val="22"/>
          <w:szCs w:val="22"/>
        </w:rPr>
      </w:pPr>
      <w:r w:rsidRPr="004D4162">
        <w:rPr>
          <w:rFonts w:ascii="Garamond" w:hAnsi="Garamond"/>
          <w:sz w:val="22"/>
          <w:szCs w:val="22"/>
        </w:rPr>
        <w:t>Press Service of the Central Bank of Armenia</w:t>
      </w:r>
    </w:p>
    <w:sectPr w:rsidR="00FA549B" w:rsidRPr="00EE5F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E3E20" w14:textId="77777777" w:rsidR="004A1B7C" w:rsidRDefault="004A1B7C" w:rsidP="00EE619D">
      <w:r>
        <w:separator/>
      </w:r>
    </w:p>
  </w:endnote>
  <w:endnote w:type="continuationSeparator" w:id="0">
    <w:p w14:paraId="63279BF1" w14:textId="77777777" w:rsidR="004A1B7C" w:rsidRDefault="004A1B7C" w:rsidP="00EE6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HEA Grapalat">
    <w:panose1 w:val="02000506050000020003"/>
    <w:charset w:val="00"/>
    <w:family w:val="modern"/>
    <w:notTrueType/>
    <w:pitch w:val="variable"/>
    <w:sig w:usb0="A00006AF" w:usb1="5000204B" w:usb2="00000000" w:usb3="00000000" w:csb0="0000009F" w:csb1="00000000"/>
  </w:font>
  <w:font w:name="Calibri">
    <w:panose1 w:val="020F0502020204030204"/>
    <w:charset w:val="00"/>
    <w:family w:val="swiss"/>
    <w:pitch w:val="variable"/>
    <w:sig w:usb0="E0002EFF" w:usb1="C000247B" w:usb2="00000009" w:usb3="00000000" w:csb0="000001FF" w:csb1="00000000"/>
  </w:font>
  <w:font w:name="Times LatArm">
    <w:panose1 w:val="00000000000000000000"/>
    <w:charset w:val="00"/>
    <w:family w:val="auto"/>
    <w:pitch w:val="variable"/>
    <w:sig w:usb0="00000003" w:usb1="00000000" w:usb2="00000000" w:usb3="00000000" w:csb0="00000001" w:csb1="00000000"/>
  </w:font>
  <w:font w:name="Times Armeni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Armenian">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Sylfaen">
    <w:panose1 w:val="010A0502050306030303"/>
    <w:charset w:val="00"/>
    <w:family w:val="roman"/>
    <w:pitch w:val="variable"/>
    <w:sig w:usb0="040006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4036A" w14:textId="77777777" w:rsidR="004A1B7C" w:rsidRDefault="004A1B7C" w:rsidP="00EE619D">
      <w:r>
        <w:separator/>
      </w:r>
    </w:p>
  </w:footnote>
  <w:footnote w:type="continuationSeparator" w:id="0">
    <w:p w14:paraId="40B3FA67" w14:textId="77777777" w:rsidR="004A1B7C" w:rsidRDefault="004A1B7C" w:rsidP="00EE619D">
      <w:r>
        <w:continuationSeparator/>
      </w:r>
    </w:p>
  </w:footnote>
  <w:footnote w:id="1">
    <w:p w14:paraId="16577344" w14:textId="77777777" w:rsidR="00912BAE" w:rsidRPr="00616B7A" w:rsidRDefault="00912BAE" w:rsidP="00616B7A">
      <w:pPr>
        <w:pStyle w:val="FootnoteText"/>
        <w:rPr>
          <w:rFonts w:ascii="Garamond" w:hAnsi="Garamond"/>
        </w:rPr>
      </w:pPr>
      <w:r w:rsidRPr="00616B7A">
        <w:rPr>
          <w:rStyle w:val="FootnoteReference"/>
          <w:rFonts w:ascii="Garamond" w:hAnsi="Garamond"/>
        </w:rPr>
        <w:t>2</w:t>
      </w:r>
      <w:r w:rsidRPr="00616B7A">
        <w:rPr>
          <w:rFonts w:ascii="Garamond" w:hAnsi="Garamond"/>
        </w:rPr>
        <w:t xml:space="preserve"> The </w:t>
      </w:r>
      <w:r>
        <w:rPr>
          <w:rFonts w:ascii="Garamond" w:hAnsi="Garamond"/>
        </w:rPr>
        <w:t xml:space="preserve">personal consumption expenditure price index amounts to </w:t>
      </w:r>
      <w:r w:rsidRPr="00616B7A">
        <w:rPr>
          <w:rFonts w:ascii="Garamond" w:hAnsi="Garamond"/>
        </w:rPr>
        <w:t xml:space="preserve">2%, which </w:t>
      </w:r>
      <w:r>
        <w:rPr>
          <w:rFonts w:ascii="Garamond" w:hAnsi="Garamond"/>
        </w:rPr>
        <w:t>on</w:t>
      </w:r>
      <w:r w:rsidRPr="00616B7A">
        <w:rPr>
          <w:rFonts w:ascii="Garamond" w:hAnsi="Garamond"/>
        </w:rPr>
        <w:t xml:space="preserve"> average </w:t>
      </w:r>
      <w:r>
        <w:rPr>
          <w:rFonts w:ascii="Garamond" w:hAnsi="Garamond"/>
        </w:rPr>
        <w:t xml:space="preserve">is commensurate with headline inflation </w:t>
      </w:r>
      <w:r w:rsidRPr="00616B7A">
        <w:rPr>
          <w:rFonts w:ascii="Garamond" w:hAnsi="Garamond"/>
        </w:rPr>
        <w:t>of 2.4%.</w:t>
      </w:r>
    </w:p>
  </w:footnote>
  <w:footnote w:id="2">
    <w:p w14:paraId="33EDC178" w14:textId="77777777" w:rsidR="00912BAE" w:rsidRPr="0074684B" w:rsidRDefault="00912BAE" w:rsidP="00D4483A">
      <w:pPr>
        <w:pStyle w:val="FootnoteText"/>
        <w:jc w:val="both"/>
        <w:rPr>
          <w:rFonts w:ascii="Garamond" w:hAnsi="Garamond"/>
        </w:rPr>
      </w:pPr>
      <w:r>
        <w:rPr>
          <w:rStyle w:val="FootnoteReference"/>
        </w:rPr>
        <w:t>4</w:t>
      </w:r>
      <w:r w:rsidRPr="0074684B">
        <w:rPr>
          <w:rFonts w:ascii="Garamond" w:hAnsi="Garamond"/>
        </w:rPr>
        <w:t xml:space="preserve"> For a detailed economic growth forecasts, see the </w:t>
      </w:r>
      <w:r>
        <w:rPr>
          <w:rFonts w:ascii="Garamond" w:hAnsi="Garamond"/>
        </w:rPr>
        <w:t>“</w:t>
      </w:r>
      <w:r w:rsidRPr="0074684B">
        <w:rPr>
          <w:rFonts w:ascii="Garamond" w:hAnsi="Garamond"/>
        </w:rPr>
        <w:t xml:space="preserve">GDP </w:t>
      </w:r>
      <w:r>
        <w:rPr>
          <w:rFonts w:ascii="Garamond" w:hAnsi="Garamond"/>
        </w:rPr>
        <w:t>P</w:t>
      </w:r>
      <w:r w:rsidRPr="0074684B">
        <w:rPr>
          <w:rFonts w:ascii="Garamond" w:hAnsi="Garamond"/>
        </w:rPr>
        <w:t xml:space="preserve">rojection </w:t>
      </w:r>
      <w:r>
        <w:rPr>
          <w:rFonts w:ascii="Garamond" w:hAnsi="Garamond"/>
        </w:rPr>
        <w:t>P</w:t>
      </w:r>
      <w:r w:rsidRPr="0074684B">
        <w:rPr>
          <w:rFonts w:ascii="Garamond" w:hAnsi="Garamond"/>
        </w:rPr>
        <w:t xml:space="preserve">robability </w:t>
      </w:r>
      <w:r>
        <w:rPr>
          <w:rFonts w:ascii="Garamond" w:hAnsi="Garamond"/>
        </w:rPr>
        <w:t>D</w:t>
      </w:r>
      <w:r w:rsidRPr="0074684B">
        <w:rPr>
          <w:rFonts w:ascii="Garamond" w:hAnsi="Garamond"/>
        </w:rPr>
        <w:t>istribution</w:t>
      </w:r>
      <w:r>
        <w:rPr>
          <w:rFonts w:ascii="Garamond" w:hAnsi="Garamond"/>
        </w:rPr>
        <w:t>”,</w:t>
      </w:r>
      <w:r w:rsidRPr="0074684B">
        <w:rPr>
          <w:rFonts w:ascii="Garamond" w:hAnsi="Garamond"/>
        </w:rPr>
        <w:t xml:space="preserve"> chart</w:t>
      </w:r>
      <w:r>
        <w:rPr>
          <w:rFonts w:ascii="Garamond" w:hAnsi="Garamond"/>
        </w:rPr>
        <w:t xml:space="preserve"> 18, table 2</w:t>
      </w:r>
      <w:r w:rsidRPr="0074684B">
        <w:rPr>
          <w:rFonts w:ascii="Garamond" w:hAnsi="Garamond"/>
        </w:rPr>
        <w:t>.</w:t>
      </w:r>
    </w:p>
  </w:footnote>
  <w:footnote w:id="3">
    <w:p w14:paraId="4323E7E8" w14:textId="77777777" w:rsidR="00912BAE" w:rsidRDefault="00912BAE" w:rsidP="00D4483A">
      <w:pPr>
        <w:pStyle w:val="FootnoteText"/>
        <w:jc w:val="both"/>
        <w:rPr>
          <w:rFonts w:ascii="Garamond" w:hAnsi="Garamond"/>
        </w:rPr>
      </w:pPr>
      <w:r w:rsidRPr="001C139D">
        <w:rPr>
          <w:rStyle w:val="FootnoteReference"/>
          <w:rFonts w:ascii="Garamond" w:hAnsi="Garamond"/>
        </w:rPr>
        <w:t>5</w:t>
      </w:r>
      <w:r w:rsidRPr="001C139D">
        <w:rPr>
          <w:rFonts w:ascii="Garamond" w:hAnsi="Garamond"/>
        </w:rPr>
        <w:t xml:space="preserve"> It should be noted that, from now on, the Central Bank estimations of capital expenditures will not include the change in tangible working capital inventories, and only the indicator of gross private fixed asset accumulation will be viewed instead of the private investment component, since the change in inventories is considered by Statistics Committee of the Republic of Armenia as a balancing item and does not show the true level of investment. </w:t>
      </w:r>
    </w:p>
    <w:p w14:paraId="5384802A" w14:textId="77777777" w:rsidR="00912BAE" w:rsidRPr="001C139D" w:rsidRDefault="00912BAE" w:rsidP="00D4483A">
      <w:pPr>
        <w:pStyle w:val="FootnoteText"/>
        <w:jc w:val="both"/>
        <w:rPr>
          <w:rFonts w:ascii="Garamond" w:hAnsi="Garamond"/>
        </w:rPr>
      </w:pPr>
      <w:r w:rsidRPr="001C139D">
        <w:rPr>
          <w:rFonts w:ascii="Garamond" w:hAnsi="Garamond"/>
        </w:rPr>
        <w:t xml:space="preserve">See </w:t>
      </w:r>
      <w:hyperlink r:id="rId1" w:history="1">
        <w:r w:rsidRPr="001C139D">
          <w:rPr>
            <w:rStyle w:val="Hyperlink"/>
            <w:rFonts w:ascii="Garamond" w:hAnsi="Garamond"/>
            <w:u w:val="none"/>
            <w:lang w:val="hy-AM"/>
          </w:rPr>
          <w:t>https://www.armstat.am/file/article/sv_04_19a_112.pdf</w:t>
        </w:r>
      </w:hyperlink>
    </w:p>
  </w:footnote>
  <w:footnote w:id="4">
    <w:p w14:paraId="1D35BB5A" w14:textId="77777777" w:rsidR="00912BAE" w:rsidRPr="00D21629" w:rsidRDefault="00912BAE" w:rsidP="00D21629">
      <w:pPr>
        <w:pStyle w:val="FootnoteText"/>
        <w:jc w:val="both"/>
        <w:rPr>
          <w:rFonts w:ascii="Garamond" w:hAnsi="Garamond"/>
        </w:rPr>
      </w:pPr>
      <w:r w:rsidRPr="00D15CF7">
        <w:rPr>
          <w:rStyle w:val="FootnoteReference"/>
          <w:rFonts w:ascii="Garamond" w:hAnsi="Garamond"/>
        </w:rPr>
        <w:t>6</w:t>
      </w:r>
      <w:r>
        <w:rPr>
          <w:rFonts w:ascii="Garamond" w:hAnsi="Garamond"/>
        </w:rPr>
        <w:t xml:space="preserve"> </w:t>
      </w:r>
      <w:r w:rsidRPr="00D15CF7">
        <w:rPr>
          <w:rFonts w:ascii="Garamond" w:hAnsi="Garamond"/>
        </w:rPr>
        <w:t>It should be noted that</w:t>
      </w:r>
      <w:r>
        <w:rPr>
          <w:rFonts w:ascii="Garamond" w:hAnsi="Garamond"/>
        </w:rPr>
        <w:t xml:space="preserve"> the 2018 </w:t>
      </w:r>
      <w:r w:rsidRPr="00D15CF7">
        <w:rPr>
          <w:rFonts w:ascii="Garamond" w:hAnsi="Garamond"/>
        </w:rPr>
        <w:t>current account statistics</w:t>
      </w:r>
      <w:r>
        <w:rPr>
          <w:rFonts w:ascii="Garamond" w:hAnsi="Garamond"/>
        </w:rPr>
        <w:t xml:space="preserve"> may have been flawed with some underestimations in connection with </w:t>
      </w:r>
      <w:r w:rsidRPr="00D15CF7">
        <w:rPr>
          <w:rFonts w:ascii="Garamond" w:hAnsi="Garamond"/>
        </w:rPr>
        <w:t>the export</w:t>
      </w:r>
      <w:r>
        <w:rPr>
          <w:rFonts w:ascii="Garamond" w:hAnsi="Garamond"/>
        </w:rPr>
        <w:t>s</w:t>
      </w:r>
      <w:r w:rsidRPr="00D15CF7">
        <w:rPr>
          <w:rFonts w:ascii="Garamond" w:hAnsi="Garamond"/>
        </w:rPr>
        <w:t xml:space="preserve"> </w:t>
      </w:r>
      <w:r>
        <w:rPr>
          <w:rFonts w:ascii="Garamond" w:hAnsi="Garamond"/>
        </w:rPr>
        <w:t>by</w:t>
      </w:r>
      <w:r w:rsidRPr="00D15CF7">
        <w:rPr>
          <w:rFonts w:ascii="Garamond" w:hAnsi="Garamond"/>
        </w:rPr>
        <w:t xml:space="preserve"> natural persons from Armenia to other countries </w:t>
      </w:r>
      <w:r>
        <w:rPr>
          <w:rFonts w:ascii="Garamond" w:hAnsi="Garamond"/>
        </w:rPr>
        <w:t xml:space="preserve">of the Eurasian Economic Union; in </w:t>
      </w:r>
      <w:r w:rsidRPr="00D21629">
        <w:rPr>
          <w:rFonts w:ascii="Garamond" w:hAnsi="Garamond"/>
        </w:rPr>
        <w:t>the event these are included, the 2019-2022 forecasts of current account deficit will be smaller.</w:t>
      </w:r>
    </w:p>
  </w:footnote>
  <w:footnote w:id="5">
    <w:p w14:paraId="31613B58" w14:textId="77777777" w:rsidR="00912BAE" w:rsidRPr="00D21629" w:rsidRDefault="00912BAE" w:rsidP="00D21629">
      <w:pPr>
        <w:pStyle w:val="FootnoteText"/>
        <w:jc w:val="both"/>
        <w:rPr>
          <w:rFonts w:ascii="Garamond" w:hAnsi="Garamond"/>
        </w:rPr>
      </w:pPr>
      <w:r w:rsidRPr="00D21629">
        <w:rPr>
          <w:rStyle w:val="FootnoteReference"/>
          <w:rFonts w:ascii="Garamond" w:hAnsi="Garamond"/>
        </w:rPr>
        <w:t>7</w:t>
      </w:r>
      <w:r w:rsidRPr="00D21629">
        <w:rPr>
          <w:rFonts w:ascii="Garamond" w:hAnsi="Garamond"/>
        </w:rPr>
        <w:t xml:space="preserve"> The indicators </w:t>
      </w:r>
      <w:r>
        <w:rPr>
          <w:rFonts w:ascii="Garamond" w:hAnsi="Garamond"/>
        </w:rPr>
        <w:t xml:space="preserve">set </w:t>
      </w:r>
      <w:r w:rsidRPr="00D21629">
        <w:rPr>
          <w:rFonts w:ascii="Garamond" w:hAnsi="Garamond"/>
        </w:rPr>
        <w:t xml:space="preserve">by </w:t>
      </w:r>
      <w:r>
        <w:rPr>
          <w:rFonts w:ascii="Garamond" w:hAnsi="Garamond"/>
        </w:rPr>
        <w:t>the laws on “</w:t>
      </w:r>
      <w:r w:rsidRPr="00D21629">
        <w:rPr>
          <w:rFonts w:ascii="Garamond" w:hAnsi="Garamond"/>
        </w:rPr>
        <w:t>State Budget of the Republic of Armenia</w:t>
      </w:r>
      <w:r>
        <w:rPr>
          <w:rFonts w:ascii="Garamond" w:hAnsi="Garamond"/>
        </w:rPr>
        <w:t>”</w:t>
      </w:r>
      <w:r w:rsidRPr="00D21629">
        <w:rPr>
          <w:rFonts w:ascii="Garamond" w:hAnsi="Garamond"/>
        </w:rPr>
        <w:t xml:space="preserve"> </w:t>
      </w:r>
      <w:r>
        <w:rPr>
          <w:rFonts w:ascii="Garamond" w:hAnsi="Garamond"/>
        </w:rPr>
        <w:t xml:space="preserve">are allowed to be adjusted during the year under certain </w:t>
      </w:r>
      <w:r w:rsidRPr="00D21629">
        <w:rPr>
          <w:rFonts w:ascii="Garamond" w:hAnsi="Garamond"/>
        </w:rPr>
        <w:t>Government</w:t>
      </w:r>
      <w:r>
        <w:rPr>
          <w:rFonts w:ascii="Garamond" w:hAnsi="Garamond"/>
        </w:rPr>
        <w:t xml:space="preserve"> resolutions which are </w:t>
      </w:r>
      <w:r w:rsidRPr="00D21629">
        <w:rPr>
          <w:rFonts w:ascii="Garamond" w:hAnsi="Garamond"/>
        </w:rPr>
        <w:t xml:space="preserve">posted </w:t>
      </w:r>
      <w:r>
        <w:rPr>
          <w:rFonts w:ascii="Garamond" w:hAnsi="Garamond"/>
        </w:rPr>
        <w:t xml:space="preserve">at: </w:t>
      </w:r>
      <w:r w:rsidRPr="00D21629">
        <w:rPr>
          <w:rFonts w:ascii="Garamond" w:hAnsi="Garamond"/>
        </w:rPr>
        <w:t>https://www.e-gov.am.</w:t>
      </w:r>
    </w:p>
  </w:footnote>
  <w:footnote w:id="6">
    <w:p w14:paraId="7A2E7C07" w14:textId="77777777" w:rsidR="00912BAE" w:rsidRPr="003970F8" w:rsidRDefault="00912BAE" w:rsidP="00D15CF7">
      <w:pPr>
        <w:pStyle w:val="FootnoteText"/>
        <w:jc w:val="both"/>
        <w:rPr>
          <w:rFonts w:ascii="Garamond" w:hAnsi="Garamond"/>
        </w:rPr>
      </w:pPr>
      <w:r>
        <w:rPr>
          <w:rStyle w:val="FootnoteReference"/>
        </w:rPr>
        <w:t>8</w:t>
      </w:r>
      <w:r w:rsidRPr="003970F8">
        <w:rPr>
          <w:rFonts w:ascii="Garamond" w:hAnsi="Garamond"/>
        </w:rPr>
        <w:t xml:space="preserve"> The GDP forecast is the Central Bank estimate.</w:t>
      </w:r>
    </w:p>
  </w:footnote>
  <w:footnote w:id="7">
    <w:p w14:paraId="6459094F" w14:textId="77777777" w:rsidR="00912BAE" w:rsidRPr="007364B7" w:rsidRDefault="00912BAE">
      <w:pPr>
        <w:pStyle w:val="FootnoteText"/>
        <w:rPr>
          <w:rFonts w:ascii="Garamond" w:hAnsi="Garamond"/>
        </w:rPr>
      </w:pPr>
      <w:r w:rsidRPr="007364B7">
        <w:rPr>
          <w:rStyle w:val="FootnoteReference"/>
          <w:rFonts w:ascii="Garamond" w:hAnsi="Garamond"/>
        </w:rPr>
        <w:t>9</w:t>
      </w:r>
      <w:r w:rsidRPr="007364B7">
        <w:rPr>
          <w:rFonts w:ascii="Garamond" w:hAnsi="Garamond"/>
        </w:rPr>
        <w:t xml:space="preserve"> </w:t>
      </w:r>
      <w:r>
        <w:rPr>
          <w:rFonts w:ascii="Garamond" w:hAnsi="Garamond"/>
        </w:rPr>
        <w:t>As referred to in t</w:t>
      </w:r>
      <w:r w:rsidRPr="007364B7">
        <w:rPr>
          <w:rFonts w:ascii="Garamond" w:hAnsi="Garamond"/>
        </w:rPr>
        <w:t>he Prime Minister’s speech.</w:t>
      </w:r>
    </w:p>
  </w:footnote>
  <w:footnote w:id="8">
    <w:p w14:paraId="46C703C6" w14:textId="77777777" w:rsidR="00912BAE" w:rsidRPr="00331DDB" w:rsidRDefault="00912BAE" w:rsidP="007C4FF5">
      <w:pPr>
        <w:pStyle w:val="FootnoteText"/>
        <w:jc w:val="both"/>
        <w:rPr>
          <w:rFonts w:ascii="Garamond" w:hAnsi="Garamond"/>
        </w:rPr>
      </w:pPr>
      <w:r>
        <w:rPr>
          <w:rStyle w:val="FootnoteReference"/>
        </w:rPr>
        <w:t>10</w:t>
      </w:r>
      <w:r w:rsidRPr="00331DDB">
        <w:rPr>
          <w:rFonts w:ascii="Garamond" w:hAnsi="Garamond"/>
        </w:rPr>
        <w:t xml:space="preserve"> The labor market data for </w:t>
      </w:r>
      <w:r>
        <w:rPr>
          <w:rFonts w:ascii="Garamond" w:hAnsi="Garamond"/>
        </w:rPr>
        <w:t xml:space="preserve">first quarters of </w:t>
      </w:r>
      <w:r w:rsidRPr="00331DDB">
        <w:rPr>
          <w:rFonts w:ascii="Garamond" w:hAnsi="Garamond"/>
        </w:rPr>
        <w:t>201</w:t>
      </w:r>
      <w:r>
        <w:rPr>
          <w:rFonts w:ascii="Garamond" w:hAnsi="Garamond"/>
        </w:rPr>
        <w:t>9</w:t>
      </w:r>
      <w:r w:rsidRPr="00331DDB">
        <w:rPr>
          <w:rFonts w:ascii="Garamond" w:hAnsi="Garamond"/>
        </w:rPr>
        <w:t>-202</w:t>
      </w:r>
      <w:r>
        <w:rPr>
          <w:rFonts w:ascii="Garamond" w:hAnsi="Garamond"/>
        </w:rPr>
        <w:t>2</w:t>
      </w:r>
      <w:r w:rsidRPr="00331DDB">
        <w:rPr>
          <w:rFonts w:ascii="Garamond" w:hAnsi="Garamond"/>
        </w:rPr>
        <w:t xml:space="preserve"> are the Central Bank projections which are based on the </w:t>
      </w:r>
      <w:r>
        <w:rPr>
          <w:rFonts w:ascii="Garamond" w:hAnsi="Garamond"/>
        </w:rPr>
        <w:t>actual first quarter 2019 data</w:t>
      </w:r>
      <w:r w:rsidRPr="00331DDB">
        <w:rPr>
          <w:rFonts w:ascii="Garamond" w:hAnsi="Garamond"/>
        </w:rPr>
        <w:t>. The growth indicators presented in this sub-section are relative to the same reference period last year, unless otherwise specified.</w:t>
      </w:r>
    </w:p>
  </w:footnote>
  <w:footnote w:id="9">
    <w:p w14:paraId="5BE8A83B" w14:textId="77777777" w:rsidR="00912BAE" w:rsidRPr="00A94878" w:rsidRDefault="00912BAE">
      <w:pPr>
        <w:pStyle w:val="FootnoteText"/>
        <w:rPr>
          <w:rFonts w:ascii="Garamond" w:hAnsi="Garamond"/>
        </w:rPr>
      </w:pPr>
      <w:r w:rsidRPr="00A94878">
        <w:rPr>
          <w:rStyle w:val="FootnoteReference"/>
          <w:rFonts w:ascii="Garamond" w:hAnsi="Garamond"/>
        </w:rPr>
        <w:t>11</w:t>
      </w:r>
      <w:r w:rsidRPr="00A94878">
        <w:rPr>
          <w:rFonts w:ascii="Garamond" w:hAnsi="Garamond"/>
        </w:rPr>
        <w:t xml:space="preserve"> See</w:t>
      </w:r>
      <w:r>
        <w:rPr>
          <w:rFonts w:ascii="Garamond" w:hAnsi="Garamond"/>
        </w:rPr>
        <w:t>:</w:t>
      </w:r>
      <w:r w:rsidRPr="00A94878">
        <w:rPr>
          <w:rFonts w:ascii="Garamond" w:hAnsi="Garamond"/>
          <w:lang w:val="hy-AM"/>
        </w:rPr>
        <w:t xml:space="preserve"> </w:t>
      </w:r>
      <w:hyperlink r:id="rId2" w:history="1">
        <w:r w:rsidRPr="00A94878">
          <w:rPr>
            <w:rStyle w:val="Hyperlink"/>
            <w:rFonts w:ascii="Garamond" w:hAnsi="Garamond"/>
            <w:color w:val="auto"/>
            <w:u w:val="none"/>
            <w:lang w:val="hy-AM"/>
          </w:rPr>
          <w:t>https://www.armstat.am/file/article/sv_04_19a_420.pdf</w:t>
        </w:r>
      </w:hyperlink>
    </w:p>
  </w:footnote>
  <w:footnote w:id="10">
    <w:p w14:paraId="078ACF75" w14:textId="77777777" w:rsidR="00912BAE" w:rsidRPr="00F913AD" w:rsidRDefault="00912BAE">
      <w:pPr>
        <w:pStyle w:val="FootnoteText"/>
        <w:rPr>
          <w:rFonts w:ascii="Garamond" w:hAnsi="Garamond"/>
        </w:rPr>
      </w:pPr>
      <w:r w:rsidRPr="00F913AD">
        <w:rPr>
          <w:rStyle w:val="FootnoteReference"/>
          <w:rFonts w:ascii="Garamond" w:hAnsi="Garamond"/>
        </w:rPr>
        <w:t>13</w:t>
      </w:r>
      <w:r w:rsidRPr="00F913AD">
        <w:rPr>
          <w:rFonts w:ascii="Garamond" w:hAnsi="Garamond"/>
        </w:rPr>
        <w:t xml:space="preserve"> </w:t>
      </w:r>
      <w:r>
        <w:rPr>
          <w:rFonts w:ascii="Garamond" w:hAnsi="Garamond"/>
        </w:rPr>
        <w:t>According to Prime Minister’s discussion of issues relating to allotting of extra budgetary funds</w:t>
      </w:r>
      <w:r w:rsidRPr="00F913AD">
        <w:rPr>
          <w:rFonts w:ascii="Garamond" w:hAnsi="Garamond"/>
        </w:rPr>
        <w:t>.</w:t>
      </w:r>
    </w:p>
  </w:footnote>
  <w:footnote w:id="11">
    <w:p w14:paraId="73455DD1" w14:textId="77777777" w:rsidR="00912BAE" w:rsidRPr="00E5159E" w:rsidRDefault="00912BAE" w:rsidP="00DD5090">
      <w:pPr>
        <w:pStyle w:val="FootnoteText"/>
        <w:jc w:val="both"/>
        <w:rPr>
          <w:rFonts w:ascii="Garamond" w:hAnsi="Garamond"/>
        </w:rPr>
      </w:pPr>
      <w:r w:rsidRPr="00E5159E">
        <w:rPr>
          <w:rStyle w:val="FootnoteReference"/>
          <w:rFonts w:ascii="Garamond" w:hAnsi="Garamond"/>
        </w:rPr>
        <w:t>14</w:t>
      </w:r>
      <w:r w:rsidRPr="00E5159E">
        <w:rPr>
          <w:rFonts w:ascii="Garamond" w:hAnsi="Garamond"/>
        </w:rPr>
        <w:t xml:space="preserve"> See </w:t>
      </w:r>
      <w:hyperlink r:id="rId3" w:history="1">
        <w:r w:rsidRPr="00E5159E">
          <w:rPr>
            <w:rStyle w:val="Hyperlink"/>
            <w:rFonts w:ascii="Garamond" w:hAnsi="Garamond"/>
            <w:color w:val="auto"/>
            <w:u w:val="none"/>
            <w:lang w:val="hy-AM"/>
          </w:rPr>
          <w:t>https://www.lydianarmenia.am/images/Socio-economic_study_Executive_Summary_ARM.pdf</w:t>
        </w:r>
      </w:hyperlink>
    </w:p>
  </w:footnote>
  <w:footnote w:id="12">
    <w:p w14:paraId="472D2279" w14:textId="77777777" w:rsidR="00912BAE" w:rsidRPr="00DD5090" w:rsidRDefault="00912BAE" w:rsidP="00DD5090">
      <w:pPr>
        <w:pStyle w:val="FootnoteText"/>
        <w:jc w:val="both"/>
        <w:rPr>
          <w:rFonts w:ascii="Garamond" w:hAnsi="Garamond"/>
        </w:rPr>
      </w:pPr>
      <w:r w:rsidRPr="00DD5090">
        <w:rPr>
          <w:rStyle w:val="FootnoteReference"/>
          <w:rFonts w:ascii="Garamond" w:hAnsi="Garamond"/>
        </w:rPr>
        <w:t>15</w:t>
      </w:r>
      <w:r w:rsidRPr="00DD5090">
        <w:rPr>
          <w:rFonts w:ascii="Garamond" w:hAnsi="Garamond"/>
        </w:rPr>
        <w:t xml:space="preserve"> </w:t>
      </w:r>
      <w:r>
        <w:rPr>
          <w:rFonts w:ascii="Garamond" w:hAnsi="Garamond"/>
        </w:rPr>
        <w:t>The figures of output volumes of “Tegh</w:t>
      </w:r>
      <w:r w:rsidRPr="00DD5090">
        <w:rPr>
          <w:rFonts w:ascii="Garamond" w:hAnsi="Garamond"/>
        </w:rPr>
        <w:t>ut</w:t>
      </w:r>
      <w:r>
        <w:rPr>
          <w:rFonts w:ascii="Garamond" w:hAnsi="Garamond"/>
        </w:rPr>
        <w:t>”</w:t>
      </w:r>
      <w:r w:rsidRPr="00DD5090">
        <w:rPr>
          <w:rFonts w:ascii="Garamond" w:hAnsi="Garamond"/>
        </w:rPr>
        <w:t xml:space="preserve"> CJSC and </w:t>
      </w:r>
      <w:r>
        <w:rPr>
          <w:rFonts w:ascii="Garamond" w:hAnsi="Garamond"/>
        </w:rPr>
        <w:t>“</w:t>
      </w:r>
      <w:r w:rsidRPr="00DD5090">
        <w:rPr>
          <w:rFonts w:ascii="Garamond" w:hAnsi="Garamond"/>
        </w:rPr>
        <w:t>ACP</w:t>
      </w:r>
      <w:r>
        <w:rPr>
          <w:rFonts w:ascii="Garamond" w:hAnsi="Garamond"/>
        </w:rPr>
        <w:t>”</w:t>
      </w:r>
      <w:r w:rsidRPr="00DD5090">
        <w:rPr>
          <w:rFonts w:ascii="Garamond" w:hAnsi="Garamond"/>
        </w:rPr>
        <w:t xml:space="preserve"> CJSC </w:t>
      </w:r>
      <w:r>
        <w:rPr>
          <w:rFonts w:ascii="Garamond" w:hAnsi="Garamond"/>
        </w:rPr>
        <w:t>(Alaverdi copper smelting factory) are</w:t>
      </w:r>
      <w:r w:rsidRPr="00DD5090">
        <w:rPr>
          <w:rFonts w:ascii="Garamond" w:hAnsi="Garamond"/>
        </w:rPr>
        <w:t xml:space="preserve"> </w:t>
      </w:r>
      <w:r>
        <w:rPr>
          <w:rFonts w:ascii="Garamond" w:hAnsi="Garamond"/>
        </w:rPr>
        <w:t>shown in the Lo</w:t>
      </w:r>
      <w:r w:rsidRPr="00DD5090">
        <w:rPr>
          <w:rFonts w:ascii="Garamond" w:hAnsi="Garamond"/>
        </w:rPr>
        <w:t xml:space="preserve">ri </w:t>
      </w:r>
      <w:r>
        <w:rPr>
          <w:rFonts w:ascii="Garamond" w:hAnsi="Garamond"/>
        </w:rPr>
        <w:t xml:space="preserve">governor report for </w:t>
      </w:r>
      <w:r w:rsidRPr="00DD5090">
        <w:rPr>
          <w:rFonts w:ascii="Garamond" w:hAnsi="Garamond"/>
        </w:rPr>
        <w:t>2017</w:t>
      </w:r>
      <w:r>
        <w:rPr>
          <w:rFonts w:ascii="Garamond" w:hAnsi="Garamond"/>
        </w:rPr>
        <w:t xml:space="preserve"> as a percentage in total industrial production of the region </w:t>
      </w:r>
      <w:r w:rsidRPr="00DD5090">
        <w:rPr>
          <w:rFonts w:ascii="Garamond" w:hAnsi="Garamond"/>
        </w:rPr>
        <w:t>(</w:t>
      </w:r>
      <w:r>
        <w:rPr>
          <w:rFonts w:ascii="Garamond" w:hAnsi="Garamond"/>
        </w:rPr>
        <w:t xml:space="preserve">making up </w:t>
      </w:r>
      <w:r w:rsidRPr="00DD5090">
        <w:rPr>
          <w:rFonts w:ascii="Garamond" w:hAnsi="Garamond"/>
        </w:rPr>
        <w:t xml:space="preserve">47.9% and 23.7%, respectively), </w:t>
      </w:r>
      <w:r>
        <w:rPr>
          <w:rFonts w:ascii="Garamond" w:hAnsi="Garamond"/>
        </w:rPr>
        <w:t>which were used for cal</w:t>
      </w:r>
      <w:r w:rsidRPr="00DD5090">
        <w:rPr>
          <w:rFonts w:ascii="Garamond" w:hAnsi="Garamond"/>
        </w:rPr>
        <w:t xml:space="preserve">culations. See </w:t>
      </w:r>
      <w:hyperlink r:id="rId4" w:history="1">
        <w:r w:rsidRPr="00DD5090">
          <w:rPr>
            <w:rStyle w:val="Hyperlink"/>
            <w:rFonts w:ascii="Garamond" w:hAnsi="Garamond"/>
            <w:color w:val="auto"/>
            <w:u w:val="none"/>
            <w:lang w:val="hy-AM"/>
          </w:rPr>
          <w:t>http://lori.mtad.am/files/docs/30794.pdf</w:t>
        </w:r>
      </w:hyperlink>
    </w:p>
  </w:footnote>
  <w:footnote w:id="13">
    <w:p w14:paraId="29904610" w14:textId="77777777" w:rsidR="00912BAE" w:rsidRPr="00037AE4" w:rsidRDefault="00912BAE" w:rsidP="00037AE4">
      <w:pPr>
        <w:pStyle w:val="FootnoteText"/>
        <w:jc w:val="both"/>
        <w:rPr>
          <w:rFonts w:ascii="Garamond" w:hAnsi="Garamond"/>
        </w:rPr>
      </w:pPr>
      <w:r w:rsidRPr="00037AE4">
        <w:rPr>
          <w:rStyle w:val="FootnoteReference"/>
          <w:rFonts w:ascii="Garamond" w:hAnsi="Garamond"/>
        </w:rPr>
        <w:t>17</w:t>
      </w:r>
      <w:r w:rsidRPr="00037AE4">
        <w:rPr>
          <w:rFonts w:ascii="Garamond" w:hAnsi="Garamond"/>
        </w:rPr>
        <w:t xml:space="preserve"> See more </w:t>
      </w:r>
      <w:r>
        <w:rPr>
          <w:rFonts w:ascii="Garamond" w:hAnsi="Garamond"/>
        </w:rPr>
        <w:t xml:space="preserve">of </w:t>
      </w:r>
      <w:r w:rsidRPr="00037AE4">
        <w:rPr>
          <w:rFonts w:ascii="Garamond" w:hAnsi="Garamond"/>
        </w:rPr>
        <w:t xml:space="preserve">the </w:t>
      </w:r>
      <w:r>
        <w:rPr>
          <w:rFonts w:ascii="Garamond" w:hAnsi="Garamond"/>
        </w:rPr>
        <w:t xml:space="preserve">potential </w:t>
      </w:r>
      <w:r w:rsidRPr="00037AE4">
        <w:rPr>
          <w:rFonts w:ascii="Garamond" w:hAnsi="Garamond"/>
        </w:rPr>
        <w:t>GDP</w:t>
      </w:r>
      <w:r>
        <w:rPr>
          <w:rFonts w:ascii="Garamond" w:hAnsi="Garamond"/>
        </w:rPr>
        <w:t xml:space="preserve"> </w:t>
      </w:r>
      <w:r w:rsidRPr="00037AE4">
        <w:rPr>
          <w:rFonts w:ascii="Garamond" w:hAnsi="Garamond"/>
        </w:rPr>
        <w:t xml:space="preserve">in the MP program for the fourth quarter </w:t>
      </w:r>
      <w:r>
        <w:rPr>
          <w:rFonts w:ascii="Garamond" w:hAnsi="Garamond"/>
        </w:rPr>
        <w:t xml:space="preserve">of </w:t>
      </w:r>
      <w:r w:rsidRPr="00037AE4">
        <w:rPr>
          <w:rFonts w:ascii="Garamond" w:hAnsi="Garamond"/>
        </w:rPr>
        <w:t>2018.</w:t>
      </w:r>
    </w:p>
  </w:footnote>
  <w:footnote w:id="14">
    <w:p w14:paraId="1EDC9FF1" w14:textId="77777777" w:rsidR="00912BAE" w:rsidRPr="00542F22" w:rsidRDefault="00912BAE" w:rsidP="00542F22">
      <w:pPr>
        <w:pStyle w:val="FootnoteText"/>
        <w:jc w:val="both"/>
        <w:rPr>
          <w:rFonts w:ascii="Garamond" w:hAnsi="Garamond"/>
        </w:rPr>
      </w:pPr>
      <w:r w:rsidRPr="00542F22">
        <w:rPr>
          <w:rStyle w:val="FootnoteReference"/>
          <w:rFonts w:ascii="Garamond" w:hAnsi="Garamond"/>
        </w:rPr>
        <w:t>18</w:t>
      </w:r>
      <w:r w:rsidRPr="00542F22">
        <w:rPr>
          <w:rFonts w:ascii="Garamond" w:hAnsi="Garamond"/>
        </w:rPr>
        <w:t xml:space="preserve"> </w:t>
      </w:r>
      <w:r>
        <w:rPr>
          <w:rFonts w:ascii="Garamond" w:hAnsi="Garamond"/>
        </w:rPr>
        <w:t>S</w:t>
      </w:r>
      <w:r w:rsidRPr="00542F22">
        <w:rPr>
          <w:rFonts w:ascii="Garamond" w:hAnsi="Garamond"/>
        </w:rPr>
        <w:t>ome very small short-term effects were not factored in</w:t>
      </w:r>
      <w:r>
        <w:rPr>
          <w:rFonts w:ascii="Garamond" w:hAnsi="Garamond"/>
        </w:rPr>
        <w:t xml:space="preserve"> for the sake of simplicity</w:t>
      </w:r>
      <w:r w:rsidRPr="00542F22">
        <w:rPr>
          <w:rFonts w:ascii="Garamond" w:hAnsi="Garamond"/>
        </w:rPr>
        <w:t>.</w:t>
      </w:r>
    </w:p>
  </w:footnote>
  <w:footnote w:id="15">
    <w:p w14:paraId="10F0A902" w14:textId="77777777" w:rsidR="00912BAE" w:rsidRPr="000500A0" w:rsidRDefault="00912BAE" w:rsidP="000500A0">
      <w:pPr>
        <w:pStyle w:val="FootnoteText"/>
        <w:jc w:val="both"/>
        <w:rPr>
          <w:rFonts w:ascii="Garamond" w:hAnsi="Garamond"/>
        </w:rPr>
      </w:pPr>
      <w:r w:rsidRPr="000500A0">
        <w:rPr>
          <w:rStyle w:val="FootnoteReference"/>
          <w:rFonts w:ascii="Garamond" w:hAnsi="Garamond"/>
        </w:rPr>
        <w:t>20</w:t>
      </w:r>
      <w:r w:rsidRPr="000500A0">
        <w:rPr>
          <w:rFonts w:ascii="Garamond" w:hAnsi="Garamond"/>
        </w:rPr>
        <w:t xml:space="preserve"> Th</w:t>
      </w:r>
      <w:r>
        <w:rPr>
          <w:rFonts w:ascii="Garamond" w:hAnsi="Garamond"/>
        </w:rPr>
        <w:t>is i</w:t>
      </w:r>
      <w:r w:rsidRPr="000500A0">
        <w:rPr>
          <w:rFonts w:ascii="Garamond" w:hAnsi="Garamond"/>
        </w:rPr>
        <w:t>ndicator calculated by the C</w:t>
      </w:r>
      <w:r>
        <w:rPr>
          <w:rFonts w:ascii="Garamond" w:hAnsi="Garamond"/>
        </w:rPr>
        <w:t xml:space="preserve">entral </w:t>
      </w:r>
      <w:r w:rsidRPr="000500A0">
        <w:rPr>
          <w:rFonts w:ascii="Garamond" w:hAnsi="Garamond"/>
        </w:rPr>
        <w:t>B</w:t>
      </w:r>
      <w:r>
        <w:rPr>
          <w:rFonts w:ascii="Garamond" w:hAnsi="Garamond"/>
        </w:rPr>
        <w:t xml:space="preserve">ank shows the difference between gross </w:t>
      </w:r>
      <w:r w:rsidRPr="000500A0">
        <w:rPr>
          <w:rFonts w:ascii="Garamond" w:hAnsi="Garamond"/>
        </w:rPr>
        <w:t xml:space="preserve">accumulation of </w:t>
      </w:r>
      <w:r>
        <w:rPr>
          <w:rFonts w:ascii="Garamond" w:hAnsi="Garamond"/>
        </w:rPr>
        <w:t xml:space="preserve">total </w:t>
      </w:r>
      <w:r w:rsidRPr="000500A0">
        <w:rPr>
          <w:rFonts w:ascii="Garamond" w:hAnsi="Garamond"/>
        </w:rPr>
        <w:t xml:space="preserve">fixed assets and public investment. </w:t>
      </w:r>
      <w:r>
        <w:rPr>
          <w:rFonts w:ascii="Garamond" w:hAnsi="Garamond"/>
        </w:rPr>
        <w:t xml:space="preserve">To produce </w:t>
      </w:r>
      <w:r w:rsidRPr="000500A0">
        <w:rPr>
          <w:rFonts w:ascii="Garamond" w:hAnsi="Garamond"/>
        </w:rPr>
        <w:t>real growth rates</w:t>
      </w:r>
      <w:r>
        <w:rPr>
          <w:rFonts w:ascii="Garamond" w:hAnsi="Garamond"/>
        </w:rPr>
        <w:t>, the gross fixed asset</w:t>
      </w:r>
      <w:r w:rsidRPr="000500A0">
        <w:rPr>
          <w:rFonts w:ascii="Garamond" w:hAnsi="Garamond"/>
        </w:rPr>
        <w:t xml:space="preserve"> accumulation </w:t>
      </w:r>
      <w:r>
        <w:rPr>
          <w:rFonts w:ascii="Garamond" w:hAnsi="Garamond"/>
        </w:rPr>
        <w:t>deflator has been used</w:t>
      </w:r>
      <w:r w:rsidRPr="000500A0">
        <w:rPr>
          <w:rFonts w:ascii="Garamond" w:hAnsi="Garamond"/>
        </w:rPr>
        <w:t>.</w:t>
      </w:r>
    </w:p>
  </w:footnote>
  <w:footnote w:id="16">
    <w:p w14:paraId="7B907E00" w14:textId="77777777" w:rsidR="00912BAE" w:rsidRPr="00390AD3" w:rsidRDefault="00912BAE" w:rsidP="004F68C6">
      <w:pPr>
        <w:pStyle w:val="FootnoteText"/>
        <w:jc w:val="both"/>
        <w:rPr>
          <w:rFonts w:ascii="Garamond" w:hAnsi="Garamond"/>
        </w:rPr>
      </w:pPr>
      <w:r>
        <w:rPr>
          <w:rStyle w:val="FootnoteReference"/>
        </w:rPr>
        <w:t>21</w:t>
      </w:r>
      <w:r>
        <w:t xml:space="preserve"> </w:t>
      </w:r>
      <w:r>
        <w:rPr>
          <w:rFonts w:ascii="Garamond" w:hAnsi="Garamond"/>
        </w:rPr>
        <w:t>N</w:t>
      </w:r>
      <w:r w:rsidRPr="001C139D">
        <w:rPr>
          <w:rFonts w:ascii="Garamond" w:hAnsi="Garamond"/>
        </w:rPr>
        <w:t>ote</w:t>
      </w:r>
      <w:r>
        <w:rPr>
          <w:rFonts w:ascii="Garamond" w:hAnsi="Garamond"/>
        </w:rPr>
        <w:t xml:space="preserve"> </w:t>
      </w:r>
      <w:r w:rsidRPr="001C139D">
        <w:rPr>
          <w:rFonts w:ascii="Garamond" w:hAnsi="Garamond"/>
        </w:rPr>
        <w:t xml:space="preserve">that the Central Bank </w:t>
      </w:r>
      <w:r>
        <w:rPr>
          <w:rFonts w:ascii="Garamond" w:hAnsi="Garamond"/>
        </w:rPr>
        <w:t xml:space="preserve">used to present the indicator of private investment that incorporated </w:t>
      </w:r>
      <w:r w:rsidRPr="001C139D">
        <w:rPr>
          <w:rFonts w:ascii="Garamond" w:hAnsi="Garamond"/>
        </w:rPr>
        <w:t>the change in tangible working capital inventories</w:t>
      </w:r>
      <w:r>
        <w:rPr>
          <w:rFonts w:ascii="Garamond" w:hAnsi="Garamond"/>
        </w:rPr>
        <w:t xml:space="preserve">, but because the </w:t>
      </w:r>
      <w:r w:rsidRPr="001C139D">
        <w:rPr>
          <w:rFonts w:ascii="Garamond" w:hAnsi="Garamond"/>
        </w:rPr>
        <w:t xml:space="preserve">Statistics Committee of the Republic of Armenia </w:t>
      </w:r>
      <w:r>
        <w:rPr>
          <w:rFonts w:ascii="Garamond" w:hAnsi="Garamond"/>
        </w:rPr>
        <w:t xml:space="preserve">viewed it </w:t>
      </w:r>
      <w:r w:rsidRPr="001C139D">
        <w:rPr>
          <w:rFonts w:ascii="Garamond" w:hAnsi="Garamond"/>
        </w:rPr>
        <w:t>as a balancing item</w:t>
      </w:r>
      <w:r>
        <w:rPr>
          <w:rFonts w:ascii="Garamond" w:hAnsi="Garamond"/>
        </w:rPr>
        <w:t xml:space="preserve"> </w:t>
      </w:r>
      <w:r w:rsidRPr="001C139D">
        <w:rPr>
          <w:rFonts w:ascii="Garamond" w:hAnsi="Garamond"/>
        </w:rPr>
        <w:t>and</w:t>
      </w:r>
      <w:r>
        <w:rPr>
          <w:rFonts w:ascii="Garamond" w:hAnsi="Garamond"/>
        </w:rPr>
        <w:t xml:space="preserve"> because it </w:t>
      </w:r>
      <w:r w:rsidRPr="001C139D">
        <w:rPr>
          <w:rFonts w:ascii="Garamond" w:hAnsi="Garamond"/>
        </w:rPr>
        <w:t>does not show the true level of investment</w:t>
      </w:r>
      <w:r>
        <w:rPr>
          <w:rFonts w:ascii="Garamond" w:hAnsi="Garamond"/>
        </w:rPr>
        <w:t xml:space="preserve">, the Central Bank has only considered </w:t>
      </w:r>
      <w:r w:rsidRPr="001C139D">
        <w:rPr>
          <w:rFonts w:ascii="Garamond" w:hAnsi="Garamond"/>
        </w:rPr>
        <w:t>the indicator of gross private fixed asset accumulation</w:t>
      </w:r>
      <w:r>
        <w:rPr>
          <w:rFonts w:ascii="Garamond" w:hAnsi="Garamond"/>
        </w:rPr>
        <w:t xml:space="preserve">, which is not compatible with previously provided </w:t>
      </w:r>
      <w:r w:rsidRPr="001C139D">
        <w:rPr>
          <w:rFonts w:ascii="Garamond" w:hAnsi="Garamond"/>
        </w:rPr>
        <w:t xml:space="preserve">estimations of </w:t>
      </w:r>
      <w:r>
        <w:rPr>
          <w:rFonts w:ascii="Garamond" w:hAnsi="Garamond"/>
        </w:rPr>
        <w:t xml:space="preserve">private </w:t>
      </w:r>
      <w:r w:rsidRPr="00390AD3">
        <w:rPr>
          <w:rFonts w:ascii="Garamond" w:hAnsi="Garamond"/>
        </w:rPr>
        <w:t xml:space="preserve">investment capital. See </w:t>
      </w:r>
      <w:hyperlink r:id="rId5" w:history="1">
        <w:r w:rsidRPr="00390AD3">
          <w:rPr>
            <w:rStyle w:val="Hyperlink"/>
            <w:rFonts w:ascii="Garamond" w:hAnsi="Garamond"/>
            <w:u w:val="none"/>
            <w:lang w:val="hy-AM"/>
          </w:rPr>
          <w:t>https://www.armstat.am/file/article/sv_04_19a_112.pdf</w:t>
        </w:r>
      </w:hyperlink>
    </w:p>
  </w:footnote>
  <w:footnote w:id="17">
    <w:p w14:paraId="713EC2C1" w14:textId="77777777" w:rsidR="00912BAE" w:rsidRDefault="00912BAE" w:rsidP="00781ACF">
      <w:pPr>
        <w:pStyle w:val="FootnoteText"/>
        <w:jc w:val="both"/>
        <w:rPr>
          <w:rFonts w:ascii="Garamond" w:hAnsi="Garamond"/>
        </w:rPr>
      </w:pPr>
      <w:r>
        <w:rPr>
          <w:rStyle w:val="FootnoteReference"/>
        </w:rPr>
        <w:t>22</w:t>
      </w:r>
      <w:r>
        <w:rPr>
          <w:rFonts w:ascii="Garamond" w:hAnsi="Garamond"/>
        </w:rPr>
        <w:t xml:space="preserve"> </w:t>
      </w:r>
      <w:r>
        <w:rPr>
          <w:rFonts w:ascii="Garamond" w:hAnsi="Garamond"/>
          <w:iCs/>
        </w:rPr>
        <w:t xml:space="preserve">The review of the fiscal sector used actual consolidated budget indicators of the first quarter of 2019, excluding off-budgetary funds. </w:t>
      </w:r>
    </w:p>
  </w:footnote>
  <w:footnote w:id="18">
    <w:p w14:paraId="0FC25097" w14:textId="77777777" w:rsidR="00912BAE" w:rsidRDefault="00912BAE" w:rsidP="00781ACF">
      <w:pPr>
        <w:pStyle w:val="FootnoteText"/>
        <w:jc w:val="both"/>
        <w:rPr>
          <w:rFonts w:ascii="Garamond" w:hAnsi="Garamond"/>
        </w:rPr>
      </w:pPr>
      <w:r>
        <w:rPr>
          <w:rStyle w:val="FootnoteReference"/>
        </w:rPr>
        <w:t>23</w:t>
      </w:r>
      <w:r>
        <w:rPr>
          <w:rFonts w:ascii="Garamond" w:hAnsi="Garamond"/>
        </w:rPr>
        <w:t xml:space="preserve"> The revenue projection was based on the quarterly indicator as outlined in the Budget Law 2019; the </w:t>
      </w:r>
      <w:r w:rsidRPr="008455F5">
        <w:rPr>
          <w:rFonts w:ascii="Garamond" w:hAnsi="Garamond"/>
        </w:rPr>
        <w:t xml:space="preserve">expenditure </w:t>
      </w:r>
      <w:r>
        <w:rPr>
          <w:rFonts w:ascii="Garamond" w:hAnsi="Garamond"/>
        </w:rPr>
        <w:t xml:space="preserve">projection is the Central Bank estimate. </w:t>
      </w:r>
    </w:p>
  </w:footnote>
  <w:footnote w:id="19">
    <w:p w14:paraId="2C9A68AE" w14:textId="77777777" w:rsidR="00912BAE" w:rsidRDefault="00912BAE" w:rsidP="00242EA6">
      <w:pPr>
        <w:pStyle w:val="FootnoteText"/>
        <w:jc w:val="both"/>
        <w:rPr>
          <w:rFonts w:ascii="Garamond" w:hAnsi="Garamond"/>
        </w:rPr>
      </w:pPr>
      <w:r>
        <w:rPr>
          <w:rStyle w:val="FootnoteReference"/>
        </w:rPr>
        <w:t>24</w:t>
      </w:r>
      <w:r>
        <w:rPr>
          <w:rFonts w:ascii="Garamond" w:hAnsi="Garamond"/>
        </w:rPr>
        <w:t xml:space="preserve"> The labor market data for the first quarter 2019 are the Central Bank estimates which are based on the fourth quarter 2018 data and actual January-February 2019 figures. The growth indicators provided in this subsection are relative to the same reference period last year, unless otherwise specified.</w:t>
      </w:r>
    </w:p>
  </w:footnote>
  <w:footnote w:id="20">
    <w:p w14:paraId="3AAE9B0D" w14:textId="77777777" w:rsidR="00912BAE" w:rsidRPr="00B805F6" w:rsidRDefault="00912BAE" w:rsidP="00B805F6">
      <w:pPr>
        <w:pStyle w:val="FootnoteText"/>
        <w:jc w:val="both"/>
        <w:rPr>
          <w:rFonts w:ascii="Garamond" w:hAnsi="Garamond"/>
        </w:rPr>
      </w:pPr>
      <w:r>
        <w:rPr>
          <w:rStyle w:val="FootnoteReference"/>
        </w:rPr>
        <w:t>25</w:t>
      </w:r>
      <w:r w:rsidRPr="00B805F6">
        <w:rPr>
          <w:rFonts w:ascii="Garamond" w:hAnsi="Garamond"/>
        </w:rPr>
        <w:t xml:space="preserve"> The gross real value added per employed has been viewed as the productivity indicator.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F0630"/>
    <w:multiLevelType w:val="hybridMultilevel"/>
    <w:tmpl w:val="7CD44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9612F"/>
    <w:multiLevelType w:val="hybridMultilevel"/>
    <w:tmpl w:val="7736DDB2"/>
    <w:lvl w:ilvl="0" w:tplc="DA186CFC">
      <w:start w:val="4"/>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12FA4"/>
    <w:multiLevelType w:val="hybridMultilevel"/>
    <w:tmpl w:val="C5F83BDE"/>
    <w:lvl w:ilvl="0" w:tplc="042B0001">
      <w:start w:val="1"/>
      <w:numFmt w:val="bullet"/>
      <w:lvlText w:val=""/>
      <w:lvlJc w:val="left"/>
      <w:pPr>
        <w:ind w:left="360" w:hanging="360"/>
      </w:pPr>
      <w:rPr>
        <w:rFonts w:ascii="Symbol" w:hAnsi="Symbol"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3" w15:restartNumberingAfterBreak="0">
    <w:nsid w:val="37C70900"/>
    <w:multiLevelType w:val="hybridMultilevel"/>
    <w:tmpl w:val="C8283D98"/>
    <w:lvl w:ilvl="0" w:tplc="042B0001">
      <w:start w:val="1"/>
      <w:numFmt w:val="bullet"/>
      <w:lvlText w:val=""/>
      <w:lvlJc w:val="left"/>
      <w:pPr>
        <w:ind w:left="360" w:hanging="360"/>
      </w:pPr>
      <w:rPr>
        <w:rFonts w:ascii="Symbol" w:hAnsi="Symbol"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4" w15:restartNumberingAfterBreak="0">
    <w:nsid w:val="3A0B69ED"/>
    <w:multiLevelType w:val="hybridMultilevel"/>
    <w:tmpl w:val="D2EC3668"/>
    <w:lvl w:ilvl="0" w:tplc="042B0001">
      <w:start w:val="1"/>
      <w:numFmt w:val="bullet"/>
      <w:lvlText w:val=""/>
      <w:lvlJc w:val="left"/>
      <w:pPr>
        <w:ind w:left="360" w:hanging="360"/>
      </w:pPr>
      <w:rPr>
        <w:rFonts w:ascii="Symbol" w:hAnsi="Symbol"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5" w15:restartNumberingAfterBreak="0">
    <w:nsid w:val="407167E7"/>
    <w:multiLevelType w:val="hybridMultilevel"/>
    <w:tmpl w:val="29E6AF64"/>
    <w:lvl w:ilvl="0" w:tplc="38988830">
      <w:start w:val="13"/>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AC0FC4"/>
    <w:multiLevelType w:val="hybridMultilevel"/>
    <w:tmpl w:val="F45ABD28"/>
    <w:lvl w:ilvl="0" w:tplc="042B0001">
      <w:start w:val="1"/>
      <w:numFmt w:val="bullet"/>
      <w:lvlText w:val=""/>
      <w:lvlJc w:val="left"/>
      <w:pPr>
        <w:ind w:left="360" w:hanging="360"/>
      </w:pPr>
      <w:rPr>
        <w:rFonts w:ascii="Symbol" w:hAnsi="Symbol"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651"/>
    <w:rsid w:val="000007DB"/>
    <w:rsid w:val="00001A3F"/>
    <w:rsid w:val="000029F4"/>
    <w:rsid w:val="000046DB"/>
    <w:rsid w:val="00004D9D"/>
    <w:rsid w:val="000051F3"/>
    <w:rsid w:val="00006209"/>
    <w:rsid w:val="00010BFD"/>
    <w:rsid w:val="00010FBE"/>
    <w:rsid w:val="000115CE"/>
    <w:rsid w:val="00011616"/>
    <w:rsid w:val="00012292"/>
    <w:rsid w:val="00012C1C"/>
    <w:rsid w:val="00012E6D"/>
    <w:rsid w:val="00012FB1"/>
    <w:rsid w:val="000142B6"/>
    <w:rsid w:val="00015947"/>
    <w:rsid w:val="00015A40"/>
    <w:rsid w:val="00016B26"/>
    <w:rsid w:val="00020BD0"/>
    <w:rsid w:val="00020F25"/>
    <w:rsid w:val="000241AE"/>
    <w:rsid w:val="00024A46"/>
    <w:rsid w:val="00030DCD"/>
    <w:rsid w:val="00033310"/>
    <w:rsid w:val="0003340B"/>
    <w:rsid w:val="00033894"/>
    <w:rsid w:val="000351D6"/>
    <w:rsid w:val="00035CE5"/>
    <w:rsid w:val="00037AE4"/>
    <w:rsid w:val="00037E61"/>
    <w:rsid w:val="0004189E"/>
    <w:rsid w:val="00041C0A"/>
    <w:rsid w:val="0004339D"/>
    <w:rsid w:val="000435F3"/>
    <w:rsid w:val="00044BC5"/>
    <w:rsid w:val="0004623F"/>
    <w:rsid w:val="000500A0"/>
    <w:rsid w:val="00053B34"/>
    <w:rsid w:val="00053D3C"/>
    <w:rsid w:val="000543B3"/>
    <w:rsid w:val="00055AF4"/>
    <w:rsid w:val="00055EDF"/>
    <w:rsid w:val="000612ED"/>
    <w:rsid w:val="00062BF6"/>
    <w:rsid w:val="00063063"/>
    <w:rsid w:val="00063CF8"/>
    <w:rsid w:val="00064988"/>
    <w:rsid w:val="00065C25"/>
    <w:rsid w:val="00065E6E"/>
    <w:rsid w:val="00066454"/>
    <w:rsid w:val="00066D12"/>
    <w:rsid w:val="0006717B"/>
    <w:rsid w:val="0007024C"/>
    <w:rsid w:val="00071D45"/>
    <w:rsid w:val="00072E34"/>
    <w:rsid w:val="000737AC"/>
    <w:rsid w:val="00073A22"/>
    <w:rsid w:val="00076DC3"/>
    <w:rsid w:val="000774D3"/>
    <w:rsid w:val="00077C44"/>
    <w:rsid w:val="00080015"/>
    <w:rsid w:val="0008330C"/>
    <w:rsid w:val="00085001"/>
    <w:rsid w:val="00085F36"/>
    <w:rsid w:val="00086DC8"/>
    <w:rsid w:val="00086E17"/>
    <w:rsid w:val="00086E60"/>
    <w:rsid w:val="000909CF"/>
    <w:rsid w:val="000919B2"/>
    <w:rsid w:val="00094276"/>
    <w:rsid w:val="000965BB"/>
    <w:rsid w:val="00097822"/>
    <w:rsid w:val="000A0192"/>
    <w:rsid w:val="000A2CFF"/>
    <w:rsid w:val="000A2F3A"/>
    <w:rsid w:val="000A53F3"/>
    <w:rsid w:val="000A5C6B"/>
    <w:rsid w:val="000A5DFE"/>
    <w:rsid w:val="000A6626"/>
    <w:rsid w:val="000B0A91"/>
    <w:rsid w:val="000B0F52"/>
    <w:rsid w:val="000B13F5"/>
    <w:rsid w:val="000B14DC"/>
    <w:rsid w:val="000B1E3D"/>
    <w:rsid w:val="000B214F"/>
    <w:rsid w:val="000B2925"/>
    <w:rsid w:val="000B2CE6"/>
    <w:rsid w:val="000B40B9"/>
    <w:rsid w:val="000B4A00"/>
    <w:rsid w:val="000B65AC"/>
    <w:rsid w:val="000B67CD"/>
    <w:rsid w:val="000B7072"/>
    <w:rsid w:val="000C0B9F"/>
    <w:rsid w:val="000C0E3A"/>
    <w:rsid w:val="000C10D2"/>
    <w:rsid w:val="000C1208"/>
    <w:rsid w:val="000C22CD"/>
    <w:rsid w:val="000C26AF"/>
    <w:rsid w:val="000C4B46"/>
    <w:rsid w:val="000C72B9"/>
    <w:rsid w:val="000D01FB"/>
    <w:rsid w:val="000D0801"/>
    <w:rsid w:val="000D1F44"/>
    <w:rsid w:val="000D230B"/>
    <w:rsid w:val="000D2BCD"/>
    <w:rsid w:val="000D42F3"/>
    <w:rsid w:val="000D465D"/>
    <w:rsid w:val="000D4B83"/>
    <w:rsid w:val="000D538D"/>
    <w:rsid w:val="000D5A49"/>
    <w:rsid w:val="000E1009"/>
    <w:rsid w:val="000E1DC6"/>
    <w:rsid w:val="000E1F26"/>
    <w:rsid w:val="000E283C"/>
    <w:rsid w:val="000E2CA7"/>
    <w:rsid w:val="000E68DE"/>
    <w:rsid w:val="000F59C5"/>
    <w:rsid w:val="000F7C8D"/>
    <w:rsid w:val="000F7F64"/>
    <w:rsid w:val="00102E11"/>
    <w:rsid w:val="001032FB"/>
    <w:rsid w:val="0010339C"/>
    <w:rsid w:val="0010487A"/>
    <w:rsid w:val="00105DDF"/>
    <w:rsid w:val="001065FE"/>
    <w:rsid w:val="00106B36"/>
    <w:rsid w:val="00107BCE"/>
    <w:rsid w:val="00107EED"/>
    <w:rsid w:val="00111FBD"/>
    <w:rsid w:val="00113D70"/>
    <w:rsid w:val="00115125"/>
    <w:rsid w:val="00115D65"/>
    <w:rsid w:val="00116E8B"/>
    <w:rsid w:val="00117E84"/>
    <w:rsid w:val="00120B61"/>
    <w:rsid w:val="00123C6A"/>
    <w:rsid w:val="00124193"/>
    <w:rsid w:val="00124332"/>
    <w:rsid w:val="0012445D"/>
    <w:rsid w:val="00124D9C"/>
    <w:rsid w:val="0012686B"/>
    <w:rsid w:val="00130386"/>
    <w:rsid w:val="0013157E"/>
    <w:rsid w:val="00131D86"/>
    <w:rsid w:val="00132A02"/>
    <w:rsid w:val="00132E83"/>
    <w:rsid w:val="00134A51"/>
    <w:rsid w:val="00134F6D"/>
    <w:rsid w:val="00135108"/>
    <w:rsid w:val="00136095"/>
    <w:rsid w:val="0013609E"/>
    <w:rsid w:val="00137E90"/>
    <w:rsid w:val="00142427"/>
    <w:rsid w:val="001432D5"/>
    <w:rsid w:val="00143B11"/>
    <w:rsid w:val="001454E4"/>
    <w:rsid w:val="00146A2B"/>
    <w:rsid w:val="00146ACD"/>
    <w:rsid w:val="00150903"/>
    <w:rsid w:val="00151677"/>
    <w:rsid w:val="0015167B"/>
    <w:rsid w:val="001516E3"/>
    <w:rsid w:val="001516E5"/>
    <w:rsid w:val="0015196D"/>
    <w:rsid w:val="00151ABD"/>
    <w:rsid w:val="00151C36"/>
    <w:rsid w:val="00151ED8"/>
    <w:rsid w:val="001528D2"/>
    <w:rsid w:val="00152D6B"/>
    <w:rsid w:val="00153E9A"/>
    <w:rsid w:val="00153FFE"/>
    <w:rsid w:val="001542C7"/>
    <w:rsid w:val="001547FD"/>
    <w:rsid w:val="001563A7"/>
    <w:rsid w:val="001574F6"/>
    <w:rsid w:val="00161645"/>
    <w:rsid w:val="00161D3D"/>
    <w:rsid w:val="0016228B"/>
    <w:rsid w:val="0016421D"/>
    <w:rsid w:val="00164956"/>
    <w:rsid w:val="00164D6D"/>
    <w:rsid w:val="00165650"/>
    <w:rsid w:val="00166AE0"/>
    <w:rsid w:val="00167660"/>
    <w:rsid w:val="00170F18"/>
    <w:rsid w:val="001747A0"/>
    <w:rsid w:val="001748AA"/>
    <w:rsid w:val="001761F4"/>
    <w:rsid w:val="00177746"/>
    <w:rsid w:val="00177B04"/>
    <w:rsid w:val="001803FC"/>
    <w:rsid w:val="001815BE"/>
    <w:rsid w:val="00181912"/>
    <w:rsid w:val="0018203D"/>
    <w:rsid w:val="00182A25"/>
    <w:rsid w:val="001830A1"/>
    <w:rsid w:val="00183633"/>
    <w:rsid w:val="00183E45"/>
    <w:rsid w:val="00184075"/>
    <w:rsid w:val="001862F9"/>
    <w:rsid w:val="00186500"/>
    <w:rsid w:val="0019052E"/>
    <w:rsid w:val="00191370"/>
    <w:rsid w:val="00194D78"/>
    <w:rsid w:val="00194EA3"/>
    <w:rsid w:val="001950CC"/>
    <w:rsid w:val="00195A36"/>
    <w:rsid w:val="00195F4C"/>
    <w:rsid w:val="00196199"/>
    <w:rsid w:val="00196427"/>
    <w:rsid w:val="001A1385"/>
    <w:rsid w:val="001A180F"/>
    <w:rsid w:val="001A33F8"/>
    <w:rsid w:val="001A3C0A"/>
    <w:rsid w:val="001A456E"/>
    <w:rsid w:val="001B0A66"/>
    <w:rsid w:val="001B14CC"/>
    <w:rsid w:val="001B2700"/>
    <w:rsid w:val="001B2965"/>
    <w:rsid w:val="001B4328"/>
    <w:rsid w:val="001B71B2"/>
    <w:rsid w:val="001B7933"/>
    <w:rsid w:val="001B7D00"/>
    <w:rsid w:val="001B7F81"/>
    <w:rsid w:val="001C08CC"/>
    <w:rsid w:val="001C139D"/>
    <w:rsid w:val="001C2483"/>
    <w:rsid w:val="001C2D10"/>
    <w:rsid w:val="001C3F35"/>
    <w:rsid w:val="001C5652"/>
    <w:rsid w:val="001C5977"/>
    <w:rsid w:val="001C5E8B"/>
    <w:rsid w:val="001C7315"/>
    <w:rsid w:val="001D0479"/>
    <w:rsid w:val="001D0B7E"/>
    <w:rsid w:val="001D0FDA"/>
    <w:rsid w:val="001D2F62"/>
    <w:rsid w:val="001D4E73"/>
    <w:rsid w:val="001D5226"/>
    <w:rsid w:val="001D5FB4"/>
    <w:rsid w:val="001D6C93"/>
    <w:rsid w:val="001D6D28"/>
    <w:rsid w:val="001E0112"/>
    <w:rsid w:val="001E04DF"/>
    <w:rsid w:val="001E1BA3"/>
    <w:rsid w:val="001E2898"/>
    <w:rsid w:val="001E301B"/>
    <w:rsid w:val="001E37BD"/>
    <w:rsid w:val="001E49E6"/>
    <w:rsid w:val="001E63BC"/>
    <w:rsid w:val="001F2209"/>
    <w:rsid w:val="001F384B"/>
    <w:rsid w:val="001F3FCB"/>
    <w:rsid w:val="001F524F"/>
    <w:rsid w:val="001F67CE"/>
    <w:rsid w:val="001F7681"/>
    <w:rsid w:val="00200ECA"/>
    <w:rsid w:val="002021DA"/>
    <w:rsid w:val="0020224C"/>
    <w:rsid w:val="002035A5"/>
    <w:rsid w:val="0020630B"/>
    <w:rsid w:val="00206E6A"/>
    <w:rsid w:val="00207D49"/>
    <w:rsid w:val="002129C7"/>
    <w:rsid w:val="002139DF"/>
    <w:rsid w:val="002140DE"/>
    <w:rsid w:val="00214908"/>
    <w:rsid w:val="00214EC8"/>
    <w:rsid w:val="00216163"/>
    <w:rsid w:val="00217481"/>
    <w:rsid w:val="00220202"/>
    <w:rsid w:val="0022067B"/>
    <w:rsid w:val="00220A90"/>
    <w:rsid w:val="002254DB"/>
    <w:rsid w:val="00225C60"/>
    <w:rsid w:val="00225D1F"/>
    <w:rsid w:val="00225FA5"/>
    <w:rsid w:val="002265CD"/>
    <w:rsid w:val="00226A1D"/>
    <w:rsid w:val="002276FE"/>
    <w:rsid w:val="00227821"/>
    <w:rsid w:val="0023260B"/>
    <w:rsid w:val="00233922"/>
    <w:rsid w:val="0023452F"/>
    <w:rsid w:val="00234B5E"/>
    <w:rsid w:val="00234BE9"/>
    <w:rsid w:val="00235AE0"/>
    <w:rsid w:val="0024036F"/>
    <w:rsid w:val="00240895"/>
    <w:rsid w:val="00240896"/>
    <w:rsid w:val="00241C68"/>
    <w:rsid w:val="00242DB9"/>
    <w:rsid w:val="00242EA6"/>
    <w:rsid w:val="0024318B"/>
    <w:rsid w:val="00246039"/>
    <w:rsid w:val="002476F1"/>
    <w:rsid w:val="002504D6"/>
    <w:rsid w:val="00250973"/>
    <w:rsid w:val="00251DCE"/>
    <w:rsid w:val="00252F40"/>
    <w:rsid w:val="00254051"/>
    <w:rsid w:val="0025574B"/>
    <w:rsid w:val="002574A2"/>
    <w:rsid w:val="00257EAB"/>
    <w:rsid w:val="00260739"/>
    <w:rsid w:val="00261149"/>
    <w:rsid w:val="00261AC1"/>
    <w:rsid w:val="00262DF4"/>
    <w:rsid w:val="00262F0E"/>
    <w:rsid w:val="00263C12"/>
    <w:rsid w:val="002647E8"/>
    <w:rsid w:val="00264CEB"/>
    <w:rsid w:val="00265345"/>
    <w:rsid w:val="00266698"/>
    <w:rsid w:val="00266CD8"/>
    <w:rsid w:val="00266DC6"/>
    <w:rsid w:val="00267A97"/>
    <w:rsid w:val="00271A46"/>
    <w:rsid w:val="00272DD8"/>
    <w:rsid w:val="002731EB"/>
    <w:rsid w:val="0027519B"/>
    <w:rsid w:val="00275357"/>
    <w:rsid w:val="002762C9"/>
    <w:rsid w:val="00276564"/>
    <w:rsid w:val="00276D6F"/>
    <w:rsid w:val="0027739D"/>
    <w:rsid w:val="0028129B"/>
    <w:rsid w:val="002813B4"/>
    <w:rsid w:val="00281E1F"/>
    <w:rsid w:val="00290CA2"/>
    <w:rsid w:val="00291B43"/>
    <w:rsid w:val="00292634"/>
    <w:rsid w:val="00292820"/>
    <w:rsid w:val="00292E52"/>
    <w:rsid w:val="00293251"/>
    <w:rsid w:val="00293A3F"/>
    <w:rsid w:val="00293D56"/>
    <w:rsid w:val="0029635E"/>
    <w:rsid w:val="00296451"/>
    <w:rsid w:val="002966E3"/>
    <w:rsid w:val="00296C8A"/>
    <w:rsid w:val="002976FB"/>
    <w:rsid w:val="002A0418"/>
    <w:rsid w:val="002A0889"/>
    <w:rsid w:val="002A0B5B"/>
    <w:rsid w:val="002A234F"/>
    <w:rsid w:val="002A34A0"/>
    <w:rsid w:val="002A38BF"/>
    <w:rsid w:val="002A3A33"/>
    <w:rsid w:val="002A4151"/>
    <w:rsid w:val="002A546C"/>
    <w:rsid w:val="002A59D1"/>
    <w:rsid w:val="002A5B11"/>
    <w:rsid w:val="002A7A3F"/>
    <w:rsid w:val="002B088F"/>
    <w:rsid w:val="002B094A"/>
    <w:rsid w:val="002B0D62"/>
    <w:rsid w:val="002B107B"/>
    <w:rsid w:val="002B1502"/>
    <w:rsid w:val="002B1812"/>
    <w:rsid w:val="002B3C4F"/>
    <w:rsid w:val="002B3F46"/>
    <w:rsid w:val="002B44D9"/>
    <w:rsid w:val="002B746A"/>
    <w:rsid w:val="002C086C"/>
    <w:rsid w:val="002C0A14"/>
    <w:rsid w:val="002C0CFB"/>
    <w:rsid w:val="002C108E"/>
    <w:rsid w:val="002C20CF"/>
    <w:rsid w:val="002C3539"/>
    <w:rsid w:val="002C4561"/>
    <w:rsid w:val="002C5043"/>
    <w:rsid w:val="002C60B9"/>
    <w:rsid w:val="002D0F71"/>
    <w:rsid w:val="002D1521"/>
    <w:rsid w:val="002D15E1"/>
    <w:rsid w:val="002D15EE"/>
    <w:rsid w:val="002D1638"/>
    <w:rsid w:val="002D2BE4"/>
    <w:rsid w:val="002D3047"/>
    <w:rsid w:val="002D378F"/>
    <w:rsid w:val="002D424C"/>
    <w:rsid w:val="002D4EB4"/>
    <w:rsid w:val="002D541D"/>
    <w:rsid w:val="002D6DE0"/>
    <w:rsid w:val="002E1211"/>
    <w:rsid w:val="002E1785"/>
    <w:rsid w:val="002E1D31"/>
    <w:rsid w:val="002E280F"/>
    <w:rsid w:val="002E4BC0"/>
    <w:rsid w:val="002E4FD8"/>
    <w:rsid w:val="002E64B2"/>
    <w:rsid w:val="002E7DF3"/>
    <w:rsid w:val="002F643B"/>
    <w:rsid w:val="002F6593"/>
    <w:rsid w:val="002F7CBD"/>
    <w:rsid w:val="00302B8C"/>
    <w:rsid w:val="00303988"/>
    <w:rsid w:val="003047A0"/>
    <w:rsid w:val="00306152"/>
    <w:rsid w:val="00307627"/>
    <w:rsid w:val="003108B7"/>
    <w:rsid w:val="0031200A"/>
    <w:rsid w:val="00312FE7"/>
    <w:rsid w:val="003132C8"/>
    <w:rsid w:val="00313C67"/>
    <w:rsid w:val="00314E55"/>
    <w:rsid w:val="003157FD"/>
    <w:rsid w:val="00315BD7"/>
    <w:rsid w:val="00317122"/>
    <w:rsid w:val="00317ECB"/>
    <w:rsid w:val="003207A0"/>
    <w:rsid w:val="003210F7"/>
    <w:rsid w:val="003219DC"/>
    <w:rsid w:val="003237C8"/>
    <w:rsid w:val="00324349"/>
    <w:rsid w:val="00327699"/>
    <w:rsid w:val="003311D7"/>
    <w:rsid w:val="003316A8"/>
    <w:rsid w:val="00331719"/>
    <w:rsid w:val="00331DDB"/>
    <w:rsid w:val="00332132"/>
    <w:rsid w:val="00332C46"/>
    <w:rsid w:val="0033371D"/>
    <w:rsid w:val="00334AFE"/>
    <w:rsid w:val="00334D4F"/>
    <w:rsid w:val="00337C52"/>
    <w:rsid w:val="00341374"/>
    <w:rsid w:val="003417FE"/>
    <w:rsid w:val="00343456"/>
    <w:rsid w:val="00343A25"/>
    <w:rsid w:val="00344BAB"/>
    <w:rsid w:val="003453CE"/>
    <w:rsid w:val="0034737B"/>
    <w:rsid w:val="00350306"/>
    <w:rsid w:val="00352C8E"/>
    <w:rsid w:val="00353B8E"/>
    <w:rsid w:val="00353DFF"/>
    <w:rsid w:val="003543F8"/>
    <w:rsid w:val="0035481F"/>
    <w:rsid w:val="00356A47"/>
    <w:rsid w:val="003570A3"/>
    <w:rsid w:val="00360173"/>
    <w:rsid w:val="0036083E"/>
    <w:rsid w:val="003616E9"/>
    <w:rsid w:val="003624EE"/>
    <w:rsid w:val="0036344E"/>
    <w:rsid w:val="003645F2"/>
    <w:rsid w:val="003654D5"/>
    <w:rsid w:val="0037064D"/>
    <w:rsid w:val="00371990"/>
    <w:rsid w:val="003720FB"/>
    <w:rsid w:val="00372A7E"/>
    <w:rsid w:val="00373F39"/>
    <w:rsid w:val="0037437E"/>
    <w:rsid w:val="00374C48"/>
    <w:rsid w:val="00375165"/>
    <w:rsid w:val="00375570"/>
    <w:rsid w:val="00375699"/>
    <w:rsid w:val="00376372"/>
    <w:rsid w:val="0038012B"/>
    <w:rsid w:val="00380306"/>
    <w:rsid w:val="00380380"/>
    <w:rsid w:val="00381D6D"/>
    <w:rsid w:val="00383D4D"/>
    <w:rsid w:val="00384065"/>
    <w:rsid w:val="003864AA"/>
    <w:rsid w:val="00386779"/>
    <w:rsid w:val="0038793E"/>
    <w:rsid w:val="00390AD3"/>
    <w:rsid w:val="00390B78"/>
    <w:rsid w:val="00390F3E"/>
    <w:rsid w:val="0039351A"/>
    <w:rsid w:val="00394592"/>
    <w:rsid w:val="00396B2C"/>
    <w:rsid w:val="00397003"/>
    <w:rsid w:val="003970F8"/>
    <w:rsid w:val="00397BFD"/>
    <w:rsid w:val="003A047D"/>
    <w:rsid w:val="003A06CC"/>
    <w:rsid w:val="003A2DCC"/>
    <w:rsid w:val="003A3A84"/>
    <w:rsid w:val="003A3D31"/>
    <w:rsid w:val="003A3F08"/>
    <w:rsid w:val="003A43D2"/>
    <w:rsid w:val="003A4930"/>
    <w:rsid w:val="003A6BEB"/>
    <w:rsid w:val="003A741A"/>
    <w:rsid w:val="003B0B41"/>
    <w:rsid w:val="003B11A6"/>
    <w:rsid w:val="003B18EA"/>
    <w:rsid w:val="003B213B"/>
    <w:rsid w:val="003B2697"/>
    <w:rsid w:val="003B2AC1"/>
    <w:rsid w:val="003B3915"/>
    <w:rsid w:val="003B45F5"/>
    <w:rsid w:val="003B4967"/>
    <w:rsid w:val="003B4B24"/>
    <w:rsid w:val="003B4CC9"/>
    <w:rsid w:val="003B630F"/>
    <w:rsid w:val="003B6392"/>
    <w:rsid w:val="003B6FDA"/>
    <w:rsid w:val="003B756E"/>
    <w:rsid w:val="003B77BB"/>
    <w:rsid w:val="003C1254"/>
    <w:rsid w:val="003C1471"/>
    <w:rsid w:val="003C1D99"/>
    <w:rsid w:val="003C794A"/>
    <w:rsid w:val="003C7B52"/>
    <w:rsid w:val="003D1442"/>
    <w:rsid w:val="003D237E"/>
    <w:rsid w:val="003D2B35"/>
    <w:rsid w:val="003D2CD2"/>
    <w:rsid w:val="003D300F"/>
    <w:rsid w:val="003D5827"/>
    <w:rsid w:val="003D59B0"/>
    <w:rsid w:val="003D6063"/>
    <w:rsid w:val="003D6368"/>
    <w:rsid w:val="003E01F9"/>
    <w:rsid w:val="003E020C"/>
    <w:rsid w:val="003E2223"/>
    <w:rsid w:val="003E32BF"/>
    <w:rsid w:val="003E35C5"/>
    <w:rsid w:val="003E3CD8"/>
    <w:rsid w:val="003E4550"/>
    <w:rsid w:val="003E58CC"/>
    <w:rsid w:val="003E765B"/>
    <w:rsid w:val="003F0DF2"/>
    <w:rsid w:val="003F21C7"/>
    <w:rsid w:val="003F24E4"/>
    <w:rsid w:val="003F412F"/>
    <w:rsid w:val="003F5450"/>
    <w:rsid w:val="003F621C"/>
    <w:rsid w:val="003F6C15"/>
    <w:rsid w:val="003F6D4A"/>
    <w:rsid w:val="003F7BD8"/>
    <w:rsid w:val="00402A16"/>
    <w:rsid w:val="00403AC4"/>
    <w:rsid w:val="00404293"/>
    <w:rsid w:val="004059B4"/>
    <w:rsid w:val="00410C3A"/>
    <w:rsid w:val="00410D16"/>
    <w:rsid w:val="00411436"/>
    <w:rsid w:val="00414CB6"/>
    <w:rsid w:val="00415CBC"/>
    <w:rsid w:val="00416169"/>
    <w:rsid w:val="0042326B"/>
    <w:rsid w:val="004246F6"/>
    <w:rsid w:val="00425F29"/>
    <w:rsid w:val="004301D7"/>
    <w:rsid w:val="0043420A"/>
    <w:rsid w:val="0043638B"/>
    <w:rsid w:val="0044086C"/>
    <w:rsid w:val="00443063"/>
    <w:rsid w:val="00444F2D"/>
    <w:rsid w:val="004471D9"/>
    <w:rsid w:val="00452460"/>
    <w:rsid w:val="00452657"/>
    <w:rsid w:val="004529A5"/>
    <w:rsid w:val="00452A1B"/>
    <w:rsid w:val="004530D3"/>
    <w:rsid w:val="00454F87"/>
    <w:rsid w:val="00455CA1"/>
    <w:rsid w:val="00456F59"/>
    <w:rsid w:val="00457C7F"/>
    <w:rsid w:val="004610A4"/>
    <w:rsid w:val="00463534"/>
    <w:rsid w:val="00463624"/>
    <w:rsid w:val="0046389E"/>
    <w:rsid w:val="00464EBD"/>
    <w:rsid w:val="00467C2C"/>
    <w:rsid w:val="004712E9"/>
    <w:rsid w:val="0047223E"/>
    <w:rsid w:val="0047306C"/>
    <w:rsid w:val="00473C6C"/>
    <w:rsid w:val="00473E43"/>
    <w:rsid w:val="00480548"/>
    <w:rsid w:val="004806AB"/>
    <w:rsid w:val="00481E7A"/>
    <w:rsid w:val="0048286A"/>
    <w:rsid w:val="00485142"/>
    <w:rsid w:val="00485256"/>
    <w:rsid w:val="00485A57"/>
    <w:rsid w:val="0048763B"/>
    <w:rsid w:val="0049097F"/>
    <w:rsid w:val="00491B9C"/>
    <w:rsid w:val="00491F65"/>
    <w:rsid w:val="004928D0"/>
    <w:rsid w:val="00492A4E"/>
    <w:rsid w:val="00492E20"/>
    <w:rsid w:val="00493561"/>
    <w:rsid w:val="00494D26"/>
    <w:rsid w:val="00497D16"/>
    <w:rsid w:val="004A0FD4"/>
    <w:rsid w:val="004A12BA"/>
    <w:rsid w:val="004A1A32"/>
    <w:rsid w:val="004A1B7C"/>
    <w:rsid w:val="004A1E73"/>
    <w:rsid w:val="004A2C47"/>
    <w:rsid w:val="004A45D1"/>
    <w:rsid w:val="004A5B16"/>
    <w:rsid w:val="004A7BD1"/>
    <w:rsid w:val="004B23F0"/>
    <w:rsid w:val="004B3275"/>
    <w:rsid w:val="004B330E"/>
    <w:rsid w:val="004B3D61"/>
    <w:rsid w:val="004B3EA5"/>
    <w:rsid w:val="004B4262"/>
    <w:rsid w:val="004B4D01"/>
    <w:rsid w:val="004B5112"/>
    <w:rsid w:val="004B5F90"/>
    <w:rsid w:val="004C2F59"/>
    <w:rsid w:val="004C31B2"/>
    <w:rsid w:val="004C42B3"/>
    <w:rsid w:val="004C4C65"/>
    <w:rsid w:val="004C508A"/>
    <w:rsid w:val="004C5244"/>
    <w:rsid w:val="004C5641"/>
    <w:rsid w:val="004C5E94"/>
    <w:rsid w:val="004C71ED"/>
    <w:rsid w:val="004C7884"/>
    <w:rsid w:val="004D0503"/>
    <w:rsid w:val="004D2425"/>
    <w:rsid w:val="004D2BAE"/>
    <w:rsid w:val="004D3414"/>
    <w:rsid w:val="004D45BE"/>
    <w:rsid w:val="004D4A0F"/>
    <w:rsid w:val="004D598B"/>
    <w:rsid w:val="004D5BD5"/>
    <w:rsid w:val="004D616F"/>
    <w:rsid w:val="004E01A7"/>
    <w:rsid w:val="004E0889"/>
    <w:rsid w:val="004E2292"/>
    <w:rsid w:val="004E3D01"/>
    <w:rsid w:val="004E437B"/>
    <w:rsid w:val="004E6219"/>
    <w:rsid w:val="004E7901"/>
    <w:rsid w:val="004E7BE2"/>
    <w:rsid w:val="004F0AC9"/>
    <w:rsid w:val="004F11B6"/>
    <w:rsid w:val="004F13D9"/>
    <w:rsid w:val="004F233A"/>
    <w:rsid w:val="004F284A"/>
    <w:rsid w:val="004F4131"/>
    <w:rsid w:val="004F4B84"/>
    <w:rsid w:val="004F65E2"/>
    <w:rsid w:val="004F68C6"/>
    <w:rsid w:val="004F7566"/>
    <w:rsid w:val="004F787B"/>
    <w:rsid w:val="00500167"/>
    <w:rsid w:val="00500C78"/>
    <w:rsid w:val="00501718"/>
    <w:rsid w:val="005034C2"/>
    <w:rsid w:val="00504A6D"/>
    <w:rsid w:val="00506EA5"/>
    <w:rsid w:val="00510E69"/>
    <w:rsid w:val="00510FF0"/>
    <w:rsid w:val="00511F0C"/>
    <w:rsid w:val="005147C9"/>
    <w:rsid w:val="005165FF"/>
    <w:rsid w:val="00516832"/>
    <w:rsid w:val="00517352"/>
    <w:rsid w:val="00517B10"/>
    <w:rsid w:val="00520816"/>
    <w:rsid w:val="00521F06"/>
    <w:rsid w:val="00522147"/>
    <w:rsid w:val="00522F8F"/>
    <w:rsid w:val="0052401A"/>
    <w:rsid w:val="005242F5"/>
    <w:rsid w:val="00524539"/>
    <w:rsid w:val="00525AE5"/>
    <w:rsid w:val="005260C0"/>
    <w:rsid w:val="00526F9D"/>
    <w:rsid w:val="00530CFA"/>
    <w:rsid w:val="0053128D"/>
    <w:rsid w:val="00531EF1"/>
    <w:rsid w:val="00533644"/>
    <w:rsid w:val="0053486E"/>
    <w:rsid w:val="00534AE7"/>
    <w:rsid w:val="00535270"/>
    <w:rsid w:val="00537BD9"/>
    <w:rsid w:val="0054021A"/>
    <w:rsid w:val="00540986"/>
    <w:rsid w:val="005419F0"/>
    <w:rsid w:val="00542F22"/>
    <w:rsid w:val="00543464"/>
    <w:rsid w:val="00543A66"/>
    <w:rsid w:val="00543AF2"/>
    <w:rsid w:val="00545DBA"/>
    <w:rsid w:val="005515AB"/>
    <w:rsid w:val="00551F7E"/>
    <w:rsid w:val="0055355B"/>
    <w:rsid w:val="00553961"/>
    <w:rsid w:val="00553CF2"/>
    <w:rsid w:val="0055418A"/>
    <w:rsid w:val="00556AD8"/>
    <w:rsid w:val="00560423"/>
    <w:rsid w:val="00560595"/>
    <w:rsid w:val="00560E31"/>
    <w:rsid w:val="00562C44"/>
    <w:rsid w:val="00563050"/>
    <w:rsid w:val="00565DE7"/>
    <w:rsid w:val="00565F75"/>
    <w:rsid w:val="005664C1"/>
    <w:rsid w:val="00566D4F"/>
    <w:rsid w:val="005708C3"/>
    <w:rsid w:val="00571689"/>
    <w:rsid w:val="00572A12"/>
    <w:rsid w:val="00572E8E"/>
    <w:rsid w:val="005747F6"/>
    <w:rsid w:val="005776E9"/>
    <w:rsid w:val="0058009C"/>
    <w:rsid w:val="00580F5C"/>
    <w:rsid w:val="005820A5"/>
    <w:rsid w:val="0058304F"/>
    <w:rsid w:val="0058338A"/>
    <w:rsid w:val="00583C36"/>
    <w:rsid w:val="005843A1"/>
    <w:rsid w:val="00585558"/>
    <w:rsid w:val="00590C2B"/>
    <w:rsid w:val="00592760"/>
    <w:rsid w:val="00592E4D"/>
    <w:rsid w:val="0059448F"/>
    <w:rsid w:val="005945BE"/>
    <w:rsid w:val="0059468A"/>
    <w:rsid w:val="005A3523"/>
    <w:rsid w:val="005A51B6"/>
    <w:rsid w:val="005A6FF7"/>
    <w:rsid w:val="005B015A"/>
    <w:rsid w:val="005B15EB"/>
    <w:rsid w:val="005B1A98"/>
    <w:rsid w:val="005B1D64"/>
    <w:rsid w:val="005B1FE5"/>
    <w:rsid w:val="005B2473"/>
    <w:rsid w:val="005B2F43"/>
    <w:rsid w:val="005B4859"/>
    <w:rsid w:val="005B5D67"/>
    <w:rsid w:val="005C122C"/>
    <w:rsid w:val="005C339F"/>
    <w:rsid w:val="005C432C"/>
    <w:rsid w:val="005C4379"/>
    <w:rsid w:val="005C6027"/>
    <w:rsid w:val="005C6536"/>
    <w:rsid w:val="005C689C"/>
    <w:rsid w:val="005C761F"/>
    <w:rsid w:val="005C78E9"/>
    <w:rsid w:val="005D266D"/>
    <w:rsid w:val="005D2BEC"/>
    <w:rsid w:val="005D2F99"/>
    <w:rsid w:val="005D4071"/>
    <w:rsid w:val="005D4276"/>
    <w:rsid w:val="005D4D22"/>
    <w:rsid w:val="005D6B14"/>
    <w:rsid w:val="005D6EF3"/>
    <w:rsid w:val="005E041F"/>
    <w:rsid w:val="005E176B"/>
    <w:rsid w:val="005E2710"/>
    <w:rsid w:val="005E28F8"/>
    <w:rsid w:val="005E3189"/>
    <w:rsid w:val="005E5095"/>
    <w:rsid w:val="005E5244"/>
    <w:rsid w:val="005E6AEF"/>
    <w:rsid w:val="005E7FE5"/>
    <w:rsid w:val="005F5D70"/>
    <w:rsid w:val="005F6455"/>
    <w:rsid w:val="005F748E"/>
    <w:rsid w:val="00600595"/>
    <w:rsid w:val="00600EDF"/>
    <w:rsid w:val="00601760"/>
    <w:rsid w:val="00601A34"/>
    <w:rsid w:val="00603119"/>
    <w:rsid w:val="006038A5"/>
    <w:rsid w:val="00605E77"/>
    <w:rsid w:val="006067B4"/>
    <w:rsid w:val="00607D42"/>
    <w:rsid w:val="00610E19"/>
    <w:rsid w:val="00612410"/>
    <w:rsid w:val="00612C14"/>
    <w:rsid w:val="00612C30"/>
    <w:rsid w:val="00613557"/>
    <w:rsid w:val="006150AC"/>
    <w:rsid w:val="006166A2"/>
    <w:rsid w:val="00616B7A"/>
    <w:rsid w:val="00620DA0"/>
    <w:rsid w:val="0062136B"/>
    <w:rsid w:val="00621499"/>
    <w:rsid w:val="00625745"/>
    <w:rsid w:val="00625F58"/>
    <w:rsid w:val="00626606"/>
    <w:rsid w:val="00626752"/>
    <w:rsid w:val="00626D16"/>
    <w:rsid w:val="00627013"/>
    <w:rsid w:val="00632A26"/>
    <w:rsid w:val="00632D07"/>
    <w:rsid w:val="00634424"/>
    <w:rsid w:val="00635251"/>
    <w:rsid w:val="006355AE"/>
    <w:rsid w:val="006366B1"/>
    <w:rsid w:val="00636ECE"/>
    <w:rsid w:val="0063768C"/>
    <w:rsid w:val="00637B52"/>
    <w:rsid w:val="00640EC9"/>
    <w:rsid w:val="00642308"/>
    <w:rsid w:val="006428B8"/>
    <w:rsid w:val="00642C67"/>
    <w:rsid w:val="006437AF"/>
    <w:rsid w:val="00644C5D"/>
    <w:rsid w:val="00644E22"/>
    <w:rsid w:val="00650CEB"/>
    <w:rsid w:val="00653CAD"/>
    <w:rsid w:val="0065456A"/>
    <w:rsid w:val="006573EF"/>
    <w:rsid w:val="006575D7"/>
    <w:rsid w:val="00657A11"/>
    <w:rsid w:val="006603F1"/>
    <w:rsid w:val="00660AE6"/>
    <w:rsid w:val="006629EC"/>
    <w:rsid w:val="00662B23"/>
    <w:rsid w:val="0066474B"/>
    <w:rsid w:val="00665458"/>
    <w:rsid w:val="00671CE7"/>
    <w:rsid w:val="00675279"/>
    <w:rsid w:val="00676B3A"/>
    <w:rsid w:val="00676C2C"/>
    <w:rsid w:val="00676DF1"/>
    <w:rsid w:val="00677E52"/>
    <w:rsid w:val="00680C82"/>
    <w:rsid w:val="006817DA"/>
    <w:rsid w:val="006848CE"/>
    <w:rsid w:val="00685D31"/>
    <w:rsid w:val="00686FDC"/>
    <w:rsid w:val="006909DE"/>
    <w:rsid w:val="00691078"/>
    <w:rsid w:val="006925C3"/>
    <w:rsid w:val="00694B40"/>
    <w:rsid w:val="00694CA5"/>
    <w:rsid w:val="00695216"/>
    <w:rsid w:val="00695D0B"/>
    <w:rsid w:val="006966A5"/>
    <w:rsid w:val="00696D1A"/>
    <w:rsid w:val="00697941"/>
    <w:rsid w:val="006A09E1"/>
    <w:rsid w:val="006A290D"/>
    <w:rsid w:val="006A293D"/>
    <w:rsid w:val="006A3AB4"/>
    <w:rsid w:val="006A4D53"/>
    <w:rsid w:val="006A541E"/>
    <w:rsid w:val="006A54E5"/>
    <w:rsid w:val="006A7F7F"/>
    <w:rsid w:val="006B0127"/>
    <w:rsid w:val="006B09B3"/>
    <w:rsid w:val="006B1B30"/>
    <w:rsid w:val="006B1C98"/>
    <w:rsid w:val="006B2BCD"/>
    <w:rsid w:val="006B538C"/>
    <w:rsid w:val="006B5C7F"/>
    <w:rsid w:val="006B6237"/>
    <w:rsid w:val="006B751A"/>
    <w:rsid w:val="006B7A31"/>
    <w:rsid w:val="006B7FBD"/>
    <w:rsid w:val="006C281A"/>
    <w:rsid w:val="006C3065"/>
    <w:rsid w:val="006C36B7"/>
    <w:rsid w:val="006C4749"/>
    <w:rsid w:val="006C67BA"/>
    <w:rsid w:val="006C6A27"/>
    <w:rsid w:val="006D0D59"/>
    <w:rsid w:val="006D3F04"/>
    <w:rsid w:val="006D593F"/>
    <w:rsid w:val="006D59F1"/>
    <w:rsid w:val="006D6FA4"/>
    <w:rsid w:val="006E0C9C"/>
    <w:rsid w:val="006E31BD"/>
    <w:rsid w:val="006E62E8"/>
    <w:rsid w:val="006E6EEA"/>
    <w:rsid w:val="006E7201"/>
    <w:rsid w:val="006E7B5A"/>
    <w:rsid w:val="006F1AAC"/>
    <w:rsid w:val="006F1AC1"/>
    <w:rsid w:val="006F2DA8"/>
    <w:rsid w:val="006F36F5"/>
    <w:rsid w:val="006F41B0"/>
    <w:rsid w:val="006F43FB"/>
    <w:rsid w:val="006F710F"/>
    <w:rsid w:val="007011C3"/>
    <w:rsid w:val="0070332C"/>
    <w:rsid w:val="00703FA4"/>
    <w:rsid w:val="0070535A"/>
    <w:rsid w:val="007059B1"/>
    <w:rsid w:val="00706446"/>
    <w:rsid w:val="00710622"/>
    <w:rsid w:val="007117A9"/>
    <w:rsid w:val="00714236"/>
    <w:rsid w:val="00723A78"/>
    <w:rsid w:val="00723FC1"/>
    <w:rsid w:val="007241F1"/>
    <w:rsid w:val="0072461A"/>
    <w:rsid w:val="00725034"/>
    <w:rsid w:val="00727198"/>
    <w:rsid w:val="00731352"/>
    <w:rsid w:val="0073509B"/>
    <w:rsid w:val="0073595A"/>
    <w:rsid w:val="00735EED"/>
    <w:rsid w:val="00735F66"/>
    <w:rsid w:val="007364B7"/>
    <w:rsid w:val="00736EBD"/>
    <w:rsid w:val="0073763B"/>
    <w:rsid w:val="00737DD5"/>
    <w:rsid w:val="007404BA"/>
    <w:rsid w:val="0074142E"/>
    <w:rsid w:val="00742158"/>
    <w:rsid w:val="00742EBE"/>
    <w:rsid w:val="00744899"/>
    <w:rsid w:val="00745929"/>
    <w:rsid w:val="0074684B"/>
    <w:rsid w:val="00746B40"/>
    <w:rsid w:val="00746EFB"/>
    <w:rsid w:val="00747F05"/>
    <w:rsid w:val="00750108"/>
    <w:rsid w:val="00751554"/>
    <w:rsid w:val="007542DE"/>
    <w:rsid w:val="00754FF8"/>
    <w:rsid w:val="007567E6"/>
    <w:rsid w:val="007576AC"/>
    <w:rsid w:val="00757744"/>
    <w:rsid w:val="00760609"/>
    <w:rsid w:val="007609A9"/>
    <w:rsid w:val="007611DB"/>
    <w:rsid w:val="00762760"/>
    <w:rsid w:val="007630D0"/>
    <w:rsid w:val="007634D1"/>
    <w:rsid w:val="00764595"/>
    <w:rsid w:val="00765248"/>
    <w:rsid w:val="00765C16"/>
    <w:rsid w:val="007662B4"/>
    <w:rsid w:val="00767171"/>
    <w:rsid w:val="00767E0A"/>
    <w:rsid w:val="00770142"/>
    <w:rsid w:val="0077109B"/>
    <w:rsid w:val="00771FA4"/>
    <w:rsid w:val="0077221F"/>
    <w:rsid w:val="00773681"/>
    <w:rsid w:val="00774197"/>
    <w:rsid w:val="007746F1"/>
    <w:rsid w:val="00774E83"/>
    <w:rsid w:val="00775BC3"/>
    <w:rsid w:val="00776296"/>
    <w:rsid w:val="00780C23"/>
    <w:rsid w:val="007814FC"/>
    <w:rsid w:val="00781571"/>
    <w:rsid w:val="00781ACF"/>
    <w:rsid w:val="007822A6"/>
    <w:rsid w:val="0078431B"/>
    <w:rsid w:val="0078488C"/>
    <w:rsid w:val="007849D7"/>
    <w:rsid w:val="0078528B"/>
    <w:rsid w:val="00785503"/>
    <w:rsid w:val="007859CB"/>
    <w:rsid w:val="00785B36"/>
    <w:rsid w:val="007877D2"/>
    <w:rsid w:val="007877D5"/>
    <w:rsid w:val="00787AE0"/>
    <w:rsid w:val="007908C9"/>
    <w:rsid w:val="00791959"/>
    <w:rsid w:val="00791A86"/>
    <w:rsid w:val="00791CC6"/>
    <w:rsid w:val="007937A5"/>
    <w:rsid w:val="0079747A"/>
    <w:rsid w:val="0079789B"/>
    <w:rsid w:val="0079790B"/>
    <w:rsid w:val="007A1381"/>
    <w:rsid w:val="007A3B46"/>
    <w:rsid w:val="007A3D29"/>
    <w:rsid w:val="007A597B"/>
    <w:rsid w:val="007A7566"/>
    <w:rsid w:val="007A7810"/>
    <w:rsid w:val="007A7ABB"/>
    <w:rsid w:val="007B1049"/>
    <w:rsid w:val="007B1215"/>
    <w:rsid w:val="007B1D1B"/>
    <w:rsid w:val="007B2D60"/>
    <w:rsid w:val="007B7C08"/>
    <w:rsid w:val="007C1CDD"/>
    <w:rsid w:val="007C2B74"/>
    <w:rsid w:val="007C30C8"/>
    <w:rsid w:val="007C43D1"/>
    <w:rsid w:val="007C4FF5"/>
    <w:rsid w:val="007C6692"/>
    <w:rsid w:val="007D01C1"/>
    <w:rsid w:val="007D055F"/>
    <w:rsid w:val="007D081C"/>
    <w:rsid w:val="007D0C8B"/>
    <w:rsid w:val="007D1BC6"/>
    <w:rsid w:val="007D2178"/>
    <w:rsid w:val="007D3AA3"/>
    <w:rsid w:val="007D3E20"/>
    <w:rsid w:val="007D3FF8"/>
    <w:rsid w:val="007D415F"/>
    <w:rsid w:val="007D5578"/>
    <w:rsid w:val="007D6880"/>
    <w:rsid w:val="007D6ECD"/>
    <w:rsid w:val="007E0CE0"/>
    <w:rsid w:val="007E303C"/>
    <w:rsid w:val="007E371D"/>
    <w:rsid w:val="007E524F"/>
    <w:rsid w:val="007E61AF"/>
    <w:rsid w:val="007E6636"/>
    <w:rsid w:val="007E77B6"/>
    <w:rsid w:val="007E7FD6"/>
    <w:rsid w:val="007F3C29"/>
    <w:rsid w:val="007F3C2A"/>
    <w:rsid w:val="007F3F03"/>
    <w:rsid w:val="007F3F81"/>
    <w:rsid w:val="007F4F2D"/>
    <w:rsid w:val="007F5B7D"/>
    <w:rsid w:val="007F6C6D"/>
    <w:rsid w:val="0080092F"/>
    <w:rsid w:val="00801AD7"/>
    <w:rsid w:val="00801BFF"/>
    <w:rsid w:val="00803722"/>
    <w:rsid w:val="00803DE3"/>
    <w:rsid w:val="0080412F"/>
    <w:rsid w:val="008056E7"/>
    <w:rsid w:val="00806B8A"/>
    <w:rsid w:val="00806C2B"/>
    <w:rsid w:val="008104A3"/>
    <w:rsid w:val="008106B8"/>
    <w:rsid w:val="00811579"/>
    <w:rsid w:val="00811961"/>
    <w:rsid w:val="00814CAB"/>
    <w:rsid w:val="008157D0"/>
    <w:rsid w:val="00815906"/>
    <w:rsid w:val="00817F99"/>
    <w:rsid w:val="0082104C"/>
    <w:rsid w:val="00827912"/>
    <w:rsid w:val="00827B52"/>
    <w:rsid w:val="00827D7C"/>
    <w:rsid w:val="0083040B"/>
    <w:rsid w:val="00830C5F"/>
    <w:rsid w:val="008314AD"/>
    <w:rsid w:val="00831D7D"/>
    <w:rsid w:val="0083205A"/>
    <w:rsid w:val="00832140"/>
    <w:rsid w:val="00832E2C"/>
    <w:rsid w:val="008336EE"/>
    <w:rsid w:val="0083416E"/>
    <w:rsid w:val="00836F28"/>
    <w:rsid w:val="00837138"/>
    <w:rsid w:val="00837168"/>
    <w:rsid w:val="008371E8"/>
    <w:rsid w:val="00837208"/>
    <w:rsid w:val="00837F88"/>
    <w:rsid w:val="0084028B"/>
    <w:rsid w:val="0084157B"/>
    <w:rsid w:val="00842D91"/>
    <w:rsid w:val="008450E8"/>
    <w:rsid w:val="008455F5"/>
    <w:rsid w:val="00845DD1"/>
    <w:rsid w:val="00845EE0"/>
    <w:rsid w:val="00846B8F"/>
    <w:rsid w:val="00846EFB"/>
    <w:rsid w:val="00850B87"/>
    <w:rsid w:val="00851A01"/>
    <w:rsid w:val="00853145"/>
    <w:rsid w:val="00853CC1"/>
    <w:rsid w:val="00854EA9"/>
    <w:rsid w:val="008551A6"/>
    <w:rsid w:val="00855D3A"/>
    <w:rsid w:val="00855F1A"/>
    <w:rsid w:val="008564A8"/>
    <w:rsid w:val="00857308"/>
    <w:rsid w:val="00857BEC"/>
    <w:rsid w:val="0086062F"/>
    <w:rsid w:val="00860787"/>
    <w:rsid w:val="008612CC"/>
    <w:rsid w:val="00861BFA"/>
    <w:rsid w:val="00862751"/>
    <w:rsid w:val="0086276B"/>
    <w:rsid w:val="00862B97"/>
    <w:rsid w:val="00866663"/>
    <w:rsid w:val="00866F65"/>
    <w:rsid w:val="008674CA"/>
    <w:rsid w:val="00871A0A"/>
    <w:rsid w:val="00872CC4"/>
    <w:rsid w:val="00872DDC"/>
    <w:rsid w:val="00872F1A"/>
    <w:rsid w:val="00873A0D"/>
    <w:rsid w:val="008742A3"/>
    <w:rsid w:val="00874BA9"/>
    <w:rsid w:val="00876964"/>
    <w:rsid w:val="00877E58"/>
    <w:rsid w:val="008802DC"/>
    <w:rsid w:val="008835BB"/>
    <w:rsid w:val="0088496C"/>
    <w:rsid w:val="00886B29"/>
    <w:rsid w:val="008901DA"/>
    <w:rsid w:val="008904D7"/>
    <w:rsid w:val="00890AB1"/>
    <w:rsid w:val="00890E8A"/>
    <w:rsid w:val="008935EC"/>
    <w:rsid w:val="00894AA6"/>
    <w:rsid w:val="0089520E"/>
    <w:rsid w:val="0089793B"/>
    <w:rsid w:val="00897C95"/>
    <w:rsid w:val="008A13CF"/>
    <w:rsid w:val="008A151D"/>
    <w:rsid w:val="008A380E"/>
    <w:rsid w:val="008A49F8"/>
    <w:rsid w:val="008A514E"/>
    <w:rsid w:val="008B0BF7"/>
    <w:rsid w:val="008B4837"/>
    <w:rsid w:val="008B5651"/>
    <w:rsid w:val="008B632C"/>
    <w:rsid w:val="008B72FE"/>
    <w:rsid w:val="008B7BEE"/>
    <w:rsid w:val="008C05C0"/>
    <w:rsid w:val="008C1060"/>
    <w:rsid w:val="008C1568"/>
    <w:rsid w:val="008C15E2"/>
    <w:rsid w:val="008C19A6"/>
    <w:rsid w:val="008C1DD3"/>
    <w:rsid w:val="008C4DE2"/>
    <w:rsid w:val="008D1D04"/>
    <w:rsid w:val="008D29B5"/>
    <w:rsid w:val="008D2BBA"/>
    <w:rsid w:val="008D3C4C"/>
    <w:rsid w:val="008D4C6F"/>
    <w:rsid w:val="008D51E4"/>
    <w:rsid w:val="008D6262"/>
    <w:rsid w:val="008E1204"/>
    <w:rsid w:val="008E1E4F"/>
    <w:rsid w:val="008E3C77"/>
    <w:rsid w:val="008E52CF"/>
    <w:rsid w:val="008E6F98"/>
    <w:rsid w:val="008E7614"/>
    <w:rsid w:val="008F2A0D"/>
    <w:rsid w:val="008F3217"/>
    <w:rsid w:val="008F407D"/>
    <w:rsid w:val="008F4B61"/>
    <w:rsid w:val="008F5BE1"/>
    <w:rsid w:val="008F7AC9"/>
    <w:rsid w:val="008F7DEB"/>
    <w:rsid w:val="008F7E04"/>
    <w:rsid w:val="0090456D"/>
    <w:rsid w:val="00907EF9"/>
    <w:rsid w:val="00912B02"/>
    <w:rsid w:val="00912BAE"/>
    <w:rsid w:val="00914374"/>
    <w:rsid w:val="009161BF"/>
    <w:rsid w:val="009161D6"/>
    <w:rsid w:val="00916F0F"/>
    <w:rsid w:val="00917531"/>
    <w:rsid w:val="00917822"/>
    <w:rsid w:val="00917905"/>
    <w:rsid w:val="0092042C"/>
    <w:rsid w:val="00920949"/>
    <w:rsid w:val="00924A9E"/>
    <w:rsid w:val="009250E6"/>
    <w:rsid w:val="00925AB1"/>
    <w:rsid w:val="00926289"/>
    <w:rsid w:val="009265A7"/>
    <w:rsid w:val="0092736C"/>
    <w:rsid w:val="009300D4"/>
    <w:rsid w:val="00930DCE"/>
    <w:rsid w:val="009318F7"/>
    <w:rsid w:val="009321C8"/>
    <w:rsid w:val="009324A0"/>
    <w:rsid w:val="0093348A"/>
    <w:rsid w:val="00933B63"/>
    <w:rsid w:val="00933C52"/>
    <w:rsid w:val="00934823"/>
    <w:rsid w:val="00934879"/>
    <w:rsid w:val="00935E9A"/>
    <w:rsid w:val="00937BDC"/>
    <w:rsid w:val="009409B0"/>
    <w:rsid w:val="00940BC8"/>
    <w:rsid w:val="0094191B"/>
    <w:rsid w:val="00942E03"/>
    <w:rsid w:val="00943F4D"/>
    <w:rsid w:val="00944055"/>
    <w:rsid w:val="0094484A"/>
    <w:rsid w:val="009464D5"/>
    <w:rsid w:val="00947522"/>
    <w:rsid w:val="00950921"/>
    <w:rsid w:val="00951313"/>
    <w:rsid w:val="00951BC7"/>
    <w:rsid w:val="009528D8"/>
    <w:rsid w:val="00954241"/>
    <w:rsid w:val="00954CC5"/>
    <w:rsid w:val="00954D2F"/>
    <w:rsid w:val="00955528"/>
    <w:rsid w:val="009559B2"/>
    <w:rsid w:val="009566DA"/>
    <w:rsid w:val="00956B51"/>
    <w:rsid w:val="00957D43"/>
    <w:rsid w:val="00957F0D"/>
    <w:rsid w:val="00960284"/>
    <w:rsid w:val="009612DF"/>
    <w:rsid w:val="0096204A"/>
    <w:rsid w:val="009625FD"/>
    <w:rsid w:val="00963BDB"/>
    <w:rsid w:val="00964076"/>
    <w:rsid w:val="009652E7"/>
    <w:rsid w:val="00966255"/>
    <w:rsid w:val="00966AB0"/>
    <w:rsid w:val="00966C30"/>
    <w:rsid w:val="00967B45"/>
    <w:rsid w:val="00970B9C"/>
    <w:rsid w:val="00970BB9"/>
    <w:rsid w:val="00970D7A"/>
    <w:rsid w:val="00971311"/>
    <w:rsid w:val="00971605"/>
    <w:rsid w:val="0097298A"/>
    <w:rsid w:val="00972A2E"/>
    <w:rsid w:val="00972FD6"/>
    <w:rsid w:val="009738BB"/>
    <w:rsid w:val="00974358"/>
    <w:rsid w:val="00975997"/>
    <w:rsid w:val="00977017"/>
    <w:rsid w:val="00977D47"/>
    <w:rsid w:val="00980360"/>
    <w:rsid w:val="00982506"/>
    <w:rsid w:val="00985FF7"/>
    <w:rsid w:val="009867B4"/>
    <w:rsid w:val="00986952"/>
    <w:rsid w:val="00987D52"/>
    <w:rsid w:val="00990C29"/>
    <w:rsid w:val="00992FC8"/>
    <w:rsid w:val="00993B9C"/>
    <w:rsid w:val="00994D66"/>
    <w:rsid w:val="009953AB"/>
    <w:rsid w:val="009953EF"/>
    <w:rsid w:val="0099593D"/>
    <w:rsid w:val="0099686E"/>
    <w:rsid w:val="00997A5C"/>
    <w:rsid w:val="00997E65"/>
    <w:rsid w:val="009A0CAB"/>
    <w:rsid w:val="009A460A"/>
    <w:rsid w:val="009A5297"/>
    <w:rsid w:val="009A57A0"/>
    <w:rsid w:val="009A6F46"/>
    <w:rsid w:val="009A742E"/>
    <w:rsid w:val="009A7796"/>
    <w:rsid w:val="009B0DA8"/>
    <w:rsid w:val="009B112E"/>
    <w:rsid w:val="009B30B3"/>
    <w:rsid w:val="009B439A"/>
    <w:rsid w:val="009B6622"/>
    <w:rsid w:val="009B7D40"/>
    <w:rsid w:val="009C0576"/>
    <w:rsid w:val="009C2DD3"/>
    <w:rsid w:val="009C3001"/>
    <w:rsid w:val="009C3795"/>
    <w:rsid w:val="009C5100"/>
    <w:rsid w:val="009D03A7"/>
    <w:rsid w:val="009D05A1"/>
    <w:rsid w:val="009D06A5"/>
    <w:rsid w:val="009D1727"/>
    <w:rsid w:val="009D1D99"/>
    <w:rsid w:val="009D336B"/>
    <w:rsid w:val="009D36C2"/>
    <w:rsid w:val="009D50E7"/>
    <w:rsid w:val="009E0240"/>
    <w:rsid w:val="009E055B"/>
    <w:rsid w:val="009E1166"/>
    <w:rsid w:val="009E1B90"/>
    <w:rsid w:val="009E1C72"/>
    <w:rsid w:val="009E33CB"/>
    <w:rsid w:val="009E5D6D"/>
    <w:rsid w:val="009E656B"/>
    <w:rsid w:val="009E6F4B"/>
    <w:rsid w:val="009E75D5"/>
    <w:rsid w:val="009F0F8F"/>
    <w:rsid w:val="009F1154"/>
    <w:rsid w:val="009F2880"/>
    <w:rsid w:val="009F43D6"/>
    <w:rsid w:val="009F51E8"/>
    <w:rsid w:val="009F526A"/>
    <w:rsid w:val="009F698D"/>
    <w:rsid w:val="009F6B15"/>
    <w:rsid w:val="009F6F95"/>
    <w:rsid w:val="009F710C"/>
    <w:rsid w:val="00A01041"/>
    <w:rsid w:val="00A02C65"/>
    <w:rsid w:val="00A03504"/>
    <w:rsid w:val="00A03652"/>
    <w:rsid w:val="00A04E44"/>
    <w:rsid w:val="00A04E80"/>
    <w:rsid w:val="00A057D2"/>
    <w:rsid w:val="00A06C09"/>
    <w:rsid w:val="00A06D0F"/>
    <w:rsid w:val="00A1216F"/>
    <w:rsid w:val="00A1282D"/>
    <w:rsid w:val="00A164A2"/>
    <w:rsid w:val="00A166F4"/>
    <w:rsid w:val="00A17C16"/>
    <w:rsid w:val="00A22A52"/>
    <w:rsid w:val="00A22BA6"/>
    <w:rsid w:val="00A23688"/>
    <w:rsid w:val="00A241EA"/>
    <w:rsid w:val="00A249F2"/>
    <w:rsid w:val="00A26171"/>
    <w:rsid w:val="00A272AA"/>
    <w:rsid w:val="00A30E98"/>
    <w:rsid w:val="00A30FBE"/>
    <w:rsid w:val="00A310FF"/>
    <w:rsid w:val="00A31EAC"/>
    <w:rsid w:val="00A374BA"/>
    <w:rsid w:val="00A40048"/>
    <w:rsid w:val="00A41BFD"/>
    <w:rsid w:val="00A41E0A"/>
    <w:rsid w:val="00A421B3"/>
    <w:rsid w:val="00A447B1"/>
    <w:rsid w:val="00A44FBE"/>
    <w:rsid w:val="00A45E63"/>
    <w:rsid w:val="00A4603B"/>
    <w:rsid w:val="00A46B1C"/>
    <w:rsid w:val="00A47648"/>
    <w:rsid w:val="00A504EE"/>
    <w:rsid w:val="00A5263E"/>
    <w:rsid w:val="00A54087"/>
    <w:rsid w:val="00A543D4"/>
    <w:rsid w:val="00A5588A"/>
    <w:rsid w:val="00A56924"/>
    <w:rsid w:val="00A56FC9"/>
    <w:rsid w:val="00A620E9"/>
    <w:rsid w:val="00A640EA"/>
    <w:rsid w:val="00A64428"/>
    <w:rsid w:val="00A6694B"/>
    <w:rsid w:val="00A6757F"/>
    <w:rsid w:val="00A704F1"/>
    <w:rsid w:val="00A7058D"/>
    <w:rsid w:val="00A72561"/>
    <w:rsid w:val="00A75078"/>
    <w:rsid w:val="00A750B9"/>
    <w:rsid w:val="00A7522C"/>
    <w:rsid w:val="00A7658C"/>
    <w:rsid w:val="00A76F96"/>
    <w:rsid w:val="00A8130D"/>
    <w:rsid w:val="00A81B1A"/>
    <w:rsid w:val="00A8304E"/>
    <w:rsid w:val="00A84979"/>
    <w:rsid w:val="00A863A0"/>
    <w:rsid w:val="00A86944"/>
    <w:rsid w:val="00A86B6F"/>
    <w:rsid w:val="00A86CD1"/>
    <w:rsid w:val="00A926B6"/>
    <w:rsid w:val="00A92967"/>
    <w:rsid w:val="00A940E4"/>
    <w:rsid w:val="00A94878"/>
    <w:rsid w:val="00A95B7F"/>
    <w:rsid w:val="00AA14B9"/>
    <w:rsid w:val="00AA16AD"/>
    <w:rsid w:val="00AA1B46"/>
    <w:rsid w:val="00AA3A91"/>
    <w:rsid w:val="00AA49B4"/>
    <w:rsid w:val="00AA4C0E"/>
    <w:rsid w:val="00AA547B"/>
    <w:rsid w:val="00AA67B4"/>
    <w:rsid w:val="00AA70CA"/>
    <w:rsid w:val="00AA72F6"/>
    <w:rsid w:val="00AA75EC"/>
    <w:rsid w:val="00AB0A0E"/>
    <w:rsid w:val="00AB1767"/>
    <w:rsid w:val="00AB24C1"/>
    <w:rsid w:val="00AB265B"/>
    <w:rsid w:val="00AB27E7"/>
    <w:rsid w:val="00AB53C9"/>
    <w:rsid w:val="00AB546C"/>
    <w:rsid w:val="00AB5B81"/>
    <w:rsid w:val="00AB7448"/>
    <w:rsid w:val="00AC01D8"/>
    <w:rsid w:val="00AC0D05"/>
    <w:rsid w:val="00AC2B31"/>
    <w:rsid w:val="00AC5A09"/>
    <w:rsid w:val="00AC5AE0"/>
    <w:rsid w:val="00AC5C9B"/>
    <w:rsid w:val="00AC660B"/>
    <w:rsid w:val="00AD0843"/>
    <w:rsid w:val="00AD2697"/>
    <w:rsid w:val="00AD2C28"/>
    <w:rsid w:val="00AD3792"/>
    <w:rsid w:val="00AD3EC5"/>
    <w:rsid w:val="00AD3F8C"/>
    <w:rsid w:val="00AD4CB0"/>
    <w:rsid w:val="00AD5D44"/>
    <w:rsid w:val="00AD732F"/>
    <w:rsid w:val="00AD78F3"/>
    <w:rsid w:val="00AE09C8"/>
    <w:rsid w:val="00AE0D38"/>
    <w:rsid w:val="00AE1447"/>
    <w:rsid w:val="00AE1D75"/>
    <w:rsid w:val="00AE27BC"/>
    <w:rsid w:val="00AE2A60"/>
    <w:rsid w:val="00AE2E46"/>
    <w:rsid w:val="00AE3B5F"/>
    <w:rsid w:val="00AE6BAE"/>
    <w:rsid w:val="00AE70A1"/>
    <w:rsid w:val="00AE73E6"/>
    <w:rsid w:val="00AE7F86"/>
    <w:rsid w:val="00AE7FDC"/>
    <w:rsid w:val="00AF0A95"/>
    <w:rsid w:val="00AF4555"/>
    <w:rsid w:val="00AF47E1"/>
    <w:rsid w:val="00AF7719"/>
    <w:rsid w:val="00AF7B80"/>
    <w:rsid w:val="00AF7DDF"/>
    <w:rsid w:val="00AF7EA6"/>
    <w:rsid w:val="00B0020C"/>
    <w:rsid w:val="00B01B53"/>
    <w:rsid w:val="00B0344D"/>
    <w:rsid w:val="00B06010"/>
    <w:rsid w:val="00B07A86"/>
    <w:rsid w:val="00B11DDD"/>
    <w:rsid w:val="00B14F11"/>
    <w:rsid w:val="00B14F4F"/>
    <w:rsid w:val="00B15CCA"/>
    <w:rsid w:val="00B178C0"/>
    <w:rsid w:val="00B17F7D"/>
    <w:rsid w:val="00B20764"/>
    <w:rsid w:val="00B2087D"/>
    <w:rsid w:val="00B2100B"/>
    <w:rsid w:val="00B21567"/>
    <w:rsid w:val="00B2219D"/>
    <w:rsid w:val="00B234E2"/>
    <w:rsid w:val="00B2658F"/>
    <w:rsid w:val="00B266DE"/>
    <w:rsid w:val="00B27B14"/>
    <w:rsid w:val="00B34389"/>
    <w:rsid w:val="00B34A4F"/>
    <w:rsid w:val="00B35683"/>
    <w:rsid w:val="00B36A0F"/>
    <w:rsid w:val="00B36ABC"/>
    <w:rsid w:val="00B4226B"/>
    <w:rsid w:val="00B430F2"/>
    <w:rsid w:val="00B43D6F"/>
    <w:rsid w:val="00B45804"/>
    <w:rsid w:val="00B461A2"/>
    <w:rsid w:val="00B47182"/>
    <w:rsid w:val="00B47AE5"/>
    <w:rsid w:val="00B51037"/>
    <w:rsid w:val="00B5279A"/>
    <w:rsid w:val="00B52AE4"/>
    <w:rsid w:val="00B53341"/>
    <w:rsid w:val="00B5344D"/>
    <w:rsid w:val="00B53794"/>
    <w:rsid w:val="00B55C77"/>
    <w:rsid w:val="00B5695E"/>
    <w:rsid w:val="00B572B0"/>
    <w:rsid w:val="00B57446"/>
    <w:rsid w:val="00B607BF"/>
    <w:rsid w:val="00B62E2B"/>
    <w:rsid w:val="00B66EAB"/>
    <w:rsid w:val="00B6766D"/>
    <w:rsid w:val="00B67B97"/>
    <w:rsid w:val="00B70C8E"/>
    <w:rsid w:val="00B70F9A"/>
    <w:rsid w:val="00B711FC"/>
    <w:rsid w:val="00B716F4"/>
    <w:rsid w:val="00B7187F"/>
    <w:rsid w:val="00B72834"/>
    <w:rsid w:val="00B75270"/>
    <w:rsid w:val="00B77A00"/>
    <w:rsid w:val="00B80155"/>
    <w:rsid w:val="00B805F6"/>
    <w:rsid w:val="00B80F86"/>
    <w:rsid w:val="00B81985"/>
    <w:rsid w:val="00B82051"/>
    <w:rsid w:val="00B845EF"/>
    <w:rsid w:val="00B84B19"/>
    <w:rsid w:val="00B8549D"/>
    <w:rsid w:val="00B85C7C"/>
    <w:rsid w:val="00B86157"/>
    <w:rsid w:val="00B8615B"/>
    <w:rsid w:val="00B87D62"/>
    <w:rsid w:val="00B9113E"/>
    <w:rsid w:val="00B93149"/>
    <w:rsid w:val="00B93B04"/>
    <w:rsid w:val="00B93B36"/>
    <w:rsid w:val="00B93B98"/>
    <w:rsid w:val="00B950DD"/>
    <w:rsid w:val="00B95881"/>
    <w:rsid w:val="00BA117B"/>
    <w:rsid w:val="00BA1F4A"/>
    <w:rsid w:val="00BA2C88"/>
    <w:rsid w:val="00BA3A64"/>
    <w:rsid w:val="00BA3D0E"/>
    <w:rsid w:val="00BA48A9"/>
    <w:rsid w:val="00BA4E3D"/>
    <w:rsid w:val="00BB15DC"/>
    <w:rsid w:val="00BB5C37"/>
    <w:rsid w:val="00BB67A5"/>
    <w:rsid w:val="00BB6AF7"/>
    <w:rsid w:val="00BB7346"/>
    <w:rsid w:val="00BB7433"/>
    <w:rsid w:val="00BC0F0B"/>
    <w:rsid w:val="00BC1CA0"/>
    <w:rsid w:val="00BC24CE"/>
    <w:rsid w:val="00BC2FD6"/>
    <w:rsid w:val="00BC3332"/>
    <w:rsid w:val="00BC374F"/>
    <w:rsid w:val="00BC4021"/>
    <w:rsid w:val="00BC5861"/>
    <w:rsid w:val="00BC5BF1"/>
    <w:rsid w:val="00BC5F0A"/>
    <w:rsid w:val="00BC687A"/>
    <w:rsid w:val="00BC7B0D"/>
    <w:rsid w:val="00BC7D84"/>
    <w:rsid w:val="00BC7E15"/>
    <w:rsid w:val="00BD0430"/>
    <w:rsid w:val="00BD2D01"/>
    <w:rsid w:val="00BD488F"/>
    <w:rsid w:val="00BD4D5D"/>
    <w:rsid w:val="00BD5B1C"/>
    <w:rsid w:val="00BD5B53"/>
    <w:rsid w:val="00BD6307"/>
    <w:rsid w:val="00BD7776"/>
    <w:rsid w:val="00BE09A6"/>
    <w:rsid w:val="00BE10FA"/>
    <w:rsid w:val="00BE2729"/>
    <w:rsid w:val="00BE2F2E"/>
    <w:rsid w:val="00BE2F66"/>
    <w:rsid w:val="00BE2F71"/>
    <w:rsid w:val="00BE3246"/>
    <w:rsid w:val="00BE4CFA"/>
    <w:rsid w:val="00BE64E8"/>
    <w:rsid w:val="00BE69EE"/>
    <w:rsid w:val="00BF06EF"/>
    <w:rsid w:val="00BF11F1"/>
    <w:rsid w:val="00BF2BF1"/>
    <w:rsid w:val="00BF39C6"/>
    <w:rsid w:val="00BF40F8"/>
    <w:rsid w:val="00BF4394"/>
    <w:rsid w:val="00BF6445"/>
    <w:rsid w:val="00BF7602"/>
    <w:rsid w:val="00C0093B"/>
    <w:rsid w:val="00C00B89"/>
    <w:rsid w:val="00C00DF3"/>
    <w:rsid w:val="00C01E34"/>
    <w:rsid w:val="00C0265E"/>
    <w:rsid w:val="00C0520F"/>
    <w:rsid w:val="00C06522"/>
    <w:rsid w:val="00C06571"/>
    <w:rsid w:val="00C071B8"/>
    <w:rsid w:val="00C078B5"/>
    <w:rsid w:val="00C107CC"/>
    <w:rsid w:val="00C11820"/>
    <w:rsid w:val="00C1223C"/>
    <w:rsid w:val="00C1309E"/>
    <w:rsid w:val="00C13311"/>
    <w:rsid w:val="00C1360E"/>
    <w:rsid w:val="00C1506D"/>
    <w:rsid w:val="00C15D8C"/>
    <w:rsid w:val="00C17073"/>
    <w:rsid w:val="00C17211"/>
    <w:rsid w:val="00C20022"/>
    <w:rsid w:val="00C20830"/>
    <w:rsid w:val="00C21775"/>
    <w:rsid w:val="00C23DF5"/>
    <w:rsid w:val="00C266DF"/>
    <w:rsid w:val="00C274A4"/>
    <w:rsid w:val="00C321FD"/>
    <w:rsid w:val="00C339DE"/>
    <w:rsid w:val="00C34BCA"/>
    <w:rsid w:val="00C35186"/>
    <w:rsid w:val="00C36078"/>
    <w:rsid w:val="00C37665"/>
    <w:rsid w:val="00C41D92"/>
    <w:rsid w:val="00C41E88"/>
    <w:rsid w:val="00C4368F"/>
    <w:rsid w:val="00C442E5"/>
    <w:rsid w:val="00C44815"/>
    <w:rsid w:val="00C44EA4"/>
    <w:rsid w:val="00C44F94"/>
    <w:rsid w:val="00C501EB"/>
    <w:rsid w:val="00C509B2"/>
    <w:rsid w:val="00C52117"/>
    <w:rsid w:val="00C53D4D"/>
    <w:rsid w:val="00C5414D"/>
    <w:rsid w:val="00C560A5"/>
    <w:rsid w:val="00C57632"/>
    <w:rsid w:val="00C57674"/>
    <w:rsid w:val="00C57718"/>
    <w:rsid w:val="00C61C55"/>
    <w:rsid w:val="00C623D0"/>
    <w:rsid w:val="00C62873"/>
    <w:rsid w:val="00C63B3D"/>
    <w:rsid w:val="00C65814"/>
    <w:rsid w:val="00C65D3C"/>
    <w:rsid w:val="00C6778B"/>
    <w:rsid w:val="00C67AF4"/>
    <w:rsid w:val="00C70148"/>
    <w:rsid w:val="00C704DA"/>
    <w:rsid w:val="00C71404"/>
    <w:rsid w:val="00C7198F"/>
    <w:rsid w:val="00C72DFE"/>
    <w:rsid w:val="00C73799"/>
    <w:rsid w:val="00C766D6"/>
    <w:rsid w:val="00C80994"/>
    <w:rsid w:val="00C819B8"/>
    <w:rsid w:val="00C81C79"/>
    <w:rsid w:val="00C8410C"/>
    <w:rsid w:val="00C86872"/>
    <w:rsid w:val="00C86ABF"/>
    <w:rsid w:val="00C86E56"/>
    <w:rsid w:val="00C9021D"/>
    <w:rsid w:val="00C902AE"/>
    <w:rsid w:val="00C90711"/>
    <w:rsid w:val="00C93C8A"/>
    <w:rsid w:val="00C95BEF"/>
    <w:rsid w:val="00C95F66"/>
    <w:rsid w:val="00C97938"/>
    <w:rsid w:val="00CA125D"/>
    <w:rsid w:val="00CA1277"/>
    <w:rsid w:val="00CA1749"/>
    <w:rsid w:val="00CA4B4E"/>
    <w:rsid w:val="00CA5004"/>
    <w:rsid w:val="00CA70BE"/>
    <w:rsid w:val="00CB06C1"/>
    <w:rsid w:val="00CB1BCE"/>
    <w:rsid w:val="00CB1C7F"/>
    <w:rsid w:val="00CB204B"/>
    <w:rsid w:val="00CB5322"/>
    <w:rsid w:val="00CB568C"/>
    <w:rsid w:val="00CB7142"/>
    <w:rsid w:val="00CB7189"/>
    <w:rsid w:val="00CC09C2"/>
    <w:rsid w:val="00CC1A09"/>
    <w:rsid w:val="00CC20C2"/>
    <w:rsid w:val="00CC2154"/>
    <w:rsid w:val="00CC4FF9"/>
    <w:rsid w:val="00CC57B5"/>
    <w:rsid w:val="00CC59D6"/>
    <w:rsid w:val="00CC70D3"/>
    <w:rsid w:val="00CC79E9"/>
    <w:rsid w:val="00CD437B"/>
    <w:rsid w:val="00CD529B"/>
    <w:rsid w:val="00CD5699"/>
    <w:rsid w:val="00CD7A87"/>
    <w:rsid w:val="00CE22CD"/>
    <w:rsid w:val="00CE30C9"/>
    <w:rsid w:val="00CE375C"/>
    <w:rsid w:val="00CE3B64"/>
    <w:rsid w:val="00CE3BB4"/>
    <w:rsid w:val="00CE3D9C"/>
    <w:rsid w:val="00CE5358"/>
    <w:rsid w:val="00CE6E47"/>
    <w:rsid w:val="00CE7257"/>
    <w:rsid w:val="00CE7ACC"/>
    <w:rsid w:val="00CF08C9"/>
    <w:rsid w:val="00CF1885"/>
    <w:rsid w:val="00CF2C97"/>
    <w:rsid w:val="00CF3EAA"/>
    <w:rsid w:val="00D000C4"/>
    <w:rsid w:val="00D03763"/>
    <w:rsid w:val="00D03CDA"/>
    <w:rsid w:val="00D0424C"/>
    <w:rsid w:val="00D0474D"/>
    <w:rsid w:val="00D05552"/>
    <w:rsid w:val="00D05E0C"/>
    <w:rsid w:val="00D06993"/>
    <w:rsid w:val="00D06BCF"/>
    <w:rsid w:val="00D104F4"/>
    <w:rsid w:val="00D1396A"/>
    <w:rsid w:val="00D142E0"/>
    <w:rsid w:val="00D14C7C"/>
    <w:rsid w:val="00D1561C"/>
    <w:rsid w:val="00D15CF7"/>
    <w:rsid w:val="00D1629C"/>
    <w:rsid w:val="00D16B8C"/>
    <w:rsid w:val="00D16E1D"/>
    <w:rsid w:val="00D16EEC"/>
    <w:rsid w:val="00D202EF"/>
    <w:rsid w:val="00D21629"/>
    <w:rsid w:val="00D21F21"/>
    <w:rsid w:val="00D222B3"/>
    <w:rsid w:val="00D22AAD"/>
    <w:rsid w:val="00D250C5"/>
    <w:rsid w:val="00D3107F"/>
    <w:rsid w:val="00D32F1D"/>
    <w:rsid w:val="00D3394E"/>
    <w:rsid w:val="00D34FCC"/>
    <w:rsid w:val="00D35148"/>
    <w:rsid w:val="00D36461"/>
    <w:rsid w:val="00D414EB"/>
    <w:rsid w:val="00D4159A"/>
    <w:rsid w:val="00D423F6"/>
    <w:rsid w:val="00D42518"/>
    <w:rsid w:val="00D4305A"/>
    <w:rsid w:val="00D44080"/>
    <w:rsid w:val="00D442AC"/>
    <w:rsid w:val="00D4483A"/>
    <w:rsid w:val="00D44F48"/>
    <w:rsid w:val="00D4511A"/>
    <w:rsid w:val="00D46A64"/>
    <w:rsid w:val="00D47486"/>
    <w:rsid w:val="00D54AB5"/>
    <w:rsid w:val="00D5545E"/>
    <w:rsid w:val="00D5768B"/>
    <w:rsid w:val="00D576E2"/>
    <w:rsid w:val="00D60B77"/>
    <w:rsid w:val="00D61F69"/>
    <w:rsid w:val="00D61F9C"/>
    <w:rsid w:val="00D63200"/>
    <w:rsid w:val="00D6416C"/>
    <w:rsid w:val="00D64A61"/>
    <w:rsid w:val="00D65F81"/>
    <w:rsid w:val="00D66145"/>
    <w:rsid w:val="00D6615F"/>
    <w:rsid w:val="00D67C16"/>
    <w:rsid w:val="00D67E2D"/>
    <w:rsid w:val="00D71A97"/>
    <w:rsid w:val="00D73494"/>
    <w:rsid w:val="00D74881"/>
    <w:rsid w:val="00D7789C"/>
    <w:rsid w:val="00D8091F"/>
    <w:rsid w:val="00D81DFA"/>
    <w:rsid w:val="00D81FC2"/>
    <w:rsid w:val="00D86066"/>
    <w:rsid w:val="00D87037"/>
    <w:rsid w:val="00D87B82"/>
    <w:rsid w:val="00D9067D"/>
    <w:rsid w:val="00D911ED"/>
    <w:rsid w:val="00D91261"/>
    <w:rsid w:val="00D922F8"/>
    <w:rsid w:val="00D92372"/>
    <w:rsid w:val="00D92ED6"/>
    <w:rsid w:val="00D93023"/>
    <w:rsid w:val="00D94160"/>
    <w:rsid w:val="00D95E41"/>
    <w:rsid w:val="00D96A1C"/>
    <w:rsid w:val="00D96CC6"/>
    <w:rsid w:val="00D97AE5"/>
    <w:rsid w:val="00DA0465"/>
    <w:rsid w:val="00DA09A3"/>
    <w:rsid w:val="00DA0E4F"/>
    <w:rsid w:val="00DA46AC"/>
    <w:rsid w:val="00DA553E"/>
    <w:rsid w:val="00DA5925"/>
    <w:rsid w:val="00DA6F93"/>
    <w:rsid w:val="00DA7005"/>
    <w:rsid w:val="00DA7BC5"/>
    <w:rsid w:val="00DB15C8"/>
    <w:rsid w:val="00DB2287"/>
    <w:rsid w:val="00DB3039"/>
    <w:rsid w:val="00DB3282"/>
    <w:rsid w:val="00DB32D0"/>
    <w:rsid w:val="00DB360B"/>
    <w:rsid w:val="00DB5980"/>
    <w:rsid w:val="00DB79CE"/>
    <w:rsid w:val="00DC18DE"/>
    <w:rsid w:val="00DC29E6"/>
    <w:rsid w:val="00DC3B98"/>
    <w:rsid w:val="00DC4209"/>
    <w:rsid w:val="00DC54E0"/>
    <w:rsid w:val="00DD0E48"/>
    <w:rsid w:val="00DD11A7"/>
    <w:rsid w:val="00DD12DD"/>
    <w:rsid w:val="00DD2190"/>
    <w:rsid w:val="00DD22DA"/>
    <w:rsid w:val="00DD31DE"/>
    <w:rsid w:val="00DD4136"/>
    <w:rsid w:val="00DD4191"/>
    <w:rsid w:val="00DD5090"/>
    <w:rsid w:val="00DD6EF9"/>
    <w:rsid w:val="00DD78E8"/>
    <w:rsid w:val="00DE0ADC"/>
    <w:rsid w:val="00DE15B6"/>
    <w:rsid w:val="00DE3A23"/>
    <w:rsid w:val="00DE414B"/>
    <w:rsid w:val="00DE4A0D"/>
    <w:rsid w:val="00DF16EE"/>
    <w:rsid w:val="00DF1F2C"/>
    <w:rsid w:val="00DF2943"/>
    <w:rsid w:val="00DF2AC4"/>
    <w:rsid w:val="00DF3324"/>
    <w:rsid w:val="00DF346D"/>
    <w:rsid w:val="00DF4AF7"/>
    <w:rsid w:val="00DF5E1B"/>
    <w:rsid w:val="00DF606B"/>
    <w:rsid w:val="00DF60F5"/>
    <w:rsid w:val="00E00D0B"/>
    <w:rsid w:val="00E010A9"/>
    <w:rsid w:val="00E01179"/>
    <w:rsid w:val="00E01968"/>
    <w:rsid w:val="00E03236"/>
    <w:rsid w:val="00E0653F"/>
    <w:rsid w:val="00E0670F"/>
    <w:rsid w:val="00E073FF"/>
    <w:rsid w:val="00E11C2C"/>
    <w:rsid w:val="00E11DE8"/>
    <w:rsid w:val="00E12EBF"/>
    <w:rsid w:val="00E15701"/>
    <w:rsid w:val="00E157AB"/>
    <w:rsid w:val="00E159C8"/>
    <w:rsid w:val="00E160F4"/>
    <w:rsid w:val="00E1641A"/>
    <w:rsid w:val="00E16832"/>
    <w:rsid w:val="00E16B1F"/>
    <w:rsid w:val="00E16BAF"/>
    <w:rsid w:val="00E17834"/>
    <w:rsid w:val="00E2157F"/>
    <w:rsid w:val="00E218FC"/>
    <w:rsid w:val="00E21DBB"/>
    <w:rsid w:val="00E227B2"/>
    <w:rsid w:val="00E228B8"/>
    <w:rsid w:val="00E23235"/>
    <w:rsid w:val="00E240AE"/>
    <w:rsid w:val="00E24346"/>
    <w:rsid w:val="00E24C94"/>
    <w:rsid w:val="00E2589A"/>
    <w:rsid w:val="00E25E15"/>
    <w:rsid w:val="00E2695E"/>
    <w:rsid w:val="00E26F64"/>
    <w:rsid w:val="00E279B7"/>
    <w:rsid w:val="00E31B2F"/>
    <w:rsid w:val="00E31F0F"/>
    <w:rsid w:val="00E3294E"/>
    <w:rsid w:val="00E34CE6"/>
    <w:rsid w:val="00E36554"/>
    <w:rsid w:val="00E3738D"/>
    <w:rsid w:val="00E37C05"/>
    <w:rsid w:val="00E37D1E"/>
    <w:rsid w:val="00E40394"/>
    <w:rsid w:val="00E40B88"/>
    <w:rsid w:val="00E40BA8"/>
    <w:rsid w:val="00E42369"/>
    <w:rsid w:val="00E4359B"/>
    <w:rsid w:val="00E43FE8"/>
    <w:rsid w:val="00E45D05"/>
    <w:rsid w:val="00E475A6"/>
    <w:rsid w:val="00E500E0"/>
    <w:rsid w:val="00E50C7A"/>
    <w:rsid w:val="00E5159E"/>
    <w:rsid w:val="00E52EA2"/>
    <w:rsid w:val="00E53450"/>
    <w:rsid w:val="00E54071"/>
    <w:rsid w:val="00E5485C"/>
    <w:rsid w:val="00E55635"/>
    <w:rsid w:val="00E55655"/>
    <w:rsid w:val="00E56598"/>
    <w:rsid w:val="00E5705D"/>
    <w:rsid w:val="00E64648"/>
    <w:rsid w:val="00E66763"/>
    <w:rsid w:val="00E66AD8"/>
    <w:rsid w:val="00E67005"/>
    <w:rsid w:val="00E673D5"/>
    <w:rsid w:val="00E67952"/>
    <w:rsid w:val="00E705D0"/>
    <w:rsid w:val="00E713AF"/>
    <w:rsid w:val="00E716D6"/>
    <w:rsid w:val="00E72006"/>
    <w:rsid w:val="00E72E3A"/>
    <w:rsid w:val="00E73316"/>
    <w:rsid w:val="00E73EC9"/>
    <w:rsid w:val="00E74CCE"/>
    <w:rsid w:val="00E75CF0"/>
    <w:rsid w:val="00E76BB0"/>
    <w:rsid w:val="00E76EEB"/>
    <w:rsid w:val="00E77918"/>
    <w:rsid w:val="00E817E8"/>
    <w:rsid w:val="00E81CF8"/>
    <w:rsid w:val="00E8299B"/>
    <w:rsid w:val="00E8514A"/>
    <w:rsid w:val="00E87583"/>
    <w:rsid w:val="00E87D02"/>
    <w:rsid w:val="00E90953"/>
    <w:rsid w:val="00E90FEC"/>
    <w:rsid w:val="00E91D8D"/>
    <w:rsid w:val="00E91FF3"/>
    <w:rsid w:val="00E9289B"/>
    <w:rsid w:val="00E9389F"/>
    <w:rsid w:val="00E97DD5"/>
    <w:rsid w:val="00EA2E91"/>
    <w:rsid w:val="00EA43F7"/>
    <w:rsid w:val="00EA6FA3"/>
    <w:rsid w:val="00EB03DD"/>
    <w:rsid w:val="00EB2B40"/>
    <w:rsid w:val="00EB4163"/>
    <w:rsid w:val="00EB5FCA"/>
    <w:rsid w:val="00EC046D"/>
    <w:rsid w:val="00EC37E8"/>
    <w:rsid w:val="00EC4FE2"/>
    <w:rsid w:val="00EC53A3"/>
    <w:rsid w:val="00EC636E"/>
    <w:rsid w:val="00EC6A16"/>
    <w:rsid w:val="00EC759F"/>
    <w:rsid w:val="00ED0089"/>
    <w:rsid w:val="00ED1126"/>
    <w:rsid w:val="00ED11A9"/>
    <w:rsid w:val="00ED1BC2"/>
    <w:rsid w:val="00ED2E1C"/>
    <w:rsid w:val="00ED4268"/>
    <w:rsid w:val="00ED5348"/>
    <w:rsid w:val="00ED54BB"/>
    <w:rsid w:val="00ED5644"/>
    <w:rsid w:val="00ED5C4E"/>
    <w:rsid w:val="00ED77C3"/>
    <w:rsid w:val="00EE00FC"/>
    <w:rsid w:val="00EE0184"/>
    <w:rsid w:val="00EE2BAD"/>
    <w:rsid w:val="00EE39CC"/>
    <w:rsid w:val="00EE3BD3"/>
    <w:rsid w:val="00EE5F0F"/>
    <w:rsid w:val="00EE5F1B"/>
    <w:rsid w:val="00EE619D"/>
    <w:rsid w:val="00EE6CC0"/>
    <w:rsid w:val="00EE6E38"/>
    <w:rsid w:val="00EE76B0"/>
    <w:rsid w:val="00EF1F68"/>
    <w:rsid w:val="00EF2632"/>
    <w:rsid w:val="00EF53B6"/>
    <w:rsid w:val="00EF5C51"/>
    <w:rsid w:val="00EF5E7A"/>
    <w:rsid w:val="00EF63CF"/>
    <w:rsid w:val="00EF749F"/>
    <w:rsid w:val="00EF74AD"/>
    <w:rsid w:val="00EF7E9D"/>
    <w:rsid w:val="00F0045F"/>
    <w:rsid w:val="00F005E1"/>
    <w:rsid w:val="00F0148D"/>
    <w:rsid w:val="00F02511"/>
    <w:rsid w:val="00F05874"/>
    <w:rsid w:val="00F06053"/>
    <w:rsid w:val="00F074C3"/>
    <w:rsid w:val="00F079E3"/>
    <w:rsid w:val="00F1042A"/>
    <w:rsid w:val="00F10ED8"/>
    <w:rsid w:val="00F10F38"/>
    <w:rsid w:val="00F10FA6"/>
    <w:rsid w:val="00F16B50"/>
    <w:rsid w:val="00F20A87"/>
    <w:rsid w:val="00F23148"/>
    <w:rsid w:val="00F235A7"/>
    <w:rsid w:val="00F2398E"/>
    <w:rsid w:val="00F24E0C"/>
    <w:rsid w:val="00F2510C"/>
    <w:rsid w:val="00F254B6"/>
    <w:rsid w:val="00F25D87"/>
    <w:rsid w:val="00F26BF6"/>
    <w:rsid w:val="00F27945"/>
    <w:rsid w:val="00F27F13"/>
    <w:rsid w:val="00F27FE1"/>
    <w:rsid w:val="00F30010"/>
    <w:rsid w:val="00F3060D"/>
    <w:rsid w:val="00F31EEB"/>
    <w:rsid w:val="00F357AB"/>
    <w:rsid w:val="00F36057"/>
    <w:rsid w:val="00F3773D"/>
    <w:rsid w:val="00F37BF2"/>
    <w:rsid w:val="00F40B63"/>
    <w:rsid w:val="00F40F99"/>
    <w:rsid w:val="00F41ADC"/>
    <w:rsid w:val="00F41D05"/>
    <w:rsid w:val="00F43032"/>
    <w:rsid w:val="00F44C3C"/>
    <w:rsid w:val="00F44E5F"/>
    <w:rsid w:val="00F4550C"/>
    <w:rsid w:val="00F464AE"/>
    <w:rsid w:val="00F4743D"/>
    <w:rsid w:val="00F50859"/>
    <w:rsid w:val="00F516F0"/>
    <w:rsid w:val="00F51CC3"/>
    <w:rsid w:val="00F531BB"/>
    <w:rsid w:val="00F539A0"/>
    <w:rsid w:val="00F53C79"/>
    <w:rsid w:val="00F5403E"/>
    <w:rsid w:val="00F550F6"/>
    <w:rsid w:val="00F56F4B"/>
    <w:rsid w:val="00F57518"/>
    <w:rsid w:val="00F579D1"/>
    <w:rsid w:val="00F60AB9"/>
    <w:rsid w:val="00F6107C"/>
    <w:rsid w:val="00F6195D"/>
    <w:rsid w:val="00F61EDD"/>
    <w:rsid w:val="00F621B9"/>
    <w:rsid w:val="00F63631"/>
    <w:rsid w:val="00F636AD"/>
    <w:rsid w:val="00F66A64"/>
    <w:rsid w:val="00F7005B"/>
    <w:rsid w:val="00F71D52"/>
    <w:rsid w:val="00F72D24"/>
    <w:rsid w:val="00F72DDB"/>
    <w:rsid w:val="00F73ECD"/>
    <w:rsid w:val="00F74134"/>
    <w:rsid w:val="00F74C7A"/>
    <w:rsid w:val="00F7601C"/>
    <w:rsid w:val="00F77433"/>
    <w:rsid w:val="00F804CB"/>
    <w:rsid w:val="00F820E7"/>
    <w:rsid w:val="00F8317E"/>
    <w:rsid w:val="00F844C2"/>
    <w:rsid w:val="00F858D9"/>
    <w:rsid w:val="00F86991"/>
    <w:rsid w:val="00F86EED"/>
    <w:rsid w:val="00F913AD"/>
    <w:rsid w:val="00F93441"/>
    <w:rsid w:val="00F93A0F"/>
    <w:rsid w:val="00F95BE6"/>
    <w:rsid w:val="00F97651"/>
    <w:rsid w:val="00FA03A5"/>
    <w:rsid w:val="00FA0C20"/>
    <w:rsid w:val="00FA2F55"/>
    <w:rsid w:val="00FA3444"/>
    <w:rsid w:val="00FA3C9F"/>
    <w:rsid w:val="00FA46F4"/>
    <w:rsid w:val="00FA549B"/>
    <w:rsid w:val="00FA5F64"/>
    <w:rsid w:val="00FA620B"/>
    <w:rsid w:val="00FA6495"/>
    <w:rsid w:val="00FB0AD5"/>
    <w:rsid w:val="00FB5BB0"/>
    <w:rsid w:val="00FB603D"/>
    <w:rsid w:val="00FB7360"/>
    <w:rsid w:val="00FC0769"/>
    <w:rsid w:val="00FC104B"/>
    <w:rsid w:val="00FC1AF6"/>
    <w:rsid w:val="00FC26C8"/>
    <w:rsid w:val="00FC6015"/>
    <w:rsid w:val="00FC67ED"/>
    <w:rsid w:val="00FD0721"/>
    <w:rsid w:val="00FD0A26"/>
    <w:rsid w:val="00FD0ABE"/>
    <w:rsid w:val="00FD138E"/>
    <w:rsid w:val="00FD17BB"/>
    <w:rsid w:val="00FD37C4"/>
    <w:rsid w:val="00FD5EC1"/>
    <w:rsid w:val="00FD667F"/>
    <w:rsid w:val="00FD6832"/>
    <w:rsid w:val="00FE0B89"/>
    <w:rsid w:val="00FE15F9"/>
    <w:rsid w:val="00FE3594"/>
    <w:rsid w:val="00FE4A36"/>
    <w:rsid w:val="00FE4EC4"/>
    <w:rsid w:val="00FE4FEA"/>
    <w:rsid w:val="00FE565D"/>
    <w:rsid w:val="00FE5DCF"/>
    <w:rsid w:val="00FE61E2"/>
    <w:rsid w:val="00FE6C0F"/>
    <w:rsid w:val="00FE6E39"/>
    <w:rsid w:val="00FE7435"/>
    <w:rsid w:val="00FF0E29"/>
    <w:rsid w:val="00FF441A"/>
    <w:rsid w:val="00FF4531"/>
    <w:rsid w:val="00FF67AF"/>
    <w:rsid w:val="00FF68E9"/>
    <w:rsid w:val="00FF6EC5"/>
    <w:rsid w:val="00FF7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DD0EA"/>
  <w15:docId w15:val="{FEDDC76D-15E8-4772-ADB6-36B39E890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HEA Grapalat" w:eastAsiaTheme="minorHAnsi" w:hAnsi="GHEA Grapalat"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19D"/>
    <w:pPr>
      <w:spacing w:after="0" w:line="240" w:lineRule="auto"/>
    </w:pPr>
    <w:rPr>
      <w:rFonts w:ascii="Times LatArm" w:eastAsia="Times New Roman" w:hAnsi="Times LatArm" w:cs="Times New Roman"/>
      <w:sz w:val="24"/>
      <w:szCs w:val="24"/>
    </w:rPr>
  </w:style>
  <w:style w:type="paragraph" w:styleId="Heading1">
    <w:name w:val="heading 1"/>
    <w:basedOn w:val="Normal"/>
    <w:next w:val="Normal"/>
    <w:link w:val="Heading1Char"/>
    <w:qFormat/>
    <w:rsid w:val="00F40F99"/>
    <w:pPr>
      <w:keepNext/>
      <w:spacing w:line="360" w:lineRule="auto"/>
      <w:jc w:val="both"/>
      <w:outlineLvl w:val="0"/>
    </w:pPr>
    <w:rPr>
      <w:rFonts w:ascii="Times Armenian" w:hAnsi="Times Armenian"/>
      <w:b/>
      <w:color w:val="000000"/>
      <w:sz w:val="26"/>
      <w:szCs w:val="26"/>
      <w:u w:val="single"/>
      <w:lang w:val="hy-AM"/>
    </w:rPr>
  </w:style>
  <w:style w:type="paragraph" w:styleId="Heading2">
    <w:name w:val="heading 2"/>
    <w:basedOn w:val="Normal"/>
    <w:next w:val="Normal"/>
    <w:link w:val="Heading2Char"/>
    <w:qFormat/>
    <w:rsid w:val="00F40F99"/>
    <w:pPr>
      <w:keepNext/>
      <w:spacing w:line="360" w:lineRule="auto"/>
      <w:ind w:firstLine="540"/>
      <w:jc w:val="right"/>
      <w:outlineLvl w:val="1"/>
    </w:pPr>
    <w:rPr>
      <w:rFonts w:ascii="Times Armenian" w:hAnsi="Times Armenian" w:cs="Arial"/>
      <w:i/>
      <w:iCs/>
      <w:color w:val="000000"/>
      <w:szCs w:val="20"/>
      <w:lang w:val="hy-AM"/>
    </w:rPr>
  </w:style>
  <w:style w:type="paragraph" w:styleId="Heading5">
    <w:name w:val="heading 5"/>
    <w:basedOn w:val="Normal"/>
    <w:next w:val="Normal"/>
    <w:link w:val="Heading5Char"/>
    <w:uiPriority w:val="9"/>
    <w:unhideWhenUsed/>
    <w:qFormat/>
    <w:rsid w:val="00C00B89"/>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F40F99"/>
    <w:pPr>
      <w:keepNext/>
      <w:spacing w:line="360" w:lineRule="auto"/>
      <w:ind w:left="1701"/>
      <w:jc w:val="center"/>
      <w:outlineLvl w:val="6"/>
    </w:pPr>
    <w:rPr>
      <w:rFonts w:ascii="Arial Armenian" w:hAnsi="Arial Armenian"/>
      <w:b/>
      <w:spacing w:val="40"/>
      <w:sz w:val="22"/>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ongtext">
    <w:name w:val="long_text"/>
    <w:rsid w:val="00EE619D"/>
  </w:style>
  <w:style w:type="paragraph" w:styleId="ListParagraph">
    <w:name w:val="List Paragraph"/>
    <w:basedOn w:val="Normal"/>
    <w:uiPriority w:val="34"/>
    <w:qFormat/>
    <w:rsid w:val="00EE619D"/>
    <w:pPr>
      <w:ind w:left="720"/>
      <w:contextualSpacing/>
    </w:pPr>
  </w:style>
  <w:style w:type="table" w:styleId="TableGrid">
    <w:name w:val="Table Grid"/>
    <w:basedOn w:val="TableNormal"/>
    <w:uiPriority w:val="39"/>
    <w:rsid w:val="00EE6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EE619D"/>
    <w:rPr>
      <w:sz w:val="20"/>
      <w:szCs w:val="20"/>
    </w:rPr>
  </w:style>
  <w:style w:type="character" w:customStyle="1" w:styleId="FootnoteTextChar">
    <w:name w:val="Footnote Text Char"/>
    <w:basedOn w:val="DefaultParagraphFont"/>
    <w:link w:val="FootnoteText"/>
    <w:uiPriority w:val="99"/>
    <w:rsid w:val="00EE619D"/>
    <w:rPr>
      <w:rFonts w:ascii="Times LatArm" w:eastAsia="Times New Roman" w:hAnsi="Times LatArm" w:cs="Times New Roman"/>
      <w:sz w:val="20"/>
      <w:szCs w:val="20"/>
    </w:rPr>
  </w:style>
  <w:style w:type="character" w:styleId="FootnoteReference">
    <w:name w:val="footnote reference"/>
    <w:basedOn w:val="DefaultParagraphFont"/>
    <w:uiPriority w:val="99"/>
    <w:unhideWhenUsed/>
    <w:rsid w:val="00EE619D"/>
    <w:rPr>
      <w:vertAlign w:val="superscript"/>
    </w:rPr>
  </w:style>
  <w:style w:type="character" w:customStyle="1" w:styleId="Heading1Char">
    <w:name w:val="Heading 1 Char"/>
    <w:basedOn w:val="DefaultParagraphFont"/>
    <w:link w:val="Heading1"/>
    <w:rsid w:val="00F40F99"/>
    <w:rPr>
      <w:rFonts w:ascii="Times Armenian" w:eastAsia="Times New Roman" w:hAnsi="Times Armenian" w:cs="Times New Roman"/>
      <w:b/>
      <w:color w:val="000000"/>
      <w:sz w:val="26"/>
      <w:szCs w:val="26"/>
      <w:u w:val="single"/>
      <w:lang w:val="hy-AM"/>
    </w:rPr>
  </w:style>
  <w:style w:type="character" w:customStyle="1" w:styleId="Heading2Char">
    <w:name w:val="Heading 2 Char"/>
    <w:basedOn w:val="DefaultParagraphFont"/>
    <w:link w:val="Heading2"/>
    <w:rsid w:val="00F40F99"/>
    <w:rPr>
      <w:rFonts w:ascii="Times Armenian" w:eastAsia="Times New Roman" w:hAnsi="Times Armenian" w:cs="Arial"/>
      <w:i/>
      <w:iCs/>
      <w:color w:val="000000"/>
      <w:sz w:val="24"/>
      <w:szCs w:val="20"/>
      <w:lang w:val="hy-AM"/>
    </w:rPr>
  </w:style>
  <w:style w:type="character" w:customStyle="1" w:styleId="Heading7Char">
    <w:name w:val="Heading 7 Char"/>
    <w:basedOn w:val="DefaultParagraphFont"/>
    <w:link w:val="Heading7"/>
    <w:rsid w:val="00F40F99"/>
    <w:rPr>
      <w:rFonts w:ascii="Arial Armenian" w:eastAsia="Times New Roman" w:hAnsi="Arial Armenian" w:cs="Times New Roman"/>
      <w:b/>
      <w:spacing w:val="40"/>
      <w:szCs w:val="23"/>
    </w:rPr>
  </w:style>
  <w:style w:type="character" w:customStyle="1" w:styleId="FootnoteTextChar2">
    <w:name w:val="Footnote Text Char2"/>
    <w:semiHidden/>
    <w:rsid w:val="00F40F99"/>
    <w:rPr>
      <w:rFonts w:ascii="Times Armenian" w:hAnsi="Times Armenian"/>
      <w:lang w:val="en-US" w:eastAsia="en-US" w:bidi="ar-SA"/>
    </w:rPr>
  </w:style>
  <w:style w:type="character" w:styleId="Hyperlink">
    <w:name w:val="Hyperlink"/>
    <w:rsid w:val="00F40F99"/>
    <w:rPr>
      <w:color w:val="0000FF"/>
      <w:u w:val="single"/>
    </w:rPr>
  </w:style>
  <w:style w:type="paragraph" w:styleId="Header">
    <w:name w:val="header"/>
    <w:aliases w:val="hd"/>
    <w:basedOn w:val="Normal"/>
    <w:link w:val="HeaderChar"/>
    <w:uiPriority w:val="99"/>
    <w:unhideWhenUsed/>
    <w:rsid w:val="00F40F99"/>
    <w:pPr>
      <w:tabs>
        <w:tab w:val="center" w:pos="4680"/>
        <w:tab w:val="right" w:pos="9360"/>
      </w:tabs>
    </w:pPr>
  </w:style>
  <w:style w:type="character" w:customStyle="1" w:styleId="HeaderChar">
    <w:name w:val="Header Char"/>
    <w:aliases w:val="hd Char"/>
    <w:basedOn w:val="DefaultParagraphFont"/>
    <w:link w:val="Header"/>
    <w:uiPriority w:val="99"/>
    <w:rsid w:val="00F40F99"/>
    <w:rPr>
      <w:rFonts w:ascii="Times LatArm" w:eastAsia="Times New Roman" w:hAnsi="Times LatArm" w:cs="Times New Roman"/>
      <w:sz w:val="24"/>
      <w:szCs w:val="24"/>
    </w:rPr>
  </w:style>
  <w:style w:type="paragraph" w:styleId="Footer">
    <w:name w:val="footer"/>
    <w:basedOn w:val="Normal"/>
    <w:link w:val="FooterChar"/>
    <w:uiPriority w:val="99"/>
    <w:unhideWhenUsed/>
    <w:rsid w:val="00F40F99"/>
    <w:pPr>
      <w:tabs>
        <w:tab w:val="center" w:pos="4680"/>
        <w:tab w:val="right" w:pos="9360"/>
      </w:tabs>
    </w:pPr>
  </w:style>
  <w:style w:type="character" w:customStyle="1" w:styleId="FooterChar">
    <w:name w:val="Footer Char"/>
    <w:basedOn w:val="DefaultParagraphFont"/>
    <w:link w:val="Footer"/>
    <w:uiPriority w:val="99"/>
    <w:rsid w:val="00F40F99"/>
    <w:rPr>
      <w:rFonts w:ascii="Times LatArm" w:eastAsia="Times New Roman" w:hAnsi="Times LatArm" w:cs="Times New Roman"/>
      <w:sz w:val="24"/>
      <w:szCs w:val="24"/>
    </w:rPr>
  </w:style>
  <w:style w:type="character" w:customStyle="1" w:styleId="apple-converted-space">
    <w:name w:val="apple-converted-space"/>
    <w:basedOn w:val="DefaultParagraphFont"/>
    <w:rsid w:val="00F40F99"/>
  </w:style>
  <w:style w:type="paragraph" w:styleId="BodyText">
    <w:name w:val="Body Text"/>
    <w:basedOn w:val="Normal"/>
    <w:link w:val="BodyTextChar"/>
    <w:uiPriority w:val="99"/>
    <w:unhideWhenUsed/>
    <w:rsid w:val="00F40F99"/>
    <w:pPr>
      <w:spacing w:after="120" w:line="276" w:lineRule="auto"/>
    </w:pPr>
    <w:rPr>
      <w:rFonts w:ascii="GHEA Grapalat" w:eastAsia="Calibri" w:hAnsi="GHEA Grapalat"/>
      <w:sz w:val="22"/>
      <w:szCs w:val="22"/>
    </w:rPr>
  </w:style>
  <w:style w:type="character" w:customStyle="1" w:styleId="BodyTextChar">
    <w:name w:val="Body Text Char"/>
    <w:basedOn w:val="DefaultParagraphFont"/>
    <w:link w:val="BodyText"/>
    <w:uiPriority w:val="99"/>
    <w:rsid w:val="00F40F99"/>
    <w:rPr>
      <w:rFonts w:eastAsia="Calibri" w:cs="Times New Roman"/>
    </w:rPr>
  </w:style>
  <w:style w:type="character" w:customStyle="1" w:styleId="Heading5Char">
    <w:name w:val="Heading 5 Char"/>
    <w:basedOn w:val="DefaultParagraphFont"/>
    <w:link w:val="Heading5"/>
    <w:uiPriority w:val="9"/>
    <w:rsid w:val="00C00B89"/>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9161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1BF"/>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lydianarmenia.am/images/Socio-economic_study_Executive_Summary_ARM.pdf" TargetMode="External"/><Relationship Id="rId2" Type="http://schemas.openxmlformats.org/officeDocument/2006/relationships/hyperlink" Target="https://www.armstat.am/file/article/sv_04_19a_420.pdf" TargetMode="External"/><Relationship Id="rId1" Type="http://schemas.openxmlformats.org/officeDocument/2006/relationships/hyperlink" Target="https://www.armstat.am/file/article/sv_04_19a_112.pdf" TargetMode="External"/><Relationship Id="rId5" Type="http://schemas.openxmlformats.org/officeDocument/2006/relationships/hyperlink" Target="https://www.armstat.am/file/article/sv_04_19a_112.pdf" TargetMode="External"/><Relationship Id="rId4" Type="http://schemas.openxmlformats.org/officeDocument/2006/relationships/hyperlink" Target="http://lori.mtad.am/files/docs/3079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A4119A-4FAD-4AD8-B0B5-48D0236E1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25</Pages>
  <Words>9176</Words>
  <Characters>52305</Characters>
  <Application>Microsoft Office Word</Application>
  <DocSecurity>0</DocSecurity>
  <Lines>435</Lines>
  <Paragraphs>122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Սուսաննա Քարտաշյան</cp:lastModifiedBy>
  <cp:revision>8</cp:revision>
  <dcterms:created xsi:type="dcterms:W3CDTF">2019-07-29T06:56:00Z</dcterms:created>
  <dcterms:modified xsi:type="dcterms:W3CDTF">2024-02-02T13:38:00Z</dcterms:modified>
</cp:coreProperties>
</file>