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58E" w14:textId="77777777" w:rsidR="00C00B89" w:rsidRPr="00565F75" w:rsidRDefault="00C00B89" w:rsidP="00C00B89">
      <w:pPr>
        <w:pStyle w:val="Heading1"/>
        <w:spacing w:line="312" w:lineRule="auto"/>
        <w:ind w:right="-3969" w:firstLine="4536"/>
        <w:jc w:val="right"/>
        <w:rPr>
          <w:rFonts w:ascii="Garamond" w:hAnsi="Garamond" w:cs="Sylfaen"/>
          <w:color w:val="1F497D" w:themeColor="text2"/>
          <w:spacing w:val="20"/>
          <w:w w:val="110"/>
          <w:sz w:val="24"/>
          <w:szCs w:val="22"/>
          <w:u w:val="none"/>
          <w:lang w:val="en-US"/>
        </w:rPr>
      </w:pPr>
      <w:r w:rsidRPr="00565F75">
        <w:rPr>
          <w:rFonts w:ascii="Garamond" w:hAnsi="Garamond" w:cs="Sylfaen"/>
          <w:color w:val="1F497D" w:themeColor="text2"/>
          <w:spacing w:val="20"/>
          <w:w w:val="110"/>
          <w:sz w:val="24"/>
          <w:szCs w:val="22"/>
          <w:u w:val="none"/>
          <w:lang w:val="en-US"/>
        </w:rPr>
        <w:t xml:space="preserve"> CENTRAL BANK </w:t>
      </w:r>
    </w:p>
    <w:p w14:paraId="56D2AFC3" w14:textId="77777777" w:rsidR="003D1442" w:rsidRPr="00565F75" w:rsidRDefault="009C5100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 w:cs="Sylfaen"/>
          <w:b/>
          <w:color w:val="1F497D" w:themeColor="text2"/>
          <w:spacing w:val="20"/>
          <w:w w:val="110"/>
          <w:szCs w:val="22"/>
        </w:rPr>
      </w:pPr>
      <w:r>
        <w:rPr>
          <w:rFonts w:ascii="Garamond" w:hAnsi="Garamond" w:cs="Sylfaen"/>
          <w:b/>
          <w:color w:val="1F497D" w:themeColor="text2"/>
          <w:spacing w:val="20"/>
          <w:w w:val="110"/>
          <w:szCs w:val="22"/>
        </w:rPr>
        <w:t>T</w:t>
      </w:r>
      <w:r w:rsidR="00C00B89" w:rsidRPr="00565F75">
        <w:rPr>
          <w:rFonts w:ascii="Garamond" w:hAnsi="Garamond" w:cs="Sylfaen"/>
          <w:b/>
          <w:color w:val="1F497D" w:themeColor="text2"/>
          <w:spacing w:val="20"/>
          <w:w w:val="110"/>
          <w:szCs w:val="22"/>
        </w:rPr>
        <w:t>HE CENTRAL BANK OF THE REPUBLIC OF ARMENIA</w:t>
      </w:r>
    </w:p>
    <w:p w14:paraId="6BADAA3F" w14:textId="77777777" w:rsidR="00AE73E6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 w:cs="Sylfaen"/>
          <w:b/>
          <w:i/>
          <w:color w:val="002060"/>
          <w:spacing w:val="4"/>
          <w:w w:val="110"/>
          <w:szCs w:val="22"/>
        </w:rPr>
      </w:pPr>
      <w:r w:rsidRPr="00565F75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 xml:space="preserve">Approved under the Central Bank Board </w:t>
      </w:r>
    </w:p>
    <w:p w14:paraId="00692E00" w14:textId="77777777" w:rsidR="00C00B89" w:rsidRPr="00565F75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/>
          <w:b/>
          <w:color w:val="0070C0"/>
          <w:szCs w:val="22"/>
        </w:rPr>
      </w:pPr>
      <w:r w:rsidRPr="00565F75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 xml:space="preserve">Resolution No. </w:t>
      </w:r>
      <w:r w:rsidR="00D868A9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215</w:t>
      </w:r>
      <w:r w:rsidRPr="00565F75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 xml:space="preserve">A, dated </w:t>
      </w:r>
      <w:r w:rsidR="00D868A9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Dec</w:t>
      </w:r>
      <w:r w:rsidR="00BA615A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ember</w:t>
      </w:r>
      <w:r w:rsidRPr="00565F75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 xml:space="preserve"> 2</w:t>
      </w:r>
      <w:r w:rsidR="00D868A9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3</w:t>
      </w:r>
      <w:r w:rsidRPr="00565F75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, 201</w:t>
      </w:r>
      <w:r w:rsidR="00276D6F">
        <w:rPr>
          <w:rFonts w:ascii="Garamond" w:hAnsi="Garamond" w:cs="Sylfaen"/>
          <w:b/>
          <w:i/>
          <w:color w:val="002060"/>
          <w:spacing w:val="4"/>
          <w:w w:val="110"/>
          <w:szCs w:val="22"/>
        </w:rPr>
        <w:t>9</w:t>
      </w:r>
    </w:p>
    <w:p w14:paraId="5E1653E5" w14:textId="77777777" w:rsidR="00C00B89" w:rsidRPr="00565F75" w:rsidRDefault="00C00B89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Cs w:val="22"/>
        </w:rPr>
      </w:pPr>
    </w:p>
    <w:p w14:paraId="199D643E" w14:textId="77777777" w:rsidR="00C00B89" w:rsidRPr="00565F75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/>
          <w:b/>
          <w:color w:val="1F497D" w:themeColor="text2"/>
          <w:spacing w:val="40"/>
          <w:w w:val="110"/>
          <w:szCs w:val="22"/>
        </w:rPr>
      </w:pPr>
      <w:r w:rsidRPr="00565F75">
        <w:rPr>
          <w:rFonts w:ascii="Garamond" w:hAnsi="Garamond"/>
          <w:b/>
          <w:color w:val="1F497D" w:themeColor="text2"/>
          <w:spacing w:val="40"/>
          <w:w w:val="110"/>
          <w:szCs w:val="22"/>
        </w:rPr>
        <w:t>Inflation Report</w:t>
      </w:r>
    </w:p>
    <w:p w14:paraId="461B5D8A" w14:textId="77777777" w:rsidR="00C00B89" w:rsidRPr="00565F75" w:rsidRDefault="00C00B89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1F497D" w:themeColor="text2"/>
          <w:spacing w:val="40"/>
          <w:w w:val="110"/>
          <w:szCs w:val="22"/>
        </w:rPr>
      </w:pPr>
    </w:p>
    <w:p w14:paraId="22E047C2" w14:textId="77777777" w:rsidR="00C00B89" w:rsidRPr="00565F75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/>
          <w:b/>
          <w:color w:val="1F497D" w:themeColor="text2"/>
          <w:szCs w:val="22"/>
        </w:rPr>
      </w:pPr>
      <w:r w:rsidRPr="00565F75">
        <w:rPr>
          <w:rFonts w:ascii="Garamond" w:hAnsi="Garamond"/>
          <w:b/>
          <w:color w:val="1F497D" w:themeColor="text2"/>
          <w:szCs w:val="22"/>
        </w:rPr>
        <w:t>Monetary Policy Program, Q</w:t>
      </w:r>
      <w:r w:rsidR="00D868A9">
        <w:rPr>
          <w:rFonts w:ascii="Garamond" w:hAnsi="Garamond"/>
          <w:b/>
          <w:color w:val="1F497D" w:themeColor="text2"/>
          <w:szCs w:val="22"/>
        </w:rPr>
        <w:t>4</w:t>
      </w:r>
      <w:r w:rsidRPr="00565F75">
        <w:rPr>
          <w:rFonts w:ascii="Garamond" w:hAnsi="Garamond"/>
          <w:b/>
          <w:color w:val="1F497D" w:themeColor="text2"/>
          <w:szCs w:val="22"/>
        </w:rPr>
        <w:t>, 201</w:t>
      </w:r>
      <w:r w:rsidR="00276D6F">
        <w:rPr>
          <w:rFonts w:ascii="Garamond" w:hAnsi="Garamond"/>
          <w:b/>
          <w:color w:val="1F497D" w:themeColor="text2"/>
          <w:szCs w:val="22"/>
        </w:rPr>
        <w:t>9</w:t>
      </w:r>
    </w:p>
    <w:p w14:paraId="112DA20A" w14:textId="77777777" w:rsidR="00C00B89" w:rsidRPr="00565F75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 w:cs="Sylfaen"/>
          <w:b/>
          <w:color w:val="1F497D" w:themeColor="text2"/>
          <w:szCs w:val="22"/>
        </w:rPr>
      </w:pPr>
      <w:r w:rsidRPr="00565F75">
        <w:rPr>
          <w:rFonts w:ascii="Garamond" w:hAnsi="Garamond" w:cs="Sylfaen"/>
          <w:b/>
          <w:color w:val="1F497D" w:themeColor="text2"/>
          <w:szCs w:val="22"/>
          <w:lang w:val="hy-AM"/>
        </w:rPr>
        <w:sym w:font="Wingdings 2" w:char="F0E7"/>
      </w:r>
    </w:p>
    <w:p w14:paraId="1EAE14D4" w14:textId="77777777" w:rsidR="00C00B89" w:rsidRPr="00565F75" w:rsidRDefault="00C00B89" w:rsidP="00C00B89">
      <w:pPr>
        <w:autoSpaceDE w:val="0"/>
        <w:autoSpaceDN w:val="0"/>
        <w:adjustRightInd w:val="0"/>
        <w:spacing w:after="120" w:line="360" w:lineRule="auto"/>
        <w:jc w:val="right"/>
        <w:rPr>
          <w:rFonts w:ascii="Garamond" w:hAnsi="Garamond"/>
          <w:b/>
          <w:color w:val="0070C0"/>
          <w:szCs w:val="22"/>
        </w:rPr>
      </w:pPr>
      <w:r w:rsidRPr="00565F75">
        <w:rPr>
          <w:rFonts w:ascii="Garamond" w:hAnsi="Garamond"/>
          <w:b/>
          <w:color w:val="1F497D" w:themeColor="text2"/>
          <w:szCs w:val="22"/>
        </w:rPr>
        <w:t>Status Report on Implementation of the Monetary Policy Program, Q</w:t>
      </w:r>
      <w:r w:rsidR="00D868A9">
        <w:rPr>
          <w:rFonts w:ascii="Garamond" w:hAnsi="Garamond"/>
          <w:b/>
          <w:color w:val="1F497D" w:themeColor="text2"/>
          <w:szCs w:val="22"/>
        </w:rPr>
        <w:t>3</w:t>
      </w:r>
      <w:r w:rsidRPr="00565F75">
        <w:rPr>
          <w:rFonts w:ascii="Garamond" w:hAnsi="Garamond"/>
          <w:b/>
          <w:color w:val="1F497D" w:themeColor="text2"/>
          <w:szCs w:val="22"/>
        </w:rPr>
        <w:t>, 201</w:t>
      </w:r>
      <w:r w:rsidR="003B11A6">
        <w:rPr>
          <w:rFonts w:ascii="Garamond" w:hAnsi="Garamond"/>
          <w:b/>
          <w:color w:val="1F497D" w:themeColor="text2"/>
          <w:szCs w:val="22"/>
        </w:rPr>
        <w:t>9</w:t>
      </w:r>
    </w:p>
    <w:p w14:paraId="1761CF87" w14:textId="77777777" w:rsidR="00C00B89" w:rsidRPr="00EE5F0F" w:rsidRDefault="00C00B89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1E631E99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targeting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strategy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Central Bank of Armenia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highlights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importance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communicating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general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public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publishing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inter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alia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quarterly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reports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5B99A208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first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section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report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includes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Program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that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provides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directions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horizon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well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other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macroeconomic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indicators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.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These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based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Bank’s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assessment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current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situation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future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assumptions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also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include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impact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operations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2FE9ED91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second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section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includes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status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report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implementation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program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previous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quarter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presents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results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implementation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covers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actual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developments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domestic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economy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3C4B934A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Publishing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assumptions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underlying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makes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transparent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understandable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predictable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considerably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increases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public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confidence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Bank.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believes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that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a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clear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trusted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positively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affects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anchoring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expectations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maintaining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financial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stability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terms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cost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reduction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3A5E5FE4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According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rule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aimed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minimizing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deviations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between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4%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target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.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path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rate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shaped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a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result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projected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directions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published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a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forecast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probability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distribution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chart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for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12-quarter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time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horizon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519177C8" w14:textId="77777777" w:rsidR="00C00B89" w:rsidRPr="00EE5F0F" w:rsidRDefault="00C00B89" w:rsidP="00565F75">
      <w:pPr>
        <w:autoSpaceDE w:val="0"/>
        <w:autoSpaceDN w:val="0"/>
        <w:adjustRightInd w:val="0"/>
        <w:spacing w:after="120" w:line="280" w:lineRule="atLeast"/>
        <w:jc w:val="center"/>
        <w:rPr>
          <w:rFonts w:ascii="Garamond" w:hAnsi="Garamond" w:cs="Sylfaen"/>
          <w:i/>
          <w:sz w:val="22"/>
          <w:szCs w:val="22"/>
          <w:lang w:val="hy-AM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Projections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this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report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based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actual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information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available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r w:rsidR="00D868A9">
        <w:rPr>
          <w:rFonts w:ascii="Garamond" w:hAnsi="Garamond" w:cs="Sylfaen"/>
          <w:i/>
          <w:sz w:val="22"/>
          <w:szCs w:val="22"/>
        </w:rPr>
        <w:t>Dec</w:t>
      </w:r>
      <w:r w:rsidR="00BA615A">
        <w:rPr>
          <w:rFonts w:ascii="Garamond" w:hAnsi="Garamond" w:cs="Sylfaen"/>
          <w:i/>
          <w:sz w:val="22"/>
          <w:szCs w:val="22"/>
        </w:rPr>
        <w:t>ember</w:t>
      </w:r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1</w:t>
      </w:r>
      <w:r w:rsidR="00BA615A">
        <w:rPr>
          <w:rFonts w:ascii="Garamond" w:hAnsi="Garamond" w:cs="Sylfaen"/>
          <w:i/>
          <w:sz w:val="22"/>
          <w:szCs w:val="22"/>
        </w:rPr>
        <w:t>0</w:t>
      </w:r>
      <w:r w:rsidRPr="00EE5F0F">
        <w:rPr>
          <w:rFonts w:ascii="Garamond" w:hAnsi="Garamond" w:cs="Sylfaen"/>
          <w:i/>
          <w:sz w:val="22"/>
          <w:szCs w:val="22"/>
          <w:lang w:val="hy-AM"/>
        </w:rPr>
        <w:t>, 201</w:t>
      </w:r>
      <w:r w:rsidR="00276D6F">
        <w:rPr>
          <w:rFonts w:ascii="Garamond" w:hAnsi="Garamond" w:cs="Sylfaen"/>
          <w:i/>
          <w:sz w:val="22"/>
          <w:szCs w:val="22"/>
        </w:rPr>
        <w:t>9</w:t>
      </w:r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i.e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.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day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refinancing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rate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was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set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,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results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a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survey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conducted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Bank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judgment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made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pursuant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information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future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developments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of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macroeconomic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environment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54AD1836" w14:textId="77777777" w:rsidR="00C00B89" w:rsidRPr="00EE5F0F" w:rsidRDefault="00C00B89" w:rsidP="00565F75">
      <w:pPr>
        <w:autoSpaceDE w:val="0"/>
        <w:autoSpaceDN w:val="0"/>
        <w:adjustRightInd w:val="0"/>
        <w:spacing w:after="120"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All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inflation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reports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have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been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published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date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are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available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on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the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Bank’s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website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r w:rsidR="003B11A6">
        <w:rPr>
          <w:rFonts w:ascii="Garamond" w:hAnsi="Garamond" w:cs="Sylfaen"/>
          <w:i/>
          <w:sz w:val="22"/>
          <w:szCs w:val="22"/>
        </w:rPr>
        <w:t xml:space="preserve">(www.cba.am)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which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also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contains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all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press-releases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and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other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monetary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policy-related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 xml:space="preserve"> </w:t>
      </w:r>
      <w:proofErr w:type="spellStart"/>
      <w:r w:rsidRPr="00EE5F0F">
        <w:rPr>
          <w:rFonts w:ascii="Garamond" w:hAnsi="Garamond" w:cs="Sylfaen"/>
          <w:i/>
          <w:sz w:val="22"/>
          <w:szCs w:val="22"/>
          <w:lang w:val="hy-AM"/>
        </w:rPr>
        <w:t>publications</w:t>
      </w:r>
      <w:proofErr w:type="spellEnd"/>
      <w:r w:rsidRPr="00EE5F0F">
        <w:rPr>
          <w:rFonts w:ascii="Garamond" w:hAnsi="Garamond" w:cs="Sylfaen"/>
          <w:i/>
          <w:sz w:val="22"/>
          <w:szCs w:val="22"/>
          <w:lang w:val="hy-AM"/>
        </w:rPr>
        <w:t>.</w:t>
      </w:r>
    </w:p>
    <w:p w14:paraId="0F86A051" w14:textId="77777777" w:rsidR="00C00B89" w:rsidRDefault="00C00B89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3AC10EF4" w14:textId="77777777" w:rsidR="006629EC" w:rsidRDefault="006629EC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1B678414" w14:textId="77777777" w:rsidR="006629EC" w:rsidRPr="00EE5F0F" w:rsidRDefault="006629EC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tbl>
      <w:tblPr>
        <w:tblW w:w="634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6345"/>
      </w:tblGrid>
      <w:tr w:rsidR="007B1D1B" w:rsidRPr="00565F75" w14:paraId="33EC1733" w14:textId="77777777" w:rsidTr="00525AE5">
        <w:tc>
          <w:tcPr>
            <w:tcW w:w="6345" w:type="dxa"/>
            <w:shd w:val="clear" w:color="auto" w:fill="D9D9D9"/>
          </w:tcPr>
          <w:p w14:paraId="6D42BA25" w14:textId="77777777" w:rsidR="007B1D1B" w:rsidRPr="00565F75" w:rsidRDefault="007B1D1B" w:rsidP="00525AE5">
            <w:pPr>
              <w:pStyle w:val="Heading1"/>
              <w:spacing w:before="60" w:after="60" w:line="240" w:lineRule="atLeast"/>
              <w:jc w:val="center"/>
              <w:rPr>
                <w:rFonts w:ascii="Garamond" w:hAnsi="Garamond"/>
                <w:bCs/>
                <w:color w:val="auto"/>
                <w:spacing w:val="40"/>
                <w:w w:val="150"/>
                <w:kern w:val="22"/>
                <w:sz w:val="20"/>
                <w:szCs w:val="20"/>
                <w:u w:val="none"/>
              </w:rPr>
            </w:pPr>
            <w:r w:rsidRPr="00565F75">
              <w:rPr>
                <w:rFonts w:ascii="Garamond" w:hAnsi="Garamond"/>
                <w:bCs/>
                <w:color w:val="1F497D" w:themeColor="text2"/>
                <w:spacing w:val="40"/>
                <w:w w:val="150"/>
                <w:kern w:val="22"/>
                <w:sz w:val="20"/>
                <w:szCs w:val="20"/>
                <w:u w:val="none"/>
                <w:lang w:val="en-US"/>
              </w:rPr>
              <w:t>Table of Contents</w:t>
            </w:r>
          </w:p>
        </w:tc>
      </w:tr>
    </w:tbl>
    <w:p w14:paraId="0342DFD0" w14:textId="77777777" w:rsidR="007B1D1B" w:rsidRPr="00565F75" w:rsidRDefault="007B1D1B" w:rsidP="007B1D1B">
      <w:pPr>
        <w:pStyle w:val="Header"/>
        <w:autoSpaceDE w:val="0"/>
        <w:autoSpaceDN w:val="0"/>
        <w:rPr>
          <w:rFonts w:ascii="Garamond" w:hAnsi="Garamond"/>
          <w:color w:val="FF0000"/>
          <w:sz w:val="20"/>
          <w:szCs w:val="20"/>
        </w:rPr>
      </w:pPr>
      <w:r w:rsidRPr="00565F75">
        <w:rPr>
          <w:rFonts w:ascii="Garamond" w:hAnsi="Garamond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24EC1" wp14:editId="490433EE">
                <wp:simplePos x="0" y="0"/>
                <wp:positionH relativeFrom="column">
                  <wp:posOffset>3548431</wp:posOffset>
                </wp:positionH>
                <wp:positionV relativeFrom="paragraph">
                  <wp:posOffset>8609965</wp:posOffset>
                </wp:positionV>
                <wp:extent cx="747395" cy="359994"/>
                <wp:effectExtent l="0" t="0" r="0" b="2540"/>
                <wp:wrapNone/>
                <wp:docPr id="4134" name="Text Box 3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359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3BD2" w14:textId="77777777" w:rsidR="002335C7" w:rsidRDefault="002335C7" w:rsidP="007B1D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24EC1" id="_x0000_t202" coordsize="21600,21600" o:spt="202" path="m,l,21600r21600,l21600,xe">
                <v:stroke joinstyle="miter"/>
                <v:path gradientshapeok="t" o:connecttype="rect"/>
              </v:shapetype>
              <v:shape id="Text Box 3592" o:spid="_x0000_s1026" type="#_x0000_t202" style="position:absolute;margin-left:279.4pt;margin-top:677.95pt;width:58.8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" stroked="f">
                <v:textbox>
                  <w:txbxContent>
                    <w:p w14:paraId="5D643BD2" w14:textId="77777777" w:rsidR="002335C7" w:rsidRDefault="002335C7" w:rsidP="007B1D1B"/>
                  </w:txbxContent>
                </v:textbox>
              </v:shape>
            </w:pict>
          </mc:Fallback>
        </mc:AlternateContent>
      </w:r>
    </w:p>
    <w:tbl>
      <w:tblPr>
        <w:tblW w:w="634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5877"/>
        <w:gridCol w:w="468"/>
      </w:tblGrid>
      <w:tr w:rsidR="007B1D1B" w:rsidRPr="00565F75" w14:paraId="4C69F2E0" w14:textId="77777777" w:rsidTr="00525AE5">
        <w:tc>
          <w:tcPr>
            <w:tcW w:w="5877" w:type="dxa"/>
            <w:shd w:val="pct20" w:color="000000" w:fill="FFFFFF"/>
          </w:tcPr>
          <w:p w14:paraId="3790F1B3" w14:textId="77777777" w:rsidR="007B1D1B" w:rsidRPr="00565F75" w:rsidRDefault="007B1D1B" w:rsidP="00525AE5">
            <w:pPr>
              <w:spacing w:before="50" w:after="50"/>
              <w:ind w:left="284" w:right="-113" w:hanging="284"/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1. Executive summary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4E953047" w14:textId="77777777" w:rsidR="007B1D1B" w:rsidRPr="00565F75" w:rsidRDefault="007B1D1B" w:rsidP="00525AE5">
            <w:pPr>
              <w:spacing w:before="50" w:after="50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71495DF5" w14:textId="77777777" w:rsidTr="00525AE5">
        <w:tc>
          <w:tcPr>
            <w:tcW w:w="5877" w:type="dxa"/>
            <w:shd w:val="pct5" w:color="000000" w:fill="FFFFFF"/>
          </w:tcPr>
          <w:p w14:paraId="17976879" w14:textId="77777777" w:rsidR="007B1D1B" w:rsidRPr="00565F75" w:rsidRDefault="007B1D1B" w:rsidP="00525AE5">
            <w:pPr>
              <w:spacing w:before="50" w:after="50"/>
              <w:ind w:right="-151"/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color w:val="1F497D" w:themeColor="text2"/>
                <w:sz w:val="20"/>
                <w:szCs w:val="20"/>
              </w:rPr>
              <w:t>2. Forecast, forecast changes and risks</w:t>
            </w:r>
            <w:r w:rsidRPr="00565F75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268FAF6B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681847BF" w14:textId="77777777" w:rsidTr="00525AE5">
        <w:tc>
          <w:tcPr>
            <w:tcW w:w="5877" w:type="dxa"/>
            <w:shd w:val="pct20" w:color="000000" w:fill="FFFFFF"/>
          </w:tcPr>
          <w:p w14:paraId="26A661CA" w14:textId="77777777" w:rsidR="007B1D1B" w:rsidRPr="00565F75" w:rsidRDefault="007B1D1B" w:rsidP="00525AE5">
            <w:pPr>
              <w:spacing w:before="50" w:after="50"/>
              <w:ind w:left="431" w:right="-113" w:hanging="318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i/>
                <w:color w:val="1F497D" w:themeColor="text2"/>
                <w:sz w:val="20"/>
                <w:szCs w:val="20"/>
              </w:rPr>
              <w:t>2.1. External environment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58023781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39204D6D" w14:textId="77777777" w:rsidTr="00525AE5">
        <w:tc>
          <w:tcPr>
            <w:tcW w:w="5877" w:type="dxa"/>
            <w:shd w:val="pct20" w:color="000000" w:fill="FFFFFF"/>
          </w:tcPr>
          <w:p w14:paraId="06855C35" w14:textId="77777777" w:rsidR="007B1D1B" w:rsidRPr="00565F75" w:rsidRDefault="007B1D1B" w:rsidP="00525AE5">
            <w:pPr>
              <w:spacing w:before="50" w:after="50"/>
              <w:ind w:left="431" w:right="-113" w:hanging="318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i/>
                <w:color w:val="1F497D" w:themeColor="text2"/>
                <w:sz w:val="20"/>
                <w:szCs w:val="20"/>
              </w:rPr>
              <w:t>2.2. Forecasts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452F0D5C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5E1658C2" w14:textId="77777777" w:rsidTr="00525AE5">
        <w:tc>
          <w:tcPr>
            <w:tcW w:w="5877" w:type="dxa"/>
            <w:shd w:val="pct5" w:color="000000" w:fill="FFFFFF"/>
          </w:tcPr>
          <w:p w14:paraId="2747219F" w14:textId="77777777" w:rsidR="007B1D1B" w:rsidRPr="00565F75" w:rsidRDefault="007B1D1B" w:rsidP="00525AE5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2.2.1. Inflation and monetary policy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6EE18E20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0841AFFE" w14:textId="77777777" w:rsidTr="00525AE5">
        <w:tc>
          <w:tcPr>
            <w:tcW w:w="5877" w:type="dxa"/>
            <w:shd w:val="pct20" w:color="000000" w:fill="FFFFFF"/>
          </w:tcPr>
          <w:p w14:paraId="1A58037D" w14:textId="77777777" w:rsidR="007B1D1B" w:rsidRPr="00565F75" w:rsidRDefault="007B1D1B" w:rsidP="00525AE5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2.2.2. Economic activity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3D8A934C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32A08913" w14:textId="77777777" w:rsidTr="00525AE5">
        <w:tc>
          <w:tcPr>
            <w:tcW w:w="5877" w:type="dxa"/>
            <w:shd w:val="pct5" w:color="000000" w:fill="FFFFFF"/>
          </w:tcPr>
          <w:p w14:paraId="5B094D88" w14:textId="77777777" w:rsidR="007B1D1B" w:rsidRPr="00565F75" w:rsidRDefault="00CE6E47" w:rsidP="009F526A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2.2.3. Comparison with the previous forecast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0EF04555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6E141F43" w14:textId="77777777" w:rsidTr="00525AE5">
        <w:tc>
          <w:tcPr>
            <w:tcW w:w="5877" w:type="dxa"/>
            <w:shd w:val="pct20" w:color="000000" w:fill="FFFFFF"/>
          </w:tcPr>
          <w:p w14:paraId="53B76469" w14:textId="77777777" w:rsidR="007B1D1B" w:rsidRPr="00565F75" w:rsidRDefault="00CE6E47" w:rsidP="00525AE5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2.2.4. Main assumptions and risks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3D93E710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443FA9C8" w14:textId="77777777" w:rsidTr="00525AE5">
        <w:tc>
          <w:tcPr>
            <w:tcW w:w="5877" w:type="dxa"/>
            <w:shd w:val="pct20" w:color="000000" w:fill="FFFFFF"/>
          </w:tcPr>
          <w:p w14:paraId="15002E00" w14:textId="77777777" w:rsidR="007B1D1B" w:rsidRPr="003D300F" w:rsidRDefault="00CE6E47" w:rsidP="00D868A9">
            <w:pPr>
              <w:pStyle w:val="Heading5"/>
              <w:spacing w:before="50" w:after="50"/>
              <w:ind w:left="1204" w:right="-113" w:hanging="920"/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Box </w:t>
            </w:r>
            <w:r w:rsidR="00D868A9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1</w:t>
            </w: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: The results of survey on the expecta</w:t>
            </w:r>
            <w:r w:rsidR="003D300F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tions by the households and the </w:t>
            </w: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financial system</w:t>
            </w:r>
            <w:r w:rsidR="00E91FF3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…</w:t>
            </w:r>
            <w:r w:rsidRPr="00565F75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42F175C4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D868A9" w:rsidRPr="00565F75" w14:paraId="042579D2" w14:textId="77777777" w:rsidTr="00525AE5">
        <w:tc>
          <w:tcPr>
            <w:tcW w:w="5877" w:type="dxa"/>
            <w:shd w:val="pct20" w:color="000000" w:fill="FFFFFF"/>
          </w:tcPr>
          <w:p w14:paraId="596145BB" w14:textId="77777777" w:rsidR="00D868A9" w:rsidRPr="00565F75" w:rsidRDefault="00D868A9" w:rsidP="00D868A9">
            <w:pPr>
              <w:pStyle w:val="Heading5"/>
              <w:spacing w:before="50" w:after="50"/>
              <w:ind w:left="1204" w:right="-113" w:hanging="920"/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Box 2: The impact of minimum w</w:t>
            </w:r>
            <w:r w:rsidRPr="00D868A9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age </w:t>
            </w: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increase on i</w:t>
            </w:r>
            <w:r w:rsidRPr="00D868A9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nflation</w:t>
            </w:r>
            <w:r w:rsidRPr="00565F75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</w:t>
            </w:r>
            <w:r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03BCFC3E" w14:textId="77777777" w:rsidR="00D868A9" w:rsidRPr="00565F75" w:rsidRDefault="00D868A9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D868A9" w:rsidRPr="00565F75" w14:paraId="345541CE" w14:textId="77777777" w:rsidTr="00525AE5">
        <w:tc>
          <w:tcPr>
            <w:tcW w:w="5877" w:type="dxa"/>
            <w:shd w:val="pct20" w:color="000000" w:fill="FFFFFF"/>
          </w:tcPr>
          <w:p w14:paraId="2CBF0F9C" w14:textId="77777777" w:rsidR="00D868A9" w:rsidRDefault="00D868A9" w:rsidP="00D868A9">
            <w:pPr>
              <w:pStyle w:val="Heading5"/>
              <w:spacing w:before="50" w:after="50"/>
              <w:ind w:left="1204" w:right="-113" w:hanging="920"/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Box 3: The</w:t>
            </w:r>
            <w:r w:rsidR="001D2F24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 impact of </w:t>
            </w: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tax code </w:t>
            </w:r>
            <w:r w:rsidR="001D2F24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changes </w:t>
            </w: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on inflation</w:t>
            </w:r>
            <w:r w:rsidR="001D2F24" w:rsidRPr="00565F75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</w:t>
            </w:r>
            <w:r w:rsidR="001D2F24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..............................</w:t>
            </w: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38C68E7E" w14:textId="77777777" w:rsidR="00D868A9" w:rsidRPr="00565F75" w:rsidRDefault="00D868A9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91FF3" w:rsidRPr="00565F75" w14:paraId="6C1B60E1" w14:textId="77777777" w:rsidTr="00525AE5">
        <w:tc>
          <w:tcPr>
            <w:tcW w:w="5877" w:type="dxa"/>
            <w:shd w:val="pct20" w:color="000000" w:fill="FFFFFF"/>
          </w:tcPr>
          <w:p w14:paraId="45CA40FF" w14:textId="77777777" w:rsidR="00E91FF3" w:rsidRPr="00565F75" w:rsidRDefault="00D868A9" w:rsidP="001D2F24">
            <w:pPr>
              <w:pStyle w:val="Heading5"/>
              <w:spacing w:before="50" w:after="50"/>
              <w:ind w:left="1204" w:right="-113" w:hanging="920"/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Box 4</w:t>
            </w:r>
            <w:r w:rsidR="00E91FF3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: </w:t>
            </w:r>
            <w:r w:rsidR="001D2F24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The n</w:t>
            </w:r>
            <w:r w:rsidR="001D2F24" w:rsidRPr="001D2F24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eutral interest rate</w:t>
            </w:r>
            <w:r w:rsidR="001D2F24" w:rsidRPr="00565F75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</w:t>
            </w:r>
            <w:r w:rsidR="001D2F24">
              <w:rPr>
                <w:rFonts w:ascii="Garamond" w:hAnsi="Garamond" w:cs="Sylfaen"/>
                <w:color w:val="1F497D" w:themeColor="text2"/>
                <w:sz w:val="20"/>
                <w:szCs w:val="20"/>
              </w:rPr>
              <w:t>..............................</w:t>
            </w:r>
            <w:r w:rsidR="0057624E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7B2C4336" w14:textId="77777777" w:rsidR="00E91FF3" w:rsidRPr="00565F75" w:rsidRDefault="00E91FF3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7B1D1B" w:rsidRPr="00565F75" w14:paraId="193779D3" w14:textId="77777777" w:rsidTr="00525AE5">
        <w:tc>
          <w:tcPr>
            <w:tcW w:w="5877" w:type="dxa"/>
            <w:shd w:val="pct5" w:color="000000" w:fill="FFFFFF"/>
          </w:tcPr>
          <w:p w14:paraId="71609816" w14:textId="77777777" w:rsidR="007B1D1B" w:rsidRPr="00565F75" w:rsidRDefault="00CE6E47" w:rsidP="00BA615A">
            <w:pPr>
              <w:spacing w:before="50" w:after="50"/>
              <w:ind w:left="284" w:right="-113" w:hanging="284"/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 xml:space="preserve">   </w:t>
            </w:r>
            <w:r w:rsidRPr="00565F75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3. Actual developments in Q</w:t>
            </w:r>
            <w:r w:rsidR="00BA615A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2</w:t>
            </w:r>
            <w:r w:rsidRPr="00565F75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, 201</w:t>
            </w:r>
            <w:r w:rsidR="00E91FF3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9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21B78A0B" w14:textId="77777777" w:rsidR="007B1D1B" w:rsidRPr="00565F75" w:rsidRDefault="007B1D1B" w:rsidP="00525AE5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54E54881" w14:textId="77777777" w:rsidTr="00525AE5">
        <w:tc>
          <w:tcPr>
            <w:tcW w:w="5877" w:type="dxa"/>
            <w:shd w:val="clear" w:color="auto" w:fill="CCCCCC"/>
          </w:tcPr>
          <w:p w14:paraId="0049657A" w14:textId="77777777" w:rsidR="003D300F" w:rsidRPr="00565F75" w:rsidRDefault="003D300F" w:rsidP="003D300F">
            <w:pPr>
              <w:spacing w:before="50" w:after="50"/>
              <w:ind w:left="431" w:right="-113" w:hanging="318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i/>
                <w:color w:val="1F497D" w:themeColor="text2"/>
                <w:sz w:val="20"/>
                <w:szCs w:val="20"/>
              </w:rPr>
              <w:t>3.1. Inflation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1AC6BA49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69744EAB" w14:textId="77777777" w:rsidTr="00525AE5">
        <w:tc>
          <w:tcPr>
            <w:tcW w:w="5877" w:type="dxa"/>
            <w:shd w:val="pct5" w:color="000000" w:fill="FFFFFF"/>
          </w:tcPr>
          <w:p w14:paraId="7B1B57BF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3.1.1. Fulfilment of the inflation target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63024740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01471257" w14:textId="77777777" w:rsidTr="00525AE5">
        <w:tc>
          <w:tcPr>
            <w:tcW w:w="5877" w:type="dxa"/>
            <w:shd w:val="clear" w:color="auto" w:fill="CCCCCC"/>
          </w:tcPr>
          <w:p w14:paraId="2DFAEFF5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3.1.2. Prices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0ED44AD2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310CC84D" w14:textId="77777777" w:rsidTr="00525AE5">
        <w:tc>
          <w:tcPr>
            <w:tcW w:w="5877" w:type="dxa"/>
            <w:shd w:val="pct20" w:color="000000" w:fill="FFFFFF"/>
          </w:tcPr>
          <w:p w14:paraId="1E9741FD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i/>
                <w:color w:val="1F497D" w:themeColor="text2"/>
                <w:sz w:val="20"/>
                <w:szCs w:val="20"/>
              </w:rPr>
              <w:t>3.2. Economic developments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2BCB4B19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6BFA80F8" w14:textId="77777777" w:rsidTr="00525AE5">
        <w:tc>
          <w:tcPr>
            <w:tcW w:w="5877" w:type="dxa"/>
            <w:shd w:val="pct5" w:color="000000" w:fill="FFFFFF"/>
          </w:tcPr>
          <w:p w14:paraId="526CF55F" w14:textId="77777777" w:rsidR="003D300F" w:rsidRPr="00565F75" w:rsidRDefault="003D300F" w:rsidP="003D300F">
            <w:pPr>
              <w:spacing w:before="50" w:after="50"/>
              <w:ind w:left="431" w:right="-113" w:hanging="318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 w:cs="Sylfaen"/>
                <w:bCs/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3.2.1. Economy position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390E12F8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26626610" w14:textId="77777777" w:rsidTr="00525AE5">
        <w:tc>
          <w:tcPr>
            <w:tcW w:w="5877" w:type="dxa"/>
            <w:shd w:val="pct5" w:color="000000" w:fill="FFFFFF"/>
          </w:tcPr>
          <w:p w14:paraId="043291E0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 xml:space="preserve">3.2.2. The expenditures aspect of the economy 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</w:t>
            </w:r>
            <w:r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2312E185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5563113B" w14:textId="77777777" w:rsidTr="00525AE5">
        <w:tc>
          <w:tcPr>
            <w:tcW w:w="5877" w:type="dxa"/>
            <w:shd w:val="pct20" w:color="000000" w:fill="FFFFFF"/>
          </w:tcPr>
          <w:p w14:paraId="27F236E0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3.2.3. The production aspect of the economy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122FF8A8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7EC7090C" w14:textId="77777777" w:rsidTr="00525AE5">
        <w:tc>
          <w:tcPr>
            <w:tcW w:w="5877" w:type="dxa"/>
            <w:shd w:val="pct5" w:color="000000" w:fill="FFFFFF"/>
          </w:tcPr>
          <w:p w14:paraId="5498FA38" w14:textId="77777777" w:rsidR="003D300F" w:rsidRPr="00565F75" w:rsidRDefault="003D300F" w:rsidP="003D300F">
            <w:pPr>
              <w:spacing w:before="50" w:after="50"/>
              <w:ind w:left="431" w:right="-113" w:hanging="147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i/>
                <w:color w:val="1F497D" w:themeColor="text2"/>
                <w:sz w:val="20"/>
                <w:szCs w:val="20"/>
              </w:rPr>
              <w:t>3.2.4. Labor market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…..........................................................................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0BC424DE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48B37FC8" w14:textId="77777777" w:rsidTr="00525AE5">
        <w:tc>
          <w:tcPr>
            <w:tcW w:w="5877" w:type="dxa"/>
            <w:shd w:val="pct20" w:color="000000" w:fill="FFFFFF"/>
          </w:tcPr>
          <w:p w14:paraId="34B31E9A" w14:textId="77777777" w:rsidR="003D300F" w:rsidRPr="00565F75" w:rsidRDefault="003D300F" w:rsidP="003D300F">
            <w:pPr>
              <w:spacing w:before="50" w:after="50"/>
              <w:ind w:left="431" w:right="-113" w:hanging="318"/>
              <w:rPr>
                <w:rFonts w:ascii="Garamond" w:hAnsi="Garamond"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 w:cs="Sylfaen"/>
                <w:b/>
                <w:i/>
                <w:color w:val="1F497D" w:themeColor="text2"/>
                <w:sz w:val="20"/>
                <w:szCs w:val="20"/>
              </w:rPr>
              <w:t>3.3. Financial market developments</w:t>
            </w:r>
            <w:r w:rsidRPr="00565F75">
              <w:rPr>
                <w:rFonts w:ascii="Garamond" w:hAnsi="Garamond"/>
                <w:bCs/>
                <w:color w:val="1F497D" w:themeColor="text2"/>
                <w:sz w:val="20"/>
                <w:szCs w:val="20"/>
              </w:rPr>
              <w:t>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56A9BC8E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966019" w:rsidRPr="00565F75" w14:paraId="640B4868" w14:textId="77777777" w:rsidTr="00525AE5">
        <w:tc>
          <w:tcPr>
            <w:tcW w:w="5877" w:type="dxa"/>
            <w:shd w:val="pct20" w:color="000000" w:fill="FFFFFF"/>
          </w:tcPr>
          <w:p w14:paraId="293A0096" w14:textId="77777777" w:rsidR="00966019" w:rsidRPr="00966019" w:rsidRDefault="00966019" w:rsidP="002335C7">
            <w:pPr>
              <w:spacing w:before="50" w:after="50"/>
              <w:ind w:left="431" w:right="-113" w:hanging="318"/>
              <w:rPr>
                <w:rFonts w:ascii="Garamond" w:hAnsi="Garamond" w:cs="Sylfaen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 w:cs="Sylfaen"/>
                <w:b/>
                <w:color w:val="1F497D" w:themeColor="text2"/>
                <w:sz w:val="20"/>
                <w:szCs w:val="20"/>
              </w:rPr>
              <w:t>4. Summ</w:t>
            </w:r>
            <w:r w:rsidR="002335C7">
              <w:rPr>
                <w:rFonts w:ascii="Garamond" w:hAnsi="Garamond" w:cs="Sylfaen"/>
                <w:b/>
                <w:color w:val="1F497D" w:themeColor="text2"/>
                <w:sz w:val="20"/>
                <w:szCs w:val="20"/>
              </w:rPr>
              <w:t>ing-up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313547AB" w14:textId="77777777" w:rsidR="00966019" w:rsidRPr="00565F75" w:rsidRDefault="00966019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0EBE2DBC" w14:textId="77777777" w:rsidTr="00525AE5">
        <w:tc>
          <w:tcPr>
            <w:tcW w:w="5877" w:type="dxa"/>
            <w:shd w:val="pct20" w:color="000000" w:fill="FFFFFF"/>
          </w:tcPr>
          <w:p w14:paraId="1FE59D18" w14:textId="77777777" w:rsidR="003D300F" w:rsidRPr="00565F75" w:rsidRDefault="003D300F" w:rsidP="003D300F">
            <w:pPr>
              <w:spacing w:before="50" w:after="50"/>
              <w:ind w:right="-113"/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 xml:space="preserve">    </w:t>
            </w:r>
            <w:r w:rsidRPr="00565F75">
              <w:rPr>
                <w:rFonts w:ascii="Garamond" w:hAnsi="Garamond"/>
                <w:b/>
                <w:color w:val="1F497D" w:themeColor="text2"/>
                <w:sz w:val="20"/>
                <w:szCs w:val="20"/>
              </w:rPr>
              <w:t>Annex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46C856FE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127D2B61" w14:textId="77777777" w:rsidTr="00525AE5">
        <w:tc>
          <w:tcPr>
            <w:tcW w:w="5877" w:type="dxa"/>
            <w:shd w:val="pct5" w:color="000000" w:fill="FFFFFF"/>
          </w:tcPr>
          <w:p w14:paraId="30ED4882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Minutes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...................................................................................................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1A037A72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1F21CEAA" w14:textId="77777777" w:rsidTr="00525AE5">
        <w:tc>
          <w:tcPr>
            <w:tcW w:w="5877" w:type="dxa"/>
            <w:shd w:val="pct20" w:color="000000" w:fill="FFFFFF"/>
          </w:tcPr>
          <w:p w14:paraId="66F5D20C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The CBA Board Decision on interest rates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7F87FDD5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0E2D0AA5" w14:textId="77777777" w:rsidTr="00525AE5">
        <w:tc>
          <w:tcPr>
            <w:tcW w:w="5877" w:type="dxa"/>
            <w:shd w:val="pct5" w:color="000000" w:fill="FFFFFF"/>
          </w:tcPr>
          <w:p w14:paraId="6F021404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Press release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3DC6C980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6B742F13" w14:textId="77777777" w:rsidTr="00525AE5">
        <w:tc>
          <w:tcPr>
            <w:tcW w:w="5877" w:type="dxa"/>
            <w:shd w:val="pct20" w:color="000000" w:fill="FFFFFF"/>
          </w:tcPr>
          <w:p w14:paraId="70FE18EE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Main macroeconomic indicators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5F0F5D1E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1FA45063" w14:textId="77777777" w:rsidTr="00525AE5">
        <w:tc>
          <w:tcPr>
            <w:tcW w:w="5877" w:type="dxa"/>
            <w:shd w:val="pct5" w:color="000000" w:fill="FFFFFF"/>
          </w:tcPr>
          <w:p w14:paraId="633ECA4F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 w:rsidRPr="00565F75"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Charts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.....................................................................................................</w:t>
            </w:r>
          </w:p>
        </w:tc>
        <w:tc>
          <w:tcPr>
            <w:tcW w:w="468" w:type="dxa"/>
            <w:shd w:val="pct5" w:color="000000" w:fill="FFFFFF"/>
            <w:vAlign w:val="bottom"/>
          </w:tcPr>
          <w:p w14:paraId="7AE433CE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3D300F" w:rsidRPr="00565F75" w14:paraId="19BF5321" w14:textId="77777777" w:rsidTr="00525AE5">
        <w:tc>
          <w:tcPr>
            <w:tcW w:w="5877" w:type="dxa"/>
            <w:shd w:val="pct20" w:color="000000" w:fill="FFFFFF"/>
          </w:tcPr>
          <w:p w14:paraId="7DACA4D4" w14:textId="77777777" w:rsidR="003D300F" w:rsidRPr="00565F75" w:rsidRDefault="003D300F" w:rsidP="003D300F">
            <w:pPr>
              <w:spacing w:before="50" w:after="50"/>
              <w:ind w:left="284" w:right="-113" w:hanging="142"/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color w:val="1F497D" w:themeColor="text2"/>
                <w:sz w:val="20"/>
                <w:szCs w:val="20"/>
              </w:rPr>
              <w:t>Tables</w:t>
            </w:r>
            <w:r w:rsidRPr="00565F75">
              <w:rPr>
                <w:rFonts w:ascii="Garamond" w:hAnsi="Garamond"/>
                <w:bCs/>
                <w:i/>
                <w:color w:val="1F497D" w:themeColor="text2"/>
                <w:sz w:val="20"/>
                <w:szCs w:val="20"/>
              </w:rPr>
              <w:t>.....................................................................................................</w:t>
            </w:r>
          </w:p>
        </w:tc>
        <w:tc>
          <w:tcPr>
            <w:tcW w:w="468" w:type="dxa"/>
            <w:shd w:val="pct20" w:color="000000" w:fill="FFFFFF"/>
            <w:vAlign w:val="bottom"/>
          </w:tcPr>
          <w:p w14:paraId="633C4210" w14:textId="77777777" w:rsidR="003D300F" w:rsidRPr="00565F75" w:rsidRDefault="003D300F" w:rsidP="003D300F">
            <w:pPr>
              <w:spacing w:before="50" w:after="50"/>
              <w:ind w:hanging="284"/>
              <w:jc w:val="right"/>
              <w:rPr>
                <w:rFonts w:ascii="Garamond" w:hAnsi="Garamond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</w:tbl>
    <w:p w14:paraId="5BE4E15E" w14:textId="77777777" w:rsidR="007B1D1B" w:rsidRPr="00EE5F0F" w:rsidRDefault="007B1D1B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76A6BED1" w14:textId="77777777" w:rsidR="005F748E" w:rsidRPr="00EE5F0F" w:rsidRDefault="005F748E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75F358CD" w14:textId="77777777" w:rsidR="00497EA1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1. EXECUTIVE SUMMARY</w:t>
      </w:r>
    </w:p>
    <w:p w14:paraId="13A29A80" w14:textId="77777777" w:rsidR="00FE5DCF" w:rsidRPr="00497EA1" w:rsidRDefault="00497EA1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</w:t>
      </w:r>
      <w:r w:rsidRPr="00497EA1">
        <w:rPr>
          <w:rFonts w:ascii="Garamond" w:hAnsi="Garamond"/>
          <w:b/>
          <w:sz w:val="22"/>
          <w:szCs w:val="22"/>
        </w:rPr>
        <w:t>he</w:t>
      </w:r>
      <w:r>
        <w:rPr>
          <w:rFonts w:ascii="Garamond" w:hAnsi="Garamond"/>
          <w:b/>
          <w:sz w:val="22"/>
          <w:szCs w:val="22"/>
        </w:rPr>
        <w:t xml:space="preserve"> </w:t>
      </w:r>
      <w:r w:rsidR="001D2F24">
        <w:rPr>
          <w:rFonts w:ascii="Garamond" w:hAnsi="Garamond"/>
          <w:b/>
          <w:sz w:val="22"/>
          <w:szCs w:val="22"/>
        </w:rPr>
        <w:t xml:space="preserve">low </w:t>
      </w:r>
      <w:r w:rsidRPr="00497EA1">
        <w:rPr>
          <w:rFonts w:ascii="Garamond" w:hAnsi="Garamond"/>
          <w:b/>
          <w:sz w:val="22"/>
          <w:szCs w:val="22"/>
        </w:rPr>
        <w:t>inflation environment</w:t>
      </w:r>
      <w:r>
        <w:rPr>
          <w:rFonts w:ascii="Garamond" w:hAnsi="Garamond"/>
          <w:b/>
          <w:sz w:val="22"/>
          <w:szCs w:val="22"/>
        </w:rPr>
        <w:t xml:space="preserve"> </w:t>
      </w:r>
      <w:r w:rsidR="001D2F24">
        <w:rPr>
          <w:rFonts w:ascii="Garamond" w:hAnsi="Garamond"/>
          <w:b/>
          <w:sz w:val="22"/>
          <w:szCs w:val="22"/>
        </w:rPr>
        <w:t>persisted over t</w:t>
      </w:r>
      <w:r>
        <w:rPr>
          <w:rFonts w:ascii="Garamond" w:hAnsi="Garamond"/>
          <w:b/>
          <w:sz w:val="22"/>
          <w:szCs w:val="22"/>
        </w:rPr>
        <w:t xml:space="preserve">he </w:t>
      </w:r>
      <w:r w:rsidR="001D2F24">
        <w:rPr>
          <w:rFonts w:ascii="Garamond" w:hAnsi="Garamond"/>
          <w:b/>
          <w:sz w:val="22"/>
          <w:szCs w:val="22"/>
        </w:rPr>
        <w:t>fourth</w:t>
      </w:r>
      <w:r>
        <w:rPr>
          <w:rFonts w:ascii="Garamond" w:hAnsi="Garamond"/>
          <w:b/>
          <w:sz w:val="22"/>
          <w:szCs w:val="22"/>
        </w:rPr>
        <w:t xml:space="preserve"> quarter of 2019</w:t>
      </w:r>
      <w:r w:rsidR="001D2F24">
        <w:rPr>
          <w:rFonts w:ascii="Garamond" w:hAnsi="Garamond"/>
          <w:b/>
          <w:sz w:val="22"/>
          <w:szCs w:val="22"/>
        </w:rPr>
        <w:t xml:space="preserve">, and </w:t>
      </w:r>
      <w:r>
        <w:rPr>
          <w:rFonts w:ascii="Garamond" w:hAnsi="Garamond"/>
          <w:b/>
          <w:sz w:val="22"/>
          <w:szCs w:val="22"/>
        </w:rPr>
        <w:t>the Central Bank of the Republic of Armenia (</w:t>
      </w:r>
      <w:r w:rsidR="000A5714">
        <w:rPr>
          <w:rFonts w:ascii="Garamond" w:hAnsi="Garamond"/>
          <w:b/>
          <w:sz w:val="22"/>
          <w:szCs w:val="22"/>
        </w:rPr>
        <w:t xml:space="preserve">the </w:t>
      </w:r>
      <w:r>
        <w:rPr>
          <w:rFonts w:ascii="Garamond" w:hAnsi="Garamond"/>
          <w:b/>
          <w:sz w:val="22"/>
          <w:szCs w:val="22"/>
        </w:rPr>
        <w:t xml:space="preserve">Central Bank) </w:t>
      </w:r>
      <w:r w:rsidRPr="00497EA1">
        <w:rPr>
          <w:rFonts w:ascii="Garamond" w:hAnsi="Garamond"/>
          <w:b/>
          <w:sz w:val="22"/>
          <w:szCs w:val="22"/>
        </w:rPr>
        <w:t xml:space="preserve">continued </w:t>
      </w:r>
      <w:r w:rsidR="00B52D1E">
        <w:rPr>
          <w:rFonts w:ascii="Garamond" w:hAnsi="Garamond"/>
          <w:b/>
          <w:sz w:val="22"/>
          <w:szCs w:val="22"/>
        </w:rPr>
        <w:t xml:space="preserve">carrying out </w:t>
      </w:r>
      <w:r w:rsidR="00A86B6F">
        <w:rPr>
          <w:rFonts w:ascii="Garamond" w:hAnsi="Garamond"/>
          <w:b/>
          <w:sz w:val="22"/>
          <w:szCs w:val="22"/>
        </w:rPr>
        <w:t xml:space="preserve">an expansionary monetary policy.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6"/>
      </w:tblGrid>
      <w:tr w:rsidR="00A86B6F" w:rsidRPr="00AB24C1" w14:paraId="0DAC6DF2" w14:textId="77777777" w:rsidTr="001D2F24">
        <w:trPr>
          <w:trHeight w:val="881"/>
        </w:trPr>
        <w:tc>
          <w:tcPr>
            <w:tcW w:w="6036" w:type="dxa"/>
          </w:tcPr>
          <w:p w14:paraId="600DD4E0" w14:textId="77777777" w:rsidR="00A86B6F" w:rsidRPr="0031200A" w:rsidRDefault="00A86B6F" w:rsidP="001D2F24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The </w:t>
            </w:r>
            <w:r w:rsidRPr="0031200A">
              <w:rPr>
                <w:rFonts w:ascii="Garamond" w:hAnsi="Garamond"/>
                <w:color w:val="0070C0"/>
                <w:sz w:val="20"/>
                <w:szCs w:val="20"/>
              </w:rPr>
              <w:t xml:space="preserve">inflation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environment remained low in the 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 xml:space="preserve">fourth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>quarter of 2019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 xml:space="preserve">, and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the Central Bank </w:t>
            </w:r>
            <w:r w:rsidR="008D1D04">
              <w:rPr>
                <w:rFonts w:ascii="Garamond" w:hAnsi="Garamond"/>
                <w:color w:val="0070C0"/>
                <w:sz w:val="20"/>
                <w:szCs w:val="20"/>
              </w:rPr>
              <w:t>further pursued an expansionary monetary policy</w:t>
            </w:r>
            <w:r w:rsidRPr="0031200A">
              <w:rPr>
                <w:rFonts w:ascii="Garamond" w:hAnsi="Garamond"/>
                <w:color w:val="0070C0"/>
                <w:sz w:val="20"/>
                <w:szCs w:val="20"/>
              </w:rPr>
              <w:t xml:space="preserve">. 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 xml:space="preserve">The </w:t>
            </w:r>
            <w:r w:rsidR="001D2F24" w:rsidRPr="001D2F24">
              <w:rPr>
                <w:rFonts w:ascii="Garamond" w:hAnsi="Garamond"/>
                <w:color w:val="0070C0"/>
                <w:sz w:val="20"/>
                <w:szCs w:val="20"/>
              </w:rPr>
              <w:t xml:space="preserve">12-month inflation will still 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 xml:space="preserve">be running </w:t>
            </w:r>
            <w:r w:rsidR="001D2F24" w:rsidRPr="001D2F24">
              <w:rPr>
                <w:rFonts w:ascii="Garamond" w:hAnsi="Garamond"/>
                <w:color w:val="0070C0"/>
                <w:sz w:val="20"/>
                <w:szCs w:val="20"/>
              </w:rPr>
              <w:t xml:space="preserve">at 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 xml:space="preserve">a </w:t>
            </w:r>
            <w:r w:rsidR="001D2F24" w:rsidRPr="001D2F24">
              <w:rPr>
                <w:rFonts w:ascii="Garamond" w:hAnsi="Garamond"/>
                <w:color w:val="0070C0"/>
                <w:sz w:val="20"/>
                <w:szCs w:val="20"/>
              </w:rPr>
              <w:t>low level</w:t>
            </w:r>
            <w:r w:rsidR="001D2F24">
              <w:rPr>
                <w:rFonts w:ascii="Garamond" w:hAnsi="Garamond"/>
                <w:color w:val="0070C0"/>
                <w:sz w:val="20"/>
                <w:szCs w:val="20"/>
              </w:rPr>
              <w:t>; at the end of 2019 it will be</w:t>
            </w:r>
            <w:r w:rsidR="001D2F24" w:rsidRPr="001D2F24">
              <w:rPr>
                <w:rFonts w:ascii="Garamond" w:hAnsi="Garamond"/>
                <w:color w:val="0070C0"/>
                <w:sz w:val="20"/>
                <w:szCs w:val="20"/>
              </w:rPr>
              <w:t xml:space="preserve"> in the range of 0.8-1.2%.</w:t>
            </w:r>
          </w:p>
        </w:tc>
      </w:tr>
    </w:tbl>
    <w:p w14:paraId="2B0284DA" w14:textId="77777777" w:rsidR="00A86B6F" w:rsidRDefault="00A86B6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1AAF71EB" w14:textId="77777777" w:rsidR="001D2F24" w:rsidRDefault="00961EA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view of </w:t>
      </w:r>
      <w:r w:rsidRPr="00961EA7">
        <w:rPr>
          <w:rFonts w:ascii="Garamond" w:hAnsi="Garamond"/>
          <w:sz w:val="22"/>
          <w:szCs w:val="22"/>
        </w:rPr>
        <w:t>the current monetary policy and expected economic developments</w:t>
      </w:r>
      <w:r w:rsidR="001165F7">
        <w:rPr>
          <w:rFonts w:ascii="Garamond" w:hAnsi="Garamond"/>
          <w:sz w:val="22"/>
          <w:szCs w:val="22"/>
        </w:rPr>
        <w:t>,</w:t>
      </w:r>
      <w:r w:rsidRPr="00961EA7">
        <w:rPr>
          <w:rFonts w:ascii="Garamond" w:hAnsi="Garamond"/>
          <w:sz w:val="22"/>
          <w:szCs w:val="22"/>
        </w:rPr>
        <w:t xml:space="preserve"> the 12-month inflation will </w:t>
      </w:r>
      <w:r>
        <w:rPr>
          <w:rFonts w:ascii="Garamond" w:hAnsi="Garamond"/>
          <w:sz w:val="22"/>
          <w:szCs w:val="22"/>
        </w:rPr>
        <w:t xml:space="preserve">be running at a </w:t>
      </w:r>
      <w:r w:rsidRPr="00961EA7">
        <w:rPr>
          <w:rFonts w:ascii="Garamond" w:hAnsi="Garamond"/>
          <w:sz w:val="22"/>
          <w:szCs w:val="22"/>
        </w:rPr>
        <w:t xml:space="preserve">low level </w:t>
      </w:r>
      <w:r>
        <w:rPr>
          <w:rFonts w:ascii="Garamond" w:hAnsi="Garamond"/>
          <w:sz w:val="22"/>
          <w:szCs w:val="22"/>
        </w:rPr>
        <w:t xml:space="preserve">for a while; </w:t>
      </w:r>
      <w:r w:rsidRPr="00961EA7">
        <w:rPr>
          <w:rFonts w:ascii="Garamond" w:hAnsi="Garamond"/>
          <w:b/>
          <w:sz w:val="22"/>
          <w:szCs w:val="22"/>
        </w:rPr>
        <w:t>at the end of 2019 it will be in the range of 0.8-1.2%.</w:t>
      </w:r>
      <w:r>
        <w:rPr>
          <w:rFonts w:ascii="Garamond" w:hAnsi="Garamond"/>
          <w:sz w:val="22"/>
          <w:szCs w:val="22"/>
        </w:rPr>
        <w:t xml:space="preserve"> </w:t>
      </w:r>
      <w:r w:rsidR="00632799">
        <w:rPr>
          <w:rFonts w:ascii="Garamond" w:hAnsi="Garamond"/>
          <w:sz w:val="22"/>
          <w:szCs w:val="22"/>
        </w:rPr>
        <w:t xml:space="preserve">On the back of </w:t>
      </w:r>
      <w:r w:rsidR="001165F7">
        <w:rPr>
          <w:rFonts w:ascii="Garamond" w:hAnsi="Garamond"/>
          <w:sz w:val="22"/>
          <w:szCs w:val="22"/>
        </w:rPr>
        <w:t xml:space="preserve">the </w:t>
      </w:r>
      <w:r w:rsidR="00632799">
        <w:rPr>
          <w:rFonts w:ascii="Garamond" w:hAnsi="Garamond"/>
          <w:sz w:val="22"/>
          <w:szCs w:val="22"/>
        </w:rPr>
        <w:t>current macro-</w:t>
      </w:r>
      <w:r w:rsidRPr="00961EA7">
        <w:rPr>
          <w:rFonts w:ascii="Garamond" w:hAnsi="Garamond"/>
          <w:sz w:val="22"/>
          <w:szCs w:val="22"/>
        </w:rPr>
        <w:t>environment</w:t>
      </w:r>
      <w:r w:rsidR="00632799">
        <w:rPr>
          <w:rFonts w:ascii="Garamond" w:hAnsi="Garamond"/>
          <w:sz w:val="22"/>
          <w:szCs w:val="22"/>
        </w:rPr>
        <w:t xml:space="preserve">, the </w:t>
      </w:r>
      <w:r w:rsidRPr="00961EA7">
        <w:rPr>
          <w:rFonts w:ascii="Garamond" w:hAnsi="Garamond"/>
          <w:sz w:val="22"/>
          <w:szCs w:val="22"/>
        </w:rPr>
        <w:t xml:space="preserve">Central Bank prefers </w:t>
      </w:r>
      <w:r>
        <w:rPr>
          <w:rFonts w:ascii="Garamond" w:hAnsi="Garamond"/>
          <w:sz w:val="22"/>
          <w:szCs w:val="22"/>
        </w:rPr>
        <w:t xml:space="preserve">to </w:t>
      </w:r>
      <w:r w:rsidR="00632799" w:rsidRPr="00961EA7">
        <w:rPr>
          <w:rFonts w:ascii="Garamond" w:hAnsi="Garamond"/>
          <w:sz w:val="22"/>
          <w:szCs w:val="22"/>
        </w:rPr>
        <w:t xml:space="preserve">inflation </w:t>
      </w:r>
      <w:r w:rsidR="00632799">
        <w:rPr>
          <w:rFonts w:ascii="Garamond" w:hAnsi="Garamond"/>
          <w:sz w:val="22"/>
          <w:szCs w:val="22"/>
        </w:rPr>
        <w:t xml:space="preserve">recovering </w:t>
      </w:r>
      <w:r w:rsidRPr="00961EA7">
        <w:rPr>
          <w:rFonts w:ascii="Garamond" w:hAnsi="Garamond"/>
          <w:sz w:val="22"/>
          <w:szCs w:val="22"/>
        </w:rPr>
        <w:t>gradual</w:t>
      </w:r>
      <w:r w:rsidR="00632799">
        <w:rPr>
          <w:rFonts w:ascii="Garamond" w:hAnsi="Garamond"/>
          <w:sz w:val="22"/>
          <w:szCs w:val="22"/>
        </w:rPr>
        <w:t xml:space="preserve">ly and estimates </w:t>
      </w:r>
      <w:r w:rsidR="001D2F24" w:rsidRPr="00961EA7">
        <w:rPr>
          <w:rFonts w:ascii="Garamond" w:hAnsi="Garamond"/>
          <w:sz w:val="22"/>
          <w:szCs w:val="22"/>
        </w:rPr>
        <w:t>that present</w:t>
      </w:r>
      <w:r w:rsidR="00632799">
        <w:rPr>
          <w:rFonts w:ascii="Garamond" w:hAnsi="Garamond"/>
          <w:sz w:val="22"/>
          <w:szCs w:val="22"/>
        </w:rPr>
        <w:t>ly</w:t>
      </w:r>
      <w:r w:rsidR="001D2F24" w:rsidRPr="00961EA7">
        <w:rPr>
          <w:rFonts w:ascii="Garamond" w:hAnsi="Garamond"/>
          <w:sz w:val="22"/>
          <w:szCs w:val="22"/>
        </w:rPr>
        <w:t xml:space="preserve"> the low inflation contributes to anchoring long-term inflation expectations and maintaining </w:t>
      </w:r>
      <w:r w:rsidR="001D2F24" w:rsidRPr="00632799">
        <w:rPr>
          <w:rFonts w:ascii="Garamond" w:hAnsi="Garamond"/>
          <w:sz w:val="22"/>
          <w:szCs w:val="22"/>
        </w:rPr>
        <w:t>the purchasing power of income</w:t>
      </w:r>
      <w:r w:rsidR="00632799">
        <w:rPr>
          <w:rFonts w:ascii="Garamond" w:hAnsi="Garamond"/>
          <w:sz w:val="22"/>
          <w:szCs w:val="22"/>
        </w:rPr>
        <w:t>.</w:t>
      </w:r>
      <w:r w:rsidR="001D2F24" w:rsidRPr="00BD739E">
        <w:rPr>
          <w:rFonts w:ascii="Garamond" w:hAnsi="Garamond"/>
          <w:b/>
          <w:sz w:val="22"/>
          <w:szCs w:val="22"/>
        </w:rPr>
        <w:t xml:space="preserve"> </w:t>
      </w:r>
      <w:r w:rsidR="001D2F24" w:rsidRPr="00632799">
        <w:rPr>
          <w:rFonts w:ascii="Garamond" w:hAnsi="Garamond"/>
          <w:sz w:val="22"/>
          <w:szCs w:val="22"/>
        </w:rPr>
        <w:t xml:space="preserve">As a result, the inflation will </w:t>
      </w:r>
      <w:r w:rsidR="001165F7">
        <w:rPr>
          <w:rFonts w:ascii="Garamond" w:hAnsi="Garamond"/>
          <w:sz w:val="22"/>
          <w:szCs w:val="22"/>
        </w:rPr>
        <w:t xml:space="preserve">recover gradually in the medium term and </w:t>
      </w:r>
      <w:r w:rsidR="001D2F24" w:rsidRPr="00632799">
        <w:rPr>
          <w:rFonts w:ascii="Garamond" w:hAnsi="Garamond"/>
          <w:sz w:val="22"/>
          <w:szCs w:val="22"/>
        </w:rPr>
        <w:t xml:space="preserve">stabilize around </w:t>
      </w:r>
      <w:r w:rsidR="001165F7">
        <w:rPr>
          <w:rFonts w:ascii="Garamond" w:hAnsi="Garamond"/>
          <w:sz w:val="22"/>
          <w:szCs w:val="22"/>
        </w:rPr>
        <w:t>the target at the end of the forecast horizon</w:t>
      </w:r>
      <w:r w:rsidR="001D2F24" w:rsidRPr="00632799">
        <w:rPr>
          <w:rFonts w:ascii="Garamond" w:hAnsi="Garamond"/>
          <w:sz w:val="22"/>
          <w:szCs w:val="22"/>
        </w:rPr>
        <w:t>.</w:t>
      </w:r>
    </w:p>
    <w:p w14:paraId="57B20C3A" w14:textId="77777777" w:rsidR="00CD4F12" w:rsidRDefault="00CD4F12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CD4F12">
        <w:rPr>
          <w:rFonts w:ascii="Garamond" w:hAnsi="Garamond"/>
          <w:sz w:val="22"/>
          <w:szCs w:val="22"/>
        </w:rPr>
        <w:t>The C</w:t>
      </w:r>
      <w:r>
        <w:rPr>
          <w:rFonts w:ascii="Garamond" w:hAnsi="Garamond"/>
          <w:sz w:val="22"/>
          <w:szCs w:val="22"/>
        </w:rPr>
        <w:t>entral Bank</w:t>
      </w:r>
      <w:r w:rsidRPr="00CD4F12">
        <w:rPr>
          <w:rFonts w:ascii="Garamond" w:hAnsi="Garamond"/>
          <w:sz w:val="22"/>
          <w:szCs w:val="22"/>
        </w:rPr>
        <w:t xml:space="preserve"> considers the current policy rate to be sufficient to support the projected inflation</w:t>
      </w:r>
      <w:r>
        <w:rPr>
          <w:rFonts w:ascii="Garamond" w:hAnsi="Garamond"/>
          <w:sz w:val="22"/>
          <w:szCs w:val="22"/>
        </w:rPr>
        <w:t xml:space="preserve"> path</w:t>
      </w:r>
      <w:r w:rsidRPr="00CD4F12">
        <w:rPr>
          <w:rFonts w:ascii="Garamond" w:hAnsi="Garamond"/>
          <w:sz w:val="22"/>
          <w:szCs w:val="22"/>
        </w:rPr>
        <w:t xml:space="preserve">, so the </w:t>
      </w:r>
      <w:r w:rsidRPr="00CD4F12">
        <w:rPr>
          <w:rFonts w:ascii="Garamond" w:hAnsi="Garamond"/>
          <w:b/>
          <w:sz w:val="22"/>
          <w:szCs w:val="22"/>
        </w:rPr>
        <w:t>Central Bank Board has decided to leave the refinancing rate unchanged.</w:t>
      </w:r>
      <w:r w:rsidRPr="00CD4F1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If </w:t>
      </w:r>
      <w:r w:rsidRPr="00CD4F12">
        <w:rPr>
          <w:rFonts w:ascii="Garamond" w:hAnsi="Garamond"/>
          <w:sz w:val="22"/>
          <w:szCs w:val="22"/>
        </w:rPr>
        <w:t xml:space="preserve">macroeconomic developments </w:t>
      </w:r>
      <w:r>
        <w:rPr>
          <w:rFonts w:ascii="Garamond" w:hAnsi="Garamond"/>
          <w:sz w:val="22"/>
          <w:szCs w:val="22"/>
        </w:rPr>
        <w:t xml:space="preserve">unfold </w:t>
      </w:r>
      <w:r w:rsidRPr="00CD4F12">
        <w:rPr>
          <w:rFonts w:ascii="Garamond" w:hAnsi="Garamond"/>
          <w:sz w:val="22"/>
          <w:szCs w:val="22"/>
        </w:rPr>
        <w:t>under the baseline scenario</w:t>
      </w:r>
      <w:r>
        <w:rPr>
          <w:rFonts w:ascii="Garamond" w:hAnsi="Garamond"/>
          <w:sz w:val="22"/>
          <w:szCs w:val="22"/>
        </w:rPr>
        <w:t xml:space="preserve">, </w:t>
      </w:r>
      <w:r w:rsidR="00214F7F">
        <w:rPr>
          <w:rFonts w:ascii="Garamond" w:hAnsi="Garamond"/>
          <w:sz w:val="22"/>
          <w:szCs w:val="22"/>
        </w:rPr>
        <w:t xml:space="preserve">the policy, </w:t>
      </w:r>
      <w:r w:rsidR="00415567">
        <w:rPr>
          <w:rFonts w:ascii="Garamond" w:hAnsi="Garamond"/>
          <w:sz w:val="22"/>
          <w:szCs w:val="22"/>
        </w:rPr>
        <w:t xml:space="preserve">the Central Bank </w:t>
      </w:r>
      <w:r w:rsidR="00214F7F">
        <w:rPr>
          <w:rFonts w:ascii="Garamond" w:hAnsi="Garamond"/>
          <w:sz w:val="22"/>
          <w:szCs w:val="22"/>
        </w:rPr>
        <w:t>estimates,</w:t>
      </w:r>
      <w:r>
        <w:rPr>
          <w:rFonts w:ascii="Garamond" w:hAnsi="Garamond"/>
          <w:sz w:val="22"/>
          <w:szCs w:val="22"/>
        </w:rPr>
        <w:t xml:space="preserve"> </w:t>
      </w:r>
      <w:r w:rsidRPr="00CD4F12">
        <w:rPr>
          <w:rFonts w:ascii="Garamond" w:hAnsi="Garamond"/>
          <w:sz w:val="22"/>
          <w:szCs w:val="22"/>
        </w:rPr>
        <w:t xml:space="preserve">will still need to </w:t>
      </w:r>
      <w:r>
        <w:rPr>
          <w:rFonts w:ascii="Garamond" w:hAnsi="Garamond"/>
          <w:sz w:val="22"/>
          <w:szCs w:val="22"/>
        </w:rPr>
        <w:t>be stimulative</w:t>
      </w:r>
      <w:r w:rsidRPr="00CD4F12">
        <w:rPr>
          <w:rFonts w:ascii="Garamond" w:hAnsi="Garamond"/>
          <w:sz w:val="22"/>
          <w:szCs w:val="22"/>
        </w:rPr>
        <w:t>, w</w:t>
      </w:r>
      <w:r w:rsidR="00415567">
        <w:rPr>
          <w:rFonts w:ascii="Garamond" w:hAnsi="Garamond"/>
          <w:sz w:val="22"/>
          <w:szCs w:val="22"/>
        </w:rPr>
        <w:t xml:space="preserve">hile having the </w:t>
      </w:r>
      <w:r w:rsidRPr="00CD4F12">
        <w:rPr>
          <w:rFonts w:ascii="Garamond" w:hAnsi="Garamond"/>
          <w:sz w:val="22"/>
          <w:szCs w:val="22"/>
        </w:rPr>
        <w:t>inflation gradually return</w:t>
      </w:r>
      <w:r w:rsidR="00415567">
        <w:rPr>
          <w:rFonts w:ascii="Garamond" w:hAnsi="Garamond"/>
          <w:sz w:val="22"/>
          <w:szCs w:val="22"/>
        </w:rPr>
        <w:t xml:space="preserve"> </w:t>
      </w:r>
      <w:r w:rsidRPr="00CD4F12">
        <w:rPr>
          <w:rFonts w:ascii="Garamond" w:hAnsi="Garamond"/>
          <w:sz w:val="22"/>
          <w:szCs w:val="22"/>
        </w:rPr>
        <w:t>to its target in the medium term.</w:t>
      </w:r>
    </w:p>
    <w:p w14:paraId="648BEE53" w14:textId="77777777" w:rsidR="00214F7F" w:rsidRDefault="00214F7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Besides persistently </w:t>
      </w:r>
      <w:r w:rsidRPr="00214F7F">
        <w:rPr>
          <w:rFonts w:ascii="Garamond" w:hAnsi="Garamond"/>
          <w:sz w:val="22"/>
          <w:szCs w:val="22"/>
        </w:rPr>
        <w:t xml:space="preserve">weak inflation </w:t>
      </w:r>
      <w:r>
        <w:rPr>
          <w:rFonts w:ascii="Garamond" w:hAnsi="Garamond"/>
          <w:sz w:val="22"/>
          <w:szCs w:val="22"/>
        </w:rPr>
        <w:t xml:space="preserve">in the external </w:t>
      </w:r>
      <w:r w:rsidRPr="00214F7F">
        <w:rPr>
          <w:rFonts w:ascii="Garamond" w:hAnsi="Garamond"/>
          <w:sz w:val="22"/>
          <w:szCs w:val="22"/>
        </w:rPr>
        <w:t>environment</w:t>
      </w:r>
      <w:r>
        <w:rPr>
          <w:rFonts w:ascii="Garamond" w:hAnsi="Garamond"/>
          <w:sz w:val="22"/>
          <w:szCs w:val="22"/>
        </w:rPr>
        <w:t>,</w:t>
      </w:r>
      <w:r w:rsidRPr="00214F7F">
        <w:rPr>
          <w:rFonts w:ascii="Garamond" w:hAnsi="Garamond"/>
          <w:sz w:val="22"/>
          <w:szCs w:val="22"/>
        </w:rPr>
        <w:t xml:space="preserve"> </w:t>
      </w:r>
      <w:r w:rsidR="00007704">
        <w:rPr>
          <w:rFonts w:ascii="Garamond" w:hAnsi="Garamond"/>
          <w:sz w:val="22"/>
          <w:szCs w:val="22"/>
        </w:rPr>
        <w:t xml:space="preserve">a low inflation continues to be shaped by supply-side factors, </w:t>
      </w:r>
      <w:r w:rsidR="00EE14A9">
        <w:rPr>
          <w:rFonts w:ascii="Garamond" w:hAnsi="Garamond"/>
          <w:sz w:val="22"/>
          <w:szCs w:val="22"/>
        </w:rPr>
        <w:t>such as</w:t>
      </w:r>
      <w:r w:rsidR="00007704">
        <w:rPr>
          <w:rFonts w:ascii="Garamond" w:hAnsi="Garamond"/>
          <w:sz w:val="22"/>
          <w:szCs w:val="22"/>
        </w:rPr>
        <w:t xml:space="preserve"> increasingly competitive </w:t>
      </w:r>
      <w:r>
        <w:rPr>
          <w:rFonts w:ascii="Garamond" w:hAnsi="Garamond"/>
          <w:sz w:val="22"/>
          <w:szCs w:val="22"/>
        </w:rPr>
        <w:t xml:space="preserve">product </w:t>
      </w:r>
      <w:r w:rsidRPr="00214F7F">
        <w:rPr>
          <w:rFonts w:ascii="Garamond" w:hAnsi="Garamond"/>
          <w:sz w:val="22"/>
          <w:szCs w:val="22"/>
        </w:rPr>
        <w:t>market</w:t>
      </w:r>
      <w:r>
        <w:rPr>
          <w:rFonts w:ascii="Garamond" w:hAnsi="Garamond"/>
          <w:sz w:val="22"/>
          <w:szCs w:val="22"/>
        </w:rPr>
        <w:t>s</w:t>
      </w:r>
      <w:r w:rsidRPr="00214F7F">
        <w:rPr>
          <w:rFonts w:ascii="Garamond" w:hAnsi="Garamond"/>
          <w:sz w:val="22"/>
          <w:szCs w:val="22"/>
        </w:rPr>
        <w:t xml:space="preserve"> (</w:t>
      </w:r>
      <w:r w:rsidR="00007704">
        <w:rPr>
          <w:rFonts w:ascii="Garamond" w:hAnsi="Garamond"/>
          <w:sz w:val="22"/>
          <w:szCs w:val="22"/>
        </w:rPr>
        <w:t xml:space="preserve">determined by a common </w:t>
      </w:r>
      <w:r w:rsidRPr="00214F7F">
        <w:rPr>
          <w:rFonts w:ascii="Garamond" w:hAnsi="Garamond"/>
          <w:sz w:val="22"/>
          <w:szCs w:val="22"/>
        </w:rPr>
        <w:t>EAEU market</w:t>
      </w:r>
      <w:r w:rsidR="00007704">
        <w:rPr>
          <w:rFonts w:ascii="Garamond" w:hAnsi="Garamond"/>
          <w:sz w:val="22"/>
          <w:szCs w:val="22"/>
        </w:rPr>
        <w:t xml:space="preserve"> </w:t>
      </w:r>
      <w:r w:rsidRPr="00214F7F">
        <w:rPr>
          <w:rFonts w:ascii="Garamond" w:hAnsi="Garamond"/>
          <w:sz w:val="22"/>
          <w:szCs w:val="22"/>
        </w:rPr>
        <w:t>and structural reforms)</w:t>
      </w:r>
      <w:r w:rsidR="00007704">
        <w:rPr>
          <w:rFonts w:ascii="Garamond" w:hAnsi="Garamond"/>
          <w:sz w:val="22"/>
          <w:szCs w:val="22"/>
        </w:rPr>
        <w:t xml:space="preserve"> and </w:t>
      </w:r>
      <w:r w:rsidRPr="00214F7F">
        <w:rPr>
          <w:rFonts w:ascii="Garamond" w:hAnsi="Garamond"/>
          <w:sz w:val="22"/>
          <w:szCs w:val="22"/>
        </w:rPr>
        <w:t xml:space="preserve">a </w:t>
      </w:r>
      <w:r w:rsidR="00007704">
        <w:rPr>
          <w:rFonts w:ascii="Garamond" w:hAnsi="Garamond"/>
          <w:sz w:val="22"/>
          <w:szCs w:val="22"/>
        </w:rPr>
        <w:t>certain shift in demand for short-term consumer goods to long</w:t>
      </w:r>
      <w:r w:rsidRPr="00214F7F">
        <w:rPr>
          <w:rFonts w:ascii="Garamond" w:hAnsi="Garamond"/>
          <w:sz w:val="22"/>
          <w:szCs w:val="22"/>
        </w:rPr>
        <w:t xml:space="preserve">-term </w:t>
      </w:r>
      <w:r w:rsidR="00007704">
        <w:rPr>
          <w:rFonts w:ascii="Garamond" w:hAnsi="Garamond"/>
          <w:sz w:val="22"/>
          <w:szCs w:val="22"/>
        </w:rPr>
        <w:t>ones</w:t>
      </w:r>
      <w:r w:rsidRPr="00214F7F">
        <w:rPr>
          <w:rFonts w:ascii="Garamond" w:hAnsi="Garamond"/>
          <w:sz w:val="22"/>
          <w:szCs w:val="22"/>
        </w:rPr>
        <w:t xml:space="preserve">, which </w:t>
      </w:r>
      <w:r w:rsidR="00EE14A9">
        <w:rPr>
          <w:rFonts w:ascii="Garamond" w:hAnsi="Garamond"/>
          <w:sz w:val="22"/>
          <w:szCs w:val="22"/>
        </w:rPr>
        <w:t xml:space="preserve">helps raise </w:t>
      </w:r>
      <w:r w:rsidR="00EE14A9" w:rsidRPr="00214F7F">
        <w:rPr>
          <w:rFonts w:ascii="Garamond" w:hAnsi="Garamond"/>
          <w:sz w:val="22"/>
          <w:szCs w:val="22"/>
        </w:rPr>
        <w:t xml:space="preserve">resource efficiency </w:t>
      </w:r>
      <w:r w:rsidR="00EE14A9">
        <w:rPr>
          <w:rFonts w:ascii="Garamond" w:hAnsi="Garamond"/>
          <w:sz w:val="22"/>
          <w:szCs w:val="22"/>
        </w:rPr>
        <w:t xml:space="preserve">in </w:t>
      </w:r>
      <w:r w:rsidRPr="00214F7F">
        <w:rPr>
          <w:rFonts w:ascii="Garamond" w:hAnsi="Garamond"/>
          <w:sz w:val="22"/>
          <w:szCs w:val="22"/>
        </w:rPr>
        <w:t>the non-</w:t>
      </w:r>
      <w:r w:rsidR="00EE14A9">
        <w:rPr>
          <w:rFonts w:ascii="Garamond" w:hAnsi="Garamond"/>
          <w:sz w:val="22"/>
          <w:szCs w:val="22"/>
        </w:rPr>
        <w:t xml:space="preserve">tradable </w:t>
      </w:r>
      <w:r w:rsidRPr="00214F7F">
        <w:rPr>
          <w:rFonts w:ascii="Garamond" w:hAnsi="Garamond"/>
          <w:sz w:val="22"/>
          <w:szCs w:val="22"/>
        </w:rPr>
        <w:t>sector.</w:t>
      </w:r>
    </w:p>
    <w:p w14:paraId="6742DD83" w14:textId="77777777" w:rsidR="00214F7F" w:rsidRDefault="00EE14A9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14A9">
        <w:rPr>
          <w:rFonts w:ascii="Garamond" w:hAnsi="Garamond"/>
          <w:sz w:val="22"/>
          <w:szCs w:val="22"/>
        </w:rPr>
        <w:t xml:space="preserve">According to </w:t>
      </w:r>
      <w:r>
        <w:rPr>
          <w:rFonts w:ascii="Garamond" w:hAnsi="Garamond"/>
          <w:sz w:val="22"/>
          <w:szCs w:val="22"/>
        </w:rPr>
        <w:t>the Central Bank’s</w:t>
      </w:r>
      <w:r w:rsidRPr="00EE14A9">
        <w:rPr>
          <w:rFonts w:ascii="Garamond" w:hAnsi="Garamond"/>
          <w:sz w:val="22"/>
          <w:szCs w:val="22"/>
        </w:rPr>
        <w:t xml:space="preserve"> short-term forecasts</w:t>
      </w:r>
      <w:r>
        <w:rPr>
          <w:rFonts w:ascii="Garamond" w:hAnsi="Garamond"/>
          <w:sz w:val="22"/>
          <w:szCs w:val="22"/>
        </w:rPr>
        <w:t>,</w:t>
      </w:r>
      <w:r w:rsidRPr="00EE14A9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the 2019 e</w:t>
      </w:r>
      <w:r w:rsidRPr="00EE14A9">
        <w:rPr>
          <w:rFonts w:ascii="Garamond" w:hAnsi="Garamond"/>
          <w:sz w:val="22"/>
          <w:szCs w:val="22"/>
        </w:rPr>
        <w:t xml:space="preserve">conomic growth will be in the range of 7.0-7.3%, and will </w:t>
      </w:r>
      <w:r>
        <w:rPr>
          <w:rFonts w:ascii="Garamond" w:hAnsi="Garamond"/>
          <w:sz w:val="22"/>
          <w:szCs w:val="22"/>
        </w:rPr>
        <w:t xml:space="preserve">approach </w:t>
      </w:r>
      <w:r w:rsidRPr="00EE14A9">
        <w:rPr>
          <w:rFonts w:ascii="Garamond" w:hAnsi="Garamond"/>
          <w:sz w:val="22"/>
          <w:szCs w:val="22"/>
        </w:rPr>
        <w:t xml:space="preserve">its long-term </w:t>
      </w:r>
      <w:r>
        <w:rPr>
          <w:rFonts w:ascii="Garamond" w:hAnsi="Garamond"/>
          <w:sz w:val="22"/>
          <w:szCs w:val="22"/>
        </w:rPr>
        <w:t xml:space="preserve">equilibrium </w:t>
      </w:r>
      <w:r w:rsidRPr="00EE14A9">
        <w:rPr>
          <w:rFonts w:ascii="Garamond" w:hAnsi="Garamond"/>
          <w:sz w:val="22"/>
          <w:szCs w:val="22"/>
        </w:rPr>
        <w:t xml:space="preserve">in the medium </w:t>
      </w:r>
      <w:r>
        <w:rPr>
          <w:rFonts w:ascii="Garamond" w:hAnsi="Garamond"/>
          <w:sz w:val="22"/>
          <w:szCs w:val="22"/>
        </w:rPr>
        <w:t>run</w:t>
      </w:r>
      <w:r w:rsidRPr="00EE14A9">
        <w:rPr>
          <w:rFonts w:ascii="Garamond" w:hAnsi="Garamond"/>
          <w:sz w:val="22"/>
          <w:szCs w:val="22"/>
        </w:rPr>
        <w:t>.</w:t>
      </w:r>
    </w:p>
    <w:p w14:paraId="0B38D1FF" w14:textId="77777777" w:rsidR="00F0159D" w:rsidRDefault="00942390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942390">
        <w:rPr>
          <w:rFonts w:ascii="Garamond" w:hAnsi="Garamond"/>
          <w:sz w:val="22"/>
          <w:szCs w:val="22"/>
        </w:rPr>
        <w:t xml:space="preserve">The </w:t>
      </w:r>
      <w:r>
        <w:rPr>
          <w:rFonts w:ascii="Garamond" w:hAnsi="Garamond"/>
          <w:sz w:val="22"/>
          <w:szCs w:val="22"/>
        </w:rPr>
        <w:t xml:space="preserve">2019 </w:t>
      </w:r>
      <w:r w:rsidRPr="00942390">
        <w:rPr>
          <w:rFonts w:ascii="Garamond" w:hAnsi="Garamond"/>
          <w:sz w:val="22"/>
          <w:szCs w:val="22"/>
        </w:rPr>
        <w:t>economic growth was mainly driven by private consumption.</w:t>
      </w:r>
      <w:r>
        <w:rPr>
          <w:rFonts w:ascii="Garamond" w:hAnsi="Garamond"/>
          <w:sz w:val="22"/>
          <w:szCs w:val="22"/>
        </w:rPr>
        <w:t xml:space="preserve"> M</w:t>
      </w:r>
      <w:r w:rsidRPr="00EE5F0F">
        <w:rPr>
          <w:rFonts w:ascii="Garamond" w:hAnsi="Garamond"/>
          <w:sz w:val="22"/>
          <w:szCs w:val="22"/>
        </w:rPr>
        <w:t xml:space="preserve">id-term economic growth </w:t>
      </w:r>
      <w:r>
        <w:rPr>
          <w:rFonts w:ascii="Garamond" w:hAnsi="Garamond"/>
          <w:sz w:val="22"/>
          <w:szCs w:val="22"/>
        </w:rPr>
        <w:t xml:space="preserve">will </w:t>
      </w:r>
      <w:r w:rsidRPr="00EE5F0F">
        <w:rPr>
          <w:rFonts w:ascii="Garamond" w:hAnsi="Garamond"/>
          <w:sz w:val="22"/>
          <w:szCs w:val="22"/>
        </w:rPr>
        <w:t xml:space="preserve">largely </w:t>
      </w:r>
      <w:r>
        <w:rPr>
          <w:rFonts w:ascii="Garamond" w:hAnsi="Garamond"/>
          <w:sz w:val="22"/>
          <w:szCs w:val="22"/>
        </w:rPr>
        <w:t xml:space="preserve">be determined by expanding of </w:t>
      </w:r>
      <w:r w:rsidRPr="00265345">
        <w:rPr>
          <w:rFonts w:ascii="Garamond" w:hAnsi="Garamond"/>
          <w:sz w:val="22"/>
          <w:szCs w:val="22"/>
        </w:rPr>
        <w:t>production capacities</w:t>
      </w:r>
      <w:r>
        <w:rPr>
          <w:rFonts w:ascii="Garamond" w:hAnsi="Garamond"/>
          <w:sz w:val="22"/>
          <w:szCs w:val="22"/>
        </w:rPr>
        <w:t>, the pace at which the</w:t>
      </w:r>
      <w:r w:rsidRPr="00EE5F0F">
        <w:rPr>
          <w:rFonts w:ascii="Garamond" w:hAnsi="Garamond"/>
          <w:sz w:val="22"/>
          <w:szCs w:val="22"/>
        </w:rPr>
        <w:t xml:space="preserve"> Government</w:t>
      </w:r>
      <w:r>
        <w:rPr>
          <w:rFonts w:ascii="Garamond" w:hAnsi="Garamond"/>
          <w:sz w:val="22"/>
          <w:szCs w:val="22"/>
        </w:rPr>
        <w:t xml:space="preserve"> will push forward the </w:t>
      </w:r>
      <w:r w:rsidRPr="00EE5F0F">
        <w:rPr>
          <w:rFonts w:ascii="Garamond" w:hAnsi="Garamond"/>
          <w:sz w:val="22"/>
          <w:szCs w:val="22"/>
        </w:rPr>
        <w:t xml:space="preserve">structural reforms and </w:t>
      </w:r>
      <w:r>
        <w:rPr>
          <w:rFonts w:ascii="Garamond" w:hAnsi="Garamond"/>
          <w:sz w:val="22"/>
          <w:szCs w:val="22"/>
        </w:rPr>
        <w:t xml:space="preserve">what </w:t>
      </w:r>
      <w:r w:rsidRPr="00EE5F0F">
        <w:rPr>
          <w:rFonts w:ascii="Garamond" w:hAnsi="Garamond"/>
          <w:sz w:val="22"/>
          <w:szCs w:val="22"/>
        </w:rPr>
        <w:t xml:space="preserve">economic growth </w:t>
      </w:r>
      <w:r>
        <w:rPr>
          <w:rFonts w:ascii="Garamond" w:hAnsi="Garamond"/>
          <w:sz w:val="22"/>
          <w:szCs w:val="22"/>
        </w:rPr>
        <w:t xml:space="preserve">potential can be expected </w:t>
      </w:r>
      <w:r w:rsidRPr="00EE5F0F">
        <w:rPr>
          <w:rFonts w:ascii="Garamond" w:hAnsi="Garamond"/>
          <w:sz w:val="22"/>
          <w:szCs w:val="22"/>
        </w:rPr>
        <w:t>in partner countries.</w:t>
      </w:r>
      <w:r w:rsidR="00F0159D">
        <w:rPr>
          <w:rFonts w:ascii="Garamond" w:hAnsi="Garamond"/>
          <w:sz w:val="22"/>
          <w:szCs w:val="22"/>
        </w:rPr>
        <w:t xml:space="preserve"> </w:t>
      </w:r>
    </w:p>
    <w:p w14:paraId="1DDCCA3A" w14:textId="77777777" w:rsidR="00F0159D" w:rsidRDefault="00F015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AE7FDC">
        <w:rPr>
          <w:rFonts w:ascii="Garamond" w:hAnsi="Garamond"/>
          <w:b/>
          <w:sz w:val="22"/>
          <w:szCs w:val="22"/>
        </w:rPr>
        <w:t xml:space="preserve">In the forecast horizon, risks to </w:t>
      </w:r>
      <w:r>
        <w:rPr>
          <w:rFonts w:ascii="Garamond" w:hAnsi="Garamond"/>
          <w:b/>
          <w:sz w:val="22"/>
          <w:szCs w:val="22"/>
        </w:rPr>
        <w:t xml:space="preserve">the </w:t>
      </w:r>
      <w:r w:rsidRPr="00AE7FDC">
        <w:rPr>
          <w:rFonts w:ascii="Garamond" w:hAnsi="Garamond"/>
          <w:b/>
          <w:sz w:val="22"/>
          <w:szCs w:val="22"/>
        </w:rPr>
        <w:t xml:space="preserve">inflation </w:t>
      </w:r>
      <w:r>
        <w:rPr>
          <w:rFonts w:ascii="Garamond" w:hAnsi="Garamond"/>
          <w:b/>
          <w:sz w:val="22"/>
          <w:szCs w:val="22"/>
        </w:rPr>
        <w:t xml:space="preserve">path are generally balanced but slightly upside risks to the </w:t>
      </w:r>
      <w:r w:rsidRPr="00AE7FDC">
        <w:rPr>
          <w:rFonts w:ascii="Garamond" w:hAnsi="Garamond"/>
          <w:b/>
          <w:sz w:val="22"/>
          <w:szCs w:val="22"/>
        </w:rPr>
        <w:t>economic growth</w:t>
      </w:r>
      <w:r>
        <w:rPr>
          <w:rFonts w:ascii="Garamond" w:hAnsi="Garamond"/>
          <w:b/>
          <w:sz w:val="22"/>
          <w:szCs w:val="22"/>
        </w:rPr>
        <w:t xml:space="preserve"> prevail </w:t>
      </w:r>
      <w:r>
        <w:rPr>
          <w:rFonts w:ascii="Garamond" w:hAnsi="Garamond"/>
          <w:sz w:val="22"/>
          <w:szCs w:val="22"/>
        </w:rPr>
        <w:t>(see subsection 2.2.4 “Main assumptions and risks”)</w:t>
      </w:r>
      <w:r w:rsidRPr="00EE5F0F"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sz w:val="22"/>
          <w:szCs w:val="22"/>
        </w:rPr>
        <w:t xml:space="preserve">If predicted macroeconomic developments unfold and these </w:t>
      </w:r>
      <w:r w:rsidRPr="000453EF">
        <w:rPr>
          <w:rFonts w:ascii="Garamond" w:hAnsi="Garamond"/>
          <w:sz w:val="22"/>
          <w:szCs w:val="22"/>
        </w:rPr>
        <w:t>risks</w:t>
      </w:r>
      <w:r>
        <w:rPr>
          <w:rFonts w:ascii="Garamond" w:hAnsi="Garamond"/>
          <w:sz w:val="22"/>
          <w:szCs w:val="22"/>
        </w:rPr>
        <w:t xml:space="preserve"> materialize, the Central Bank will adjust the </w:t>
      </w:r>
      <w:r w:rsidRPr="000453EF">
        <w:rPr>
          <w:rFonts w:ascii="Garamond" w:hAnsi="Garamond"/>
          <w:sz w:val="22"/>
          <w:szCs w:val="22"/>
        </w:rPr>
        <w:t xml:space="preserve">monetary </w:t>
      </w:r>
      <w:r>
        <w:rPr>
          <w:rFonts w:ascii="Garamond" w:hAnsi="Garamond"/>
          <w:sz w:val="22"/>
          <w:szCs w:val="22"/>
        </w:rPr>
        <w:t>conditions accordingly, while fulfilling the goal of price stability.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857" w:rsidRPr="003720FB" w14:paraId="4B5DB673" w14:textId="77777777" w:rsidTr="00651BE5">
        <w:trPr>
          <w:trHeight w:val="335"/>
        </w:trPr>
        <w:tc>
          <w:tcPr>
            <w:tcW w:w="9576" w:type="dxa"/>
          </w:tcPr>
          <w:p w14:paraId="3A46DB74" w14:textId="77777777" w:rsidR="004E6857" w:rsidRPr="003720FB" w:rsidRDefault="004E6857" w:rsidP="00651BE5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color w:val="FF0000"/>
                <w:sz w:val="18"/>
                <w:szCs w:val="18"/>
              </w:rPr>
            </w:pPr>
            <w:r w:rsidRPr="003720FB">
              <w:rPr>
                <w:rFonts w:ascii="Garamond" w:hAnsi="Garamond"/>
                <w:b/>
                <w:color w:val="FF0000"/>
                <w:sz w:val="18"/>
                <w:szCs w:val="18"/>
              </w:rPr>
              <w:lastRenderedPageBreak/>
              <w:t xml:space="preserve">Footnote 1. </w:t>
            </w:r>
            <w:r w:rsidRPr="00DD0E48">
              <w:rPr>
                <w:rFonts w:ascii="Garamond" w:hAnsi="Garamond"/>
                <w:sz w:val="18"/>
                <w:szCs w:val="18"/>
              </w:rPr>
              <w:t>The growth rate of each quarter is calculated as the cumulative growth rate for the last four quarters.</w:t>
            </w:r>
          </w:p>
        </w:tc>
      </w:tr>
    </w:tbl>
    <w:p w14:paraId="652D344A" w14:textId="77777777" w:rsidR="006306C7" w:rsidRDefault="006306C7" w:rsidP="00E53450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123BE4E9" w14:textId="77777777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2. FORECAST, FORECAST CHANGES AND RISKS</w:t>
      </w:r>
    </w:p>
    <w:p w14:paraId="1EC972F2" w14:textId="77777777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2.1. External environment</w:t>
      </w:r>
    </w:p>
    <w:p w14:paraId="314B7F83" w14:textId="77777777" w:rsidR="00EE619D" w:rsidRDefault="00F015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G</w:t>
      </w:r>
      <w:r w:rsidR="00EB72C7">
        <w:rPr>
          <w:rFonts w:ascii="Garamond" w:hAnsi="Garamond"/>
          <w:b/>
          <w:sz w:val="22"/>
          <w:szCs w:val="22"/>
        </w:rPr>
        <w:t xml:space="preserve">lobal </w:t>
      </w:r>
      <w:r w:rsidR="001E63BC">
        <w:rPr>
          <w:rFonts w:ascii="Garamond" w:hAnsi="Garamond"/>
          <w:b/>
          <w:sz w:val="22"/>
          <w:szCs w:val="22"/>
        </w:rPr>
        <w:t>econom</w:t>
      </w:r>
      <w:r w:rsidR="00DF2943">
        <w:rPr>
          <w:rFonts w:ascii="Garamond" w:hAnsi="Garamond"/>
          <w:b/>
          <w:sz w:val="22"/>
          <w:szCs w:val="22"/>
        </w:rPr>
        <w:t xml:space="preserve">ic growth </w:t>
      </w:r>
      <w:r>
        <w:rPr>
          <w:rFonts w:ascii="Garamond" w:hAnsi="Garamond"/>
          <w:b/>
          <w:sz w:val="22"/>
          <w:szCs w:val="22"/>
        </w:rPr>
        <w:t xml:space="preserve">slowed down in </w:t>
      </w:r>
      <w:r w:rsidR="00EE39CC">
        <w:rPr>
          <w:rFonts w:ascii="Garamond" w:hAnsi="Garamond"/>
          <w:b/>
          <w:sz w:val="22"/>
          <w:szCs w:val="22"/>
        </w:rPr>
        <w:t>2019</w:t>
      </w:r>
      <w:r w:rsidR="001E63BC">
        <w:rPr>
          <w:rFonts w:ascii="Garamond" w:hAnsi="Garamond"/>
          <w:b/>
          <w:sz w:val="22"/>
          <w:szCs w:val="22"/>
        </w:rPr>
        <w:t xml:space="preserve"> </w:t>
      </w:r>
      <w:r w:rsidRPr="00F0159D">
        <w:rPr>
          <w:rFonts w:ascii="Garamond" w:hAnsi="Garamond"/>
          <w:b/>
          <w:sz w:val="22"/>
          <w:szCs w:val="22"/>
        </w:rPr>
        <w:t xml:space="preserve">and </w:t>
      </w:r>
      <w:r w:rsidR="00D92A16">
        <w:rPr>
          <w:rFonts w:ascii="Garamond" w:hAnsi="Garamond"/>
          <w:b/>
          <w:sz w:val="22"/>
          <w:szCs w:val="22"/>
        </w:rPr>
        <w:t xml:space="preserve">weak growth rates in the world </w:t>
      </w:r>
      <w:r w:rsidRPr="00F0159D">
        <w:rPr>
          <w:rFonts w:ascii="Garamond" w:hAnsi="Garamond"/>
          <w:b/>
          <w:sz w:val="22"/>
          <w:szCs w:val="22"/>
        </w:rPr>
        <w:t xml:space="preserve">are expected </w:t>
      </w:r>
      <w:r w:rsidR="00D92A16">
        <w:rPr>
          <w:rFonts w:ascii="Garamond" w:hAnsi="Garamond"/>
          <w:b/>
          <w:sz w:val="22"/>
          <w:szCs w:val="22"/>
        </w:rPr>
        <w:t>during 2020. I</w:t>
      </w:r>
      <w:r w:rsidR="00EE39CC">
        <w:rPr>
          <w:rFonts w:ascii="Garamond" w:hAnsi="Garamond"/>
          <w:b/>
          <w:sz w:val="22"/>
          <w:szCs w:val="22"/>
        </w:rPr>
        <w:t xml:space="preserve">n particular, </w:t>
      </w:r>
      <w:r w:rsidR="00D92A16">
        <w:rPr>
          <w:rFonts w:ascii="Garamond" w:hAnsi="Garamond"/>
          <w:b/>
          <w:sz w:val="22"/>
          <w:szCs w:val="22"/>
        </w:rPr>
        <w:t xml:space="preserve">even though </w:t>
      </w:r>
      <w:r w:rsidR="00D92A16" w:rsidRPr="00D92A16">
        <w:rPr>
          <w:rFonts w:ascii="Garamond" w:hAnsi="Garamond"/>
          <w:b/>
          <w:sz w:val="22"/>
          <w:szCs w:val="22"/>
        </w:rPr>
        <w:t>uncertainties and pessimistic expectations</w:t>
      </w:r>
      <w:r w:rsidR="00D92A16">
        <w:rPr>
          <w:rFonts w:ascii="Garamond" w:hAnsi="Garamond"/>
          <w:b/>
          <w:sz w:val="22"/>
          <w:szCs w:val="22"/>
        </w:rPr>
        <w:t xml:space="preserve"> diminished, </w:t>
      </w:r>
      <w:r w:rsidR="00EE39CC">
        <w:rPr>
          <w:rFonts w:ascii="Garamond" w:hAnsi="Garamond"/>
          <w:b/>
          <w:sz w:val="22"/>
          <w:szCs w:val="22"/>
        </w:rPr>
        <w:t>e</w:t>
      </w:r>
      <w:r w:rsidR="0007024C">
        <w:rPr>
          <w:rFonts w:ascii="Garamond" w:hAnsi="Garamond"/>
          <w:b/>
          <w:sz w:val="22"/>
          <w:szCs w:val="22"/>
        </w:rPr>
        <w:t>conomic growth rates</w:t>
      </w:r>
      <w:r w:rsidR="00992FC8">
        <w:rPr>
          <w:rFonts w:ascii="Garamond" w:hAnsi="Garamond"/>
          <w:b/>
          <w:sz w:val="22"/>
          <w:szCs w:val="22"/>
        </w:rPr>
        <w:t xml:space="preserve"> </w:t>
      </w:r>
      <w:r w:rsidR="0007024C">
        <w:rPr>
          <w:rFonts w:ascii="Garamond" w:hAnsi="Garamond"/>
          <w:b/>
          <w:sz w:val="22"/>
          <w:szCs w:val="22"/>
        </w:rPr>
        <w:t xml:space="preserve">are </w:t>
      </w:r>
      <w:r w:rsidR="00D92A16">
        <w:rPr>
          <w:rFonts w:ascii="Garamond" w:hAnsi="Garamond"/>
          <w:b/>
          <w:sz w:val="22"/>
          <w:szCs w:val="22"/>
        </w:rPr>
        <w:t xml:space="preserve">expected to remain sluggish </w:t>
      </w:r>
      <w:r w:rsidR="00EB72C7">
        <w:rPr>
          <w:rFonts w:ascii="Garamond" w:hAnsi="Garamond"/>
          <w:b/>
          <w:sz w:val="22"/>
          <w:szCs w:val="22"/>
        </w:rPr>
        <w:t>i</w:t>
      </w:r>
      <w:r w:rsidR="0007024C">
        <w:rPr>
          <w:rFonts w:ascii="Garamond" w:hAnsi="Garamond"/>
          <w:b/>
          <w:sz w:val="22"/>
          <w:szCs w:val="22"/>
        </w:rPr>
        <w:t xml:space="preserve">n the </w:t>
      </w:r>
      <w:r w:rsidR="00BC3332">
        <w:rPr>
          <w:rFonts w:ascii="Garamond" w:hAnsi="Garamond"/>
          <w:b/>
          <w:sz w:val="22"/>
          <w:szCs w:val="22"/>
        </w:rPr>
        <w:t>United States</w:t>
      </w:r>
      <w:r w:rsidR="005C04B1">
        <w:rPr>
          <w:rFonts w:ascii="Garamond" w:hAnsi="Garamond"/>
          <w:b/>
          <w:sz w:val="22"/>
          <w:szCs w:val="22"/>
        </w:rPr>
        <w:t xml:space="preserve"> </w:t>
      </w:r>
      <w:r w:rsidR="00992FC8">
        <w:rPr>
          <w:rFonts w:ascii="Garamond" w:hAnsi="Garamond"/>
          <w:b/>
          <w:sz w:val="22"/>
          <w:szCs w:val="22"/>
        </w:rPr>
        <w:t xml:space="preserve">and </w:t>
      </w:r>
      <w:r w:rsidR="00842D91">
        <w:rPr>
          <w:rFonts w:ascii="Garamond" w:hAnsi="Garamond"/>
          <w:b/>
          <w:sz w:val="22"/>
          <w:szCs w:val="22"/>
        </w:rPr>
        <w:t>Russia</w:t>
      </w:r>
      <w:r w:rsidR="005C04B1">
        <w:rPr>
          <w:rFonts w:ascii="Garamond" w:hAnsi="Garamond"/>
          <w:b/>
          <w:sz w:val="22"/>
          <w:szCs w:val="22"/>
        </w:rPr>
        <w:t>, with some slowing anticipated in the</w:t>
      </w:r>
      <w:r w:rsidR="005C04B1" w:rsidRPr="00EE5F0F">
        <w:rPr>
          <w:rFonts w:ascii="Garamond" w:hAnsi="Garamond"/>
          <w:b/>
          <w:sz w:val="22"/>
          <w:szCs w:val="22"/>
        </w:rPr>
        <w:t xml:space="preserve"> Eurozone</w:t>
      </w:r>
      <w:r w:rsidR="00220A90">
        <w:rPr>
          <w:rFonts w:ascii="Garamond" w:hAnsi="Garamond"/>
          <w:b/>
          <w:sz w:val="22"/>
          <w:szCs w:val="22"/>
        </w:rPr>
        <w:t xml:space="preserve"> – </w:t>
      </w:r>
      <w:r w:rsidR="00992FC8">
        <w:rPr>
          <w:rFonts w:ascii="Garamond" w:hAnsi="Garamond"/>
          <w:b/>
          <w:sz w:val="22"/>
          <w:szCs w:val="22"/>
        </w:rPr>
        <w:t>the main</w:t>
      </w:r>
      <w:r w:rsidR="00992FC8" w:rsidRPr="00EE5F0F">
        <w:rPr>
          <w:rFonts w:ascii="Garamond" w:hAnsi="Garamond"/>
          <w:b/>
          <w:sz w:val="22"/>
          <w:szCs w:val="22"/>
        </w:rPr>
        <w:t xml:space="preserve"> trade partners to Armenia</w:t>
      </w:r>
      <w:r w:rsidR="00842D91" w:rsidRPr="00842D91">
        <w:rPr>
          <w:rFonts w:ascii="Garamond" w:hAnsi="Garamond"/>
          <w:b/>
          <w:sz w:val="22"/>
          <w:szCs w:val="22"/>
        </w:rPr>
        <w:t>.</w:t>
      </w:r>
      <w:r w:rsidR="00E76EEB" w:rsidRPr="00EE5F0F">
        <w:rPr>
          <w:rFonts w:ascii="Garamond" w:hAnsi="Garamond"/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3417FE" w:rsidRPr="00AB24C1" w14:paraId="7919206F" w14:textId="77777777" w:rsidTr="003417FE">
        <w:tc>
          <w:tcPr>
            <w:tcW w:w="6204" w:type="dxa"/>
          </w:tcPr>
          <w:p w14:paraId="38679703" w14:textId="77777777" w:rsidR="003417FE" w:rsidRPr="00BC3332" w:rsidRDefault="00BC3332" w:rsidP="005C04B1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>
              <w:rPr>
                <w:rFonts w:ascii="Garamond" w:hAnsi="Garamond"/>
                <w:color w:val="0070C0"/>
                <w:sz w:val="20"/>
                <w:szCs w:val="20"/>
              </w:rPr>
              <w:t>T</w:t>
            </w:r>
            <w:r w:rsidRPr="00BC3332">
              <w:rPr>
                <w:rFonts w:ascii="Garamond" w:hAnsi="Garamond"/>
                <w:color w:val="0070C0"/>
                <w:sz w:val="20"/>
                <w:szCs w:val="20"/>
              </w:rPr>
              <w:t xml:space="preserve">he global economy </w:t>
            </w:r>
            <w:r w:rsidR="00992FC8">
              <w:rPr>
                <w:rFonts w:ascii="Garamond" w:hAnsi="Garamond"/>
                <w:color w:val="0070C0"/>
                <w:sz w:val="20"/>
                <w:szCs w:val="20"/>
              </w:rPr>
              <w:t xml:space="preserve">slowed down in </w:t>
            </w:r>
            <w:r w:rsidR="00EE39CC">
              <w:rPr>
                <w:rFonts w:ascii="Garamond" w:hAnsi="Garamond"/>
                <w:color w:val="0070C0"/>
                <w:sz w:val="20"/>
                <w:szCs w:val="20"/>
              </w:rPr>
              <w:t xml:space="preserve">2019 </w:t>
            </w:r>
            <w:r w:rsidR="00992FC8">
              <w:rPr>
                <w:rFonts w:ascii="Garamond" w:hAnsi="Garamond"/>
                <w:color w:val="0070C0"/>
                <w:sz w:val="20"/>
                <w:szCs w:val="20"/>
              </w:rPr>
              <w:t xml:space="preserve">and </w:t>
            </w:r>
            <w:r w:rsidR="005C04B1">
              <w:rPr>
                <w:rFonts w:ascii="Garamond" w:hAnsi="Garamond"/>
                <w:color w:val="0070C0"/>
                <w:sz w:val="20"/>
                <w:szCs w:val="20"/>
              </w:rPr>
              <w:t>weak growth rates will be observable in 2020.</w:t>
            </w:r>
            <w:r w:rsidR="00842D91">
              <w:rPr>
                <w:rFonts w:ascii="Garamond" w:hAnsi="Garamond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53FE3411" w14:textId="77777777" w:rsidR="003417FE" w:rsidRDefault="003417FE" w:rsidP="003417FE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5A203FD3" w14:textId="77777777" w:rsidR="00D25EB7" w:rsidRDefault="00EE619D" w:rsidP="0006352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Economic developments </w:t>
      </w:r>
      <w:r w:rsidR="00F50859">
        <w:rPr>
          <w:rFonts w:ascii="Garamond" w:hAnsi="Garamond"/>
          <w:b/>
          <w:sz w:val="22"/>
          <w:szCs w:val="22"/>
        </w:rPr>
        <w:t>in the United States</w:t>
      </w:r>
      <w:r w:rsidRPr="00EE5F0F">
        <w:rPr>
          <w:rFonts w:ascii="Garamond" w:hAnsi="Garamond"/>
          <w:b/>
          <w:sz w:val="22"/>
          <w:szCs w:val="22"/>
        </w:rPr>
        <w:t>:</w:t>
      </w:r>
      <w:r w:rsidRPr="00EE5F0F">
        <w:rPr>
          <w:rFonts w:ascii="Garamond" w:hAnsi="Garamond"/>
          <w:sz w:val="22"/>
          <w:szCs w:val="22"/>
        </w:rPr>
        <w:t xml:space="preserve"> </w:t>
      </w:r>
      <w:r w:rsidRPr="008D163A">
        <w:rPr>
          <w:rFonts w:ascii="Garamond" w:hAnsi="Garamond"/>
          <w:sz w:val="22"/>
          <w:szCs w:val="22"/>
        </w:rPr>
        <w:t>According</w:t>
      </w:r>
      <w:r w:rsidRPr="00EE5F0F">
        <w:rPr>
          <w:rFonts w:ascii="Garamond" w:hAnsi="Garamond"/>
          <w:sz w:val="22"/>
          <w:szCs w:val="22"/>
        </w:rPr>
        <w:t xml:space="preserve"> to </w:t>
      </w:r>
      <w:r w:rsidR="00F50859">
        <w:rPr>
          <w:rFonts w:ascii="Garamond" w:hAnsi="Garamond"/>
          <w:sz w:val="22"/>
          <w:szCs w:val="22"/>
        </w:rPr>
        <w:t xml:space="preserve">the </w:t>
      </w:r>
      <w:r w:rsidR="00C63E35">
        <w:rPr>
          <w:rFonts w:ascii="Garamond" w:hAnsi="Garamond"/>
          <w:sz w:val="22"/>
          <w:szCs w:val="22"/>
        </w:rPr>
        <w:t xml:space="preserve">second </w:t>
      </w:r>
      <w:r w:rsidR="00D34BDA">
        <w:rPr>
          <w:rFonts w:ascii="Garamond" w:hAnsi="Garamond"/>
          <w:sz w:val="22"/>
          <w:szCs w:val="22"/>
        </w:rPr>
        <w:t>estimate</w:t>
      </w:r>
      <w:r w:rsidR="00D34BDA" w:rsidRPr="00EE5F0F">
        <w:rPr>
          <w:rFonts w:ascii="Garamond" w:hAnsi="Garamond"/>
          <w:sz w:val="22"/>
          <w:szCs w:val="22"/>
        </w:rPr>
        <w:t xml:space="preserve"> </w:t>
      </w:r>
      <w:r w:rsidR="00D34BDA">
        <w:rPr>
          <w:rFonts w:ascii="Garamond" w:hAnsi="Garamond"/>
          <w:sz w:val="22"/>
          <w:szCs w:val="22"/>
        </w:rPr>
        <w:t xml:space="preserve">by the </w:t>
      </w:r>
      <w:r w:rsidR="0066474B" w:rsidRPr="00EE5F0F">
        <w:rPr>
          <w:rFonts w:ascii="Garamond" w:hAnsi="Garamond"/>
          <w:sz w:val="22"/>
          <w:szCs w:val="22"/>
        </w:rPr>
        <w:t xml:space="preserve">U.S. </w:t>
      </w:r>
      <w:r w:rsidR="0066474B">
        <w:rPr>
          <w:rFonts w:ascii="Garamond" w:hAnsi="Garamond"/>
          <w:sz w:val="22"/>
          <w:szCs w:val="22"/>
        </w:rPr>
        <w:t>Bureau of Economic Analysis</w:t>
      </w:r>
      <w:r w:rsidRPr="00EE5F0F">
        <w:rPr>
          <w:rFonts w:ascii="Garamond" w:hAnsi="Garamond"/>
          <w:sz w:val="22"/>
          <w:szCs w:val="22"/>
        </w:rPr>
        <w:t xml:space="preserve">, economic growth in the </w:t>
      </w:r>
      <w:r w:rsidR="0066474B">
        <w:rPr>
          <w:rFonts w:ascii="Garamond" w:hAnsi="Garamond"/>
          <w:sz w:val="22"/>
          <w:szCs w:val="22"/>
        </w:rPr>
        <w:t xml:space="preserve">USA </w:t>
      </w:r>
      <w:r w:rsidR="00506EA5" w:rsidRPr="00EE5F0F">
        <w:rPr>
          <w:rFonts w:ascii="Garamond" w:hAnsi="Garamond"/>
          <w:sz w:val="22"/>
          <w:szCs w:val="22"/>
        </w:rPr>
        <w:t>in the</w:t>
      </w:r>
      <w:r w:rsidR="00151ED8">
        <w:rPr>
          <w:rFonts w:ascii="Garamond" w:hAnsi="Garamond"/>
          <w:sz w:val="22"/>
          <w:szCs w:val="22"/>
        </w:rPr>
        <w:t xml:space="preserve"> </w:t>
      </w:r>
      <w:r w:rsidR="008D163A">
        <w:rPr>
          <w:rFonts w:ascii="Garamond" w:hAnsi="Garamond"/>
          <w:sz w:val="22"/>
          <w:szCs w:val="22"/>
        </w:rPr>
        <w:t>third</w:t>
      </w:r>
      <w:r w:rsidR="0066474B">
        <w:rPr>
          <w:rFonts w:ascii="Garamond" w:hAnsi="Garamond"/>
          <w:sz w:val="22"/>
          <w:szCs w:val="22"/>
        </w:rPr>
        <w:t xml:space="preserve"> q</w:t>
      </w:r>
      <w:r w:rsidRPr="00EE5F0F">
        <w:rPr>
          <w:rFonts w:ascii="Garamond" w:hAnsi="Garamond"/>
          <w:sz w:val="22"/>
          <w:szCs w:val="22"/>
        </w:rPr>
        <w:t>uarter of 201</w:t>
      </w:r>
      <w:r w:rsidR="0066474B">
        <w:rPr>
          <w:rFonts w:ascii="Garamond" w:hAnsi="Garamond"/>
          <w:sz w:val="22"/>
          <w:szCs w:val="22"/>
        </w:rPr>
        <w:t>9</w:t>
      </w:r>
      <w:r w:rsidRPr="00EE5F0F">
        <w:rPr>
          <w:rFonts w:ascii="Garamond" w:hAnsi="Garamond"/>
          <w:sz w:val="22"/>
          <w:szCs w:val="22"/>
        </w:rPr>
        <w:t xml:space="preserve"> was </w:t>
      </w:r>
      <w:r w:rsidR="00D34BDA">
        <w:rPr>
          <w:rFonts w:ascii="Garamond" w:hAnsi="Garamond"/>
          <w:sz w:val="22"/>
          <w:szCs w:val="22"/>
        </w:rPr>
        <w:t>2</w:t>
      </w:r>
      <w:r w:rsidRPr="00EE5F0F">
        <w:rPr>
          <w:rFonts w:ascii="Garamond" w:hAnsi="Garamond"/>
          <w:sz w:val="22"/>
          <w:szCs w:val="22"/>
        </w:rPr>
        <w:t>.</w:t>
      </w:r>
      <w:r w:rsidR="008D163A">
        <w:rPr>
          <w:rFonts w:ascii="Garamond" w:hAnsi="Garamond"/>
          <w:sz w:val="22"/>
          <w:szCs w:val="22"/>
        </w:rPr>
        <w:t>0</w:t>
      </w:r>
      <w:r w:rsidRPr="00EE5F0F">
        <w:rPr>
          <w:rFonts w:ascii="Garamond" w:hAnsi="Garamond"/>
          <w:sz w:val="22"/>
          <w:szCs w:val="22"/>
        </w:rPr>
        <w:t>% y/y</w:t>
      </w:r>
      <w:r w:rsidR="00506EA5" w:rsidRPr="00EE5F0F">
        <w:rPr>
          <w:rFonts w:ascii="Garamond" w:hAnsi="Garamond"/>
          <w:sz w:val="22"/>
          <w:szCs w:val="22"/>
        </w:rPr>
        <w:t xml:space="preserve">, </w:t>
      </w:r>
      <w:r w:rsidR="008D163A">
        <w:rPr>
          <w:rFonts w:ascii="Garamond" w:hAnsi="Garamond"/>
          <w:sz w:val="22"/>
          <w:szCs w:val="22"/>
        </w:rPr>
        <w:t xml:space="preserve">mainly owing to </w:t>
      </w:r>
      <w:r w:rsidR="008D163A" w:rsidRPr="008D163A">
        <w:rPr>
          <w:rFonts w:ascii="Garamond" w:hAnsi="Garamond"/>
          <w:sz w:val="22"/>
          <w:szCs w:val="22"/>
        </w:rPr>
        <w:t>private consumption</w:t>
      </w:r>
      <w:r w:rsidR="008D163A">
        <w:rPr>
          <w:rFonts w:ascii="Garamond" w:hAnsi="Garamond"/>
          <w:sz w:val="22"/>
          <w:szCs w:val="22"/>
        </w:rPr>
        <w:t>’s</w:t>
      </w:r>
      <w:r w:rsidR="008D163A" w:rsidRPr="008D163A">
        <w:rPr>
          <w:rFonts w:ascii="Garamond" w:hAnsi="Garamond"/>
          <w:sz w:val="22"/>
          <w:szCs w:val="22"/>
        </w:rPr>
        <w:t xml:space="preserve"> positive contribution as opposed to the negative contribution </w:t>
      </w:r>
      <w:r w:rsidR="008D163A">
        <w:rPr>
          <w:rFonts w:ascii="Garamond" w:hAnsi="Garamond"/>
          <w:sz w:val="22"/>
          <w:szCs w:val="22"/>
        </w:rPr>
        <w:t xml:space="preserve">by investment. The 2019 </w:t>
      </w:r>
      <w:r w:rsidRPr="00EE5F0F">
        <w:rPr>
          <w:rFonts w:ascii="Garamond" w:hAnsi="Garamond"/>
          <w:sz w:val="22"/>
          <w:szCs w:val="22"/>
        </w:rPr>
        <w:t xml:space="preserve">economic growth </w:t>
      </w:r>
      <w:r w:rsidR="008D163A">
        <w:rPr>
          <w:rFonts w:ascii="Garamond" w:hAnsi="Garamond"/>
          <w:sz w:val="22"/>
          <w:szCs w:val="22"/>
        </w:rPr>
        <w:t xml:space="preserve">is an estimated </w:t>
      </w:r>
      <w:r w:rsidRPr="00EE5F0F">
        <w:rPr>
          <w:rFonts w:ascii="Garamond" w:hAnsi="Garamond"/>
          <w:sz w:val="22"/>
          <w:szCs w:val="22"/>
        </w:rPr>
        <w:t>2.</w:t>
      </w:r>
      <w:r w:rsidR="00157030">
        <w:rPr>
          <w:rFonts w:ascii="Garamond" w:hAnsi="Garamond"/>
          <w:sz w:val="22"/>
          <w:szCs w:val="22"/>
        </w:rPr>
        <w:t>3</w:t>
      </w:r>
      <w:r w:rsidRPr="00EE5F0F">
        <w:rPr>
          <w:rFonts w:ascii="Garamond" w:hAnsi="Garamond"/>
          <w:sz w:val="22"/>
          <w:szCs w:val="22"/>
        </w:rPr>
        <w:t>%</w:t>
      </w:r>
      <w:r w:rsidR="00161645">
        <w:rPr>
          <w:rFonts w:ascii="Garamond" w:hAnsi="Garamond"/>
          <w:sz w:val="22"/>
          <w:szCs w:val="22"/>
        </w:rPr>
        <w:t>.</w:t>
      </w:r>
      <w:r w:rsidR="00986952" w:rsidRPr="00986952">
        <w:t xml:space="preserve"> </w:t>
      </w:r>
      <w:r w:rsidR="00986952">
        <w:rPr>
          <w:rFonts w:ascii="Garamond" w:hAnsi="Garamond"/>
          <w:sz w:val="22"/>
          <w:szCs w:val="22"/>
        </w:rPr>
        <w:t>The u</w:t>
      </w:r>
      <w:r w:rsidR="00986952" w:rsidRPr="00986952">
        <w:rPr>
          <w:rFonts w:ascii="Garamond" w:hAnsi="Garamond"/>
          <w:sz w:val="22"/>
          <w:szCs w:val="22"/>
        </w:rPr>
        <w:t xml:space="preserve">nemployment rate in the </w:t>
      </w:r>
      <w:r w:rsidR="008D163A">
        <w:rPr>
          <w:rFonts w:ascii="Garamond" w:hAnsi="Garamond"/>
          <w:sz w:val="22"/>
          <w:szCs w:val="22"/>
        </w:rPr>
        <w:t xml:space="preserve">third </w:t>
      </w:r>
      <w:r w:rsidR="00986952" w:rsidRPr="00986952">
        <w:rPr>
          <w:rFonts w:ascii="Garamond" w:hAnsi="Garamond"/>
          <w:sz w:val="22"/>
          <w:szCs w:val="22"/>
        </w:rPr>
        <w:t xml:space="preserve">quarter </w:t>
      </w:r>
      <w:r w:rsidR="00157030">
        <w:rPr>
          <w:rFonts w:ascii="Garamond" w:hAnsi="Garamond"/>
          <w:sz w:val="22"/>
          <w:szCs w:val="22"/>
        </w:rPr>
        <w:t xml:space="preserve">of 2019 </w:t>
      </w:r>
      <w:r w:rsidR="008D163A">
        <w:rPr>
          <w:rFonts w:ascii="Garamond" w:hAnsi="Garamond"/>
          <w:sz w:val="22"/>
          <w:szCs w:val="22"/>
        </w:rPr>
        <w:t xml:space="preserve">somewhat declined to </w:t>
      </w:r>
      <w:r w:rsidR="00986952" w:rsidRPr="00986952">
        <w:rPr>
          <w:rFonts w:ascii="Garamond" w:hAnsi="Garamond"/>
          <w:sz w:val="22"/>
          <w:szCs w:val="22"/>
        </w:rPr>
        <w:t>3.</w:t>
      </w:r>
      <w:r w:rsidR="008D163A">
        <w:rPr>
          <w:rFonts w:ascii="Garamond" w:hAnsi="Garamond"/>
          <w:sz w:val="22"/>
          <w:szCs w:val="22"/>
        </w:rPr>
        <w:t>6</w:t>
      </w:r>
      <w:r w:rsidR="00986952" w:rsidRPr="00986952">
        <w:rPr>
          <w:rFonts w:ascii="Garamond" w:hAnsi="Garamond"/>
          <w:sz w:val="22"/>
          <w:szCs w:val="22"/>
        </w:rPr>
        <w:t>%.</w:t>
      </w:r>
      <w:r w:rsidR="00161645">
        <w:rPr>
          <w:rFonts w:ascii="Garamond" w:hAnsi="Garamond"/>
          <w:sz w:val="22"/>
          <w:szCs w:val="22"/>
        </w:rPr>
        <w:t xml:space="preserve"> </w:t>
      </w:r>
      <w:r w:rsidR="001161ED">
        <w:rPr>
          <w:rFonts w:ascii="Garamond" w:hAnsi="Garamond"/>
          <w:sz w:val="22"/>
          <w:szCs w:val="22"/>
        </w:rPr>
        <w:t>T</w:t>
      </w:r>
      <w:r w:rsidR="00986952" w:rsidRPr="00986952">
        <w:rPr>
          <w:rFonts w:ascii="Garamond" w:hAnsi="Garamond"/>
          <w:sz w:val="22"/>
          <w:szCs w:val="22"/>
        </w:rPr>
        <w:t xml:space="preserve">he economic growth </w:t>
      </w:r>
      <w:r w:rsidR="00986952">
        <w:rPr>
          <w:rFonts w:ascii="Garamond" w:hAnsi="Garamond"/>
          <w:sz w:val="22"/>
          <w:szCs w:val="22"/>
        </w:rPr>
        <w:t>rate is predicted to slow down</w:t>
      </w:r>
      <w:r w:rsidR="007640FE">
        <w:rPr>
          <w:rFonts w:ascii="Garamond" w:hAnsi="Garamond"/>
          <w:sz w:val="22"/>
          <w:szCs w:val="22"/>
        </w:rPr>
        <w:t xml:space="preserve"> in 2020 </w:t>
      </w:r>
      <w:r w:rsidR="008D163A">
        <w:rPr>
          <w:rFonts w:ascii="Garamond" w:hAnsi="Garamond"/>
          <w:sz w:val="22"/>
          <w:szCs w:val="22"/>
        </w:rPr>
        <w:t>due to weak investment.</w:t>
      </w:r>
    </w:p>
    <w:p w14:paraId="223D5EB7" w14:textId="7705E92B" w:rsidR="00C57718" w:rsidRDefault="00474E70" w:rsidP="0006352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Pr="00457C7F">
        <w:rPr>
          <w:rFonts w:ascii="Garamond" w:hAnsi="Garamond"/>
          <w:sz w:val="22"/>
          <w:szCs w:val="22"/>
        </w:rPr>
        <w:t xml:space="preserve">n the </w:t>
      </w:r>
      <w:r>
        <w:rPr>
          <w:rFonts w:ascii="Garamond" w:hAnsi="Garamond"/>
          <w:sz w:val="22"/>
          <w:szCs w:val="22"/>
        </w:rPr>
        <w:t xml:space="preserve">USA in the </w:t>
      </w:r>
      <w:r w:rsidR="008D163A">
        <w:rPr>
          <w:rFonts w:ascii="Garamond" w:hAnsi="Garamond"/>
          <w:sz w:val="22"/>
          <w:szCs w:val="22"/>
        </w:rPr>
        <w:t>third</w:t>
      </w:r>
      <w:r w:rsidRPr="00457C7F">
        <w:rPr>
          <w:rFonts w:ascii="Garamond" w:hAnsi="Garamond"/>
          <w:sz w:val="22"/>
          <w:szCs w:val="22"/>
        </w:rPr>
        <w:t xml:space="preserve"> quarter of 2019</w:t>
      </w:r>
      <w:r>
        <w:rPr>
          <w:rFonts w:ascii="Garamond" w:hAnsi="Garamond"/>
          <w:sz w:val="22"/>
          <w:szCs w:val="22"/>
        </w:rPr>
        <w:t>, t</w:t>
      </w:r>
      <w:r w:rsidR="00457C7F">
        <w:rPr>
          <w:rFonts w:ascii="Garamond" w:hAnsi="Garamond"/>
          <w:sz w:val="22"/>
          <w:szCs w:val="22"/>
        </w:rPr>
        <w:t>he average qua</w:t>
      </w:r>
      <w:r w:rsidR="00457C7F" w:rsidRPr="00457C7F">
        <w:rPr>
          <w:rFonts w:ascii="Garamond" w:hAnsi="Garamond"/>
          <w:sz w:val="22"/>
          <w:szCs w:val="22"/>
        </w:rPr>
        <w:t xml:space="preserve">rterly </w:t>
      </w:r>
      <w:r w:rsidR="006B7A31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>p</w:t>
      </w:r>
      <w:r w:rsidR="00457C7F" w:rsidRPr="00457C7F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ersonal consumption expenditure </w:t>
      </w:r>
      <w:r w:rsidR="006B7A31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>price index</w:t>
      </w:r>
      <w:r>
        <w:rPr>
          <w:rStyle w:val="FootnoteReference"/>
          <w:rFonts w:ascii="Garamond" w:hAnsi="Garamond"/>
          <w:sz w:val="22"/>
          <w:szCs w:val="22"/>
        </w:rPr>
        <w:footnoteReference w:customMarkFollows="1" w:id="1"/>
        <w:t>2</w:t>
      </w:r>
      <w:r w:rsidR="006B7A31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 </w:t>
      </w:r>
      <w:r w:rsidR="009852BA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was </w:t>
      </w:r>
      <w:r w:rsidR="006B7A31">
        <w:rPr>
          <w:rFonts w:ascii="Garamond" w:hAnsi="Garamond"/>
          <w:sz w:val="22"/>
          <w:szCs w:val="22"/>
        </w:rPr>
        <w:t>1.4%</w:t>
      </w:r>
      <w:r w:rsidR="009852BA">
        <w:rPr>
          <w:rFonts w:ascii="Garamond" w:hAnsi="Garamond"/>
          <w:sz w:val="22"/>
          <w:szCs w:val="22"/>
        </w:rPr>
        <w:t xml:space="preserve">, persisting </w:t>
      </w:r>
      <w:r w:rsidR="007640FE">
        <w:rPr>
          <w:rFonts w:ascii="Garamond" w:hAnsi="Garamond"/>
          <w:sz w:val="22"/>
          <w:szCs w:val="22"/>
        </w:rPr>
        <w:t xml:space="preserve">below </w:t>
      </w:r>
      <w:r w:rsidR="00A92967" w:rsidRPr="00A92967">
        <w:rPr>
          <w:rFonts w:ascii="Garamond" w:hAnsi="Garamond"/>
          <w:sz w:val="22"/>
          <w:szCs w:val="22"/>
        </w:rPr>
        <w:t xml:space="preserve">the </w:t>
      </w:r>
      <w:r w:rsidR="00AE70A1" w:rsidRPr="00186500">
        <w:rPr>
          <w:rFonts w:ascii="Garamond" w:hAnsi="Garamond"/>
          <w:sz w:val="22"/>
          <w:szCs w:val="22"/>
        </w:rPr>
        <w:t>US Federal Reserve</w:t>
      </w:r>
      <w:r w:rsidR="00A92967">
        <w:rPr>
          <w:rFonts w:ascii="Garamond" w:hAnsi="Garamond"/>
          <w:sz w:val="22"/>
          <w:szCs w:val="22"/>
        </w:rPr>
        <w:t>’s medium-term target.</w:t>
      </w:r>
      <w:r w:rsidR="00457C7F">
        <w:rPr>
          <w:rFonts w:ascii="Garamond" w:hAnsi="Garamond"/>
          <w:sz w:val="22"/>
          <w:szCs w:val="22"/>
        </w:rPr>
        <w:t xml:space="preserve"> </w:t>
      </w:r>
      <w:r w:rsidR="00FA4782">
        <w:rPr>
          <w:rFonts w:ascii="Garamond" w:hAnsi="Garamond"/>
          <w:sz w:val="22"/>
          <w:szCs w:val="22"/>
        </w:rPr>
        <w:t xml:space="preserve">Given </w:t>
      </w:r>
      <w:r w:rsidR="0001231A">
        <w:rPr>
          <w:rFonts w:ascii="Garamond" w:hAnsi="Garamond"/>
          <w:sz w:val="22"/>
          <w:szCs w:val="22"/>
        </w:rPr>
        <w:t xml:space="preserve">actual growth developments and further uncertainties </w:t>
      </w:r>
      <w:r w:rsidR="00FA4782">
        <w:rPr>
          <w:rFonts w:ascii="Garamond" w:hAnsi="Garamond"/>
          <w:sz w:val="22"/>
          <w:szCs w:val="22"/>
        </w:rPr>
        <w:t>a</w:t>
      </w:r>
      <w:r w:rsidR="0001231A">
        <w:rPr>
          <w:rFonts w:ascii="Garamond" w:hAnsi="Garamond"/>
          <w:sz w:val="22"/>
          <w:szCs w:val="22"/>
        </w:rPr>
        <w:t>ris</w:t>
      </w:r>
      <w:r w:rsidR="00FA4782">
        <w:rPr>
          <w:rFonts w:ascii="Garamond" w:hAnsi="Garamond"/>
          <w:sz w:val="22"/>
          <w:szCs w:val="22"/>
        </w:rPr>
        <w:t xml:space="preserve">ing </w:t>
      </w:r>
      <w:r w:rsidR="0001231A">
        <w:rPr>
          <w:rFonts w:ascii="Garamond" w:hAnsi="Garamond"/>
          <w:sz w:val="22"/>
          <w:szCs w:val="22"/>
        </w:rPr>
        <w:t xml:space="preserve">from </w:t>
      </w:r>
      <w:r w:rsidR="00FA4782">
        <w:rPr>
          <w:rFonts w:ascii="Garamond" w:hAnsi="Garamond"/>
          <w:sz w:val="22"/>
          <w:szCs w:val="22"/>
        </w:rPr>
        <w:t>t</w:t>
      </w:r>
      <w:r w:rsidR="0001231A">
        <w:rPr>
          <w:rFonts w:ascii="Garamond" w:hAnsi="Garamond"/>
          <w:sz w:val="22"/>
          <w:szCs w:val="22"/>
        </w:rPr>
        <w:t>rade war</w:t>
      </w:r>
      <w:r w:rsidR="00FA4782">
        <w:rPr>
          <w:rFonts w:ascii="Garamond" w:hAnsi="Garamond"/>
          <w:sz w:val="22"/>
          <w:szCs w:val="22"/>
        </w:rPr>
        <w:t xml:space="preserve">s </w:t>
      </w:r>
      <w:r w:rsidR="0001231A">
        <w:rPr>
          <w:rFonts w:ascii="Garamond" w:hAnsi="Garamond"/>
          <w:sz w:val="22"/>
          <w:szCs w:val="22"/>
        </w:rPr>
        <w:t>and i</w:t>
      </w:r>
      <w:r w:rsidR="0001231A" w:rsidRPr="00EE5F0F">
        <w:rPr>
          <w:rFonts w:ascii="Garamond" w:hAnsi="Garamond"/>
          <w:sz w:val="22"/>
          <w:szCs w:val="22"/>
        </w:rPr>
        <w:t>n view of</w:t>
      </w:r>
      <w:r w:rsidR="0001231A">
        <w:rPr>
          <w:rFonts w:ascii="Garamond" w:hAnsi="Garamond"/>
          <w:sz w:val="22"/>
          <w:szCs w:val="22"/>
        </w:rPr>
        <w:t xml:space="preserve"> low inflation, </w:t>
      </w:r>
      <w:r w:rsidR="00A92967">
        <w:rPr>
          <w:rFonts w:ascii="Garamond" w:hAnsi="Garamond"/>
          <w:sz w:val="22"/>
          <w:szCs w:val="22"/>
        </w:rPr>
        <w:t>the Fed</w:t>
      </w:r>
      <w:r w:rsidR="00A92967" w:rsidRPr="00EE5F0F">
        <w:rPr>
          <w:rFonts w:ascii="Garamond" w:hAnsi="Garamond"/>
          <w:sz w:val="22"/>
          <w:szCs w:val="22"/>
        </w:rPr>
        <w:t xml:space="preserve"> </w:t>
      </w:r>
      <w:r w:rsidR="0001231A">
        <w:rPr>
          <w:rFonts w:ascii="Garamond" w:hAnsi="Garamond"/>
          <w:sz w:val="22"/>
          <w:szCs w:val="22"/>
        </w:rPr>
        <w:t xml:space="preserve">cut </w:t>
      </w:r>
      <w:r w:rsidR="00A92967">
        <w:rPr>
          <w:rFonts w:ascii="Garamond" w:hAnsi="Garamond"/>
          <w:sz w:val="22"/>
          <w:szCs w:val="22"/>
        </w:rPr>
        <w:t>the</w:t>
      </w:r>
      <w:r w:rsidR="00A92967" w:rsidRPr="00EE5F0F">
        <w:rPr>
          <w:rFonts w:ascii="Garamond" w:hAnsi="Garamond"/>
          <w:sz w:val="22"/>
          <w:szCs w:val="22"/>
        </w:rPr>
        <w:t xml:space="preserve"> policy rate</w:t>
      </w:r>
      <w:r w:rsidR="00A92967">
        <w:rPr>
          <w:rFonts w:ascii="Garamond" w:hAnsi="Garamond"/>
          <w:sz w:val="22"/>
          <w:szCs w:val="22"/>
        </w:rPr>
        <w:t xml:space="preserve"> </w:t>
      </w:r>
      <w:r w:rsidR="00A92967" w:rsidRPr="00EE5F0F">
        <w:rPr>
          <w:rFonts w:ascii="Garamond" w:hAnsi="Garamond"/>
          <w:sz w:val="22"/>
          <w:szCs w:val="22"/>
        </w:rPr>
        <w:t xml:space="preserve">in </w:t>
      </w:r>
      <w:r w:rsidR="00FA4782">
        <w:rPr>
          <w:rFonts w:ascii="Garamond" w:hAnsi="Garamond"/>
          <w:sz w:val="22"/>
          <w:szCs w:val="22"/>
        </w:rPr>
        <w:t>October</w:t>
      </w:r>
      <w:r w:rsidR="0001231A">
        <w:rPr>
          <w:rFonts w:ascii="Garamond" w:hAnsi="Garamond"/>
          <w:sz w:val="22"/>
          <w:szCs w:val="22"/>
        </w:rPr>
        <w:t xml:space="preserve"> 2019 by </w:t>
      </w:r>
      <w:r w:rsidR="00FA4782">
        <w:rPr>
          <w:rFonts w:ascii="Garamond" w:hAnsi="Garamond"/>
          <w:sz w:val="22"/>
          <w:szCs w:val="22"/>
        </w:rPr>
        <w:t xml:space="preserve">another </w:t>
      </w:r>
      <w:r w:rsidR="0001231A">
        <w:rPr>
          <w:rFonts w:ascii="Garamond" w:hAnsi="Garamond"/>
          <w:sz w:val="22"/>
          <w:szCs w:val="22"/>
        </w:rPr>
        <w:t>0.25 pp</w:t>
      </w:r>
      <w:r w:rsidR="00FA4782">
        <w:rPr>
          <w:rFonts w:ascii="Garamond" w:hAnsi="Garamond"/>
          <w:sz w:val="22"/>
          <w:szCs w:val="22"/>
        </w:rPr>
        <w:t xml:space="preserve"> to set it </w:t>
      </w:r>
      <w:r w:rsidR="0001231A">
        <w:rPr>
          <w:rFonts w:ascii="Garamond" w:hAnsi="Garamond"/>
          <w:sz w:val="22"/>
          <w:szCs w:val="22"/>
        </w:rPr>
        <w:t xml:space="preserve">in a </w:t>
      </w:r>
      <w:r w:rsidR="00FA4782">
        <w:rPr>
          <w:rFonts w:ascii="Garamond" w:hAnsi="Garamond"/>
          <w:sz w:val="22"/>
          <w:szCs w:val="22"/>
        </w:rPr>
        <w:t>1</w:t>
      </w:r>
      <w:r w:rsidR="00A92967" w:rsidRPr="00EE5F0F">
        <w:rPr>
          <w:rFonts w:ascii="Garamond" w:hAnsi="Garamond"/>
          <w:sz w:val="22"/>
          <w:szCs w:val="22"/>
        </w:rPr>
        <w:t>.</w:t>
      </w:r>
      <w:r w:rsidR="00FA4782">
        <w:rPr>
          <w:rFonts w:ascii="Garamond" w:hAnsi="Garamond"/>
          <w:sz w:val="22"/>
          <w:szCs w:val="22"/>
        </w:rPr>
        <w:t>50</w:t>
      </w:r>
      <w:r w:rsidR="00A92967">
        <w:rPr>
          <w:rFonts w:ascii="Garamond" w:hAnsi="Garamond"/>
          <w:sz w:val="22"/>
          <w:szCs w:val="22"/>
        </w:rPr>
        <w:t>-</w:t>
      </w:r>
      <w:r w:rsidR="00FA4782">
        <w:rPr>
          <w:rFonts w:ascii="Garamond" w:hAnsi="Garamond"/>
          <w:sz w:val="22"/>
          <w:szCs w:val="22"/>
        </w:rPr>
        <w:t>1</w:t>
      </w:r>
      <w:r w:rsidR="00A92967" w:rsidRPr="00EE5F0F">
        <w:rPr>
          <w:rFonts w:ascii="Garamond" w:hAnsi="Garamond"/>
          <w:sz w:val="22"/>
          <w:szCs w:val="22"/>
        </w:rPr>
        <w:t>.</w:t>
      </w:r>
      <w:r w:rsidR="00FA4782">
        <w:rPr>
          <w:rFonts w:ascii="Garamond" w:hAnsi="Garamond"/>
          <w:sz w:val="22"/>
          <w:szCs w:val="22"/>
        </w:rPr>
        <w:t>7</w:t>
      </w:r>
      <w:r w:rsidR="0001231A">
        <w:rPr>
          <w:rFonts w:ascii="Garamond" w:hAnsi="Garamond"/>
          <w:sz w:val="22"/>
          <w:szCs w:val="22"/>
        </w:rPr>
        <w:t>5</w:t>
      </w:r>
      <w:r w:rsidR="00A92967" w:rsidRPr="00EE5F0F">
        <w:rPr>
          <w:rFonts w:ascii="Garamond" w:hAnsi="Garamond"/>
          <w:sz w:val="22"/>
          <w:szCs w:val="22"/>
        </w:rPr>
        <w:t>%</w:t>
      </w:r>
      <w:r w:rsidR="00A92967">
        <w:rPr>
          <w:rFonts w:ascii="Garamond" w:hAnsi="Garamond"/>
          <w:sz w:val="22"/>
          <w:szCs w:val="22"/>
        </w:rPr>
        <w:t xml:space="preserve"> range</w:t>
      </w:r>
      <w:r w:rsidR="00A92967" w:rsidRPr="00EE5F0F">
        <w:rPr>
          <w:rFonts w:ascii="Garamond" w:hAnsi="Garamond"/>
          <w:sz w:val="22"/>
          <w:szCs w:val="22"/>
        </w:rPr>
        <w:t>.</w:t>
      </w:r>
      <w:r w:rsidR="00344F63">
        <w:rPr>
          <w:rFonts w:ascii="Garamond" w:hAnsi="Garamond"/>
          <w:sz w:val="22"/>
          <w:szCs w:val="22"/>
        </w:rPr>
        <w:t xml:space="preserve"> </w:t>
      </w:r>
      <w:r w:rsidR="00FA4782">
        <w:rPr>
          <w:rFonts w:ascii="Garamond" w:hAnsi="Garamond"/>
          <w:sz w:val="22"/>
          <w:szCs w:val="22"/>
        </w:rPr>
        <w:t xml:space="preserve">In anticipation of </w:t>
      </w:r>
      <w:r w:rsidR="00FA4782" w:rsidRPr="00FA4782">
        <w:rPr>
          <w:rFonts w:ascii="Garamond" w:hAnsi="Garamond"/>
          <w:sz w:val="22"/>
          <w:szCs w:val="22"/>
        </w:rPr>
        <w:t>weak economic growth</w:t>
      </w:r>
      <w:r w:rsidR="00FA4782">
        <w:rPr>
          <w:rFonts w:ascii="Garamond" w:hAnsi="Garamond"/>
          <w:sz w:val="22"/>
          <w:szCs w:val="22"/>
        </w:rPr>
        <w:t xml:space="preserve"> and as</w:t>
      </w:r>
      <w:r w:rsidR="00186500">
        <w:rPr>
          <w:rFonts w:ascii="Garamond" w:hAnsi="Garamond"/>
          <w:sz w:val="22"/>
          <w:szCs w:val="22"/>
        </w:rPr>
        <w:t xml:space="preserve"> </w:t>
      </w:r>
      <w:r w:rsidR="00344F63">
        <w:rPr>
          <w:rFonts w:ascii="Garamond" w:hAnsi="Garamond"/>
          <w:sz w:val="22"/>
          <w:szCs w:val="22"/>
        </w:rPr>
        <w:t xml:space="preserve">the </w:t>
      </w:r>
      <w:r w:rsidR="00AE70A1">
        <w:rPr>
          <w:rFonts w:ascii="Garamond" w:hAnsi="Garamond"/>
          <w:sz w:val="22"/>
          <w:szCs w:val="22"/>
        </w:rPr>
        <w:t xml:space="preserve">inflation </w:t>
      </w:r>
      <w:r w:rsidR="00344F63">
        <w:rPr>
          <w:rFonts w:ascii="Garamond" w:hAnsi="Garamond"/>
          <w:sz w:val="22"/>
          <w:szCs w:val="22"/>
        </w:rPr>
        <w:t>is</w:t>
      </w:r>
      <w:r w:rsidR="00AE70A1">
        <w:rPr>
          <w:rFonts w:ascii="Garamond" w:hAnsi="Garamond"/>
          <w:sz w:val="22"/>
          <w:szCs w:val="22"/>
        </w:rPr>
        <w:t xml:space="preserve"> running below the </w:t>
      </w:r>
      <w:r w:rsidR="00344F63">
        <w:rPr>
          <w:rFonts w:ascii="Garamond" w:hAnsi="Garamond"/>
          <w:sz w:val="22"/>
          <w:szCs w:val="22"/>
        </w:rPr>
        <w:t>target (</w:t>
      </w:r>
      <w:r w:rsidR="00FA4782">
        <w:rPr>
          <w:rFonts w:ascii="Garamond" w:hAnsi="Garamond"/>
          <w:sz w:val="22"/>
          <w:szCs w:val="22"/>
        </w:rPr>
        <w:t xml:space="preserve">in October </w:t>
      </w:r>
      <w:r w:rsidR="00FA4782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>p</w:t>
      </w:r>
      <w:r w:rsidR="00FA4782" w:rsidRPr="00457C7F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ersonal consumption expenditure </w:t>
      </w:r>
      <w:r w:rsidR="00FA4782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>price index</w:t>
      </w:r>
      <w:r w:rsidR="00FA4782">
        <w:rPr>
          <w:rFonts w:ascii="Garamond" w:hAnsi="Garamond"/>
          <w:sz w:val="22"/>
          <w:szCs w:val="22"/>
        </w:rPr>
        <w:t xml:space="preserve"> </w:t>
      </w:r>
      <w:r w:rsidR="00344F63">
        <w:rPr>
          <w:rFonts w:ascii="Garamond" w:hAnsi="Garamond"/>
          <w:sz w:val="22"/>
          <w:szCs w:val="22"/>
        </w:rPr>
        <w:t xml:space="preserve">amounted to </w:t>
      </w:r>
      <w:r w:rsidR="00186500" w:rsidRPr="00186500">
        <w:rPr>
          <w:rFonts w:ascii="Garamond" w:hAnsi="Garamond"/>
          <w:sz w:val="22"/>
          <w:szCs w:val="22"/>
        </w:rPr>
        <w:t>1.</w:t>
      </w:r>
      <w:r w:rsidR="00FA4782">
        <w:rPr>
          <w:rFonts w:ascii="Garamond" w:hAnsi="Garamond"/>
          <w:sz w:val="22"/>
          <w:szCs w:val="22"/>
        </w:rPr>
        <w:t>3</w:t>
      </w:r>
      <w:r w:rsidR="00186500" w:rsidRPr="00186500">
        <w:rPr>
          <w:rFonts w:ascii="Garamond" w:hAnsi="Garamond"/>
          <w:sz w:val="22"/>
          <w:szCs w:val="22"/>
        </w:rPr>
        <w:t>%</w:t>
      </w:r>
      <w:r w:rsidR="00344F63">
        <w:rPr>
          <w:rFonts w:ascii="Garamond" w:hAnsi="Garamond"/>
          <w:sz w:val="22"/>
          <w:szCs w:val="22"/>
        </w:rPr>
        <w:t xml:space="preserve">), </w:t>
      </w:r>
      <w:r w:rsidR="00186500" w:rsidRPr="00186500">
        <w:rPr>
          <w:rFonts w:ascii="Garamond" w:hAnsi="Garamond"/>
          <w:sz w:val="22"/>
          <w:szCs w:val="22"/>
        </w:rPr>
        <w:t>the Fed</w:t>
      </w:r>
      <w:r w:rsidR="00AE70A1">
        <w:rPr>
          <w:rFonts w:ascii="Garamond" w:hAnsi="Garamond"/>
          <w:sz w:val="22"/>
          <w:szCs w:val="22"/>
        </w:rPr>
        <w:t xml:space="preserve"> </w:t>
      </w:r>
      <w:r w:rsidR="00344F63">
        <w:rPr>
          <w:rFonts w:ascii="Garamond" w:hAnsi="Garamond"/>
          <w:sz w:val="22"/>
          <w:szCs w:val="22"/>
        </w:rPr>
        <w:t xml:space="preserve">is </w:t>
      </w:r>
      <w:r w:rsidR="00FA4782">
        <w:rPr>
          <w:rFonts w:ascii="Garamond" w:hAnsi="Garamond"/>
          <w:sz w:val="22"/>
          <w:szCs w:val="22"/>
        </w:rPr>
        <w:t xml:space="preserve">expected </w:t>
      </w:r>
      <w:r w:rsidR="00FA4782" w:rsidRPr="00FA4782">
        <w:rPr>
          <w:rFonts w:ascii="Garamond" w:hAnsi="Garamond"/>
          <w:sz w:val="22"/>
          <w:szCs w:val="22"/>
        </w:rPr>
        <w:t xml:space="preserve">to </w:t>
      </w:r>
      <w:r w:rsidR="00063526">
        <w:rPr>
          <w:rFonts w:ascii="Garamond" w:hAnsi="Garamond"/>
          <w:sz w:val="22"/>
          <w:szCs w:val="22"/>
        </w:rPr>
        <w:t xml:space="preserve">keep the </w:t>
      </w:r>
      <w:r w:rsidR="00FA4782" w:rsidRPr="00FA4782">
        <w:rPr>
          <w:rFonts w:ascii="Garamond" w:hAnsi="Garamond"/>
          <w:sz w:val="22"/>
          <w:szCs w:val="22"/>
        </w:rPr>
        <w:t xml:space="preserve">current </w:t>
      </w:r>
      <w:r w:rsidR="00063526">
        <w:rPr>
          <w:rFonts w:ascii="Garamond" w:hAnsi="Garamond"/>
          <w:sz w:val="22"/>
          <w:szCs w:val="22"/>
        </w:rPr>
        <w:t xml:space="preserve">level of </w:t>
      </w:r>
      <w:r w:rsidR="00FA4782" w:rsidRPr="00FA4782">
        <w:rPr>
          <w:rFonts w:ascii="Garamond" w:hAnsi="Garamond"/>
          <w:sz w:val="22"/>
          <w:szCs w:val="22"/>
        </w:rPr>
        <w:t>interest rates</w:t>
      </w:r>
      <w:r w:rsidR="00C57718">
        <w:rPr>
          <w:rFonts w:ascii="Garamond" w:hAnsi="Garamond"/>
          <w:sz w:val="22"/>
          <w:szCs w:val="22"/>
        </w:rPr>
        <w:t>.</w:t>
      </w:r>
      <w:r w:rsidR="00063526">
        <w:rPr>
          <w:rFonts w:ascii="Garamond" w:hAnsi="Garamond"/>
          <w:sz w:val="22"/>
          <w:szCs w:val="22"/>
        </w:rPr>
        <w:t xml:space="preserve"> </w:t>
      </w:r>
    </w:p>
    <w:p w14:paraId="27675CE3" w14:textId="38CF05F7" w:rsidR="00EE619D" w:rsidRDefault="00B47AE5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Economic developments </w:t>
      </w:r>
      <w:r w:rsidR="00063526">
        <w:rPr>
          <w:rFonts w:ascii="Garamond" w:hAnsi="Garamond"/>
          <w:b/>
          <w:sz w:val="22"/>
          <w:szCs w:val="22"/>
        </w:rPr>
        <w:t xml:space="preserve">in </w:t>
      </w:r>
      <w:r>
        <w:rPr>
          <w:rFonts w:ascii="Garamond" w:hAnsi="Garamond"/>
          <w:b/>
          <w:sz w:val="22"/>
          <w:szCs w:val="22"/>
        </w:rPr>
        <w:t>the Eurozone:</w:t>
      </w:r>
      <w:r w:rsidRPr="00EE5F0F">
        <w:rPr>
          <w:rFonts w:ascii="Garamond" w:hAnsi="Garamond"/>
          <w:sz w:val="22"/>
          <w:szCs w:val="22"/>
        </w:rPr>
        <w:t xml:space="preserve"> </w:t>
      </w:r>
      <w:r w:rsidR="00EE619D" w:rsidRPr="00EE5F0F">
        <w:rPr>
          <w:rFonts w:ascii="Garamond" w:hAnsi="Garamond"/>
          <w:sz w:val="22"/>
          <w:szCs w:val="22"/>
        </w:rPr>
        <w:t xml:space="preserve">According to preliminary estimates provided by the Eurostat, economic growth </w:t>
      </w:r>
      <w:r w:rsidR="009738BB">
        <w:rPr>
          <w:rFonts w:ascii="Garamond" w:hAnsi="Garamond"/>
          <w:sz w:val="22"/>
          <w:szCs w:val="22"/>
        </w:rPr>
        <w:t xml:space="preserve">in </w:t>
      </w:r>
      <w:r w:rsidR="00EE619D" w:rsidRPr="009738BB">
        <w:rPr>
          <w:rFonts w:ascii="Garamond" w:hAnsi="Garamond"/>
          <w:sz w:val="22"/>
          <w:szCs w:val="22"/>
        </w:rPr>
        <w:t>the</w:t>
      </w:r>
      <w:r w:rsidR="00EE619D" w:rsidRPr="009738BB">
        <w:rPr>
          <w:rFonts w:ascii="Garamond" w:hAnsi="Garamond"/>
          <w:sz w:val="22"/>
          <w:szCs w:val="22"/>
          <w:lang w:val="hy-AM"/>
        </w:rPr>
        <w:t xml:space="preserve"> </w:t>
      </w:r>
      <w:r w:rsidR="00EE619D" w:rsidRPr="009738BB">
        <w:rPr>
          <w:rFonts w:ascii="Garamond" w:hAnsi="Garamond"/>
          <w:sz w:val="22"/>
          <w:szCs w:val="22"/>
        </w:rPr>
        <w:t>Eurozone</w:t>
      </w:r>
      <w:r w:rsidR="00EE619D" w:rsidRPr="00EE5F0F">
        <w:rPr>
          <w:rFonts w:ascii="Garamond" w:hAnsi="Garamond"/>
          <w:b/>
          <w:sz w:val="22"/>
          <w:szCs w:val="22"/>
          <w:lang w:val="hy-AM"/>
        </w:rPr>
        <w:t xml:space="preserve"> </w:t>
      </w:r>
      <w:r w:rsidR="00EE619D" w:rsidRPr="00EE5F0F">
        <w:rPr>
          <w:rFonts w:ascii="Garamond" w:hAnsi="Garamond"/>
          <w:sz w:val="22"/>
          <w:szCs w:val="22"/>
        </w:rPr>
        <w:t xml:space="preserve">in the </w:t>
      </w:r>
      <w:r w:rsidR="00063526">
        <w:rPr>
          <w:rFonts w:ascii="Garamond" w:hAnsi="Garamond"/>
          <w:sz w:val="22"/>
          <w:szCs w:val="22"/>
        </w:rPr>
        <w:t>third</w:t>
      </w:r>
      <w:r w:rsidR="009738BB">
        <w:rPr>
          <w:rFonts w:ascii="Garamond" w:hAnsi="Garamond"/>
          <w:sz w:val="22"/>
          <w:szCs w:val="22"/>
        </w:rPr>
        <w:t xml:space="preserve"> </w:t>
      </w:r>
      <w:r w:rsidR="00525AE5" w:rsidRPr="00EE5F0F">
        <w:rPr>
          <w:rFonts w:ascii="Garamond" w:hAnsi="Garamond"/>
          <w:sz w:val="22"/>
          <w:szCs w:val="22"/>
        </w:rPr>
        <w:t>quarter of 201</w:t>
      </w:r>
      <w:r w:rsidR="009738BB">
        <w:rPr>
          <w:rFonts w:ascii="Garamond" w:hAnsi="Garamond"/>
          <w:sz w:val="22"/>
          <w:szCs w:val="22"/>
        </w:rPr>
        <w:t>9</w:t>
      </w:r>
      <w:r w:rsidR="00EE619D" w:rsidRPr="00EE5F0F">
        <w:rPr>
          <w:rFonts w:ascii="Garamond" w:hAnsi="Garamond"/>
          <w:sz w:val="22"/>
          <w:szCs w:val="22"/>
          <w:lang w:val="hy-AM"/>
        </w:rPr>
        <w:t xml:space="preserve"> </w:t>
      </w:r>
      <w:r w:rsidR="00087327">
        <w:rPr>
          <w:rFonts w:ascii="Garamond" w:hAnsi="Garamond"/>
          <w:sz w:val="22"/>
          <w:szCs w:val="22"/>
        </w:rPr>
        <w:t xml:space="preserve">was </w:t>
      </w:r>
      <w:r w:rsidR="008157D0">
        <w:rPr>
          <w:rFonts w:ascii="Garamond" w:hAnsi="Garamond"/>
          <w:sz w:val="22"/>
          <w:szCs w:val="22"/>
        </w:rPr>
        <w:t>1</w:t>
      </w:r>
      <w:r w:rsidR="00EE619D" w:rsidRPr="00EE5F0F">
        <w:rPr>
          <w:rFonts w:ascii="Garamond" w:hAnsi="Garamond"/>
          <w:sz w:val="22"/>
          <w:szCs w:val="22"/>
        </w:rPr>
        <w:t>.</w:t>
      </w:r>
      <w:r w:rsidR="00063526">
        <w:rPr>
          <w:rFonts w:ascii="Garamond" w:hAnsi="Garamond"/>
          <w:sz w:val="22"/>
          <w:szCs w:val="22"/>
        </w:rPr>
        <w:t>2</w:t>
      </w:r>
      <w:r w:rsidR="00EE619D" w:rsidRPr="00EE5F0F">
        <w:rPr>
          <w:rFonts w:ascii="Garamond" w:hAnsi="Garamond"/>
          <w:sz w:val="22"/>
          <w:szCs w:val="22"/>
        </w:rPr>
        <w:t>% y/y</w:t>
      </w:r>
      <w:r w:rsidR="008157D0">
        <w:rPr>
          <w:rFonts w:ascii="Garamond" w:hAnsi="Garamond"/>
          <w:sz w:val="22"/>
          <w:szCs w:val="22"/>
        </w:rPr>
        <w:t xml:space="preserve">, </w:t>
      </w:r>
      <w:r w:rsidR="00087327">
        <w:rPr>
          <w:rFonts w:ascii="Garamond" w:hAnsi="Garamond"/>
          <w:sz w:val="22"/>
          <w:szCs w:val="22"/>
        </w:rPr>
        <w:t xml:space="preserve">with </w:t>
      </w:r>
      <w:r w:rsidR="00063526">
        <w:rPr>
          <w:rFonts w:ascii="Garamond" w:hAnsi="Garamond"/>
          <w:sz w:val="22"/>
          <w:szCs w:val="22"/>
        </w:rPr>
        <w:t xml:space="preserve">a growth indicator </w:t>
      </w:r>
      <w:r w:rsidR="00087327">
        <w:rPr>
          <w:rFonts w:ascii="Garamond" w:hAnsi="Garamond"/>
          <w:sz w:val="22"/>
          <w:szCs w:val="22"/>
        </w:rPr>
        <w:t xml:space="preserve">of 1.1% estimated for </w:t>
      </w:r>
      <w:r w:rsidR="001A1385">
        <w:rPr>
          <w:rFonts w:ascii="Garamond" w:hAnsi="Garamond"/>
          <w:sz w:val="22"/>
          <w:szCs w:val="22"/>
        </w:rPr>
        <w:t>2019</w:t>
      </w:r>
      <w:r w:rsidR="00087327">
        <w:rPr>
          <w:rFonts w:ascii="Garamond" w:hAnsi="Garamond"/>
          <w:sz w:val="22"/>
          <w:szCs w:val="22"/>
        </w:rPr>
        <w:t xml:space="preserve">. </w:t>
      </w:r>
      <w:r w:rsidR="00F2395C" w:rsidRPr="00F2395C">
        <w:rPr>
          <w:rFonts w:ascii="Garamond" w:hAnsi="Garamond"/>
          <w:sz w:val="22"/>
          <w:szCs w:val="22"/>
        </w:rPr>
        <w:t>The slow</w:t>
      </w:r>
      <w:r w:rsidR="00F2395C">
        <w:rPr>
          <w:rFonts w:ascii="Garamond" w:hAnsi="Garamond"/>
          <w:sz w:val="22"/>
          <w:szCs w:val="22"/>
        </w:rPr>
        <w:t>ing of the growth in the E</w:t>
      </w:r>
      <w:r w:rsidR="00F2395C" w:rsidRPr="00F2395C">
        <w:rPr>
          <w:rFonts w:ascii="Garamond" w:hAnsi="Garamond"/>
          <w:sz w:val="22"/>
          <w:szCs w:val="22"/>
        </w:rPr>
        <w:t>urozone</w:t>
      </w:r>
      <w:r w:rsidR="00F2395C">
        <w:rPr>
          <w:rFonts w:ascii="Garamond" w:hAnsi="Garamond"/>
          <w:sz w:val="22"/>
          <w:szCs w:val="22"/>
        </w:rPr>
        <w:t xml:space="preserve"> were prompted by a decline in </w:t>
      </w:r>
      <w:r w:rsidR="00F2395C" w:rsidRPr="00F2395C">
        <w:rPr>
          <w:rFonts w:ascii="Garamond" w:hAnsi="Garamond"/>
          <w:sz w:val="22"/>
          <w:szCs w:val="22"/>
        </w:rPr>
        <w:t xml:space="preserve">the </w:t>
      </w:r>
      <w:r w:rsidR="001A7CA9">
        <w:rPr>
          <w:rFonts w:ascii="Garamond" w:hAnsi="Garamond"/>
          <w:sz w:val="22"/>
          <w:szCs w:val="22"/>
        </w:rPr>
        <w:t>manufacturing sector</w:t>
      </w:r>
      <w:r w:rsidR="00F2395C" w:rsidRPr="00F2395C">
        <w:rPr>
          <w:rFonts w:ascii="Garamond" w:hAnsi="Garamond"/>
          <w:sz w:val="22"/>
          <w:szCs w:val="22"/>
        </w:rPr>
        <w:t xml:space="preserve"> and uncertainties </w:t>
      </w:r>
      <w:r w:rsidR="00F2395C">
        <w:rPr>
          <w:rFonts w:ascii="Garamond" w:hAnsi="Garamond"/>
          <w:sz w:val="22"/>
          <w:szCs w:val="22"/>
        </w:rPr>
        <w:t xml:space="preserve">associated with </w:t>
      </w:r>
      <w:r w:rsidR="00F2395C" w:rsidRPr="00F2395C">
        <w:rPr>
          <w:rFonts w:ascii="Garamond" w:hAnsi="Garamond"/>
          <w:sz w:val="22"/>
          <w:szCs w:val="22"/>
        </w:rPr>
        <w:t>trade wars</w:t>
      </w:r>
      <w:r w:rsidR="00F2395C">
        <w:rPr>
          <w:rFonts w:ascii="Garamond" w:hAnsi="Garamond"/>
          <w:sz w:val="22"/>
          <w:szCs w:val="22"/>
        </w:rPr>
        <w:t xml:space="preserve"> in the world</w:t>
      </w:r>
      <w:r w:rsidR="00F2395C" w:rsidRPr="00F2395C">
        <w:rPr>
          <w:rFonts w:ascii="Garamond" w:hAnsi="Garamond"/>
          <w:sz w:val="22"/>
          <w:szCs w:val="22"/>
        </w:rPr>
        <w:t>.</w:t>
      </w:r>
      <w:r w:rsidR="00F2395C">
        <w:rPr>
          <w:rFonts w:ascii="Garamond" w:hAnsi="Garamond"/>
          <w:sz w:val="22"/>
          <w:szCs w:val="22"/>
        </w:rPr>
        <w:t xml:space="preserve"> Note that i</w:t>
      </w:r>
      <w:r w:rsidR="00F2395C" w:rsidRPr="00F2395C">
        <w:rPr>
          <w:rFonts w:ascii="Garamond" w:hAnsi="Garamond"/>
          <w:sz w:val="22"/>
          <w:szCs w:val="22"/>
        </w:rPr>
        <w:t>n the third quarter</w:t>
      </w:r>
      <w:r w:rsidR="00F2395C">
        <w:rPr>
          <w:rFonts w:ascii="Garamond" w:hAnsi="Garamond"/>
          <w:sz w:val="22"/>
          <w:szCs w:val="22"/>
        </w:rPr>
        <w:t xml:space="preserve"> of 2019</w:t>
      </w:r>
      <w:r w:rsidR="00F2395C" w:rsidRPr="00F2395C">
        <w:rPr>
          <w:rFonts w:ascii="Garamond" w:hAnsi="Garamond"/>
          <w:sz w:val="22"/>
          <w:szCs w:val="22"/>
        </w:rPr>
        <w:t xml:space="preserve">, Germany, a major </w:t>
      </w:r>
      <w:r w:rsidR="00F2395C">
        <w:rPr>
          <w:rFonts w:ascii="Garamond" w:hAnsi="Garamond"/>
          <w:sz w:val="22"/>
          <w:szCs w:val="22"/>
        </w:rPr>
        <w:t>E</w:t>
      </w:r>
      <w:r w:rsidR="00F2395C" w:rsidRPr="00F2395C">
        <w:rPr>
          <w:rFonts w:ascii="Garamond" w:hAnsi="Garamond"/>
          <w:sz w:val="22"/>
          <w:szCs w:val="22"/>
        </w:rPr>
        <w:t>urozone</w:t>
      </w:r>
      <w:r w:rsidR="00F2395C">
        <w:rPr>
          <w:rFonts w:ascii="Garamond" w:hAnsi="Garamond"/>
          <w:sz w:val="22"/>
          <w:szCs w:val="22"/>
        </w:rPr>
        <w:t xml:space="preserve"> member</w:t>
      </w:r>
      <w:r w:rsidR="00F2395C" w:rsidRPr="00F2395C">
        <w:rPr>
          <w:rFonts w:ascii="Garamond" w:hAnsi="Garamond"/>
          <w:sz w:val="22"/>
          <w:szCs w:val="22"/>
        </w:rPr>
        <w:t xml:space="preserve">, </w:t>
      </w:r>
      <w:r w:rsidR="00F2395C">
        <w:rPr>
          <w:rFonts w:ascii="Garamond" w:hAnsi="Garamond"/>
          <w:sz w:val="22"/>
          <w:szCs w:val="22"/>
        </w:rPr>
        <w:t xml:space="preserve">posted a </w:t>
      </w:r>
      <w:r w:rsidR="00F2395C" w:rsidRPr="00F2395C">
        <w:rPr>
          <w:rFonts w:ascii="Garamond" w:hAnsi="Garamond"/>
          <w:sz w:val="22"/>
          <w:szCs w:val="22"/>
        </w:rPr>
        <w:t xml:space="preserve">slightly positive </w:t>
      </w:r>
      <w:r w:rsidR="00F2395C">
        <w:rPr>
          <w:rFonts w:ascii="Garamond" w:hAnsi="Garamond"/>
          <w:sz w:val="22"/>
          <w:szCs w:val="22"/>
        </w:rPr>
        <w:t>g</w:t>
      </w:r>
      <w:r w:rsidR="00F2395C" w:rsidRPr="00F2395C">
        <w:rPr>
          <w:rFonts w:ascii="Garamond" w:hAnsi="Garamond"/>
          <w:sz w:val="22"/>
          <w:szCs w:val="22"/>
        </w:rPr>
        <w:t xml:space="preserve">rowth, </w:t>
      </w:r>
      <w:r w:rsidR="00F2395C">
        <w:rPr>
          <w:rFonts w:ascii="Garamond" w:hAnsi="Garamond"/>
          <w:sz w:val="22"/>
          <w:szCs w:val="22"/>
        </w:rPr>
        <w:t xml:space="preserve">as opposed to the previous quarter’s </w:t>
      </w:r>
      <w:r w:rsidR="00F2395C" w:rsidRPr="00F2395C">
        <w:rPr>
          <w:rFonts w:ascii="Garamond" w:hAnsi="Garamond"/>
          <w:sz w:val="22"/>
          <w:szCs w:val="22"/>
        </w:rPr>
        <w:t xml:space="preserve">negative </w:t>
      </w:r>
      <w:r w:rsidR="00F2395C">
        <w:rPr>
          <w:rFonts w:ascii="Garamond" w:hAnsi="Garamond"/>
          <w:sz w:val="22"/>
          <w:szCs w:val="22"/>
        </w:rPr>
        <w:t>growth</w:t>
      </w:r>
      <w:r w:rsidR="00F2395C" w:rsidRPr="00F2395C">
        <w:rPr>
          <w:rFonts w:ascii="Garamond" w:hAnsi="Garamond"/>
          <w:sz w:val="22"/>
          <w:szCs w:val="22"/>
        </w:rPr>
        <w:t>.</w:t>
      </w:r>
      <w:r w:rsidR="00F2395C">
        <w:rPr>
          <w:rFonts w:ascii="Garamond" w:hAnsi="Garamond"/>
          <w:sz w:val="22"/>
          <w:szCs w:val="22"/>
        </w:rPr>
        <w:t xml:space="preserve"> </w:t>
      </w:r>
      <w:r w:rsidR="00845DD1" w:rsidRPr="00845DD1">
        <w:rPr>
          <w:rFonts w:ascii="Garamond" w:hAnsi="Garamond"/>
          <w:sz w:val="22"/>
          <w:szCs w:val="22"/>
        </w:rPr>
        <w:t xml:space="preserve">The unemployment rate in the Eurozone </w:t>
      </w:r>
      <w:r w:rsidR="00F2395C">
        <w:rPr>
          <w:rFonts w:ascii="Garamond" w:hAnsi="Garamond"/>
          <w:sz w:val="22"/>
          <w:szCs w:val="22"/>
        </w:rPr>
        <w:t xml:space="preserve">persisted on the previous quarter’s level of </w:t>
      </w:r>
      <w:r w:rsidR="003405AB">
        <w:rPr>
          <w:rFonts w:ascii="Garamond" w:hAnsi="Garamond"/>
          <w:sz w:val="22"/>
          <w:szCs w:val="22"/>
        </w:rPr>
        <w:t>7.5</w:t>
      </w:r>
      <w:r w:rsidR="00845DD1" w:rsidRPr="00845DD1">
        <w:rPr>
          <w:rFonts w:ascii="Garamond" w:hAnsi="Garamond"/>
          <w:sz w:val="22"/>
          <w:szCs w:val="22"/>
        </w:rPr>
        <w:t>%.</w:t>
      </w:r>
      <w:r w:rsidR="00B55C77">
        <w:rPr>
          <w:rFonts w:ascii="Garamond" w:hAnsi="Garamond"/>
          <w:sz w:val="22"/>
          <w:szCs w:val="22"/>
        </w:rPr>
        <w:t xml:space="preserve"> </w:t>
      </w:r>
    </w:p>
    <w:p w14:paraId="4363321A" w14:textId="77777777" w:rsidR="00845DD1" w:rsidRPr="00EE5F0F" w:rsidRDefault="00845DD1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In the E</w:t>
      </w:r>
      <w:r w:rsidRPr="00845DD1">
        <w:rPr>
          <w:rFonts w:ascii="Garamond" w:hAnsi="Garamond"/>
          <w:sz w:val="22"/>
          <w:szCs w:val="22"/>
        </w:rPr>
        <w:t>urozone</w:t>
      </w:r>
      <w:r>
        <w:rPr>
          <w:rFonts w:ascii="Garamond" w:hAnsi="Garamond"/>
          <w:sz w:val="22"/>
          <w:szCs w:val="22"/>
        </w:rPr>
        <w:t xml:space="preserve"> i</w:t>
      </w:r>
      <w:r w:rsidRPr="00845DD1">
        <w:rPr>
          <w:rFonts w:ascii="Garamond" w:hAnsi="Garamond"/>
          <w:sz w:val="22"/>
          <w:szCs w:val="22"/>
        </w:rPr>
        <w:t xml:space="preserve">n the </w:t>
      </w:r>
      <w:r w:rsidR="002875AC">
        <w:rPr>
          <w:rFonts w:ascii="Garamond" w:hAnsi="Garamond"/>
          <w:sz w:val="22"/>
          <w:szCs w:val="22"/>
        </w:rPr>
        <w:t>third</w:t>
      </w:r>
      <w:r w:rsidRPr="00845DD1">
        <w:rPr>
          <w:rFonts w:ascii="Garamond" w:hAnsi="Garamond"/>
          <w:sz w:val="22"/>
          <w:szCs w:val="22"/>
        </w:rPr>
        <w:t xml:space="preserve"> quarter </w:t>
      </w:r>
      <w:r>
        <w:rPr>
          <w:rFonts w:ascii="Garamond" w:hAnsi="Garamond"/>
          <w:sz w:val="22"/>
          <w:szCs w:val="22"/>
        </w:rPr>
        <w:t>of 2019</w:t>
      </w:r>
      <w:r w:rsidR="00622BFF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</w:t>
      </w:r>
      <w:r w:rsidRPr="00845DD1">
        <w:rPr>
          <w:rFonts w:ascii="Garamond" w:hAnsi="Garamond"/>
          <w:sz w:val="22"/>
          <w:szCs w:val="22"/>
        </w:rPr>
        <w:t xml:space="preserve">the average quarterly inflation </w:t>
      </w:r>
      <w:r w:rsidR="002875AC">
        <w:rPr>
          <w:rFonts w:ascii="Garamond" w:hAnsi="Garamond"/>
          <w:sz w:val="22"/>
          <w:szCs w:val="22"/>
        </w:rPr>
        <w:t>decelerated to 0</w:t>
      </w:r>
      <w:r w:rsidRPr="00845DD1">
        <w:rPr>
          <w:rFonts w:ascii="Garamond" w:hAnsi="Garamond"/>
          <w:sz w:val="22"/>
          <w:szCs w:val="22"/>
        </w:rPr>
        <w:t>.</w:t>
      </w:r>
      <w:r w:rsidR="002875AC">
        <w:rPr>
          <w:rFonts w:ascii="Garamond" w:hAnsi="Garamond"/>
          <w:sz w:val="22"/>
          <w:szCs w:val="22"/>
        </w:rPr>
        <w:t>9</w:t>
      </w:r>
      <w:r w:rsidRPr="00845DD1">
        <w:rPr>
          <w:rFonts w:ascii="Garamond" w:hAnsi="Garamond"/>
          <w:sz w:val="22"/>
          <w:szCs w:val="22"/>
        </w:rPr>
        <w:t>%</w:t>
      </w:r>
      <w:r w:rsidR="00253F77">
        <w:rPr>
          <w:rFonts w:ascii="Garamond" w:hAnsi="Garamond"/>
          <w:sz w:val="22"/>
          <w:szCs w:val="22"/>
        </w:rPr>
        <w:t xml:space="preserve">, </w:t>
      </w:r>
      <w:r w:rsidR="004F46B3">
        <w:rPr>
          <w:rFonts w:ascii="Garamond" w:hAnsi="Garamond"/>
          <w:sz w:val="22"/>
          <w:szCs w:val="22"/>
        </w:rPr>
        <w:t>running</w:t>
      </w:r>
      <w:r w:rsidR="00253F77">
        <w:rPr>
          <w:rFonts w:ascii="Garamond" w:hAnsi="Garamond"/>
          <w:sz w:val="22"/>
          <w:szCs w:val="22"/>
        </w:rPr>
        <w:t xml:space="preserve"> </w:t>
      </w:r>
      <w:r w:rsidRPr="00845DD1">
        <w:rPr>
          <w:rFonts w:ascii="Garamond" w:hAnsi="Garamond"/>
          <w:sz w:val="22"/>
          <w:szCs w:val="22"/>
        </w:rPr>
        <w:t>below the E</w:t>
      </w:r>
      <w:r w:rsidR="004D0503">
        <w:rPr>
          <w:rFonts w:ascii="Garamond" w:hAnsi="Garamond"/>
          <w:sz w:val="22"/>
          <w:szCs w:val="22"/>
        </w:rPr>
        <w:t xml:space="preserve">uropean </w:t>
      </w:r>
      <w:r w:rsidRPr="00845DD1">
        <w:rPr>
          <w:rFonts w:ascii="Garamond" w:hAnsi="Garamond"/>
          <w:sz w:val="22"/>
          <w:szCs w:val="22"/>
        </w:rPr>
        <w:t>C</w:t>
      </w:r>
      <w:r w:rsidR="004D0503">
        <w:rPr>
          <w:rFonts w:ascii="Garamond" w:hAnsi="Garamond"/>
          <w:sz w:val="22"/>
          <w:szCs w:val="22"/>
        </w:rPr>
        <w:t xml:space="preserve">entral </w:t>
      </w:r>
      <w:r w:rsidRPr="00845DD1">
        <w:rPr>
          <w:rFonts w:ascii="Garamond" w:hAnsi="Garamond"/>
          <w:sz w:val="22"/>
          <w:szCs w:val="22"/>
        </w:rPr>
        <w:t>B</w:t>
      </w:r>
      <w:r w:rsidR="004D0503">
        <w:rPr>
          <w:rFonts w:ascii="Garamond" w:hAnsi="Garamond"/>
          <w:sz w:val="22"/>
          <w:szCs w:val="22"/>
        </w:rPr>
        <w:t>ank</w:t>
      </w:r>
      <w:r>
        <w:rPr>
          <w:rFonts w:ascii="Garamond" w:hAnsi="Garamond"/>
          <w:sz w:val="22"/>
          <w:szCs w:val="22"/>
        </w:rPr>
        <w:t>’s</w:t>
      </w:r>
      <w:r w:rsidRPr="00845DD1">
        <w:rPr>
          <w:rFonts w:ascii="Garamond" w:hAnsi="Garamond"/>
          <w:sz w:val="22"/>
          <w:szCs w:val="22"/>
        </w:rPr>
        <w:t xml:space="preserve"> target. The low inflation </w:t>
      </w:r>
      <w:r>
        <w:rPr>
          <w:rFonts w:ascii="Garamond" w:hAnsi="Garamond"/>
          <w:sz w:val="22"/>
          <w:szCs w:val="22"/>
        </w:rPr>
        <w:t xml:space="preserve">owed primarily to </w:t>
      </w:r>
      <w:r w:rsidR="002875AC">
        <w:rPr>
          <w:rFonts w:ascii="Garamond" w:hAnsi="Garamond"/>
          <w:sz w:val="22"/>
          <w:szCs w:val="22"/>
        </w:rPr>
        <w:t xml:space="preserve">falling energy </w:t>
      </w:r>
      <w:r w:rsidRPr="00845DD1">
        <w:rPr>
          <w:rFonts w:ascii="Garamond" w:hAnsi="Garamond"/>
          <w:sz w:val="22"/>
          <w:szCs w:val="22"/>
        </w:rPr>
        <w:t>prices</w:t>
      </w:r>
      <w:r w:rsidR="002875AC">
        <w:rPr>
          <w:rFonts w:ascii="Garamond" w:hAnsi="Garamond"/>
          <w:sz w:val="22"/>
          <w:szCs w:val="22"/>
        </w:rPr>
        <w:t xml:space="preserve">, </w:t>
      </w:r>
      <w:r w:rsidR="004F46B3">
        <w:rPr>
          <w:rFonts w:ascii="Garamond" w:hAnsi="Garamond"/>
          <w:sz w:val="22"/>
          <w:szCs w:val="22"/>
        </w:rPr>
        <w:t xml:space="preserve">while </w:t>
      </w:r>
      <w:r>
        <w:rPr>
          <w:rFonts w:ascii="Garamond" w:hAnsi="Garamond"/>
          <w:sz w:val="22"/>
          <w:szCs w:val="22"/>
        </w:rPr>
        <w:t>core</w:t>
      </w:r>
      <w:r w:rsidRPr="00845DD1">
        <w:rPr>
          <w:rFonts w:ascii="Garamond" w:hAnsi="Garamond"/>
          <w:sz w:val="22"/>
          <w:szCs w:val="22"/>
        </w:rPr>
        <w:t xml:space="preserve"> inflation </w:t>
      </w:r>
      <w:r w:rsidR="002875AC">
        <w:rPr>
          <w:rFonts w:ascii="Garamond" w:hAnsi="Garamond"/>
          <w:sz w:val="22"/>
          <w:szCs w:val="22"/>
        </w:rPr>
        <w:t xml:space="preserve">averaged 1.0% over the third quarter. With </w:t>
      </w:r>
      <w:r w:rsidR="002875AC" w:rsidRPr="002875AC">
        <w:rPr>
          <w:rFonts w:ascii="Garamond" w:hAnsi="Garamond"/>
          <w:sz w:val="22"/>
          <w:szCs w:val="22"/>
        </w:rPr>
        <w:t>low inflation and weak economic growth</w:t>
      </w:r>
      <w:r w:rsidR="002875AC">
        <w:rPr>
          <w:rFonts w:ascii="Garamond" w:hAnsi="Garamond"/>
          <w:sz w:val="22"/>
          <w:szCs w:val="22"/>
        </w:rPr>
        <w:t>,</w:t>
      </w:r>
      <w:r w:rsidR="002875AC" w:rsidRPr="002875AC">
        <w:rPr>
          <w:rFonts w:ascii="Garamond" w:hAnsi="Garamond"/>
          <w:sz w:val="22"/>
          <w:szCs w:val="22"/>
        </w:rPr>
        <w:t xml:space="preserve"> </w:t>
      </w:r>
      <w:r w:rsidR="002875AC">
        <w:rPr>
          <w:rFonts w:ascii="Garamond" w:hAnsi="Garamond"/>
          <w:sz w:val="22"/>
          <w:szCs w:val="22"/>
        </w:rPr>
        <w:t xml:space="preserve">the ECB </w:t>
      </w:r>
      <w:r w:rsidR="00184714" w:rsidRPr="00184714">
        <w:rPr>
          <w:rFonts w:ascii="Garamond" w:hAnsi="Garamond"/>
          <w:sz w:val="22"/>
          <w:szCs w:val="22"/>
        </w:rPr>
        <w:t xml:space="preserve">announced that </w:t>
      </w:r>
      <w:r w:rsidR="00184714">
        <w:rPr>
          <w:rFonts w:ascii="Garamond" w:hAnsi="Garamond"/>
          <w:sz w:val="22"/>
          <w:szCs w:val="22"/>
        </w:rPr>
        <w:t xml:space="preserve">it </w:t>
      </w:r>
      <w:r w:rsidR="00184714" w:rsidRPr="00184714">
        <w:rPr>
          <w:rFonts w:ascii="Garamond" w:hAnsi="Garamond"/>
          <w:sz w:val="22"/>
          <w:szCs w:val="22"/>
        </w:rPr>
        <w:t>w</w:t>
      </w:r>
      <w:r w:rsidR="002875AC">
        <w:rPr>
          <w:rFonts w:ascii="Garamond" w:hAnsi="Garamond"/>
          <w:sz w:val="22"/>
          <w:szCs w:val="22"/>
        </w:rPr>
        <w:t>ould</w:t>
      </w:r>
      <w:r w:rsidR="00184714" w:rsidRPr="00184714">
        <w:rPr>
          <w:rFonts w:ascii="Garamond" w:hAnsi="Garamond"/>
          <w:sz w:val="22"/>
          <w:szCs w:val="22"/>
        </w:rPr>
        <w:t xml:space="preserve"> </w:t>
      </w:r>
      <w:r w:rsidR="002875AC">
        <w:rPr>
          <w:rFonts w:ascii="Garamond" w:hAnsi="Garamond"/>
          <w:sz w:val="22"/>
          <w:szCs w:val="22"/>
        </w:rPr>
        <w:t xml:space="preserve">further </w:t>
      </w:r>
      <w:r w:rsidR="00184714" w:rsidRPr="00184714">
        <w:rPr>
          <w:rFonts w:ascii="Garamond" w:hAnsi="Garamond"/>
          <w:sz w:val="22"/>
          <w:szCs w:val="22"/>
        </w:rPr>
        <w:t>pursu</w:t>
      </w:r>
      <w:r w:rsidR="002875AC">
        <w:rPr>
          <w:rFonts w:ascii="Garamond" w:hAnsi="Garamond"/>
          <w:sz w:val="22"/>
          <w:szCs w:val="22"/>
        </w:rPr>
        <w:t xml:space="preserve">e </w:t>
      </w:r>
      <w:r w:rsidR="00184714" w:rsidRPr="00184714">
        <w:rPr>
          <w:rFonts w:ascii="Garamond" w:hAnsi="Garamond"/>
          <w:sz w:val="22"/>
          <w:szCs w:val="22"/>
        </w:rPr>
        <w:t xml:space="preserve">a </w:t>
      </w:r>
      <w:r w:rsidR="002875AC">
        <w:rPr>
          <w:rFonts w:ascii="Garamond" w:hAnsi="Garamond"/>
          <w:sz w:val="22"/>
          <w:szCs w:val="22"/>
        </w:rPr>
        <w:t>negative i</w:t>
      </w:r>
      <w:r w:rsidR="00184714" w:rsidRPr="00184714">
        <w:rPr>
          <w:rFonts w:ascii="Garamond" w:hAnsi="Garamond"/>
          <w:sz w:val="22"/>
          <w:szCs w:val="22"/>
        </w:rPr>
        <w:t xml:space="preserve">nterest rate policy </w:t>
      </w:r>
      <w:r w:rsidR="002875AC">
        <w:rPr>
          <w:rFonts w:ascii="Garamond" w:hAnsi="Garamond"/>
          <w:sz w:val="22"/>
          <w:szCs w:val="22"/>
        </w:rPr>
        <w:t>and resume</w:t>
      </w:r>
      <w:r w:rsidR="00184714" w:rsidRPr="00184714">
        <w:rPr>
          <w:rFonts w:ascii="Garamond" w:hAnsi="Garamond"/>
          <w:sz w:val="22"/>
          <w:szCs w:val="22"/>
        </w:rPr>
        <w:t>, if ne</w:t>
      </w:r>
      <w:r w:rsidR="002875AC">
        <w:rPr>
          <w:rFonts w:ascii="Garamond" w:hAnsi="Garamond"/>
          <w:sz w:val="22"/>
          <w:szCs w:val="22"/>
        </w:rPr>
        <w:t>ed be</w:t>
      </w:r>
      <w:r w:rsidR="00184714" w:rsidRPr="00184714">
        <w:rPr>
          <w:rFonts w:ascii="Garamond" w:hAnsi="Garamond"/>
          <w:sz w:val="22"/>
          <w:szCs w:val="22"/>
        </w:rPr>
        <w:t xml:space="preserve">, </w:t>
      </w:r>
      <w:r w:rsidR="002875AC">
        <w:rPr>
          <w:rFonts w:ascii="Garamond" w:hAnsi="Garamond"/>
          <w:sz w:val="22"/>
          <w:szCs w:val="22"/>
        </w:rPr>
        <w:t>t</w:t>
      </w:r>
      <w:r w:rsidR="00184714">
        <w:rPr>
          <w:rFonts w:ascii="Garamond" w:hAnsi="Garamond"/>
          <w:sz w:val="22"/>
          <w:szCs w:val="22"/>
        </w:rPr>
        <w:t xml:space="preserve">he program of </w:t>
      </w:r>
      <w:r w:rsidR="00184714" w:rsidRPr="00184714">
        <w:rPr>
          <w:rFonts w:ascii="Garamond" w:hAnsi="Garamond"/>
          <w:sz w:val="22"/>
          <w:szCs w:val="22"/>
        </w:rPr>
        <w:t>quantitative easing</w:t>
      </w:r>
      <w:r w:rsidR="00184714">
        <w:rPr>
          <w:rFonts w:ascii="Garamond" w:hAnsi="Garamond"/>
          <w:sz w:val="22"/>
          <w:szCs w:val="22"/>
        </w:rPr>
        <w:t xml:space="preserve"> through purchases of assets</w:t>
      </w:r>
      <w:r w:rsidR="00184714" w:rsidRPr="00184714">
        <w:rPr>
          <w:rFonts w:ascii="Garamond" w:hAnsi="Garamond"/>
          <w:sz w:val="22"/>
          <w:szCs w:val="22"/>
        </w:rPr>
        <w:t>.</w:t>
      </w:r>
    </w:p>
    <w:p w14:paraId="4F85EDC8" w14:textId="77777777" w:rsidR="00B266DE" w:rsidRDefault="00B47AE5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Economic developments </w:t>
      </w:r>
      <w:r>
        <w:rPr>
          <w:rFonts w:ascii="Garamond" w:hAnsi="Garamond"/>
          <w:b/>
          <w:sz w:val="22"/>
          <w:szCs w:val="22"/>
        </w:rPr>
        <w:t xml:space="preserve">in Russia: </w:t>
      </w:r>
      <w:r w:rsidR="00EE619D" w:rsidRPr="00EE5F0F">
        <w:rPr>
          <w:rFonts w:ascii="Garamond" w:hAnsi="Garamond"/>
          <w:sz w:val="22"/>
          <w:szCs w:val="22"/>
        </w:rPr>
        <w:t xml:space="preserve">According to preliminary estimates </w:t>
      </w:r>
      <w:r w:rsidR="007B1049" w:rsidRPr="00EE5F0F">
        <w:rPr>
          <w:rFonts w:ascii="Garamond" w:hAnsi="Garamond"/>
          <w:sz w:val="22"/>
          <w:szCs w:val="22"/>
        </w:rPr>
        <w:t>by</w:t>
      </w:r>
      <w:r w:rsidR="00EE619D" w:rsidRPr="00EE5F0F">
        <w:rPr>
          <w:rFonts w:ascii="Garamond" w:hAnsi="Garamond"/>
          <w:sz w:val="22"/>
          <w:szCs w:val="22"/>
        </w:rPr>
        <w:t xml:space="preserve"> State Statistics Service of the</w:t>
      </w:r>
      <w:r w:rsidR="00EE619D" w:rsidRPr="00EE5F0F">
        <w:rPr>
          <w:rFonts w:ascii="Garamond" w:hAnsi="Garamond"/>
          <w:b/>
          <w:sz w:val="22"/>
          <w:szCs w:val="22"/>
        </w:rPr>
        <w:t xml:space="preserve"> </w:t>
      </w:r>
      <w:r w:rsidR="00EE619D" w:rsidRPr="00CA125D">
        <w:rPr>
          <w:rFonts w:ascii="Garamond" w:hAnsi="Garamond"/>
          <w:sz w:val="22"/>
          <w:szCs w:val="22"/>
        </w:rPr>
        <w:t>Russian Federation,</w:t>
      </w:r>
      <w:r w:rsidR="00EE619D" w:rsidRPr="00EE5F0F">
        <w:rPr>
          <w:rFonts w:ascii="Garamond" w:hAnsi="Garamond"/>
          <w:sz w:val="22"/>
          <w:szCs w:val="22"/>
        </w:rPr>
        <w:t xml:space="preserve"> </w:t>
      </w:r>
      <w:r w:rsidR="009E53C4">
        <w:rPr>
          <w:rFonts w:ascii="Garamond" w:hAnsi="Garamond"/>
          <w:sz w:val="22"/>
          <w:szCs w:val="22"/>
        </w:rPr>
        <w:t>e</w:t>
      </w:r>
      <w:r w:rsidR="009E53C4" w:rsidRPr="009E53C4">
        <w:rPr>
          <w:rFonts w:ascii="Garamond" w:hAnsi="Garamond"/>
          <w:sz w:val="22"/>
          <w:szCs w:val="22"/>
        </w:rPr>
        <w:t xml:space="preserve">conomic growth in the third quarter </w:t>
      </w:r>
      <w:r w:rsidR="009E53C4">
        <w:rPr>
          <w:rFonts w:ascii="Garamond" w:hAnsi="Garamond"/>
          <w:sz w:val="22"/>
          <w:szCs w:val="22"/>
        </w:rPr>
        <w:t xml:space="preserve">of 2019 </w:t>
      </w:r>
      <w:r w:rsidR="009E53C4" w:rsidRPr="009E53C4">
        <w:rPr>
          <w:rFonts w:ascii="Garamond" w:hAnsi="Garamond"/>
          <w:sz w:val="22"/>
          <w:szCs w:val="22"/>
        </w:rPr>
        <w:t xml:space="preserve">was higher than expected, </w:t>
      </w:r>
      <w:r w:rsidR="009E53C4">
        <w:rPr>
          <w:rFonts w:ascii="Garamond" w:hAnsi="Garamond"/>
          <w:sz w:val="22"/>
          <w:szCs w:val="22"/>
        </w:rPr>
        <w:t xml:space="preserve">amounting to </w:t>
      </w:r>
      <w:r w:rsidR="009E53C4" w:rsidRPr="009E53C4">
        <w:rPr>
          <w:rFonts w:ascii="Garamond" w:hAnsi="Garamond"/>
          <w:sz w:val="22"/>
          <w:szCs w:val="22"/>
        </w:rPr>
        <w:t>1.7%</w:t>
      </w:r>
      <w:r w:rsidR="009E53C4">
        <w:rPr>
          <w:rFonts w:ascii="Garamond" w:hAnsi="Garamond"/>
          <w:sz w:val="22"/>
          <w:szCs w:val="22"/>
        </w:rPr>
        <w:t xml:space="preserve"> y/y</w:t>
      </w:r>
      <w:r w:rsidR="009E53C4" w:rsidRPr="009E53C4">
        <w:rPr>
          <w:rFonts w:ascii="Garamond" w:hAnsi="Garamond"/>
          <w:sz w:val="22"/>
          <w:szCs w:val="22"/>
        </w:rPr>
        <w:t>. High growth rates were re</w:t>
      </w:r>
      <w:r w:rsidR="009E53C4">
        <w:rPr>
          <w:rFonts w:ascii="Garamond" w:hAnsi="Garamond"/>
          <w:sz w:val="22"/>
          <w:szCs w:val="22"/>
        </w:rPr>
        <w:t xml:space="preserve">ported </w:t>
      </w:r>
      <w:r w:rsidR="009E53C4" w:rsidRPr="009E53C4">
        <w:rPr>
          <w:rFonts w:ascii="Garamond" w:hAnsi="Garamond"/>
          <w:sz w:val="22"/>
          <w:szCs w:val="22"/>
        </w:rPr>
        <w:t xml:space="preserve">in trade and agriculture. Given the actual data for the first three quarters, </w:t>
      </w:r>
      <w:r w:rsidR="009E53C4">
        <w:rPr>
          <w:rFonts w:ascii="Garamond" w:hAnsi="Garamond"/>
          <w:sz w:val="22"/>
          <w:szCs w:val="22"/>
        </w:rPr>
        <w:t xml:space="preserve">the </w:t>
      </w:r>
      <w:r w:rsidR="009E53C4" w:rsidRPr="009E53C4">
        <w:rPr>
          <w:rFonts w:ascii="Garamond" w:hAnsi="Garamond"/>
          <w:sz w:val="22"/>
          <w:szCs w:val="22"/>
        </w:rPr>
        <w:t xml:space="preserve">2019 economic growth is </w:t>
      </w:r>
      <w:r w:rsidR="009E53C4">
        <w:rPr>
          <w:rFonts w:ascii="Garamond" w:hAnsi="Garamond"/>
          <w:sz w:val="22"/>
          <w:szCs w:val="22"/>
        </w:rPr>
        <w:t xml:space="preserve">an </w:t>
      </w:r>
      <w:r w:rsidR="009E53C4" w:rsidRPr="009E53C4">
        <w:rPr>
          <w:rFonts w:ascii="Garamond" w:hAnsi="Garamond"/>
          <w:sz w:val="22"/>
          <w:szCs w:val="22"/>
        </w:rPr>
        <w:t>estimated 1.3%. Unemployment in Russia in the third quarter was 4.45%.</w:t>
      </w:r>
      <w:r w:rsidR="009E53C4">
        <w:rPr>
          <w:rFonts w:ascii="Garamond" w:hAnsi="Garamond"/>
          <w:sz w:val="22"/>
          <w:szCs w:val="22"/>
        </w:rPr>
        <w:t xml:space="preserve"> </w:t>
      </w:r>
    </w:p>
    <w:p w14:paraId="5FFFDF6E" w14:textId="77777777" w:rsidR="00D25EB7" w:rsidRDefault="00B266DE" w:rsidP="004365CE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the </w:t>
      </w:r>
      <w:r w:rsidR="009E53C4">
        <w:rPr>
          <w:rFonts w:ascii="Garamond" w:hAnsi="Garamond"/>
          <w:sz w:val="22"/>
          <w:szCs w:val="22"/>
        </w:rPr>
        <w:t>third</w:t>
      </w:r>
      <w:r>
        <w:rPr>
          <w:rFonts w:ascii="Garamond" w:hAnsi="Garamond"/>
          <w:sz w:val="22"/>
          <w:szCs w:val="22"/>
        </w:rPr>
        <w:t xml:space="preserve"> quarter of 2019</w:t>
      </w:r>
      <w:r w:rsidRPr="00B266DE">
        <w:rPr>
          <w:rFonts w:ascii="Garamond" w:hAnsi="Garamond"/>
          <w:sz w:val="22"/>
          <w:szCs w:val="22"/>
        </w:rPr>
        <w:t xml:space="preserve"> the average </w:t>
      </w:r>
      <w:r w:rsidR="000A06E8">
        <w:rPr>
          <w:rFonts w:ascii="Garamond" w:hAnsi="Garamond"/>
          <w:sz w:val="22"/>
          <w:szCs w:val="22"/>
        </w:rPr>
        <w:t xml:space="preserve">quarterly inflation in Russia </w:t>
      </w:r>
      <w:r w:rsidR="009E53C4">
        <w:rPr>
          <w:rFonts w:ascii="Garamond" w:hAnsi="Garamond"/>
          <w:sz w:val="22"/>
          <w:szCs w:val="22"/>
        </w:rPr>
        <w:t>slowed to 4</w:t>
      </w:r>
      <w:r w:rsidRPr="00B266DE">
        <w:rPr>
          <w:rFonts w:ascii="Garamond" w:hAnsi="Garamond"/>
          <w:sz w:val="22"/>
          <w:szCs w:val="22"/>
        </w:rPr>
        <w:t>.</w:t>
      </w:r>
      <w:r w:rsidR="009E53C4">
        <w:rPr>
          <w:rFonts w:ascii="Garamond" w:hAnsi="Garamond"/>
          <w:sz w:val="22"/>
          <w:szCs w:val="22"/>
        </w:rPr>
        <w:t>2</w:t>
      </w:r>
      <w:r w:rsidRPr="00B266DE">
        <w:rPr>
          <w:rFonts w:ascii="Garamond" w:hAnsi="Garamond"/>
          <w:sz w:val="22"/>
          <w:szCs w:val="22"/>
        </w:rPr>
        <w:t>%</w:t>
      </w:r>
      <w:r w:rsidR="000A06E8">
        <w:rPr>
          <w:rFonts w:ascii="Garamond" w:hAnsi="Garamond"/>
          <w:sz w:val="22"/>
          <w:szCs w:val="22"/>
        </w:rPr>
        <w:t xml:space="preserve"> from </w:t>
      </w:r>
      <w:r>
        <w:rPr>
          <w:rFonts w:ascii="Garamond" w:hAnsi="Garamond"/>
          <w:sz w:val="22"/>
          <w:szCs w:val="22"/>
        </w:rPr>
        <w:t xml:space="preserve">that of </w:t>
      </w:r>
      <w:r w:rsidR="009E53C4">
        <w:rPr>
          <w:rFonts w:ascii="Garamond" w:hAnsi="Garamond"/>
          <w:sz w:val="22"/>
          <w:szCs w:val="22"/>
        </w:rPr>
        <w:t>4</w:t>
      </w:r>
      <w:r>
        <w:rPr>
          <w:rFonts w:ascii="Garamond" w:hAnsi="Garamond"/>
          <w:sz w:val="22"/>
          <w:szCs w:val="22"/>
        </w:rPr>
        <w:t>.</w:t>
      </w:r>
      <w:r w:rsidR="009E53C4">
        <w:rPr>
          <w:rFonts w:ascii="Garamond" w:hAnsi="Garamond"/>
          <w:sz w:val="22"/>
          <w:szCs w:val="22"/>
        </w:rPr>
        <w:t>9</w:t>
      </w:r>
      <w:r>
        <w:rPr>
          <w:rFonts w:ascii="Garamond" w:hAnsi="Garamond"/>
          <w:sz w:val="22"/>
          <w:szCs w:val="22"/>
        </w:rPr>
        <w:t xml:space="preserve">% reported in </w:t>
      </w:r>
      <w:r w:rsidRPr="00B266DE">
        <w:rPr>
          <w:rFonts w:ascii="Garamond" w:hAnsi="Garamond"/>
          <w:sz w:val="22"/>
          <w:szCs w:val="22"/>
        </w:rPr>
        <w:t>the</w:t>
      </w:r>
      <w:r>
        <w:rPr>
          <w:rFonts w:ascii="Garamond" w:hAnsi="Garamond"/>
          <w:sz w:val="22"/>
          <w:szCs w:val="22"/>
        </w:rPr>
        <w:t xml:space="preserve"> </w:t>
      </w:r>
      <w:r w:rsidRPr="00B266DE">
        <w:rPr>
          <w:rFonts w:ascii="Garamond" w:hAnsi="Garamond"/>
          <w:sz w:val="22"/>
          <w:szCs w:val="22"/>
        </w:rPr>
        <w:t>previous quarter</w:t>
      </w:r>
      <w:r>
        <w:rPr>
          <w:rFonts w:ascii="Garamond" w:hAnsi="Garamond"/>
          <w:sz w:val="22"/>
          <w:szCs w:val="22"/>
        </w:rPr>
        <w:t xml:space="preserve">, </w:t>
      </w:r>
      <w:r w:rsidR="009E53C4">
        <w:rPr>
          <w:rFonts w:ascii="Garamond" w:hAnsi="Garamond"/>
          <w:sz w:val="22"/>
          <w:szCs w:val="22"/>
        </w:rPr>
        <w:t xml:space="preserve">approaching </w:t>
      </w:r>
      <w:r w:rsidR="00F41D05">
        <w:rPr>
          <w:rFonts w:ascii="Garamond" w:hAnsi="Garamond"/>
          <w:sz w:val="22"/>
          <w:szCs w:val="22"/>
        </w:rPr>
        <w:t>i</w:t>
      </w:r>
      <w:r w:rsidRPr="00B266DE">
        <w:rPr>
          <w:rFonts w:ascii="Garamond" w:hAnsi="Garamond"/>
          <w:sz w:val="22"/>
          <w:szCs w:val="22"/>
        </w:rPr>
        <w:t>ts target</w:t>
      </w:r>
      <w:r w:rsidR="009E53C4">
        <w:rPr>
          <w:rFonts w:ascii="Garamond" w:hAnsi="Garamond"/>
          <w:sz w:val="22"/>
          <w:szCs w:val="22"/>
        </w:rPr>
        <w:t xml:space="preserve"> value of 4%</w:t>
      </w:r>
      <w:r w:rsidRPr="00B266DE">
        <w:rPr>
          <w:rFonts w:ascii="Garamond" w:hAnsi="Garamond"/>
          <w:sz w:val="22"/>
          <w:szCs w:val="22"/>
        </w:rPr>
        <w:t xml:space="preserve">. </w:t>
      </w:r>
      <w:r w:rsidR="009E53C4">
        <w:rPr>
          <w:rFonts w:ascii="Garamond" w:hAnsi="Garamond"/>
          <w:sz w:val="22"/>
          <w:szCs w:val="22"/>
        </w:rPr>
        <w:t>On a declining path, inflation in October even subdued to 3.8, a level below the target</w:t>
      </w:r>
      <w:r w:rsidR="00390EB4">
        <w:rPr>
          <w:rFonts w:ascii="Garamond" w:hAnsi="Garamond"/>
          <w:sz w:val="22"/>
          <w:szCs w:val="22"/>
        </w:rPr>
        <w:t>, thanks to l</w:t>
      </w:r>
      <w:r w:rsidR="00390EB4" w:rsidRPr="00390EB4">
        <w:rPr>
          <w:rFonts w:ascii="Garamond" w:hAnsi="Garamond"/>
          <w:sz w:val="22"/>
          <w:szCs w:val="22"/>
        </w:rPr>
        <w:t xml:space="preserve">ow </w:t>
      </w:r>
      <w:r w:rsidR="0068714E">
        <w:rPr>
          <w:rFonts w:ascii="Garamond" w:hAnsi="Garamond"/>
          <w:sz w:val="22"/>
          <w:szCs w:val="22"/>
        </w:rPr>
        <w:t xml:space="preserve">price inflation on </w:t>
      </w:r>
      <w:r w:rsidR="00390EB4" w:rsidRPr="00390EB4">
        <w:rPr>
          <w:rFonts w:ascii="Garamond" w:hAnsi="Garamond"/>
          <w:sz w:val="22"/>
          <w:szCs w:val="22"/>
        </w:rPr>
        <w:t>food and non-food pr</w:t>
      </w:r>
      <w:r w:rsidR="0068714E">
        <w:rPr>
          <w:rFonts w:ascii="Garamond" w:hAnsi="Garamond"/>
          <w:sz w:val="22"/>
          <w:szCs w:val="22"/>
        </w:rPr>
        <w:t xml:space="preserve">oducts. </w:t>
      </w:r>
      <w:r w:rsidR="00F41D05">
        <w:rPr>
          <w:rFonts w:ascii="Garamond" w:hAnsi="Garamond"/>
          <w:sz w:val="22"/>
          <w:szCs w:val="22"/>
        </w:rPr>
        <w:t>With i</w:t>
      </w:r>
      <w:r w:rsidRPr="00B266DE">
        <w:rPr>
          <w:rFonts w:ascii="Garamond" w:hAnsi="Garamond"/>
          <w:sz w:val="22"/>
          <w:szCs w:val="22"/>
        </w:rPr>
        <w:t xml:space="preserve">nflation </w:t>
      </w:r>
      <w:r w:rsidR="008103B1">
        <w:rPr>
          <w:rFonts w:ascii="Garamond" w:hAnsi="Garamond"/>
          <w:sz w:val="22"/>
          <w:szCs w:val="22"/>
        </w:rPr>
        <w:t>dec</w:t>
      </w:r>
      <w:r w:rsidR="0068714E">
        <w:rPr>
          <w:rFonts w:ascii="Garamond" w:hAnsi="Garamond"/>
          <w:sz w:val="22"/>
          <w:szCs w:val="22"/>
        </w:rPr>
        <w:t>elerating</w:t>
      </w:r>
      <w:r w:rsidRPr="00B266DE">
        <w:rPr>
          <w:rFonts w:ascii="Garamond" w:hAnsi="Garamond"/>
          <w:sz w:val="22"/>
          <w:szCs w:val="22"/>
        </w:rPr>
        <w:t xml:space="preserve">, </w:t>
      </w:r>
      <w:r w:rsidR="008103B1" w:rsidRPr="00B266DE">
        <w:rPr>
          <w:rFonts w:ascii="Garamond" w:hAnsi="Garamond"/>
          <w:sz w:val="22"/>
          <w:szCs w:val="22"/>
        </w:rPr>
        <w:t xml:space="preserve">the </w:t>
      </w:r>
      <w:r w:rsidR="008103B1">
        <w:rPr>
          <w:rFonts w:ascii="Garamond" w:hAnsi="Garamond"/>
          <w:sz w:val="22"/>
          <w:szCs w:val="22"/>
        </w:rPr>
        <w:t xml:space="preserve">Bank of </w:t>
      </w:r>
      <w:r w:rsidR="008103B1" w:rsidRPr="00B266DE">
        <w:rPr>
          <w:rFonts w:ascii="Garamond" w:hAnsi="Garamond"/>
          <w:sz w:val="22"/>
          <w:szCs w:val="22"/>
        </w:rPr>
        <w:t>Russia</w:t>
      </w:r>
      <w:r w:rsidR="008103B1">
        <w:rPr>
          <w:rFonts w:ascii="Garamond" w:hAnsi="Garamond"/>
          <w:sz w:val="22"/>
          <w:szCs w:val="22"/>
        </w:rPr>
        <w:t xml:space="preserve"> cut the policy rate </w:t>
      </w:r>
      <w:r w:rsidR="0012445D">
        <w:rPr>
          <w:rFonts w:ascii="Garamond" w:hAnsi="Garamond"/>
          <w:sz w:val="22"/>
          <w:szCs w:val="22"/>
        </w:rPr>
        <w:t xml:space="preserve">in the </w:t>
      </w:r>
      <w:r w:rsidR="0068714E">
        <w:rPr>
          <w:rFonts w:ascii="Garamond" w:hAnsi="Garamond"/>
          <w:sz w:val="22"/>
          <w:szCs w:val="22"/>
        </w:rPr>
        <w:t xml:space="preserve">third </w:t>
      </w:r>
      <w:r w:rsidR="0012445D">
        <w:rPr>
          <w:rFonts w:ascii="Garamond" w:hAnsi="Garamond"/>
          <w:sz w:val="22"/>
          <w:szCs w:val="22"/>
        </w:rPr>
        <w:t xml:space="preserve">quarter of 2019 </w:t>
      </w:r>
      <w:r w:rsidR="008103B1">
        <w:rPr>
          <w:rFonts w:ascii="Garamond" w:hAnsi="Garamond"/>
          <w:sz w:val="22"/>
          <w:szCs w:val="22"/>
        </w:rPr>
        <w:t xml:space="preserve">by 0.25 </w:t>
      </w:r>
      <w:r w:rsidR="0068714E">
        <w:rPr>
          <w:rFonts w:ascii="Garamond" w:hAnsi="Garamond"/>
          <w:sz w:val="22"/>
          <w:szCs w:val="22"/>
        </w:rPr>
        <w:t xml:space="preserve">(and another 0.5 pp in October) </w:t>
      </w:r>
      <w:r w:rsidR="008103B1">
        <w:rPr>
          <w:rFonts w:ascii="Garamond" w:hAnsi="Garamond"/>
          <w:sz w:val="22"/>
          <w:szCs w:val="22"/>
        </w:rPr>
        <w:t xml:space="preserve">to </w:t>
      </w:r>
      <w:r w:rsidR="0068714E">
        <w:rPr>
          <w:rFonts w:ascii="Garamond" w:hAnsi="Garamond"/>
          <w:sz w:val="22"/>
          <w:szCs w:val="22"/>
        </w:rPr>
        <w:t>6</w:t>
      </w:r>
      <w:r w:rsidR="008103B1">
        <w:rPr>
          <w:rFonts w:ascii="Garamond" w:hAnsi="Garamond"/>
          <w:sz w:val="22"/>
          <w:szCs w:val="22"/>
        </w:rPr>
        <w:t>.5%</w:t>
      </w:r>
      <w:r w:rsidR="008103B1" w:rsidRPr="008103B1">
        <w:rPr>
          <w:rFonts w:ascii="Garamond" w:hAnsi="Garamond"/>
          <w:sz w:val="22"/>
          <w:szCs w:val="22"/>
        </w:rPr>
        <w:t xml:space="preserve">. </w:t>
      </w:r>
      <w:r w:rsidR="00415095">
        <w:rPr>
          <w:rFonts w:ascii="Garamond" w:hAnsi="Garamond"/>
          <w:sz w:val="22"/>
          <w:szCs w:val="22"/>
        </w:rPr>
        <w:t xml:space="preserve">As </w:t>
      </w:r>
      <w:r w:rsidR="008103B1" w:rsidRPr="008103B1">
        <w:rPr>
          <w:rFonts w:ascii="Garamond" w:hAnsi="Garamond"/>
          <w:sz w:val="22"/>
          <w:szCs w:val="22"/>
        </w:rPr>
        <w:t>inflation expectations</w:t>
      </w:r>
      <w:r w:rsidR="00415095">
        <w:rPr>
          <w:rFonts w:ascii="Garamond" w:hAnsi="Garamond"/>
          <w:sz w:val="22"/>
          <w:szCs w:val="22"/>
        </w:rPr>
        <w:t xml:space="preserve"> </w:t>
      </w:r>
      <w:r w:rsidR="0068714E">
        <w:rPr>
          <w:rFonts w:ascii="Garamond" w:hAnsi="Garamond"/>
          <w:sz w:val="22"/>
          <w:szCs w:val="22"/>
        </w:rPr>
        <w:t>diminish and actual inflation trends downward</w:t>
      </w:r>
      <w:r w:rsidR="008103B1" w:rsidRPr="008103B1">
        <w:rPr>
          <w:rFonts w:ascii="Garamond" w:hAnsi="Garamond"/>
          <w:sz w:val="22"/>
          <w:szCs w:val="22"/>
        </w:rPr>
        <w:t xml:space="preserve">, the Bank of Russia is expected to continue </w:t>
      </w:r>
      <w:r w:rsidR="0068714E">
        <w:rPr>
          <w:rFonts w:ascii="Garamond" w:hAnsi="Garamond"/>
          <w:sz w:val="22"/>
          <w:szCs w:val="22"/>
        </w:rPr>
        <w:t xml:space="preserve">easing the </w:t>
      </w:r>
      <w:r w:rsidR="00415095">
        <w:rPr>
          <w:rFonts w:ascii="Garamond" w:hAnsi="Garamond"/>
          <w:sz w:val="22"/>
          <w:szCs w:val="22"/>
        </w:rPr>
        <w:t xml:space="preserve">monetary </w:t>
      </w:r>
      <w:r w:rsidR="0068714E">
        <w:rPr>
          <w:rFonts w:ascii="Garamond" w:hAnsi="Garamond"/>
          <w:sz w:val="22"/>
          <w:szCs w:val="22"/>
        </w:rPr>
        <w:t>conditions</w:t>
      </w:r>
      <w:r w:rsidR="00D25EB7">
        <w:rPr>
          <w:rFonts w:ascii="Garamond" w:hAnsi="Garamond"/>
          <w:sz w:val="22"/>
          <w:szCs w:val="22"/>
        </w:rPr>
        <w:t>.</w:t>
      </w:r>
    </w:p>
    <w:p w14:paraId="762B6DA1" w14:textId="77777777" w:rsidR="000774D3" w:rsidRDefault="00D47486" w:rsidP="004365CE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</w:t>
      </w:r>
      <w:r w:rsidR="00EE619D" w:rsidRPr="00EE5F0F">
        <w:rPr>
          <w:rFonts w:ascii="Garamond" w:hAnsi="Garamond"/>
          <w:b/>
          <w:sz w:val="22"/>
          <w:szCs w:val="22"/>
        </w:rPr>
        <w:t xml:space="preserve">evelopments in </w:t>
      </w:r>
      <w:r>
        <w:rPr>
          <w:rFonts w:ascii="Garamond" w:hAnsi="Garamond"/>
          <w:b/>
          <w:sz w:val="22"/>
          <w:szCs w:val="22"/>
        </w:rPr>
        <w:t>world commodity and food product markets</w:t>
      </w:r>
      <w:r w:rsidR="00EE619D" w:rsidRPr="00EE5F0F">
        <w:rPr>
          <w:rFonts w:ascii="Garamond" w:hAnsi="Garamond"/>
          <w:b/>
          <w:sz w:val="22"/>
          <w:szCs w:val="22"/>
        </w:rPr>
        <w:t>:</w:t>
      </w:r>
      <w:r w:rsidR="00EE619D" w:rsidRPr="00EE5F0F">
        <w:rPr>
          <w:rFonts w:ascii="Garamond" w:hAnsi="Garamond"/>
          <w:sz w:val="22"/>
          <w:szCs w:val="22"/>
        </w:rPr>
        <w:t xml:space="preserve"> </w:t>
      </w:r>
      <w:r w:rsidR="00416169">
        <w:rPr>
          <w:rFonts w:ascii="Garamond" w:hAnsi="Garamond"/>
          <w:sz w:val="22"/>
          <w:szCs w:val="22"/>
        </w:rPr>
        <w:t xml:space="preserve">In the </w:t>
      </w:r>
      <w:r w:rsidR="004365CE">
        <w:rPr>
          <w:rFonts w:ascii="Garamond" w:hAnsi="Garamond"/>
          <w:sz w:val="22"/>
          <w:szCs w:val="22"/>
        </w:rPr>
        <w:t>third</w:t>
      </w:r>
      <w:r w:rsidR="00416169">
        <w:rPr>
          <w:rFonts w:ascii="Garamond" w:hAnsi="Garamond"/>
          <w:sz w:val="22"/>
          <w:szCs w:val="22"/>
        </w:rPr>
        <w:t xml:space="preserve"> quarter of 2019</w:t>
      </w:r>
      <w:r w:rsidR="004365CE">
        <w:rPr>
          <w:rFonts w:ascii="Garamond" w:hAnsi="Garamond"/>
          <w:sz w:val="22"/>
          <w:szCs w:val="22"/>
        </w:rPr>
        <w:t xml:space="preserve"> commodity and food product markets </w:t>
      </w:r>
      <w:r w:rsidR="00546724">
        <w:rPr>
          <w:rFonts w:ascii="Garamond" w:hAnsi="Garamond"/>
          <w:sz w:val="22"/>
          <w:szCs w:val="22"/>
        </w:rPr>
        <w:t xml:space="preserve">endured </w:t>
      </w:r>
      <w:r w:rsidR="004365CE">
        <w:rPr>
          <w:rFonts w:ascii="Garamond" w:hAnsi="Garamond"/>
          <w:sz w:val="22"/>
          <w:szCs w:val="22"/>
        </w:rPr>
        <w:t xml:space="preserve">a </w:t>
      </w:r>
      <w:r w:rsidR="004365CE" w:rsidRPr="004365CE">
        <w:rPr>
          <w:rFonts w:ascii="Garamond" w:hAnsi="Garamond"/>
          <w:sz w:val="22"/>
          <w:szCs w:val="22"/>
        </w:rPr>
        <w:t>low price environment</w:t>
      </w:r>
      <w:r w:rsidR="004365CE">
        <w:rPr>
          <w:rFonts w:ascii="Garamond" w:hAnsi="Garamond"/>
          <w:sz w:val="22"/>
          <w:szCs w:val="22"/>
        </w:rPr>
        <w:t xml:space="preserve"> d</w:t>
      </w:r>
      <w:r w:rsidR="004365CE" w:rsidRPr="004365CE">
        <w:rPr>
          <w:rFonts w:ascii="Garamond" w:hAnsi="Garamond"/>
          <w:sz w:val="22"/>
          <w:szCs w:val="22"/>
        </w:rPr>
        <w:t xml:space="preserve">ue to </w:t>
      </w:r>
      <w:r w:rsidR="004365CE">
        <w:rPr>
          <w:rFonts w:ascii="Garamond" w:hAnsi="Garamond"/>
          <w:sz w:val="22"/>
          <w:szCs w:val="22"/>
        </w:rPr>
        <w:t>a sluggish g</w:t>
      </w:r>
      <w:r w:rsidR="004365CE" w:rsidRPr="004365CE">
        <w:rPr>
          <w:rFonts w:ascii="Garamond" w:hAnsi="Garamond"/>
          <w:sz w:val="22"/>
          <w:szCs w:val="22"/>
        </w:rPr>
        <w:t>lobal demand and trade tensions</w:t>
      </w:r>
      <w:r w:rsidR="00415095">
        <w:rPr>
          <w:rFonts w:ascii="Garamond" w:hAnsi="Garamond"/>
          <w:sz w:val="22"/>
          <w:szCs w:val="22"/>
        </w:rPr>
        <w:t>.</w:t>
      </w:r>
      <w:r w:rsidR="003B4B24" w:rsidRPr="00EE5F0F">
        <w:rPr>
          <w:rFonts w:ascii="Garamond" w:hAnsi="Garamond"/>
          <w:sz w:val="22"/>
          <w:szCs w:val="22"/>
        </w:rPr>
        <w:t xml:space="preserve"> </w:t>
      </w:r>
    </w:p>
    <w:p w14:paraId="7B199E30" w14:textId="77777777" w:rsidR="0046096C" w:rsidRDefault="000774D3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="00660AE6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 xml:space="preserve"> the </w:t>
      </w:r>
      <w:r w:rsidR="00546724">
        <w:rPr>
          <w:rFonts w:ascii="Garamond" w:hAnsi="Garamond"/>
          <w:sz w:val="22"/>
          <w:szCs w:val="22"/>
        </w:rPr>
        <w:t>third</w:t>
      </w:r>
      <w:r>
        <w:rPr>
          <w:rFonts w:ascii="Garamond" w:hAnsi="Garamond"/>
          <w:sz w:val="22"/>
          <w:szCs w:val="22"/>
        </w:rPr>
        <w:t xml:space="preserve"> quarter of 2019</w:t>
      </w:r>
      <w:r w:rsidR="00546724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</w:t>
      </w:r>
      <w:r w:rsidR="00334AE6">
        <w:rPr>
          <w:rFonts w:ascii="Garamond" w:hAnsi="Garamond"/>
          <w:sz w:val="22"/>
          <w:szCs w:val="22"/>
        </w:rPr>
        <w:t xml:space="preserve">international copper prices decreased </w:t>
      </w:r>
      <w:r w:rsidR="00546724">
        <w:rPr>
          <w:rFonts w:ascii="Garamond" w:hAnsi="Garamond"/>
          <w:sz w:val="22"/>
          <w:szCs w:val="22"/>
        </w:rPr>
        <w:t xml:space="preserve">by 5.0% y/y as demand in the copper market slackened amid uncertainties </w:t>
      </w:r>
      <w:r w:rsidR="00096C1A">
        <w:rPr>
          <w:rFonts w:ascii="Garamond" w:hAnsi="Garamond"/>
          <w:sz w:val="22"/>
          <w:szCs w:val="22"/>
        </w:rPr>
        <w:t xml:space="preserve">over </w:t>
      </w:r>
      <w:r w:rsidR="00546724">
        <w:rPr>
          <w:rFonts w:ascii="Garamond" w:hAnsi="Garamond"/>
          <w:sz w:val="22"/>
          <w:szCs w:val="22"/>
        </w:rPr>
        <w:t>trade war</w:t>
      </w:r>
      <w:r w:rsidR="00096C1A">
        <w:rPr>
          <w:rFonts w:ascii="Garamond" w:hAnsi="Garamond"/>
          <w:sz w:val="22"/>
          <w:szCs w:val="22"/>
        </w:rPr>
        <w:t>s</w:t>
      </w:r>
      <w:r w:rsidR="00546724">
        <w:rPr>
          <w:rFonts w:ascii="Garamond" w:hAnsi="Garamond"/>
          <w:sz w:val="22"/>
          <w:szCs w:val="22"/>
        </w:rPr>
        <w:t xml:space="preserve">. </w:t>
      </w:r>
      <w:r w:rsidR="00096C1A" w:rsidRPr="00096C1A">
        <w:rPr>
          <w:rFonts w:ascii="Garamond" w:hAnsi="Garamond"/>
          <w:sz w:val="22"/>
          <w:szCs w:val="22"/>
        </w:rPr>
        <w:t xml:space="preserve">It is expected that </w:t>
      </w:r>
      <w:r w:rsidR="00096C1A">
        <w:rPr>
          <w:rFonts w:ascii="Garamond" w:hAnsi="Garamond"/>
          <w:sz w:val="22"/>
          <w:szCs w:val="22"/>
        </w:rPr>
        <w:t xml:space="preserve">prices will keep low </w:t>
      </w:r>
      <w:r w:rsidR="00096C1A" w:rsidRPr="00096C1A">
        <w:rPr>
          <w:rFonts w:ascii="Garamond" w:hAnsi="Garamond"/>
          <w:sz w:val="22"/>
          <w:szCs w:val="22"/>
        </w:rPr>
        <w:t xml:space="preserve">in the short </w:t>
      </w:r>
      <w:r w:rsidR="00096C1A">
        <w:rPr>
          <w:rFonts w:ascii="Garamond" w:hAnsi="Garamond"/>
          <w:sz w:val="22"/>
          <w:szCs w:val="22"/>
        </w:rPr>
        <w:t xml:space="preserve">run. </w:t>
      </w:r>
      <w:r w:rsidR="00096C1A" w:rsidRPr="00096C1A">
        <w:rPr>
          <w:rFonts w:ascii="Garamond" w:hAnsi="Garamond"/>
          <w:sz w:val="22"/>
          <w:szCs w:val="22"/>
        </w:rPr>
        <w:t>International oil prices, despite a sl</w:t>
      </w:r>
      <w:r w:rsidR="00096C1A">
        <w:rPr>
          <w:rFonts w:ascii="Garamond" w:hAnsi="Garamond"/>
          <w:sz w:val="22"/>
          <w:szCs w:val="22"/>
        </w:rPr>
        <w:t xml:space="preserve">ower growth in </w:t>
      </w:r>
      <w:r w:rsidR="00096C1A" w:rsidRPr="00096C1A">
        <w:rPr>
          <w:rFonts w:ascii="Garamond" w:hAnsi="Garamond"/>
          <w:sz w:val="22"/>
          <w:szCs w:val="22"/>
        </w:rPr>
        <w:t xml:space="preserve">supply volumes </w:t>
      </w:r>
      <w:r w:rsidR="00096C1A">
        <w:rPr>
          <w:rFonts w:ascii="Garamond" w:hAnsi="Garamond"/>
          <w:sz w:val="22"/>
          <w:szCs w:val="22"/>
        </w:rPr>
        <w:t>against</w:t>
      </w:r>
      <w:r w:rsidR="00096C1A" w:rsidRPr="00096C1A">
        <w:rPr>
          <w:rFonts w:ascii="Garamond" w:hAnsi="Garamond"/>
          <w:sz w:val="22"/>
          <w:szCs w:val="22"/>
        </w:rPr>
        <w:t xml:space="preserve"> the previous quarter, have fallen by 9% </w:t>
      </w:r>
      <w:r w:rsidR="00096C1A">
        <w:rPr>
          <w:rFonts w:ascii="Garamond" w:hAnsi="Garamond"/>
          <w:sz w:val="22"/>
          <w:szCs w:val="22"/>
        </w:rPr>
        <w:t>q/q</w:t>
      </w:r>
      <w:r w:rsidR="00096C1A" w:rsidRPr="00096C1A">
        <w:rPr>
          <w:rFonts w:ascii="Garamond" w:hAnsi="Garamond"/>
          <w:sz w:val="22"/>
          <w:szCs w:val="22"/>
        </w:rPr>
        <w:t>.</w:t>
      </w:r>
      <w:r w:rsidR="00096C1A">
        <w:rPr>
          <w:rFonts w:ascii="Garamond" w:hAnsi="Garamond"/>
          <w:sz w:val="22"/>
          <w:szCs w:val="22"/>
        </w:rPr>
        <w:t xml:space="preserve"> </w:t>
      </w:r>
      <w:r w:rsidR="00096C1A" w:rsidRPr="0046096C">
        <w:rPr>
          <w:rFonts w:ascii="Garamond" w:hAnsi="Garamond"/>
          <w:sz w:val="22"/>
          <w:szCs w:val="22"/>
        </w:rPr>
        <w:t xml:space="preserve">The fall in prices </w:t>
      </w:r>
      <w:r w:rsidR="00096C1A">
        <w:rPr>
          <w:rFonts w:ascii="Garamond" w:hAnsi="Garamond"/>
          <w:sz w:val="22"/>
          <w:szCs w:val="22"/>
        </w:rPr>
        <w:t>was attributable to the</w:t>
      </w:r>
      <w:r w:rsidR="00096C1A" w:rsidRPr="0046096C">
        <w:rPr>
          <w:rFonts w:ascii="Garamond" w:hAnsi="Garamond"/>
          <w:sz w:val="22"/>
          <w:szCs w:val="22"/>
        </w:rPr>
        <w:t xml:space="preserve"> world demand </w:t>
      </w:r>
      <w:r w:rsidR="00096C1A">
        <w:rPr>
          <w:rFonts w:ascii="Garamond" w:hAnsi="Garamond"/>
          <w:sz w:val="22"/>
          <w:szCs w:val="22"/>
        </w:rPr>
        <w:t xml:space="preserve">weakened </w:t>
      </w:r>
      <w:r w:rsidR="00096C1A" w:rsidRPr="0046096C">
        <w:rPr>
          <w:rFonts w:ascii="Garamond" w:hAnsi="Garamond"/>
          <w:sz w:val="22"/>
          <w:szCs w:val="22"/>
        </w:rPr>
        <w:t>amid the US-China trade war</w:t>
      </w:r>
      <w:r w:rsidR="00096C1A">
        <w:rPr>
          <w:rFonts w:ascii="Garamond" w:hAnsi="Garamond"/>
          <w:sz w:val="22"/>
          <w:szCs w:val="22"/>
        </w:rPr>
        <w:t xml:space="preserve">s. </w:t>
      </w:r>
      <w:r w:rsidR="00096C1A" w:rsidRPr="00E44548">
        <w:rPr>
          <w:rFonts w:ascii="Garamond" w:hAnsi="Garamond"/>
          <w:sz w:val="22"/>
          <w:szCs w:val="22"/>
        </w:rPr>
        <w:t>In the short term, international oil prices are expected to remain at low levels.</w:t>
      </w:r>
      <w:r w:rsidR="00096C1A">
        <w:rPr>
          <w:rFonts w:ascii="Garamond" w:hAnsi="Garamond"/>
          <w:sz w:val="22"/>
          <w:szCs w:val="22"/>
        </w:rPr>
        <w:t xml:space="preserve"> </w:t>
      </w:r>
    </w:p>
    <w:p w14:paraId="20D69C70" w14:textId="77777777" w:rsidR="00EE619D" w:rsidRPr="00EE5F0F" w:rsidRDefault="002F643B" w:rsidP="00E3294E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2F643B">
        <w:rPr>
          <w:rFonts w:ascii="Garamond" w:hAnsi="Garamond"/>
          <w:sz w:val="22"/>
          <w:szCs w:val="22"/>
        </w:rPr>
        <w:t>In food product</w:t>
      </w:r>
      <w:r w:rsidR="00FE5DCF">
        <w:rPr>
          <w:rFonts w:ascii="Garamond" w:hAnsi="Garamond"/>
          <w:sz w:val="22"/>
          <w:szCs w:val="22"/>
        </w:rPr>
        <w:t xml:space="preserve"> market</w:t>
      </w:r>
      <w:r w:rsidRPr="002F643B">
        <w:rPr>
          <w:rFonts w:ascii="Garamond" w:hAnsi="Garamond"/>
          <w:sz w:val="22"/>
          <w:szCs w:val="22"/>
        </w:rPr>
        <w:t xml:space="preserve">s in the </w:t>
      </w:r>
      <w:r w:rsidR="00096C1A">
        <w:rPr>
          <w:rFonts w:ascii="Garamond" w:hAnsi="Garamond"/>
          <w:sz w:val="22"/>
          <w:szCs w:val="22"/>
        </w:rPr>
        <w:t>third</w:t>
      </w:r>
      <w:r w:rsidRPr="002F643B">
        <w:rPr>
          <w:rFonts w:ascii="Garamond" w:hAnsi="Garamond"/>
          <w:sz w:val="22"/>
          <w:szCs w:val="22"/>
        </w:rPr>
        <w:t xml:space="preserve"> quarter</w:t>
      </w:r>
      <w:r>
        <w:rPr>
          <w:rFonts w:ascii="Garamond" w:hAnsi="Garamond"/>
          <w:sz w:val="22"/>
          <w:szCs w:val="22"/>
        </w:rPr>
        <w:t xml:space="preserve"> of 201</w:t>
      </w:r>
      <w:r w:rsidR="00CB1C7F">
        <w:rPr>
          <w:rFonts w:ascii="Garamond" w:hAnsi="Garamond"/>
          <w:sz w:val="22"/>
          <w:szCs w:val="22"/>
        </w:rPr>
        <w:t>9</w:t>
      </w:r>
      <w:r>
        <w:rPr>
          <w:rFonts w:ascii="Garamond" w:hAnsi="Garamond"/>
          <w:sz w:val="22"/>
          <w:szCs w:val="22"/>
        </w:rPr>
        <w:t xml:space="preserve">, </w:t>
      </w:r>
      <w:r w:rsidR="006526F1">
        <w:rPr>
          <w:rFonts w:ascii="Garamond" w:hAnsi="Garamond"/>
          <w:sz w:val="22"/>
          <w:szCs w:val="22"/>
        </w:rPr>
        <w:t xml:space="preserve">relative to the previous quarter, </w:t>
      </w:r>
      <w:r w:rsidR="00096C1A">
        <w:rPr>
          <w:rFonts w:ascii="Garamond" w:hAnsi="Garamond"/>
          <w:sz w:val="22"/>
          <w:szCs w:val="22"/>
        </w:rPr>
        <w:t>s</w:t>
      </w:r>
      <w:r w:rsidR="00096C1A" w:rsidRPr="00096C1A">
        <w:rPr>
          <w:rFonts w:ascii="Garamond" w:hAnsi="Garamond"/>
          <w:sz w:val="22"/>
          <w:szCs w:val="22"/>
        </w:rPr>
        <w:t xml:space="preserve">ugar, </w:t>
      </w:r>
      <w:r w:rsidR="00096C1A">
        <w:rPr>
          <w:rFonts w:ascii="Garamond" w:hAnsi="Garamond"/>
          <w:sz w:val="22"/>
          <w:szCs w:val="22"/>
        </w:rPr>
        <w:t xml:space="preserve">wheat </w:t>
      </w:r>
      <w:r w:rsidR="00096C1A" w:rsidRPr="00096C1A">
        <w:rPr>
          <w:rFonts w:ascii="Garamond" w:hAnsi="Garamond"/>
          <w:sz w:val="22"/>
          <w:szCs w:val="22"/>
        </w:rPr>
        <w:t>and dairy</w:t>
      </w:r>
      <w:r w:rsidR="00096C1A">
        <w:rPr>
          <w:rFonts w:ascii="Garamond" w:hAnsi="Garamond"/>
          <w:sz w:val="22"/>
          <w:szCs w:val="22"/>
        </w:rPr>
        <w:t xml:space="preserve"> product </w:t>
      </w:r>
      <w:r w:rsidR="00096C1A" w:rsidRPr="00096C1A">
        <w:rPr>
          <w:rFonts w:ascii="Garamond" w:hAnsi="Garamond"/>
          <w:sz w:val="22"/>
          <w:szCs w:val="22"/>
        </w:rPr>
        <w:t xml:space="preserve">prices </w:t>
      </w:r>
      <w:r w:rsidR="00096C1A">
        <w:rPr>
          <w:rFonts w:ascii="Garamond" w:hAnsi="Garamond"/>
          <w:sz w:val="22"/>
          <w:szCs w:val="22"/>
        </w:rPr>
        <w:t xml:space="preserve">dropped </w:t>
      </w:r>
      <w:r w:rsidR="004F0089">
        <w:rPr>
          <w:rFonts w:ascii="Garamond" w:hAnsi="Garamond"/>
          <w:sz w:val="22"/>
          <w:szCs w:val="22"/>
        </w:rPr>
        <w:t xml:space="preserve">to </w:t>
      </w:r>
      <w:r w:rsidR="00FF0B31">
        <w:rPr>
          <w:rFonts w:ascii="Garamond" w:hAnsi="Garamond"/>
          <w:sz w:val="22"/>
          <w:szCs w:val="22"/>
        </w:rPr>
        <w:t xml:space="preserve">some </w:t>
      </w:r>
      <w:r w:rsidR="004F0089">
        <w:rPr>
          <w:rFonts w:ascii="Garamond" w:hAnsi="Garamond"/>
          <w:sz w:val="22"/>
          <w:szCs w:val="22"/>
        </w:rPr>
        <w:t xml:space="preserve">extent </w:t>
      </w:r>
      <w:r w:rsidR="00096C1A" w:rsidRPr="00096C1A">
        <w:rPr>
          <w:rFonts w:ascii="Garamond" w:hAnsi="Garamond"/>
          <w:sz w:val="22"/>
          <w:szCs w:val="22"/>
        </w:rPr>
        <w:t>due to a</w:t>
      </w:r>
      <w:r w:rsidR="006526F1">
        <w:rPr>
          <w:rFonts w:ascii="Garamond" w:hAnsi="Garamond"/>
          <w:sz w:val="22"/>
          <w:szCs w:val="22"/>
        </w:rPr>
        <w:t>n</w:t>
      </w:r>
      <w:r w:rsidR="00096C1A" w:rsidRPr="00096C1A">
        <w:rPr>
          <w:rFonts w:ascii="Garamond" w:hAnsi="Garamond"/>
          <w:sz w:val="22"/>
          <w:szCs w:val="22"/>
        </w:rPr>
        <w:t xml:space="preserve"> </w:t>
      </w:r>
      <w:r w:rsidR="006526F1">
        <w:rPr>
          <w:rFonts w:ascii="Garamond" w:hAnsi="Garamond"/>
          <w:sz w:val="22"/>
          <w:szCs w:val="22"/>
        </w:rPr>
        <w:t xml:space="preserve">upside </w:t>
      </w:r>
      <w:r w:rsidR="00096C1A" w:rsidRPr="00096C1A">
        <w:rPr>
          <w:rFonts w:ascii="Garamond" w:hAnsi="Garamond"/>
          <w:sz w:val="22"/>
          <w:szCs w:val="22"/>
        </w:rPr>
        <w:t>revis</w:t>
      </w:r>
      <w:r w:rsidR="006526F1">
        <w:rPr>
          <w:rFonts w:ascii="Garamond" w:hAnsi="Garamond"/>
          <w:sz w:val="22"/>
          <w:szCs w:val="22"/>
        </w:rPr>
        <w:t>ion for expected g</w:t>
      </w:r>
      <w:r w:rsidR="00096C1A" w:rsidRPr="00096C1A">
        <w:rPr>
          <w:rFonts w:ascii="Garamond" w:hAnsi="Garamond"/>
          <w:sz w:val="22"/>
          <w:szCs w:val="22"/>
        </w:rPr>
        <w:t>rowth in production</w:t>
      </w:r>
      <w:r w:rsidR="006526F1">
        <w:rPr>
          <w:rFonts w:ascii="Garamond" w:hAnsi="Garamond"/>
          <w:sz w:val="22"/>
          <w:szCs w:val="22"/>
        </w:rPr>
        <w:t xml:space="preserve"> volumes in the previous quarter. </w:t>
      </w:r>
      <w:r w:rsidR="00FF0B31" w:rsidRPr="00FF0B31">
        <w:rPr>
          <w:rFonts w:ascii="Garamond" w:hAnsi="Garamond"/>
          <w:sz w:val="22"/>
          <w:szCs w:val="22"/>
        </w:rPr>
        <w:t xml:space="preserve">However, according to the October data, there was a certain increase in prices in the aforementioned </w:t>
      </w:r>
      <w:r w:rsidR="00FF0B31">
        <w:rPr>
          <w:rFonts w:ascii="Garamond" w:hAnsi="Garamond"/>
          <w:sz w:val="22"/>
          <w:szCs w:val="22"/>
        </w:rPr>
        <w:t>g</w:t>
      </w:r>
      <w:r w:rsidR="00FF0B31" w:rsidRPr="00FF0B31">
        <w:rPr>
          <w:rFonts w:ascii="Garamond" w:hAnsi="Garamond"/>
          <w:sz w:val="22"/>
          <w:szCs w:val="22"/>
        </w:rPr>
        <w:t xml:space="preserve">roups </w:t>
      </w:r>
      <w:r w:rsidR="00FF0B31">
        <w:rPr>
          <w:rFonts w:ascii="Garamond" w:hAnsi="Garamond"/>
          <w:sz w:val="22"/>
          <w:szCs w:val="22"/>
        </w:rPr>
        <w:t xml:space="preserve">in anticipation of fewer crops </w:t>
      </w:r>
      <w:r w:rsidR="00FF0B31" w:rsidRPr="00FF0B31">
        <w:rPr>
          <w:rFonts w:ascii="Garamond" w:hAnsi="Garamond"/>
          <w:sz w:val="22"/>
          <w:szCs w:val="22"/>
        </w:rPr>
        <w:t xml:space="preserve">in the following marketing year. In the short </w:t>
      </w:r>
      <w:r w:rsidR="00FF0B31">
        <w:rPr>
          <w:rFonts w:ascii="Garamond" w:hAnsi="Garamond"/>
          <w:sz w:val="22"/>
          <w:szCs w:val="22"/>
        </w:rPr>
        <w:t>run,</w:t>
      </w:r>
      <w:r w:rsidR="00FF0B31" w:rsidRPr="00FF0B31">
        <w:rPr>
          <w:rFonts w:ascii="Garamond" w:hAnsi="Garamond"/>
          <w:sz w:val="22"/>
          <w:szCs w:val="22"/>
        </w:rPr>
        <w:t xml:space="preserve"> given the tensions arising from trade wars, major commodity groups </w:t>
      </w:r>
      <w:r w:rsidR="00FF0B31">
        <w:rPr>
          <w:rFonts w:ascii="Garamond" w:hAnsi="Garamond"/>
          <w:sz w:val="22"/>
          <w:szCs w:val="22"/>
        </w:rPr>
        <w:t xml:space="preserve">will further see a weak </w:t>
      </w:r>
      <w:r w:rsidR="00FF0B31" w:rsidRPr="00FF0B31">
        <w:rPr>
          <w:rFonts w:ascii="Garamond" w:hAnsi="Garamond"/>
          <w:sz w:val="22"/>
          <w:szCs w:val="22"/>
        </w:rPr>
        <w:t>inflation</w:t>
      </w:r>
      <w:r w:rsidR="00FF0B31">
        <w:rPr>
          <w:rFonts w:ascii="Garamond" w:hAnsi="Garamond"/>
          <w:sz w:val="22"/>
          <w:szCs w:val="22"/>
        </w:rPr>
        <w:t xml:space="preserve"> </w:t>
      </w:r>
      <w:r w:rsidR="00FF0B31" w:rsidRPr="00FF0B31">
        <w:rPr>
          <w:rFonts w:ascii="Garamond" w:hAnsi="Garamond"/>
          <w:sz w:val="22"/>
          <w:szCs w:val="22"/>
        </w:rPr>
        <w:t>environment.</w:t>
      </w:r>
      <w:r w:rsidR="00C7198F">
        <w:rPr>
          <w:rFonts w:ascii="Garamond" w:hAnsi="Garamond"/>
          <w:sz w:val="22"/>
          <w:szCs w:val="22"/>
        </w:rPr>
        <w:t xml:space="preserve"> </w:t>
      </w:r>
    </w:p>
    <w:p w14:paraId="643C380C" w14:textId="77777777" w:rsidR="00276564" w:rsidRPr="00EE5F0F" w:rsidRDefault="00276564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bCs/>
          <w:iCs/>
          <w:color w:val="0070C0"/>
          <w:sz w:val="22"/>
          <w:szCs w:val="22"/>
        </w:rPr>
      </w:pPr>
    </w:p>
    <w:p w14:paraId="753F0982" w14:textId="77777777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bCs/>
          <w:iCs/>
          <w:color w:val="0070C0"/>
          <w:sz w:val="22"/>
          <w:szCs w:val="22"/>
        </w:rPr>
        <w:t>2.2. Forecasts</w:t>
      </w:r>
      <w:r w:rsidRPr="00EE5F0F">
        <w:rPr>
          <w:rFonts w:ascii="Garamond" w:hAnsi="Garamond"/>
          <w:sz w:val="22"/>
          <w:szCs w:val="22"/>
        </w:rPr>
        <w:t xml:space="preserve"> </w:t>
      </w:r>
    </w:p>
    <w:p w14:paraId="0E5CC8AD" w14:textId="77777777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bCs/>
          <w:iCs/>
          <w:color w:val="0070C0"/>
          <w:sz w:val="22"/>
          <w:szCs w:val="22"/>
        </w:rPr>
        <w:t>2.2.1. Inflation and monetary policy</w:t>
      </w:r>
      <w:r w:rsidRPr="00EE5F0F">
        <w:rPr>
          <w:rFonts w:ascii="Garamond" w:hAnsi="Garamond"/>
          <w:sz w:val="22"/>
          <w:szCs w:val="22"/>
        </w:rPr>
        <w:t xml:space="preserve"> </w:t>
      </w:r>
    </w:p>
    <w:p w14:paraId="188B3F7C" w14:textId="77777777" w:rsidR="00672005" w:rsidRDefault="00B70C8E" w:rsidP="00A668F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 xml:space="preserve">In the </w:t>
      </w:r>
      <w:r w:rsidR="00E36554">
        <w:rPr>
          <w:rFonts w:ascii="Garamond" w:hAnsi="Garamond"/>
          <w:b/>
          <w:sz w:val="22"/>
          <w:szCs w:val="22"/>
        </w:rPr>
        <w:t xml:space="preserve">current </w:t>
      </w:r>
      <w:r>
        <w:rPr>
          <w:rFonts w:ascii="Garamond" w:hAnsi="Garamond"/>
          <w:b/>
          <w:sz w:val="22"/>
          <w:szCs w:val="22"/>
        </w:rPr>
        <w:t xml:space="preserve">quarter </w:t>
      </w:r>
      <w:r w:rsidR="00E36554">
        <w:rPr>
          <w:rFonts w:ascii="Garamond" w:hAnsi="Garamond"/>
          <w:b/>
          <w:sz w:val="22"/>
          <w:szCs w:val="22"/>
        </w:rPr>
        <w:t>t</w:t>
      </w:r>
      <w:r w:rsidR="00832E2C">
        <w:rPr>
          <w:rFonts w:ascii="Garamond" w:hAnsi="Garamond"/>
          <w:b/>
          <w:sz w:val="22"/>
          <w:szCs w:val="22"/>
        </w:rPr>
        <w:t>he inflation persist</w:t>
      </w:r>
      <w:r w:rsidR="003B4CC9">
        <w:rPr>
          <w:rFonts w:ascii="Garamond" w:hAnsi="Garamond"/>
          <w:b/>
          <w:sz w:val="22"/>
          <w:szCs w:val="22"/>
        </w:rPr>
        <w:t>s</w:t>
      </w:r>
      <w:r w:rsidR="00832E2C">
        <w:rPr>
          <w:rFonts w:ascii="Garamond" w:hAnsi="Garamond"/>
          <w:b/>
          <w:sz w:val="22"/>
          <w:szCs w:val="22"/>
        </w:rPr>
        <w:t xml:space="preserve"> at a relatively low level</w:t>
      </w:r>
      <w:r w:rsidR="00E36554">
        <w:rPr>
          <w:rFonts w:ascii="Garamond" w:hAnsi="Garamond"/>
          <w:b/>
          <w:sz w:val="22"/>
          <w:szCs w:val="22"/>
        </w:rPr>
        <w:t>. The Central Bank</w:t>
      </w:r>
      <w:r w:rsidR="00832E2C" w:rsidRPr="00832E2C">
        <w:rPr>
          <w:rFonts w:ascii="Garamond" w:hAnsi="Garamond"/>
          <w:b/>
          <w:sz w:val="22"/>
          <w:szCs w:val="22"/>
        </w:rPr>
        <w:t xml:space="preserve"> </w:t>
      </w:r>
      <w:r w:rsidR="00A668FF">
        <w:rPr>
          <w:rFonts w:ascii="Garamond" w:hAnsi="Garamond"/>
          <w:b/>
          <w:sz w:val="22"/>
          <w:szCs w:val="22"/>
        </w:rPr>
        <w:t xml:space="preserve">considers </w:t>
      </w:r>
      <w:r w:rsidR="00E36554">
        <w:rPr>
          <w:rFonts w:ascii="Garamond" w:hAnsi="Garamond"/>
          <w:b/>
          <w:sz w:val="22"/>
          <w:szCs w:val="22"/>
        </w:rPr>
        <w:t xml:space="preserve">that </w:t>
      </w:r>
      <w:r w:rsidR="00E36554" w:rsidRPr="006603F1">
        <w:rPr>
          <w:rFonts w:ascii="Garamond" w:hAnsi="Garamond"/>
          <w:b/>
          <w:sz w:val="22"/>
          <w:szCs w:val="22"/>
        </w:rPr>
        <w:t xml:space="preserve">the </w:t>
      </w:r>
      <w:r w:rsidR="00E36554">
        <w:rPr>
          <w:rFonts w:ascii="Garamond" w:hAnsi="Garamond"/>
          <w:b/>
          <w:sz w:val="22"/>
          <w:szCs w:val="22"/>
        </w:rPr>
        <w:t xml:space="preserve">monetary </w:t>
      </w:r>
      <w:r w:rsidR="00A668FF">
        <w:rPr>
          <w:rFonts w:ascii="Garamond" w:hAnsi="Garamond"/>
          <w:b/>
          <w:sz w:val="22"/>
          <w:szCs w:val="22"/>
        </w:rPr>
        <w:t>stimulus needs to be maintained i</w:t>
      </w:r>
      <w:r w:rsidR="007E1C97">
        <w:rPr>
          <w:rFonts w:ascii="Garamond" w:hAnsi="Garamond"/>
          <w:b/>
          <w:sz w:val="22"/>
          <w:szCs w:val="22"/>
        </w:rPr>
        <w:t xml:space="preserve">n </w:t>
      </w:r>
      <w:r w:rsidR="00A668FF">
        <w:rPr>
          <w:rFonts w:ascii="Garamond" w:hAnsi="Garamond"/>
          <w:b/>
          <w:sz w:val="22"/>
          <w:szCs w:val="22"/>
        </w:rPr>
        <w:t>a time of lack of in</w:t>
      </w:r>
      <w:r w:rsidR="00672005">
        <w:rPr>
          <w:rFonts w:ascii="Garamond" w:hAnsi="Garamond"/>
          <w:b/>
          <w:sz w:val="22"/>
          <w:szCs w:val="22"/>
        </w:rPr>
        <w:t xml:space="preserve">flationary </w:t>
      </w:r>
      <w:r w:rsidR="00A668FF">
        <w:rPr>
          <w:rFonts w:ascii="Garamond" w:hAnsi="Garamond"/>
          <w:b/>
          <w:sz w:val="22"/>
          <w:szCs w:val="22"/>
        </w:rPr>
        <w:t xml:space="preserve">pressures from </w:t>
      </w:r>
      <w:r w:rsidR="00672005">
        <w:rPr>
          <w:rFonts w:ascii="Garamond" w:hAnsi="Garamond"/>
          <w:b/>
          <w:sz w:val="22"/>
          <w:szCs w:val="22"/>
        </w:rPr>
        <w:t>the external sector</w:t>
      </w:r>
      <w:r w:rsidR="00A668FF">
        <w:rPr>
          <w:rFonts w:ascii="Garamond" w:hAnsi="Garamond"/>
          <w:b/>
          <w:sz w:val="22"/>
          <w:szCs w:val="22"/>
        </w:rPr>
        <w:t xml:space="preserve"> and in </w:t>
      </w:r>
      <w:r w:rsidR="007D605E">
        <w:rPr>
          <w:rFonts w:ascii="Garamond" w:hAnsi="Garamond"/>
          <w:b/>
          <w:sz w:val="22"/>
          <w:szCs w:val="22"/>
        </w:rPr>
        <w:t xml:space="preserve">anticipation of </w:t>
      </w:r>
      <w:r w:rsidR="00672005">
        <w:rPr>
          <w:rFonts w:ascii="Garamond" w:hAnsi="Garamond"/>
          <w:b/>
          <w:sz w:val="22"/>
          <w:szCs w:val="22"/>
        </w:rPr>
        <w:t xml:space="preserve">budgetary developments in </w:t>
      </w:r>
      <w:r w:rsidR="007E1C97">
        <w:rPr>
          <w:rFonts w:ascii="Garamond" w:hAnsi="Garamond"/>
          <w:b/>
          <w:sz w:val="22"/>
          <w:szCs w:val="22"/>
        </w:rPr>
        <w:t>the domestic economy</w:t>
      </w:r>
      <w:r w:rsidR="00A668FF">
        <w:rPr>
          <w:rFonts w:ascii="Garamond" w:hAnsi="Garamond"/>
          <w:b/>
          <w:sz w:val="22"/>
          <w:szCs w:val="22"/>
        </w:rPr>
        <w:t xml:space="preserve">, while leaving the policy rate unaltered. </w:t>
      </w:r>
      <w:r w:rsidR="007E1C97">
        <w:rPr>
          <w:rFonts w:ascii="Garamond" w:hAnsi="Garamond"/>
          <w:b/>
          <w:sz w:val="22"/>
          <w:szCs w:val="22"/>
        </w:rPr>
        <w:t>As a result, t</w:t>
      </w:r>
      <w:r w:rsidR="00E36554">
        <w:rPr>
          <w:rFonts w:ascii="Garamond" w:hAnsi="Garamond"/>
          <w:b/>
          <w:sz w:val="22"/>
          <w:szCs w:val="22"/>
        </w:rPr>
        <w:t>he inflation</w:t>
      </w:r>
      <w:r w:rsidR="007E1C97">
        <w:rPr>
          <w:rFonts w:ascii="Garamond" w:hAnsi="Garamond"/>
          <w:b/>
          <w:sz w:val="22"/>
          <w:szCs w:val="22"/>
        </w:rPr>
        <w:t>,</w:t>
      </w:r>
      <w:r w:rsidR="001803FC">
        <w:rPr>
          <w:rFonts w:ascii="Garamond" w:hAnsi="Garamond"/>
          <w:b/>
          <w:sz w:val="22"/>
          <w:szCs w:val="22"/>
        </w:rPr>
        <w:t xml:space="preserve"> s</w:t>
      </w:r>
      <w:r w:rsidR="00E36554">
        <w:rPr>
          <w:rFonts w:ascii="Garamond" w:hAnsi="Garamond"/>
          <w:b/>
          <w:sz w:val="22"/>
          <w:szCs w:val="22"/>
        </w:rPr>
        <w:t xml:space="preserve">till running below its target </w:t>
      </w:r>
      <w:r w:rsidR="001803FC">
        <w:rPr>
          <w:rFonts w:ascii="Garamond" w:hAnsi="Garamond"/>
          <w:b/>
          <w:sz w:val="22"/>
          <w:szCs w:val="22"/>
        </w:rPr>
        <w:t>over the upcoming months</w:t>
      </w:r>
      <w:r w:rsidR="007E1C97">
        <w:rPr>
          <w:rFonts w:ascii="Garamond" w:hAnsi="Garamond"/>
          <w:b/>
          <w:sz w:val="22"/>
          <w:szCs w:val="22"/>
        </w:rPr>
        <w:t>,</w:t>
      </w:r>
      <w:r w:rsidR="001803FC">
        <w:rPr>
          <w:rFonts w:ascii="Garamond" w:hAnsi="Garamond"/>
          <w:b/>
          <w:sz w:val="22"/>
          <w:szCs w:val="22"/>
        </w:rPr>
        <w:t xml:space="preserve"> </w:t>
      </w:r>
      <w:r w:rsidR="00E36554" w:rsidRPr="006603F1">
        <w:rPr>
          <w:rFonts w:ascii="Garamond" w:hAnsi="Garamond"/>
          <w:b/>
          <w:sz w:val="22"/>
          <w:szCs w:val="22"/>
        </w:rPr>
        <w:t xml:space="preserve">will stabilize </w:t>
      </w:r>
      <w:r w:rsidR="00E36554">
        <w:rPr>
          <w:rFonts w:ascii="Garamond" w:hAnsi="Garamond"/>
          <w:b/>
          <w:sz w:val="22"/>
          <w:szCs w:val="22"/>
        </w:rPr>
        <w:t>around it in</w:t>
      </w:r>
      <w:r w:rsidR="00E36554" w:rsidRPr="006603F1">
        <w:rPr>
          <w:rFonts w:ascii="Garamond" w:hAnsi="Garamond"/>
          <w:b/>
          <w:sz w:val="22"/>
          <w:szCs w:val="22"/>
        </w:rPr>
        <w:t xml:space="preserve"> the </w:t>
      </w:r>
      <w:r w:rsidR="001803FC">
        <w:rPr>
          <w:rFonts w:ascii="Garamond" w:hAnsi="Garamond"/>
          <w:b/>
          <w:sz w:val="22"/>
          <w:szCs w:val="22"/>
        </w:rPr>
        <w:t>medium run.</w:t>
      </w:r>
      <w:r w:rsidR="006603F1" w:rsidRPr="006603F1">
        <w:rPr>
          <w:rFonts w:ascii="Garamond" w:hAnsi="Garamond"/>
          <w:b/>
          <w:sz w:val="22"/>
          <w:szCs w:val="22"/>
        </w:rPr>
        <w:t xml:space="preserve"> </w:t>
      </w:r>
    </w:p>
    <w:p w14:paraId="310F3916" w14:textId="77777777" w:rsidR="007E234D" w:rsidRDefault="00A668F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</w:t>
      </w:r>
      <w:r w:rsidR="001803FC" w:rsidRPr="001803FC">
        <w:rPr>
          <w:rFonts w:ascii="Garamond" w:hAnsi="Garamond"/>
          <w:sz w:val="22"/>
          <w:szCs w:val="22"/>
        </w:rPr>
        <w:t xml:space="preserve">urrent </w:t>
      </w:r>
      <w:r w:rsidR="004924CA">
        <w:rPr>
          <w:rFonts w:ascii="Garamond" w:hAnsi="Garamond"/>
          <w:sz w:val="22"/>
          <w:szCs w:val="22"/>
        </w:rPr>
        <w:t xml:space="preserve">indicators </w:t>
      </w:r>
      <w:r w:rsidR="00CB7142">
        <w:rPr>
          <w:rFonts w:ascii="Garamond" w:hAnsi="Garamond"/>
          <w:sz w:val="22"/>
          <w:szCs w:val="22"/>
        </w:rPr>
        <w:t>point out</w:t>
      </w:r>
      <w:r>
        <w:rPr>
          <w:rFonts w:ascii="Garamond" w:hAnsi="Garamond"/>
          <w:sz w:val="22"/>
          <w:szCs w:val="22"/>
        </w:rPr>
        <w:t xml:space="preserve"> that </w:t>
      </w:r>
      <w:r w:rsidR="004924CA">
        <w:rPr>
          <w:rFonts w:ascii="Garamond" w:hAnsi="Garamond"/>
          <w:sz w:val="22"/>
          <w:szCs w:val="22"/>
        </w:rPr>
        <w:t xml:space="preserve">the third quarter’s </w:t>
      </w:r>
      <w:r w:rsidR="001803FC" w:rsidRPr="001803FC">
        <w:rPr>
          <w:rFonts w:ascii="Garamond" w:hAnsi="Garamond"/>
          <w:sz w:val="22"/>
          <w:szCs w:val="22"/>
        </w:rPr>
        <w:t xml:space="preserve">economic activity </w:t>
      </w:r>
      <w:r w:rsidR="004924CA">
        <w:rPr>
          <w:rFonts w:ascii="Garamond" w:hAnsi="Garamond"/>
          <w:sz w:val="22"/>
          <w:szCs w:val="22"/>
        </w:rPr>
        <w:t>outpaced the expectations, and strong growth rates will be persisting over the fourth quarter of 2019</w:t>
      </w:r>
      <w:r w:rsidR="00C96B96">
        <w:rPr>
          <w:rFonts w:ascii="Garamond" w:hAnsi="Garamond"/>
          <w:sz w:val="22"/>
          <w:szCs w:val="22"/>
        </w:rPr>
        <w:t>,</w:t>
      </w:r>
      <w:r w:rsidR="004924CA">
        <w:rPr>
          <w:rFonts w:ascii="Garamond" w:hAnsi="Garamond"/>
          <w:sz w:val="22"/>
          <w:szCs w:val="22"/>
        </w:rPr>
        <w:t xml:space="preserve"> too. The e</w:t>
      </w:r>
      <w:r w:rsidR="001803FC" w:rsidRPr="001803FC">
        <w:rPr>
          <w:rFonts w:ascii="Garamond" w:hAnsi="Garamond"/>
          <w:sz w:val="22"/>
          <w:szCs w:val="22"/>
        </w:rPr>
        <w:t xml:space="preserve">conomic </w:t>
      </w:r>
      <w:r w:rsidR="005B4D1B">
        <w:rPr>
          <w:rFonts w:ascii="Garamond" w:hAnsi="Garamond"/>
          <w:sz w:val="22"/>
          <w:szCs w:val="22"/>
        </w:rPr>
        <w:t>activity remains s</w:t>
      </w:r>
      <w:r w:rsidR="004924CA">
        <w:rPr>
          <w:rFonts w:ascii="Garamond" w:hAnsi="Garamond"/>
          <w:sz w:val="22"/>
          <w:szCs w:val="22"/>
        </w:rPr>
        <w:t xml:space="preserve">o mainly </w:t>
      </w:r>
      <w:r w:rsidR="00ED5348">
        <w:rPr>
          <w:rFonts w:ascii="Garamond" w:hAnsi="Garamond"/>
          <w:sz w:val="22"/>
          <w:szCs w:val="22"/>
        </w:rPr>
        <w:t>thanks to</w:t>
      </w:r>
      <w:r w:rsidR="00746C4E">
        <w:rPr>
          <w:rFonts w:ascii="Garamond" w:hAnsi="Garamond"/>
          <w:sz w:val="22"/>
          <w:szCs w:val="22"/>
        </w:rPr>
        <w:t xml:space="preserve"> </w:t>
      </w:r>
      <w:r w:rsidR="004924CA">
        <w:rPr>
          <w:rFonts w:ascii="Garamond" w:hAnsi="Garamond"/>
          <w:sz w:val="22"/>
          <w:szCs w:val="22"/>
        </w:rPr>
        <w:t xml:space="preserve">a current estimation of high </w:t>
      </w:r>
      <w:r w:rsidR="00746C4E">
        <w:rPr>
          <w:rFonts w:ascii="Garamond" w:hAnsi="Garamond"/>
          <w:sz w:val="22"/>
          <w:szCs w:val="22"/>
        </w:rPr>
        <w:t xml:space="preserve">growth in services </w:t>
      </w:r>
      <w:r w:rsidR="004924CA">
        <w:rPr>
          <w:rFonts w:ascii="Garamond" w:hAnsi="Garamond"/>
          <w:sz w:val="22"/>
          <w:szCs w:val="22"/>
        </w:rPr>
        <w:t xml:space="preserve">in terms of supply </w:t>
      </w:r>
      <w:r w:rsidR="00746C4E">
        <w:rPr>
          <w:rFonts w:ascii="Garamond" w:hAnsi="Garamond"/>
          <w:sz w:val="22"/>
          <w:szCs w:val="22"/>
        </w:rPr>
        <w:t xml:space="preserve">and </w:t>
      </w:r>
      <w:r w:rsidR="004924CA">
        <w:rPr>
          <w:rFonts w:ascii="Garamond" w:hAnsi="Garamond"/>
          <w:sz w:val="22"/>
          <w:szCs w:val="22"/>
        </w:rPr>
        <w:t xml:space="preserve">growing </w:t>
      </w:r>
      <w:r w:rsidR="00746C4E">
        <w:rPr>
          <w:rFonts w:ascii="Garamond" w:hAnsi="Garamond"/>
          <w:sz w:val="22"/>
          <w:szCs w:val="22"/>
        </w:rPr>
        <w:t>private consumption in terms of demand</w:t>
      </w:r>
      <w:r w:rsidR="004924CA">
        <w:rPr>
          <w:rFonts w:ascii="Garamond" w:hAnsi="Garamond"/>
          <w:sz w:val="22"/>
          <w:szCs w:val="22"/>
        </w:rPr>
        <w:t>, which is fostered by a stimulative monetary policy</w:t>
      </w:r>
      <w:r w:rsidR="001803FC" w:rsidRPr="001803FC">
        <w:rPr>
          <w:rFonts w:ascii="Garamond" w:hAnsi="Garamond"/>
          <w:sz w:val="22"/>
          <w:szCs w:val="22"/>
        </w:rPr>
        <w:t>.</w:t>
      </w:r>
      <w:r w:rsidR="00ED5348">
        <w:rPr>
          <w:rFonts w:ascii="Garamond" w:hAnsi="Garamond"/>
          <w:sz w:val="22"/>
          <w:szCs w:val="22"/>
        </w:rPr>
        <w:t xml:space="preserve"> </w:t>
      </w:r>
      <w:r w:rsidR="00B467FC">
        <w:rPr>
          <w:rFonts w:ascii="Garamond" w:hAnsi="Garamond"/>
          <w:sz w:val="22"/>
          <w:szCs w:val="22"/>
        </w:rPr>
        <w:t>The fiscal policy’s impact on a</w:t>
      </w:r>
      <w:r w:rsidR="00C44EA4" w:rsidRPr="00225D1F">
        <w:rPr>
          <w:rFonts w:ascii="Garamond" w:hAnsi="Garamond"/>
          <w:sz w:val="22"/>
          <w:szCs w:val="22"/>
        </w:rPr>
        <w:t xml:space="preserve">ggregate demand </w:t>
      </w:r>
      <w:r w:rsidR="00B467FC">
        <w:rPr>
          <w:rFonts w:ascii="Garamond" w:hAnsi="Garamond"/>
          <w:sz w:val="22"/>
          <w:szCs w:val="22"/>
        </w:rPr>
        <w:t xml:space="preserve">is going to be expansionary in the fourth quarter and </w:t>
      </w:r>
      <w:r w:rsidR="007E234D">
        <w:rPr>
          <w:rFonts w:ascii="Garamond" w:hAnsi="Garamond"/>
          <w:sz w:val="22"/>
          <w:szCs w:val="22"/>
        </w:rPr>
        <w:t>during</w:t>
      </w:r>
      <w:r w:rsidR="00B467FC">
        <w:rPr>
          <w:rFonts w:ascii="Garamond" w:hAnsi="Garamond"/>
          <w:sz w:val="22"/>
          <w:szCs w:val="22"/>
        </w:rPr>
        <w:t xml:space="preserve"> 2020. </w:t>
      </w:r>
      <w:r w:rsidR="00725034" w:rsidRPr="00EE5F0F">
        <w:rPr>
          <w:rFonts w:ascii="Garamond" w:hAnsi="Garamond"/>
          <w:sz w:val="22"/>
          <w:szCs w:val="22"/>
        </w:rPr>
        <w:t>As a result, the GDP gap is estimated</w:t>
      </w:r>
      <w:r w:rsidR="00BF39C6">
        <w:rPr>
          <w:rFonts w:ascii="Garamond" w:hAnsi="Garamond"/>
          <w:sz w:val="22"/>
          <w:szCs w:val="22"/>
        </w:rPr>
        <w:t xml:space="preserve"> </w:t>
      </w:r>
      <w:r w:rsidR="00B467FC">
        <w:rPr>
          <w:rFonts w:ascii="Garamond" w:hAnsi="Garamond"/>
          <w:sz w:val="22"/>
          <w:szCs w:val="22"/>
        </w:rPr>
        <w:t xml:space="preserve">closed </w:t>
      </w:r>
      <w:r w:rsidR="00D94160">
        <w:rPr>
          <w:rFonts w:ascii="Garamond" w:hAnsi="Garamond"/>
          <w:sz w:val="22"/>
          <w:szCs w:val="22"/>
        </w:rPr>
        <w:t xml:space="preserve">for </w:t>
      </w:r>
      <w:r w:rsidR="00725034" w:rsidRPr="00EE5F0F">
        <w:rPr>
          <w:rFonts w:ascii="Garamond" w:hAnsi="Garamond"/>
          <w:sz w:val="22"/>
          <w:szCs w:val="22"/>
        </w:rPr>
        <w:t xml:space="preserve">the </w:t>
      </w:r>
      <w:r w:rsidR="00B467FC">
        <w:rPr>
          <w:rFonts w:ascii="Garamond" w:hAnsi="Garamond"/>
          <w:sz w:val="22"/>
          <w:szCs w:val="22"/>
        </w:rPr>
        <w:t xml:space="preserve">fourth </w:t>
      </w:r>
      <w:r w:rsidR="00725034" w:rsidRPr="00EE5F0F">
        <w:rPr>
          <w:rFonts w:ascii="Garamond" w:hAnsi="Garamond"/>
          <w:sz w:val="22"/>
          <w:szCs w:val="22"/>
        </w:rPr>
        <w:t>quarter of 201</w:t>
      </w:r>
      <w:r w:rsidR="00BF39C6">
        <w:rPr>
          <w:rFonts w:ascii="Garamond" w:hAnsi="Garamond"/>
          <w:sz w:val="22"/>
          <w:szCs w:val="22"/>
        </w:rPr>
        <w:t>9</w:t>
      </w:r>
      <w:r w:rsidR="00B467FC">
        <w:rPr>
          <w:rFonts w:ascii="Garamond" w:hAnsi="Garamond"/>
          <w:sz w:val="22"/>
          <w:szCs w:val="22"/>
        </w:rPr>
        <w:t xml:space="preserve">, and </w:t>
      </w:r>
      <w:r w:rsidR="00B467FC" w:rsidRPr="00B467FC">
        <w:rPr>
          <w:rFonts w:ascii="Garamond" w:hAnsi="Garamond"/>
          <w:sz w:val="22"/>
          <w:szCs w:val="22"/>
        </w:rPr>
        <w:t xml:space="preserve">next year </w:t>
      </w:r>
      <w:r w:rsidR="00B467FC">
        <w:rPr>
          <w:rFonts w:ascii="Garamond" w:hAnsi="Garamond"/>
          <w:sz w:val="22"/>
          <w:szCs w:val="22"/>
        </w:rPr>
        <w:t xml:space="preserve">it </w:t>
      </w:r>
      <w:r w:rsidR="00B467FC" w:rsidRPr="00B467FC">
        <w:rPr>
          <w:rFonts w:ascii="Garamond" w:hAnsi="Garamond"/>
          <w:sz w:val="22"/>
          <w:szCs w:val="22"/>
        </w:rPr>
        <w:t xml:space="preserve">will be positive </w:t>
      </w:r>
      <w:r w:rsidR="00B467FC">
        <w:rPr>
          <w:rFonts w:ascii="Garamond" w:hAnsi="Garamond"/>
          <w:sz w:val="22"/>
          <w:szCs w:val="22"/>
        </w:rPr>
        <w:t xml:space="preserve">amid </w:t>
      </w:r>
      <w:r w:rsidR="00B467FC" w:rsidRPr="00B467FC">
        <w:rPr>
          <w:rFonts w:ascii="Garamond" w:hAnsi="Garamond"/>
          <w:sz w:val="22"/>
          <w:szCs w:val="22"/>
        </w:rPr>
        <w:t xml:space="preserve">the above developments, </w:t>
      </w:r>
      <w:r w:rsidR="00B467FC">
        <w:rPr>
          <w:rFonts w:ascii="Garamond" w:hAnsi="Garamond"/>
          <w:sz w:val="22"/>
          <w:szCs w:val="22"/>
        </w:rPr>
        <w:t xml:space="preserve">facilitating </w:t>
      </w:r>
      <w:r w:rsidR="00B467FC" w:rsidRPr="00B467FC">
        <w:rPr>
          <w:rFonts w:ascii="Garamond" w:hAnsi="Garamond"/>
          <w:sz w:val="22"/>
          <w:szCs w:val="22"/>
        </w:rPr>
        <w:t>the gradual recovery of inflation.</w:t>
      </w:r>
      <w:r w:rsidR="007E234D">
        <w:rPr>
          <w:rFonts w:ascii="Garamond" w:hAnsi="Garamond"/>
          <w:sz w:val="22"/>
          <w:szCs w:val="22"/>
        </w:rPr>
        <w:t xml:space="preserve"> I</w:t>
      </w:r>
      <w:r w:rsidR="007E234D" w:rsidRPr="007E234D">
        <w:rPr>
          <w:rFonts w:ascii="Garamond" w:hAnsi="Garamond"/>
          <w:sz w:val="22"/>
          <w:szCs w:val="22"/>
        </w:rPr>
        <w:t>n the medium term, the impact of fiscal policy is expected to be neutral</w:t>
      </w:r>
      <w:r w:rsidR="007E234D">
        <w:rPr>
          <w:rFonts w:ascii="Garamond" w:hAnsi="Garamond"/>
          <w:sz w:val="22"/>
          <w:szCs w:val="22"/>
        </w:rPr>
        <w:t xml:space="preserve"> and </w:t>
      </w:r>
      <w:r w:rsidR="007E234D" w:rsidRPr="007E234D">
        <w:rPr>
          <w:rFonts w:ascii="Garamond" w:hAnsi="Garamond"/>
          <w:sz w:val="22"/>
          <w:szCs w:val="22"/>
        </w:rPr>
        <w:t xml:space="preserve">the GDP gap </w:t>
      </w:r>
      <w:r w:rsidR="007E234D">
        <w:rPr>
          <w:rFonts w:ascii="Garamond" w:hAnsi="Garamond"/>
          <w:sz w:val="22"/>
          <w:szCs w:val="22"/>
        </w:rPr>
        <w:t>to</w:t>
      </w:r>
      <w:r w:rsidR="007E234D" w:rsidRPr="007E234D">
        <w:rPr>
          <w:rFonts w:ascii="Garamond" w:hAnsi="Garamond"/>
          <w:sz w:val="22"/>
          <w:szCs w:val="22"/>
        </w:rPr>
        <w:t xml:space="preserve"> gradually </w:t>
      </w:r>
      <w:r w:rsidR="007E234D">
        <w:rPr>
          <w:rFonts w:ascii="Garamond" w:hAnsi="Garamond"/>
          <w:sz w:val="22"/>
          <w:szCs w:val="22"/>
        </w:rPr>
        <w:t>phase out to zero.</w:t>
      </w:r>
      <w:r w:rsidR="007E234D" w:rsidRPr="007E234D">
        <w:rPr>
          <w:rFonts w:ascii="Garamond" w:hAnsi="Garamond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457EDC" w:rsidRPr="00AB24C1" w14:paraId="1CA2854C" w14:textId="77777777" w:rsidTr="00ED0765">
        <w:tc>
          <w:tcPr>
            <w:tcW w:w="6204" w:type="dxa"/>
          </w:tcPr>
          <w:p w14:paraId="300DCDF2" w14:textId="77777777" w:rsidR="00457EDC" w:rsidRPr="002A4151" w:rsidRDefault="00457EDC" w:rsidP="00457EDC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>
              <w:rPr>
                <w:rFonts w:ascii="Garamond" w:hAnsi="Garamond"/>
                <w:color w:val="0070C0"/>
                <w:sz w:val="20"/>
                <w:szCs w:val="20"/>
              </w:rPr>
              <w:t>The Central Bank Board decided to leave the policy rate unchanged, keeping the monetary conditions expansionary</w:t>
            </w:r>
            <w:r w:rsidRPr="002A4151">
              <w:rPr>
                <w:rFonts w:ascii="Garamond" w:hAnsi="Garamond"/>
                <w:color w:val="0070C0"/>
                <w:sz w:val="20"/>
                <w:szCs w:val="20"/>
              </w:rPr>
              <w:t>.</w:t>
            </w:r>
          </w:p>
        </w:tc>
      </w:tr>
    </w:tbl>
    <w:p w14:paraId="21E079EC" w14:textId="77777777" w:rsidR="00457EDC" w:rsidRDefault="00457EDC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3BB206E3" w14:textId="77777777" w:rsidR="00E11C2C" w:rsidRPr="00F44A5D" w:rsidRDefault="00457EDC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On the other hand, t</w:t>
      </w:r>
      <w:r w:rsidRPr="007E234D">
        <w:rPr>
          <w:rFonts w:ascii="Garamond" w:hAnsi="Garamond"/>
          <w:sz w:val="22"/>
          <w:szCs w:val="22"/>
        </w:rPr>
        <w:t>he monetary policy</w:t>
      </w:r>
      <w:r>
        <w:rPr>
          <w:rFonts w:ascii="Garamond" w:hAnsi="Garamond"/>
          <w:sz w:val="22"/>
          <w:szCs w:val="22"/>
        </w:rPr>
        <w:t xml:space="preserve">’s expansionary stance will gradually abolish while continuing to foster the demand growth. </w:t>
      </w:r>
      <w:r w:rsidRPr="00457EDC">
        <w:rPr>
          <w:rFonts w:ascii="Garamond" w:hAnsi="Garamond"/>
          <w:sz w:val="22"/>
          <w:szCs w:val="22"/>
        </w:rPr>
        <w:t xml:space="preserve">In </w:t>
      </w:r>
      <w:r>
        <w:rPr>
          <w:rFonts w:ascii="Garamond" w:hAnsi="Garamond"/>
          <w:sz w:val="22"/>
          <w:szCs w:val="22"/>
        </w:rPr>
        <w:t xml:space="preserve">view of </w:t>
      </w:r>
      <w:r w:rsidRPr="00457EDC">
        <w:rPr>
          <w:rFonts w:ascii="Garamond" w:hAnsi="Garamond"/>
          <w:sz w:val="22"/>
          <w:szCs w:val="22"/>
        </w:rPr>
        <w:t>the fiscal and monetary policy outlook</w:t>
      </w:r>
      <w:r>
        <w:rPr>
          <w:rFonts w:ascii="Garamond" w:hAnsi="Garamond"/>
          <w:sz w:val="22"/>
          <w:szCs w:val="22"/>
        </w:rPr>
        <w:t xml:space="preserve"> described above, inflation will start to rebound </w:t>
      </w:r>
      <w:r w:rsidRPr="00457EDC">
        <w:rPr>
          <w:rFonts w:ascii="Garamond" w:hAnsi="Garamond"/>
          <w:sz w:val="22"/>
          <w:szCs w:val="22"/>
        </w:rPr>
        <w:t>in the coming quarters</w:t>
      </w:r>
      <w:r>
        <w:rPr>
          <w:rFonts w:ascii="Garamond" w:hAnsi="Garamond"/>
          <w:sz w:val="22"/>
          <w:szCs w:val="22"/>
        </w:rPr>
        <w:t xml:space="preserve"> after </w:t>
      </w:r>
      <w:r w:rsidRPr="00457EDC">
        <w:rPr>
          <w:rFonts w:ascii="Garamond" w:hAnsi="Garamond"/>
          <w:sz w:val="22"/>
          <w:szCs w:val="22"/>
        </w:rPr>
        <w:t>remaining low.</w:t>
      </w:r>
      <w:r>
        <w:rPr>
          <w:rFonts w:ascii="Garamond" w:hAnsi="Garamond"/>
          <w:sz w:val="22"/>
          <w:szCs w:val="22"/>
        </w:rPr>
        <w:t xml:space="preserve"> </w:t>
      </w:r>
      <w:r w:rsidR="00D34303">
        <w:rPr>
          <w:rFonts w:ascii="Garamond" w:hAnsi="Garamond"/>
          <w:sz w:val="22"/>
          <w:szCs w:val="22"/>
        </w:rPr>
        <w:t>S</w:t>
      </w:r>
      <w:r w:rsidR="00E17CE6" w:rsidRPr="00E17CE6">
        <w:rPr>
          <w:rFonts w:ascii="Garamond" w:hAnsi="Garamond"/>
          <w:sz w:val="22"/>
          <w:szCs w:val="22"/>
        </w:rPr>
        <w:t xml:space="preserve">hort-term inflation expectations of the public </w:t>
      </w:r>
      <w:r w:rsidR="00E17CE6">
        <w:rPr>
          <w:rFonts w:ascii="Garamond" w:hAnsi="Garamond"/>
          <w:sz w:val="22"/>
          <w:szCs w:val="22"/>
        </w:rPr>
        <w:t>are estimated virtually intact on the back of</w:t>
      </w:r>
      <w:r w:rsidR="00ED46C3">
        <w:rPr>
          <w:rFonts w:ascii="Garamond" w:hAnsi="Garamond"/>
          <w:sz w:val="22"/>
          <w:szCs w:val="22"/>
        </w:rPr>
        <w:t xml:space="preserve"> </w:t>
      </w:r>
      <w:r w:rsidR="00E17CE6" w:rsidRPr="00E17CE6">
        <w:rPr>
          <w:rFonts w:ascii="Garamond" w:hAnsi="Garamond"/>
          <w:sz w:val="22"/>
          <w:szCs w:val="22"/>
        </w:rPr>
        <w:t xml:space="preserve">current </w:t>
      </w:r>
      <w:r w:rsidR="00ED46C3">
        <w:rPr>
          <w:rFonts w:ascii="Garamond" w:hAnsi="Garamond"/>
          <w:sz w:val="22"/>
          <w:szCs w:val="22"/>
        </w:rPr>
        <w:t>developments in inflation and</w:t>
      </w:r>
      <w:r w:rsidR="00D34303">
        <w:rPr>
          <w:rFonts w:ascii="Garamond" w:hAnsi="Garamond"/>
          <w:sz w:val="22"/>
          <w:szCs w:val="22"/>
        </w:rPr>
        <w:t>, particularly,</w:t>
      </w:r>
      <w:r w:rsidR="00ED46C3">
        <w:rPr>
          <w:rFonts w:ascii="Garamond" w:hAnsi="Garamond"/>
          <w:sz w:val="22"/>
          <w:szCs w:val="22"/>
        </w:rPr>
        <w:t xml:space="preserve"> core </w:t>
      </w:r>
      <w:r w:rsidR="00E17CE6" w:rsidRPr="00E17CE6">
        <w:rPr>
          <w:rFonts w:ascii="Garamond" w:hAnsi="Garamond"/>
          <w:sz w:val="22"/>
          <w:szCs w:val="22"/>
        </w:rPr>
        <w:t xml:space="preserve">inflation, and will </w:t>
      </w:r>
      <w:r w:rsidR="003E4C3D">
        <w:rPr>
          <w:rFonts w:ascii="Garamond" w:hAnsi="Garamond"/>
          <w:sz w:val="22"/>
          <w:szCs w:val="22"/>
        </w:rPr>
        <w:t>be pacing in line with t</w:t>
      </w:r>
      <w:r w:rsidR="00ED46C3">
        <w:rPr>
          <w:rFonts w:ascii="Garamond" w:hAnsi="Garamond"/>
          <w:sz w:val="22"/>
          <w:szCs w:val="22"/>
        </w:rPr>
        <w:t xml:space="preserve">he </w:t>
      </w:r>
      <w:r w:rsidR="00E17CE6" w:rsidRPr="00E17CE6">
        <w:rPr>
          <w:rFonts w:ascii="Garamond" w:hAnsi="Garamond"/>
          <w:sz w:val="22"/>
          <w:szCs w:val="22"/>
        </w:rPr>
        <w:t xml:space="preserve">inflation </w:t>
      </w:r>
      <w:r w:rsidR="00ED46C3">
        <w:rPr>
          <w:rFonts w:ascii="Garamond" w:hAnsi="Garamond"/>
          <w:sz w:val="22"/>
          <w:szCs w:val="22"/>
        </w:rPr>
        <w:t>trends</w:t>
      </w:r>
      <w:r w:rsidR="00E17CE6" w:rsidRPr="00E17CE6">
        <w:rPr>
          <w:rFonts w:ascii="Garamond" w:hAnsi="Garamond"/>
          <w:sz w:val="22"/>
          <w:szCs w:val="22"/>
        </w:rPr>
        <w:t>.</w:t>
      </w:r>
      <w:r w:rsidR="00ED46C3">
        <w:rPr>
          <w:rFonts w:ascii="Garamond" w:hAnsi="Garamond"/>
          <w:sz w:val="22"/>
          <w:szCs w:val="22"/>
        </w:rPr>
        <w:t xml:space="preserve"> Nevertheless</w:t>
      </w:r>
      <w:r w:rsidR="00FE15F9">
        <w:rPr>
          <w:rFonts w:ascii="Garamond" w:hAnsi="Garamond"/>
          <w:sz w:val="22"/>
          <w:szCs w:val="22"/>
        </w:rPr>
        <w:t>, t</w:t>
      </w:r>
      <w:r w:rsidR="007E303C">
        <w:rPr>
          <w:rFonts w:ascii="Garamond" w:hAnsi="Garamond"/>
          <w:sz w:val="22"/>
          <w:szCs w:val="22"/>
        </w:rPr>
        <w:t>he</w:t>
      </w:r>
      <w:r w:rsidR="00ED46C3">
        <w:rPr>
          <w:rFonts w:ascii="Garamond" w:hAnsi="Garamond"/>
          <w:sz w:val="22"/>
          <w:szCs w:val="22"/>
        </w:rPr>
        <w:t xml:space="preserve">se will </w:t>
      </w:r>
      <w:r w:rsidR="00FE15F9">
        <w:rPr>
          <w:rFonts w:ascii="Garamond" w:hAnsi="Garamond"/>
          <w:sz w:val="22"/>
          <w:szCs w:val="22"/>
        </w:rPr>
        <w:t>also stabilize around the target, as inflation re</w:t>
      </w:r>
      <w:r w:rsidR="00D926AC">
        <w:rPr>
          <w:rFonts w:ascii="Garamond" w:hAnsi="Garamond"/>
          <w:sz w:val="22"/>
          <w:szCs w:val="22"/>
        </w:rPr>
        <w:t>covers</w:t>
      </w:r>
      <w:r w:rsidR="00FE15F9">
        <w:rPr>
          <w:rFonts w:ascii="Garamond" w:hAnsi="Garamond"/>
          <w:sz w:val="22"/>
          <w:szCs w:val="22"/>
        </w:rPr>
        <w:t xml:space="preserve">. </w:t>
      </w:r>
      <w:r w:rsidR="00ED46C3">
        <w:rPr>
          <w:rFonts w:ascii="Garamond" w:hAnsi="Garamond"/>
          <w:sz w:val="22"/>
          <w:szCs w:val="22"/>
        </w:rPr>
        <w:t>T</w:t>
      </w:r>
      <w:r w:rsidR="00765C16">
        <w:rPr>
          <w:rFonts w:ascii="Garamond" w:hAnsi="Garamond"/>
          <w:sz w:val="22"/>
          <w:szCs w:val="22"/>
        </w:rPr>
        <w:t xml:space="preserve">he </w:t>
      </w:r>
      <w:r w:rsidR="00ED46C3">
        <w:rPr>
          <w:rFonts w:ascii="Garamond" w:hAnsi="Garamond"/>
          <w:sz w:val="22"/>
          <w:szCs w:val="22"/>
        </w:rPr>
        <w:t xml:space="preserve">Central Bank still prefers </w:t>
      </w:r>
      <w:r w:rsidR="007145C1">
        <w:rPr>
          <w:rFonts w:ascii="Garamond" w:hAnsi="Garamond"/>
          <w:sz w:val="22"/>
          <w:szCs w:val="22"/>
        </w:rPr>
        <w:t>an</w:t>
      </w:r>
      <w:r w:rsidR="005F4509">
        <w:rPr>
          <w:rFonts w:ascii="Garamond" w:hAnsi="Garamond"/>
          <w:sz w:val="22"/>
          <w:szCs w:val="22"/>
        </w:rPr>
        <w:t xml:space="preserve"> inflation recovering </w:t>
      </w:r>
      <w:r w:rsidR="00765C16" w:rsidRPr="00C02601">
        <w:rPr>
          <w:rFonts w:ascii="Garamond" w:hAnsi="Garamond"/>
          <w:sz w:val="22"/>
          <w:szCs w:val="22"/>
        </w:rPr>
        <w:t>gradual</w:t>
      </w:r>
      <w:r w:rsidR="005F4509">
        <w:rPr>
          <w:rFonts w:ascii="Garamond" w:hAnsi="Garamond"/>
          <w:sz w:val="22"/>
          <w:szCs w:val="22"/>
        </w:rPr>
        <w:t>ly</w:t>
      </w:r>
      <w:r w:rsidR="00765C16" w:rsidRPr="00C02601">
        <w:rPr>
          <w:rFonts w:ascii="Garamond" w:hAnsi="Garamond"/>
          <w:sz w:val="22"/>
          <w:szCs w:val="22"/>
        </w:rPr>
        <w:t xml:space="preserve"> </w:t>
      </w:r>
      <w:r w:rsidR="005F4509">
        <w:rPr>
          <w:rFonts w:ascii="Garamond" w:hAnsi="Garamond"/>
          <w:sz w:val="22"/>
          <w:szCs w:val="22"/>
        </w:rPr>
        <w:t>to an inflation that needs extensive</w:t>
      </w:r>
      <w:r w:rsidR="00ED46C3">
        <w:rPr>
          <w:rFonts w:ascii="Garamond" w:hAnsi="Garamond"/>
          <w:sz w:val="22"/>
          <w:szCs w:val="22"/>
        </w:rPr>
        <w:t xml:space="preserve"> stimul</w:t>
      </w:r>
      <w:r w:rsidR="005F4509">
        <w:rPr>
          <w:rFonts w:ascii="Garamond" w:hAnsi="Garamond"/>
          <w:sz w:val="22"/>
          <w:szCs w:val="22"/>
        </w:rPr>
        <w:t>ation</w:t>
      </w:r>
      <w:r w:rsidR="00ED46C3">
        <w:rPr>
          <w:rFonts w:ascii="Garamond" w:hAnsi="Garamond"/>
          <w:sz w:val="22"/>
          <w:szCs w:val="22"/>
        </w:rPr>
        <w:t xml:space="preserve">, </w:t>
      </w:r>
      <w:r w:rsidR="00765C16">
        <w:rPr>
          <w:rFonts w:ascii="Garamond" w:hAnsi="Garamond"/>
          <w:sz w:val="22"/>
          <w:szCs w:val="22"/>
        </w:rPr>
        <w:t xml:space="preserve">since </w:t>
      </w:r>
      <w:r w:rsidR="005F4509">
        <w:rPr>
          <w:rFonts w:ascii="Garamond" w:hAnsi="Garamond"/>
          <w:sz w:val="22"/>
          <w:szCs w:val="22"/>
        </w:rPr>
        <w:t xml:space="preserve">the former scenario </w:t>
      </w:r>
      <w:r w:rsidR="00765C16" w:rsidRPr="00C02601">
        <w:rPr>
          <w:rFonts w:ascii="Garamond" w:hAnsi="Garamond"/>
          <w:sz w:val="22"/>
          <w:szCs w:val="22"/>
        </w:rPr>
        <w:t>contributes to anchoring long-term inflation expectations and maintaining</w:t>
      </w:r>
      <w:r w:rsidR="00765C16">
        <w:rPr>
          <w:rFonts w:ascii="Garamond" w:hAnsi="Garamond"/>
          <w:sz w:val="22"/>
          <w:szCs w:val="22"/>
        </w:rPr>
        <w:t xml:space="preserve"> the purchasing power of inco</w:t>
      </w:r>
      <w:r w:rsidR="00765C16" w:rsidRPr="003C76C1">
        <w:rPr>
          <w:rFonts w:ascii="Garamond" w:hAnsi="Garamond"/>
          <w:sz w:val="22"/>
          <w:szCs w:val="22"/>
        </w:rPr>
        <w:t>me.</w:t>
      </w:r>
      <w:r w:rsidR="00F235A7" w:rsidRPr="003C76C1">
        <w:rPr>
          <w:rFonts w:ascii="Garamond" w:hAnsi="Garamond"/>
          <w:sz w:val="22"/>
          <w:szCs w:val="22"/>
        </w:rPr>
        <w:t xml:space="preserve"> </w:t>
      </w:r>
      <w:r w:rsidR="00D926AC">
        <w:rPr>
          <w:rFonts w:ascii="Garamond" w:hAnsi="Garamond"/>
          <w:b/>
          <w:sz w:val="22"/>
          <w:szCs w:val="22"/>
        </w:rPr>
        <w:t>T</w:t>
      </w:r>
      <w:r w:rsidR="00F44A5D" w:rsidRPr="00F44A5D">
        <w:rPr>
          <w:rFonts w:ascii="Garamond" w:hAnsi="Garamond"/>
          <w:b/>
          <w:sz w:val="22"/>
          <w:szCs w:val="22"/>
        </w:rPr>
        <w:t xml:space="preserve">he </w:t>
      </w:r>
      <w:r w:rsidR="003C76C1" w:rsidRPr="00F44A5D">
        <w:rPr>
          <w:rFonts w:ascii="Garamond" w:hAnsi="Garamond"/>
          <w:b/>
          <w:sz w:val="22"/>
          <w:szCs w:val="22"/>
        </w:rPr>
        <w:t>Central Bank</w:t>
      </w:r>
      <w:r w:rsidR="00F44A5D" w:rsidRPr="00F44A5D">
        <w:rPr>
          <w:rFonts w:ascii="Garamond" w:hAnsi="Garamond"/>
          <w:b/>
          <w:sz w:val="22"/>
          <w:szCs w:val="22"/>
        </w:rPr>
        <w:t>’s Board</w:t>
      </w:r>
      <w:r w:rsidR="003C76C1" w:rsidRPr="00F44A5D">
        <w:rPr>
          <w:rFonts w:ascii="Garamond" w:hAnsi="Garamond"/>
          <w:b/>
          <w:sz w:val="22"/>
          <w:szCs w:val="22"/>
        </w:rPr>
        <w:t xml:space="preserve"> </w:t>
      </w:r>
      <w:r w:rsidR="00D926AC">
        <w:rPr>
          <w:rFonts w:ascii="Garamond" w:hAnsi="Garamond"/>
          <w:b/>
          <w:sz w:val="22"/>
          <w:szCs w:val="22"/>
        </w:rPr>
        <w:t xml:space="preserve">has decided to leave the policy rate unaltered, opting for an expansionary stance of </w:t>
      </w:r>
      <w:r w:rsidR="008E2580">
        <w:rPr>
          <w:rFonts w:ascii="Garamond" w:hAnsi="Garamond"/>
          <w:b/>
          <w:sz w:val="22"/>
          <w:szCs w:val="22"/>
        </w:rPr>
        <w:t xml:space="preserve">the </w:t>
      </w:r>
      <w:r w:rsidR="00D926AC">
        <w:rPr>
          <w:rFonts w:ascii="Garamond" w:hAnsi="Garamond"/>
          <w:b/>
          <w:sz w:val="22"/>
          <w:szCs w:val="22"/>
        </w:rPr>
        <w:t>monetary policy</w:t>
      </w:r>
      <w:r w:rsidR="00F44A5D" w:rsidRPr="00F44A5D">
        <w:rPr>
          <w:rFonts w:ascii="Garamond" w:hAnsi="Garamond"/>
          <w:b/>
          <w:sz w:val="22"/>
          <w:szCs w:val="22"/>
        </w:rPr>
        <w:t>.</w:t>
      </w:r>
      <w:r w:rsidR="00F44A5D">
        <w:rPr>
          <w:rFonts w:ascii="Garamond" w:hAnsi="Garamond"/>
          <w:sz w:val="22"/>
          <w:szCs w:val="22"/>
        </w:rPr>
        <w:t xml:space="preserve"> </w:t>
      </w:r>
      <w:r w:rsidR="00765C16" w:rsidRPr="00F44A5D">
        <w:rPr>
          <w:rFonts w:ascii="Garamond" w:hAnsi="Garamond"/>
          <w:sz w:val="22"/>
          <w:szCs w:val="22"/>
        </w:rPr>
        <w:t xml:space="preserve">At the same time, in </w:t>
      </w:r>
      <w:r w:rsidR="00F44A5D">
        <w:rPr>
          <w:rFonts w:ascii="Garamond" w:hAnsi="Garamond"/>
          <w:sz w:val="22"/>
          <w:szCs w:val="22"/>
        </w:rPr>
        <w:t xml:space="preserve">anticipation of </w:t>
      </w:r>
      <w:r w:rsidR="00765C16" w:rsidRPr="00F44A5D">
        <w:rPr>
          <w:rFonts w:ascii="Garamond" w:hAnsi="Garamond"/>
          <w:sz w:val="22"/>
          <w:szCs w:val="22"/>
        </w:rPr>
        <w:t xml:space="preserve">macroeconomic developments, </w:t>
      </w:r>
      <w:r w:rsidR="008E2580">
        <w:rPr>
          <w:rFonts w:ascii="Garamond" w:hAnsi="Garamond"/>
          <w:sz w:val="22"/>
          <w:szCs w:val="22"/>
        </w:rPr>
        <w:t xml:space="preserve">keeping monetary conditions </w:t>
      </w:r>
      <w:r w:rsidR="00F44A5D">
        <w:rPr>
          <w:rFonts w:ascii="Garamond" w:hAnsi="Garamond"/>
          <w:sz w:val="22"/>
          <w:szCs w:val="22"/>
        </w:rPr>
        <w:t xml:space="preserve">expansionary </w:t>
      </w:r>
      <w:r w:rsidR="008E2580">
        <w:rPr>
          <w:rFonts w:ascii="Garamond" w:hAnsi="Garamond"/>
          <w:sz w:val="22"/>
          <w:szCs w:val="22"/>
        </w:rPr>
        <w:t>will still be needed in order to fulfill the inflation target</w:t>
      </w:r>
      <w:r w:rsidR="00E2157F" w:rsidRPr="00F44A5D">
        <w:rPr>
          <w:rFonts w:ascii="Garamond" w:hAnsi="Garamond"/>
          <w:sz w:val="22"/>
          <w:szCs w:val="22"/>
        </w:rPr>
        <w:t>.</w:t>
      </w:r>
      <w:r w:rsidR="00765C16" w:rsidRPr="00765C16">
        <w:rPr>
          <w:rFonts w:ascii="Garamond" w:hAnsi="Garamond"/>
          <w:b/>
          <w:sz w:val="22"/>
          <w:szCs w:val="22"/>
        </w:rPr>
        <w:t xml:space="preserve"> </w:t>
      </w:r>
    </w:p>
    <w:p w14:paraId="37BEF620" w14:textId="77777777" w:rsidR="00972A2E" w:rsidRPr="00972A2E" w:rsidRDefault="00972A2E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C00000"/>
          <w:sz w:val="22"/>
          <w:szCs w:val="22"/>
        </w:rPr>
      </w:pPr>
      <w:r w:rsidRPr="00972A2E">
        <w:rPr>
          <w:rFonts w:ascii="Garamond" w:hAnsi="Garamond"/>
          <w:b/>
          <w:color w:val="C00000"/>
          <w:sz w:val="22"/>
          <w:szCs w:val="22"/>
        </w:rPr>
        <w:t>Table 1:</w:t>
      </w:r>
    </w:p>
    <w:p w14:paraId="33F5044A" w14:textId="77777777" w:rsidR="0037437E" w:rsidRDefault="0037437E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bCs/>
          <w:iCs/>
          <w:color w:val="0070C0"/>
          <w:sz w:val="22"/>
          <w:szCs w:val="22"/>
        </w:rPr>
      </w:pPr>
    </w:p>
    <w:p w14:paraId="59B25C7A" w14:textId="77777777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bCs/>
          <w:iCs/>
          <w:color w:val="0070C0"/>
          <w:sz w:val="22"/>
          <w:szCs w:val="22"/>
        </w:rPr>
      </w:pPr>
      <w:r w:rsidRPr="00EE5F0F">
        <w:rPr>
          <w:rFonts w:ascii="Garamond" w:hAnsi="Garamond"/>
          <w:b/>
          <w:bCs/>
          <w:iCs/>
          <w:color w:val="0070C0"/>
          <w:sz w:val="22"/>
          <w:szCs w:val="22"/>
        </w:rPr>
        <w:t>2.2.2. Economic activity</w:t>
      </w:r>
      <w:r w:rsidR="008E2580">
        <w:rPr>
          <w:rStyle w:val="FootnoteReference"/>
          <w:rFonts w:ascii="Garamond" w:hAnsi="Garamond"/>
          <w:b/>
          <w:bCs/>
          <w:iCs/>
          <w:color w:val="0070C0"/>
          <w:sz w:val="22"/>
          <w:szCs w:val="22"/>
        </w:rPr>
        <w:footnoteReference w:customMarkFollows="1" w:id="2"/>
        <w:t>3</w:t>
      </w:r>
    </w:p>
    <w:p w14:paraId="2A92AD1B" w14:textId="7924AB92" w:rsidR="00D25EB7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lastRenderedPageBreak/>
        <w:t>Aggregate demand:</w:t>
      </w:r>
      <w:r w:rsidRPr="00EE5F0F">
        <w:rPr>
          <w:rFonts w:ascii="Garamond" w:hAnsi="Garamond"/>
          <w:sz w:val="22"/>
          <w:szCs w:val="22"/>
        </w:rPr>
        <w:t xml:space="preserve"> </w:t>
      </w:r>
      <w:r w:rsidR="008E2580">
        <w:rPr>
          <w:rFonts w:ascii="Garamond" w:hAnsi="Garamond"/>
          <w:sz w:val="22"/>
          <w:szCs w:val="22"/>
        </w:rPr>
        <w:t>The 2019 e</w:t>
      </w:r>
      <w:r w:rsidR="001B7D00" w:rsidRPr="001B7D00">
        <w:rPr>
          <w:rFonts w:ascii="Garamond" w:hAnsi="Garamond"/>
          <w:sz w:val="22"/>
          <w:szCs w:val="22"/>
        </w:rPr>
        <w:t xml:space="preserve">conomic growth </w:t>
      </w:r>
      <w:r w:rsidR="008E2580">
        <w:rPr>
          <w:rFonts w:ascii="Garamond" w:hAnsi="Garamond"/>
          <w:sz w:val="22"/>
          <w:szCs w:val="22"/>
        </w:rPr>
        <w:t>is estimated in the range of 7.0-7.3%</w:t>
      </w:r>
      <w:r w:rsidR="001B7D00" w:rsidRPr="001B7D00">
        <w:rPr>
          <w:rFonts w:ascii="Garamond" w:hAnsi="Garamond"/>
          <w:sz w:val="22"/>
          <w:szCs w:val="22"/>
        </w:rPr>
        <w:t xml:space="preserve"> </w:t>
      </w:r>
      <w:r w:rsidR="002D424C">
        <w:rPr>
          <w:rFonts w:ascii="Garamond" w:hAnsi="Garamond"/>
          <w:sz w:val="22"/>
          <w:szCs w:val="22"/>
        </w:rPr>
        <w:t xml:space="preserve">which </w:t>
      </w:r>
      <w:r w:rsidR="008E2580">
        <w:rPr>
          <w:rFonts w:ascii="Garamond" w:hAnsi="Garamond"/>
          <w:sz w:val="22"/>
          <w:szCs w:val="22"/>
        </w:rPr>
        <w:t>i</w:t>
      </w:r>
      <w:r w:rsidR="001B7D00" w:rsidRPr="001B7D00">
        <w:rPr>
          <w:rFonts w:ascii="Garamond" w:hAnsi="Garamond"/>
          <w:sz w:val="22"/>
          <w:szCs w:val="22"/>
        </w:rPr>
        <w:t xml:space="preserve">s </w:t>
      </w:r>
      <w:r w:rsidR="00C87D8A">
        <w:rPr>
          <w:rFonts w:ascii="Garamond" w:hAnsi="Garamond"/>
          <w:sz w:val="22"/>
          <w:szCs w:val="22"/>
        </w:rPr>
        <w:t xml:space="preserve">mostly </w:t>
      </w:r>
      <w:r w:rsidR="008E2580">
        <w:rPr>
          <w:rFonts w:ascii="Garamond" w:hAnsi="Garamond"/>
          <w:sz w:val="22"/>
          <w:szCs w:val="22"/>
        </w:rPr>
        <w:t xml:space="preserve">driven </w:t>
      </w:r>
      <w:r w:rsidR="001B7D00">
        <w:rPr>
          <w:rFonts w:ascii="Garamond" w:hAnsi="Garamond"/>
          <w:sz w:val="22"/>
          <w:szCs w:val="22"/>
        </w:rPr>
        <w:t xml:space="preserve">by </w:t>
      </w:r>
      <w:r w:rsidR="001B7D00" w:rsidRPr="001B7D00">
        <w:rPr>
          <w:rFonts w:ascii="Garamond" w:hAnsi="Garamond"/>
          <w:sz w:val="22"/>
          <w:szCs w:val="22"/>
        </w:rPr>
        <w:t xml:space="preserve">domestic </w:t>
      </w:r>
      <w:r w:rsidR="001B7D00" w:rsidRPr="00D4483A">
        <w:rPr>
          <w:rFonts w:ascii="Garamond" w:hAnsi="Garamond"/>
          <w:sz w:val="22"/>
          <w:szCs w:val="22"/>
        </w:rPr>
        <w:t xml:space="preserve">demand and, particularly, vigorous private spending. </w:t>
      </w:r>
      <w:r w:rsidR="008E2580">
        <w:rPr>
          <w:rFonts w:ascii="Garamond" w:hAnsi="Garamond"/>
          <w:sz w:val="22"/>
          <w:szCs w:val="22"/>
        </w:rPr>
        <w:t xml:space="preserve">The Central Bank </w:t>
      </w:r>
      <w:r w:rsidR="00C87D8A">
        <w:rPr>
          <w:rFonts w:ascii="Garamond" w:hAnsi="Garamond"/>
          <w:sz w:val="22"/>
          <w:szCs w:val="22"/>
        </w:rPr>
        <w:t xml:space="preserve">calculates that growing </w:t>
      </w:r>
      <w:r w:rsidR="006E1CFF" w:rsidRPr="006E1CFF">
        <w:rPr>
          <w:rFonts w:ascii="Garamond" w:hAnsi="Garamond"/>
          <w:sz w:val="22"/>
          <w:szCs w:val="22"/>
        </w:rPr>
        <w:t xml:space="preserve">consumer preference </w:t>
      </w:r>
      <w:r w:rsidR="00C87D8A">
        <w:rPr>
          <w:rFonts w:ascii="Garamond" w:hAnsi="Garamond"/>
          <w:sz w:val="22"/>
          <w:szCs w:val="22"/>
        </w:rPr>
        <w:t xml:space="preserve">for </w:t>
      </w:r>
      <w:r w:rsidR="00765944">
        <w:rPr>
          <w:rFonts w:ascii="Garamond" w:hAnsi="Garamond"/>
          <w:sz w:val="22"/>
          <w:szCs w:val="22"/>
        </w:rPr>
        <w:t>durable goods</w:t>
      </w:r>
      <w:r w:rsidR="00C87D8A">
        <w:rPr>
          <w:rFonts w:ascii="Garamond" w:hAnsi="Garamond"/>
          <w:sz w:val="22"/>
          <w:szCs w:val="22"/>
        </w:rPr>
        <w:t xml:space="preserve"> </w:t>
      </w:r>
      <w:r w:rsidR="006E1CFF" w:rsidRPr="006E1CFF">
        <w:rPr>
          <w:rFonts w:ascii="Garamond" w:hAnsi="Garamond"/>
          <w:sz w:val="22"/>
          <w:szCs w:val="22"/>
        </w:rPr>
        <w:t xml:space="preserve">has </w:t>
      </w:r>
      <w:r w:rsidR="00C87D8A">
        <w:rPr>
          <w:rFonts w:ascii="Garamond" w:hAnsi="Garamond"/>
          <w:sz w:val="22"/>
          <w:szCs w:val="22"/>
        </w:rPr>
        <w:t xml:space="preserve">boosted up the demand for consumer loans. </w:t>
      </w:r>
      <w:r w:rsidR="006E1CFF" w:rsidRPr="006E1CFF">
        <w:rPr>
          <w:rFonts w:ascii="Garamond" w:hAnsi="Garamond"/>
          <w:sz w:val="22"/>
          <w:szCs w:val="22"/>
        </w:rPr>
        <w:t xml:space="preserve">As a result, </w:t>
      </w:r>
      <w:r w:rsidR="006E1CFF">
        <w:rPr>
          <w:rFonts w:ascii="Garamond" w:hAnsi="Garamond"/>
          <w:sz w:val="22"/>
          <w:szCs w:val="22"/>
        </w:rPr>
        <w:t>i</w:t>
      </w:r>
      <w:r w:rsidR="006E1CFF" w:rsidRPr="006E1CFF">
        <w:rPr>
          <w:rFonts w:ascii="Garamond" w:hAnsi="Garamond"/>
          <w:sz w:val="22"/>
          <w:szCs w:val="22"/>
        </w:rPr>
        <w:t>ncrease</w:t>
      </w:r>
      <w:r w:rsidR="006E1CFF">
        <w:rPr>
          <w:rFonts w:ascii="Garamond" w:hAnsi="Garamond"/>
          <w:sz w:val="22"/>
          <w:szCs w:val="22"/>
        </w:rPr>
        <w:t xml:space="preserve">d </w:t>
      </w:r>
      <w:r w:rsidR="006E1CFF" w:rsidRPr="006E1CFF">
        <w:rPr>
          <w:rFonts w:ascii="Garamond" w:hAnsi="Garamond"/>
          <w:sz w:val="22"/>
          <w:szCs w:val="22"/>
        </w:rPr>
        <w:t xml:space="preserve">private spending </w:t>
      </w:r>
      <w:r w:rsidR="006E1CFF">
        <w:rPr>
          <w:rFonts w:ascii="Garamond" w:hAnsi="Garamond"/>
          <w:sz w:val="22"/>
          <w:szCs w:val="22"/>
        </w:rPr>
        <w:t xml:space="preserve">owed primarily to </w:t>
      </w:r>
      <w:r w:rsidR="006E1CFF" w:rsidRPr="006E1CFF">
        <w:rPr>
          <w:rFonts w:ascii="Garamond" w:hAnsi="Garamond"/>
          <w:sz w:val="22"/>
          <w:szCs w:val="22"/>
        </w:rPr>
        <w:t xml:space="preserve">a rather high </w:t>
      </w:r>
      <w:r w:rsidR="006E1CFF">
        <w:rPr>
          <w:rFonts w:ascii="Garamond" w:hAnsi="Garamond"/>
          <w:sz w:val="22"/>
          <w:szCs w:val="22"/>
        </w:rPr>
        <w:t xml:space="preserve">growth </w:t>
      </w:r>
      <w:r w:rsidR="006E1CFF" w:rsidRPr="006E1CFF">
        <w:rPr>
          <w:rFonts w:ascii="Garamond" w:hAnsi="Garamond"/>
          <w:sz w:val="22"/>
          <w:szCs w:val="22"/>
        </w:rPr>
        <w:t xml:space="preserve">in private consumption, </w:t>
      </w:r>
      <w:r w:rsidR="00135E1D">
        <w:rPr>
          <w:rFonts w:ascii="Garamond" w:hAnsi="Garamond"/>
          <w:sz w:val="22"/>
          <w:szCs w:val="22"/>
        </w:rPr>
        <w:t xml:space="preserve">which in turn has </w:t>
      </w:r>
      <w:r w:rsidR="006E1CFF" w:rsidRPr="006E1CFF">
        <w:rPr>
          <w:rFonts w:ascii="Garamond" w:hAnsi="Garamond"/>
          <w:sz w:val="22"/>
          <w:szCs w:val="22"/>
        </w:rPr>
        <w:t xml:space="preserve">largely </w:t>
      </w:r>
      <w:r w:rsidR="00135E1D">
        <w:rPr>
          <w:rFonts w:ascii="Garamond" w:hAnsi="Garamond"/>
          <w:sz w:val="22"/>
          <w:szCs w:val="22"/>
        </w:rPr>
        <w:t xml:space="preserve">been </w:t>
      </w:r>
      <w:r w:rsidR="006E1CFF" w:rsidRPr="006E1CFF">
        <w:rPr>
          <w:rFonts w:ascii="Garamond" w:hAnsi="Garamond"/>
          <w:sz w:val="22"/>
          <w:szCs w:val="22"/>
        </w:rPr>
        <w:t>financed by credit resources.</w:t>
      </w:r>
      <w:r w:rsidR="001B7D00" w:rsidRPr="00D4483A">
        <w:rPr>
          <w:rFonts w:ascii="Garamond" w:hAnsi="Garamond"/>
          <w:sz w:val="22"/>
          <w:szCs w:val="22"/>
        </w:rPr>
        <w:t xml:space="preserve"> </w:t>
      </w:r>
      <w:r w:rsidR="00B53C7F">
        <w:rPr>
          <w:rFonts w:ascii="Garamond" w:hAnsi="Garamond"/>
          <w:sz w:val="22"/>
          <w:szCs w:val="22"/>
        </w:rPr>
        <w:t>In 2019 g</w:t>
      </w:r>
      <w:r w:rsidR="00B53C7F" w:rsidRPr="00D4483A">
        <w:rPr>
          <w:rFonts w:ascii="Garamond" w:hAnsi="Garamond"/>
          <w:sz w:val="22"/>
          <w:szCs w:val="22"/>
        </w:rPr>
        <w:t>ross private fixed asset accumulation</w:t>
      </w:r>
      <w:r w:rsidR="00B53C7F">
        <w:rPr>
          <w:rFonts w:ascii="Garamond" w:hAnsi="Garamond"/>
          <w:sz w:val="22"/>
          <w:szCs w:val="22"/>
        </w:rPr>
        <w:t xml:space="preserve"> will persist on a low level but will </w:t>
      </w:r>
      <w:r w:rsidR="007B694D">
        <w:rPr>
          <w:rFonts w:ascii="Garamond" w:hAnsi="Garamond"/>
          <w:sz w:val="22"/>
          <w:szCs w:val="22"/>
        </w:rPr>
        <w:t>gradually accelerate,</w:t>
      </w:r>
      <w:r w:rsidR="007B694D" w:rsidRPr="007B694D">
        <w:rPr>
          <w:rFonts w:ascii="Garamond" w:hAnsi="Garamond"/>
          <w:sz w:val="22"/>
          <w:szCs w:val="22"/>
        </w:rPr>
        <w:t xml:space="preserve"> </w:t>
      </w:r>
      <w:r w:rsidR="007B694D">
        <w:rPr>
          <w:rFonts w:ascii="Garamond" w:hAnsi="Garamond"/>
          <w:sz w:val="22"/>
          <w:szCs w:val="22"/>
        </w:rPr>
        <w:t xml:space="preserve">in </w:t>
      </w:r>
      <w:r w:rsidR="007B694D" w:rsidRPr="007B694D">
        <w:rPr>
          <w:rFonts w:ascii="Garamond" w:hAnsi="Garamond"/>
          <w:sz w:val="22"/>
          <w:szCs w:val="22"/>
        </w:rPr>
        <w:t>line with developments in construction sector in the near future</w:t>
      </w:r>
      <w:r w:rsidR="007B694D">
        <w:rPr>
          <w:rFonts w:ascii="Garamond" w:hAnsi="Garamond"/>
          <w:sz w:val="22"/>
          <w:szCs w:val="22"/>
        </w:rPr>
        <w:t xml:space="preserve">. </w:t>
      </w:r>
      <w:r w:rsidR="007B694D" w:rsidRPr="007B694D">
        <w:rPr>
          <w:rFonts w:ascii="Garamond" w:hAnsi="Garamond"/>
          <w:sz w:val="22"/>
          <w:szCs w:val="22"/>
        </w:rPr>
        <w:t>According to the C</w:t>
      </w:r>
      <w:r w:rsidR="007B694D">
        <w:rPr>
          <w:rFonts w:ascii="Garamond" w:hAnsi="Garamond"/>
          <w:sz w:val="22"/>
          <w:szCs w:val="22"/>
        </w:rPr>
        <w:t xml:space="preserve">entral </w:t>
      </w:r>
      <w:r w:rsidR="007B694D" w:rsidRPr="007B694D">
        <w:rPr>
          <w:rFonts w:ascii="Garamond" w:hAnsi="Garamond"/>
          <w:sz w:val="22"/>
          <w:szCs w:val="22"/>
        </w:rPr>
        <w:t>B</w:t>
      </w:r>
      <w:r w:rsidR="007B694D">
        <w:rPr>
          <w:rFonts w:ascii="Garamond" w:hAnsi="Garamond"/>
          <w:sz w:val="22"/>
          <w:szCs w:val="22"/>
        </w:rPr>
        <w:t xml:space="preserve">ank </w:t>
      </w:r>
      <w:r w:rsidR="007B694D" w:rsidRPr="007B694D">
        <w:rPr>
          <w:rFonts w:ascii="Garamond" w:hAnsi="Garamond"/>
          <w:sz w:val="22"/>
          <w:szCs w:val="22"/>
        </w:rPr>
        <w:t xml:space="preserve">estimates, as </w:t>
      </w:r>
      <w:r w:rsidR="007B694D">
        <w:rPr>
          <w:rFonts w:ascii="Garamond" w:hAnsi="Garamond"/>
          <w:sz w:val="22"/>
          <w:szCs w:val="22"/>
        </w:rPr>
        <w:t xml:space="preserve">economic growth in the external sector takes momentum and global uncertainties diminish, </w:t>
      </w:r>
      <w:r w:rsidR="007B694D" w:rsidRPr="007B694D">
        <w:rPr>
          <w:rFonts w:ascii="Garamond" w:hAnsi="Garamond"/>
          <w:sz w:val="22"/>
          <w:szCs w:val="22"/>
        </w:rPr>
        <w:t xml:space="preserve">private investment will </w:t>
      </w:r>
      <w:r w:rsidR="007B694D">
        <w:rPr>
          <w:rFonts w:ascii="Garamond" w:hAnsi="Garamond"/>
          <w:sz w:val="22"/>
          <w:szCs w:val="22"/>
        </w:rPr>
        <w:t xml:space="preserve">grow </w:t>
      </w:r>
      <w:r w:rsidR="007B694D" w:rsidRPr="007B694D">
        <w:rPr>
          <w:rFonts w:ascii="Garamond" w:hAnsi="Garamond"/>
          <w:sz w:val="22"/>
          <w:szCs w:val="22"/>
        </w:rPr>
        <w:t xml:space="preserve">in </w:t>
      </w:r>
      <w:r w:rsidR="00AE47E7">
        <w:rPr>
          <w:rFonts w:ascii="Garamond" w:hAnsi="Garamond"/>
          <w:sz w:val="22"/>
          <w:szCs w:val="22"/>
        </w:rPr>
        <w:t>the mid-</w:t>
      </w:r>
      <w:r w:rsidR="007B694D" w:rsidRPr="007B694D">
        <w:rPr>
          <w:rFonts w:ascii="Garamond" w:hAnsi="Garamond"/>
          <w:sz w:val="22"/>
          <w:szCs w:val="22"/>
        </w:rPr>
        <w:t>term</w:t>
      </w:r>
      <w:r w:rsidR="00AE47E7">
        <w:rPr>
          <w:rFonts w:ascii="Garamond" w:hAnsi="Garamond"/>
          <w:sz w:val="22"/>
          <w:szCs w:val="22"/>
        </w:rPr>
        <w:t xml:space="preserve"> perspective too</w:t>
      </w:r>
      <w:r w:rsidR="007B694D" w:rsidRPr="007B694D">
        <w:rPr>
          <w:rFonts w:ascii="Garamond" w:hAnsi="Garamond"/>
          <w:sz w:val="22"/>
          <w:szCs w:val="22"/>
        </w:rPr>
        <w:t>, contributing to economic growth.</w:t>
      </w:r>
      <w:r w:rsidR="00AE47E7">
        <w:rPr>
          <w:rFonts w:ascii="Garamond" w:hAnsi="Garamond"/>
          <w:sz w:val="22"/>
          <w:szCs w:val="22"/>
        </w:rPr>
        <w:t xml:space="preserve"> </w:t>
      </w:r>
      <w:r w:rsidR="00D15745">
        <w:rPr>
          <w:rFonts w:ascii="Garamond" w:hAnsi="Garamond"/>
          <w:sz w:val="22"/>
          <w:szCs w:val="22"/>
        </w:rPr>
        <w:t xml:space="preserve">In the outcome, in 2019 </w:t>
      </w:r>
      <w:r w:rsidR="00D15745" w:rsidRPr="00D15745">
        <w:rPr>
          <w:rFonts w:ascii="Garamond" w:hAnsi="Garamond"/>
          <w:sz w:val="22"/>
          <w:szCs w:val="22"/>
        </w:rPr>
        <w:t xml:space="preserve">private consumption will </w:t>
      </w:r>
      <w:r w:rsidR="00D15745">
        <w:rPr>
          <w:rFonts w:ascii="Garamond" w:hAnsi="Garamond"/>
          <w:sz w:val="22"/>
          <w:szCs w:val="22"/>
        </w:rPr>
        <w:t>grow by 1</w:t>
      </w:r>
      <w:r w:rsidR="00AE47E7">
        <w:rPr>
          <w:rFonts w:ascii="Garamond" w:hAnsi="Garamond"/>
          <w:sz w:val="22"/>
          <w:szCs w:val="22"/>
        </w:rPr>
        <w:t>1</w:t>
      </w:r>
      <w:r w:rsidR="00D15745">
        <w:rPr>
          <w:rFonts w:ascii="Garamond" w:hAnsi="Garamond"/>
          <w:sz w:val="22"/>
          <w:szCs w:val="22"/>
        </w:rPr>
        <w:t>.</w:t>
      </w:r>
      <w:r w:rsidR="00AE47E7">
        <w:rPr>
          <w:rFonts w:ascii="Garamond" w:hAnsi="Garamond"/>
          <w:sz w:val="22"/>
          <w:szCs w:val="22"/>
        </w:rPr>
        <w:t>4</w:t>
      </w:r>
      <w:r w:rsidR="00D15745">
        <w:rPr>
          <w:rFonts w:ascii="Garamond" w:hAnsi="Garamond"/>
          <w:sz w:val="22"/>
          <w:szCs w:val="22"/>
        </w:rPr>
        <w:t xml:space="preserve">%, </w:t>
      </w:r>
      <w:r w:rsidR="00D15745" w:rsidRPr="00D4483A">
        <w:rPr>
          <w:rFonts w:ascii="Garamond" w:hAnsi="Garamond"/>
          <w:sz w:val="22"/>
          <w:szCs w:val="22"/>
        </w:rPr>
        <w:t>gross private fixed asset accumulation</w:t>
      </w:r>
      <w:r w:rsidR="00D15745">
        <w:rPr>
          <w:rFonts w:ascii="Garamond" w:hAnsi="Garamond"/>
          <w:sz w:val="22"/>
          <w:szCs w:val="22"/>
        </w:rPr>
        <w:t>,</w:t>
      </w:r>
      <w:r w:rsidR="00D15745" w:rsidRPr="00D15745">
        <w:rPr>
          <w:rFonts w:ascii="Garamond" w:hAnsi="Garamond"/>
          <w:sz w:val="22"/>
          <w:szCs w:val="22"/>
        </w:rPr>
        <w:t xml:space="preserve"> </w:t>
      </w:r>
      <w:r w:rsidR="00D15745">
        <w:rPr>
          <w:rFonts w:ascii="Garamond" w:hAnsi="Garamond"/>
          <w:sz w:val="22"/>
          <w:szCs w:val="22"/>
        </w:rPr>
        <w:t xml:space="preserve">by </w:t>
      </w:r>
      <w:r w:rsidR="00AE47E7">
        <w:rPr>
          <w:rFonts w:ascii="Garamond" w:hAnsi="Garamond"/>
          <w:sz w:val="22"/>
          <w:szCs w:val="22"/>
        </w:rPr>
        <w:t>1</w:t>
      </w:r>
      <w:r w:rsidR="00D15745" w:rsidRPr="00D15745">
        <w:rPr>
          <w:rFonts w:ascii="Garamond" w:hAnsi="Garamond"/>
          <w:sz w:val="22"/>
          <w:szCs w:val="22"/>
        </w:rPr>
        <w:t>.</w:t>
      </w:r>
      <w:r w:rsidR="00AE47E7">
        <w:rPr>
          <w:rFonts w:ascii="Garamond" w:hAnsi="Garamond"/>
          <w:sz w:val="22"/>
          <w:szCs w:val="22"/>
        </w:rPr>
        <w:t>2</w:t>
      </w:r>
      <w:r w:rsidR="00D15745" w:rsidRPr="00D15745">
        <w:rPr>
          <w:rFonts w:ascii="Garamond" w:hAnsi="Garamond"/>
          <w:sz w:val="22"/>
          <w:szCs w:val="22"/>
        </w:rPr>
        <w:t xml:space="preserve">%, </w:t>
      </w:r>
      <w:r w:rsidR="00D15745">
        <w:rPr>
          <w:rFonts w:ascii="Garamond" w:hAnsi="Garamond"/>
          <w:sz w:val="22"/>
          <w:szCs w:val="22"/>
        </w:rPr>
        <w:t xml:space="preserve">and </w:t>
      </w:r>
      <w:r w:rsidR="00D15745" w:rsidRPr="00D15745">
        <w:rPr>
          <w:rFonts w:ascii="Garamond" w:hAnsi="Garamond"/>
          <w:sz w:val="22"/>
          <w:szCs w:val="22"/>
        </w:rPr>
        <w:t xml:space="preserve">private </w:t>
      </w:r>
      <w:r w:rsidR="00D15745">
        <w:rPr>
          <w:rFonts w:ascii="Garamond" w:hAnsi="Garamond"/>
          <w:sz w:val="22"/>
          <w:szCs w:val="22"/>
        </w:rPr>
        <w:t xml:space="preserve">spending, by </w:t>
      </w:r>
      <w:r w:rsidR="00AE47E7">
        <w:rPr>
          <w:rFonts w:ascii="Garamond" w:hAnsi="Garamond"/>
          <w:sz w:val="22"/>
          <w:szCs w:val="22"/>
        </w:rPr>
        <w:t>9</w:t>
      </w:r>
      <w:r w:rsidR="00D15745" w:rsidRPr="00D15745">
        <w:rPr>
          <w:rFonts w:ascii="Garamond" w:hAnsi="Garamond"/>
          <w:sz w:val="22"/>
          <w:szCs w:val="22"/>
        </w:rPr>
        <w:t>.</w:t>
      </w:r>
      <w:r w:rsidR="00AE47E7">
        <w:rPr>
          <w:rFonts w:ascii="Garamond" w:hAnsi="Garamond"/>
          <w:sz w:val="22"/>
          <w:szCs w:val="22"/>
        </w:rPr>
        <w:t>9</w:t>
      </w:r>
      <w:r w:rsidR="00D15745" w:rsidRPr="00D15745">
        <w:rPr>
          <w:rFonts w:ascii="Garamond" w:hAnsi="Garamond"/>
          <w:sz w:val="22"/>
          <w:szCs w:val="22"/>
        </w:rPr>
        <w:t>%.</w:t>
      </w:r>
    </w:p>
    <w:p w14:paraId="5807B727" w14:textId="77777777" w:rsidR="00A72561" w:rsidRDefault="005574CB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structure of demand is predicted to </w:t>
      </w:r>
      <w:r w:rsidRPr="005574CB">
        <w:rPr>
          <w:rFonts w:ascii="Garamond" w:hAnsi="Garamond"/>
          <w:sz w:val="22"/>
          <w:szCs w:val="22"/>
        </w:rPr>
        <w:t xml:space="preserve">change slightly </w:t>
      </w:r>
      <w:r>
        <w:rPr>
          <w:rFonts w:ascii="Garamond" w:hAnsi="Garamond"/>
          <w:sz w:val="22"/>
          <w:szCs w:val="22"/>
        </w:rPr>
        <w:t xml:space="preserve">in </w:t>
      </w:r>
      <w:r w:rsidRPr="005574CB">
        <w:rPr>
          <w:rFonts w:ascii="Garamond" w:hAnsi="Garamond"/>
          <w:sz w:val="22"/>
          <w:szCs w:val="22"/>
        </w:rPr>
        <w:t xml:space="preserve">2020, and </w:t>
      </w:r>
      <w:r>
        <w:rPr>
          <w:rFonts w:ascii="Garamond" w:hAnsi="Garamond"/>
          <w:sz w:val="22"/>
          <w:szCs w:val="22"/>
        </w:rPr>
        <w:t xml:space="preserve">the </w:t>
      </w:r>
      <w:r w:rsidRPr="005574CB">
        <w:rPr>
          <w:rFonts w:ascii="Garamond" w:hAnsi="Garamond"/>
          <w:sz w:val="22"/>
          <w:szCs w:val="22"/>
        </w:rPr>
        <w:t>real growth in private consumption and import will gradually slow down mainly due to reduced car imports</w:t>
      </w:r>
      <w:r>
        <w:rPr>
          <w:rFonts w:ascii="Garamond" w:hAnsi="Garamond"/>
          <w:sz w:val="22"/>
          <w:szCs w:val="22"/>
        </w:rPr>
        <w:t>. N</w:t>
      </w:r>
      <w:r w:rsidRPr="005574CB">
        <w:rPr>
          <w:rFonts w:ascii="Garamond" w:hAnsi="Garamond"/>
          <w:sz w:val="22"/>
          <w:szCs w:val="22"/>
        </w:rPr>
        <w:t>et export</w:t>
      </w:r>
      <w:r>
        <w:rPr>
          <w:rFonts w:ascii="Garamond" w:hAnsi="Garamond"/>
          <w:sz w:val="22"/>
          <w:szCs w:val="22"/>
        </w:rPr>
        <w:t xml:space="preserve">’s </w:t>
      </w:r>
      <w:r w:rsidRPr="005574CB">
        <w:rPr>
          <w:rFonts w:ascii="Garamond" w:hAnsi="Garamond"/>
          <w:sz w:val="22"/>
          <w:szCs w:val="22"/>
        </w:rPr>
        <w:t>contribut</w:t>
      </w:r>
      <w:r w:rsidR="009268CB">
        <w:rPr>
          <w:rFonts w:ascii="Garamond" w:hAnsi="Garamond"/>
          <w:sz w:val="22"/>
          <w:szCs w:val="22"/>
        </w:rPr>
        <w:t xml:space="preserve">ion </w:t>
      </w:r>
      <w:r w:rsidRPr="005574CB">
        <w:rPr>
          <w:rFonts w:ascii="Garamond" w:hAnsi="Garamond"/>
          <w:sz w:val="22"/>
          <w:szCs w:val="22"/>
        </w:rPr>
        <w:t xml:space="preserve">to </w:t>
      </w:r>
      <w:r>
        <w:rPr>
          <w:rFonts w:ascii="Garamond" w:hAnsi="Garamond"/>
          <w:sz w:val="22"/>
          <w:szCs w:val="22"/>
        </w:rPr>
        <w:t xml:space="preserve">the </w:t>
      </w:r>
      <w:r w:rsidRPr="005574CB">
        <w:rPr>
          <w:rFonts w:ascii="Garamond" w:hAnsi="Garamond"/>
          <w:sz w:val="22"/>
          <w:szCs w:val="22"/>
        </w:rPr>
        <w:t>economic growth</w:t>
      </w:r>
      <w:r w:rsidR="009268CB">
        <w:rPr>
          <w:rFonts w:ascii="Garamond" w:hAnsi="Garamond"/>
          <w:sz w:val="22"/>
          <w:szCs w:val="22"/>
        </w:rPr>
        <w:t xml:space="preserve"> will </w:t>
      </w:r>
      <w:r w:rsidR="0087381C">
        <w:rPr>
          <w:rFonts w:ascii="Garamond" w:hAnsi="Garamond"/>
          <w:sz w:val="22"/>
          <w:szCs w:val="22"/>
        </w:rPr>
        <w:t>increase</w:t>
      </w:r>
      <w:r>
        <w:rPr>
          <w:rFonts w:ascii="Garamond" w:hAnsi="Garamond"/>
          <w:sz w:val="22"/>
          <w:szCs w:val="22"/>
        </w:rPr>
        <w:t>, however</w:t>
      </w:r>
      <w:r w:rsidRPr="005574CB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r w:rsidR="0087381C" w:rsidRPr="0087381C">
        <w:rPr>
          <w:rFonts w:ascii="Garamond" w:hAnsi="Garamond"/>
          <w:sz w:val="22"/>
          <w:szCs w:val="22"/>
        </w:rPr>
        <w:t xml:space="preserve">On the other hand, </w:t>
      </w:r>
      <w:r w:rsidR="00A32E24">
        <w:rPr>
          <w:rFonts w:ascii="Garamond" w:hAnsi="Garamond"/>
          <w:sz w:val="22"/>
          <w:szCs w:val="22"/>
        </w:rPr>
        <w:t>with</w:t>
      </w:r>
      <w:r w:rsidR="0087381C" w:rsidRPr="00A32E24">
        <w:rPr>
          <w:rFonts w:ascii="Garamond" w:hAnsi="Garamond"/>
          <w:sz w:val="22"/>
          <w:szCs w:val="22"/>
        </w:rPr>
        <w:t xml:space="preserve"> the expected</w:t>
      </w:r>
      <w:r w:rsidR="0087381C" w:rsidRPr="0087381C">
        <w:rPr>
          <w:rFonts w:ascii="Garamond" w:hAnsi="Garamond"/>
          <w:sz w:val="22"/>
          <w:szCs w:val="22"/>
        </w:rPr>
        <w:t xml:space="preserve"> stimulus of the budget, public spending will contribute </w:t>
      </w:r>
      <w:r w:rsidR="00A32E24">
        <w:rPr>
          <w:rFonts w:ascii="Garamond" w:hAnsi="Garamond"/>
          <w:sz w:val="22"/>
          <w:szCs w:val="22"/>
        </w:rPr>
        <w:t xml:space="preserve">more </w:t>
      </w:r>
      <w:r w:rsidR="0087381C" w:rsidRPr="0087381C">
        <w:rPr>
          <w:rFonts w:ascii="Garamond" w:hAnsi="Garamond"/>
          <w:sz w:val="22"/>
          <w:szCs w:val="22"/>
        </w:rPr>
        <w:t xml:space="preserve">to economic growth, and </w:t>
      </w:r>
      <w:r w:rsidR="00A32E24">
        <w:rPr>
          <w:rFonts w:ascii="Garamond" w:hAnsi="Garamond"/>
          <w:sz w:val="22"/>
          <w:szCs w:val="22"/>
        </w:rPr>
        <w:t xml:space="preserve">for a short while </w:t>
      </w:r>
      <w:r w:rsidR="0087381C" w:rsidRPr="0087381C">
        <w:rPr>
          <w:rFonts w:ascii="Garamond" w:hAnsi="Garamond"/>
          <w:sz w:val="22"/>
          <w:szCs w:val="22"/>
        </w:rPr>
        <w:t xml:space="preserve">aggregate demand will be higher than aggregate supply. As a result, in the short term, </w:t>
      </w:r>
      <w:r w:rsidR="00A32E24" w:rsidRPr="0087381C">
        <w:rPr>
          <w:rFonts w:ascii="Garamond" w:hAnsi="Garamond"/>
          <w:sz w:val="22"/>
          <w:szCs w:val="22"/>
        </w:rPr>
        <w:t xml:space="preserve">weak inflationary pressures </w:t>
      </w:r>
      <w:r w:rsidR="00A32E24">
        <w:rPr>
          <w:rFonts w:ascii="Garamond" w:hAnsi="Garamond"/>
          <w:sz w:val="22"/>
          <w:szCs w:val="22"/>
        </w:rPr>
        <w:t xml:space="preserve">are likely to come from </w:t>
      </w:r>
      <w:r w:rsidR="0087381C" w:rsidRPr="0087381C">
        <w:rPr>
          <w:rFonts w:ascii="Garamond" w:hAnsi="Garamond"/>
          <w:sz w:val="22"/>
          <w:szCs w:val="22"/>
        </w:rPr>
        <w:t>the real sector</w:t>
      </w:r>
      <w:r w:rsidR="00A32E24">
        <w:rPr>
          <w:rFonts w:ascii="Garamond" w:hAnsi="Garamond"/>
          <w:sz w:val="22"/>
          <w:szCs w:val="22"/>
        </w:rPr>
        <w:t xml:space="preserve"> but</w:t>
      </w:r>
      <w:r w:rsidR="0087381C" w:rsidRPr="0087381C">
        <w:rPr>
          <w:rFonts w:ascii="Garamond" w:hAnsi="Garamond"/>
          <w:sz w:val="22"/>
          <w:szCs w:val="22"/>
        </w:rPr>
        <w:t xml:space="preserve"> which</w:t>
      </w:r>
      <w:r w:rsidR="00A32E24">
        <w:rPr>
          <w:rFonts w:ascii="Garamond" w:hAnsi="Garamond"/>
          <w:sz w:val="22"/>
          <w:szCs w:val="22"/>
        </w:rPr>
        <w:t xml:space="preserve"> will phase out </w:t>
      </w:r>
      <w:r w:rsidR="00A32E24" w:rsidRPr="0087381C">
        <w:rPr>
          <w:rFonts w:ascii="Garamond" w:hAnsi="Garamond"/>
          <w:sz w:val="22"/>
          <w:szCs w:val="22"/>
        </w:rPr>
        <w:t xml:space="preserve">at the end of the forecast horizon </w:t>
      </w:r>
      <w:r w:rsidR="0087381C" w:rsidRPr="0087381C">
        <w:rPr>
          <w:rFonts w:ascii="Garamond" w:hAnsi="Garamond"/>
          <w:sz w:val="22"/>
          <w:szCs w:val="22"/>
        </w:rPr>
        <w:t>under the influence of the monetary policy</w:t>
      </w:r>
      <w:r w:rsidR="00A32E24">
        <w:rPr>
          <w:rFonts w:ascii="Garamond" w:hAnsi="Garamond"/>
          <w:sz w:val="22"/>
          <w:szCs w:val="22"/>
        </w:rPr>
        <w:t>.</w:t>
      </w:r>
      <w:r w:rsidR="00AD7602">
        <w:rPr>
          <w:rFonts w:ascii="Garamond" w:hAnsi="Garamond"/>
          <w:sz w:val="22"/>
          <w:szCs w:val="22"/>
        </w:rPr>
        <w:t xml:space="preserve"> </w:t>
      </w:r>
    </w:p>
    <w:p w14:paraId="3B0A44E9" w14:textId="0ED6EDE3" w:rsidR="001C139D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External demand: </w:t>
      </w:r>
      <w:r w:rsidR="00AD7602">
        <w:rPr>
          <w:rFonts w:ascii="Garamond" w:hAnsi="Garamond"/>
          <w:sz w:val="22"/>
          <w:szCs w:val="22"/>
        </w:rPr>
        <w:t xml:space="preserve">Based on the 2019 results, net export’s </w:t>
      </w:r>
      <w:r w:rsidR="00FD0A26" w:rsidRPr="00FD0A26">
        <w:rPr>
          <w:rFonts w:ascii="Garamond" w:hAnsi="Garamond"/>
          <w:sz w:val="22"/>
          <w:szCs w:val="22"/>
        </w:rPr>
        <w:t>contribut</w:t>
      </w:r>
      <w:r w:rsidR="004A5B16">
        <w:rPr>
          <w:rFonts w:ascii="Garamond" w:hAnsi="Garamond"/>
          <w:sz w:val="22"/>
          <w:szCs w:val="22"/>
        </w:rPr>
        <w:t xml:space="preserve">ion </w:t>
      </w:r>
      <w:r w:rsidR="00DE13C2">
        <w:rPr>
          <w:rFonts w:ascii="Garamond" w:hAnsi="Garamond"/>
          <w:sz w:val="22"/>
          <w:szCs w:val="22"/>
        </w:rPr>
        <w:t xml:space="preserve">to real GDP </w:t>
      </w:r>
      <w:r w:rsidR="00AD7602">
        <w:rPr>
          <w:rFonts w:ascii="Garamond" w:hAnsi="Garamond"/>
          <w:sz w:val="22"/>
          <w:szCs w:val="22"/>
        </w:rPr>
        <w:t xml:space="preserve">is estimated as positive. In the fourth quarter of </w:t>
      </w:r>
      <w:r w:rsidR="000E1009">
        <w:rPr>
          <w:rFonts w:ascii="Garamond" w:hAnsi="Garamond"/>
          <w:sz w:val="22"/>
          <w:szCs w:val="22"/>
        </w:rPr>
        <w:t>2019</w:t>
      </w:r>
      <w:r w:rsidR="00AD7602">
        <w:rPr>
          <w:rFonts w:ascii="Garamond" w:hAnsi="Garamond"/>
          <w:sz w:val="22"/>
          <w:szCs w:val="22"/>
        </w:rPr>
        <w:t xml:space="preserve"> t</w:t>
      </w:r>
      <w:r w:rsidR="00AD7602" w:rsidRPr="00EE5F0F">
        <w:rPr>
          <w:rFonts w:ascii="Garamond" w:hAnsi="Garamond"/>
          <w:sz w:val="22"/>
          <w:szCs w:val="22"/>
        </w:rPr>
        <w:t xml:space="preserve">he real growth of </w:t>
      </w:r>
      <w:r w:rsidR="00AD7602">
        <w:rPr>
          <w:rFonts w:ascii="Garamond" w:hAnsi="Garamond"/>
          <w:sz w:val="22"/>
          <w:szCs w:val="22"/>
        </w:rPr>
        <w:t>export</w:t>
      </w:r>
      <w:r w:rsidR="00AD7602" w:rsidRPr="00EE5F0F">
        <w:rPr>
          <w:rFonts w:ascii="Garamond" w:hAnsi="Garamond"/>
          <w:sz w:val="22"/>
          <w:szCs w:val="22"/>
        </w:rPr>
        <w:t xml:space="preserve"> of goods and services</w:t>
      </w:r>
      <w:r w:rsidR="00AD7602">
        <w:rPr>
          <w:rFonts w:ascii="Garamond" w:hAnsi="Garamond"/>
          <w:sz w:val="22"/>
          <w:szCs w:val="22"/>
        </w:rPr>
        <w:t xml:space="preserve"> will slow </w:t>
      </w:r>
      <w:r w:rsidR="00AD7602" w:rsidRPr="00AD7602">
        <w:rPr>
          <w:rFonts w:ascii="Garamond" w:hAnsi="Garamond"/>
          <w:sz w:val="22"/>
          <w:szCs w:val="22"/>
        </w:rPr>
        <w:t>given the sl</w:t>
      </w:r>
      <w:r w:rsidR="00AD7602">
        <w:rPr>
          <w:rFonts w:ascii="Garamond" w:hAnsi="Garamond"/>
          <w:sz w:val="22"/>
          <w:szCs w:val="22"/>
        </w:rPr>
        <w:t xml:space="preserve">uggish </w:t>
      </w:r>
      <w:r w:rsidR="00AD7602" w:rsidRPr="00AD7602">
        <w:rPr>
          <w:rFonts w:ascii="Garamond" w:hAnsi="Garamond"/>
          <w:sz w:val="22"/>
          <w:szCs w:val="22"/>
        </w:rPr>
        <w:t xml:space="preserve">growth in the mining and </w:t>
      </w:r>
      <w:r w:rsidR="001A7CA9">
        <w:rPr>
          <w:rFonts w:ascii="Garamond" w:hAnsi="Garamond"/>
          <w:sz w:val="22"/>
          <w:szCs w:val="22"/>
        </w:rPr>
        <w:t>manufacturing</w:t>
      </w:r>
      <w:r w:rsidR="00AD7602">
        <w:rPr>
          <w:rStyle w:val="FootnoteReference"/>
          <w:rFonts w:ascii="Garamond" w:hAnsi="Garamond"/>
          <w:sz w:val="22"/>
          <w:szCs w:val="22"/>
        </w:rPr>
        <w:footnoteReference w:customMarkFollows="1" w:id="3"/>
        <w:t>5</w:t>
      </w:r>
      <w:r w:rsidR="000E1009">
        <w:rPr>
          <w:rFonts w:ascii="Garamond" w:hAnsi="Garamond"/>
          <w:sz w:val="22"/>
          <w:szCs w:val="22"/>
        </w:rPr>
        <w:t xml:space="preserve">. </w:t>
      </w:r>
      <w:r w:rsidR="00AD7602">
        <w:rPr>
          <w:rFonts w:ascii="Garamond" w:hAnsi="Garamond"/>
          <w:sz w:val="22"/>
          <w:szCs w:val="22"/>
        </w:rPr>
        <w:t>So, t</w:t>
      </w:r>
      <w:r w:rsidR="000E1009" w:rsidRPr="00EE5F0F">
        <w:rPr>
          <w:rFonts w:ascii="Garamond" w:hAnsi="Garamond"/>
          <w:sz w:val="22"/>
          <w:szCs w:val="22"/>
        </w:rPr>
        <w:t xml:space="preserve">he real growth of </w:t>
      </w:r>
      <w:r w:rsidR="000E1009">
        <w:rPr>
          <w:rFonts w:ascii="Garamond" w:hAnsi="Garamond"/>
          <w:sz w:val="22"/>
          <w:szCs w:val="22"/>
        </w:rPr>
        <w:t>export</w:t>
      </w:r>
      <w:r w:rsidR="000E1009" w:rsidRPr="00EE5F0F">
        <w:rPr>
          <w:rFonts w:ascii="Garamond" w:hAnsi="Garamond"/>
          <w:sz w:val="22"/>
          <w:szCs w:val="22"/>
        </w:rPr>
        <w:t xml:space="preserve"> of goods and services </w:t>
      </w:r>
      <w:r w:rsidR="00DE13C2">
        <w:rPr>
          <w:rFonts w:ascii="Garamond" w:hAnsi="Garamond"/>
          <w:sz w:val="22"/>
          <w:szCs w:val="22"/>
        </w:rPr>
        <w:t xml:space="preserve">in 2019 is </w:t>
      </w:r>
      <w:r w:rsidR="00AD7602">
        <w:rPr>
          <w:rFonts w:ascii="Garamond" w:hAnsi="Garamond"/>
          <w:sz w:val="22"/>
          <w:szCs w:val="22"/>
        </w:rPr>
        <w:t xml:space="preserve">estimated </w:t>
      </w:r>
      <w:r w:rsidR="00DE13C2">
        <w:rPr>
          <w:rFonts w:ascii="Garamond" w:hAnsi="Garamond"/>
          <w:sz w:val="22"/>
          <w:szCs w:val="22"/>
        </w:rPr>
        <w:t xml:space="preserve">in the range of </w:t>
      </w:r>
      <w:r w:rsidR="00AD7602">
        <w:rPr>
          <w:rFonts w:ascii="Garamond" w:hAnsi="Garamond"/>
          <w:sz w:val="22"/>
          <w:szCs w:val="22"/>
        </w:rPr>
        <w:t>9</w:t>
      </w:r>
      <w:r w:rsidR="000E1009" w:rsidRPr="00EE5F0F">
        <w:rPr>
          <w:rFonts w:ascii="Garamond" w:hAnsi="Garamond"/>
          <w:sz w:val="22"/>
          <w:szCs w:val="22"/>
        </w:rPr>
        <w:t>.0-</w:t>
      </w:r>
      <w:r w:rsidR="00AD7602">
        <w:rPr>
          <w:rFonts w:ascii="Garamond" w:hAnsi="Garamond"/>
          <w:sz w:val="22"/>
          <w:szCs w:val="22"/>
        </w:rPr>
        <w:t>11</w:t>
      </w:r>
      <w:r w:rsidR="000E1009" w:rsidRPr="00EE5F0F">
        <w:rPr>
          <w:rFonts w:ascii="Garamond" w:hAnsi="Garamond"/>
          <w:sz w:val="22"/>
          <w:szCs w:val="22"/>
        </w:rPr>
        <w:t>.0%</w:t>
      </w:r>
      <w:r w:rsidR="00AD7602">
        <w:rPr>
          <w:rFonts w:ascii="Garamond" w:hAnsi="Garamond"/>
          <w:sz w:val="22"/>
          <w:szCs w:val="22"/>
        </w:rPr>
        <w:t xml:space="preserve">. </w:t>
      </w:r>
      <w:r w:rsidR="00AD7602" w:rsidRPr="00AD7602">
        <w:rPr>
          <w:rFonts w:ascii="Garamond" w:hAnsi="Garamond"/>
          <w:sz w:val="22"/>
          <w:szCs w:val="22"/>
        </w:rPr>
        <w:t>In the fourth quarter</w:t>
      </w:r>
      <w:r w:rsidR="00AD7602">
        <w:rPr>
          <w:rFonts w:ascii="Garamond" w:hAnsi="Garamond"/>
          <w:sz w:val="22"/>
          <w:szCs w:val="22"/>
        </w:rPr>
        <w:t xml:space="preserve"> of 2019 the </w:t>
      </w:r>
      <w:r w:rsidR="00AD7602" w:rsidRPr="00AD7602">
        <w:rPr>
          <w:rFonts w:ascii="Garamond" w:hAnsi="Garamond"/>
          <w:sz w:val="22"/>
          <w:szCs w:val="22"/>
        </w:rPr>
        <w:t>real growth of import of goods and services were revised upward</w:t>
      </w:r>
      <w:r w:rsidR="00DC5586">
        <w:rPr>
          <w:rFonts w:ascii="Garamond" w:hAnsi="Garamond"/>
          <w:sz w:val="22"/>
          <w:szCs w:val="22"/>
        </w:rPr>
        <w:t xml:space="preserve"> as </w:t>
      </w:r>
      <w:r w:rsidR="00AD7602" w:rsidRPr="00AD7602">
        <w:rPr>
          <w:rFonts w:ascii="Garamond" w:hAnsi="Garamond"/>
          <w:sz w:val="22"/>
          <w:szCs w:val="22"/>
        </w:rPr>
        <w:t xml:space="preserve">the </w:t>
      </w:r>
      <w:r w:rsidR="00DC5586" w:rsidRPr="00AD7602">
        <w:rPr>
          <w:rFonts w:ascii="Garamond" w:hAnsi="Garamond"/>
          <w:sz w:val="22"/>
          <w:szCs w:val="22"/>
        </w:rPr>
        <w:t>third quarter</w:t>
      </w:r>
      <w:r w:rsidR="00DC5586">
        <w:rPr>
          <w:rFonts w:ascii="Garamond" w:hAnsi="Garamond"/>
          <w:sz w:val="22"/>
          <w:szCs w:val="22"/>
        </w:rPr>
        <w:t>’s growth proved higher-than-</w:t>
      </w:r>
      <w:r w:rsidR="00AD7602" w:rsidRPr="00AD7602">
        <w:rPr>
          <w:rFonts w:ascii="Garamond" w:hAnsi="Garamond"/>
          <w:sz w:val="22"/>
          <w:szCs w:val="22"/>
        </w:rPr>
        <w:t>expected and it</w:t>
      </w:r>
      <w:r w:rsidR="00DC5586">
        <w:rPr>
          <w:rFonts w:ascii="Garamond" w:hAnsi="Garamond"/>
          <w:sz w:val="22"/>
          <w:szCs w:val="22"/>
        </w:rPr>
        <w:t xml:space="preserve"> persisted over that period. </w:t>
      </w:r>
      <w:r w:rsidR="007676EF">
        <w:rPr>
          <w:rFonts w:ascii="Garamond" w:hAnsi="Garamond"/>
          <w:sz w:val="22"/>
          <w:szCs w:val="22"/>
        </w:rPr>
        <w:t>T</w:t>
      </w:r>
      <w:r w:rsidR="006B0127" w:rsidRPr="00EE5F0F">
        <w:rPr>
          <w:rFonts w:ascii="Garamond" w:hAnsi="Garamond"/>
          <w:sz w:val="22"/>
          <w:szCs w:val="22"/>
        </w:rPr>
        <w:t xml:space="preserve">he real growth of </w:t>
      </w:r>
      <w:r w:rsidR="006B0127">
        <w:rPr>
          <w:rFonts w:ascii="Garamond" w:hAnsi="Garamond"/>
          <w:sz w:val="22"/>
          <w:szCs w:val="22"/>
        </w:rPr>
        <w:t>import</w:t>
      </w:r>
      <w:r w:rsidR="006B0127" w:rsidRPr="00EE5F0F">
        <w:rPr>
          <w:rFonts w:ascii="Garamond" w:hAnsi="Garamond"/>
          <w:sz w:val="22"/>
          <w:szCs w:val="22"/>
        </w:rPr>
        <w:t xml:space="preserve"> of goods and services </w:t>
      </w:r>
      <w:r w:rsidR="00DC5586">
        <w:rPr>
          <w:rFonts w:ascii="Garamond" w:hAnsi="Garamond"/>
          <w:sz w:val="22"/>
          <w:szCs w:val="22"/>
        </w:rPr>
        <w:t>in 2019 is estimated in the range of 4</w:t>
      </w:r>
      <w:r w:rsidR="00DC5586" w:rsidRPr="00EE5F0F">
        <w:rPr>
          <w:rFonts w:ascii="Garamond" w:hAnsi="Garamond"/>
          <w:sz w:val="22"/>
          <w:szCs w:val="22"/>
        </w:rPr>
        <w:t>.0-</w:t>
      </w:r>
      <w:r w:rsidR="00DC5586">
        <w:rPr>
          <w:rFonts w:ascii="Garamond" w:hAnsi="Garamond"/>
          <w:sz w:val="22"/>
          <w:szCs w:val="22"/>
        </w:rPr>
        <w:t>6</w:t>
      </w:r>
      <w:r w:rsidR="00DC5586" w:rsidRPr="00EE5F0F">
        <w:rPr>
          <w:rFonts w:ascii="Garamond" w:hAnsi="Garamond"/>
          <w:sz w:val="22"/>
          <w:szCs w:val="22"/>
        </w:rPr>
        <w:t>.0%</w:t>
      </w:r>
      <w:r w:rsidR="00DC5586">
        <w:rPr>
          <w:rFonts w:ascii="Garamond" w:hAnsi="Garamond"/>
          <w:sz w:val="22"/>
          <w:szCs w:val="22"/>
        </w:rPr>
        <w:t>.</w:t>
      </w:r>
      <w:r w:rsidR="001C139D">
        <w:rPr>
          <w:rFonts w:ascii="Garamond" w:hAnsi="Garamond"/>
          <w:sz w:val="22"/>
          <w:szCs w:val="22"/>
        </w:rPr>
        <w:t xml:space="preserve"> </w:t>
      </w:r>
    </w:p>
    <w:p w14:paraId="14026E25" w14:textId="77777777" w:rsidR="0058304F" w:rsidRDefault="000909C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growth of </w:t>
      </w:r>
      <w:r w:rsidR="0058304F">
        <w:rPr>
          <w:rFonts w:ascii="Garamond" w:hAnsi="Garamond"/>
          <w:sz w:val="22"/>
          <w:szCs w:val="22"/>
        </w:rPr>
        <w:t xml:space="preserve">net </w:t>
      </w:r>
      <w:r>
        <w:rPr>
          <w:rFonts w:ascii="Garamond" w:hAnsi="Garamond"/>
          <w:sz w:val="22"/>
          <w:szCs w:val="22"/>
        </w:rPr>
        <w:t>inflow of remittances</w:t>
      </w:r>
      <w:r w:rsidR="0058304F">
        <w:rPr>
          <w:rFonts w:ascii="Garamond" w:hAnsi="Garamond"/>
          <w:sz w:val="22"/>
          <w:szCs w:val="22"/>
        </w:rPr>
        <w:t xml:space="preserve"> </w:t>
      </w:r>
      <w:r w:rsidR="00BA7329">
        <w:rPr>
          <w:rFonts w:ascii="Garamond" w:hAnsi="Garamond"/>
          <w:sz w:val="22"/>
          <w:szCs w:val="22"/>
        </w:rPr>
        <w:t>in</w:t>
      </w:r>
      <w:r w:rsidR="0058304F">
        <w:rPr>
          <w:rFonts w:ascii="Garamond" w:hAnsi="Garamond"/>
          <w:sz w:val="22"/>
          <w:szCs w:val="22"/>
        </w:rPr>
        <w:t xml:space="preserve"> 2019</w:t>
      </w:r>
      <w:r>
        <w:rPr>
          <w:rFonts w:ascii="Garamond" w:hAnsi="Garamond"/>
          <w:sz w:val="22"/>
          <w:szCs w:val="22"/>
        </w:rPr>
        <w:t xml:space="preserve"> </w:t>
      </w:r>
      <w:r w:rsidR="006A3761">
        <w:rPr>
          <w:rFonts w:ascii="Garamond" w:hAnsi="Garamond"/>
          <w:sz w:val="22"/>
          <w:szCs w:val="22"/>
        </w:rPr>
        <w:t xml:space="preserve">is estimated within 0.0-2.0%. </w:t>
      </w:r>
    </w:p>
    <w:p w14:paraId="3C485091" w14:textId="77777777" w:rsidR="006A3761" w:rsidRDefault="00167660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>As a result of the aforementioned developments, the curr</w:t>
      </w:r>
      <w:r w:rsidR="006A3761">
        <w:rPr>
          <w:rFonts w:ascii="Garamond" w:hAnsi="Garamond"/>
          <w:sz w:val="22"/>
          <w:szCs w:val="22"/>
        </w:rPr>
        <w:t xml:space="preserve">ent account deficit-to-GDP </w:t>
      </w:r>
      <w:r w:rsidR="00C33234">
        <w:rPr>
          <w:rFonts w:ascii="Garamond" w:hAnsi="Garamond"/>
          <w:sz w:val="22"/>
          <w:szCs w:val="22"/>
        </w:rPr>
        <w:t xml:space="preserve">ratio </w:t>
      </w:r>
      <w:r w:rsidRPr="00EE5F0F">
        <w:rPr>
          <w:rFonts w:ascii="Garamond" w:hAnsi="Garamond"/>
          <w:sz w:val="22"/>
          <w:szCs w:val="22"/>
        </w:rPr>
        <w:t xml:space="preserve">will </w:t>
      </w:r>
      <w:r w:rsidR="00BA7329">
        <w:rPr>
          <w:rFonts w:ascii="Garamond" w:hAnsi="Garamond"/>
          <w:sz w:val="22"/>
          <w:szCs w:val="22"/>
        </w:rPr>
        <w:t xml:space="preserve">persist </w:t>
      </w:r>
      <w:r w:rsidR="001C139D">
        <w:rPr>
          <w:rFonts w:ascii="Garamond" w:hAnsi="Garamond"/>
          <w:sz w:val="22"/>
          <w:szCs w:val="22"/>
        </w:rPr>
        <w:t xml:space="preserve">within </w:t>
      </w:r>
      <w:r w:rsidR="00BA7329">
        <w:rPr>
          <w:rFonts w:ascii="Garamond" w:hAnsi="Garamond"/>
          <w:sz w:val="22"/>
          <w:szCs w:val="22"/>
        </w:rPr>
        <w:t xml:space="preserve">the previous forecast of </w:t>
      </w:r>
      <w:r w:rsidR="001C139D">
        <w:rPr>
          <w:rFonts w:ascii="Garamond" w:hAnsi="Garamond"/>
          <w:sz w:val="22"/>
          <w:szCs w:val="22"/>
        </w:rPr>
        <w:t>7</w:t>
      </w:r>
      <w:r w:rsidRPr="00EE5F0F">
        <w:rPr>
          <w:rFonts w:ascii="Garamond" w:hAnsi="Garamond"/>
          <w:sz w:val="22"/>
          <w:szCs w:val="22"/>
        </w:rPr>
        <w:t>.0-</w:t>
      </w:r>
      <w:r w:rsidR="001C139D">
        <w:rPr>
          <w:rFonts w:ascii="Garamond" w:hAnsi="Garamond"/>
          <w:sz w:val="22"/>
          <w:szCs w:val="22"/>
        </w:rPr>
        <w:t>8</w:t>
      </w:r>
      <w:r w:rsidRPr="00EE5F0F">
        <w:rPr>
          <w:rFonts w:ascii="Garamond" w:hAnsi="Garamond"/>
          <w:sz w:val="22"/>
          <w:szCs w:val="22"/>
        </w:rPr>
        <w:t>.0%.</w:t>
      </w:r>
      <w:r w:rsidR="004F233A">
        <w:rPr>
          <w:rFonts w:ascii="Garamond" w:hAnsi="Garamond"/>
          <w:sz w:val="22"/>
          <w:szCs w:val="22"/>
        </w:rPr>
        <w:t xml:space="preserve"> </w:t>
      </w:r>
    </w:p>
    <w:p w14:paraId="3D479D52" w14:textId="77777777" w:rsidR="006A3761" w:rsidRDefault="006A3761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2020 </w:t>
      </w:r>
      <w:r w:rsidR="00C33234" w:rsidRPr="00EE5F0F">
        <w:rPr>
          <w:rFonts w:ascii="Garamond" w:hAnsi="Garamond"/>
          <w:sz w:val="22"/>
          <w:szCs w:val="22"/>
        </w:rPr>
        <w:t>the curr</w:t>
      </w:r>
      <w:r w:rsidR="00C33234">
        <w:rPr>
          <w:rFonts w:ascii="Garamond" w:hAnsi="Garamond"/>
          <w:sz w:val="22"/>
          <w:szCs w:val="22"/>
        </w:rPr>
        <w:t>ent account deficit-to-GDP ratio</w:t>
      </w:r>
      <w:r w:rsidRPr="006A3761">
        <w:rPr>
          <w:rFonts w:ascii="Garamond" w:hAnsi="Garamond"/>
          <w:sz w:val="22"/>
          <w:szCs w:val="22"/>
        </w:rPr>
        <w:t xml:space="preserve"> will </w:t>
      </w:r>
      <w:r w:rsidR="00C33234">
        <w:rPr>
          <w:rFonts w:ascii="Garamond" w:hAnsi="Garamond"/>
          <w:sz w:val="22"/>
          <w:szCs w:val="22"/>
        </w:rPr>
        <w:t>incur a notable adjustment</w:t>
      </w:r>
      <w:r w:rsidRPr="006A3761">
        <w:rPr>
          <w:rFonts w:ascii="Garamond" w:hAnsi="Garamond"/>
          <w:sz w:val="22"/>
          <w:szCs w:val="22"/>
        </w:rPr>
        <w:t>, largely due to a significant reduction in car imports a</w:t>
      </w:r>
      <w:r w:rsidR="00C33234">
        <w:rPr>
          <w:rFonts w:ascii="Garamond" w:hAnsi="Garamond"/>
          <w:sz w:val="22"/>
          <w:szCs w:val="22"/>
        </w:rPr>
        <w:t xml:space="preserve">nd because </w:t>
      </w:r>
      <w:r w:rsidRPr="006A3761">
        <w:rPr>
          <w:rFonts w:ascii="Garamond" w:hAnsi="Garamond"/>
          <w:sz w:val="22"/>
          <w:szCs w:val="22"/>
        </w:rPr>
        <w:t>export growth rates</w:t>
      </w:r>
      <w:r w:rsidR="00C33234">
        <w:rPr>
          <w:rFonts w:ascii="Garamond" w:hAnsi="Garamond"/>
          <w:sz w:val="22"/>
          <w:szCs w:val="22"/>
        </w:rPr>
        <w:t xml:space="preserve"> remain strong</w:t>
      </w:r>
      <w:r w:rsidRPr="006A3761">
        <w:rPr>
          <w:rFonts w:ascii="Garamond" w:hAnsi="Garamond"/>
          <w:sz w:val="22"/>
          <w:szCs w:val="22"/>
        </w:rPr>
        <w:t xml:space="preserve">. At the same time, </w:t>
      </w:r>
      <w:r w:rsidR="00C33234">
        <w:rPr>
          <w:rFonts w:ascii="Garamond" w:hAnsi="Garamond"/>
          <w:sz w:val="22"/>
          <w:szCs w:val="22"/>
        </w:rPr>
        <w:t xml:space="preserve">the inflow of </w:t>
      </w:r>
      <w:r w:rsidRPr="006A3761">
        <w:rPr>
          <w:rFonts w:ascii="Garamond" w:hAnsi="Garamond"/>
          <w:sz w:val="22"/>
          <w:szCs w:val="22"/>
        </w:rPr>
        <w:t xml:space="preserve">remittances of individuals will </w:t>
      </w:r>
      <w:r w:rsidR="00C33234">
        <w:rPr>
          <w:rFonts w:ascii="Garamond" w:hAnsi="Garamond"/>
          <w:sz w:val="22"/>
          <w:szCs w:val="22"/>
        </w:rPr>
        <w:t xml:space="preserve">recover to be </w:t>
      </w:r>
      <w:r w:rsidRPr="006A3761">
        <w:rPr>
          <w:rFonts w:ascii="Garamond" w:hAnsi="Garamond"/>
          <w:sz w:val="22"/>
          <w:szCs w:val="22"/>
        </w:rPr>
        <w:t xml:space="preserve">in the range of 7.0-9.0%, which will be </w:t>
      </w:r>
      <w:r w:rsidR="00C33234">
        <w:rPr>
          <w:rFonts w:ascii="Garamond" w:hAnsi="Garamond"/>
          <w:sz w:val="22"/>
          <w:szCs w:val="22"/>
        </w:rPr>
        <w:t xml:space="preserve">determined by </w:t>
      </w:r>
      <w:r w:rsidRPr="006A3761">
        <w:rPr>
          <w:rFonts w:ascii="Garamond" w:hAnsi="Garamond"/>
          <w:sz w:val="22"/>
          <w:szCs w:val="22"/>
        </w:rPr>
        <w:t>pos</w:t>
      </w:r>
      <w:r w:rsidR="00C33234">
        <w:rPr>
          <w:rFonts w:ascii="Garamond" w:hAnsi="Garamond"/>
          <w:sz w:val="22"/>
          <w:szCs w:val="22"/>
        </w:rPr>
        <w:t>itive developments in the Russian e</w:t>
      </w:r>
      <w:r w:rsidRPr="006A3761">
        <w:rPr>
          <w:rFonts w:ascii="Garamond" w:hAnsi="Garamond"/>
          <w:sz w:val="22"/>
          <w:szCs w:val="22"/>
        </w:rPr>
        <w:t>conomy</w:t>
      </w:r>
      <w:r w:rsidR="00C33234">
        <w:rPr>
          <w:rFonts w:ascii="Garamond" w:hAnsi="Garamond"/>
          <w:sz w:val="22"/>
          <w:szCs w:val="22"/>
        </w:rPr>
        <w:t xml:space="preserve"> in 2020</w:t>
      </w:r>
      <w:r w:rsidRPr="006A3761">
        <w:rPr>
          <w:rFonts w:ascii="Garamond" w:hAnsi="Garamond"/>
          <w:sz w:val="22"/>
          <w:szCs w:val="22"/>
        </w:rPr>
        <w:t xml:space="preserve">. The real growth </w:t>
      </w:r>
      <w:r w:rsidR="00C33234">
        <w:rPr>
          <w:rFonts w:ascii="Garamond" w:hAnsi="Garamond"/>
          <w:sz w:val="22"/>
          <w:szCs w:val="22"/>
        </w:rPr>
        <w:t>of export</w:t>
      </w:r>
      <w:r w:rsidRPr="006A3761">
        <w:rPr>
          <w:rFonts w:ascii="Garamond" w:hAnsi="Garamond"/>
          <w:sz w:val="22"/>
          <w:szCs w:val="22"/>
        </w:rPr>
        <w:t xml:space="preserve"> of goods and services will be in the range of 6.0-8.0%, wh</w:t>
      </w:r>
      <w:r w:rsidR="00C33234">
        <w:rPr>
          <w:rFonts w:ascii="Garamond" w:hAnsi="Garamond"/>
          <w:sz w:val="22"/>
          <w:szCs w:val="22"/>
        </w:rPr>
        <w:t>ereas</w:t>
      </w:r>
      <w:r w:rsidRPr="006A3761">
        <w:rPr>
          <w:rFonts w:ascii="Garamond" w:hAnsi="Garamond"/>
          <w:sz w:val="22"/>
          <w:szCs w:val="22"/>
        </w:rPr>
        <w:t xml:space="preserve"> the </w:t>
      </w:r>
      <w:r w:rsidR="00C33234">
        <w:rPr>
          <w:rFonts w:ascii="Garamond" w:hAnsi="Garamond"/>
          <w:sz w:val="22"/>
          <w:szCs w:val="22"/>
        </w:rPr>
        <w:t xml:space="preserve">real </w:t>
      </w:r>
      <w:r w:rsidRPr="006A3761">
        <w:rPr>
          <w:rFonts w:ascii="Garamond" w:hAnsi="Garamond"/>
          <w:sz w:val="22"/>
          <w:szCs w:val="22"/>
        </w:rPr>
        <w:t xml:space="preserve">import of goods and services is </w:t>
      </w:r>
      <w:r w:rsidR="00C33234">
        <w:rPr>
          <w:rFonts w:ascii="Garamond" w:hAnsi="Garamond"/>
          <w:sz w:val="22"/>
          <w:szCs w:val="22"/>
        </w:rPr>
        <w:t xml:space="preserve">predicted to reduce to </w:t>
      </w:r>
      <w:r w:rsidRPr="006A3761">
        <w:rPr>
          <w:rFonts w:ascii="Garamond" w:hAnsi="Garamond"/>
          <w:sz w:val="22"/>
          <w:szCs w:val="22"/>
        </w:rPr>
        <w:t>the range of 0.0-3.0%.</w:t>
      </w:r>
    </w:p>
    <w:p w14:paraId="7F6B3A09" w14:textId="77777777" w:rsidR="00C02DF1" w:rsidRDefault="00C02DF1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C02DF1">
        <w:rPr>
          <w:rFonts w:ascii="Garamond" w:hAnsi="Garamond"/>
          <w:sz w:val="22"/>
          <w:szCs w:val="22"/>
        </w:rPr>
        <w:lastRenderedPageBreak/>
        <w:t xml:space="preserve">In the light of these forecasts for 2020, </w:t>
      </w:r>
      <w:r w:rsidRPr="00EE5F0F">
        <w:rPr>
          <w:rFonts w:ascii="Garamond" w:hAnsi="Garamond"/>
          <w:sz w:val="22"/>
          <w:szCs w:val="22"/>
        </w:rPr>
        <w:t>the curr</w:t>
      </w:r>
      <w:r>
        <w:rPr>
          <w:rFonts w:ascii="Garamond" w:hAnsi="Garamond"/>
          <w:sz w:val="22"/>
          <w:szCs w:val="22"/>
        </w:rPr>
        <w:t>ent account deficit-to-GDP ratio</w:t>
      </w:r>
      <w:r w:rsidRPr="00C02DF1">
        <w:rPr>
          <w:rFonts w:ascii="Garamond" w:hAnsi="Garamond"/>
          <w:sz w:val="22"/>
          <w:szCs w:val="22"/>
        </w:rPr>
        <w:t xml:space="preserve"> will be in the range of 4.0-6.0%.</w:t>
      </w:r>
    </w:p>
    <w:p w14:paraId="4F9E7703" w14:textId="77777777" w:rsidR="00167660" w:rsidRPr="00EE5F0F" w:rsidRDefault="004F233A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the medium run, </w:t>
      </w:r>
      <w:r w:rsidR="001257C7">
        <w:rPr>
          <w:rFonts w:ascii="Garamond" w:hAnsi="Garamond"/>
          <w:sz w:val="22"/>
          <w:szCs w:val="22"/>
        </w:rPr>
        <w:t xml:space="preserve">if </w:t>
      </w:r>
      <w:r w:rsidR="00C02DF1">
        <w:rPr>
          <w:rFonts w:ascii="Garamond" w:hAnsi="Garamond"/>
          <w:sz w:val="22"/>
          <w:szCs w:val="22"/>
        </w:rPr>
        <w:t xml:space="preserve">supported </w:t>
      </w:r>
      <w:r w:rsidR="00102E11">
        <w:rPr>
          <w:rFonts w:ascii="Garamond" w:hAnsi="Garamond"/>
          <w:sz w:val="22"/>
          <w:szCs w:val="22"/>
        </w:rPr>
        <w:t xml:space="preserve">by a </w:t>
      </w:r>
      <w:r w:rsidR="0058304F">
        <w:rPr>
          <w:rFonts w:ascii="Garamond" w:hAnsi="Garamond"/>
          <w:sz w:val="22"/>
          <w:szCs w:val="22"/>
        </w:rPr>
        <w:t xml:space="preserve">faster </w:t>
      </w:r>
      <w:r w:rsidR="00102E11" w:rsidRPr="00102E11">
        <w:rPr>
          <w:rFonts w:ascii="Garamond" w:hAnsi="Garamond"/>
          <w:sz w:val="22"/>
          <w:szCs w:val="22"/>
        </w:rPr>
        <w:t>growth of export</w:t>
      </w:r>
      <w:r w:rsidR="00102E11">
        <w:rPr>
          <w:rFonts w:ascii="Garamond" w:hAnsi="Garamond"/>
          <w:sz w:val="22"/>
          <w:szCs w:val="22"/>
        </w:rPr>
        <w:t>,</w:t>
      </w:r>
      <w:r w:rsidR="00102E11" w:rsidRPr="00102E11">
        <w:rPr>
          <w:rFonts w:ascii="Garamond" w:hAnsi="Garamond"/>
          <w:sz w:val="22"/>
          <w:szCs w:val="22"/>
        </w:rPr>
        <w:t xml:space="preserve"> </w:t>
      </w:r>
      <w:r w:rsidR="00C02DF1" w:rsidRPr="00EE5F0F">
        <w:rPr>
          <w:rFonts w:ascii="Garamond" w:hAnsi="Garamond"/>
          <w:sz w:val="22"/>
          <w:szCs w:val="22"/>
        </w:rPr>
        <w:t>the curr</w:t>
      </w:r>
      <w:r w:rsidR="00C02DF1">
        <w:rPr>
          <w:rFonts w:ascii="Garamond" w:hAnsi="Garamond"/>
          <w:sz w:val="22"/>
          <w:szCs w:val="22"/>
        </w:rPr>
        <w:t>ent account deficit-to-GDP ratio</w:t>
      </w:r>
      <w:r w:rsidRPr="004F233A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will </w:t>
      </w:r>
      <w:r w:rsidR="001257C7">
        <w:rPr>
          <w:rFonts w:ascii="Garamond" w:hAnsi="Garamond"/>
          <w:sz w:val="22"/>
          <w:szCs w:val="22"/>
        </w:rPr>
        <w:t>stabilize within its estimated equilibrium of 3</w:t>
      </w:r>
      <w:r w:rsidR="001257C7" w:rsidRPr="00EE5F0F">
        <w:rPr>
          <w:rFonts w:ascii="Garamond" w:hAnsi="Garamond"/>
          <w:sz w:val="22"/>
          <w:szCs w:val="22"/>
        </w:rPr>
        <w:t>.0-</w:t>
      </w:r>
      <w:r w:rsidR="001257C7">
        <w:rPr>
          <w:rFonts w:ascii="Garamond" w:hAnsi="Garamond"/>
          <w:sz w:val="22"/>
          <w:szCs w:val="22"/>
        </w:rPr>
        <w:t>5</w:t>
      </w:r>
      <w:r w:rsidR="001257C7" w:rsidRPr="00EE5F0F">
        <w:rPr>
          <w:rFonts w:ascii="Garamond" w:hAnsi="Garamond"/>
          <w:sz w:val="22"/>
          <w:szCs w:val="22"/>
        </w:rPr>
        <w:t>.0%</w:t>
      </w:r>
      <w:r>
        <w:rPr>
          <w:rFonts w:ascii="Garamond" w:hAnsi="Garamond"/>
          <w:sz w:val="22"/>
          <w:szCs w:val="22"/>
        </w:rPr>
        <w:t>.</w:t>
      </w:r>
    </w:p>
    <w:p w14:paraId="0D487ECB" w14:textId="77777777" w:rsidR="00D25EB7" w:rsidRDefault="00EE619D" w:rsidP="00572A12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974358">
        <w:rPr>
          <w:rFonts w:ascii="Garamond" w:hAnsi="Garamond"/>
          <w:b/>
          <w:sz w:val="22"/>
          <w:szCs w:val="22"/>
        </w:rPr>
        <w:t>Fiscal policy:</w:t>
      </w:r>
      <w:r w:rsidRPr="00974358">
        <w:rPr>
          <w:rFonts w:ascii="Garamond" w:hAnsi="Garamond"/>
          <w:sz w:val="22"/>
          <w:szCs w:val="22"/>
        </w:rPr>
        <w:t xml:space="preserve"> </w:t>
      </w:r>
      <w:r w:rsidR="00974358">
        <w:rPr>
          <w:rFonts w:ascii="Garamond" w:hAnsi="Garamond"/>
          <w:sz w:val="22"/>
          <w:szCs w:val="22"/>
        </w:rPr>
        <w:t xml:space="preserve">The </w:t>
      </w:r>
      <w:r w:rsidR="00974358" w:rsidRPr="00D60B77">
        <w:rPr>
          <w:rFonts w:ascii="Garamond" w:hAnsi="Garamond"/>
          <w:b/>
          <w:sz w:val="22"/>
          <w:szCs w:val="22"/>
        </w:rPr>
        <w:t>fiscal policy’s impact</w:t>
      </w:r>
      <w:r w:rsidR="00974358">
        <w:rPr>
          <w:rFonts w:ascii="Garamond" w:hAnsi="Garamond"/>
          <w:sz w:val="22"/>
          <w:szCs w:val="22"/>
        </w:rPr>
        <w:t xml:space="preserve"> on aggregate demand </w:t>
      </w:r>
      <w:r w:rsidR="00D60B77">
        <w:rPr>
          <w:rFonts w:ascii="Garamond" w:hAnsi="Garamond"/>
          <w:sz w:val="22"/>
          <w:szCs w:val="22"/>
        </w:rPr>
        <w:t>in</w:t>
      </w:r>
      <w:r w:rsidR="004059B4">
        <w:rPr>
          <w:rFonts w:ascii="Garamond" w:hAnsi="Garamond"/>
          <w:sz w:val="22"/>
          <w:szCs w:val="22"/>
        </w:rPr>
        <w:t xml:space="preserve"> 2019</w:t>
      </w:r>
      <w:r w:rsidR="00974358">
        <w:rPr>
          <w:rFonts w:ascii="Garamond" w:hAnsi="Garamond"/>
          <w:sz w:val="22"/>
          <w:szCs w:val="22"/>
        </w:rPr>
        <w:t xml:space="preserve"> </w:t>
      </w:r>
      <w:r w:rsidR="004059B4">
        <w:rPr>
          <w:rFonts w:ascii="Garamond" w:hAnsi="Garamond"/>
          <w:sz w:val="22"/>
          <w:szCs w:val="22"/>
        </w:rPr>
        <w:t xml:space="preserve">was </w:t>
      </w:r>
      <w:r w:rsidR="00974358">
        <w:rPr>
          <w:rFonts w:ascii="Garamond" w:hAnsi="Garamond"/>
          <w:sz w:val="22"/>
          <w:szCs w:val="22"/>
        </w:rPr>
        <w:t xml:space="preserve">estimated </w:t>
      </w:r>
      <w:r w:rsidR="0032575D">
        <w:rPr>
          <w:rFonts w:ascii="Garamond" w:hAnsi="Garamond"/>
          <w:sz w:val="22"/>
          <w:szCs w:val="22"/>
        </w:rPr>
        <w:t xml:space="preserve">by the Central Bank </w:t>
      </w:r>
      <w:r w:rsidR="00974358">
        <w:rPr>
          <w:rFonts w:ascii="Garamond" w:hAnsi="Garamond"/>
          <w:sz w:val="22"/>
          <w:szCs w:val="22"/>
        </w:rPr>
        <w:t xml:space="preserve">using the </w:t>
      </w:r>
      <w:r w:rsidR="0032575D">
        <w:rPr>
          <w:rFonts w:ascii="Garamond" w:hAnsi="Garamond"/>
          <w:sz w:val="22"/>
          <w:szCs w:val="22"/>
        </w:rPr>
        <w:t>adjusted</w:t>
      </w:r>
      <w:r w:rsidR="0032575D">
        <w:rPr>
          <w:rStyle w:val="FootnoteReference"/>
          <w:rFonts w:ascii="Garamond" w:hAnsi="Garamond"/>
          <w:sz w:val="22"/>
          <w:szCs w:val="22"/>
        </w:rPr>
        <w:footnoteReference w:customMarkFollows="1" w:id="4"/>
        <w:t>6</w:t>
      </w:r>
      <w:r w:rsidR="00D238CB">
        <w:rPr>
          <w:rFonts w:ascii="Garamond" w:hAnsi="Garamond"/>
          <w:sz w:val="22"/>
          <w:szCs w:val="22"/>
        </w:rPr>
        <w:t xml:space="preserve"> </w:t>
      </w:r>
      <w:r w:rsidR="0032575D">
        <w:rPr>
          <w:rFonts w:ascii="Garamond" w:hAnsi="Garamond"/>
          <w:sz w:val="22"/>
          <w:szCs w:val="22"/>
        </w:rPr>
        <w:t>program of state budget and taking into account the actual developments.</w:t>
      </w:r>
    </w:p>
    <w:p w14:paraId="3134D6E9" w14:textId="77777777" w:rsidR="00D25EB7" w:rsidRDefault="008D3C4C" w:rsidP="00572A12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Tax revenues are</w:t>
      </w:r>
      <w:r w:rsidR="004059B4" w:rsidRPr="00AA72F6">
        <w:rPr>
          <w:rFonts w:ascii="Garamond" w:hAnsi="Garamond"/>
          <w:sz w:val="22"/>
          <w:szCs w:val="22"/>
        </w:rPr>
        <w:t xml:space="preserve"> </w:t>
      </w:r>
      <w:r w:rsidR="00ED0765">
        <w:rPr>
          <w:rFonts w:ascii="Garamond" w:hAnsi="Garamond"/>
          <w:sz w:val="22"/>
          <w:szCs w:val="22"/>
        </w:rPr>
        <w:t xml:space="preserve">expected </w:t>
      </w:r>
      <w:r w:rsidR="00CE375C" w:rsidRPr="00AA72F6">
        <w:rPr>
          <w:rFonts w:ascii="Garamond" w:hAnsi="Garamond"/>
          <w:sz w:val="22"/>
          <w:szCs w:val="22"/>
        </w:rPr>
        <w:t xml:space="preserve">to </w:t>
      </w:r>
      <w:r w:rsidR="00ED0765">
        <w:rPr>
          <w:rFonts w:ascii="Garamond" w:hAnsi="Garamond"/>
          <w:sz w:val="22"/>
          <w:szCs w:val="22"/>
        </w:rPr>
        <w:t>slightly fall behind t</w:t>
      </w:r>
      <w:r>
        <w:rPr>
          <w:rFonts w:ascii="Garamond" w:hAnsi="Garamond"/>
          <w:sz w:val="22"/>
          <w:szCs w:val="22"/>
        </w:rPr>
        <w:t xml:space="preserve">he </w:t>
      </w:r>
      <w:r w:rsidR="00ED0765">
        <w:rPr>
          <w:rFonts w:ascii="Garamond" w:hAnsi="Garamond"/>
          <w:sz w:val="22"/>
          <w:szCs w:val="22"/>
        </w:rPr>
        <w:t>adjusted p</w:t>
      </w:r>
      <w:r w:rsidR="009A543E">
        <w:rPr>
          <w:rFonts w:ascii="Garamond" w:hAnsi="Garamond"/>
          <w:sz w:val="22"/>
          <w:szCs w:val="22"/>
        </w:rPr>
        <w:t xml:space="preserve">lan </w:t>
      </w:r>
      <w:r w:rsidR="00ED0765">
        <w:rPr>
          <w:rFonts w:ascii="Garamond" w:hAnsi="Garamond"/>
          <w:sz w:val="22"/>
          <w:szCs w:val="22"/>
        </w:rPr>
        <w:t xml:space="preserve">by the Government, making up 98.3% against the performance, which has considered the </w:t>
      </w:r>
      <w:r w:rsidR="00ED0765" w:rsidRPr="00162176">
        <w:rPr>
          <w:rFonts w:ascii="Garamond" w:hAnsi="Garamond"/>
          <w:sz w:val="22"/>
          <w:szCs w:val="22"/>
        </w:rPr>
        <w:t>Government</w:t>
      </w:r>
      <w:r w:rsidR="00ED0765">
        <w:rPr>
          <w:rFonts w:ascii="Garamond" w:hAnsi="Garamond"/>
          <w:sz w:val="22"/>
          <w:szCs w:val="22"/>
        </w:rPr>
        <w:t xml:space="preserve">’s </w:t>
      </w:r>
      <w:r w:rsidR="00ED0765" w:rsidRPr="00162176">
        <w:rPr>
          <w:rFonts w:ascii="Garamond" w:hAnsi="Garamond"/>
          <w:sz w:val="22"/>
          <w:szCs w:val="22"/>
        </w:rPr>
        <w:t>deci</w:t>
      </w:r>
      <w:r w:rsidR="00ED0765">
        <w:rPr>
          <w:rFonts w:ascii="Garamond" w:hAnsi="Garamond"/>
          <w:sz w:val="22"/>
          <w:szCs w:val="22"/>
        </w:rPr>
        <w:t xml:space="preserve">sion </w:t>
      </w:r>
      <w:r w:rsidR="00ED0765" w:rsidRPr="00162176">
        <w:rPr>
          <w:rFonts w:ascii="Garamond" w:hAnsi="Garamond"/>
          <w:sz w:val="22"/>
          <w:szCs w:val="22"/>
        </w:rPr>
        <w:t>to re</w:t>
      </w:r>
      <w:r w:rsidR="00ED0765">
        <w:rPr>
          <w:rFonts w:ascii="Garamond" w:hAnsi="Garamond"/>
          <w:sz w:val="22"/>
          <w:szCs w:val="22"/>
        </w:rPr>
        <w:t>fund the e</w:t>
      </w:r>
      <w:r w:rsidR="00ED0765" w:rsidRPr="00162176">
        <w:rPr>
          <w:rFonts w:ascii="Garamond" w:hAnsi="Garamond"/>
          <w:sz w:val="22"/>
          <w:szCs w:val="22"/>
        </w:rPr>
        <w:t xml:space="preserve">conomic </w:t>
      </w:r>
      <w:r w:rsidR="00ED0765">
        <w:rPr>
          <w:rFonts w:ascii="Garamond" w:hAnsi="Garamond"/>
          <w:sz w:val="22"/>
          <w:szCs w:val="22"/>
        </w:rPr>
        <w:t xml:space="preserve">agents as much as AMD 56 billion as a </w:t>
      </w:r>
      <w:r w:rsidR="00ED0765" w:rsidRPr="00162176">
        <w:rPr>
          <w:rFonts w:ascii="Garamond" w:hAnsi="Garamond"/>
          <w:sz w:val="22"/>
          <w:szCs w:val="22"/>
        </w:rPr>
        <w:t xml:space="preserve">VAT debit balance </w:t>
      </w:r>
      <w:r w:rsidR="00ED0765">
        <w:rPr>
          <w:rFonts w:ascii="Garamond" w:hAnsi="Garamond"/>
          <w:sz w:val="22"/>
          <w:szCs w:val="22"/>
        </w:rPr>
        <w:t>that had accrued by</w:t>
      </w:r>
      <w:r w:rsidR="00ED0765" w:rsidRPr="00162176">
        <w:rPr>
          <w:rFonts w:ascii="Garamond" w:hAnsi="Garamond"/>
          <w:sz w:val="22"/>
          <w:szCs w:val="22"/>
        </w:rPr>
        <w:t xml:space="preserve"> July 1, 201</w:t>
      </w:r>
      <w:r w:rsidR="00ED0765">
        <w:rPr>
          <w:rFonts w:ascii="Garamond" w:hAnsi="Garamond"/>
          <w:sz w:val="22"/>
          <w:szCs w:val="22"/>
        </w:rPr>
        <w:t xml:space="preserve">7. In which event, </w:t>
      </w:r>
      <w:r w:rsidR="00ED0765" w:rsidRPr="00162176">
        <w:rPr>
          <w:rFonts w:ascii="Garamond" w:hAnsi="Garamond"/>
          <w:sz w:val="22"/>
          <w:szCs w:val="22"/>
        </w:rPr>
        <w:t xml:space="preserve">the </w:t>
      </w:r>
      <w:r w:rsidR="00ED0765">
        <w:rPr>
          <w:rFonts w:ascii="Garamond" w:hAnsi="Garamond"/>
          <w:sz w:val="22"/>
          <w:szCs w:val="22"/>
        </w:rPr>
        <w:t xml:space="preserve">2019 </w:t>
      </w:r>
      <w:r w:rsidR="00ED0765" w:rsidRPr="00162176">
        <w:rPr>
          <w:rFonts w:ascii="Garamond" w:hAnsi="Garamond"/>
          <w:sz w:val="22"/>
          <w:szCs w:val="22"/>
        </w:rPr>
        <w:t>tax</w:t>
      </w:r>
      <w:r w:rsidR="00ED0765">
        <w:rPr>
          <w:rFonts w:ascii="Garamond" w:hAnsi="Garamond"/>
          <w:sz w:val="22"/>
          <w:szCs w:val="22"/>
        </w:rPr>
        <w:t xml:space="preserve">-to-GDP ratio </w:t>
      </w:r>
      <w:r w:rsidR="00ED0765" w:rsidRPr="00162176">
        <w:rPr>
          <w:rFonts w:ascii="Garamond" w:hAnsi="Garamond"/>
          <w:sz w:val="22"/>
          <w:szCs w:val="22"/>
        </w:rPr>
        <w:t xml:space="preserve">will </w:t>
      </w:r>
      <w:r w:rsidR="00ED0765">
        <w:rPr>
          <w:rFonts w:ascii="Garamond" w:hAnsi="Garamond"/>
          <w:sz w:val="22"/>
          <w:szCs w:val="22"/>
        </w:rPr>
        <w:t xml:space="preserve">reach </w:t>
      </w:r>
      <w:r w:rsidR="00ED0765" w:rsidRPr="00162176">
        <w:rPr>
          <w:rFonts w:ascii="Garamond" w:hAnsi="Garamond"/>
          <w:sz w:val="22"/>
          <w:szCs w:val="22"/>
        </w:rPr>
        <w:t>2</w:t>
      </w:r>
      <w:r w:rsidR="00ED0765">
        <w:rPr>
          <w:rFonts w:ascii="Garamond" w:hAnsi="Garamond"/>
          <w:sz w:val="22"/>
          <w:szCs w:val="22"/>
        </w:rPr>
        <w:t>2</w:t>
      </w:r>
      <w:r w:rsidR="00ED0765" w:rsidRPr="00162176">
        <w:rPr>
          <w:rFonts w:ascii="Garamond" w:hAnsi="Garamond"/>
          <w:sz w:val="22"/>
          <w:szCs w:val="22"/>
        </w:rPr>
        <w:t>.</w:t>
      </w:r>
      <w:r w:rsidR="00ED0765">
        <w:rPr>
          <w:rFonts w:ascii="Garamond" w:hAnsi="Garamond"/>
          <w:sz w:val="22"/>
          <w:szCs w:val="22"/>
        </w:rPr>
        <w:t>2</w:t>
      </w:r>
      <w:r w:rsidR="00ED0765" w:rsidRPr="00162176">
        <w:rPr>
          <w:rFonts w:ascii="Garamond" w:hAnsi="Garamond"/>
          <w:sz w:val="22"/>
          <w:szCs w:val="22"/>
        </w:rPr>
        <w:t xml:space="preserve">%, </w:t>
      </w:r>
      <w:r w:rsidR="00ED0765">
        <w:rPr>
          <w:rFonts w:ascii="Garamond" w:hAnsi="Garamond"/>
          <w:sz w:val="22"/>
          <w:szCs w:val="22"/>
        </w:rPr>
        <w:t>up by 1</w:t>
      </w:r>
      <w:r w:rsidR="00ED0765" w:rsidRPr="00162176">
        <w:rPr>
          <w:rFonts w:ascii="Garamond" w:hAnsi="Garamond"/>
          <w:sz w:val="22"/>
          <w:szCs w:val="22"/>
        </w:rPr>
        <w:t>.</w:t>
      </w:r>
      <w:r w:rsidR="00ED0765">
        <w:rPr>
          <w:rFonts w:ascii="Garamond" w:hAnsi="Garamond"/>
          <w:sz w:val="22"/>
          <w:szCs w:val="22"/>
        </w:rPr>
        <w:t>3</w:t>
      </w:r>
      <w:r w:rsidR="00ED0765" w:rsidRPr="00162176">
        <w:rPr>
          <w:rFonts w:ascii="Garamond" w:hAnsi="Garamond"/>
          <w:sz w:val="22"/>
          <w:szCs w:val="22"/>
        </w:rPr>
        <w:t xml:space="preserve"> p</w:t>
      </w:r>
      <w:r w:rsidR="00ED0765">
        <w:rPr>
          <w:rFonts w:ascii="Garamond" w:hAnsi="Garamond"/>
          <w:sz w:val="22"/>
          <w:szCs w:val="22"/>
        </w:rPr>
        <w:t>p against the</w:t>
      </w:r>
      <w:r w:rsidR="00ED0765" w:rsidRPr="00162176">
        <w:rPr>
          <w:rFonts w:ascii="Garamond" w:hAnsi="Garamond"/>
          <w:sz w:val="22"/>
          <w:szCs w:val="22"/>
        </w:rPr>
        <w:t xml:space="preserve"> previous year</w:t>
      </w:r>
      <w:r w:rsidR="00ED0765">
        <w:rPr>
          <w:rFonts w:ascii="Garamond" w:hAnsi="Garamond"/>
          <w:sz w:val="22"/>
          <w:szCs w:val="22"/>
        </w:rPr>
        <w:t xml:space="preserve"> (up by 1</w:t>
      </w:r>
      <w:r w:rsidR="00ED0765" w:rsidRPr="00162176">
        <w:rPr>
          <w:rFonts w:ascii="Garamond" w:hAnsi="Garamond"/>
          <w:sz w:val="22"/>
          <w:szCs w:val="22"/>
        </w:rPr>
        <w:t>.</w:t>
      </w:r>
      <w:r w:rsidR="00ED0765">
        <w:rPr>
          <w:rFonts w:ascii="Garamond" w:hAnsi="Garamond"/>
          <w:sz w:val="22"/>
          <w:szCs w:val="22"/>
        </w:rPr>
        <w:t>6</w:t>
      </w:r>
      <w:r w:rsidR="00ED0765" w:rsidRPr="00162176">
        <w:rPr>
          <w:rFonts w:ascii="Garamond" w:hAnsi="Garamond"/>
          <w:sz w:val="22"/>
          <w:szCs w:val="22"/>
        </w:rPr>
        <w:t xml:space="preserve"> p</w:t>
      </w:r>
      <w:r w:rsidR="00ED0765">
        <w:rPr>
          <w:rFonts w:ascii="Garamond" w:hAnsi="Garamond"/>
          <w:sz w:val="22"/>
          <w:szCs w:val="22"/>
        </w:rPr>
        <w:t>p</w:t>
      </w:r>
      <w:r w:rsidR="00815EC3">
        <w:rPr>
          <w:rFonts w:ascii="Garamond" w:hAnsi="Garamond"/>
          <w:sz w:val="22"/>
          <w:szCs w:val="22"/>
        </w:rPr>
        <w:t xml:space="preserve">., exclusive of the </w:t>
      </w:r>
      <w:r w:rsidR="00815EC3" w:rsidRPr="00162176">
        <w:rPr>
          <w:rFonts w:ascii="Garamond" w:hAnsi="Garamond"/>
          <w:sz w:val="22"/>
          <w:szCs w:val="22"/>
        </w:rPr>
        <w:t>VAT debit balance</w:t>
      </w:r>
      <w:r w:rsidR="00ED0765">
        <w:rPr>
          <w:rFonts w:ascii="Garamond" w:hAnsi="Garamond"/>
          <w:sz w:val="22"/>
          <w:szCs w:val="22"/>
        </w:rPr>
        <w:t xml:space="preserve"> </w:t>
      </w:r>
      <w:r w:rsidR="00815EC3">
        <w:rPr>
          <w:rFonts w:ascii="Garamond" w:hAnsi="Garamond"/>
          <w:sz w:val="22"/>
          <w:szCs w:val="22"/>
        </w:rPr>
        <w:t>refund</w:t>
      </w:r>
      <w:r w:rsidR="00ED0765">
        <w:rPr>
          <w:rFonts w:ascii="Garamond" w:hAnsi="Garamond"/>
          <w:sz w:val="22"/>
          <w:szCs w:val="22"/>
        </w:rPr>
        <w:t>)</w:t>
      </w:r>
      <w:r w:rsidR="00ED0765" w:rsidRPr="00162176">
        <w:rPr>
          <w:rFonts w:ascii="Garamond" w:hAnsi="Garamond"/>
          <w:sz w:val="22"/>
          <w:szCs w:val="22"/>
        </w:rPr>
        <w:t>.</w:t>
      </w:r>
    </w:p>
    <w:p w14:paraId="53258614" w14:textId="77777777" w:rsidR="00632A26" w:rsidRDefault="00815EC3" w:rsidP="00572A12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Given the actual developments, the first nine months’ </w:t>
      </w:r>
      <w:r w:rsidR="00B64E2F">
        <w:rPr>
          <w:rFonts w:ascii="Garamond" w:hAnsi="Garamond"/>
          <w:sz w:val="22"/>
          <w:szCs w:val="22"/>
        </w:rPr>
        <w:t>public expenditures</w:t>
      </w:r>
      <w:r>
        <w:rPr>
          <w:rFonts w:ascii="Garamond" w:hAnsi="Garamond"/>
          <w:sz w:val="22"/>
          <w:szCs w:val="22"/>
        </w:rPr>
        <w:t xml:space="preserve"> totaled 82.5% of the adjusted p</w:t>
      </w:r>
      <w:r w:rsidR="009A543E">
        <w:rPr>
          <w:rFonts w:ascii="Garamond" w:hAnsi="Garamond"/>
          <w:sz w:val="22"/>
          <w:szCs w:val="22"/>
        </w:rPr>
        <w:t>lan</w:t>
      </w:r>
      <w:r w:rsidR="00B64E2F">
        <w:rPr>
          <w:rFonts w:ascii="Garamond" w:hAnsi="Garamond"/>
          <w:sz w:val="22"/>
          <w:szCs w:val="22"/>
        </w:rPr>
        <w:t>,</w:t>
      </w:r>
      <w:r w:rsidR="009A543E">
        <w:rPr>
          <w:rFonts w:ascii="Garamond" w:hAnsi="Garamond"/>
          <w:sz w:val="22"/>
          <w:szCs w:val="22"/>
        </w:rPr>
        <w:t xml:space="preserve"> with 5.3% (nearly AMD 90.0 billion) underperformed, </w:t>
      </w:r>
      <w:r w:rsidR="009A543E" w:rsidRPr="009A543E">
        <w:rPr>
          <w:rFonts w:ascii="Garamond" w:hAnsi="Garamond"/>
          <w:sz w:val="22"/>
          <w:szCs w:val="22"/>
        </w:rPr>
        <w:t xml:space="preserve">which is slightly </w:t>
      </w:r>
      <w:r w:rsidR="009A543E">
        <w:rPr>
          <w:rFonts w:ascii="Garamond" w:hAnsi="Garamond"/>
          <w:sz w:val="22"/>
          <w:szCs w:val="22"/>
        </w:rPr>
        <w:t xml:space="preserve">above </w:t>
      </w:r>
      <w:r w:rsidR="009A543E" w:rsidRPr="009A543E">
        <w:rPr>
          <w:rFonts w:ascii="Garamond" w:hAnsi="Garamond"/>
          <w:sz w:val="22"/>
          <w:szCs w:val="22"/>
        </w:rPr>
        <w:t xml:space="preserve">the </w:t>
      </w:r>
      <w:r w:rsidR="009A543E">
        <w:rPr>
          <w:rFonts w:ascii="Garamond" w:hAnsi="Garamond"/>
          <w:sz w:val="22"/>
          <w:szCs w:val="22"/>
        </w:rPr>
        <w:t xml:space="preserve">projection outlined </w:t>
      </w:r>
      <w:r w:rsidR="009A543E" w:rsidRPr="009A543E">
        <w:rPr>
          <w:rFonts w:ascii="Garamond" w:hAnsi="Garamond"/>
          <w:sz w:val="22"/>
          <w:szCs w:val="22"/>
        </w:rPr>
        <w:t>in the previous p</w:t>
      </w:r>
      <w:r w:rsidR="009A543E">
        <w:rPr>
          <w:rFonts w:ascii="Garamond" w:hAnsi="Garamond"/>
          <w:sz w:val="22"/>
          <w:szCs w:val="22"/>
        </w:rPr>
        <w:t xml:space="preserve">lan. </w:t>
      </w:r>
      <w:r w:rsidR="00632A26" w:rsidRPr="00632A26">
        <w:rPr>
          <w:rFonts w:ascii="Garamond" w:hAnsi="Garamond"/>
          <w:sz w:val="22"/>
          <w:szCs w:val="22"/>
        </w:rPr>
        <w:t>The expenditure</w:t>
      </w:r>
      <w:r w:rsidR="00111FBD">
        <w:rPr>
          <w:rFonts w:ascii="Garamond" w:hAnsi="Garamond"/>
          <w:sz w:val="22"/>
          <w:szCs w:val="22"/>
        </w:rPr>
        <w:t>-to-</w:t>
      </w:r>
      <w:r w:rsidR="00632A26" w:rsidRPr="00632A26">
        <w:rPr>
          <w:rFonts w:ascii="Garamond" w:hAnsi="Garamond"/>
          <w:sz w:val="22"/>
          <w:szCs w:val="22"/>
        </w:rPr>
        <w:t xml:space="preserve">GDP ratio </w:t>
      </w:r>
      <w:r w:rsidR="009A543E">
        <w:rPr>
          <w:rFonts w:ascii="Garamond" w:hAnsi="Garamond"/>
          <w:sz w:val="22"/>
          <w:szCs w:val="22"/>
        </w:rPr>
        <w:t xml:space="preserve">for the year </w:t>
      </w:r>
      <w:r w:rsidR="00632A26" w:rsidRPr="00632A26">
        <w:rPr>
          <w:rFonts w:ascii="Garamond" w:hAnsi="Garamond"/>
          <w:sz w:val="22"/>
          <w:szCs w:val="22"/>
        </w:rPr>
        <w:t xml:space="preserve">will </w:t>
      </w:r>
      <w:r w:rsidR="009A543E">
        <w:rPr>
          <w:rFonts w:ascii="Garamond" w:hAnsi="Garamond"/>
          <w:sz w:val="22"/>
          <w:szCs w:val="22"/>
        </w:rPr>
        <w:t xml:space="preserve">reach </w:t>
      </w:r>
      <w:r w:rsidR="00632A26" w:rsidRPr="00632A26">
        <w:rPr>
          <w:rFonts w:ascii="Garamond" w:hAnsi="Garamond"/>
          <w:sz w:val="22"/>
          <w:szCs w:val="22"/>
        </w:rPr>
        <w:t>2</w:t>
      </w:r>
      <w:r w:rsidR="009A543E">
        <w:rPr>
          <w:rFonts w:ascii="Garamond" w:hAnsi="Garamond"/>
          <w:sz w:val="22"/>
          <w:szCs w:val="22"/>
        </w:rPr>
        <w:t>4</w:t>
      </w:r>
      <w:r w:rsidR="00632A26" w:rsidRPr="00632A26">
        <w:rPr>
          <w:rFonts w:ascii="Garamond" w:hAnsi="Garamond"/>
          <w:sz w:val="22"/>
          <w:szCs w:val="22"/>
        </w:rPr>
        <w:t>.</w:t>
      </w:r>
      <w:r w:rsidR="009A543E">
        <w:rPr>
          <w:rFonts w:ascii="Garamond" w:hAnsi="Garamond"/>
          <w:sz w:val="22"/>
          <w:szCs w:val="22"/>
        </w:rPr>
        <w:t>5</w:t>
      </w:r>
      <w:r w:rsidR="00632A26" w:rsidRPr="00632A26">
        <w:rPr>
          <w:rFonts w:ascii="Garamond" w:hAnsi="Garamond"/>
          <w:sz w:val="22"/>
          <w:szCs w:val="22"/>
        </w:rPr>
        <w:t xml:space="preserve">%, </w:t>
      </w:r>
      <w:r w:rsidR="00111FBD">
        <w:rPr>
          <w:rFonts w:ascii="Garamond" w:hAnsi="Garamond"/>
          <w:sz w:val="22"/>
          <w:szCs w:val="22"/>
        </w:rPr>
        <w:t xml:space="preserve">up by </w:t>
      </w:r>
      <w:r w:rsidR="009A543E">
        <w:rPr>
          <w:rFonts w:ascii="Garamond" w:hAnsi="Garamond"/>
          <w:sz w:val="22"/>
          <w:szCs w:val="22"/>
        </w:rPr>
        <w:t>1</w:t>
      </w:r>
      <w:r w:rsidR="00632A26" w:rsidRPr="00632A26">
        <w:rPr>
          <w:rFonts w:ascii="Garamond" w:hAnsi="Garamond"/>
          <w:sz w:val="22"/>
          <w:szCs w:val="22"/>
        </w:rPr>
        <w:t>.</w:t>
      </w:r>
      <w:r w:rsidR="009A543E">
        <w:rPr>
          <w:rFonts w:ascii="Garamond" w:hAnsi="Garamond"/>
          <w:sz w:val="22"/>
          <w:szCs w:val="22"/>
        </w:rPr>
        <w:t>1</w:t>
      </w:r>
      <w:r w:rsidR="00632A26" w:rsidRPr="00632A26">
        <w:rPr>
          <w:rFonts w:ascii="Garamond" w:hAnsi="Garamond"/>
          <w:sz w:val="22"/>
          <w:szCs w:val="22"/>
        </w:rPr>
        <w:t xml:space="preserve"> p</w:t>
      </w:r>
      <w:r w:rsidR="00111FBD">
        <w:rPr>
          <w:rFonts w:ascii="Garamond" w:hAnsi="Garamond"/>
          <w:sz w:val="22"/>
          <w:szCs w:val="22"/>
        </w:rPr>
        <w:t>p relative to</w:t>
      </w:r>
      <w:r w:rsidR="00632A26" w:rsidRPr="00632A26">
        <w:rPr>
          <w:rFonts w:ascii="Garamond" w:hAnsi="Garamond"/>
          <w:sz w:val="22"/>
          <w:szCs w:val="22"/>
        </w:rPr>
        <w:t xml:space="preserve"> the previous year.</w:t>
      </w:r>
    </w:p>
    <w:p w14:paraId="61959A82" w14:textId="77777777" w:rsidR="00111FBD" w:rsidRDefault="00086741" w:rsidP="00572A12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086741">
        <w:rPr>
          <w:rFonts w:ascii="Garamond" w:hAnsi="Garamond"/>
          <w:sz w:val="22"/>
          <w:szCs w:val="22"/>
        </w:rPr>
        <w:t xml:space="preserve">According to </w:t>
      </w:r>
      <w:r>
        <w:rPr>
          <w:rFonts w:ascii="Garamond" w:hAnsi="Garamond"/>
          <w:sz w:val="22"/>
          <w:szCs w:val="22"/>
        </w:rPr>
        <w:t xml:space="preserve">a </w:t>
      </w:r>
      <w:r w:rsidRPr="00086741">
        <w:rPr>
          <w:rFonts w:ascii="Garamond" w:hAnsi="Garamond"/>
          <w:sz w:val="22"/>
          <w:szCs w:val="22"/>
        </w:rPr>
        <w:t xml:space="preserve">preliminary assessment </w:t>
      </w:r>
      <w:r w:rsidR="00B775CF">
        <w:rPr>
          <w:rFonts w:ascii="Garamond" w:hAnsi="Garamond"/>
          <w:sz w:val="22"/>
          <w:szCs w:val="22"/>
        </w:rPr>
        <w:t xml:space="preserve">by </w:t>
      </w:r>
      <w:r w:rsidR="006C45C5">
        <w:rPr>
          <w:rFonts w:ascii="Garamond" w:hAnsi="Garamond"/>
          <w:sz w:val="22"/>
          <w:szCs w:val="22"/>
        </w:rPr>
        <w:t xml:space="preserve">the </w:t>
      </w:r>
      <w:r w:rsidRPr="00086741">
        <w:rPr>
          <w:rFonts w:ascii="Garamond" w:hAnsi="Garamond"/>
          <w:sz w:val="22"/>
          <w:szCs w:val="22"/>
        </w:rPr>
        <w:t>Central Bank</w:t>
      </w:r>
      <w:r>
        <w:rPr>
          <w:rFonts w:ascii="Garamond" w:hAnsi="Garamond"/>
          <w:sz w:val="22"/>
          <w:szCs w:val="22"/>
        </w:rPr>
        <w:t>, t</w:t>
      </w:r>
      <w:r w:rsidR="00CB568C" w:rsidRPr="00CB568C">
        <w:rPr>
          <w:rFonts w:ascii="Garamond" w:hAnsi="Garamond"/>
          <w:sz w:val="22"/>
          <w:szCs w:val="22"/>
        </w:rPr>
        <w:t xml:space="preserve">he </w:t>
      </w:r>
      <w:r>
        <w:rPr>
          <w:rFonts w:ascii="Garamond" w:hAnsi="Garamond"/>
          <w:sz w:val="22"/>
          <w:szCs w:val="22"/>
        </w:rPr>
        <w:t>b</w:t>
      </w:r>
      <w:r w:rsidRPr="00111FBD">
        <w:rPr>
          <w:rFonts w:ascii="Garamond" w:hAnsi="Garamond"/>
          <w:sz w:val="22"/>
          <w:szCs w:val="22"/>
        </w:rPr>
        <w:t>udget deficit</w:t>
      </w:r>
      <w:r>
        <w:rPr>
          <w:rFonts w:ascii="Garamond" w:hAnsi="Garamond"/>
          <w:sz w:val="22"/>
          <w:szCs w:val="22"/>
        </w:rPr>
        <w:t>-to-GDP</w:t>
      </w:r>
      <w:r w:rsidR="00CB568C" w:rsidRPr="00CB568C">
        <w:rPr>
          <w:rFonts w:ascii="Garamond" w:hAnsi="Garamond"/>
          <w:sz w:val="22"/>
          <w:szCs w:val="22"/>
        </w:rPr>
        <w:t xml:space="preserve"> ratio </w:t>
      </w:r>
      <w:r>
        <w:rPr>
          <w:rFonts w:ascii="Garamond" w:hAnsi="Garamond"/>
          <w:sz w:val="22"/>
          <w:szCs w:val="22"/>
        </w:rPr>
        <w:t xml:space="preserve">in 2019 </w:t>
      </w:r>
      <w:r w:rsidR="00CB568C" w:rsidRPr="00CB568C">
        <w:rPr>
          <w:rFonts w:ascii="Garamond" w:hAnsi="Garamond"/>
          <w:sz w:val="22"/>
          <w:szCs w:val="22"/>
        </w:rPr>
        <w:t xml:space="preserve">will </w:t>
      </w:r>
      <w:r w:rsidR="002C3E87">
        <w:rPr>
          <w:rFonts w:ascii="Garamond" w:hAnsi="Garamond"/>
          <w:sz w:val="22"/>
          <w:szCs w:val="22"/>
        </w:rPr>
        <w:t xml:space="preserve">amount to </w:t>
      </w:r>
      <w:r>
        <w:rPr>
          <w:rFonts w:ascii="Garamond" w:hAnsi="Garamond"/>
          <w:sz w:val="22"/>
          <w:szCs w:val="22"/>
        </w:rPr>
        <w:t>1</w:t>
      </w:r>
      <w:r w:rsidR="00CB568C" w:rsidRPr="00CB568C">
        <w:rPr>
          <w:rFonts w:ascii="Garamond" w:hAnsi="Garamond"/>
          <w:sz w:val="22"/>
          <w:szCs w:val="22"/>
        </w:rPr>
        <w:t>.</w:t>
      </w:r>
      <w:r w:rsidR="00B775CF">
        <w:rPr>
          <w:rFonts w:ascii="Garamond" w:hAnsi="Garamond"/>
          <w:sz w:val="22"/>
          <w:szCs w:val="22"/>
        </w:rPr>
        <w:t>7</w:t>
      </w:r>
      <w:r w:rsidR="00CB568C" w:rsidRPr="00CB568C">
        <w:rPr>
          <w:rFonts w:ascii="Garamond" w:hAnsi="Garamond"/>
          <w:sz w:val="22"/>
          <w:szCs w:val="22"/>
        </w:rPr>
        <w:t>%</w:t>
      </w:r>
      <w:r w:rsidR="002C3E87" w:rsidRPr="00111FBD">
        <w:rPr>
          <w:rFonts w:ascii="Garamond" w:hAnsi="Garamond"/>
          <w:sz w:val="22"/>
          <w:szCs w:val="22"/>
        </w:rPr>
        <w:t>.</w:t>
      </w:r>
      <w:r w:rsidR="002C3E87">
        <w:rPr>
          <w:rFonts w:ascii="Garamond" w:hAnsi="Garamond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391B6F" w:rsidRPr="00AB24C1" w14:paraId="3E5CB1C1" w14:textId="77777777" w:rsidTr="00A81141">
        <w:tc>
          <w:tcPr>
            <w:tcW w:w="6204" w:type="dxa"/>
          </w:tcPr>
          <w:p w14:paraId="435566FC" w14:textId="77777777" w:rsidR="00391B6F" w:rsidRPr="002A4151" w:rsidRDefault="00391B6F" w:rsidP="00391B6F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 w:rsidRPr="002A4151">
              <w:rPr>
                <w:rFonts w:ascii="Garamond" w:hAnsi="Garamond"/>
                <w:color w:val="0070C0"/>
                <w:sz w:val="20"/>
                <w:szCs w:val="20"/>
              </w:rPr>
              <w:t>In 2019, relative to 2018, the fiscal policy’s imp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ulse </w:t>
            </w:r>
            <w:r w:rsidRPr="002A4151">
              <w:rPr>
                <w:rFonts w:ascii="Garamond" w:hAnsi="Garamond"/>
                <w:color w:val="0070C0"/>
                <w:sz w:val="20"/>
                <w:szCs w:val="20"/>
              </w:rPr>
              <w:t>on agg</w:t>
            </w:r>
            <w:r w:rsidR="000A3F4A">
              <w:rPr>
                <w:rFonts w:ascii="Garamond" w:hAnsi="Garamond"/>
                <w:color w:val="0070C0"/>
                <w:sz w:val="20"/>
                <w:szCs w:val="20"/>
              </w:rPr>
              <w:t xml:space="preserve">regate demand is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>estimated 0.5 pp contractionary</w:t>
            </w:r>
            <w:r w:rsidRPr="002A4151">
              <w:rPr>
                <w:rFonts w:ascii="Garamond" w:hAnsi="Garamond"/>
                <w:color w:val="0070C0"/>
                <w:sz w:val="20"/>
                <w:szCs w:val="20"/>
              </w:rPr>
              <w:t>.</w:t>
            </w:r>
          </w:p>
        </w:tc>
      </w:tr>
    </w:tbl>
    <w:p w14:paraId="051C1BA6" w14:textId="77777777" w:rsidR="00B775CF" w:rsidRDefault="00B775CF" w:rsidP="00391B6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225D5D50" w14:textId="77777777" w:rsidR="00B775CF" w:rsidRDefault="00B775CF" w:rsidP="00391B6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Considering the above </w:t>
      </w:r>
      <w:r w:rsidRPr="00C86ABF">
        <w:rPr>
          <w:rFonts w:ascii="Garamond" w:hAnsi="Garamond"/>
          <w:sz w:val="22"/>
          <w:szCs w:val="22"/>
        </w:rPr>
        <w:t xml:space="preserve">tax and expenditure </w:t>
      </w:r>
      <w:r>
        <w:rPr>
          <w:rFonts w:ascii="Garamond" w:hAnsi="Garamond"/>
          <w:sz w:val="22"/>
          <w:szCs w:val="22"/>
        </w:rPr>
        <w:t xml:space="preserve">projections and the </w:t>
      </w:r>
      <w:r w:rsidRPr="00C86ABF">
        <w:rPr>
          <w:rFonts w:ascii="Garamond" w:hAnsi="Garamond"/>
          <w:sz w:val="22"/>
          <w:szCs w:val="22"/>
        </w:rPr>
        <w:t>public expenditure and revenue</w:t>
      </w:r>
      <w:r>
        <w:rPr>
          <w:rFonts w:ascii="Garamond" w:hAnsi="Garamond"/>
          <w:sz w:val="22"/>
          <w:szCs w:val="22"/>
        </w:rPr>
        <w:t xml:space="preserve"> figures,</w:t>
      </w:r>
      <w:r w:rsidRPr="00C86AB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net of one-off streams</w:t>
      </w:r>
      <w:r w:rsidR="000A3F4A">
        <w:rPr>
          <w:rFonts w:ascii="Garamond" w:hAnsi="Garamond"/>
          <w:sz w:val="22"/>
          <w:szCs w:val="22"/>
        </w:rPr>
        <w:t xml:space="preserve"> </w:t>
      </w:r>
      <w:r w:rsidR="00F37F58">
        <w:rPr>
          <w:rFonts w:ascii="Garamond" w:hAnsi="Garamond"/>
          <w:sz w:val="22"/>
          <w:szCs w:val="22"/>
        </w:rPr>
        <w:t xml:space="preserve">that do not </w:t>
      </w:r>
      <w:r w:rsidR="000A3F4A">
        <w:rPr>
          <w:rFonts w:ascii="Garamond" w:hAnsi="Garamond"/>
          <w:sz w:val="22"/>
          <w:szCs w:val="22"/>
        </w:rPr>
        <w:t>affect</w:t>
      </w:r>
      <w:r w:rsidR="00F37F58">
        <w:rPr>
          <w:rFonts w:ascii="Garamond" w:hAnsi="Garamond"/>
          <w:sz w:val="22"/>
          <w:szCs w:val="22"/>
        </w:rPr>
        <w:t xml:space="preserve"> </w:t>
      </w:r>
      <w:r w:rsidR="000A3F4A">
        <w:rPr>
          <w:rFonts w:ascii="Garamond" w:hAnsi="Garamond"/>
          <w:sz w:val="22"/>
          <w:szCs w:val="22"/>
        </w:rPr>
        <w:t>the domestic demand</w:t>
      </w:r>
      <w:r>
        <w:rPr>
          <w:rFonts w:ascii="Garamond" w:hAnsi="Garamond"/>
          <w:sz w:val="22"/>
          <w:szCs w:val="22"/>
        </w:rPr>
        <w:t xml:space="preserve">, the 2019 fiscal policy’s impulse on aggregate </w:t>
      </w:r>
      <w:r w:rsidRPr="00C86ABF">
        <w:rPr>
          <w:rFonts w:ascii="Garamond" w:hAnsi="Garamond"/>
          <w:sz w:val="22"/>
          <w:szCs w:val="22"/>
        </w:rPr>
        <w:t xml:space="preserve">demand </w:t>
      </w:r>
      <w:r w:rsidR="000A3F4A">
        <w:rPr>
          <w:rFonts w:ascii="Garamond" w:hAnsi="Garamond"/>
          <w:sz w:val="22"/>
          <w:szCs w:val="22"/>
        </w:rPr>
        <w:t xml:space="preserve">is estimated </w:t>
      </w:r>
      <w:r>
        <w:rPr>
          <w:rFonts w:ascii="Garamond" w:hAnsi="Garamond"/>
          <w:sz w:val="22"/>
          <w:szCs w:val="22"/>
        </w:rPr>
        <w:t>0.5 pp contractionary, compared to that of 2018</w:t>
      </w:r>
      <w:r w:rsidRPr="00C86ABF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b/>
          <w:sz w:val="22"/>
          <w:szCs w:val="22"/>
        </w:rPr>
        <w:t xml:space="preserve"> </w:t>
      </w:r>
      <w:r w:rsidRPr="00EA54A0">
        <w:rPr>
          <w:rFonts w:ascii="Garamond" w:hAnsi="Garamond"/>
          <w:sz w:val="22"/>
          <w:szCs w:val="22"/>
        </w:rPr>
        <w:t xml:space="preserve">Overall, in the first </w:t>
      </w:r>
      <w:r w:rsidR="000A3F4A">
        <w:rPr>
          <w:rFonts w:ascii="Garamond" w:hAnsi="Garamond"/>
          <w:sz w:val="22"/>
          <w:szCs w:val="22"/>
        </w:rPr>
        <w:t xml:space="preserve">nine months </w:t>
      </w:r>
      <w:r w:rsidRPr="00EA54A0">
        <w:rPr>
          <w:rFonts w:ascii="Garamond" w:hAnsi="Garamond"/>
          <w:sz w:val="22"/>
          <w:szCs w:val="22"/>
        </w:rPr>
        <w:t xml:space="preserve">of the year the budget </w:t>
      </w:r>
      <w:r>
        <w:rPr>
          <w:rFonts w:ascii="Garamond" w:hAnsi="Garamond"/>
          <w:sz w:val="22"/>
          <w:szCs w:val="22"/>
        </w:rPr>
        <w:t xml:space="preserve">has </w:t>
      </w:r>
      <w:r w:rsidR="000A3F4A">
        <w:rPr>
          <w:rFonts w:ascii="Garamond" w:hAnsi="Garamond"/>
          <w:sz w:val="22"/>
          <w:szCs w:val="22"/>
        </w:rPr>
        <w:t xml:space="preserve">had a </w:t>
      </w:r>
      <w:r>
        <w:rPr>
          <w:rFonts w:ascii="Garamond" w:hAnsi="Garamond"/>
          <w:sz w:val="22"/>
          <w:szCs w:val="22"/>
        </w:rPr>
        <w:t>contractionary impact</w:t>
      </w:r>
      <w:r w:rsidRPr="00EA54A0">
        <w:rPr>
          <w:rFonts w:ascii="Garamond" w:hAnsi="Garamond"/>
          <w:sz w:val="22"/>
          <w:szCs w:val="22"/>
        </w:rPr>
        <w:t xml:space="preserve"> which will </w:t>
      </w:r>
      <w:r>
        <w:rPr>
          <w:rFonts w:ascii="Garamond" w:hAnsi="Garamond"/>
          <w:sz w:val="22"/>
          <w:szCs w:val="22"/>
        </w:rPr>
        <w:t>weaken owing to a</w:t>
      </w:r>
      <w:r w:rsidR="000A3F4A">
        <w:rPr>
          <w:rFonts w:ascii="Garamond" w:hAnsi="Garamond"/>
          <w:sz w:val="22"/>
          <w:szCs w:val="22"/>
        </w:rPr>
        <w:t xml:space="preserve"> 3.2 pp expansionary impact expected in the fourth quarter</w:t>
      </w:r>
      <w:r w:rsidRPr="00EA54A0">
        <w:rPr>
          <w:rFonts w:ascii="Garamond" w:hAnsi="Garamond"/>
          <w:sz w:val="22"/>
          <w:szCs w:val="22"/>
        </w:rPr>
        <w:t>.</w:t>
      </w:r>
    </w:p>
    <w:p w14:paraId="72D18DC4" w14:textId="77777777" w:rsidR="00825E21" w:rsidRPr="004E6DAE" w:rsidRDefault="00825E21" w:rsidP="00391B6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825E21">
        <w:rPr>
          <w:rFonts w:ascii="Garamond" w:hAnsi="Garamond"/>
          <w:b/>
          <w:sz w:val="22"/>
          <w:szCs w:val="22"/>
        </w:rPr>
        <w:t xml:space="preserve">The 2020 </w:t>
      </w:r>
      <w:r w:rsidRPr="00D60B77">
        <w:rPr>
          <w:rFonts w:ascii="Garamond" w:hAnsi="Garamond"/>
          <w:b/>
          <w:sz w:val="22"/>
          <w:szCs w:val="22"/>
        </w:rPr>
        <w:t>fiscal policy’s impact</w:t>
      </w:r>
      <w:r>
        <w:rPr>
          <w:rFonts w:ascii="Garamond" w:hAnsi="Garamond"/>
          <w:sz w:val="22"/>
          <w:szCs w:val="22"/>
        </w:rPr>
        <w:t xml:space="preserve"> </w:t>
      </w:r>
      <w:r w:rsidRPr="00825E21">
        <w:rPr>
          <w:rFonts w:ascii="Garamond" w:hAnsi="Garamond"/>
          <w:b/>
          <w:sz w:val="22"/>
          <w:szCs w:val="22"/>
        </w:rPr>
        <w:t>on aggregate demand</w:t>
      </w:r>
      <w:r>
        <w:rPr>
          <w:rFonts w:ascii="Garamond" w:hAnsi="Garamond"/>
          <w:sz w:val="22"/>
          <w:szCs w:val="22"/>
        </w:rPr>
        <w:t xml:space="preserve"> was estimated using the Central Bank projections for the draft to the Republic of Armenia State Budget 2020. N</w:t>
      </w:r>
      <w:r w:rsidRPr="00825E21">
        <w:rPr>
          <w:rFonts w:ascii="Garamond" w:hAnsi="Garamond"/>
          <w:sz w:val="22"/>
          <w:szCs w:val="22"/>
        </w:rPr>
        <w:t xml:space="preserve">ote that the Central Bank made no further judgment on </w:t>
      </w:r>
      <w:r>
        <w:rPr>
          <w:rFonts w:ascii="Garamond" w:hAnsi="Garamond"/>
          <w:sz w:val="22"/>
          <w:szCs w:val="22"/>
        </w:rPr>
        <w:t>t</w:t>
      </w:r>
      <w:r w:rsidRPr="00825E21">
        <w:rPr>
          <w:rFonts w:ascii="Garamond" w:hAnsi="Garamond"/>
          <w:sz w:val="22"/>
          <w:szCs w:val="22"/>
        </w:rPr>
        <w:t xml:space="preserve">he </w:t>
      </w:r>
      <w:r>
        <w:rPr>
          <w:rFonts w:ascii="Garamond" w:hAnsi="Garamond"/>
          <w:sz w:val="22"/>
          <w:szCs w:val="22"/>
        </w:rPr>
        <w:t>performance o</w:t>
      </w:r>
      <w:r w:rsidRPr="00825E21">
        <w:rPr>
          <w:rFonts w:ascii="Garamond" w:hAnsi="Garamond"/>
          <w:sz w:val="22"/>
          <w:szCs w:val="22"/>
        </w:rPr>
        <w:t xml:space="preserve">f the </w:t>
      </w:r>
      <w:r>
        <w:rPr>
          <w:rFonts w:ascii="Garamond" w:hAnsi="Garamond"/>
          <w:sz w:val="22"/>
          <w:szCs w:val="22"/>
        </w:rPr>
        <w:t xml:space="preserve">2020 </w:t>
      </w:r>
      <w:r w:rsidRPr="00825E21">
        <w:rPr>
          <w:rFonts w:ascii="Garamond" w:hAnsi="Garamond"/>
          <w:sz w:val="22"/>
          <w:szCs w:val="22"/>
        </w:rPr>
        <w:t>state budget, assuming full</w:t>
      </w:r>
      <w:r w:rsidR="004E6DAE">
        <w:rPr>
          <w:rFonts w:ascii="Garamond" w:hAnsi="Garamond"/>
          <w:sz w:val="22"/>
          <w:szCs w:val="22"/>
        </w:rPr>
        <w:t>y</w:t>
      </w:r>
      <w:r w:rsidRPr="00825E21">
        <w:rPr>
          <w:rFonts w:ascii="Garamond" w:hAnsi="Garamond"/>
          <w:sz w:val="22"/>
          <w:szCs w:val="22"/>
        </w:rPr>
        <w:t xml:space="preserve"> </w:t>
      </w:r>
      <w:r w:rsidR="004E6DAE">
        <w:rPr>
          <w:rFonts w:ascii="Garamond" w:hAnsi="Garamond"/>
          <w:sz w:val="22"/>
          <w:szCs w:val="22"/>
        </w:rPr>
        <w:t xml:space="preserve">executed </w:t>
      </w:r>
      <w:r w:rsidRPr="00825E21">
        <w:rPr>
          <w:rFonts w:ascii="Garamond" w:hAnsi="Garamond"/>
          <w:sz w:val="22"/>
          <w:szCs w:val="22"/>
        </w:rPr>
        <w:t>revenue and expenditure items.</w:t>
      </w:r>
    </w:p>
    <w:p w14:paraId="6C3891E2" w14:textId="77777777" w:rsidR="00825E21" w:rsidRPr="004E6DAE" w:rsidRDefault="00D81F83" w:rsidP="00825E2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In </w:t>
      </w:r>
      <w:r w:rsidR="00825E21" w:rsidRPr="004E6DAE">
        <w:rPr>
          <w:rFonts w:ascii="Garamond" w:hAnsi="Garamond"/>
          <w:sz w:val="22"/>
          <w:szCs w:val="22"/>
        </w:rPr>
        <w:t xml:space="preserve">2020 </w:t>
      </w:r>
      <w:r>
        <w:rPr>
          <w:rFonts w:ascii="Garamond" w:hAnsi="Garamond"/>
          <w:sz w:val="22"/>
          <w:szCs w:val="22"/>
        </w:rPr>
        <w:t xml:space="preserve">the </w:t>
      </w:r>
      <w:r w:rsidR="00825E21" w:rsidRPr="004E6DAE">
        <w:rPr>
          <w:rFonts w:ascii="Garamond" w:hAnsi="Garamond"/>
          <w:sz w:val="22"/>
          <w:szCs w:val="22"/>
        </w:rPr>
        <w:t>tax</w:t>
      </w:r>
      <w:r>
        <w:rPr>
          <w:rFonts w:ascii="Garamond" w:hAnsi="Garamond"/>
          <w:sz w:val="22"/>
          <w:szCs w:val="22"/>
        </w:rPr>
        <w:t>es-to-</w:t>
      </w:r>
      <w:r w:rsidR="00825E21" w:rsidRPr="004E6DAE">
        <w:rPr>
          <w:rFonts w:ascii="Garamond" w:hAnsi="Garamond"/>
          <w:sz w:val="22"/>
          <w:szCs w:val="22"/>
        </w:rPr>
        <w:t>GDP</w:t>
      </w:r>
      <w:r>
        <w:rPr>
          <w:rFonts w:ascii="Garamond" w:hAnsi="Garamond"/>
          <w:sz w:val="22"/>
          <w:szCs w:val="22"/>
        </w:rPr>
        <w:t xml:space="preserve"> ratio</w:t>
      </w:r>
      <w:r w:rsidR="00A4336F">
        <w:rPr>
          <w:rStyle w:val="FootnoteReference"/>
          <w:rFonts w:ascii="Garamond" w:hAnsi="Garamond"/>
          <w:sz w:val="22"/>
          <w:szCs w:val="22"/>
        </w:rPr>
        <w:footnoteReference w:customMarkFollows="1" w:id="5"/>
        <w:t>7</w:t>
      </w:r>
      <w:r>
        <w:rPr>
          <w:rFonts w:ascii="Garamond" w:hAnsi="Garamond"/>
          <w:sz w:val="22"/>
          <w:szCs w:val="22"/>
        </w:rPr>
        <w:t xml:space="preserve"> will</w:t>
      </w:r>
      <w:r w:rsidR="00825E21" w:rsidRPr="004E6DA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reach 22.5%, up </w:t>
      </w:r>
      <w:r w:rsidR="00825E21" w:rsidRPr="004E6DAE">
        <w:rPr>
          <w:rFonts w:ascii="Garamond" w:hAnsi="Garamond"/>
          <w:sz w:val="22"/>
          <w:szCs w:val="22"/>
        </w:rPr>
        <w:t>by 0.3 p</w:t>
      </w:r>
      <w:r>
        <w:rPr>
          <w:rFonts w:ascii="Garamond" w:hAnsi="Garamond"/>
          <w:sz w:val="22"/>
          <w:szCs w:val="22"/>
        </w:rPr>
        <w:t>p relative to the one expected for 2019</w:t>
      </w:r>
      <w:r w:rsidR="00825E21" w:rsidRPr="004E6DAE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The</w:t>
      </w:r>
      <w:r w:rsidR="00825E21" w:rsidRPr="004E6DA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</w:t>
      </w:r>
      <w:r w:rsidR="00825E21" w:rsidRPr="004E6DAE">
        <w:rPr>
          <w:rFonts w:ascii="Garamond" w:hAnsi="Garamond"/>
          <w:sz w:val="22"/>
          <w:szCs w:val="22"/>
        </w:rPr>
        <w:t>xpenditures</w:t>
      </w:r>
      <w:r>
        <w:rPr>
          <w:rFonts w:ascii="Garamond" w:hAnsi="Garamond"/>
          <w:sz w:val="22"/>
          <w:szCs w:val="22"/>
        </w:rPr>
        <w:t>-to-</w:t>
      </w:r>
      <w:r w:rsidR="00825E21" w:rsidRPr="004E6DAE">
        <w:rPr>
          <w:rFonts w:ascii="Garamond" w:hAnsi="Garamond"/>
          <w:sz w:val="22"/>
          <w:szCs w:val="22"/>
        </w:rPr>
        <w:t xml:space="preserve">GDP </w:t>
      </w:r>
      <w:r>
        <w:rPr>
          <w:rFonts w:ascii="Garamond" w:hAnsi="Garamond"/>
          <w:sz w:val="22"/>
          <w:szCs w:val="22"/>
        </w:rPr>
        <w:t xml:space="preserve">ratio will amount to </w:t>
      </w:r>
      <w:r w:rsidR="00825E21" w:rsidRPr="004E6DAE">
        <w:rPr>
          <w:rFonts w:ascii="Garamond" w:hAnsi="Garamond"/>
          <w:sz w:val="22"/>
          <w:szCs w:val="22"/>
        </w:rPr>
        <w:t>25.7%</w:t>
      </w:r>
      <w:r>
        <w:rPr>
          <w:rFonts w:ascii="Garamond" w:hAnsi="Garamond"/>
          <w:sz w:val="22"/>
          <w:szCs w:val="22"/>
        </w:rPr>
        <w:t xml:space="preserve">, up by </w:t>
      </w:r>
      <w:r w:rsidR="00825E21" w:rsidRPr="004E6DAE">
        <w:rPr>
          <w:rFonts w:ascii="Garamond" w:hAnsi="Garamond"/>
          <w:sz w:val="22"/>
          <w:szCs w:val="22"/>
        </w:rPr>
        <w:t>1.1 p</w:t>
      </w:r>
      <w:r>
        <w:rPr>
          <w:rFonts w:ascii="Garamond" w:hAnsi="Garamond"/>
          <w:sz w:val="22"/>
          <w:szCs w:val="22"/>
        </w:rPr>
        <w:t>p compared to the one expected for 2019</w:t>
      </w:r>
      <w:r w:rsidRPr="004E6DAE">
        <w:rPr>
          <w:rFonts w:ascii="Garamond" w:hAnsi="Garamond"/>
          <w:sz w:val="22"/>
          <w:szCs w:val="22"/>
        </w:rPr>
        <w:t>.</w:t>
      </w:r>
    </w:p>
    <w:p w14:paraId="51418AB4" w14:textId="77777777" w:rsidR="00825E21" w:rsidRPr="004E6DAE" w:rsidRDefault="00B61C07" w:rsidP="00825E2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 2020 the d</w:t>
      </w:r>
      <w:r w:rsidR="00825E21" w:rsidRPr="004E6DAE">
        <w:rPr>
          <w:rFonts w:ascii="Garamond" w:hAnsi="Garamond"/>
          <w:sz w:val="22"/>
          <w:szCs w:val="22"/>
        </w:rPr>
        <w:t>eficit</w:t>
      </w:r>
      <w:r>
        <w:rPr>
          <w:rFonts w:ascii="Garamond" w:hAnsi="Garamond"/>
          <w:sz w:val="22"/>
          <w:szCs w:val="22"/>
        </w:rPr>
        <w:t>-to-</w:t>
      </w:r>
      <w:r w:rsidR="00825E21" w:rsidRPr="004E6DAE">
        <w:rPr>
          <w:rFonts w:ascii="Garamond" w:hAnsi="Garamond"/>
          <w:sz w:val="22"/>
          <w:szCs w:val="22"/>
        </w:rPr>
        <w:t xml:space="preserve">GDP </w:t>
      </w:r>
      <w:r>
        <w:rPr>
          <w:rFonts w:ascii="Garamond" w:hAnsi="Garamond"/>
          <w:sz w:val="22"/>
          <w:szCs w:val="22"/>
        </w:rPr>
        <w:t xml:space="preserve">ratio </w:t>
      </w:r>
      <w:r w:rsidR="00825E21" w:rsidRPr="004E6DAE">
        <w:rPr>
          <w:rFonts w:ascii="Garamond" w:hAnsi="Garamond"/>
          <w:sz w:val="22"/>
          <w:szCs w:val="22"/>
        </w:rPr>
        <w:t xml:space="preserve">will make </w:t>
      </w:r>
      <w:r>
        <w:rPr>
          <w:rFonts w:ascii="Garamond" w:hAnsi="Garamond"/>
          <w:sz w:val="22"/>
          <w:szCs w:val="22"/>
        </w:rPr>
        <w:t xml:space="preserve">up </w:t>
      </w:r>
      <w:r w:rsidR="00825E21" w:rsidRPr="004E6DAE">
        <w:rPr>
          <w:rFonts w:ascii="Garamond" w:hAnsi="Garamond"/>
          <w:sz w:val="22"/>
          <w:szCs w:val="22"/>
        </w:rPr>
        <w:t>2.3%.</w:t>
      </w:r>
    </w:p>
    <w:p w14:paraId="5A73021E" w14:textId="77777777" w:rsidR="00825E21" w:rsidRDefault="00825E21" w:rsidP="00825E2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4E6DAE">
        <w:rPr>
          <w:rFonts w:ascii="Garamond" w:hAnsi="Garamond"/>
          <w:sz w:val="22"/>
          <w:szCs w:val="22"/>
        </w:rPr>
        <w:t>Bas</w:t>
      </w:r>
      <w:r w:rsidR="00C91664">
        <w:rPr>
          <w:rFonts w:ascii="Garamond" w:hAnsi="Garamond"/>
          <w:sz w:val="22"/>
          <w:szCs w:val="22"/>
        </w:rPr>
        <w:t xml:space="preserve">ing upon </w:t>
      </w:r>
      <w:r w:rsidRPr="004E6DAE">
        <w:rPr>
          <w:rFonts w:ascii="Garamond" w:hAnsi="Garamond"/>
          <w:sz w:val="22"/>
          <w:szCs w:val="22"/>
        </w:rPr>
        <w:t>tax and expenditure</w:t>
      </w:r>
      <w:r w:rsidR="00C91664">
        <w:rPr>
          <w:rFonts w:ascii="Garamond" w:hAnsi="Garamond"/>
          <w:sz w:val="22"/>
          <w:szCs w:val="22"/>
        </w:rPr>
        <w:t xml:space="preserve"> estimations,</w:t>
      </w:r>
      <w:r w:rsidRPr="004E6DAE">
        <w:rPr>
          <w:rFonts w:ascii="Garamond" w:hAnsi="Garamond"/>
          <w:sz w:val="22"/>
          <w:szCs w:val="22"/>
        </w:rPr>
        <w:t xml:space="preserve"> </w:t>
      </w:r>
      <w:r w:rsidR="00C91664">
        <w:rPr>
          <w:rFonts w:ascii="Garamond" w:hAnsi="Garamond"/>
          <w:sz w:val="22"/>
          <w:szCs w:val="22"/>
        </w:rPr>
        <w:t xml:space="preserve">net of one-off streams that do not affect the domestic demand, the 2020 fiscal policy impact is estimated to be 2.9 pp expansionary, relative to that of 2019. </w:t>
      </w:r>
      <w:r w:rsidRPr="004E6DAE">
        <w:rPr>
          <w:rFonts w:ascii="Garamond" w:hAnsi="Garamond"/>
          <w:sz w:val="22"/>
          <w:szCs w:val="22"/>
        </w:rPr>
        <w:t xml:space="preserve">This is </w:t>
      </w:r>
      <w:r w:rsidR="00C91664">
        <w:rPr>
          <w:rFonts w:ascii="Garamond" w:hAnsi="Garamond"/>
          <w:sz w:val="22"/>
          <w:szCs w:val="22"/>
        </w:rPr>
        <w:t xml:space="preserve">attributable to a minor contractionary impulse of revenues and </w:t>
      </w:r>
      <w:r w:rsidRPr="004E6DAE">
        <w:rPr>
          <w:rFonts w:ascii="Garamond" w:hAnsi="Garamond"/>
          <w:sz w:val="22"/>
          <w:szCs w:val="22"/>
        </w:rPr>
        <w:t>an expan</w:t>
      </w:r>
      <w:r w:rsidR="00C91664">
        <w:rPr>
          <w:rFonts w:ascii="Garamond" w:hAnsi="Garamond"/>
          <w:sz w:val="22"/>
          <w:szCs w:val="22"/>
        </w:rPr>
        <w:t xml:space="preserve">sionary impulse of expenditures. </w:t>
      </w:r>
      <w:r w:rsidR="00381C3C">
        <w:rPr>
          <w:rFonts w:ascii="Garamond" w:hAnsi="Garamond"/>
          <w:sz w:val="22"/>
          <w:szCs w:val="22"/>
        </w:rPr>
        <w:t xml:space="preserve">The latter being contractionary is possible in the event of fully executed </w:t>
      </w:r>
      <w:r w:rsidRPr="004E6DAE">
        <w:rPr>
          <w:rFonts w:ascii="Garamond" w:hAnsi="Garamond"/>
          <w:sz w:val="22"/>
          <w:szCs w:val="22"/>
        </w:rPr>
        <w:t>public expenditure</w:t>
      </w:r>
      <w:r w:rsidR="00381C3C">
        <w:rPr>
          <w:rFonts w:ascii="Garamond" w:hAnsi="Garamond"/>
          <w:sz w:val="22"/>
          <w:szCs w:val="22"/>
        </w:rPr>
        <w:t>s. T</w:t>
      </w:r>
      <w:r w:rsidRPr="004E6DAE">
        <w:rPr>
          <w:rFonts w:ascii="Garamond" w:hAnsi="Garamond"/>
          <w:sz w:val="22"/>
          <w:szCs w:val="22"/>
        </w:rPr>
        <w:t xml:space="preserve">he </w:t>
      </w:r>
      <w:r w:rsidR="00381C3C" w:rsidRPr="004E6DAE">
        <w:rPr>
          <w:rFonts w:ascii="Garamond" w:hAnsi="Garamond"/>
          <w:sz w:val="22"/>
          <w:szCs w:val="22"/>
        </w:rPr>
        <w:t>expan</w:t>
      </w:r>
      <w:r w:rsidR="00381C3C">
        <w:rPr>
          <w:rFonts w:ascii="Garamond" w:hAnsi="Garamond"/>
          <w:sz w:val="22"/>
          <w:szCs w:val="22"/>
        </w:rPr>
        <w:t xml:space="preserve">sionary impact may </w:t>
      </w:r>
      <w:r w:rsidRPr="004E6DAE">
        <w:rPr>
          <w:rFonts w:ascii="Garamond" w:hAnsi="Garamond"/>
          <w:sz w:val="22"/>
          <w:szCs w:val="22"/>
        </w:rPr>
        <w:t xml:space="preserve">be adjusted </w:t>
      </w:r>
      <w:r w:rsidR="00381C3C">
        <w:rPr>
          <w:rFonts w:ascii="Garamond" w:hAnsi="Garamond"/>
          <w:sz w:val="22"/>
          <w:szCs w:val="22"/>
        </w:rPr>
        <w:t>commensurate with how the budget is performed</w:t>
      </w:r>
      <w:r w:rsidRPr="004E6DAE">
        <w:rPr>
          <w:rFonts w:ascii="Garamond" w:hAnsi="Garamond"/>
          <w:sz w:val="22"/>
          <w:szCs w:val="22"/>
        </w:rPr>
        <w:t>.</w:t>
      </w:r>
    </w:p>
    <w:p w14:paraId="092513DD" w14:textId="77777777" w:rsidR="00381C3C" w:rsidRPr="00381C3C" w:rsidRDefault="00381C3C" w:rsidP="00825E2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381C3C">
        <w:rPr>
          <w:rFonts w:ascii="Garamond" w:hAnsi="Garamond"/>
          <w:b/>
          <w:sz w:val="22"/>
          <w:szCs w:val="22"/>
        </w:rPr>
        <w:t>The mid-term impact of the fiscal policy is assumed to be neutral.</w:t>
      </w:r>
    </w:p>
    <w:p w14:paraId="6E77CC64" w14:textId="72C7E944" w:rsidR="00EE619D" w:rsidRPr="00EE5F0F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266DC6">
        <w:rPr>
          <w:rFonts w:ascii="Garamond" w:hAnsi="Garamond"/>
          <w:b/>
          <w:sz w:val="22"/>
          <w:szCs w:val="22"/>
        </w:rPr>
        <w:t>Labor market</w:t>
      </w:r>
      <w:r w:rsidR="00381C3C">
        <w:rPr>
          <w:rStyle w:val="FootnoteReference"/>
          <w:rFonts w:ascii="Garamond" w:hAnsi="Garamond"/>
          <w:b/>
          <w:sz w:val="22"/>
          <w:szCs w:val="22"/>
        </w:rPr>
        <w:footnoteReference w:customMarkFollows="1" w:id="6"/>
        <w:t>8</w:t>
      </w:r>
      <w:r w:rsidRPr="00266DC6">
        <w:rPr>
          <w:rFonts w:ascii="Garamond" w:hAnsi="Garamond"/>
          <w:b/>
          <w:sz w:val="22"/>
          <w:szCs w:val="22"/>
        </w:rPr>
        <w:t xml:space="preserve">: </w:t>
      </w:r>
      <w:r w:rsidR="001D4535">
        <w:rPr>
          <w:rFonts w:ascii="Garamond" w:hAnsi="Garamond"/>
          <w:sz w:val="22"/>
          <w:szCs w:val="22"/>
        </w:rPr>
        <w:t>In 2019 t</w:t>
      </w:r>
      <w:r w:rsidR="00ED527B">
        <w:rPr>
          <w:rFonts w:ascii="Garamond" w:hAnsi="Garamond"/>
          <w:sz w:val="22"/>
          <w:szCs w:val="22"/>
        </w:rPr>
        <w:t>he growth rate of t</w:t>
      </w:r>
      <w:r w:rsidR="00A164A2" w:rsidRPr="00A164A2">
        <w:rPr>
          <w:rFonts w:ascii="Garamond" w:hAnsi="Garamond"/>
          <w:sz w:val="22"/>
          <w:szCs w:val="22"/>
        </w:rPr>
        <w:t xml:space="preserve">he </w:t>
      </w:r>
      <w:r w:rsidR="00006209">
        <w:rPr>
          <w:rFonts w:ascii="Garamond" w:hAnsi="Garamond"/>
          <w:sz w:val="22"/>
          <w:szCs w:val="22"/>
        </w:rPr>
        <w:t xml:space="preserve">private sector </w:t>
      </w:r>
      <w:r w:rsidR="00A164A2" w:rsidRPr="00A164A2">
        <w:rPr>
          <w:rFonts w:ascii="Garamond" w:hAnsi="Garamond"/>
          <w:sz w:val="22"/>
          <w:szCs w:val="22"/>
        </w:rPr>
        <w:t>nominal wage</w:t>
      </w:r>
      <w:r w:rsidR="005B16EF">
        <w:rPr>
          <w:rFonts w:ascii="Garamond" w:hAnsi="Garamond"/>
          <w:sz w:val="22"/>
          <w:szCs w:val="22"/>
        </w:rPr>
        <w:t>s</w:t>
      </w:r>
      <w:r w:rsidR="00ED527B">
        <w:rPr>
          <w:rFonts w:ascii="Garamond" w:hAnsi="Garamond"/>
          <w:sz w:val="22"/>
          <w:szCs w:val="22"/>
        </w:rPr>
        <w:t xml:space="preserve"> will persist </w:t>
      </w:r>
      <w:r w:rsidR="005B16EF">
        <w:rPr>
          <w:rFonts w:ascii="Garamond" w:hAnsi="Garamond"/>
          <w:sz w:val="22"/>
          <w:szCs w:val="22"/>
        </w:rPr>
        <w:t xml:space="preserve">at </w:t>
      </w:r>
      <w:r w:rsidR="00ED527B">
        <w:rPr>
          <w:rFonts w:ascii="Garamond" w:hAnsi="Garamond"/>
          <w:sz w:val="22"/>
          <w:szCs w:val="22"/>
        </w:rPr>
        <w:t>the current level</w:t>
      </w:r>
      <w:r w:rsidR="0048450E">
        <w:rPr>
          <w:rFonts w:ascii="Garamond" w:hAnsi="Garamond"/>
          <w:sz w:val="22"/>
          <w:szCs w:val="22"/>
        </w:rPr>
        <w:t xml:space="preserve"> of</w:t>
      </w:r>
      <w:r w:rsidR="008A06C0">
        <w:rPr>
          <w:rFonts w:ascii="Garamond" w:hAnsi="Garamond"/>
          <w:sz w:val="22"/>
          <w:szCs w:val="22"/>
        </w:rPr>
        <w:t xml:space="preserve"> </w:t>
      </w:r>
      <w:r w:rsidR="00ED527B">
        <w:rPr>
          <w:rFonts w:ascii="Garamond" w:hAnsi="Garamond"/>
          <w:sz w:val="22"/>
          <w:szCs w:val="22"/>
        </w:rPr>
        <w:t>3.</w:t>
      </w:r>
      <w:r w:rsidR="00381C3C">
        <w:rPr>
          <w:rFonts w:ascii="Garamond" w:hAnsi="Garamond"/>
          <w:sz w:val="22"/>
          <w:szCs w:val="22"/>
        </w:rPr>
        <w:t>9</w:t>
      </w:r>
      <w:r w:rsidR="00ED527B">
        <w:rPr>
          <w:rFonts w:ascii="Garamond" w:hAnsi="Garamond"/>
          <w:sz w:val="22"/>
          <w:szCs w:val="22"/>
        </w:rPr>
        <w:t>%.</w:t>
      </w:r>
      <w:r w:rsidR="0048450E">
        <w:rPr>
          <w:rFonts w:ascii="Garamond" w:hAnsi="Garamond"/>
          <w:sz w:val="22"/>
          <w:szCs w:val="22"/>
        </w:rPr>
        <w:t xml:space="preserve"> As for </w:t>
      </w:r>
      <w:r w:rsidR="00C40B84">
        <w:rPr>
          <w:rFonts w:ascii="Garamond" w:hAnsi="Garamond"/>
          <w:sz w:val="22"/>
          <w:szCs w:val="22"/>
        </w:rPr>
        <w:t>2020</w:t>
      </w:r>
      <w:r w:rsidR="0048450E">
        <w:rPr>
          <w:rFonts w:ascii="Garamond" w:hAnsi="Garamond"/>
          <w:sz w:val="22"/>
          <w:szCs w:val="22"/>
        </w:rPr>
        <w:t>, t</w:t>
      </w:r>
      <w:r w:rsidR="0048450E" w:rsidRPr="001D4535">
        <w:rPr>
          <w:rFonts w:ascii="Garamond" w:hAnsi="Garamond"/>
          <w:sz w:val="22"/>
          <w:szCs w:val="22"/>
        </w:rPr>
        <w:t xml:space="preserve">he nominal wage growth in the private sector </w:t>
      </w:r>
      <w:r w:rsidR="0048450E">
        <w:rPr>
          <w:rFonts w:ascii="Garamond" w:hAnsi="Garamond"/>
          <w:sz w:val="22"/>
          <w:szCs w:val="22"/>
        </w:rPr>
        <w:t xml:space="preserve">was </w:t>
      </w:r>
      <w:r w:rsidR="0048450E" w:rsidRPr="001D4535">
        <w:rPr>
          <w:rFonts w:ascii="Garamond" w:hAnsi="Garamond"/>
          <w:sz w:val="22"/>
          <w:szCs w:val="22"/>
        </w:rPr>
        <w:t>revised up</w:t>
      </w:r>
      <w:r w:rsidR="0048450E">
        <w:rPr>
          <w:rFonts w:ascii="Garamond" w:hAnsi="Garamond"/>
          <w:sz w:val="22"/>
          <w:szCs w:val="22"/>
        </w:rPr>
        <w:t xml:space="preserve">side </w:t>
      </w:r>
      <w:r w:rsidR="0048450E" w:rsidRPr="001D4535">
        <w:rPr>
          <w:rFonts w:ascii="Garamond" w:hAnsi="Garamond"/>
          <w:sz w:val="22"/>
          <w:szCs w:val="22"/>
        </w:rPr>
        <w:t xml:space="preserve">and is </w:t>
      </w:r>
      <w:r w:rsidR="0048450E">
        <w:rPr>
          <w:rFonts w:ascii="Garamond" w:hAnsi="Garamond"/>
          <w:sz w:val="22"/>
          <w:szCs w:val="22"/>
        </w:rPr>
        <w:t xml:space="preserve">estimated at </w:t>
      </w:r>
      <w:r w:rsidR="0048450E" w:rsidRPr="001D4535">
        <w:rPr>
          <w:rFonts w:ascii="Garamond" w:hAnsi="Garamond"/>
          <w:sz w:val="22"/>
          <w:szCs w:val="22"/>
        </w:rPr>
        <w:t>8.1%</w:t>
      </w:r>
      <w:r w:rsidR="00BC4AB6">
        <w:rPr>
          <w:rFonts w:ascii="Garamond" w:hAnsi="Garamond"/>
          <w:sz w:val="22"/>
          <w:szCs w:val="22"/>
        </w:rPr>
        <w:t xml:space="preserve"> which is</w:t>
      </w:r>
      <w:r w:rsidR="00ED527B">
        <w:rPr>
          <w:rFonts w:ascii="Garamond" w:hAnsi="Garamond"/>
          <w:sz w:val="22"/>
          <w:szCs w:val="22"/>
        </w:rPr>
        <w:t xml:space="preserve"> </w:t>
      </w:r>
      <w:r w:rsidR="00C40B84">
        <w:rPr>
          <w:rFonts w:ascii="Garamond" w:hAnsi="Garamond"/>
          <w:sz w:val="22"/>
          <w:szCs w:val="22"/>
        </w:rPr>
        <w:t>s</w:t>
      </w:r>
      <w:r w:rsidR="001D4535">
        <w:rPr>
          <w:rFonts w:ascii="Garamond" w:hAnsi="Garamond"/>
          <w:sz w:val="22"/>
          <w:szCs w:val="22"/>
        </w:rPr>
        <w:t xml:space="preserve">upported by a </w:t>
      </w:r>
      <w:r w:rsidR="001D4535" w:rsidRPr="001D4535">
        <w:rPr>
          <w:rFonts w:ascii="Garamond" w:hAnsi="Garamond"/>
          <w:sz w:val="22"/>
          <w:szCs w:val="22"/>
        </w:rPr>
        <w:t>minimum wage increase.</w:t>
      </w:r>
      <w:r w:rsidR="001D4535">
        <w:rPr>
          <w:rFonts w:ascii="Garamond" w:hAnsi="Garamond"/>
          <w:sz w:val="22"/>
          <w:szCs w:val="22"/>
        </w:rPr>
        <w:t xml:space="preserve"> </w:t>
      </w:r>
      <w:r w:rsidR="001D4535" w:rsidRPr="001D4535">
        <w:rPr>
          <w:rFonts w:ascii="Garamond" w:hAnsi="Garamond"/>
          <w:sz w:val="22"/>
          <w:szCs w:val="22"/>
        </w:rPr>
        <w:t xml:space="preserve">Subsequently, due to the base effect, </w:t>
      </w:r>
      <w:r w:rsidR="001D4535">
        <w:rPr>
          <w:rFonts w:ascii="Garamond" w:hAnsi="Garamond"/>
          <w:sz w:val="22"/>
          <w:szCs w:val="22"/>
        </w:rPr>
        <w:t xml:space="preserve">the </w:t>
      </w:r>
      <w:r w:rsidR="001D4535" w:rsidRPr="001D4535">
        <w:rPr>
          <w:rFonts w:ascii="Garamond" w:hAnsi="Garamond"/>
          <w:sz w:val="22"/>
          <w:szCs w:val="22"/>
        </w:rPr>
        <w:t xml:space="preserve">private nominal wage growth will </w:t>
      </w:r>
      <w:r w:rsidR="0048450E" w:rsidRPr="001D4535">
        <w:rPr>
          <w:rFonts w:ascii="Garamond" w:hAnsi="Garamond"/>
          <w:sz w:val="22"/>
          <w:szCs w:val="22"/>
        </w:rPr>
        <w:t xml:space="preserve">slightly </w:t>
      </w:r>
      <w:r w:rsidR="001D4535" w:rsidRPr="001D4535">
        <w:rPr>
          <w:rFonts w:ascii="Garamond" w:hAnsi="Garamond"/>
          <w:sz w:val="22"/>
          <w:szCs w:val="22"/>
        </w:rPr>
        <w:t xml:space="preserve">slow down, and at the end of the forecast horizon its growth rate </w:t>
      </w:r>
      <w:r w:rsidR="00ED047F">
        <w:rPr>
          <w:rFonts w:ascii="Garamond" w:hAnsi="Garamond"/>
          <w:sz w:val="22"/>
          <w:szCs w:val="22"/>
        </w:rPr>
        <w:t xml:space="preserve">is predicted to </w:t>
      </w:r>
      <w:r w:rsidR="001D4535">
        <w:rPr>
          <w:rFonts w:ascii="Garamond" w:hAnsi="Garamond"/>
          <w:sz w:val="22"/>
          <w:szCs w:val="22"/>
        </w:rPr>
        <w:t xml:space="preserve">pace </w:t>
      </w:r>
      <w:r w:rsidR="00ED047F">
        <w:rPr>
          <w:rFonts w:ascii="Garamond" w:hAnsi="Garamond"/>
          <w:sz w:val="22"/>
          <w:szCs w:val="22"/>
        </w:rPr>
        <w:t xml:space="preserve">in line with its fundamentals, </w:t>
      </w:r>
      <w:proofErr w:type="gramStart"/>
      <w:r w:rsidR="00ED047F">
        <w:rPr>
          <w:rFonts w:ascii="Garamond" w:hAnsi="Garamond"/>
          <w:sz w:val="22"/>
          <w:szCs w:val="22"/>
        </w:rPr>
        <w:t>i.e.</w:t>
      </w:r>
      <w:proofErr w:type="gramEnd"/>
      <w:r w:rsidR="00ED047F">
        <w:rPr>
          <w:rFonts w:ascii="Garamond" w:hAnsi="Garamond"/>
          <w:sz w:val="22"/>
          <w:szCs w:val="22"/>
        </w:rPr>
        <w:t xml:space="preserve"> the </w:t>
      </w:r>
      <w:r w:rsidR="00ED047F" w:rsidRPr="00EE5F0F">
        <w:rPr>
          <w:rFonts w:ascii="Garamond" w:hAnsi="Garamond"/>
          <w:sz w:val="22"/>
          <w:szCs w:val="22"/>
        </w:rPr>
        <w:t>economic growth and inflation developments</w:t>
      </w:r>
      <w:r w:rsidR="00ED047F">
        <w:rPr>
          <w:rFonts w:ascii="Garamond" w:hAnsi="Garamond"/>
          <w:sz w:val="22"/>
          <w:szCs w:val="22"/>
        </w:rPr>
        <w:t>,</w:t>
      </w:r>
      <w:r w:rsidR="001D4535" w:rsidRPr="001D4535">
        <w:rPr>
          <w:rFonts w:ascii="Garamond" w:hAnsi="Garamond"/>
          <w:sz w:val="22"/>
          <w:szCs w:val="22"/>
        </w:rPr>
        <w:t xml:space="preserve"> and </w:t>
      </w:r>
      <w:r w:rsidR="00ED047F">
        <w:rPr>
          <w:rFonts w:ascii="Garamond" w:hAnsi="Garamond"/>
          <w:sz w:val="22"/>
          <w:szCs w:val="22"/>
        </w:rPr>
        <w:t xml:space="preserve">it </w:t>
      </w:r>
      <w:r w:rsidR="001D4535" w:rsidRPr="001D4535">
        <w:rPr>
          <w:rFonts w:ascii="Garamond" w:hAnsi="Garamond"/>
          <w:sz w:val="22"/>
          <w:szCs w:val="22"/>
        </w:rPr>
        <w:t>will stabilize at 7.7%.</w:t>
      </w:r>
      <w:r w:rsidR="00ED047F">
        <w:rPr>
          <w:rFonts w:ascii="Garamond" w:hAnsi="Garamond"/>
          <w:sz w:val="22"/>
          <w:szCs w:val="22"/>
        </w:rPr>
        <w:t xml:space="preserve"> </w:t>
      </w:r>
    </w:p>
    <w:p w14:paraId="04E900A2" w14:textId="6523C955" w:rsidR="00D25EB7" w:rsidRDefault="00ED047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Demand for labor supply has improved concomitant with high growths reported for GDP and demand. </w:t>
      </w:r>
      <w:r w:rsidRPr="00ED047F">
        <w:rPr>
          <w:rFonts w:ascii="Garamond" w:hAnsi="Garamond"/>
          <w:sz w:val="22"/>
          <w:szCs w:val="22"/>
        </w:rPr>
        <w:t xml:space="preserve">As a result, </w:t>
      </w:r>
      <w:r>
        <w:rPr>
          <w:rFonts w:ascii="Garamond" w:hAnsi="Garamond"/>
          <w:sz w:val="22"/>
          <w:szCs w:val="22"/>
        </w:rPr>
        <w:t xml:space="preserve">the </w:t>
      </w:r>
      <w:r w:rsidRPr="00ED047F">
        <w:rPr>
          <w:rFonts w:ascii="Garamond" w:hAnsi="Garamond"/>
          <w:sz w:val="22"/>
          <w:szCs w:val="22"/>
        </w:rPr>
        <w:t xml:space="preserve">unemployment </w:t>
      </w:r>
      <w:r>
        <w:rPr>
          <w:rFonts w:ascii="Garamond" w:hAnsi="Garamond"/>
          <w:sz w:val="22"/>
          <w:szCs w:val="22"/>
        </w:rPr>
        <w:t>rate trended downward since early 2019</w:t>
      </w:r>
      <w:r w:rsidR="00C40B84">
        <w:rPr>
          <w:rFonts w:ascii="Garamond" w:hAnsi="Garamond"/>
          <w:sz w:val="22"/>
          <w:szCs w:val="22"/>
        </w:rPr>
        <w:t xml:space="preserve"> and</w:t>
      </w:r>
      <w:r w:rsidR="006F0C63">
        <w:rPr>
          <w:rFonts w:ascii="Garamond" w:hAnsi="Garamond"/>
          <w:sz w:val="22"/>
          <w:szCs w:val="22"/>
        </w:rPr>
        <w:t xml:space="preserve"> is</w:t>
      </w:r>
      <w:r w:rsidR="00C40B84">
        <w:rPr>
          <w:rFonts w:ascii="Garamond" w:hAnsi="Garamond"/>
          <w:sz w:val="22"/>
          <w:szCs w:val="22"/>
        </w:rPr>
        <w:t xml:space="preserve"> estimated</w:t>
      </w:r>
      <w:r>
        <w:rPr>
          <w:rFonts w:ascii="Garamond" w:hAnsi="Garamond"/>
          <w:sz w:val="22"/>
          <w:szCs w:val="22"/>
        </w:rPr>
        <w:t xml:space="preserve"> </w:t>
      </w:r>
      <w:r w:rsidR="006F0C63">
        <w:rPr>
          <w:rFonts w:ascii="Garamond" w:hAnsi="Garamond"/>
          <w:sz w:val="22"/>
          <w:szCs w:val="22"/>
        </w:rPr>
        <w:t>at</w:t>
      </w:r>
      <w:r>
        <w:rPr>
          <w:rFonts w:ascii="Garamond" w:hAnsi="Garamond"/>
          <w:sz w:val="22"/>
          <w:szCs w:val="22"/>
        </w:rPr>
        <w:t xml:space="preserve"> 18.9%. T</w:t>
      </w:r>
      <w:r w:rsidRPr="007849D7">
        <w:rPr>
          <w:rFonts w:ascii="Garamond" w:hAnsi="Garamond"/>
          <w:sz w:val="22"/>
          <w:szCs w:val="22"/>
        </w:rPr>
        <w:t xml:space="preserve">he unemployment rate will </w:t>
      </w:r>
      <w:r>
        <w:rPr>
          <w:rFonts w:ascii="Garamond" w:hAnsi="Garamond"/>
          <w:sz w:val="22"/>
          <w:szCs w:val="22"/>
        </w:rPr>
        <w:t xml:space="preserve">subdue </w:t>
      </w:r>
      <w:r w:rsidRPr="007849D7">
        <w:rPr>
          <w:rFonts w:ascii="Garamond" w:hAnsi="Garamond"/>
          <w:sz w:val="22"/>
          <w:szCs w:val="22"/>
        </w:rPr>
        <w:t>by</w:t>
      </w:r>
      <w:r>
        <w:rPr>
          <w:rFonts w:ascii="Garamond" w:hAnsi="Garamond"/>
          <w:sz w:val="22"/>
          <w:szCs w:val="22"/>
        </w:rPr>
        <w:t xml:space="preserve"> about 0.2-</w:t>
      </w:r>
      <w:r w:rsidRPr="007849D7">
        <w:rPr>
          <w:rFonts w:ascii="Garamond" w:hAnsi="Garamond"/>
          <w:sz w:val="22"/>
          <w:szCs w:val="22"/>
        </w:rPr>
        <w:t>0.</w:t>
      </w:r>
      <w:r>
        <w:rPr>
          <w:rFonts w:ascii="Garamond" w:hAnsi="Garamond"/>
          <w:sz w:val="22"/>
          <w:szCs w:val="22"/>
        </w:rPr>
        <w:t>5</w:t>
      </w:r>
      <w:r w:rsidRPr="007849D7">
        <w:rPr>
          <w:rFonts w:ascii="Garamond" w:hAnsi="Garamond"/>
          <w:sz w:val="22"/>
          <w:szCs w:val="22"/>
        </w:rPr>
        <w:t xml:space="preserve"> pp annually</w:t>
      </w:r>
      <w:r>
        <w:rPr>
          <w:rFonts w:ascii="Garamond" w:hAnsi="Garamond"/>
          <w:sz w:val="22"/>
          <w:szCs w:val="22"/>
        </w:rPr>
        <w:t xml:space="preserve"> over a medium-</w:t>
      </w:r>
      <w:r w:rsidRPr="007849D7">
        <w:rPr>
          <w:rFonts w:ascii="Garamond" w:hAnsi="Garamond"/>
          <w:sz w:val="22"/>
          <w:szCs w:val="22"/>
        </w:rPr>
        <w:t>term</w:t>
      </w:r>
      <w:r>
        <w:rPr>
          <w:rFonts w:ascii="Garamond" w:hAnsi="Garamond"/>
          <w:sz w:val="22"/>
          <w:szCs w:val="22"/>
        </w:rPr>
        <w:t xml:space="preserve"> perspective,</w:t>
      </w:r>
      <w:r w:rsidRPr="007849D7">
        <w:rPr>
          <w:rFonts w:ascii="Garamond" w:hAnsi="Garamond"/>
          <w:sz w:val="22"/>
          <w:szCs w:val="22"/>
        </w:rPr>
        <w:t xml:space="preserve"> approaching </w:t>
      </w:r>
      <w:r>
        <w:rPr>
          <w:rFonts w:ascii="Garamond" w:hAnsi="Garamond"/>
          <w:sz w:val="22"/>
          <w:szCs w:val="22"/>
        </w:rPr>
        <w:t>a 17.3%</w:t>
      </w:r>
      <w:r w:rsidRPr="00EE5F0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level </w:t>
      </w:r>
      <w:r w:rsidRPr="00EE5F0F">
        <w:rPr>
          <w:rFonts w:ascii="Garamond" w:hAnsi="Garamond"/>
          <w:sz w:val="22"/>
          <w:szCs w:val="22"/>
        </w:rPr>
        <w:t>at the end of the forecast horizon.</w:t>
      </w:r>
    </w:p>
    <w:p w14:paraId="79C9F454" w14:textId="77777777" w:rsidR="00D25EB7" w:rsidRDefault="007D055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>In 201</w:t>
      </w:r>
      <w:r w:rsidR="00020F25">
        <w:rPr>
          <w:rFonts w:ascii="Garamond" w:hAnsi="Garamond"/>
          <w:sz w:val="22"/>
          <w:szCs w:val="22"/>
        </w:rPr>
        <w:t>9</w:t>
      </w:r>
      <w:r w:rsidRPr="00EE5F0F">
        <w:rPr>
          <w:rFonts w:ascii="Garamond" w:hAnsi="Garamond"/>
          <w:sz w:val="22"/>
          <w:szCs w:val="22"/>
        </w:rPr>
        <w:t xml:space="preserve">, </w:t>
      </w:r>
      <w:r w:rsidR="002762C9">
        <w:rPr>
          <w:rFonts w:ascii="Garamond" w:hAnsi="Garamond"/>
          <w:sz w:val="22"/>
          <w:szCs w:val="22"/>
        </w:rPr>
        <w:t xml:space="preserve">as </w:t>
      </w:r>
      <w:r w:rsidR="00FF5352">
        <w:rPr>
          <w:rFonts w:ascii="Garamond" w:hAnsi="Garamond"/>
          <w:sz w:val="22"/>
          <w:szCs w:val="22"/>
        </w:rPr>
        <w:t xml:space="preserve">the growth of </w:t>
      </w:r>
      <w:r w:rsidR="00FF5352" w:rsidRPr="00FF5352">
        <w:rPr>
          <w:rFonts w:ascii="Garamond" w:hAnsi="Garamond"/>
          <w:sz w:val="22"/>
          <w:szCs w:val="22"/>
        </w:rPr>
        <w:t xml:space="preserve">private nominal wages </w:t>
      </w:r>
      <w:r w:rsidR="00FF5352">
        <w:rPr>
          <w:rFonts w:ascii="Garamond" w:hAnsi="Garamond"/>
          <w:sz w:val="22"/>
          <w:szCs w:val="22"/>
        </w:rPr>
        <w:t>accelerates, t</w:t>
      </w:r>
      <w:r w:rsidR="00383D4D" w:rsidRPr="00EE5F0F">
        <w:rPr>
          <w:rFonts w:ascii="Garamond" w:hAnsi="Garamond"/>
          <w:sz w:val="22"/>
          <w:szCs w:val="22"/>
        </w:rPr>
        <w:t xml:space="preserve">he </w:t>
      </w:r>
      <w:r w:rsidR="00153FFE">
        <w:rPr>
          <w:rFonts w:ascii="Garamond" w:hAnsi="Garamond"/>
          <w:sz w:val="22"/>
          <w:szCs w:val="22"/>
        </w:rPr>
        <w:t xml:space="preserve">growth of </w:t>
      </w:r>
      <w:r w:rsidRPr="00EE5F0F">
        <w:rPr>
          <w:rFonts w:ascii="Garamond" w:hAnsi="Garamond"/>
          <w:sz w:val="22"/>
          <w:szCs w:val="22"/>
        </w:rPr>
        <w:t xml:space="preserve">firms’ unit labor costs will </w:t>
      </w:r>
      <w:r w:rsidR="00FF5352">
        <w:rPr>
          <w:rFonts w:ascii="Garamond" w:hAnsi="Garamond"/>
          <w:sz w:val="22"/>
          <w:szCs w:val="22"/>
        </w:rPr>
        <w:t>increase</w:t>
      </w:r>
      <w:r w:rsidR="00A441D7">
        <w:rPr>
          <w:rFonts w:ascii="Garamond" w:hAnsi="Garamond"/>
          <w:sz w:val="22"/>
          <w:szCs w:val="22"/>
        </w:rPr>
        <w:t>;</w:t>
      </w:r>
      <w:r w:rsidRPr="00EE5F0F">
        <w:rPr>
          <w:rFonts w:ascii="Garamond" w:hAnsi="Garamond"/>
          <w:sz w:val="22"/>
          <w:szCs w:val="22"/>
        </w:rPr>
        <w:t xml:space="preserve"> at the end of </w:t>
      </w:r>
      <w:r w:rsidR="003A06CC">
        <w:rPr>
          <w:rFonts w:ascii="Garamond" w:hAnsi="Garamond"/>
          <w:sz w:val="22"/>
          <w:szCs w:val="22"/>
        </w:rPr>
        <w:t xml:space="preserve">the </w:t>
      </w:r>
      <w:r w:rsidRPr="00EE5F0F">
        <w:rPr>
          <w:rFonts w:ascii="Garamond" w:hAnsi="Garamond"/>
          <w:sz w:val="22"/>
          <w:szCs w:val="22"/>
        </w:rPr>
        <w:t>forecast horizon</w:t>
      </w:r>
      <w:r w:rsidR="00153FFE">
        <w:rPr>
          <w:rFonts w:ascii="Garamond" w:hAnsi="Garamond"/>
          <w:sz w:val="22"/>
          <w:szCs w:val="22"/>
        </w:rPr>
        <w:t xml:space="preserve">, as inflation recovers, it </w:t>
      </w:r>
      <w:r w:rsidRPr="00EE5F0F">
        <w:rPr>
          <w:rFonts w:ascii="Garamond" w:hAnsi="Garamond"/>
          <w:sz w:val="22"/>
          <w:szCs w:val="22"/>
        </w:rPr>
        <w:t xml:space="preserve">will stabilize </w:t>
      </w:r>
      <w:r w:rsidR="00383D4D" w:rsidRPr="00EE5F0F">
        <w:rPr>
          <w:rFonts w:ascii="Garamond" w:hAnsi="Garamond"/>
          <w:sz w:val="22"/>
          <w:szCs w:val="22"/>
        </w:rPr>
        <w:t>around the 4% inflation target.</w:t>
      </w:r>
    </w:p>
    <w:p w14:paraId="53AF4488" w14:textId="77777777" w:rsidR="00D25EB7" w:rsidRDefault="00D25EB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05E505BA" w14:textId="77777777" w:rsidR="00EE619D" w:rsidRPr="00D25EB7" w:rsidRDefault="00EE619D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bCs/>
          <w:iCs/>
          <w:color w:val="0070C0"/>
          <w:sz w:val="22"/>
          <w:szCs w:val="22"/>
        </w:rPr>
        <w:t>2.2.3. Comparison with the previous forecast</w:t>
      </w:r>
    </w:p>
    <w:p w14:paraId="3E196EC3" w14:textId="77777777" w:rsidR="00EE619D" w:rsidRPr="00EE5F0F" w:rsidRDefault="00107E0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As </w:t>
      </w:r>
      <w:r w:rsidR="00A441D7">
        <w:rPr>
          <w:rFonts w:ascii="Garamond" w:hAnsi="Garamond"/>
          <w:b/>
          <w:sz w:val="22"/>
          <w:szCs w:val="22"/>
        </w:rPr>
        <w:t xml:space="preserve">external demand slackens, </w:t>
      </w:r>
      <w:r>
        <w:rPr>
          <w:rFonts w:ascii="Garamond" w:hAnsi="Garamond"/>
          <w:b/>
          <w:sz w:val="22"/>
          <w:szCs w:val="22"/>
        </w:rPr>
        <w:t xml:space="preserve">the US and Eurozone </w:t>
      </w:r>
      <w:r w:rsidR="00A441D7">
        <w:rPr>
          <w:rFonts w:ascii="Garamond" w:hAnsi="Garamond"/>
          <w:b/>
          <w:sz w:val="22"/>
          <w:szCs w:val="22"/>
        </w:rPr>
        <w:t>m</w:t>
      </w:r>
      <w:r>
        <w:rPr>
          <w:rFonts w:ascii="Garamond" w:hAnsi="Garamond"/>
          <w:b/>
          <w:sz w:val="22"/>
          <w:szCs w:val="22"/>
        </w:rPr>
        <w:t>id</w:t>
      </w:r>
      <w:r w:rsidR="00A441D7">
        <w:rPr>
          <w:rFonts w:ascii="Garamond" w:hAnsi="Garamond"/>
          <w:b/>
          <w:sz w:val="22"/>
          <w:szCs w:val="22"/>
        </w:rPr>
        <w:t xml:space="preserve">-term </w:t>
      </w:r>
      <w:r w:rsidR="00A441D7" w:rsidRPr="00FE4FEA">
        <w:rPr>
          <w:rFonts w:ascii="Garamond" w:hAnsi="Garamond"/>
          <w:b/>
          <w:sz w:val="22"/>
          <w:szCs w:val="22"/>
        </w:rPr>
        <w:t xml:space="preserve">economic growth </w:t>
      </w:r>
      <w:r w:rsidR="00A441D7">
        <w:rPr>
          <w:rFonts w:ascii="Garamond" w:hAnsi="Garamond"/>
          <w:b/>
          <w:sz w:val="22"/>
          <w:szCs w:val="22"/>
        </w:rPr>
        <w:t>indicator</w:t>
      </w:r>
      <w:r>
        <w:rPr>
          <w:rFonts w:ascii="Garamond" w:hAnsi="Garamond"/>
          <w:b/>
          <w:sz w:val="22"/>
          <w:szCs w:val="22"/>
        </w:rPr>
        <w:t xml:space="preserve">s </w:t>
      </w:r>
      <w:r w:rsidR="00A441D7">
        <w:rPr>
          <w:rFonts w:ascii="Garamond" w:hAnsi="Garamond"/>
          <w:b/>
          <w:sz w:val="22"/>
          <w:szCs w:val="22"/>
        </w:rPr>
        <w:t xml:space="preserve">are </w:t>
      </w:r>
      <w:r>
        <w:rPr>
          <w:rFonts w:ascii="Garamond" w:hAnsi="Garamond"/>
          <w:b/>
          <w:sz w:val="22"/>
          <w:szCs w:val="22"/>
        </w:rPr>
        <w:t xml:space="preserve">now </w:t>
      </w:r>
      <w:r w:rsidR="00A441D7">
        <w:rPr>
          <w:rFonts w:ascii="Garamond" w:hAnsi="Garamond"/>
          <w:b/>
          <w:sz w:val="22"/>
          <w:szCs w:val="22"/>
        </w:rPr>
        <w:t xml:space="preserve">predicted to run at </w:t>
      </w:r>
      <w:r w:rsidR="00FE4FEA">
        <w:rPr>
          <w:rFonts w:ascii="Garamond" w:hAnsi="Garamond"/>
          <w:b/>
          <w:sz w:val="22"/>
          <w:szCs w:val="22"/>
        </w:rPr>
        <w:t xml:space="preserve">levels </w:t>
      </w:r>
      <w:r>
        <w:rPr>
          <w:rFonts w:ascii="Garamond" w:hAnsi="Garamond"/>
          <w:b/>
          <w:sz w:val="22"/>
          <w:szCs w:val="22"/>
        </w:rPr>
        <w:t xml:space="preserve">far </w:t>
      </w:r>
      <w:r w:rsidR="00A441D7">
        <w:rPr>
          <w:rFonts w:ascii="Garamond" w:hAnsi="Garamond"/>
          <w:b/>
          <w:sz w:val="22"/>
          <w:szCs w:val="22"/>
        </w:rPr>
        <w:t xml:space="preserve">below </w:t>
      </w:r>
      <w:r w:rsidR="00FE4FEA" w:rsidRPr="00FE4FEA">
        <w:rPr>
          <w:rFonts w:ascii="Garamond" w:hAnsi="Garamond"/>
          <w:b/>
          <w:sz w:val="22"/>
          <w:szCs w:val="22"/>
        </w:rPr>
        <w:t xml:space="preserve">previous </w:t>
      </w:r>
      <w:r w:rsidR="00331719">
        <w:rPr>
          <w:rFonts w:ascii="Garamond" w:hAnsi="Garamond"/>
          <w:b/>
          <w:sz w:val="22"/>
          <w:szCs w:val="22"/>
        </w:rPr>
        <w:t>f</w:t>
      </w:r>
      <w:r w:rsidR="00FE4FEA" w:rsidRPr="00FE4FEA">
        <w:rPr>
          <w:rFonts w:ascii="Garamond" w:hAnsi="Garamond"/>
          <w:b/>
          <w:sz w:val="22"/>
          <w:szCs w:val="22"/>
        </w:rPr>
        <w:t>orecasts</w:t>
      </w:r>
      <w:r w:rsidR="00B81985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b/>
          <w:sz w:val="22"/>
          <w:szCs w:val="22"/>
        </w:rPr>
        <w:t xml:space="preserve"> Meanwhile, Russia’</w:t>
      </w:r>
      <w:r w:rsidRPr="00107E07">
        <w:rPr>
          <w:rFonts w:ascii="Garamond" w:hAnsi="Garamond"/>
          <w:b/>
          <w:sz w:val="22"/>
          <w:szCs w:val="22"/>
        </w:rPr>
        <w:t xml:space="preserve">s short-term economic growth indicators have been adjusted </w:t>
      </w:r>
      <w:r>
        <w:rPr>
          <w:rFonts w:ascii="Garamond" w:hAnsi="Garamond"/>
          <w:b/>
          <w:sz w:val="22"/>
          <w:szCs w:val="22"/>
        </w:rPr>
        <w:t>upside</w:t>
      </w:r>
      <w:r w:rsidRPr="00107E07">
        <w:rPr>
          <w:rFonts w:ascii="Garamond" w:hAnsi="Garamond"/>
          <w:b/>
          <w:sz w:val="22"/>
          <w:szCs w:val="22"/>
        </w:rPr>
        <w:t>.</w:t>
      </w:r>
      <w:r w:rsidR="00B81985">
        <w:rPr>
          <w:rFonts w:ascii="Garamond" w:hAnsi="Garamond"/>
          <w:b/>
          <w:sz w:val="22"/>
          <w:szCs w:val="22"/>
        </w:rPr>
        <w:t xml:space="preserve"> </w:t>
      </w:r>
    </w:p>
    <w:p w14:paraId="70BAFF89" w14:textId="77777777" w:rsidR="001454E4" w:rsidRDefault="00107E0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</w:t>
      </w:r>
      <w:r w:rsidRPr="00107E07">
        <w:rPr>
          <w:rFonts w:ascii="Garamond" w:hAnsi="Garamond"/>
          <w:sz w:val="22"/>
          <w:szCs w:val="22"/>
        </w:rPr>
        <w:t xml:space="preserve">US economic growth </w:t>
      </w:r>
      <w:r>
        <w:rPr>
          <w:rFonts w:ascii="Garamond" w:hAnsi="Garamond"/>
          <w:sz w:val="22"/>
          <w:szCs w:val="22"/>
        </w:rPr>
        <w:t xml:space="preserve">forecasts were revised </w:t>
      </w:r>
      <w:r w:rsidRPr="00107E07">
        <w:rPr>
          <w:rFonts w:ascii="Garamond" w:hAnsi="Garamond"/>
          <w:sz w:val="22"/>
          <w:szCs w:val="22"/>
        </w:rPr>
        <w:t>somewhat downward due to low investment levels.</w:t>
      </w:r>
      <w:r>
        <w:rPr>
          <w:rFonts w:ascii="Garamond" w:hAnsi="Garamond"/>
          <w:sz w:val="22"/>
          <w:szCs w:val="22"/>
        </w:rPr>
        <w:t xml:space="preserve"> </w:t>
      </w:r>
    </w:p>
    <w:p w14:paraId="50EA1CA9" w14:textId="77777777" w:rsidR="001454E4" w:rsidRDefault="00107E0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The </w:t>
      </w:r>
      <w:r w:rsidR="009F1738">
        <w:rPr>
          <w:rFonts w:ascii="Garamond" w:hAnsi="Garamond"/>
          <w:sz w:val="22"/>
          <w:szCs w:val="22"/>
        </w:rPr>
        <w:t>forecasts of the Eurozone’</w:t>
      </w:r>
      <w:r w:rsidR="009F1738" w:rsidRPr="009F1738">
        <w:rPr>
          <w:rFonts w:ascii="Garamond" w:hAnsi="Garamond"/>
          <w:sz w:val="22"/>
          <w:szCs w:val="22"/>
        </w:rPr>
        <w:t xml:space="preserve">s economic growth in the forecast horizon </w:t>
      </w:r>
      <w:r w:rsidR="009F1738">
        <w:rPr>
          <w:rFonts w:ascii="Garamond" w:hAnsi="Garamond"/>
          <w:sz w:val="22"/>
          <w:szCs w:val="22"/>
        </w:rPr>
        <w:t xml:space="preserve">were adjusted </w:t>
      </w:r>
      <w:r w:rsidR="009F1738" w:rsidRPr="009F1738">
        <w:rPr>
          <w:rFonts w:ascii="Garamond" w:hAnsi="Garamond"/>
          <w:sz w:val="22"/>
          <w:szCs w:val="22"/>
        </w:rPr>
        <w:t xml:space="preserve">downward </w:t>
      </w:r>
      <w:r w:rsidR="009F1738">
        <w:rPr>
          <w:rFonts w:ascii="Garamond" w:hAnsi="Garamond"/>
          <w:sz w:val="22"/>
          <w:szCs w:val="22"/>
        </w:rPr>
        <w:t xml:space="preserve">amid uncertainties over </w:t>
      </w:r>
      <w:r w:rsidR="009F1738" w:rsidRPr="009F1738">
        <w:rPr>
          <w:rFonts w:ascii="Garamond" w:hAnsi="Garamond"/>
          <w:sz w:val="22"/>
          <w:szCs w:val="22"/>
        </w:rPr>
        <w:t xml:space="preserve">trade wars and </w:t>
      </w:r>
      <w:r w:rsidR="009F1738">
        <w:rPr>
          <w:rFonts w:ascii="Garamond" w:hAnsi="Garamond"/>
          <w:sz w:val="22"/>
          <w:szCs w:val="22"/>
        </w:rPr>
        <w:t xml:space="preserve">the </w:t>
      </w:r>
      <w:r w:rsidR="009F1738" w:rsidRPr="009F1738">
        <w:rPr>
          <w:rFonts w:ascii="Garamond" w:hAnsi="Garamond"/>
          <w:sz w:val="22"/>
          <w:szCs w:val="22"/>
        </w:rPr>
        <w:t>Brexit.</w:t>
      </w:r>
      <w:r w:rsidR="009F1738">
        <w:rPr>
          <w:rFonts w:ascii="Garamond" w:hAnsi="Garamond"/>
          <w:sz w:val="22"/>
          <w:szCs w:val="22"/>
        </w:rPr>
        <w:t xml:space="preserve"> </w:t>
      </w:r>
    </w:p>
    <w:p w14:paraId="405A5CD5" w14:textId="77777777" w:rsidR="00500167" w:rsidRPr="00EE5F0F" w:rsidRDefault="009F1738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</w:t>
      </w:r>
      <w:r w:rsidR="00B17F7D">
        <w:rPr>
          <w:rFonts w:ascii="Garamond" w:hAnsi="Garamond"/>
          <w:sz w:val="22"/>
          <w:szCs w:val="22"/>
        </w:rPr>
        <w:t>urrent f</w:t>
      </w:r>
      <w:r w:rsidR="001454E4" w:rsidRPr="001454E4">
        <w:rPr>
          <w:rFonts w:ascii="Garamond" w:hAnsi="Garamond"/>
          <w:sz w:val="22"/>
          <w:szCs w:val="22"/>
        </w:rPr>
        <w:t>orecasts</w:t>
      </w:r>
      <w:r w:rsidR="0097298A">
        <w:rPr>
          <w:rFonts w:ascii="Garamond" w:hAnsi="Garamond"/>
          <w:sz w:val="22"/>
          <w:szCs w:val="22"/>
        </w:rPr>
        <w:t xml:space="preserve"> of e</w:t>
      </w:r>
      <w:r w:rsidR="001454E4">
        <w:rPr>
          <w:rFonts w:ascii="Garamond" w:hAnsi="Garamond"/>
          <w:sz w:val="22"/>
          <w:szCs w:val="22"/>
        </w:rPr>
        <w:t xml:space="preserve">conomic growth in </w:t>
      </w:r>
      <w:r w:rsidR="001454E4" w:rsidRPr="001454E4">
        <w:rPr>
          <w:rFonts w:ascii="Garamond" w:hAnsi="Garamond"/>
          <w:sz w:val="22"/>
          <w:szCs w:val="22"/>
        </w:rPr>
        <w:t xml:space="preserve">Russia </w:t>
      </w:r>
      <w:r>
        <w:rPr>
          <w:rFonts w:ascii="Garamond" w:hAnsi="Garamond"/>
          <w:sz w:val="22"/>
          <w:szCs w:val="22"/>
        </w:rPr>
        <w:t>in a short</w:t>
      </w:r>
      <w:r w:rsidR="00E008A5">
        <w:rPr>
          <w:rFonts w:ascii="Garamond" w:hAnsi="Garamond"/>
          <w:sz w:val="22"/>
          <w:szCs w:val="22"/>
        </w:rPr>
        <w:t xml:space="preserve">-term perspective </w:t>
      </w:r>
      <w:r w:rsidR="00B17F7D">
        <w:rPr>
          <w:rFonts w:ascii="Garamond" w:hAnsi="Garamond"/>
          <w:sz w:val="22"/>
          <w:szCs w:val="22"/>
        </w:rPr>
        <w:t xml:space="preserve">are </w:t>
      </w:r>
      <w:r>
        <w:rPr>
          <w:rFonts w:ascii="Garamond" w:hAnsi="Garamond"/>
          <w:sz w:val="22"/>
          <w:szCs w:val="22"/>
        </w:rPr>
        <w:t xml:space="preserve">expected to be above </w:t>
      </w:r>
      <w:r w:rsidR="00B17F7D">
        <w:rPr>
          <w:rFonts w:ascii="Garamond" w:hAnsi="Garamond"/>
          <w:sz w:val="22"/>
          <w:szCs w:val="22"/>
        </w:rPr>
        <w:t xml:space="preserve">the </w:t>
      </w:r>
      <w:r w:rsidR="00F30010">
        <w:rPr>
          <w:rFonts w:ascii="Garamond" w:hAnsi="Garamond"/>
          <w:sz w:val="22"/>
          <w:szCs w:val="22"/>
        </w:rPr>
        <w:t xml:space="preserve">previous quarter’s </w:t>
      </w:r>
      <w:r w:rsidR="00B17F7D">
        <w:rPr>
          <w:rFonts w:ascii="Garamond" w:hAnsi="Garamond"/>
          <w:sz w:val="22"/>
          <w:szCs w:val="22"/>
        </w:rPr>
        <w:t>forecasts</w:t>
      </w:r>
      <w:r>
        <w:rPr>
          <w:rFonts w:ascii="Garamond" w:hAnsi="Garamond"/>
          <w:sz w:val="22"/>
          <w:szCs w:val="22"/>
        </w:rPr>
        <w:t>, attributable to an actual indicator expected to exceed the third quarter’s forecasts</w:t>
      </w:r>
      <w:r w:rsidRPr="009F1738">
        <w:rPr>
          <w:rFonts w:ascii="Garamond" w:hAnsi="Garamond"/>
          <w:sz w:val="22"/>
          <w:szCs w:val="22"/>
        </w:rPr>
        <w:t>, a</w:t>
      </w:r>
      <w:r>
        <w:rPr>
          <w:rFonts w:ascii="Garamond" w:hAnsi="Garamond"/>
          <w:sz w:val="22"/>
          <w:szCs w:val="22"/>
        </w:rPr>
        <w:t xml:space="preserve">nd because </w:t>
      </w:r>
      <w:r w:rsidRPr="009F1738">
        <w:rPr>
          <w:rFonts w:ascii="Garamond" w:hAnsi="Garamond"/>
          <w:sz w:val="22"/>
          <w:szCs w:val="22"/>
        </w:rPr>
        <w:t>positive developments in</w:t>
      </w:r>
      <w:r>
        <w:rPr>
          <w:rFonts w:ascii="Garamond" w:hAnsi="Garamond"/>
          <w:sz w:val="22"/>
          <w:szCs w:val="22"/>
        </w:rPr>
        <w:t xml:space="preserve"> the industry are persisting</w:t>
      </w:r>
      <w:r w:rsidR="00B8615B" w:rsidRPr="00B8615B">
        <w:rPr>
          <w:rFonts w:ascii="Garamond" w:hAnsi="Garamond"/>
          <w:sz w:val="22"/>
          <w:szCs w:val="22"/>
        </w:rPr>
        <w:t>.</w:t>
      </w:r>
      <w:r w:rsidR="00B27B14">
        <w:rPr>
          <w:rFonts w:ascii="Garamond" w:hAnsi="Garamond"/>
          <w:sz w:val="22"/>
          <w:szCs w:val="22"/>
        </w:rPr>
        <w:t xml:space="preserve"> </w:t>
      </w:r>
    </w:p>
    <w:p w14:paraId="65A81E42" w14:textId="77777777" w:rsidR="003B6FDA" w:rsidRPr="00EE5F0F" w:rsidRDefault="000A6AF2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</w:t>
      </w:r>
      <w:r w:rsidR="00520816" w:rsidRPr="00EE5F0F">
        <w:rPr>
          <w:rFonts w:ascii="Garamond" w:hAnsi="Garamond"/>
          <w:b/>
          <w:sz w:val="22"/>
          <w:szCs w:val="22"/>
        </w:rPr>
        <w:t xml:space="preserve">he world’s </w:t>
      </w:r>
      <w:r w:rsidR="00562C44">
        <w:rPr>
          <w:rFonts w:ascii="Garamond" w:hAnsi="Garamond"/>
          <w:b/>
          <w:sz w:val="22"/>
          <w:szCs w:val="22"/>
        </w:rPr>
        <w:t xml:space="preserve">basic </w:t>
      </w:r>
      <w:r w:rsidR="00520816" w:rsidRPr="00EE5F0F">
        <w:rPr>
          <w:rFonts w:ascii="Garamond" w:hAnsi="Garamond"/>
          <w:b/>
          <w:sz w:val="22"/>
          <w:szCs w:val="22"/>
        </w:rPr>
        <w:t xml:space="preserve">commodity </w:t>
      </w:r>
      <w:r w:rsidR="007F3C29">
        <w:rPr>
          <w:rFonts w:ascii="Garamond" w:hAnsi="Garamond"/>
          <w:b/>
          <w:sz w:val="22"/>
          <w:szCs w:val="22"/>
        </w:rPr>
        <w:t xml:space="preserve">and food product </w:t>
      </w:r>
      <w:r w:rsidR="00520816" w:rsidRPr="00EE5F0F">
        <w:rPr>
          <w:rFonts w:ascii="Garamond" w:hAnsi="Garamond"/>
          <w:b/>
          <w:sz w:val="22"/>
          <w:szCs w:val="22"/>
        </w:rPr>
        <w:t>markets</w:t>
      </w:r>
      <w:r>
        <w:rPr>
          <w:rFonts w:ascii="Garamond" w:hAnsi="Garamond"/>
          <w:b/>
          <w:sz w:val="22"/>
          <w:szCs w:val="22"/>
        </w:rPr>
        <w:t xml:space="preserve"> anticipate an </w:t>
      </w:r>
      <w:r w:rsidR="00B8615B">
        <w:rPr>
          <w:rFonts w:ascii="Garamond" w:hAnsi="Garamond"/>
          <w:b/>
          <w:sz w:val="22"/>
          <w:szCs w:val="22"/>
        </w:rPr>
        <w:t xml:space="preserve">even </w:t>
      </w:r>
      <w:r w:rsidR="00562C44">
        <w:rPr>
          <w:rFonts w:ascii="Garamond" w:hAnsi="Garamond"/>
          <w:b/>
          <w:sz w:val="22"/>
          <w:szCs w:val="22"/>
        </w:rPr>
        <w:t xml:space="preserve">weaker </w:t>
      </w:r>
      <w:r w:rsidR="00520816" w:rsidRPr="00EE5F0F">
        <w:rPr>
          <w:rFonts w:ascii="Garamond" w:hAnsi="Garamond"/>
          <w:b/>
          <w:sz w:val="22"/>
          <w:szCs w:val="22"/>
        </w:rPr>
        <w:t>i</w:t>
      </w:r>
      <w:r w:rsidR="003B6FDA" w:rsidRPr="00EE5F0F">
        <w:rPr>
          <w:rFonts w:ascii="Garamond" w:hAnsi="Garamond"/>
          <w:b/>
          <w:sz w:val="22"/>
          <w:szCs w:val="22"/>
        </w:rPr>
        <w:t xml:space="preserve">nflationary </w:t>
      </w:r>
      <w:r w:rsidR="00562C44">
        <w:rPr>
          <w:rFonts w:ascii="Garamond" w:hAnsi="Garamond"/>
          <w:b/>
          <w:sz w:val="22"/>
          <w:szCs w:val="22"/>
        </w:rPr>
        <w:t xml:space="preserve">environment </w:t>
      </w:r>
      <w:r>
        <w:rPr>
          <w:rFonts w:ascii="Garamond" w:hAnsi="Garamond"/>
          <w:b/>
          <w:sz w:val="22"/>
          <w:szCs w:val="22"/>
        </w:rPr>
        <w:t>relative to t</w:t>
      </w:r>
      <w:r w:rsidR="00562C44">
        <w:rPr>
          <w:rFonts w:ascii="Garamond" w:hAnsi="Garamond"/>
          <w:b/>
          <w:sz w:val="22"/>
          <w:szCs w:val="22"/>
        </w:rPr>
        <w:t xml:space="preserve">he </w:t>
      </w:r>
      <w:r w:rsidR="00520816" w:rsidRPr="00EE5F0F">
        <w:rPr>
          <w:rFonts w:ascii="Garamond" w:hAnsi="Garamond"/>
          <w:b/>
          <w:sz w:val="22"/>
          <w:szCs w:val="22"/>
        </w:rPr>
        <w:t>previous</w:t>
      </w:r>
      <w:r w:rsidR="00562C44">
        <w:rPr>
          <w:rFonts w:ascii="Garamond" w:hAnsi="Garamond"/>
          <w:b/>
          <w:sz w:val="22"/>
          <w:szCs w:val="22"/>
        </w:rPr>
        <w:t xml:space="preserve"> forecast</w:t>
      </w:r>
      <w:r w:rsidR="007F3C29">
        <w:rPr>
          <w:rFonts w:ascii="Garamond" w:hAnsi="Garamond"/>
          <w:b/>
          <w:sz w:val="22"/>
          <w:szCs w:val="22"/>
        </w:rPr>
        <w:t>, amid a sluggish global demand</w:t>
      </w:r>
      <w:r>
        <w:rPr>
          <w:rFonts w:ascii="Garamond" w:hAnsi="Garamond"/>
          <w:b/>
          <w:sz w:val="22"/>
          <w:szCs w:val="22"/>
        </w:rPr>
        <w:t xml:space="preserve"> and in expectation of </w:t>
      </w:r>
      <w:r w:rsidRPr="000A6AF2">
        <w:rPr>
          <w:rFonts w:ascii="Garamond" w:hAnsi="Garamond"/>
          <w:b/>
          <w:sz w:val="22"/>
          <w:szCs w:val="22"/>
        </w:rPr>
        <w:t>a decline in supply volumes for some food groups</w:t>
      </w:r>
      <w:r>
        <w:rPr>
          <w:rFonts w:ascii="Garamond" w:hAnsi="Garamond"/>
          <w:b/>
          <w:sz w:val="22"/>
          <w:szCs w:val="22"/>
        </w:rPr>
        <w:t>.</w:t>
      </w:r>
    </w:p>
    <w:p w14:paraId="7D9DC3BB" w14:textId="77777777" w:rsidR="00500167" w:rsidRPr="00EE5F0F" w:rsidRDefault="003C1254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="005A3523" w:rsidRPr="00EE5F0F">
        <w:rPr>
          <w:rFonts w:ascii="Garamond" w:hAnsi="Garamond"/>
          <w:sz w:val="22"/>
          <w:szCs w:val="22"/>
        </w:rPr>
        <w:t xml:space="preserve">n the </w:t>
      </w:r>
      <w:r w:rsidR="000B2CE6" w:rsidRPr="00EE5F0F">
        <w:rPr>
          <w:rFonts w:ascii="Garamond" w:hAnsi="Garamond"/>
          <w:sz w:val="22"/>
          <w:szCs w:val="22"/>
        </w:rPr>
        <w:t xml:space="preserve">world’s </w:t>
      </w:r>
      <w:r w:rsidR="005A3523" w:rsidRPr="00EE5F0F">
        <w:rPr>
          <w:rFonts w:ascii="Garamond" w:hAnsi="Garamond"/>
          <w:sz w:val="22"/>
          <w:szCs w:val="22"/>
        </w:rPr>
        <w:t xml:space="preserve">food </w:t>
      </w:r>
      <w:r w:rsidR="000B2CE6" w:rsidRPr="00EE5F0F">
        <w:rPr>
          <w:rFonts w:ascii="Garamond" w:hAnsi="Garamond"/>
          <w:sz w:val="22"/>
          <w:szCs w:val="22"/>
        </w:rPr>
        <w:t xml:space="preserve">product </w:t>
      </w:r>
      <w:r w:rsidR="005A3523" w:rsidRPr="00EE5F0F">
        <w:rPr>
          <w:rFonts w:ascii="Garamond" w:hAnsi="Garamond"/>
          <w:sz w:val="22"/>
          <w:szCs w:val="22"/>
        </w:rPr>
        <w:t>market</w:t>
      </w:r>
      <w:r w:rsidR="000B2CE6" w:rsidRPr="00EE5F0F">
        <w:rPr>
          <w:rFonts w:ascii="Garamond" w:hAnsi="Garamond"/>
          <w:sz w:val="22"/>
          <w:szCs w:val="22"/>
        </w:rPr>
        <w:t>s</w:t>
      </w:r>
      <w:r w:rsidR="005E7FE5">
        <w:rPr>
          <w:rFonts w:ascii="Garamond" w:hAnsi="Garamond"/>
          <w:sz w:val="22"/>
          <w:szCs w:val="22"/>
        </w:rPr>
        <w:t xml:space="preserve"> in 2019</w:t>
      </w:r>
      <w:r w:rsidR="00D94C02">
        <w:rPr>
          <w:rFonts w:ascii="Garamond" w:hAnsi="Garamond"/>
          <w:sz w:val="22"/>
          <w:szCs w:val="22"/>
        </w:rPr>
        <w:t xml:space="preserve"> and over a medium run</w:t>
      </w:r>
      <w:r w:rsidR="00B80F86">
        <w:rPr>
          <w:rFonts w:ascii="Garamond" w:hAnsi="Garamond"/>
          <w:sz w:val="22"/>
          <w:szCs w:val="22"/>
        </w:rPr>
        <w:t>,</w:t>
      </w:r>
      <w:r w:rsidR="003E01F9" w:rsidRPr="00EE5F0F">
        <w:rPr>
          <w:rFonts w:ascii="Garamond" w:hAnsi="Garamond"/>
          <w:sz w:val="22"/>
          <w:szCs w:val="22"/>
        </w:rPr>
        <w:t xml:space="preserve"> </w:t>
      </w:r>
      <w:r w:rsidR="005F5D70">
        <w:rPr>
          <w:rFonts w:ascii="Garamond" w:hAnsi="Garamond"/>
          <w:sz w:val="22"/>
          <w:szCs w:val="22"/>
        </w:rPr>
        <w:t xml:space="preserve">inflation is predicted to </w:t>
      </w:r>
      <w:r w:rsidR="000A6AF2">
        <w:rPr>
          <w:rFonts w:ascii="Garamond" w:hAnsi="Garamond"/>
          <w:sz w:val="22"/>
          <w:szCs w:val="22"/>
        </w:rPr>
        <w:t>run</w:t>
      </w:r>
      <w:r w:rsidR="005F5D70">
        <w:rPr>
          <w:rFonts w:ascii="Garamond" w:hAnsi="Garamond"/>
          <w:sz w:val="22"/>
          <w:szCs w:val="22"/>
        </w:rPr>
        <w:t xml:space="preserve"> </w:t>
      </w:r>
      <w:r w:rsidR="000A6AF2">
        <w:rPr>
          <w:rFonts w:ascii="Garamond" w:hAnsi="Garamond"/>
          <w:sz w:val="22"/>
          <w:szCs w:val="22"/>
        </w:rPr>
        <w:t xml:space="preserve">slightly above </w:t>
      </w:r>
      <w:r w:rsidR="00D94C02">
        <w:rPr>
          <w:rFonts w:ascii="Garamond" w:hAnsi="Garamond"/>
          <w:sz w:val="22"/>
          <w:szCs w:val="22"/>
        </w:rPr>
        <w:t xml:space="preserve">the </w:t>
      </w:r>
      <w:r w:rsidR="00735F66">
        <w:rPr>
          <w:rFonts w:ascii="Garamond" w:hAnsi="Garamond"/>
          <w:sz w:val="22"/>
          <w:szCs w:val="22"/>
        </w:rPr>
        <w:t>previous</w:t>
      </w:r>
      <w:r w:rsidR="000A6AF2">
        <w:rPr>
          <w:rFonts w:ascii="Garamond" w:hAnsi="Garamond"/>
          <w:sz w:val="22"/>
          <w:szCs w:val="22"/>
        </w:rPr>
        <w:t xml:space="preserve"> forecast, due to expectations of poor sugarcane and wheat </w:t>
      </w:r>
      <w:r w:rsidR="000A6AF2" w:rsidRPr="000A6AF2">
        <w:rPr>
          <w:rFonts w:ascii="Garamond" w:hAnsi="Garamond"/>
          <w:sz w:val="22"/>
          <w:szCs w:val="22"/>
        </w:rPr>
        <w:t>harvest.</w:t>
      </w:r>
    </w:p>
    <w:p w14:paraId="286AE382" w14:textId="77777777" w:rsidR="004928D0" w:rsidRPr="00EE5F0F" w:rsidRDefault="00182A25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="006355AE" w:rsidRPr="00EE5F0F">
        <w:rPr>
          <w:rFonts w:ascii="Garamond" w:hAnsi="Garamond"/>
          <w:sz w:val="22"/>
          <w:szCs w:val="22"/>
        </w:rPr>
        <w:t xml:space="preserve">nternational </w:t>
      </w:r>
      <w:r w:rsidR="004928D0" w:rsidRPr="00EE5F0F">
        <w:rPr>
          <w:rFonts w:ascii="Garamond" w:hAnsi="Garamond"/>
          <w:sz w:val="22"/>
          <w:szCs w:val="22"/>
        </w:rPr>
        <w:t>oil price</w:t>
      </w:r>
      <w:r w:rsidR="00556E2F">
        <w:rPr>
          <w:rFonts w:ascii="Garamond" w:hAnsi="Garamond"/>
          <w:sz w:val="22"/>
          <w:szCs w:val="22"/>
        </w:rPr>
        <w:t xml:space="preserve"> forecasts </w:t>
      </w:r>
      <w:r w:rsidR="00556E2F" w:rsidRPr="00556E2F">
        <w:rPr>
          <w:rFonts w:ascii="Garamond" w:hAnsi="Garamond"/>
          <w:sz w:val="22"/>
          <w:szCs w:val="22"/>
        </w:rPr>
        <w:t xml:space="preserve">for the </w:t>
      </w:r>
      <w:r w:rsidR="00556E2F">
        <w:rPr>
          <w:rFonts w:ascii="Garamond" w:hAnsi="Garamond"/>
          <w:sz w:val="22"/>
          <w:szCs w:val="22"/>
        </w:rPr>
        <w:t xml:space="preserve">entire </w:t>
      </w:r>
      <w:r w:rsidR="00556E2F" w:rsidRPr="00556E2F">
        <w:rPr>
          <w:rFonts w:ascii="Garamond" w:hAnsi="Garamond"/>
          <w:sz w:val="22"/>
          <w:szCs w:val="22"/>
        </w:rPr>
        <w:t>horizon are close to the previous low levels</w:t>
      </w:r>
      <w:r w:rsidR="00556E2F">
        <w:rPr>
          <w:rFonts w:ascii="Garamond" w:hAnsi="Garamond"/>
          <w:sz w:val="22"/>
          <w:szCs w:val="22"/>
        </w:rPr>
        <w:t xml:space="preserve"> and are explained by a sluggish global </w:t>
      </w:r>
      <w:r w:rsidR="00556E2F" w:rsidRPr="00D94C02">
        <w:rPr>
          <w:rFonts w:ascii="Garamond" w:hAnsi="Garamond"/>
          <w:sz w:val="22"/>
          <w:szCs w:val="22"/>
        </w:rPr>
        <w:t>demand</w:t>
      </w:r>
      <w:r w:rsidR="00556E2F">
        <w:rPr>
          <w:rFonts w:ascii="Garamond" w:hAnsi="Garamond"/>
          <w:sz w:val="22"/>
          <w:szCs w:val="22"/>
        </w:rPr>
        <w:t>.</w:t>
      </w:r>
      <w:r w:rsidR="00D94C02">
        <w:rPr>
          <w:rFonts w:ascii="Garamond" w:hAnsi="Garamond"/>
          <w:sz w:val="22"/>
          <w:szCs w:val="22"/>
        </w:rPr>
        <w:t xml:space="preserve"> </w:t>
      </w:r>
    </w:p>
    <w:p w14:paraId="27A6AE65" w14:textId="77777777" w:rsidR="00D25EB7" w:rsidRDefault="00CA127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>I</w:t>
      </w:r>
      <w:r w:rsidR="00765248">
        <w:rPr>
          <w:rFonts w:ascii="Garamond" w:hAnsi="Garamond"/>
          <w:sz w:val="22"/>
          <w:szCs w:val="22"/>
        </w:rPr>
        <w:t>n</w:t>
      </w:r>
      <w:r w:rsidR="00785B36" w:rsidRPr="00EE5F0F">
        <w:rPr>
          <w:rFonts w:ascii="Garamond" w:hAnsi="Garamond"/>
          <w:sz w:val="22"/>
          <w:szCs w:val="22"/>
        </w:rPr>
        <w:t xml:space="preserve">ternational </w:t>
      </w:r>
      <w:r w:rsidR="009E6F4B" w:rsidRPr="00EE5F0F">
        <w:rPr>
          <w:rFonts w:ascii="Garamond" w:hAnsi="Garamond"/>
          <w:sz w:val="22"/>
          <w:szCs w:val="22"/>
        </w:rPr>
        <w:t xml:space="preserve">copper prices will </w:t>
      </w:r>
      <w:r w:rsidR="00785B36" w:rsidRPr="00EE5F0F">
        <w:rPr>
          <w:rFonts w:ascii="Garamond" w:hAnsi="Garamond"/>
          <w:sz w:val="22"/>
          <w:szCs w:val="22"/>
        </w:rPr>
        <w:t xml:space="preserve">shape </w:t>
      </w:r>
      <w:r w:rsidRPr="00EE5F0F">
        <w:rPr>
          <w:rFonts w:ascii="Garamond" w:hAnsi="Garamond"/>
          <w:sz w:val="22"/>
          <w:szCs w:val="22"/>
        </w:rPr>
        <w:t>at level</w:t>
      </w:r>
      <w:r w:rsidR="00556E2F">
        <w:rPr>
          <w:rFonts w:ascii="Garamond" w:hAnsi="Garamond"/>
          <w:sz w:val="22"/>
          <w:szCs w:val="22"/>
        </w:rPr>
        <w:t>s</w:t>
      </w:r>
      <w:r w:rsidRPr="00EE5F0F">
        <w:rPr>
          <w:rFonts w:ascii="Garamond" w:hAnsi="Garamond"/>
          <w:sz w:val="22"/>
          <w:szCs w:val="22"/>
        </w:rPr>
        <w:t xml:space="preserve"> </w:t>
      </w:r>
      <w:r w:rsidR="00177B04">
        <w:rPr>
          <w:rFonts w:ascii="Garamond" w:hAnsi="Garamond"/>
          <w:sz w:val="22"/>
          <w:szCs w:val="22"/>
        </w:rPr>
        <w:t xml:space="preserve">lower than </w:t>
      </w:r>
      <w:r w:rsidRPr="00EE5F0F">
        <w:rPr>
          <w:rFonts w:ascii="Garamond" w:hAnsi="Garamond"/>
          <w:sz w:val="22"/>
          <w:szCs w:val="22"/>
        </w:rPr>
        <w:t xml:space="preserve">outlined in the previous forecast, </w:t>
      </w:r>
      <w:r w:rsidR="00143B11">
        <w:rPr>
          <w:rFonts w:ascii="Garamond" w:hAnsi="Garamond"/>
          <w:sz w:val="22"/>
          <w:szCs w:val="22"/>
        </w:rPr>
        <w:t xml:space="preserve">due to </w:t>
      </w:r>
      <w:r w:rsidR="006717D6">
        <w:rPr>
          <w:rFonts w:ascii="Garamond" w:hAnsi="Garamond"/>
          <w:sz w:val="22"/>
          <w:szCs w:val="22"/>
        </w:rPr>
        <w:t xml:space="preserve">a </w:t>
      </w:r>
      <w:r w:rsidR="00143B11">
        <w:rPr>
          <w:rFonts w:ascii="Garamond" w:hAnsi="Garamond"/>
          <w:sz w:val="22"/>
          <w:szCs w:val="22"/>
        </w:rPr>
        <w:t xml:space="preserve">contracted demand </w:t>
      </w:r>
      <w:r w:rsidR="00C06264">
        <w:rPr>
          <w:rFonts w:ascii="Garamond" w:hAnsi="Garamond"/>
          <w:sz w:val="22"/>
          <w:szCs w:val="22"/>
        </w:rPr>
        <w:t xml:space="preserve">because of </w:t>
      </w:r>
      <w:r w:rsidR="00D576E2">
        <w:rPr>
          <w:rFonts w:ascii="Garamond" w:hAnsi="Garamond"/>
          <w:sz w:val="22"/>
          <w:szCs w:val="22"/>
        </w:rPr>
        <w:t xml:space="preserve">trade </w:t>
      </w:r>
      <w:r w:rsidR="005E7FE5">
        <w:rPr>
          <w:rFonts w:ascii="Garamond" w:hAnsi="Garamond"/>
          <w:sz w:val="22"/>
          <w:szCs w:val="22"/>
        </w:rPr>
        <w:t>wars</w:t>
      </w:r>
      <w:r w:rsidR="00C06264">
        <w:rPr>
          <w:rFonts w:ascii="Garamond" w:hAnsi="Garamond"/>
          <w:sz w:val="22"/>
          <w:szCs w:val="22"/>
        </w:rPr>
        <w:t>.</w:t>
      </w:r>
    </w:p>
    <w:p w14:paraId="407D2D10" w14:textId="77777777" w:rsidR="00C71404" w:rsidRPr="00D25EB7" w:rsidRDefault="00C71404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Armenia’s economic growth </w:t>
      </w:r>
      <w:r w:rsidR="006F21AF">
        <w:rPr>
          <w:rFonts w:ascii="Garamond" w:hAnsi="Garamond"/>
          <w:b/>
          <w:sz w:val="22"/>
          <w:szCs w:val="22"/>
        </w:rPr>
        <w:t>forecasts for 2019-2020 were</w:t>
      </w:r>
      <w:r w:rsidR="006038A5">
        <w:rPr>
          <w:rFonts w:ascii="Garamond" w:hAnsi="Garamond"/>
          <w:b/>
          <w:sz w:val="22"/>
          <w:szCs w:val="22"/>
        </w:rPr>
        <w:t xml:space="preserve"> revised </w:t>
      </w:r>
      <w:r w:rsidR="006F21AF">
        <w:rPr>
          <w:rFonts w:ascii="Garamond" w:hAnsi="Garamond"/>
          <w:b/>
          <w:sz w:val="22"/>
          <w:szCs w:val="22"/>
        </w:rPr>
        <w:t xml:space="preserve">somewhat </w:t>
      </w:r>
      <w:r w:rsidR="006038A5">
        <w:rPr>
          <w:rFonts w:ascii="Garamond" w:hAnsi="Garamond"/>
          <w:b/>
          <w:sz w:val="22"/>
          <w:szCs w:val="22"/>
        </w:rPr>
        <w:t>upside</w:t>
      </w:r>
      <w:r w:rsidR="005E7FE5">
        <w:rPr>
          <w:rFonts w:ascii="Garamond" w:hAnsi="Garamond"/>
          <w:b/>
          <w:sz w:val="22"/>
          <w:szCs w:val="22"/>
        </w:rPr>
        <w:t xml:space="preserve">; </w:t>
      </w:r>
      <w:r w:rsidR="006F21AF">
        <w:rPr>
          <w:rFonts w:ascii="Garamond" w:hAnsi="Garamond"/>
          <w:b/>
          <w:sz w:val="22"/>
          <w:szCs w:val="22"/>
        </w:rPr>
        <w:t xml:space="preserve">the forecasts </w:t>
      </w:r>
      <w:r w:rsidR="005E7FE5">
        <w:rPr>
          <w:rFonts w:ascii="Garamond" w:hAnsi="Garamond"/>
          <w:b/>
          <w:sz w:val="22"/>
          <w:szCs w:val="22"/>
        </w:rPr>
        <w:t xml:space="preserve">remain much the same </w:t>
      </w:r>
      <w:r w:rsidR="006F21AF">
        <w:rPr>
          <w:rFonts w:ascii="Garamond" w:hAnsi="Garamond"/>
          <w:b/>
          <w:sz w:val="22"/>
          <w:szCs w:val="22"/>
        </w:rPr>
        <w:t xml:space="preserve">for the end of </w:t>
      </w:r>
      <w:r w:rsidR="005E7FE5">
        <w:rPr>
          <w:rFonts w:ascii="Garamond" w:hAnsi="Garamond"/>
          <w:b/>
          <w:sz w:val="22"/>
          <w:szCs w:val="22"/>
        </w:rPr>
        <w:t>the forecast horizon, however</w:t>
      </w:r>
      <w:r w:rsidR="00D576E2" w:rsidRPr="00D576E2">
        <w:rPr>
          <w:rFonts w:ascii="Garamond" w:hAnsi="Garamond"/>
          <w:b/>
          <w:sz w:val="22"/>
          <w:szCs w:val="22"/>
        </w:rPr>
        <w:t>.</w:t>
      </w:r>
      <w:r w:rsidR="00D576E2">
        <w:rPr>
          <w:rFonts w:ascii="Garamond" w:hAnsi="Garamond"/>
          <w:b/>
          <w:sz w:val="22"/>
          <w:szCs w:val="22"/>
        </w:rPr>
        <w:t xml:space="preserve"> </w:t>
      </w:r>
    </w:p>
    <w:p w14:paraId="1D368685" w14:textId="0E774E04" w:rsidR="00D355DD" w:rsidRDefault="00D576E2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D576E2">
        <w:rPr>
          <w:rFonts w:ascii="Garamond" w:hAnsi="Garamond"/>
          <w:sz w:val="22"/>
          <w:szCs w:val="22"/>
        </w:rPr>
        <w:t xml:space="preserve">The </w:t>
      </w:r>
      <w:r w:rsidR="00201062">
        <w:rPr>
          <w:rFonts w:ascii="Garamond" w:hAnsi="Garamond"/>
          <w:sz w:val="22"/>
          <w:szCs w:val="22"/>
        </w:rPr>
        <w:t xml:space="preserve">2019 </w:t>
      </w:r>
      <w:r w:rsidRPr="00D576E2">
        <w:rPr>
          <w:rFonts w:ascii="Garamond" w:hAnsi="Garamond"/>
          <w:sz w:val="22"/>
          <w:szCs w:val="22"/>
        </w:rPr>
        <w:t>economic growth</w:t>
      </w:r>
      <w:r w:rsidR="00201062">
        <w:rPr>
          <w:rFonts w:ascii="Garamond" w:hAnsi="Garamond"/>
          <w:sz w:val="22"/>
          <w:szCs w:val="22"/>
        </w:rPr>
        <w:t xml:space="preserve"> </w:t>
      </w:r>
      <w:r w:rsidR="00D872B2">
        <w:rPr>
          <w:rFonts w:ascii="Garamond" w:hAnsi="Garamond"/>
          <w:sz w:val="22"/>
          <w:szCs w:val="22"/>
        </w:rPr>
        <w:t xml:space="preserve">forecast </w:t>
      </w:r>
      <w:r w:rsidR="00201062">
        <w:rPr>
          <w:rFonts w:ascii="Garamond" w:hAnsi="Garamond"/>
          <w:sz w:val="22"/>
          <w:szCs w:val="22"/>
        </w:rPr>
        <w:t xml:space="preserve">was revised slightly upside </w:t>
      </w:r>
      <w:r w:rsidR="00D872B2">
        <w:rPr>
          <w:rFonts w:ascii="Garamond" w:hAnsi="Garamond"/>
          <w:sz w:val="22"/>
          <w:szCs w:val="22"/>
        </w:rPr>
        <w:t xml:space="preserve">relative </w:t>
      </w:r>
      <w:r w:rsidR="00201062">
        <w:rPr>
          <w:rFonts w:ascii="Garamond" w:hAnsi="Garamond"/>
          <w:sz w:val="22"/>
          <w:szCs w:val="22"/>
        </w:rPr>
        <w:t xml:space="preserve">to the previous </w:t>
      </w:r>
      <w:r w:rsidR="003C23DE">
        <w:rPr>
          <w:rFonts w:ascii="Garamond" w:hAnsi="Garamond"/>
          <w:sz w:val="22"/>
          <w:szCs w:val="22"/>
        </w:rPr>
        <w:t>one</w:t>
      </w:r>
      <w:r w:rsidR="00201062">
        <w:rPr>
          <w:rFonts w:ascii="Garamond" w:hAnsi="Garamond"/>
          <w:sz w:val="22"/>
          <w:szCs w:val="22"/>
        </w:rPr>
        <w:t xml:space="preserve"> and is estimated </w:t>
      </w:r>
      <w:r w:rsidR="00D872B2">
        <w:rPr>
          <w:rFonts w:ascii="Garamond" w:hAnsi="Garamond"/>
          <w:sz w:val="22"/>
          <w:szCs w:val="22"/>
        </w:rPr>
        <w:t>in the range of 7.0-7.3</w:t>
      </w:r>
      <w:r w:rsidR="00201062">
        <w:rPr>
          <w:rFonts w:ascii="Garamond" w:hAnsi="Garamond"/>
          <w:sz w:val="22"/>
          <w:szCs w:val="22"/>
        </w:rPr>
        <w:t>%. The revision primarily owe</w:t>
      </w:r>
      <w:r w:rsidR="00D872B2">
        <w:rPr>
          <w:rFonts w:ascii="Garamond" w:hAnsi="Garamond"/>
          <w:sz w:val="22"/>
          <w:szCs w:val="22"/>
        </w:rPr>
        <w:t xml:space="preserve">s </w:t>
      </w:r>
      <w:r w:rsidR="00201062">
        <w:rPr>
          <w:rFonts w:ascii="Garamond" w:hAnsi="Garamond"/>
          <w:sz w:val="22"/>
          <w:szCs w:val="22"/>
        </w:rPr>
        <w:t xml:space="preserve">to </w:t>
      </w:r>
      <w:r w:rsidR="00D872B2">
        <w:rPr>
          <w:rFonts w:ascii="Garamond" w:hAnsi="Garamond"/>
          <w:sz w:val="22"/>
          <w:szCs w:val="22"/>
        </w:rPr>
        <w:t>higher-than-</w:t>
      </w:r>
      <w:r w:rsidR="00D872B2" w:rsidRPr="00D872B2">
        <w:rPr>
          <w:rFonts w:ascii="Garamond" w:hAnsi="Garamond"/>
          <w:sz w:val="22"/>
          <w:szCs w:val="22"/>
        </w:rPr>
        <w:t>expected actual figures a</w:t>
      </w:r>
      <w:r w:rsidR="00D872B2">
        <w:rPr>
          <w:rFonts w:ascii="Garamond" w:hAnsi="Garamond"/>
          <w:sz w:val="22"/>
          <w:szCs w:val="22"/>
        </w:rPr>
        <w:t xml:space="preserve">nd to GDP indicators adjusted for the </w:t>
      </w:r>
      <w:r w:rsidR="00D872B2" w:rsidRPr="00D872B2">
        <w:rPr>
          <w:rFonts w:ascii="Garamond" w:hAnsi="Garamond"/>
          <w:sz w:val="22"/>
          <w:szCs w:val="22"/>
        </w:rPr>
        <w:t>first and second quarter</w:t>
      </w:r>
      <w:r w:rsidR="00D872B2">
        <w:rPr>
          <w:rFonts w:ascii="Garamond" w:hAnsi="Garamond"/>
          <w:sz w:val="22"/>
          <w:szCs w:val="22"/>
        </w:rPr>
        <w:t xml:space="preserve">s. </w:t>
      </w:r>
      <w:r w:rsidR="00D872B2" w:rsidRPr="00D872B2">
        <w:rPr>
          <w:rFonts w:ascii="Garamond" w:hAnsi="Garamond"/>
          <w:sz w:val="22"/>
          <w:szCs w:val="22"/>
        </w:rPr>
        <w:t>According to the C</w:t>
      </w:r>
      <w:r w:rsidR="00D872B2">
        <w:rPr>
          <w:rFonts w:ascii="Garamond" w:hAnsi="Garamond"/>
          <w:sz w:val="22"/>
          <w:szCs w:val="22"/>
        </w:rPr>
        <w:t xml:space="preserve">entral </w:t>
      </w:r>
      <w:r w:rsidR="00D872B2" w:rsidRPr="00D872B2">
        <w:rPr>
          <w:rFonts w:ascii="Garamond" w:hAnsi="Garamond"/>
          <w:sz w:val="22"/>
          <w:szCs w:val="22"/>
        </w:rPr>
        <w:t>B</w:t>
      </w:r>
      <w:r w:rsidR="00D872B2">
        <w:rPr>
          <w:rFonts w:ascii="Garamond" w:hAnsi="Garamond"/>
          <w:sz w:val="22"/>
          <w:szCs w:val="22"/>
        </w:rPr>
        <w:t>ank e</w:t>
      </w:r>
      <w:r w:rsidR="00D872B2" w:rsidRPr="00D872B2">
        <w:rPr>
          <w:rFonts w:ascii="Garamond" w:hAnsi="Garamond"/>
          <w:sz w:val="22"/>
          <w:szCs w:val="22"/>
        </w:rPr>
        <w:t xml:space="preserve">stimates, services will </w:t>
      </w:r>
      <w:r w:rsidR="00C11EE0">
        <w:rPr>
          <w:rFonts w:ascii="Garamond" w:hAnsi="Garamond"/>
          <w:sz w:val="22"/>
          <w:szCs w:val="22"/>
        </w:rPr>
        <w:t xml:space="preserve">remain a key driver to the economic </w:t>
      </w:r>
      <w:r w:rsidR="00D872B2" w:rsidRPr="00D872B2">
        <w:rPr>
          <w:rFonts w:ascii="Garamond" w:hAnsi="Garamond"/>
          <w:sz w:val="22"/>
          <w:szCs w:val="22"/>
        </w:rPr>
        <w:t xml:space="preserve">growth, which is </w:t>
      </w:r>
      <w:r w:rsidR="00C11EE0">
        <w:rPr>
          <w:rFonts w:ascii="Garamond" w:hAnsi="Garamond"/>
          <w:sz w:val="22"/>
          <w:szCs w:val="22"/>
        </w:rPr>
        <w:t>considerably s</w:t>
      </w:r>
      <w:r w:rsidR="00D872B2" w:rsidRPr="00D872B2">
        <w:rPr>
          <w:rFonts w:ascii="Garamond" w:hAnsi="Garamond"/>
          <w:sz w:val="22"/>
          <w:szCs w:val="22"/>
        </w:rPr>
        <w:t xml:space="preserve">upported by continued growth of international tourism. </w:t>
      </w:r>
      <w:r w:rsidR="00C11EE0">
        <w:rPr>
          <w:rFonts w:ascii="Garamond" w:hAnsi="Garamond"/>
          <w:sz w:val="22"/>
          <w:szCs w:val="22"/>
        </w:rPr>
        <w:t>Strong growth in s</w:t>
      </w:r>
      <w:r w:rsidR="00D872B2" w:rsidRPr="00D872B2">
        <w:rPr>
          <w:rFonts w:ascii="Garamond" w:hAnsi="Garamond"/>
          <w:sz w:val="22"/>
          <w:szCs w:val="22"/>
        </w:rPr>
        <w:t xml:space="preserve">ervices will </w:t>
      </w:r>
      <w:r w:rsidR="00C11EE0">
        <w:rPr>
          <w:rFonts w:ascii="Garamond" w:hAnsi="Garamond"/>
          <w:sz w:val="22"/>
          <w:szCs w:val="22"/>
        </w:rPr>
        <w:t xml:space="preserve">be persisting </w:t>
      </w:r>
      <w:r w:rsidR="00D872B2" w:rsidRPr="00D872B2">
        <w:rPr>
          <w:rFonts w:ascii="Garamond" w:hAnsi="Garamond"/>
          <w:sz w:val="22"/>
          <w:szCs w:val="22"/>
        </w:rPr>
        <w:t xml:space="preserve">in the near future </w:t>
      </w:r>
      <w:r w:rsidR="00C11EE0">
        <w:rPr>
          <w:rFonts w:ascii="Garamond" w:hAnsi="Garamond"/>
          <w:sz w:val="22"/>
          <w:szCs w:val="22"/>
        </w:rPr>
        <w:t>thanks to</w:t>
      </w:r>
      <w:r w:rsidR="00D872B2" w:rsidRPr="00D872B2">
        <w:rPr>
          <w:rFonts w:ascii="Garamond" w:hAnsi="Garamond"/>
          <w:sz w:val="22"/>
          <w:szCs w:val="22"/>
        </w:rPr>
        <w:t xml:space="preserve"> the increas</w:t>
      </w:r>
      <w:r w:rsidR="00C11EE0">
        <w:rPr>
          <w:rFonts w:ascii="Garamond" w:hAnsi="Garamond"/>
          <w:sz w:val="22"/>
          <w:szCs w:val="22"/>
        </w:rPr>
        <w:t xml:space="preserve">e in public sector wages, </w:t>
      </w:r>
      <w:r w:rsidR="00D872B2" w:rsidRPr="00D872B2">
        <w:rPr>
          <w:rFonts w:ascii="Garamond" w:hAnsi="Garamond"/>
          <w:sz w:val="22"/>
          <w:szCs w:val="22"/>
        </w:rPr>
        <w:t>directly reflect</w:t>
      </w:r>
      <w:r w:rsidR="00C11EE0">
        <w:rPr>
          <w:rFonts w:ascii="Garamond" w:hAnsi="Garamond"/>
          <w:sz w:val="22"/>
          <w:szCs w:val="22"/>
        </w:rPr>
        <w:t xml:space="preserve">ed in </w:t>
      </w:r>
      <w:r w:rsidR="00D872B2" w:rsidRPr="00D872B2">
        <w:rPr>
          <w:rFonts w:ascii="Garamond" w:hAnsi="Garamond"/>
          <w:sz w:val="22"/>
          <w:szCs w:val="22"/>
        </w:rPr>
        <w:t xml:space="preserve">the </w:t>
      </w:r>
      <w:r w:rsidR="00C11EE0">
        <w:rPr>
          <w:rFonts w:ascii="Garamond" w:hAnsi="Garamond"/>
          <w:sz w:val="22"/>
          <w:szCs w:val="22"/>
        </w:rPr>
        <w:t xml:space="preserve">value added </w:t>
      </w:r>
      <w:r w:rsidR="00D872B2" w:rsidRPr="00D872B2">
        <w:rPr>
          <w:rFonts w:ascii="Garamond" w:hAnsi="Garamond"/>
          <w:sz w:val="22"/>
          <w:szCs w:val="22"/>
        </w:rPr>
        <w:t xml:space="preserve">of public administration and </w:t>
      </w:r>
      <w:r w:rsidR="00C11EE0">
        <w:rPr>
          <w:rFonts w:ascii="Garamond" w:hAnsi="Garamond"/>
          <w:sz w:val="22"/>
          <w:szCs w:val="22"/>
        </w:rPr>
        <w:t xml:space="preserve">defense </w:t>
      </w:r>
      <w:r w:rsidR="00D872B2" w:rsidRPr="00D872B2">
        <w:rPr>
          <w:rFonts w:ascii="Garamond" w:hAnsi="Garamond"/>
          <w:sz w:val="22"/>
          <w:szCs w:val="22"/>
        </w:rPr>
        <w:t xml:space="preserve">sub-branch. The construction and industry </w:t>
      </w:r>
      <w:r w:rsidR="00433BB8">
        <w:rPr>
          <w:rFonts w:ascii="Garamond" w:hAnsi="Garamond"/>
          <w:sz w:val="22"/>
          <w:szCs w:val="22"/>
        </w:rPr>
        <w:t xml:space="preserve">sectors </w:t>
      </w:r>
      <w:r w:rsidR="00D872B2" w:rsidRPr="00D872B2">
        <w:rPr>
          <w:rFonts w:ascii="Garamond" w:hAnsi="Garamond"/>
          <w:sz w:val="22"/>
          <w:szCs w:val="22"/>
        </w:rPr>
        <w:t xml:space="preserve">will also </w:t>
      </w:r>
      <w:r w:rsidR="00433BB8">
        <w:rPr>
          <w:rFonts w:ascii="Garamond" w:hAnsi="Garamond"/>
          <w:sz w:val="22"/>
          <w:szCs w:val="22"/>
        </w:rPr>
        <w:t xml:space="preserve">foster </w:t>
      </w:r>
      <w:r w:rsidR="00D872B2" w:rsidRPr="00D872B2">
        <w:rPr>
          <w:rFonts w:ascii="Garamond" w:hAnsi="Garamond"/>
          <w:sz w:val="22"/>
          <w:szCs w:val="22"/>
        </w:rPr>
        <w:t xml:space="preserve">the economic growth, </w:t>
      </w:r>
      <w:r w:rsidR="00433BB8">
        <w:rPr>
          <w:rFonts w:ascii="Garamond" w:hAnsi="Garamond"/>
          <w:sz w:val="22"/>
          <w:szCs w:val="22"/>
        </w:rPr>
        <w:t xml:space="preserve">as </w:t>
      </w:r>
      <w:r w:rsidR="00C11EE0">
        <w:rPr>
          <w:rFonts w:ascii="Garamond" w:hAnsi="Garamond"/>
          <w:sz w:val="22"/>
          <w:szCs w:val="22"/>
        </w:rPr>
        <w:t xml:space="preserve">their contributions to </w:t>
      </w:r>
      <w:r w:rsidR="00433BB8">
        <w:rPr>
          <w:rFonts w:ascii="Garamond" w:hAnsi="Garamond"/>
          <w:sz w:val="22"/>
          <w:szCs w:val="22"/>
        </w:rPr>
        <w:t xml:space="preserve">the growth will </w:t>
      </w:r>
      <w:r w:rsidR="00C11EE0">
        <w:rPr>
          <w:rFonts w:ascii="Garamond" w:hAnsi="Garamond"/>
          <w:sz w:val="22"/>
          <w:szCs w:val="22"/>
        </w:rPr>
        <w:t xml:space="preserve">gradually </w:t>
      </w:r>
      <w:r w:rsidR="00433BB8">
        <w:rPr>
          <w:rFonts w:ascii="Garamond" w:hAnsi="Garamond"/>
          <w:sz w:val="22"/>
          <w:szCs w:val="22"/>
        </w:rPr>
        <w:t xml:space="preserve">increase </w:t>
      </w:r>
      <w:r w:rsidR="00C11EE0">
        <w:rPr>
          <w:rFonts w:ascii="Garamond" w:hAnsi="Garamond"/>
          <w:sz w:val="22"/>
          <w:szCs w:val="22"/>
        </w:rPr>
        <w:t xml:space="preserve">in line with livelier </w:t>
      </w:r>
      <w:r w:rsidR="00D872B2" w:rsidRPr="00D872B2">
        <w:rPr>
          <w:rFonts w:ascii="Garamond" w:hAnsi="Garamond"/>
          <w:sz w:val="22"/>
          <w:szCs w:val="22"/>
        </w:rPr>
        <w:t>investment activity</w:t>
      </w:r>
      <w:r w:rsidR="00433BB8">
        <w:rPr>
          <w:rFonts w:ascii="Garamond" w:hAnsi="Garamond"/>
          <w:sz w:val="22"/>
          <w:szCs w:val="22"/>
        </w:rPr>
        <w:t xml:space="preserve">. Currently high growth of </w:t>
      </w:r>
      <w:r w:rsidR="00433BB8" w:rsidRPr="00D872B2">
        <w:rPr>
          <w:rFonts w:ascii="Garamond" w:hAnsi="Garamond"/>
          <w:sz w:val="22"/>
          <w:szCs w:val="22"/>
        </w:rPr>
        <w:t xml:space="preserve">lending </w:t>
      </w:r>
      <w:r w:rsidR="00433BB8">
        <w:rPr>
          <w:rFonts w:ascii="Garamond" w:hAnsi="Garamond"/>
          <w:sz w:val="22"/>
          <w:szCs w:val="22"/>
        </w:rPr>
        <w:t>to</w:t>
      </w:r>
      <w:r w:rsidR="00433BB8" w:rsidRPr="00D872B2">
        <w:rPr>
          <w:rFonts w:ascii="Garamond" w:hAnsi="Garamond"/>
          <w:sz w:val="22"/>
          <w:szCs w:val="22"/>
        </w:rPr>
        <w:t xml:space="preserve"> the </w:t>
      </w:r>
      <w:r w:rsidR="00C40B84">
        <w:rPr>
          <w:rFonts w:ascii="Garamond" w:hAnsi="Garamond"/>
          <w:sz w:val="22"/>
          <w:szCs w:val="22"/>
        </w:rPr>
        <w:t>manufacturing</w:t>
      </w:r>
      <w:r w:rsidR="00433BB8" w:rsidRPr="00D872B2">
        <w:rPr>
          <w:rFonts w:ascii="Garamond" w:hAnsi="Garamond"/>
          <w:sz w:val="22"/>
          <w:szCs w:val="22"/>
        </w:rPr>
        <w:t xml:space="preserve"> and construction </w:t>
      </w:r>
      <w:r w:rsidR="00433BB8">
        <w:rPr>
          <w:rFonts w:ascii="Garamond" w:hAnsi="Garamond"/>
          <w:sz w:val="22"/>
          <w:szCs w:val="22"/>
        </w:rPr>
        <w:t xml:space="preserve">also points to the </w:t>
      </w:r>
      <w:r w:rsidR="00D872B2" w:rsidRPr="00D872B2">
        <w:rPr>
          <w:rFonts w:ascii="Garamond" w:hAnsi="Garamond"/>
          <w:sz w:val="22"/>
          <w:szCs w:val="22"/>
        </w:rPr>
        <w:t>expected positive developments in the above-mentioned sectors</w:t>
      </w:r>
      <w:r w:rsidR="00433BB8">
        <w:rPr>
          <w:rFonts w:ascii="Garamond" w:hAnsi="Garamond"/>
          <w:sz w:val="22"/>
          <w:szCs w:val="22"/>
        </w:rPr>
        <w:t>.</w:t>
      </w:r>
      <w:r w:rsidR="00D872B2" w:rsidRPr="00D872B2">
        <w:rPr>
          <w:rFonts w:ascii="Garamond" w:hAnsi="Garamond"/>
          <w:sz w:val="22"/>
          <w:szCs w:val="22"/>
        </w:rPr>
        <w:t xml:space="preserve"> The contribution of agriculture to economic growth in 2019 is estimated </w:t>
      </w:r>
      <w:r w:rsidR="00C40B84">
        <w:rPr>
          <w:rFonts w:ascii="Garamond" w:hAnsi="Garamond"/>
          <w:sz w:val="22"/>
          <w:szCs w:val="22"/>
        </w:rPr>
        <w:t xml:space="preserve">to be </w:t>
      </w:r>
      <w:r w:rsidR="00D872B2" w:rsidRPr="00D872B2">
        <w:rPr>
          <w:rFonts w:ascii="Garamond" w:hAnsi="Garamond"/>
          <w:sz w:val="22"/>
          <w:szCs w:val="22"/>
        </w:rPr>
        <w:t>negative</w:t>
      </w:r>
      <w:r w:rsidR="00A91037">
        <w:rPr>
          <w:rFonts w:ascii="Garamond" w:hAnsi="Garamond"/>
          <w:sz w:val="22"/>
          <w:szCs w:val="22"/>
        </w:rPr>
        <w:t xml:space="preserve">; </w:t>
      </w:r>
      <w:r w:rsidR="00D872B2" w:rsidRPr="00D872B2">
        <w:rPr>
          <w:rFonts w:ascii="Garamond" w:hAnsi="Garamond"/>
          <w:sz w:val="22"/>
          <w:szCs w:val="22"/>
        </w:rPr>
        <w:t>in the forecast horizon</w:t>
      </w:r>
      <w:r w:rsidR="00A91037">
        <w:rPr>
          <w:rFonts w:ascii="Garamond" w:hAnsi="Garamond"/>
          <w:sz w:val="22"/>
          <w:szCs w:val="22"/>
        </w:rPr>
        <w:t>, however,</w:t>
      </w:r>
      <w:r w:rsidR="00D872B2" w:rsidRPr="00D872B2">
        <w:rPr>
          <w:rFonts w:ascii="Garamond" w:hAnsi="Garamond"/>
          <w:sz w:val="22"/>
          <w:szCs w:val="22"/>
        </w:rPr>
        <w:t xml:space="preserve"> </w:t>
      </w:r>
      <w:r w:rsidR="00AB1C22">
        <w:rPr>
          <w:rFonts w:ascii="Garamond" w:hAnsi="Garamond"/>
          <w:sz w:val="22"/>
          <w:szCs w:val="22"/>
        </w:rPr>
        <w:t>the sector</w:t>
      </w:r>
      <w:r w:rsidR="00A91037">
        <w:rPr>
          <w:rFonts w:ascii="Garamond" w:hAnsi="Garamond"/>
          <w:sz w:val="22"/>
          <w:szCs w:val="22"/>
        </w:rPr>
        <w:t xml:space="preserve">’s contribution </w:t>
      </w:r>
      <w:r w:rsidR="00AB1C22">
        <w:rPr>
          <w:rFonts w:ascii="Garamond" w:hAnsi="Garamond"/>
          <w:sz w:val="22"/>
          <w:szCs w:val="22"/>
        </w:rPr>
        <w:t xml:space="preserve">to the growth </w:t>
      </w:r>
      <w:r w:rsidR="00A91037">
        <w:rPr>
          <w:rFonts w:ascii="Garamond" w:hAnsi="Garamond"/>
          <w:sz w:val="22"/>
          <w:szCs w:val="22"/>
        </w:rPr>
        <w:t>w</w:t>
      </w:r>
      <w:r w:rsidR="00D872B2" w:rsidRPr="00D872B2">
        <w:rPr>
          <w:rFonts w:ascii="Garamond" w:hAnsi="Garamond"/>
          <w:sz w:val="22"/>
          <w:szCs w:val="22"/>
        </w:rPr>
        <w:t xml:space="preserve">ill </w:t>
      </w:r>
      <w:r w:rsidR="00A91037">
        <w:rPr>
          <w:rFonts w:ascii="Garamond" w:hAnsi="Garamond"/>
          <w:sz w:val="22"/>
          <w:szCs w:val="22"/>
        </w:rPr>
        <w:t xml:space="preserve">be </w:t>
      </w:r>
      <w:r w:rsidR="00D872B2" w:rsidRPr="00D872B2">
        <w:rPr>
          <w:rFonts w:ascii="Garamond" w:hAnsi="Garamond"/>
          <w:sz w:val="22"/>
          <w:szCs w:val="22"/>
        </w:rPr>
        <w:t>moderate</w:t>
      </w:r>
      <w:r w:rsidR="00A91037">
        <w:rPr>
          <w:rFonts w:ascii="Garamond" w:hAnsi="Garamond"/>
          <w:sz w:val="22"/>
          <w:szCs w:val="22"/>
        </w:rPr>
        <w:t>ly</w:t>
      </w:r>
      <w:r w:rsidR="00D872B2" w:rsidRPr="00D872B2">
        <w:rPr>
          <w:rFonts w:ascii="Garamond" w:hAnsi="Garamond"/>
          <w:sz w:val="22"/>
          <w:szCs w:val="22"/>
        </w:rPr>
        <w:t xml:space="preserve"> positive</w:t>
      </w:r>
      <w:r w:rsidR="00A91037">
        <w:rPr>
          <w:rFonts w:ascii="Garamond" w:hAnsi="Garamond"/>
          <w:sz w:val="22"/>
          <w:szCs w:val="22"/>
        </w:rPr>
        <w:t xml:space="preserve">. </w:t>
      </w:r>
    </w:p>
    <w:p w14:paraId="4FD36FA3" w14:textId="77777777" w:rsidR="005C4379" w:rsidRPr="00EE5F0F" w:rsidRDefault="001B67EA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Facilitated by </w:t>
      </w:r>
      <w:r w:rsidR="00A96823">
        <w:rPr>
          <w:rFonts w:ascii="Garamond" w:hAnsi="Garamond"/>
          <w:sz w:val="22"/>
          <w:szCs w:val="22"/>
        </w:rPr>
        <w:t xml:space="preserve">an expansionary monetary policy and a stimulative </w:t>
      </w:r>
      <w:r w:rsidR="00B5695E">
        <w:rPr>
          <w:rFonts w:ascii="Garamond" w:hAnsi="Garamond"/>
          <w:sz w:val="22"/>
          <w:szCs w:val="22"/>
        </w:rPr>
        <w:t>effect of s</w:t>
      </w:r>
      <w:r w:rsidR="00B5695E" w:rsidRPr="00B5695E">
        <w:rPr>
          <w:rFonts w:ascii="Garamond" w:hAnsi="Garamond"/>
          <w:sz w:val="22"/>
          <w:szCs w:val="22"/>
        </w:rPr>
        <w:t>tate budge</w:t>
      </w:r>
      <w:r w:rsidR="00D4744E">
        <w:rPr>
          <w:rFonts w:ascii="Garamond" w:hAnsi="Garamond"/>
          <w:sz w:val="22"/>
          <w:szCs w:val="22"/>
        </w:rPr>
        <w:t xml:space="preserve">t </w:t>
      </w:r>
      <w:r w:rsidR="00B5695E">
        <w:rPr>
          <w:rFonts w:ascii="Garamond" w:hAnsi="Garamond"/>
          <w:sz w:val="22"/>
          <w:szCs w:val="22"/>
        </w:rPr>
        <w:t xml:space="preserve">expected </w:t>
      </w:r>
      <w:r w:rsidR="00A96823">
        <w:rPr>
          <w:rFonts w:ascii="Garamond" w:hAnsi="Garamond"/>
          <w:sz w:val="22"/>
          <w:szCs w:val="22"/>
        </w:rPr>
        <w:t>in the near future</w:t>
      </w:r>
      <w:r w:rsidR="00B5695E">
        <w:rPr>
          <w:rFonts w:ascii="Garamond" w:hAnsi="Garamond"/>
          <w:sz w:val="22"/>
          <w:szCs w:val="22"/>
        </w:rPr>
        <w:t>,</w:t>
      </w:r>
      <w:r w:rsidR="00B5695E" w:rsidRPr="00B5695E">
        <w:rPr>
          <w:rFonts w:ascii="Garamond" w:hAnsi="Garamond"/>
          <w:sz w:val="22"/>
          <w:szCs w:val="22"/>
        </w:rPr>
        <w:t xml:space="preserve"> </w:t>
      </w:r>
      <w:r w:rsidR="00B5695E">
        <w:rPr>
          <w:rFonts w:ascii="Garamond" w:hAnsi="Garamond"/>
          <w:sz w:val="22"/>
          <w:szCs w:val="22"/>
        </w:rPr>
        <w:t>t</w:t>
      </w:r>
      <w:r w:rsidR="005C4379" w:rsidRPr="00EE5F0F">
        <w:rPr>
          <w:rFonts w:ascii="Garamond" w:hAnsi="Garamond"/>
          <w:sz w:val="22"/>
          <w:szCs w:val="22"/>
        </w:rPr>
        <w:t>he</w:t>
      </w:r>
      <w:r w:rsidR="005C4379">
        <w:rPr>
          <w:rFonts w:ascii="Garamond" w:hAnsi="Garamond"/>
          <w:sz w:val="22"/>
          <w:szCs w:val="22"/>
        </w:rPr>
        <w:t xml:space="preserve"> </w:t>
      </w:r>
      <w:r w:rsidR="005C4379" w:rsidRPr="00EE5F0F">
        <w:rPr>
          <w:rFonts w:ascii="Garamond" w:hAnsi="Garamond"/>
          <w:sz w:val="22"/>
          <w:szCs w:val="22"/>
        </w:rPr>
        <w:t>GDP gap</w:t>
      </w:r>
      <w:r w:rsidR="005C4379">
        <w:rPr>
          <w:rFonts w:ascii="Garamond" w:hAnsi="Garamond"/>
          <w:sz w:val="22"/>
          <w:szCs w:val="22"/>
        </w:rPr>
        <w:t xml:space="preserve"> </w:t>
      </w:r>
      <w:r w:rsidR="00B5695E">
        <w:rPr>
          <w:rFonts w:ascii="Garamond" w:hAnsi="Garamond"/>
          <w:sz w:val="22"/>
          <w:szCs w:val="22"/>
        </w:rPr>
        <w:t xml:space="preserve">will </w:t>
      </w:r>
      <w:r>
        <w:rPr>
          <w:rFonts w:ascii="Garamond" w:hAnsi="Garamond"/>
          <w:sz w:val="22"/>
          <w:szCs w:val="22"/>
        </w:rPr>
        <w:t xml:space="preserve">step into a positive territory during 2020 and will </w:t>
      </w:r>
      <w:r w:rsidR="00B5695E">
        <w:rPr>
          <w:rFonts w:ascii="Garamond" w:hAnsi="Garamond"/>
          <w:sz w:val="22"/>
          <w:szCs w:val="22"/>
        </w:rPr>
        <w:t>gradually phase out</w:t>
      </w:r>
      <w:r>
        <w:rPr>
          <w:rFonts w:ascii="Garamond" w:hAnsi="Garamond"/>
          <w:sz w:val="22"/>
          <w:szCs w:val="22"/>
        </w:rPr>
        <w:t xml:space="preserve"> afterwards. I</w:t>
      </w:r>
      <w:r w:rsidR="005C4379">
        <w:rPr>
          <w:rFonts w:ascii="Garamond" w:hAnsi="Garamond"/>
          <w:sz w:val="22"/>
          <w:szCs w:val="22"/>
        </w:rPr>
        <w:t>n the forecast horizon</w:t>
      </w:r>
      <w:r>
        <w:rPr>
          <w:rFonts w:ascii="Garamond" w:hAnsi="Garamond"/>
          <w:sz w:val="22"/>
          <w:szCs w:val="22"/>
        </w:rPr>
        <w:t>,</w:t>
      </w:r>
      <w:r w:rsidR="005C4379">
        <w:rPr>
          <w:rFonts w:ascii="Garamond" w:hAnsi="Garamond"/>
          <w:sz w:val="22"/>
          <w:szCs w:val="22"/>
        </w:rPr>
        <w:t xml:space="preserve"> the economic growth will </w:t>
      </w:r>
      <w:r w:rsidR="00D4744E">
        <w:rPr>
          <w:rFonts w:ascii="Garamond" w:hAnsi="Garamond"/>
          <w:sz w:val="22"/>
          <w:szCs w:val="22"/>
        </w:rPr>
        <w:t xml:space="preserve">come closer to </w:t>
      </w:r>
      <w:r w:rsidR="005C4379">
        <w:rPr>
          <w:rFonts w:ascii="Garamond" w:hAnsi="Garamond"/>
          <w:sz w:val="22"/>
          <w:szCs w:val="22"/>
        </w:rPr>
        <w:t xml:space="preserve">its </w:t>
      </w:r>
      <w:r w:rsidR="00B5695E">
        <w:rPr>
          <w:rFonts w:ascii="Garamond" w:hAnsi="Garamond"/>
          <w:sz w:val="22"/>
          <w:szCs w:val="22"/>
        </w:rPr>
        <w:t xml:space="preserve">mid-term </w:t>
      </w:r>
      <w:r w:rsidR="005C4379">
        <w:rPr>
          <w:rFonts w:ascii="Garamond" w:hAnsi="Garamond"/>
          <w:sz w:val="22"/>
          <w:szCs w:val="22"/>
        </w:rPr>
        <w:t>potential</w:t>
      </w:r>
      <w:r w:rsidR="005C4379" w:rsidRPr="00EE5F0F">
        <w:rPr>
          <w:rFonts w:ascii="Garamond" w:hAnsi="Garamond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441" w:rsidRPr="003720FB" w14:paraId="1701DDCC" w14:textId="77777777" w:rsidTr="00AC5AE0">
        <w:trPr>
          <w:trHeight w:val="335"/>
        </w:trPr>
        <w:tc>
          <w:tcPr>
            <w:tcW w:w="9576" w:type="dxa"/>
          </w:tcPr>
          <w:p w14:paraId="7D6E9973" w14:textId="77777777" w:rsidR="00F93441" w:rsidRPr="003720FB" w:rsidRDefault="00963BDB" w:rsidP="001B67EA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color w:val="FF0000"/>
                <w:sz w:val="18"/>
                <w:szCs w:val="18"/>
              </w:rPr>
            </w:pPr>
            <w:r>
              <w:rPr>
                <w:rFonts w:ascii="Garamond" w:hAnsi="Garamond"/>
                <w:b/>
                <w:color w:val="FF0000"/>
                <w:sz w:val="18"/>
                <w:szCs w:val="18"/>
              </w:rPr>
              <w:t xml:space="preserve">Footnote </w:t>
            </w:r>
            <w:r w:rsidR="001B67EA">
              <w:rPr>
                <w:rFonts w:ascii="Garamond" w:hAnsi="Garamond"/>
                <w:b/>
                <w:color w:val="FF0000"/>
                <w:sz w:val="18"/>
                <w:szCs w:val="18"/>
              </w:rPr>
              <w:t>9</w:t>
            </w:r>
            <w:r w:rsidR="00F93441" w:rsidRPr="003720FB">
              <w:rPr>
                <w:rFonts w:ascii="Garamond" w:hAnsi="Garamond"/>
                <w:b/>
                <w:color w:val="FF0000"/>
                <w:sz w:val="18"/>
                <w:szCs w:val="18"/>
              </w:rPr>
              <w:t xml:space="preserve">. </w:t>
            </w:r>
            <w:r w:rsidR="00F93441" w:rsidRPr="00DD0E48">
              <w:rPr>
                <w:rFonts w:ascii="Garamond" w:hAnsi="Garamond"/>
                <w:sz w:val="18"/>
                <w:szCs w:val="18"/>
              </w:rPr>
              <w:t>The growth rate of each quarter is calculated as the cumulative growth rate for the last four quarters.</w:t>
            </w:r>
          </w:p>
        </w:tc>
      </w:tr>
    </w:tbl>
    <w:p w14:paraId="3DA688E4" w14:textId="77777777" w:rsidR="00F93441" w:rsidRPr="00EE5F0F" w:rsidRDefault="00963BDB" w:rsidP="00F9344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972A2E">
        <w:rPr>
          <w:rFonts w:ascii="Garamond" w:hAnsi="Garamond"/>
          <w:b/>
          <w:color w:val="C00000"/>
          <w:sz w:val="22"/>
          <w:szCs w:val="22"/>
        </w:rPr>
        <w:t>Table 2:</w:t>
      </w:r>
    </w:p>
    <w:p w14:paraId="38DE6BFE" w14:textId="77777777" w:rsidR="00BE69EE" w:rsidRPr="00EE5F0F" w:rsidRDefault="00E713A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lastRenderedPageBreak/>
        <w:t>In 201</w:t>
      </w:r>
      <w:r w:rsidR="00D96CC6">
        <w:rPr>
          <w:rFonts w:ascii="Garamond" w:hAnsi="Garamond"/>
          <w:sz w:val="22"/>
          <w:szCs w:val="22"/>
        </w:rPr>
        <w:t>9</w:t>
      </w:r>
      <w:r w:rsidRPr="00EE5F0F">
        <w:rPr>
          <w:rFonts w:ascii="Garamond" w:hAnsi="Garamond"/>
          <w:sz w:val="22"/>
          <w:szCs w:val="22"/>
        </w:rPr>
        <w:t xml:space="preserve"> the current account deficit-to-GDP ratio will </w:t>
      </w:r>
      <w:r w:rsidR="001B67EA">
        <w:rPr>
          <w:rFonts w:ascii="Garamond" w:hAnsi="Garamond"/>
          <w:sz w:val="22"/>
          <w:szCs w:val="22"/>
        </w:rPr>
        <w:t xml:space="preserve">be </w:t>
      </w:r>
      <w:r w:rsidR="00FD193C">
        <w:rPr>
          <w:rFonts w:ascii="Garamond" w:hAnsi="Garamond"/>
          <w:sz w:val="22"/>
          <w:szCs w:val="22"/>
        </w:rPr>
        <w:t xml:space="preserve">within </w:t>
      </w:r>
      <w:r w:rsidR="00F93441">
        <w:rPr>
          <w:rFonts w:ascii="Garamond" w:hAnsi="Garamond"/>
          <w:sz w:val="22"/>
          <w:szCs w:val="22"/>
        </w:rPr>
        <w:t xml:space="preserve">the </w:t>
      </w:r>
      <w:r w:rsidR="00FD193C">
        <w:rPr>
          <w:rFonts w:ascii="Garamond" w:hAnsi="Garamond"/>
          <w:sz w:val="22"/>
          <w:szCs w:val="22"/>
        </w:rPr>
        <w:t xml:space="preserve">boundaries of </w:t>
      </w:r>
      <w:r w:rsidR="00F93441">
        <w:rPr>
          <w:rFonts w:ascii="Garamond" w:hAnsi="Garamond"/>
          <w:sz w:val="22"/>
          <w:szCs w:val="22"/>
        </w:rPr>
        <w:t>previous</w:t>
      </w:r>
      <w:r w:rsidR="00C15D8C">
        <w:rPr>
          <w:rFonts w:ascii="Garamond" w:hAnsi="Garamond"/>
          <w:sz w:val="22"/>
          <w:szCs w:val="22"/>
        </w:rPr>
        <w:t xml:space="preserve"> </w:t>
      </w:r>
      <w:r w:rsidR="00F93441">
        <w:rPr>
          <w:rFonts w:ascii="Garamond" w:hAnsi="Garamond"/>
          <w:sz w:val="22"/>
          <w:szCs w:val="22"/>
        </w:rPr>
        <w:t>forecast</w:t>
      </w:r>
      <w:r w:rsidR="006C67BA" w:rsidRPr="006C67BA">
        <w:rPr>
          <w:rFonts w:ascii="Garamond" w:hAnsi="Garamond"/>
          <w:sz w:val="22"/>
          <w:szCs w:val="22"/>
        </w:rPr>
        <w:t>.</w:t>
      </w:r>
      <w:r w:rsidR="00F93441">
        <w:rPr>
          <w:rFonts w:ascii="Garamond" w:hAnsi="Garamond"/>
          <w:sz w:val="22"/>
          <w:szCs w:val="22"/>
        </w:rPr>
        <w:t xml:space="preserve"> </w:t>
      </w:r>
    </w:p>
    <w:p w14:paraId="47E1CEF5" w14:textId="77777777" w:rsidR="00AC5AE0" w:rsidRDefault="006F1AAC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f</w:t>
      </w:r>
      <w:r w:rsidRPr="00EE5F0F">
        <w:rPr>
          <w:rFonts w:ascii="Garamond" w:hAnsi="Garamond"/>
          <w:b/>
          <w:sz w:val="22"/>
          <w:szCs w:val="22"/>
        </w:rPr>
        <w:t>iscal sector</w:t>
      </w:r>
      <w:r>
        <w:rPr>
          <w:rFonts w:ascii="Garamond" w:hAnsi="Garamond"/>
          <w:b/>
          <w:sz w:val="22"/>
          <w:szCs w:val="22"/>
        </w:rPr>
        <w:t xml:space="preserve">’s </w:t>
      </w:r>
      <w:r w:rsidRPr="00EE5F0F">
        <w:rPr>
          <w:rFonts w:ascii="Garamond" w:hAnsi="Garamond"/>
          <w:b/>
          <w:sz w:val="22"/>
          <w:szCs w:val="22"/>
        </w:rPr>
        <w:t>impact</w:t>
      </w:r>
      <w:r w:rsidR="00501006">
        <w:rPr>
          <w:rFonts w:ascii="Garamond" w:hAnsi="Garamond"/>
          <w:b/>
          <w:sz w:val="22"/>
          <w:szCs w:val="22"/>
        </w:rPr>
        <w:t xml:space="preserve"> of 0.5 pp contractionary</w:t>
      </w:r>
      <w:r w:rsidR="00501006" w:rsidRPr="00EE5F0F">
        <w:rPr>
          <w:rFonts w:ascii="Garamond" w:hAnsi="Garamond"/>
          <w:b/>
          <w:sz w:val="22"/>
          <w:szCs w:val="22"/>
        </w:rPr>
        <w:t xml:space="preserve"> </w:t>
      </w:r>
      <w:r w:rsidR="00501006">
        <w:rPr>
          <w:rFonts w:ascii="Garamond" w:hAnsi="Garamond"/>
          <w:b/>
          <w:sz w:val="22"/>
          <w:szCs w:val="22"/>
        </w:rPr>
        <w:t xml:space="preserve">on aggregate demand, as was estimated in the previous program, remains intact and is determined by </w:t>
      </w:r>
      <w:r w:rsidR="00501006" w:rsidRPr="00501006">
        <w:rPr>
          <w:rFonts w:ascii="Garamond" w:hAnsi="Garamond"/>
          <w:b/>
          <w:sz w:val="22"/>
          <w:szCs w:val="22"/>
        </w:rPr>
        <w:t xml:space="preserve">1.1 </w:t>
      </w:r>
      <w:r w:rsidR="00501006">
        <w:rPr>
          <w:rFonts w:ascii="Garamond" w:hAnsi="Garamond"/>
          <w:b/>
          <w:sz w:val="22"/>
          <w:szCs w:val="22"/>
        </w:rPr>
        <w:t xml:space="preserve">pp contractionary effect from </w:t>
      </w:r>
      <w:r w:rsidR="00501006" w:rsidRPr="00501006">
        <w:rPr>
          <w:rFonts w:ascii="Garamond" w:hAnsi="Garamond"/>
          <w:b/>
          <w:sz w:val="22"/>
          <w:szCs w:val="22"/>
        </w:rPr>
        <w:t>tax</w:t>
      </w:r>
      <w:r w:rsidR="00501006">
        <w:rPr>
          <w:rFonts w:ascii="Garamond" w:hAnsi="Garamond"/>
          <w:b/>
          <w:sz w:val="22"/>
          <w:szCs w:val="22"/>
        </w:rPr>
        <w:t>es</w:t>
      </w:r>
      <w:r w:rsidR="00501006" w:rsidRPr="00501006">
        <w:rPr>
          <w:rFonts w:ascii="Garamond" w:hAnsi="Garamond"/>
          <w:b/>
          <w:sz w:val="22"/>
          <w:szCs w:val="22"/>
        </w:rPr>
        <w:t xml:space="preserve"> </w:t>
      </w:r>
      <w:r w:rsidR="00501006">
        <w:rPr>
          <w:rFonts w:ascii="Garamond" w:hAnsi="Garamond"/>
          <w:b/>
          <w:sz w:val="22"/>
          <w:szCs w:val="22"/>
        </w:rPr>
        <w:t xml:space="preserve">and </w:t>
      </w:r>
      <w:r w:rsidR="00501006" w:rsidRPr="00501006">
        <w:rPr>
          <w:rFonts w:ascii="Garamond" w:hAnsi="Garamond"/>
          <w:b/>
          <w:sz w:val="22"/>
          <w:szCs w:val="22"/>
        </w:rPr>
        <w:t>0.6</w:t>
      </w:r>
      <w:r w:rsidR="00501006">
        <w:rPr>
          <w:rFonts w:ascii="Garamond" w:hAnsi="Garamond"/>
          <w:b/>
          <w:sz w:val="22"/>
          <w:szCs w:val="22"/>
        </w:rPr>
        <w:t xml:space="preserve"> pp expansionary effect from expenditures</w:t>
      </w:r>
      <w:r w:rsidR="00501006" w:rsidRPr="00501006">
        <w:rPr>
          <w:rFonts w:ascii="Garamond" w:hAnsi="Garamond"/>
          <w:b/>
          <w:sz w:val="22"/>
          <w:szCs w:val="22"/>
        </w:rPr>
        <w:t xml:space="preserve">. </w:t>
      </w:r>
      <w:r w:rsidR="00501006">
        <w:rPr>
          <w:rFonts w:ascii="Garamond" w:hAnsi="Garamond"/>
          <w:b/>
          <w:sz w:val="22"/>
          <w:szCs w:val="22"/>
        </w:rPr>
        <w:t xml:space="preserve">For </w:t>
      </w:r>
      <w:r w:rsidR="00501006" w:rsidRPr="00501006">
        <w:rPr>
          <w:rFonts w:ascii="Garamond" w:hAnsi="Garamond"/>
          <w:b/>
          <w:sz w:val="22"/>
          <w:szCs w:val="22"/>
        </w:rPr>
        <w:t xml:space="preserve">2020 </w:t>
      </w:r>
      <w:r w:rsidR="00501006">
        <w:rPr>
          <w:rFonts w:ascii="Garamond" w:hAnsi="Garamond"/>
          <w:b/>
          <w:sz w:val="22"/>
          <w:szCs w:val="22"/>
        </w:rPr>
        <w:t>t</w:t>
      </w:r>
      <w:r w:rsidR="00501006" w:rsidRPr="00501006">
        <w:rPr>
          <w:rFonts w:ascii="Garamond" w:hAnsi="Garamond"/>
          <w:b/>
          <w:sz w:val="22"/>
          <w:szCs w:val="22"/>
        </w:rPr>
        <w:t xml:space="preserve">he fiscal impact is </w:t>
      </w:r>
      <w:r w:rsidR="00501006">
        <w:rPr>
          <w:rFonts w:ascii="Garamond" w:hAnsi="Garamond"/>
          <w:b/>
          <w:sz w:val="22"/>
          <w:szCs w:val="22"/>
        </w:rPr>
        <w:t xml:space="preserve">an </w:t>
      </w:r>
      <w:r w:rsidR="00501006" w:rsidRPr="00501006">
        <w:rPr>
          <w:rFonts w:ascii="Garamond" w:hAnsi="Garamond"/>
          <w:b/>
          <w:sz w:val="22"/>
          <w:szCs w:val="22"/>
        </w:rPr>
        <w:t>estimated 2.9 p</w:t>
      </w:r>
      <w:r w:rsidR="00501006">
        <w:rPr>
          <w:rFonts w:ascii="Garamond" w:hAnsi="Garamond"/>
          <w:b/>
          <w:sz w:val="22"/>
          <w:szCs w:val="22"/>
        </w:rPr>
        <w:t xml:space="preserve">p expansionary. </w:t>
      </w:r>
    </w:p>
    <w:p w14:paraId="3CCD651F" w14:textId="77777777" w:rsidR="00E50C7A" w:rsidRDefault="004F11B6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Current forecasts </w:t>
      </w:r>
      <w:r w:rsidR="00E673D5">
        <w:rPr>
          <w:rFonts w:ascii="Garamond" w:hAnsi="Garamond"/>
          <w:sz w:val="22"/>
          <w:szCs w:val="22"/>
        </w:rPr>
        <w:t>suggest that</w:t>
      </w:r>
      <w:r>
        <w:rPr>
          <w:rFonts w:ascii="Garamond" w:hAnsi="Garamond"/>
          <w:sz w:val="22"/>
          <w:szCs w:val="22"/>
        </w:rPr>
        <w:t xml:space="preserve"> the</w:t>
      </w:r>
      <w:r w:rsidR="00D708C5">
        <w:rPr>
          <w:rFonts w:ascii="Garamond" w:hAnsi="Garamond"/>
          <w:sz w:val="22"/>
          <w:szCs w:val="22"/>
        </w:rPr>
        <w:t xml:space="preserve"> inflation </w:t>
      </w:r>
      <w:r>
        <w:rPr>
          <w:rFonts w:ascii="Garamond" w:hAnsi="Garamond"/>
          <w:sz w:val="22"/>
          <w:szCs w:val="22"/>
        </w:rPr>
        <w:t xml:space="preserve">in the short run </w:t>
      </w:r>
      <w:r w:rsidR="00C21775" w:rsidRPr="00C21775">
        <w:rPr>
          <w:rFonts w:ascii="Garamond" w:hAnsi="Garamond"/>
          <w:sz w:val="22"/>
          <w:szCs w:val="22"/>
        </w:rPr>
        <w:t xml:space="preserve">will be </w:t>
      </w:r>
      <w:r w:rsidR="00A15E24">
        <w:rPr>
          <w:rFonts w:ascii="Garamond" w:hAnsi="Garamond"/>
          <w:sz w:val="22"/>
          <w:szCs w:val="22"/>
        </w:rPr>
        <w:t xml:space="preserve">below </w:t>
      </w:r>
      <w:r w:rsidR="00C21775" w:rsidRPr="00C21775">
        <w:rPr>
          <w:rFonts w:ascii="Garamond" w:hAnsi="Garamond"/>
          <w:sz w:val="22"/>
          <w:szCs w:val="22"/>
        </w:rPr>
        <w:t xml:space="preserve">previous </w:t>
      </w:r>
      <w:r w:rsidR="00E673D5">
        <w:rPr>
          <w:rFonts w:ascii="Garamond" w:hAnsi="Garamond"/>
          <w:sz w:val="22"/>
          <w:szCs w:val="22"/>
        </w:rPr>
        <w:t>forecasts</w:t>
      </w:r>
      <w:r w:rsidR="009F46B5">
        <w:rPr>
          <w:rFonts w:ascii="Garamond" w:hAnsi="Garamond"/>
          <w:sz w:val="22"/>
          <w:szCs w:val="22"/>
        </w:rPr>
        <w:t xml:space="preserve">, which </w:t>
      </w:r>
      <w:r w:rsidR="00D708C5">
        <w:rPr>
          <w:rFonts w:ascii="Garamond" w:hAnsi="Garamond"/>
          <w:sz w:val="22"/>
          <w:szCs w:val="22"/>
        </w:rPr>
        <w:t xml:space="preserve">is </w:t>
      </w:r>
      <w:r w:rsidR="009559B2">
        <w:rPr>
          <w:rFonts w:ascii="Garamond" w:hAnsi="Garamond"/>
          <w:sz w:val="22"/>
          <w:szCs w:val="22"/>
        </w:rPr>
        <w:t xml:space="preserve">explained by </w:t>
      </w:r>
      <w:r w:rsidR="00D708C5">
        <w:rPr>
          <w:rFonts w:ascii="Garamond" w:hAnsi="Garamond"/>
          <w:sz w:val="22"/>
          <w:szCs w:val="22"/>
        </w:rPr>
        <w:t xml:space="preserve">a smaller-than-expected seasonal </w:t>
      </w:r>
      <w:r w:rsidR="009F46B5">
        <w:rPr>
          <w:rFonts w:ascii="Garamond" w:hAnsi="Garamond"/>
          <w:sz w:val="22"/>
          <w:szCs w:val="22"/>
        </w:rPr>
        <w:t xml:space="preserve">increase </w:t>
      </w:r>
      <w:r w:rsidR="00D708C5">
        <w:rPr>
          <w:rFonts w:ascii="Garamond" w:hAnsi="Garamond"/>
          <w:sz w:val="22"/>
          <w:szCs w:val="22"/>
        </w:rPr>
        <w:t xml:space="preserve">in </w:t>
      </w:r>
      <w:r>
        <w:rPr>
          <w:rFonts w:ascii="Garamond" w:hAnsi="Garamond"/>
          <w:sz w:val="22"/>
          <w:szCs w:val="22"/>
        </w:rPr>
        <w:t>prices of</w:t>
      </w:r>
      <w:r w:rsidR="00116E8B">
        <w:rPr>
          <w:rFonts w:ascii="Garamond" w:hAnsi="Garamond"/>
          <w:sz w:val="22"/>
          <w:szCs w:val="22"/>
        </w:rPr>
        <w:t xml:space="preserve"> </w:t>
      </w:r>
      <w:r w:rsidR="00D708C5">
        <w:rPr>
          <w:rFonts w:ascii="Garamond" w:hAnsi="Garamond"/>
          <w:sz w:val="22"/>
          <w:szCs w:val="22"/>
        </w:rPr>
        <w:t xml:space="preserve">some </w:t>
      </w:r>
      <w:r w:rsidR="00E673D5">
        <w:rPr>
          <w:rFonts w:ascii="Garamond" w:hAnsi="Garamond"/>
          <w:sz w:val="22"/>
          <w:szCs w:val="22"/>
        </w:rPr>
        <w:t>agricultural goods</w:t>
      </w:r>
      <w:r w:rsidR="008C1DD3">
        <w:rPr>
          <w:rFonts w:ascii="Garamond" w:hAnsi="Garamond"/>
          <w:sz w:val="22"/>
          <w:szCs w:val="22"/>
        </w:rPr>
        <w:t>, vegetables in particular</w:t>
      </w:r>
      <w:r w:rsidR="009F46B5">
        <w:rPr>
          <w:rFonts w:ascii="Garamond" w:hAnsi="Garamond"/>
          <w:sz w:val="22"/>
          <w:szCs w:val="22"/>
        </w:rPr>
        <w:t>. T</w:t>
      </w:r>
      <w:r w:rsidR="008C1DD3" w:rsidRPr="008C1DD3">
        <w:rPr>
          <w:rFonts w:ascii="Garamond" w:hAnsi="Garamond"/>
          <w:sz w:val="22"/>
          <w:szCs w:val="22"/>
        </w:rPr>
        <w:t>he</w:t>
      </w:r>
      <w:r w:rsidR="00D708C5">
        <w:rPr>
          <w:rFonts w:ascii="Garamond" w:hAnsi="Garamond"/>
          <w:sz w:val="22"/>
          <w:szCs w:val="22"/>
        </w:rPr>
        <w:t>re is anticipation</w:t>
      </w:r>
      <w:r w:rsidR="009F46B5">
        <w:rPr>
          <w:rFonts w:ascii="Garamond" w:hAnsi="Garamond"/>
          <w:sz w:val="22"/>
          <w:szCs w:val="22"/>
        </w:rPr>
        <w:t>, however,</w:t>
      </w:r>
      <w:r w:rsidR="00D708C5">
        <w:rPr>
          <w:rFonts w:ascii="Garamond" w:hAnsi="Garamond"/>
          <w:sz w:val="22"/>
          <w:szCs w:val="22"/>
        </w:rPr>
        <w:t xml:space="preserve"> that </w:t>
      </w:r>
      <w:r w:rsidR="009F46B5">
        <w:rPr>
          <w:rFonts w:ascii="Garamond" w:hAnsi="Garamond"/>
          <w:sz w:val="22"/>
          <w:szCs w:val="22"/>
        </w:rPr>
        <w:t xml:space="preserve">this </w:t>
      </w:r>
      <w:r w:rsidR="00867895" w:rsidRPr="00867895">
        <w:rPr>
          <w:rFonts w:ascii="Garamond" w:hAnsi="Garamond"/>
          <w:sz w:val="22"/>
          <w:szCs w:val="22"/>
        </w:rPr>
        <w:t xml:space="preserve">will be </w:t>
      </w:r>
      <w:r w:rsidR="009F46B5">
        <w:rPr>
          <w:rFonts w:ascii="Garamond" w:hAnsi="Garamond"/>
          <w:sz w:val="22"/>
          <w:szCs w:val="22"/>
        </w:rPr>
        <w:t xml:space="preserve">a </w:t>
      </w:r>
      <w:r w:rsidR="00867895" w:rsidRPr="00867895">
        <w:rPr>
          <w:rFonts w:ascii="Garamond" w:hAnsi="Garamond"/>
          <w:sz w:val="22"/>
          <w:szCs w:val="22"/>
        </w:rPr>
        <w:t xml:space="preserve">temporary </w:t>
      </w:r>
      <w:r w:rsidR="009F46B5">
        <w:rPr>
          <w:rFonts w:ascii="Garamond" w:hAnsi="Garamond"/>
          <w:sz w:val="22"/>
          <w:szCs w:val="22"/>
        </w:rPr>
        <w:t xml:space="preserve">phenomenon </w:t>
      </w:r>
      <w:r w:rsidR="00867895" w:rsidRPr="00867895">
        <w:rPr>
          <w:rFonts w:ascii="Garamond" w:hAnsi="Garamond"/>
          <w:sz w:val="22"/>
          <w:szCs w:val="22"/>
        </w:rPr>
        <w:t>and that by the end of the ye</w:t>
      </w:r>
      <w:r w:rsidR="00867895">
        <w:rPr>
          <w:rFonts w:ascii="Garamond" w:hAnsi="Garamond"/>
          <w:sz w:val="22"/>
          <w:szCs w:val="22"/>
        </w:rPr>
        <w:t xml:space="preserve">ar the prices of seasonal goods prices </w:t>
      </w:r>
      <w:r w:rsidR="00867895" w:rsidRPr="00867895">
        <w:rPr>
          <w:rFonts w:ascii="Garamond" w:hAnsi="Garamond"/>
          <w:sz w:val="22"/>
          <w:szCs w:val="22"/>
        </w:rPr>
        <w:t>will</w:t>
      </w:r>
      <w:r w:rsidR="00867895">
        <w:rPr>
          <w:rFonts w:ascii="Garamond" w:hAnsi="Garamond"/>
          <w:sz w:val="22"/>
          <w:szCs w:val="22"/>
        </w:rPr>
        <w:t xml:space="preserve"> somehow recover</w:t>
      </w:r>
      <w:r w:rsidR="008C1DD3" w:rsidRPr="008C1DD3">
        <w:rPr>
          <w:rFonts w:ascii="Garamond" w:hAnsi="Garamond"/>
          <w:sz w:val="22"/>
          <w:szCs w:val="22"/>
        </w:rPr>
        <w:t>.</w:t>
      </w:r>
    </w:p>
    <w:p w14:paraId="2EAD211E" w14:textId="77777777" w:rsidR="002A0418" w:rsidRDefault="001D2F62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 the meanwhile, core i</w:t>
      </w:r>
      <w:r w:rsidRPr="00C21775">
        <w:rPr>
          <w:rFonts w:ascii="Garamond" w:hAnsi="Garamond"/>
          <w:sz w:val="22"/>
          <w:szCs w:val="22"/>
        </w:rPr>
        <w:t xml:space="preserve">nflation </w:t>
      </w:r>
      <w:r>
        <w:rPr>
          <w:rFonts w:ascii="Garamond" w:hAnsi="Garamond"/>
          <w:sz w:val="22"/>
          <w:szCs w:val="22"/>
        </w:rPr>
        <w:t>will run</w:t>
      </w:r>
      <w:r w:rsidRPr="00C21775">
        <w:rPr>
          <w:rFonts w:ascii="Garamond" w:hAnsi="Garamond"/>
          <w:sz w:val="22"/>
          <w:szCs w:val="22"/>
        </w:rPr>
        <w:t xml:space="preserve"> </w:t>
      </w:r>
      <w:r w:rsidR="00793A6C">
        <w:rPr>
          <w:rFonts w:ascii="Garamond" w:hAnsi="Garamond"/>
          <w:sz w:val="22"/>
          <w:szCs w:val="22"/>
        </w:rPr>
        <w:t xml:space="preserve">at a </w:t>
      </w:r>
      <w:r w:rsidR="00793A6C" w:rsidRPr="00793A6C">
        <w:rPr>
          <w:rFonts w:ascii="Garamond" w:hAnsi="Garamond"/>
          <w:sz w:val="22"/>
          <w:szCs w:val="22"/>
        </w:rPr>
        <w:t xml:space="preserve">slightly lower </w:t>
      </w:r>
      <w:r w:rsidR="00793A6C">
        <w:rPr>
          <w:rFonts w:ascii="Garamond" w:hAnsi="Garamond"/>
          <w:sz w:val="22"/>
          <w:szCs w:val="22"/>
        </w:rPr>
        <w:t xml:space="preserve">level </w:t>
      </w:r>
      <w:r w:rsidR="00793A6C" w:rsidRPr="00793A6C">
        <w:rPr>
          <w:rFonts w:ascii="Garamond" w:hAnsi="Garamond"/>
          <w:sz w:val="22"/>
          <w:szCs w:val="22"/>
        </w:rPr>
        <w:t>than expected, driven mainly by deflationary developments in foreign markets</w:t>
      </w:r>
      <w:r w:rsidR="00340D9F">
        <w:rPr>
          <w:rFonts w:ascii="Garamond" w:hAnsi="Garamond"/>
          <w:sz w:val="22"/>
          <w:szCs w:val="22"/>
        </w:rPr>
        <w:t xml:space="preserve">, on the one hand, and </w:t>
      </w:r>
      <w:r w:rsidR="00340D9F" w:rsidRPr="00340D9F">
        <w:rPr>
          <w:rFonts w:ascii="Garamond" w:hAnsi="Garamond"/>
          <w:sz w:val="22"/>
          <w:szCs w:val="22"/>
        </w:rPr>
        <w:t xml:space="preserve">increasing competition in </w:t>
      </w:r>
      <w:r w:rsidR="00340D9F">
        <w:rPr>
          <w:rFonts w:ascii="Garamond" w:hAnsi="Garamond"/>
          <w:sz w:val="22"/>
          <w:szCs w:val="22"/>
        </w:rPr>
        <w:t xml:space="preserve">product </w:t>
      </w:r>
      <w:r w:rsidR="00340D9F" w:rsidRPr="00340D9F">
        <w:rPr>
          <w:rFonts w:ascii="Garamond" w:hAnsi="Garamond"/>
          <w:sz w:val="22"/>
          <w:szCs w:val="22"/>
        </w:rPr>
        <w:t xml:space="preserve">markets </w:t>
      </w:r>
      <w:r w:rsidR="00340D9F">
        <w:rPr>
          <w:rFonts w:ascii="Garamond" w:hAnsi="Garamond"/>
          <w:sz w:val="22"/>
          <w:szCs w:val="22"/>
        </w:rPr>
        <w:t xml:space="preserve">amid </w:t>
      </w:r>
      <w:r w:rsidR="00340D9F" w:rsidRPr="00340D9F">
        <w:rPr>
          <w:rFonts w:ascii="Garamond" w:hAnsi="Garamond"/>
          <w:sz w:val="22"/>
          <w:szCs w:val="22"/>
        </w:rPr>
        <w:t>structural reforms of the economy</w:t>
      </w:r>
      <w:r w:rsidR="00340D9F">
        <w:rPr>
          <w:rFonts w:ascii="Garamond" w:hAnsi="Garamond"/>
          <w:sz w:val="22"/>
          <w:szCs w:val="22"/>
        </w:rPr>
        <w:t>, on the other</w:t>
      </w:r>
      <w:r w:rsidR="00793A6C" w:rsidRPr="00793A6C">
        <w:rPr>
          <w:rFonts w:ascii="Garamond" w:hAnsi="Garamond"/>
          <w:sz w:val="22"/>
          <w:szCs w:val="22"/>
        </w:rPr>
        <w:t>.</w:t>
      </w:r>
      <w:r w:rsidR="00793A6C">
        <w:rPr>
          <w:rFonts w:ascii="Garamond" w:hAnsi="Garamond"/>
          <w:sz w:val="22"/>
          <w:szCs w:val="22"/>
        </w:rPr>
        <w:t xml:space="preserve"> </w:t>
      </w:r>
      <w:r w:rsidR="009559B2" w:rsidRPr="00EE5F0F">
        <w:rPr>
          <w:rFonts w:ascii="Garamond" w:hAnsi="Garamond"/>
          <w:sz w:val="22"/>
          <w:szCs w:val="22"/>
        </w:rPr>
        <w:t>Consequently,</w:t>
      </w:r>
      <w:r w:rsidR="009559B2">
        <w:rPr>
          <w:rFonts w:ascii="Garamond" w:hAnsi="Garamond"/>
          <w:sz w:val="22"/>
          <w:szCs w:val="22"/>
        </w:rPr>
        <w:t xml:space="preserve"> </w:t>
      </w:r>
      <w:r w:rsidR="008C1DD3">
        <w:rPr>
          <w:rFonts w:ascii="Garamond" w:hAnsi="Garamond"/>
          <w:sz w:val="22"/>
          <w:szCs w:val="22"/>
        </w:rPr>
        <w:t xml:space="preserve">in pursuit of </w:t>
      </w:r>
      <w:r w:rsidR="009559B2" w:rsidRPr="00EE5F0F">
        <w:rPr>
          <w:rFonts w:ascii="Garamond" w:hAnsi="Garamond"/>
          <w:sz w:val="22"/>
          <w:szCs w:val="22"/>
        </w:rPr>
        <w:t>the inflation target</w:t>
      </w:r>
      <w:r w:rsidR="008C1DD3">
        <w:rPr>
          <w:rFonts w:ascii="Garamond" w:hAnsi="Garamond"/>
          <w:sz w:val="22"/>
          <w:szCs w:val="22"/>
        </w:rPr>
        <w:t>, the m</w:t>
      </w:r>
      <w:r w:rsidR="009559B2" w:rsidRPr="00EE5F0F">
        <w:rPr>
          <w:rFonts w:ascii="Garamond" w:hAnsi="Garamond"/>
          <w:sz w:val="22"/>
          <w:szCs w:val="22"/>
        </w:rPr>
        <w:t xml:space="preserve">onetary </w:t>
      </w:r>
      <w:r w:rsidR="009559B2">
        <w:rPr>
          <w:rFonts w:ascii="Garamond" w:hAnsi="Garamond"/>
          <w:sz w:val="22"/>
          <w:szCs w:val="22"/>
        </w:rPr>
        <w:t xml:space="preserve">policy </w:t>
      </w:r>
      <w:r w:rsidR="00340D9F">
        <w:rPr>
          <w:rFonts w:ascii="Garamond" w:hAnsi="Garamond"/>
          <w:sz w:val="22"/>
          <w:szCs w:val="22"/>
        </w:rPr>
        <w:t xml:space="preserve">will remain stimulative so as to facilitate the recovery of </w:t>
      </w:r>
      <w:r w:rsidR="00793A6C">
        <w:rPr>
          <w:rFonts w:ascii="Garamond" w:hAnsi="Garamond"/>
          <w:sz w:val="22"/>
          <w:szCs w:val="22"/>
        </w:rPr>
        <w:t>aggregate demand</w:t>
      </w:r>
      <w:r w:rsidR="00340D9F">
        <w:rPr>
          <w:rFonts w:ascii="Garamond" w:hAnsi="Garamond"/>
          <w:sz w:val="22"/>
          <w:szCs w:val="22"/>
        </w:rPr>
        <w:t xml:space="preserve"> while assisting </w:t>
      </w:r>
      <w:r w:rsidR="00837168">
        <w:rPr>
          <w:rFonts w:ascii="Garamond" w:hAnsi="Garamond"/>
          <w:sz w:val="22"/>
          <w:szCs w:val="22"/>
        </w:rPr>
        <w:t xml:space="preserve">the inflation </w:t>
      </w:r>
      <w:r w:rsidR="00340D9F">
        <w:rPr>
          <w:rFonts w:ascii="Garamond" w:hAnsi="Garamond"/>
          <w:sz w:val="22"/>
          <w:szCs w:val="22"/>
        </w:rPr>
        <w:t xml:space="preserve">to </w:t>
      </w:r>
      <w:r w:rsidR="00261149">
        <w:rPr>
          <w:rFonts w:ascii="Garamond" w:hAnsi="Garamond"/>
          <w:sz w:val="22"/>
          <w:szCs w:val="22"/>
        </w:rPr>
        <w:t xml:space="preserve">stabilize around the target </w:t>
      </w:r>
      <w:r w:rsidR="008904D7">
        <w:rPr>
          <w:rFonts w:ascii="Garamond" w:hAnsi="Garamond"/>
          <w:sz w:val="22"/>
          <w:szCs w:val="22"/>
        </w:rPr>
        <w:t xml:space="preserve">at the end of the forecast horizon </w:t>
      </w:r>
      <w:r w:rsidR="00261149" w:rsidRPr="00EE5F0F">
        <w:rPr>
          <w:rFonts w:ascii="Garamond" w:hAnsi="Garamond"/>
          <w:sz w:val="22"/>
          <w:szCs w:val="22"/>
        </w:rPr>
        <w:t xml:space="preserve">(see </w:t>
      </w:r>
      <w:r w:rsidR="002B088F">
        <w:rPr>
          <w:rFonts w:ascii="Garamond" w:hAnsi="Garamond"/>
          <w:sz w:val="22"/>
          <w:szCs w:val="22"/>
        </w:rPr>
        <w:t>C</w:t>
      </w:r>
      <w:r w:rsidR="008904D7">
        <w:rPr>
          <w:rFonts w:ascii="Garamond" w:hAnsi="Garamond"/>
          <w:sz w:val="22"/>
          <w:szCs w:val="22"/>
        </w:rPr>
        <w:t>hart “</w:t>
      </w:r>
      <w:r w:rsidR="00261149" w:rsidRPr="00EE5F0F">
        <w:rPr>
          <w:rFonts w:ascii="Garamond" w:hAnsi="Garamond"/>
          <w:sz w:val="22"/>
          <w:szCs w:val="22"/>
        </w:rPr>
        <w:t>Inflation Forecasts Probability Distribution</w:t>
      </w:r>
      <w:r w:rsidR="008904D7">
        <w:rPr>
          <w:rFonts w:ascii="Garamond" w:hAnsi="Garamond"/>
          <w:sz w:val="22"/>
          <w:szCs w:val="22"/>
        </w:rPr>
        <w:t>”</w:t>
      </w:r>
      <w:r w:rsidR="00261149" w:rsidRPr="00EE5F0F">
        <w:rPr>
          <w:rFonts w:ascii="Garamond" w:hAnsi="Garamond"/>
          <w:sz w:val="22"/>
          <w:szCs w:val="22"/>
        </w:rPr>
        <w:t>).</w:t>
      </w:r>
      <w:r w:rsidR="00261149">
        <w:rPr>
          <w:rFonts w:ascii="Garamond" w:hAnsi="Garamond"/>
          <w:sz w:val="22"/>
          <w:szCs w:val="22"/>
        </w:rPr>
        <w:t xml:space="preserve"> </w:t>
      </w:r>
    </w:p>
    <w:p w14:paraId="42DC40FC" w14:textId="77777777" w:rsidR="002A0418" w:rsidRPr="00EE5F0F" w:rsidRDefault="00A928A7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A928A7">
        <w:rPr>
          <w:rFonts w:ascii="Garamond" w:hAnsi="Garamond"/>
          <w:b/>
          <w:sz w:val="22"/>
          <w:szCs w:val="22"/>
        </w:rPr>
        <w:t xml:space="preserve">Short-term inflation expectations will </w:t>
      </w:r>
      <w:r>
        <w:rPr>
          <w:rFonts w:ascii="Garamond" w:hAnsi="Garamond"/>
          <w:b/>
          <w:sz w:val="22"/>
          <w:szCs w:val="22"/>
        </w:rPr>
        <w:t xml:space="preserve">linger around the value </w:t>
      </w:r>
      <w:r w:rsidR="00340D9F">
        <w:rPr>
          <w:rFonts w:ascii="Garamond" w:hAnsi="Garamond"/>
          <w:b/>
          <w:sz w:val="22"/>
          <w:szCs w:val="22"/>
        </w:rPr>
        <w:t>of previous f</w:t>
      </w:r>
      <w:r w:rsidRPr="00A928A7">
        <w:rPr>
          <w:rFonts w:ascii="Garamond" w:hAnsi="Garamond"/>
          <w:b/>
          <w:sz w:val="22"/>
          <w:szCs w:val="22"/>
        </w:rPr>
        <w:t>orecast</w:t>
      </w:r>
      <w:r w:rsidR="00340D9F">
        <w:rPr>
          <w:rFonts w:ascii="Garamond" w:hAnsi="Garamond"/>
          <w:b/>
          <w:sz w:val="22"/>
          <w:szCs w:val="22"/>
        </w:rPr>
        <w:t>s</w:t>
      </w:r>
      <w:r w:rsidR="003928B3">
        <w:rPr>
          <w:rFonts w:ascii="Garamond" w:hAnsi="Garamond"/>
          <w:b/>
          <w:sz w:val="22"/>
          <w:szCs w:val="22"/>
        </w:rPr>
        <w:t xml:space="preserve">; </w:t>
      </w:r>
      <w:r w:rsidR="003928B3" w:rsidRPr="003928B3">
        <w:rPr>
          <w:rFonts w:ascii="Garamond" w:hAnsi="Garamond"/>
          <w:b/>
          <w:sz w:val="22"/>
          <w:szCs w:val="22"/>
        </w:rPr>
        <w:t>in the forecast horizon</w:t>
      </w:r>
      <w:r w:rsidR="003928B3">
        <w:rPr>
          <w:rFonts w:ascii="Garamond" w:hAnsi="Garamond"/>
          <w:b/>
          <w:sz w:val="22"/>
          <w:szCs w:val="22"/>
        </w:rPr>
        <w:t xml:space="preserve"> the</w:t>
      </w:r>
      <w:r w:rsidR="003B47F5">
        <w:rPr>
          <w:rFonts w:ascii="Garamond" w:hAnsi="Garamond"/>
          <w:b/>
          <w:sz w:val="22"/>
          <w:szCs w:val="22"/>
        </w:rPr>
        <w:t xml:space="preserve">se expectations </w:t>
      </w:r>
      <w:r w:rsidR="003928B3">
        <w:rPr>
          <w:rFonts w:ascii="Garamond" w:hAnsi="Garamond"/>
          <w:b/>
          <w:sz w:val="22"/>
          <w:szCs w:val="22"/>
        </w:rPr>
        <w:t>may even</w:t>
      </w:r>
      <w:r w:rsidR="003B47F5">
        <w:rPr>
          <w:rFonts w:ascii="Garamond" w:hAnsi="Garamond"/>
          <w:b/>
          <w:sz w:val="22"/>
          <w:szCs w:val="22"/>
        </w:rPr>
        <w:t xml:space="preserve"> run</w:t>
      </w:r>
      <w:r w:rsidR="003928B3">
        <w:rPr>
          <w:rFonts w:ascii="Garamond" w:hAnsi="Garamond"/>
          <w:b/>
          <w:sz w:val="22"/>
          <w:szCs w:val="22"/>
        </w:rPr>
        <w:t xml:space="preserve"> </w:t>
      </w:r>
      <w:r w:rsidR="003928B3" w:rsidRPr="003928B3">
        <w:rPr>
          <w:rFonts w:ascii="Garamond" w:hAnsi="Garamond"/>
          <w:b/>
          <w:sz w:val="22"/>
          <w:szCs w:val="22"/>
        </w:rPr>
        <w:t xml:space="preserve">slightly lower </w:t>
      </w:r>
      <w:r w:rsidR="003928B3">
        <w:rPr>
          <w:rFonts w:ascii="Garamond" w:hAnsi="Garamond"/>
          <w:b/>
          <w:sz w:val="22"/>
          <w:szCs w:val="22"/>
        </w:rPr>
        <w:t>than predicted previously,</w:t>
      </w:r>
      <w:r w:rsidR="003928B3" w:rsidRPr="003928B3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reflecting</w:t>
      </w:r>
      <w:r w:rsidRPr="00A928A7">
        <w:rPr>
          <w:rFonts w:ascii="Garamond" w:hAnsi="Garamond"/>
          <w:b/>
          <w:sz w:val="22"/>
          <w:szCs w:val="22"/>
        </w:rPr>
        <w:t xml:space="preserve"> relative</w:t>
      </w:r>
      <w:r w:rsidR="00B15F79">
        <w:rPr>
          <w:rFonts w:ascii="Garamond" w:hAnsi="Garamond"/>
          <w:b/>
          <w:sz w:val="22"/>
          <w:szCs w:val="22"/>
        </w:rPr>
        <w:t xml:space="preserve">ly steady </w:t>
      </w:r>
      <w:r>
        <w:rPr>
          <w:rFonts w:ascii="Garamond" w:hAnsi="Garamond"/>
          <w:b/>
          <w:sz w:val="22"/>
          <w:szCs w:val="22"/>
        </w:rPr>
        <w:t xml:space="preserve">core </w:t>
      </w:r>
      <w:r w:rsidRPr="00A928A7">
        <w:rPr>
          <w:rFonts w:ascii="Garamond" w:hAnsi="Garamond"/>
          <w:b/>
          <w:sz w:val="22"/>
          <w:szCs w:val="22"/>
        </w:rPr>
        <w:t>inflation rates</w:t>
      </w:r>
      <w:r w:rsidR="00B15F79">
        <w:rPr>
          <w:rFonts w:ascii="Garamond" w:hAnsi="Garamond"/>
          <w:b/>
          <w:sz w:val="22"/>
          <w:szCs w:val="22"/>
        </w:rPr>
        <w:t xml:space="preserve"> at present and how slowly it might recover later on.</w:t>
      </w:r>
      <w:r w:rsidR="00C34BCA" w:rsidRPr="00EE5F0F">
        <w:rPr>
          <w:rFonts w:ascii="Garamond" w:hAnsi="Garamond"/>
          <w:b/>
          <w:sz w:val="22"/>
          <w:szCs w:val="22"/>
        </w:rPr>
        <w:t xml:space="preserve"> </w:t>
      </w:r>
    </w:p>
    <w:p w14:paraId="16B5C928" w14:textId="77777777" w:rsidR="00565F75" w:rsidRDefault="00565F75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56F2D38E" w14:textId="77777777" w:rsidR="00815906" w:rsidRPr="00EE5F0F" w:rsidRDefault="00815906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2.2.4. Main assumptions and risks</w:t>
      </w:r>
    </w:p>
    <w:p w14:paraId="3CAAC820" w14:textId="77777777" w:rsidR="00815906" w:rsidRDefault="00C95BEF" w:rsidP="00EE619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 xml:space="preserve">This section </w:t>
      </w:r>
      <w:r w:rsidR="009A6F46" w:rsidRPr="00EE5F0F">
        <w:rPr>
          <w:rFonts w:ascii="Garamond" w:hAnsi="Garamond"/>
          <w:sz w:val="22"/>
          <w:szCs w:val="22"/>
        </w:rPr>
        <w:t>contains</w:t>
      </w:r>
      <w:r w:rsidRPr="00EE5F0F">
        <w:rPr>
          <w:rFonts w:ascii="Garamond" w:hAnsi="Garamond"/>
          <w:sz w:val="22"/>
          <w:szCs w:val="22"/>
        </w:rPr>
        <w:t xml:space="preserve"> the main assumptions underlying the Monetary</w:t>
      </w:r>
      <w:r w:rsidR="00815906" w:rsidRPr="00EE5F0F">
        <w:rPr>
          <w:rFonts w:ascii="Garamond" w:hAnsi="Garamond"/>
          <w:sz w:val="22"/>
          <w:szCs w:val="22"/>
        </w:rPr>
        <w:t xml:space="preserve"> </w:t>
      </w:r>
      <w:r w:rsidRPr="00EE5F0F">
        <w:rPr>
          <w:rFonts w:ascii="Garamond" w:hAnsi="Garamond"/>
          <w:sz w:val="22"/>
          <w:szCs w:val="22"/>
        </w:rPr>
        <w:t>P</w:t>
      </w:r>
      <w:r w:rsidR="00815906" w:rsidRPr="00EE5F0F">
        <w:rPr>
          <w:rFonts w:ascii="Garamond" w:hAnsi="Garamond"/>
          <w:sz w:val="22"/>
          <w:szCs w:val="22"/>
        </w:rPr>
        <w:t xml:space="preserve">olicy </w:t>
      </w:r>
      <w:r w:rsidRPr="00EE5F0F">
        <w:rPr>
          <w:rFonts w:ascii="Garamond" w:hAnsi="Garamond"/>
          <w:sz w:val="22"/>
          <w:szCs w:val="22"/>
        </w:rPr>
        <w:t xml:space="preserve">Program for the </w:t>
      </w:r>
      <w:r w:rsidR="00750F8C">
        <w:rPr>
          <w:rFonts w:ascii="Garamond" w:hAnsi="Garamond"/>
          <w:sz w:val="22"/>
          <w:szCs w:val="22"/>
        </w:rPr>
        <w:t>fourth</w:t>
      </w:r>
      <w:r w:rsidRPr="00EE5F0F">
        <w:rPr>
          <w:rFonts w:ascii="Garamond" w:hAnsi="Garamond"/>
          <w:sz w:val="22"/>
          <w:szCs w:val="22"/>
        </w:rPr>
        <w:t xml:space="preserve"> quarter of 201</w:t>
      </w:r>
      <w:r w:rsidR="00846EFB">
        <w:rPr>
          <w:rFonts w:ascii="Garamond" w:hAnsi="Garamond"/>
          <w:sz w:val="22"/>
          <w:szCs w:val="22"/>
        </w:rPr>
        <w:t>9</w:t>
      </w:r>
      <w:r w:rsidRPr="00EE5F0F">
        <w:rPr>
          <w:rFonts w:ascii="Garamond" w:hAnsi="Garamond"/>
          <w:sz w:val="22"/>
          <w:szCs w:val="22"/>
        </w:rPr>
        <w:t xml:space="preserve"> and the </w:t>
      </w:r>
      <w:r w:rsidR="00815906" w:rsidRPr="00EE5F0F">
        <w:rPr>
          <w:rFonts w:ascii="Garamond" w:hAnsi="Garamond"/>
          <w:sz w:val="22"/>
          <w:szCs w:val="22"/>
        </w:rPr>
        <w:t xml:space="preserve">risks </w:t>
      </w:r>
      <w:r w:rsidRPr="00EE5F0F">
        <w:rPr>
          <w:rFonts w:ascii="Garamond" w:hAnsi="Garamond"/>
          <w:sz w:val="22"/>
          <w:szCs w:val="22"/>
        </w:rPr>
        <w:t>to implementation of the program</w:t>
      </w:r>
      <w:r w:rsidR="00C90711" w:rsidRPr="00EE5F0F">
        <w:rPr>
          <w:rFonts w:ascii="Garamond" w:hAnsi="Garamond"/>
          <w:sz w:val="22"/>
          <w:szCs w:val="22"/>
        </w:rPr>
        <w:t>, which</w:t>
      </w:r>
      <w:r w:rsidR="00FA0C20" w:rsidRPr="00EE5F0F">
        <w:rPr>
          <w:rFonts w:ascii="Garamond" w:hAnsi="Garamond"/>
          <w:sz w:val="22"/>
          <w:szCs w:val="22"/>
        </w:rPr>
        <w:t xml:space="preserve"> </w:t>
      </w:r>
      <w:r w:rsidR="00815906" w:rsidRPr="00EE5F0F">
        <w:rPr>
          <w:rFonts w:ascii="Garamond" w:hAnsi="Garamond"/>
          <w:sz w:val="22"/>
          <w:szCs w:val="22"/>
        </w:rPr>
        <w:t xml:space="preserve">derive from </w:t>
      </w:r>
      <w:r w:rsidR="00FA0C20" w:rsidRPr="00EE5F0F">
        <w:rPr>
          <w:rFonts w:ascii="Garamond" w:hAnsi="Garamond"/>
          <w:sz w:val="22"/>
          <w:szCs w:val="22"/>
        </w:rPr>
        <w:t xml:space="preserve">the </w:t>
      </w:r>
      <w:r w:rsidR="00815906" w:rsidRPr="00EE5F0F">
        <w:rPr>
          <w:rFonts w:ascii="Garamond" w:hAnsi="Garamond"/>
          <w:sz w:val="22"/>
          <w:szCs w:val="22"/>
        </w:rPr>
        <w:t xml:space="preserve">external sector developments, </w:t>
      </w:r>
      <w:r w:rsidR="00FA0C20" w:rsidRPr="00EE5F0F">
        <w:rPr>
          <w:rFonts w:ascii="Garamond" w:hAnsi="Garamond"/>
          <w:sz w:val="22"/>
          <w:szCs w:val="22"/>
        </w:rPr>
        <w:t xml:space="preserve">the </w:t>
      </w:r>
      <w:r w:rsidR="00815906" w:rsidRPr="00EE5F0F">
        <w:rPr>
          <w:rFonts w:ascii="Garamond" w:hAnsi="Garamond"/>
          <w:sz w:val="22"/>
          <w:szCs w:val="22"/>
        </w:rPr>
        <w:t>fiscal policy</w:t>
      </w:r>
      <w:r w:rsidR="00B15F79">
        <w:rPr>
          <w:rFonts w:ascii="Garamond" w:hAnsi="Garamond"/>
          <w:sz w:val="22"/>
          <w:szCs w:val="22"/>
        </w:rPr>
        <w:t xml:space="preserve"> implementation</w:t>
      </w:r>
      <w:r w:rsidR="00815906" w:rsidRPr="00EE5F0F">
        <w:rPr>
          <w:rFonts w:ascii="Garamond" w:hAnsi="Garamond"/>
          <w:sz w:val="22"/>
          <w:szCs w:val="22"/>
        </w:rPr>
        <w:t xml:space="preserve">, </w:t>
      </w:r>
      <w:r w:rsidR="008904D7">
        <w:rPr>
          <w:rFonts w:ascii="Garamond" w:hAnsi="Garamond"/>
          <w:sz w:val="22"/>
          <w:szCs w:val="22"/>
        </w:rPr>
        <w:t xml:space="preserve">current </w:t>
      </w:r>
      <w:r w:rsidR="00815906" w:rsidRPr="00EE5F0F">
        <w:rPr>
          <w:rFonts w:ascii="Garamond" w:hAnsi="Garamond"/>
          <w:sz w:val="22"/>
          <w:szCs w:val="22"/>
        </w:rPr>
        <w:t xml:space="preserve">trends and short-term forecasts.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2C" w:rsidRPr="00EE5F0F" w14:paraId="266DCC0D" w14:textId="77777777" w:rsidTr="00467C2C">
        <w:tc>
          <w:tcPr>
            <w:tcW w:w="9350" w:type="dxa"/>
          </w:tcPr>
          <w:p w14:paraId="7ECC4FC9" w14:textId="77777777" w:rsidR="00467C2C" w:rsidRPr="00CF2C97" w:rsidRDefault="008131AC" w:rsidP="006966A5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color w:val="0070C0"/>
                <w:sz w:val="21"/>
                <w:szCs w:val="21"/>
              </w:rPr>
            </w:pPr>
            <w:r>
              <w:rPr>
                <w:rFonts w:ascii="Garamond" w:hAnsi="Garamond"/>
                <w:b/>
                <w:color w:val="0070C0"/>
                <w:sz w:val="21"/>
                <w:szCs w:val="21"/>
              </w:rPr>
              <w:t>Box 1</w:t>
            </w:r>
            <w:r w:rsidR="00467C2C" w:rsidRPr="00CF2C97">
              <w:rPr>
                <w:rFonts w:ascii="Garamond" w:hAnsi="Garamond"/>
                <w:b/>
                <w:color w:val="0070C0"/>
                <w:sz w:val="21"/>
                <w:szCs w:val="21"/>
              </w:rPr>
              <w:t>:</w:t>
            </w:r>
          </w:p>
          <w:p w14:paraId="7F1DBBE4" w14:textId="77777777" w:rsidR="00467C2C" w:rsidRPr="00CF2C97" w:rsidRDefault="00467C2C" w:rsidP="006966A5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color w:val="0070C0"/>
                <w:sz w:val="21"/>
                <w:szCs w:val="21"/>
              </w:rPr>
            </w:pPr>
            <w:r w:rsidRPr="00CF2C97">
              <w:rPr>
                <w:rFonts w:ascii="Garamond" w:hAnsi="Garamond"/>
                <w:b/>
                <w:color w:val="0070C0"/>
                <w:sz w:val="21"/>
                <w:szCs w:val="21"/>
              </w:rPr>
              <w:t>The results of survey on expectations by the households and the financial system</w:t>
            </w:r>
          </w:p>
          <w:p w14:paraId="32BE0CFE" w14:textId="77777777" w:rsidR="004C4C65" w:rsidRDefault="00467C2C" w:rsidP="006966A5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21"/>
                <w:szCs w:val="21"/>
              </w:rPr>
            </w:pPr>
            <w:r w:rsidRPr="00CF2C97">
              <w:rPr>
                <w:rFonts w:ascii="Garamond" w:hAnsi="Garamond"/>
                <w:sz w:val="21"/>
                <w:szCs w:val="21"/>
              </w:rPr>
              <w:t xml:space="preserve">The </w:t>
            </w:r>
            <w:r w:rsidR="008131AC">
              <w:rPr>
                <w:rFonts w:ascii="Garamond" w:hAnsi="Garamond"/>
                <w:sz w:val="21"/>
                <w:szCs w:val="21"/>
              </w:rPr>
              <w:t>third</w:t>
            </w:r>
            <w:r w:rsidR="00E45B45">
              <w:rPr>
                <w:rFonts w:ascii="Garamond" w:hAnsi="Garamond"/>
                <w:sz w:val="21"/>
                <w:szCs w:val="21"/>
              </w:rPr>
              <w:t xml:space="preserve"> quarter </w:t>
            </w:r>
            <w:r w:rsidR="00F42D25" w:rsidRPr="00CF2C97">
              <w:rPr>
                <w:rFonts w:ascii="Garamond" w:hAnsi="Garamond"/>
                <w:sz w:val="21"/>
                <w:szCs w:val="21"/>
              </w:rPr>
              <w:t>201</w:t>
            </w:r>
            <w:r w:rsidR="00F42D25">
              <w:rPr>
                <w:rFonts w:ascii="Garamond" w:hAnsi="Garamond"/>
                <w:sz w:val="21"/>
                <w:szCs w:val="21"/>
              </w:rPr>
              <w:t xml:space="preserve">9 </w:t>
            </w:r>
            <w:r w:rsidR="00F42D25" w:rsidRPr="00CF2C97">
              <w:rPr>
                <w:rFonts w:ascii="Garamond" w:hAnsi="Garamond"/>
                <w:sz w:val="21"/>
                <w:szCs w:val="21"/>
              </w:rPr>
              <w:t>survey on se</w:t>
            </w:r>
            <w:r w:rsidR="00F42D25">
              <w:rPr>
                <w:rFonts w:ascii="Garamond" w:hAnsi="Garamond"/>
                <w:sz w:val="21"/>
                <w:szCs w:val="21"/>
              </w:rPr>
              <w:t>lected macroeconomic indicators</w:t>
            </w:r>
            <w:r w:rsidR="00F42D25" w:rsidRPr="00CF2C97">
              <w:rPr>
                <w:rFonts w:ascii="Garamond" w:hAnsi="Garamond"/>
                <w:sz w:val="21"/>
                <w:szCs w:val="21"/>
              </w:rPr>
              <w:t xml:space="preserve"> carrie</w:t>
            </w:r>
            <w:r w:rsidR="008131AC">
              <w:rPr>
                <w:rFonts w:ascii="Garamond" w:hAnsi="Garamond"/>
                <w:sz w:val="21"/>
                <w:szCs w:val="21"/>
              </w:rPr>
              <w:t>d</w:t>
            </w:r>
            <w:r w:rsidR="00F42D25" w:rsidRPr="00CF2C97">
              <w:rPr>
                <w:rFonts w:ascii="Garamond" w:hAnsi="Garamond"/>
                <w:sz w:val="21"/>
                <w:szCs w:val="21"/>
              </w:rPr>
              <w:t xml:space="preserve"> out </w:t>
            </w:r>
            <w:r w:rsidR="00F42D25">
              <w:rPr>
                <w:rFonts w:ascii="Garamond" w:hAnsi="Garamond"/>
                <w:sz w:val="21"/>
                <w:szCs w:val="21"/>
              </w:rPr>
              <w:t xml:space="preserve">each quarter </w:t>
            </w:r>
            <w:r w:rsidR="008131AC">
              <w:rPr>
                <w:rFonts w:ascii="Garamond" w:hAnsi="Garamond"/>
                <w:sz w:val="21"/>
                <w:szCs w:val="21"/>
              </w:rPr>
              <w:t xml:space="preserve">by the Central Bank </w:t>
            </w:r>
            <w:r w:rsidR="00F42D25" w:rsidRPr="00CF2C97">
              <w:rPr>
                <w:rFonts w:ascii="Garamond" w:hAnsi="Garamond"/>
                <w:sz w:val="21"/>
                <w:szCs w:val="21"/>
              </w:rPr>
              <w:t xml:space="preserve">by way of inquiries among households and companies in the financial sector </w:t>
            </w:r>
            <w:r w:rsidR="00F42D25">
              <w:rPr>
                <w:rFonts w:ascii="Garamond" w:hAnsi="Garamond"/>
                <w:sz w:val="21"/>
                <w:szCs w:val="21"/>
              </w:rPr>
              <w:t xml:space="preserve">denote that </w:t>
            </w:r>
            <w:r w:rsidRPr="00CF2C97">
              <w:rPr>
                <w:rFonts w:ascii="Garamond" w:hAnsi="Garamond"/>
                <w:sz w:val="21"/>
                <w:szCs w:val="21"/>
              </w:rPr>
              <w:t xml:space="preserve">inflation expectations </w:t>
            </w:r>
            <w:r w:rsidR="00E45B45">
              <w:rPr>
                <w:rFonts w:ascii="Garamond" w:hAnsi="Garamond"/>
                <w:sz w:val="21"/>
                <w:szCs w:val="21"/>
              </w:rPr>
              <w:t>proved steady over the reporting quarter, with no noticeable changes relative to the previous quarter’s figures.</w:t>
            </w:r>
            <w:r w:rsidRPr="00CF2C97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38793E">
              <w:rPr>
                <w:rFonts w:ascii="Garamond" w:hAnsi="Garamond"/>
                <w:sz w:val="21"/>
                <w:szCs w:val="21"/>
              </w:rPr>
              <w:t xml:space="preserve">Specifically, </w:t>
            </w:r>
            <w:r w:rsidR="006573EF" w:rsidRPr="00CF2C97">
              <w:rPr>
                <w:rFonts w:ascii="Garamond" w:hAnsi="Garamond"/>
                <w:sz w:val="21"/>
                <w:szCs w:val="21"/>
              </w:rPr>
              <w:t xml:space="preserve">the share of households expecting </w:t>
            </w:r>
            <w:r w:rsidR="005B015A" w:rsidRPr="00CF2C97">
              <w:rPr>
                <w:rFonts w:ascii="Garamond" w:hAnsi="Garamond"/>
                <w:sz w:val="21"/>
                <w:szCs w:val="21"/>
              </w:rPr>
              <w:t xml:space="preserve">high and </w:t>
            </w:r>
            <w:r w:rsidR="00407D23">
              <w:rPr>
                <w:rFonts w:ascii="Garamond" w:hAnsi="Garamond"/>
                <w:sz w:val="21"/>
                <w:szCs w:val="21"/>
              </w:rPr>
              <w:t xml:space="preserve">very </w:t>
            </w:r>
            <w:r w:rsidR="006573EF" w:rsidRPr="00CF2C97">
              <w:rPr>
                <w:rFonts w:ascii="Garamond" w:hAnsi="Garamond"/>
                <w:sz w:val="21"/>
                <w:szCs w:val="21"/>
              </w:rPr>
              <w:t>high inflation rate</w:t>
            </w:r>
            <w:r w:rsidR="000612ED">
              <w:rPr>
                <w:rFonts w:ascii="Garamond" w:hAnsi="Garamond"/>
                <w:sz w:val="21"/>
                <w:szCs w:val="21"/>
              </w:rPr>
              <w:t>s</w:t>
            </w:r>
            <w:r w:rsidR="005B015A" w:rsidRPr="00CF2C97">
              <w:rPr>
                <w:rFonts w:ascii="Garamond" w:hAnsi="Garamond"/>
                <w:sz w:val="21"/>
                <w:szCs w:val="21"/>
              </w:rPr>
              <w:t xml:space="preserve"> for a one-year horizon </w:t>
            </w:r>
            <w:r w:rsidR="0038793E">
              <w:rPr>
                <w:rFonts w:ascii="Garamond" w:hAnsi="Garamond"/>
                <w:sz w:val="21"/>
                <w:szCs w:val="21"/>
              </w:rPr>
              <w:t>in a total respondent</w:t>
            </w:r>
            <w:r w:rsidR="00407D23">
              <w:rPr>
                <w:rFonts w:ascii="Garamond" w:hAnsi="Garamond"/>
                <w:sz w:val="21"/>
                <w:szCs w:val="21"/>
              </w:rPr>
              <w:t xml:space="preserve"> base</w:t>
            </w:r>
            <w:r w:rsidR="0038793E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407D23">
              <w:rPr>
                <w:rFonts w:ascii="Garamond" w:hAnsi="Garamond"/>
                <w:sz w:val="21"/>
                <w:szCs w:val="21"/>
              </w:rPr>
              <w:t>continues to be small</w:t>
            </w:r>
            <w:r w:rsidR="00A40DA4">
              <w:rPr>
                <w:rFonts w:ascii="Garamond" w:hAnsi="Garamond"/>
                <w:sz w:val="21"/>
                <w:szCs w:val="21"/>
              </w:rPr>
              <w:t xml:space="preserve">, pointing to the </w:t>
            </w:r>
            <w:r w:rsidR="00A40DA4" w:rsidRPr="00A40DA4">
              <w:rPr>
                <w:rFonts w:ascii="Garamond" w:hAnsi="Garamond"/>
                <w:sz w:val="21"/>
                <w:szCs w:val="21"/>
              </w:rPr>
              <w:t>gradual strengthening of price stability</w:t>
            </w:r>
            <w:r w:rsidR="005B015A" w:rsidRPr="00CF2C97">
              <w:rPr>
                <w:rFonts w:ascii="Garamond" w:hAnsi="Garamond"/>
                <w:sz w:val="21"/>
                <w:szCs w:val="21"/>
              </w:rPr>
              <w:t>.</w:t>
            </w:r>
          </w:p>
          <w:p w14:paraId="40054D28" w14:textId="77777777" w:rsidR="00467C2C" w:rsidRPr="00EE5F0F" w:rsidRDefault="00A40DA4" w:rsidP="00A40DA4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lastRenderedPageBreak/>
              <w:t>T</w:t>
            </w:r>
            <w:r w:rsidRPr="00CF2C97">
              <w:rPr>
                <w:rFonts w:ascii="Garamond" w:hAnsi="Garamond"/>
                <w:b/>
                <w:sz w:val="21"/>
                <w:szCs w:val="21"/>
              </w:rPr>
              <w:t>he financial system</w:t>
            </w:r>
            <w:r>
              <w:rPr>
                <w:rFonts w:ascii="Garamond" w:hAnsi="Garamond"/>
                <w:b/>
                <w:sz w:val="21"/>
                <w:szCs w:val="21"/>
              </w:rPr>
              <w:t>’s</w:t>
            </w:r>
            <w:r w:rsidRPr="00407D23">
              <w:rPr>
                <w:rFonts w:ascii="Garamond" w:hAnsi="Garamond"/>
                <w:b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i</w:t>
            </w:r>
            <w:r w:rsidR="00467C2C" w:rsidRPr="00CF2C97">
              <w:rPr>
                <w:rFonts w:ascii="Garamond" w:hAnsi="Garamond"/>
                <w:b/>
                <w:sz w:val="21"/>
                <w:szCs w:val="21"/>
              </w:rPr>
              <w:t xml:space="preserve">nflation expectations </w:t>
            </w:r>
            <w:r>
              <w:rPr>
                <w:rFonts w:ascii="Garamond" w:hAnsi="Garamond"/>
                <w:sz w:val="21"/>
                <w:szCs w:val="21"/>
              </w:rPr>
              <w:t>had a slight shift downward relative t</w:t>
            </w:r>
            <w:r w:rsidR="00407D23">
              <w:rPr>
                <w:rFonts w:ascii="Garamond" w:hAnsi="Garamond"/>
                <w:sz w:val="21"/>
                <w:szCs w:val="21"/>
              </w:rPr>
              <w:t xml:space="preserve">o </w:t>
            </w:r>
            <w:r w:rsidR="003654D5">
              <w:rPr>
                <w:rFonts w:ascii="Garamond" w:hAnsi="Garamond"/>
                <w:sz w:val="21"/>
                <w:szCs w:val="21"/>
              </w:rPr>
              <w:t>the previous survey</w:t>
            </w:r>
            <w:r>
              <w:rPr>
                <w:rFonts w:ascii="Garamond" w:hAnsi="Garamond"/>
                <w:sz w:val="21"/>
                <w:szCs w:val="21"/>
              </w:rPr>
              <w:t>, with an</w:t>
            </w:r>
            <w:r w:rsidR="00407D23" w:rsidRPr="00407D23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407D23">
              <w:rPr>
                <w:rFonts w:ascii="Garamond" w:hAnsi="Garamond"/>
                <w:sz w:val="21"/>
                <w:szCs w:val="21"/>
              </w:rPr>
              <w:t xml:space="preserve">average level of </w:t>
            </w:r>
            <w:r w:rsidR="00407D23" w:rsidRPr="00407D23">
              <w:rPr>
                <w:rFonts w:ascii="Garamond" w:hAnsi="Garamond"/>
                <w:sz w:val="21"/>
                <w:szCs w:val="21"/>
              </w:rPr>
              <w:t xml:space="preserve">inflation expectations </w:t>
            </w:r>
            <w:r>
              <w:rPr>
                <w:rFonts w:ascii="Garamond" w:hAnsi="Garamond"/>
                <w:sz w:val="21"/>
                <w:szCs w:val="21"/>
              </w:rPr>
              <w:t xml:space="preserve">decreased to around </w:t>
            </w:r>
            <w:r w:rsidRPr="007576AC">
              <w:rPr>
                <w:rFonts w:ascii="Garamond" w:hAnsi="Garamond"/>
                <w:b/>
                <w:sz w:val="21"/>
                <w:szCs w:val="21"/>
              </w:rPr>
              <w:t>3.</w:t>
            </w:r>
            <w:r>
              <w:rPr>
                <w:rFonts w:ascii="Garamond" w:hAnsi="Garamond"/>
                <w:b/>
                <w:sz w:val="21"/>
                <w:szCs w:val="21"/>
              </w:rPr>
              <w:t>0</w:t>
            </w:r>
            <w:r w:rsidRPr="007576AC">
              <w:rPr>
                <w:rFonts w:ascii="Garamond" w:hAnsi="Garamond"/>
                <w:b/>
                <w:sz w:val="21"/>
                <w:szCs w:val="21"/>
              </w:rPr>
              <w:t>%</w:t>
            </w:r>
            <w:r>
              <w:rPr>
                <w:rFonts w:ascii="Garamond" w:hAnsi="Garamond"/>
                <w:sz w:val="21"/>
                <w:szCs w:val="21"/>
              </w:rPr>
              <w:t xml:space="preserve"> from the previous value of </w:t>
            </w:r>
            <w:r w:rsidR="004C4C65" w:rsidRPr="007576AC">
              <w:rPr>
                <w:rFonts w:ascii="Garamond" w:hAnsi="Garamond"/>
                <w:b/>
                <w:sz w:val="21"/>
                <w:szCs w:val="21"/>
              </w:rPr>
              <w:t>3</w:t>
            </w:r>
            <w:r w:rsidR="00467C2C" w:rsidRPr="007576AC">
              <w:rPr>
                <w:rFonts w:ascii="Garamond" w:hAnsi="Garamond"/>
                <w:b/>
                <w:sz w:val="21"/>
                <w:szCs w:val="21"/>
              </w:rPr>
              <w:t>.</w:t>
            </w:r>
            <w:r w:rsidR="00EE480A">
              <w:rPr>
                <w:rFonts w:ascii="Garamond" w:hAnsi="Garamond"/>
                <w:b/>
                <w:sz w:val="21"/>
                <w:szCs w:val="21"/>
              </w:rPr>
              <w:t>1</w:t>
            </w:r>
            <w:r>
              <w:rPr>
                <w:rFonts w:ascii="Garamond" w:hAnsi="Garamond"/>
                <w:b/>
                <w:sz w:val="21"/>
                <w:szCs w:val="21"/>
              </w:rPr>
              <w:t>5</w:t>
            </w:r>
            <w:r w:rsidR="00467C2C" w:rsidRPr="007576AC">
              <w:rPr>
                <w:rFonts w:ascii="Garamond" w:hAnsi="Garamond"/>
                <w:b/>
                <w:sz w:val="21"/>
                <w:szCs w:val="21"/>
              </w:rPr>
              <w:t>%</w:t>
            </w:r>
            <w:r w:rsidR="00467C2C" w:rsidRPr="00CF2C97">
              <w:rPr>
                <w:rFonts w:ascii="Garamond" w:hAnsi="Garamond"/>
                <w:sz w:val="21"/>
                <w:szCs w:val="21"/>
              </w:rPr>
              <w:t>.</w:t>
            </w:r>
          </w:p>
        </w:tc>
      </w:tr>
    </w:tbl>
    <w:p w14:paraId="5D39E45D" w14:textId="77777777" w:rsidR="005C6536" w:rsidRPr="00EE5F0F" w:rsidRDefault="005C6536" w:rsidP="005C653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10FAB53B" w14:textId="77777777" w:rsidR="005C6536" w:rsidRPr="00EE5F0F" w:rsidRDefault="005C6536" w:rsidP="005C653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>Forecast assumptions</w:t>
      </w:r>
      <w:r w:rsidR="00FA46F4" w:rsidRPr="00EE5F0F">
        <w:rPr>
          <w:rFonts w:ascii="Garamond" w:hAnsi="Garamond"/>
          <w:b/>
          <w:sz w:val="22"/>
          <w:szCs w:val="22"/>
        </w:rPr>
        <w:t xml:space="preserve"> </w:t>
      </w:r>
    </w:p>
    <w:p w14:paraId="7D074C0E" w14:textId="77777777" w:rsidR="005C6536" w:rsidRPr="000A2CFF" w:rsidRDefault="004C4C65" w:rsidP="005C653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Sylfaen"/>
          <w:b/>
          <w:i/>
          <w:iCs/>
          <w:color w:val="C00000"/>
          <w:sz w:val="22"/>
          <w:szCs w:val="22"/>
        </w:rPr>
      </w:pPr>
      <w:r w:rsidRPr="000A2CFF">
        <w:rPr>
          <w:rFonts w:ascii="Garamond" w:hAnsi="Garamond"/>
          <w:b/>
          <w:color w:val="C00000"/>
          <w:sz w:val="22"/>
          <w:szCs w:val="22"/>
        </w:rPr>
        <w:t>Table 3</w:t>
      </w:r>
      <w:r w:rsidR="005C6536" w:rsidRPr="000A2CFF">
        <w:rPr>
          <w:rFonts w:ascii="Garamond" w:hAnsi="Garamond"/>
          <w:b/>
          <w:color w:val="C00000"/>
          <w:sz w:val="22"/>
          <w:szCs w:val="22"/>
        </w:rPr>
        <w:t>:</w:t>
      </w:r>
      <w:r w:rsidR="00DA0E4F" w:rsidRPr="000A2CFF">
        <w:rPr>
          <w:rFonts w:ascii="Garamond" w:hAnsi="Garamond"/>
          <w:b/>
          <w:color w:val="C00000"/>
          <w:sz w:val="22"/>
          <w:szCs w:val="22"/>
        </w:rPr>
        <w:t xml:space="preserve"> </w:t>
      </w:r>
    </w:p>
    <w:tbl>
      <w:tblPr>
        <w:tblStyle w:val="TableGrid"/>
        <w:tblW w:w="6243" w:type="dxa"/>
        <w:tblInd w:w="4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15"/>
        <w:gridCol w:w="4528"/>
      </w:tblGrid>
      <w:tr w:rsidR="005C6536" w:rsidRPr="00EE5F0F" w14:paraId="7E435F8E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1BFDBB0F" w14:textId="77777777" w:rsidR="005C6536" w:rsidRPr="00EE5F0F" w:rsidRDefault="005C6536" w:rsidP="004D4A0F">
            <w:pPr>
              <w:spacing w:before="30" w:after="30"/>
              <w:rPr>
                <w:rFonts w:ascii="Garamond" w:eastAsia="Calibri" w:hAnsi="Garamond" w:cs="GHEA Grapalat"/>
                <w:b/>
                <w:sz w:val="22"/>
                <w:szCs w:val="22"/>
                <w:lang w:val="hy-AM"/>
              </w:rPr>
            </w:pPr>
            <w:r w:rsidRPr="00EE5F0F">
              <w:rPr>
                <w:rFonts w:ascii="Garamond" w:hAnsi="Garamond" w:cs="Sylfaen"/>
                <w:b/>
                <w:sz w:val="22"/>
                <w:szCs w:val="22"/>
              </w:rPr>
              <w:t xml:space="preserve">Main </w:t>
            </w:r>
            <w:proofErr w:type="spellStart"/>
            <w:r w:rsidRPr="00EE5F0F">
              <w:rPr>
                <w:rFonts w:ascii="Garamond" w:hAnsi="Garamond" w:cs="Sylfaen"/>
                <w:b/>
                <w:sz w:val="22"/>
                <w:szCs w:val="22"/>
                <w:lang w:val="hy-AM"/>
              </w:rPr>
              <w:t>judgments</w:t>
            </w:r>
            <w:proofErr w:type="spellEnd"/>
            <w:r w:rsidRPr="00EE5F0F">
              <w:rPr>
                <w:rFonts w:ascii="Garamond" w:hAnsi="Garamond" w:cs="Sylfaen"/>
                <w:b/>
                <w:sz w:val="22"/>
                <w:szCs w:val="22"/>
                <w:lang w:val="hy-AM"/>
              </w:rPr>
              <w:t xml:space="preserve"> </w:t>
            </w:r>
            <w:proofErr w:type="spellStart"/>
            <w:r w:rsidRPr="00EE5F0F">
              <w:rPr>
                <w:rFonts w:ascii="Garamond" w:hAnsi="Garamond" w:cs="Sylfaen"/>
                <w:b/>
                <w:sz w:val="22"/>
                <w:szCs w:val="22"/>
                <w:lang w:val="hy-AM"/>
              </w:rPr>
              <w:t>and</w:t>
            </w:r>
            <w:proofErr w:type="spellEnd"/>
            <w:r w:rsidRPr="00EE5F0F">
              <w:rPr>
                <w:rFonts w:ascii="Garamond" w:hAnsi="Garamond" w:cs="Sylfaen"/>
                <w:b/>
                <w:sz w:val="22"/>
                <w:szCs w:val="22"/>
                <w:lang w:val="hy-AM"/>
              </w:rPr>
              <w:t xml:space="preserve"> </w:t>
            </w:r>
            <w:proofErr w:type="spellStart"/>
            <w:r w:rsidRPr="00EE5F0F">
              <w:rPr>
                <w:rFonts w:ascii="Garamond" w:hAnsi="Garamond" w:cs="Sylfaen"/>
                <w:b/>
                <w:sz w:val="22"/>
                <w:szCs w:val="22"/>
                <w:lang w:val="hy-AM"/>
              </w:rPr>
              <w:t>assumptions</w:t>
            </w:r>
            <w:proofErr w:type="spellEnd"/>
          </w:p>
        </w:tc>
        <w:tc>
          <w:tcPr>
            <w:tcW w:w="4528" w:type="dxa"/>
            <w:vAlign w:val="center"/>
          </w:tcPr>
          <w:p w14:paraId="6FFDFF98" w14:textId="77777777" w:rsidR="005C6536" w:rsidRPr="00EE5F0F" w:rsidRDefault="005C6536" w:rsidP="007859CB">
            <w:pPr>
              <w:spacing w:before="30" w:after="30"/>
              <w:rPr>
                <w:rFonts w:ascii="Garamond" w:eastAsia="Calibri" w:hAnsi="Garamond" w:cs="GHEA Grapalat"/>
                <w:b/>
                <w:sz w:val="22"/>
                <w:szCs w:val="22"/>
              </w:rPr>
            </w:pPr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</w:rPr>
              <w:t>P</w:t>
            </w:r>
            <w:proofErr w:type="spellStart"/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  <w:lang w:val="hy-AM"/>
              </w:rPr>
              <w:t>ossible</w:t>
            </w:r>
            <w:proofErr w:type="spellEnd"/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  <w:lang w:val="hy-AM"/>
              </w:rPr>
              <w:t xml:space="preserve"> </w:t>
            </w:r>
            <w:proofErr w:type="spellStart"/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  <w:lang w:val="hy-AM"/>
              </w:rPr>
              <w:t>developments</w:t>
            </w:r>
            <w:proofErr w:type="spellEnd"/>
            <w:r w:rsidR="006C3065">
              <w:rPr>
                <w:rFonts w:ascii="Garamond" w:eastAsia="Calibri" w:hAnsi="Garamond" w:cs="GHEA Grapalat"/>
                <w:b/>
                <w:sz w:val="22"/>
                <w:szCs w:val="22"/>
              </w:rPr>
              <w:t>,</w:t>
            </w:r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  <w:lang w:val="hy-AM"/>
              </w:rPr>
              <w:t xml:space="preserve"> i</w:t>
            </w:r>
            <w:r w:rsidR="000A2CFF">
              <w:rPr>
                <w:rFonts w:ascii="Garamond" w:eastAsia="Calibri" w:hAnsi="Garamond" w:cs="GHEA Grapalat"/>
                <w:b/>
                <w:sz w:val="22"/>
                <w:szCs w:val="22"/>
              </w:rPr>
              <w:t>f</w:t>
            </w:r>
            <w:r w:rsidR="00FA46F4" w:rsidRPr="00EE5F0F">
              <w:rPr>
                <w:rFonts w:ascii="Garamond" w:eastAsia="Calibri" w:hAnsi="Garamond" w:cs="GHEA Grapalat"/>
                <w:b/>
                <w:sz w:val="22"/>
                <w:szCs w:val="22"/>
              </w:rPr>
              <w:t xml:space="preserve"> th</w:t>
            </w:r>
            <w:r w:rsidR="006C3065">
              <w:rPr>
                <w:rFonts w:ascii="Garamond" w:eastAsia="Calibri" w:hAnsi="Garamond" w:cs="GHEA Grapalat"/>
                <w:b/>
                <w:sz w:val="22"/>
                <w:szCs w:val="22"/>
              </w:rPr>
              <w:t xml:space="preserve">is </w:t>
            </w:r>
            <w:r w:rsidR="00FA46F4" w:rsidRPr="00EE5F0F">
              <w:rPr>
                <w:rFonts w:ascii="Garamond" w:eastAsia="Calibri" w:hAnsi="Garamond" w:cs="GHEA Grapalat"/>
                <w:b/>
                <w:sz w:val="22"/>
                <w:szCs w:val="22"/>
              </w:rPr>
              <w:t xml:space="preserve">assumption </w:t>
            </w:r>
            <w:r w:rsidR="00A241EA" w:rsidRPr="00EE5F0F">
              <w:rPr>
                <w:rFonts w:ascii="Garamond" w:eastAsia="Calibri" w:hAnsi="Garamond" w:cs="GHEA Grapalat"/>
                <w:b/>
                <w:sz w:val="22"/>
                <w:szCs w:val="22"/>
              </w:rPr>
              <w:t>proves correct</w:t>
            </w:r>
            <w:r w:rsidRPr="00EE5F0F">
              <w:rPr>
                <w:rFonts w:ascii="Garamond" w:eastAsia="Calibri" w:hAnsi="Garamond" w:cs="GHEA Grapalat"/>
                <w:b/>
                <w:sz w:val="22"/>
                <w:szCs w:val="22"/>
              </w:rPr>
              <w:t xml:space="preserve"> </w:t>
            </w:r>
          </w:p>
        </w:tc>
      </w:tr>
      <w:tr w:rsidR="005C6536" w:rsidRPr="005B61BD" w14:paraId="2C779289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79B5B5CE" w14:textId="77777777" w:rsidR="005C6536" w:rsidRPr="00EE5F0F" w:rsidRDefault="000E023A" w:rsidP="000E023A">
            <w:pPr>
              <w:spacing w:before="30" w:after="30"/>
              <w:rPr>
                <w:rFonts w:ascii="Garamond" w:eastAsia="Calibri" w:hAnsi="Garamond" w:cs="GHEA Grapalat"/>
                <w:sz w:val="22"/>
                <w:szCs w:val="22"/>
                <w:lang w:val="hy-AM"/>
              </w:rPr>
            </w:pPr>
            <w:r>
              <w:rPr>
                <w:rFonts w:ascii="Garamond" w:eastAsia="Calibri" w:hAnsi="Garamond" w:cs="Sylfaen"/>
                <w:sz w:val="22"/>
                <w:szCs w:val="22"/>
              </w:rPr>
              <w:t>Slow growth rates persist in the e</w:t>
            </w:r>
            <w:r w:rsidR="00227821">
              <w:rPr>
                <w:rFonts w:ascii="Garamond" w:eastAsia="Calibri" w:hAnsi="Garamond" w:cs="Sylfaen"/>
                <w:sz w:val="22"/>
                <w:szCs w:val="22"/>
              </w:rPr>
              <w:t>conomi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 xml:space="preserve">es </w:t>
            </w:r>
            <w:r w:rsidR="00227821">
              <w:rPr>
                <w:rFonts w:ascii="Garamond" w:eastAsia="Calibri" w:hAnsi="Garamond" w:cs="Sylfaen"/>
                <w:sz w:val="22"/>
                <w:szCs w:val="22"/>
              </w:rPr>
              <w:t xml:space="preserve">in </w:t>
            </w:r>
            <w:r w:rsidR="00EE480A">
              <w:rPr>
                <w:rFonts w:ascii="Garamond" w:eastAsia="Calibri" w:hAnsi="Garamond" w:cs="Sylfaen"/>
                <w:sz w:val="22"/>
                <w:szCs w:val="22"/>
              </w:rPr>
              <w:t>main</w:t>
            </w:r>
            <w:r w:rsidR="003654D5">
              <w:rPr>
                <w:rFonts w:ascii="Garamond" w:eastAsia="Calibri" w:hAnsi="Garamond" w:cs="Sylfaen"/>
                <w:sz w:val="22"/>
                <w:szCs w:val="22"/>
              </w:rPr>
              <w:t xml:space="preserve"> </w:t>
            </w:r>
            <w:r w:rsidR="00227821">
              <w:rPr>
                <w:rFonts w:ascii="Garamond" w:eastAsia="Calibri" w:hAnsi="Garamond" w:cs="Sylfaen"/>
                <w:sz w:val="22"/>
                <w:szCs w:val="22"/>
              </w:rPr>
              <w:t>partner countries to Armenia</w:t>
            </w:r>
            <w:r w:rsidR="00EE480A">
              <w:rPr>
                <w:rFonts w:ascii="Garamond" w:eastAsia="Calibri" w:hAnsi="Garamond" w:cs="Sylfaen"/>
                <w:sz w:val="22"/>
                <w:szCs w:val="22"/>
              </w:rPr>
              <w:t xml:space="preserve"> due to a sluggish global demand</w:t>
            </w:r>
            <w:r w:rsidR="006573EF" w:rsidRPr="00EE5F0F">
              <w:rPr>
                <w:rFonts w:ascii="Garamond" w:eastAsia="Calibri" w:hAnsi="Garamond" w:cs="Sylfaen"/>
                <w:sz w:val="22"/>
                <w:szCs w:val="22"/>
              </w:rPr>
              <w:t xml:space="preserve"> </w:t>
            </w:r>
          </w:p>
        </w:tc>
        <w:tc>
          <w:tcPr>
            <w:tcW w:w="4528" w:type="dxa"/>
            <w:vAlign w:val="center"/>
          </w:tcPr>
          <w:p w14:paraId="4B0C9D57" w14:textId="77777777" w:rsidR="00703FA4" w:rsidRPr="00EE5F0F" w:rsidRDefault="000E023A" w:rsidP="000E023A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  <w:lang w:val="hy-AM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t>L</w:t>
            </w:r>
            <w:r w:rsidRPr="000E023A">
              <w:rPr>
                <w:rFonts w:ascii="Garamond" w:hAnsi="Garamond" w:cs="Sylfaen"/>
                <w:sz w:val="22"/>
                <w:szCs w:val="22"/>
              </w:rPr>
              <w:t>ow inflation environment a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nd </w:t>
            </w:r>
            <w:r w:rsidRPr="000E023A">
              <w:rPr>
                <w:rFonts w:ascii="Garamond" w:hAnsi="Garamond" w:cs="Sylfaen"/>
                <w:sz w:val="22"/>
                <w:szCs w:val="22"/>
              </w:rPr>
              <w:t xml:space="preserve">slower pace of economic growth amid weak global demand will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prompt the main </w:t>
            </w:r>
            <w:r w:rsidRPr="000E023A">
              <w:rPr>
                <w:rFonts w:ascii="Garamond" w:hAnsi="Garamond" w:cs="Sylfaen"/>
                <w:sz w:val="22"/>
                <w:szCs w:val="22"/>
              </w:rPr>
              <w:t xml:space="preserve">partner countries to </w:t>
            </w:r>
            <w:r>
              <w:rPr>
                <w:rFonts w:ascii="Garamond" w:hAnsi="Garamond" w:cs="Sylfaen"/>
                <w:sz w:val="22"/>
                <w:szCs w:val="22"/>
              </w:rPr>
              <w:t>pursue low-interest rate policies</w:t>
            </w:r>
            <w:r w:rsidRPr="000E023A">
              <w:rPr>
                <w:rFonts w:ascii="Garamond" w:hAnsi="Garamond" w:cs="Sylfaen"/>
                <w:sz w:val="22"/>
                <w:szCs w:val="22"/>
              </w:rPr>
              <w:t>.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</w:t>
            </w:r>
          </w:p>
          <w:p w14:paraId="3DFCF609" w14:textId="77777777" w:rsidR="005C6536" w:rsidRPr="00EE5F0F" w:rsidRDefault="00AE3B5D" w:rsidP="00AE3B5D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GHEA Grapalat"/>
                <w:sz w:val="22"/>
                <w:szCs w:val="22"/>
                <w:lang w:val="hy-AM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t xml:space="preserve">Sluggish global demand will further be a cause for </w:t>
            </w:r>
            <w:r w:rsidRPr="00AE3B5D">
              <w:rPr>
                <w:rFonts w:ascii="Garamond" w:hAnsi="Garamond" w:cs="Sylfaen"/>
                <w:sz w:val="22"/>
                <w:szCs w:val="22"/>
              </w:rPr>
              <w:t>lower international commodity prices.</w:t>
            </w:r>
            <w:r w:rsidR="00F41ADC">
              <w:rPr>
                <w:rFonts w:ascii="Garamond" w:hAnsi="Garamond" w:cs="Sylfaen"/>
                <w:sz w:val="22"/>
                <w:szCs w:val="22"/>
              </w:rPr>
              <w:t xml:space="preserve"> </w:t>
            </w:r>
          </w:p>
        </w:tc>
      </w:tr>
      <w:tr w:rsidR="005B61BD" w:rsidRPr="005B61BD" w14:paraId="469EE500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023D4E64" w14:textId="77777777" w:rsidR="005B61BD" w:rsidRDefault="005B61BD" w:rsidP="005F2E57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>
              <w:rPr>
                <w:rFonts w:ascii="Garamond" w:eastAsia="Calibri" w:hAnsi="Garamond" w:cs="Sylfaen"/>
                <w:sz w:val="22"/>
                <w:szCs w:val="22"/>
              </w:rPr>
              <w:t>C</w:t>
            </w:r>
            <w:r w:rsidRPr="005B61BD">
              <w:rPr>
                <w:rFonts w:ascii="Garamond" w:eastAsia="Calibri" w:hAnsi="Garamond" w:cs="Sylfaen"/>
                <w:sz w:val="22"/>
                <w:szCs w:val="22"/>
              </w:rPr>
              <w:t xml:space="preserve">ountry risk premium 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>for Armenia keeps on reducing</w:t>
            </w:r>
          </w:p>
        </w:tc>
        <w:tc>
          <w:tcPr>
            <w:tcW w:w="4528" w:type="dxa"/>
            <w:vAlign w:val="center"/>
          </w:tcPr>
          <w:p w14:paraId="04F503C9" w14:textId="77777777" w:rsidR="005B61BD" w:rsidRDefault="005B61BD" w:rsidP="003B7632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 w:rsidRPr="005B61BD">
              <w:rPr>
                <w:rFonts w:ascii="Garamond" w:hAnsi="Garamond" w:cs="Sylfaen"/>
                <w:sz w:val="22"/>
                <w:szCs w:val="22"/>
              </w:rPr>
              <w:t xml:space="preserve">According to current estimates,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Armenia’s 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>risk premium is low</w:t>
            </w:r>
            <w:r w:rsidR="003B7632">
              <w:rPr>
                <w:rFonts w:ascii="Garamond" w:hAnsi="Garamond" w:cs="Sylfaen"/>
                <w:sz w:val="22"/>
                <w:szCs w:val="22"/>
              </w:rPr>
              <w:t>er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 xml:space="preserve"> (by about 0.3 percentage points)</w:t>
            </w:r>
            <w:r w:rsidR="003B7632">
              <w:rPr>
                <w:rFonts w:ascii="Garamond" w:hAnsi="Garamond" w:cs="Sylfaen"/>
                <w:sz w:val="22"/>
                <w:szCs w:val="22"/>
              </w:rPr>
              <w:t xml:space="preserve"> and stands 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>at a</w:t>
            </w:r>
            <w:r w:rsidR="003B7632">
              <w:rPr>
                <w:rFonts w:ascii="Garamond" w:hAnsi="Garamond" w:cs="Sylfaen"/>
                <w:sz w:val="22"/>
                <w:szCs w:val="22"/>
              </w:rPr>
              <w:t xml:space="preserve">round 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>2.2%</w:t>
            </w:r>
            <w:r w:rsidR="003B7632">
              <w:rPr>
                <w:rFonts w:ascii="Garamond" w:hAnsi="Garamond" w:cs="Sylfaen"/>
                <w:sz w:val="22"/>
                <w:szCs w:val="22"/>
              </w:rPr>
              <w:t xml:space="preserve"> now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 xml:space="preserve">. However, according to the CBA estimates, this decrease is </w:t>
            </w:r>
            <w:r w:rsidR="003B7632">
              <w:rPr>
                <w:rFonts w:ascii="Garamond" w:hAnsi="Garamond" w:cs="Sylfaen"/>
                <w:sz w:val="22"/>
                <w:szCs w:val="22"/>
              </w:rPr>
              <w:t xml:space="preserve">of a 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>short-term</w:t>
            </w:r>
            <w:r w:rsidR="003B7632">
              <w:rPr>
                <w:rFonts w:ascii="Garamond" w:hAnsi="Garamond" w:cs="Sylfaen"/>
                <w:sz w:val="22"/>
                <w:szCs w:val="22"/>
              </w:rPr>
              <w:t xml:space="preserve"> nature</w:t>
            </w:r>
            <w:r w:rsidRPr="005B61BD">
              <w:rPr>
                <w:rFonts w:ascii="Garamond" w:hAnsi="Garamond" w:cs="Sylfaen"/>
                <w:sz w:val="22"/>
                <w:szCs w:val="22"/>
              </w:rPr>
              <w:t>.</w:t>
            </w:r>
          </w:p>
        </w:tc>
      </w:tr>
      <w:tr w:rsidR="003B7632" w:rsidRPr="005B61BD" w14:paraId="30245229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58C41D8F" w14:textId="77777777" w:rsidR="003B7632" w:rsidRDefault="003B7632" w:rsidP="003B7632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>
              <w:rPr>
                <w:rFonts w:ascii="Garamond" w:eastAsia="Calibri" w:hAnsi="Garamond" w:cs="Sylfaen"/>
                <w:sz w:val="22"/>
                <w:szCs w:val="22"/>
              </w:rPr>
              <w:t>Supply-side inflation shocks come along</w:t>
            </w:r>
          </w:p>
        </w:tc>
        <w:tc>
          <w:tcPr>
            <w:tcW w:w="4528" w:type="dxa"/>
            <w:vAlign w:val="center"/>
          </w:tcPr>
          <w:p w14:paraId="76AEEF6E" w14:textId="77777777" w:rsidR="003B7632" w:rsidRDefault="003B7632" w:rsidP="003B7632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t>Effective J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anuary 1, 2020,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a change in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customs and excise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duty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for some products are expected </w:t>
            </w:r>
            <w:r>
              <w:rPr>
                <w:rFonts w:ascii="Garamond" w:hAnsi="Garamond" w:cs="Sylfaen"/>
                <w:sz w:val="22"/>
                <w:szCs w:val="22"/>
              </w:rPr>
              <w:t>as a result of the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 EAEU membership.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The impact of the change on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inflation will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mainly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>be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discernable in the coming year and is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 xml:space="preserve">estimated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to reach 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>0.5 p</w:t>
            </w:r>
            <w:r>
              <w:rPr>
                <w:rFonts w:ascii="Garamond" w:hAnsi="Garamond" w:cs="Sylfaen"/>
                <w:sz w:val="22"/>
                <w:szCs w:val="22"/>
              </w:rPr>
              <w:t>p</w:t>
            </w:r>
            <w:r w:rsidRPr="00A81141">
              <w:rPr>
                <w:rFonts w:ascii="Garamond" w:hAnsi="Garamond" w:cs="Sylfaen"/>
                <w:sz w:val="22"/>
                <w:szCs w:val="22"/>
              </w:rPr>
              <w:t>.</w:t>
            </w:r>
          </w:p>
        </w:tc>
      </w:tr>
      <w:tr w:rsidR="003B7632" w:rsidRPr="005B61BD" w14:paraId="4E8C8992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7C70CAD4" w14:textId="77777777" w:rsidR="003B7632" w:rsidRDefault="003B7632" w:rsidP="003B7632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 w:rsidRPr="003B7632">
              <w:rPr>
                <w:rFonts w:ascii="Garamond" w:eastAsia="Calibri" w:hAnsi="Garamond" w:cs="Sylfaen"/>
                <w:sz w:val="22"/>
                <w:szCs w:val="22"/>
              </w:rPr>
              <w:t>Impacts of tax reform</w:t>
            </w:r>
          </w:p>
        </w:tc>
        <w:tc>
          <w:tcPr>
            <w:tcW w:w="4528" w:type="dxa"/>
            <w:vAlign w:val="center"/>
          </w:tcPr>
          <w:p w14:paraId="0E22225A" w14:textId="77777777" w:rsidR="003B7632" w:rsidRDefault="003B7632" w:rsidP="007F5632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 w:rsidRPr="007F5632">
              <w:rPr>
                <w:rFonts w:ascii="Garamond" w:hAnsi="Garamond" w:cs="Sylfaen"/>
                <w:sz w:val="22"/>
                <w:szCs w:val="22"/>
              </w:rPr>
              <w:t xml:space="preserve">The </w:t>
            </w:r>
            <w:r w:rsidR="00373412" w:rsidRPr="007F5632">
              <w:rPr>
                <w:rFonts w:ascii="Garamond" w:hAnsi="Garamond" w:cs="Sylfaen"/>
                <w:sz w:val="22"/>
                <w:szCs w:val="22"/>
              </w:rPr>
              <w:t>effect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of </w:t>
            </w:r>
            <w:r w:rsidR="007F5632">
              <w:rPr>
                <w:rFonts w:ascii="Garamond" w:hAnsi="Garamond" w:cs="Sylfaen"/>
                <w:sz w:val="22"/>
                <w:szCs w:val="22"/>
              </w:rPr>
              <w:t xml:space="preserve">change of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income tax and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profit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tax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>to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 the Tax Code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taking effect in early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2020 will be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>seen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 in the short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run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mainly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in terms of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demand and inflation, which is included in the budget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>figures; in the long run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,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 xml:space="preserve">the effect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will be </w:t>
            </w:r>
            <w:r w:rsidR="00373412">
              <w:rPr>
                <w:rFonts w:ascii="Garamond" w:hAnsi="Garamond" w:cs="Sylfaen"/>
                <w:sz w:val="22"/>
                <w:szCs w:val="22"/>
              </w:rPr>
              <w:t>seen primarily in terms of supply</w:t>
            </w:r>
            <w:r w:rsidR="007F5632">
              <w:rPr>
                <w:rFonts w:ascii="Garamond" w:hAnsi="Garamond" w:cs="Sylfaen"/>
                <w:sz w:val="22"/>
                <w:szCs w:val="22"/>
              </w:rPr>
              <w:t xml:space="preserve">, helping the potential </w:t>
            </w:r>
            <w:r w:rsidR="007F5632" w:rsidRPr="007F5632">
              <w:rPr>
                <w:rFonts w:ascii="Garamond" w:hAnsi="Garamond" w:cs="Sylfaen"/>
                <w:sz w:val="22"/>
                <w:szCs w:val="22"/>
              </w:rPr>
              <w:t>GDP</w:t>
            </w:r>
            <w:r w:rsidR="007F5632">
              <w:rPr>
                <w:rFonts w:ascii="Garamond" w:hAnsi="Garamond" w:cs="Sylfaen"/>
                <w:sz w:val="22"/>
                <w:szCs w:val="22"/>
              </w:rPr>
              <w:t xml:space="preserve"> run at about </w:t>
            </w:r>
            <w:r w:rsidR="007F5632" w:rsidRPr="007F5632">
              <w:rPr>
                <w:rFonts w:ascii="Garamond" w:hAnsi="Garamond" w:cs="Sylfaen"/>
                <w:sz w:val="22"/>
                <w:szCs w:val="22"/>
              </w:rPr>
              <w:t>0.3% higher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 xml:space="preserve">. Moreover, the estimated increase in the potential will only be gradual and will not have a significant impact on the </w:t>
            </w:r>
            <w:r w:rsidR="007F5632" w:rsidRPr="003B7632">
              <w:rPr>
                <w:rFonts w:ascii="Garamond" w:hAnsi="Garamond" w:cs="Sylfaen"/>
                <w:sz w:val="22"/>
                <w:szCs w:val="22"/>
              </w:rPr>
              <w:t xml:space="preserve">GDP gap and </w:t>
            </w:r>
            <w:r w:rsidR="007F5632">
              <w:rPr>
                <w:rFonts w:ascii="Garamond" w:hAnsi="Garamond" w:cs="Sylfaen"/>
                <w:sz w:val="22"/>
                <w:szCs w:val="22"/>
              </w:rPr>
              <w:t>t</w:t>
            </w:r>
            <w:r w:rsidR="007F5632" w:rsidRPr="003B7632">
              <w:rPr>
                <w:rFonts w:ascii="Garamond" w:hAnsi="Garamond" w:cs="Sylfaen"/>
                <w:sz w:val="22"/>
                <w:szCs w:val="22"/>
              </w:rPr>
              <w:t>he inflation</w:t>
            </w:r>
            <w:r w:rsidR="007F5632">
              <w:rPr>
                <w:rFonts w:ascii="Garamond" w:hAnsi="Garamond" w:cs="Sylfaen"/>
                <w:sz w:val="22"/>
                <w:szCs w:val="22"/>
              </w:rPr>
              <w:t xml:space="preserve"> </w:t>
            </w:r>
            <w:r w:rsidRPr="003B7632">
              <w:rPr>
                <w:rFonts w:ascii="Garamond" w:hAnsi="Garamond" w:cs="Sylfaen"/>
                <w:sz w:val="22"/>
                <w:szCs w:val="22"/>
              </w:rPr>
              <w:t>developments.</w:t>
            </w:r>
          </w:p>
        </w:tc>
      </w:tr>
      <w:tr w:rsidR="007F5632" w:rsidRPr="005B61BD" w14:paraId="02BFCCD8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00868CB2" w14:textId="77777777" w:rsidR="007F5632" w:rsidRPr="003B7632" w:rsidRDefault="007F5632" w:rsidP="003B7632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 w:rsidRPr="007F5632">
              <w:rPr>
                <w:rFonts w:ascii="Garamond" w:eastAsia="Calibri" w:hAnsi="Garamond" w:cs="Sylfaen"/>
                <w:sz w:val="22"/>
                <w:szCs w:val="22"/>
              </w:rPr>
              <w:t>E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>ffects of minimum wage increase</w:t>
            </w:r>
          </w:p>
        </w:tc>
        <w:tc>
          <w:tcPr>
            <w:tcW w:w="4528" w:type="dxa"/>
            <w:vAlign w:val="center"/>
          </w:tcPr>
          <w:p w14:paraId="44D0364C" w14:textId="77777777" w:rsidR="007F5632" w:rsidRPr="007F5632" w:rsidRDefault="007F5632" w:rsidP="00F34A03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 w:rsidRPr="007F5632">
              <w:rPr>
                <w:rFonts w:ascii="Garamond" w:hAnsi="Garamond" w:cs="Sylfaen"/>
                <w:sz w:val="22"/>
                <w:szCs w:val="22"/>
              </w:rPr>
              <w:t xml:space="preserve">As a result of the increase in the minimum wage, the primary inflationary impacts are estimated to be </w:t>
            </w:r>
            <w:r w:rsidR="00F34A03">
              <w:rPr>
                <w:rFonts w:ascii="Garamond" w:hAnsi="Garamond" w:cs="Sylfaen"/>
                <w:sz w:val="22"/>
                <w:szCs w:val="22"/>
              </w:rPr>
              <w:t>limited</w:t>
            </w:r>
            <w:r w:rsidR="00EC0F3C">
              <w:rPr>
                <w:rFonts w:ascii="Garamond" w:hAnsi="Garamond" w:cs="Sylfaen"/>
                <w:sz w:val="22"/>
                <w:szCs w:val="22"/>
              </w:rPr>
              <w:t>,</w:t>
            </w:r>
            <w:r w:rsidRPr="007F5632">
              <w:rPr>
                <w:rFonts w:ascii="Garamond" w:hAnsi="Garamond" w:cs="Sylfaen"/>
                <w:sz w:val="22"/>
                <w:szCs w:val="22"/>
              </w:rPr>
              <w:t xml:space="preserve"> </w:t>
            </w:r>
            <w:r w:rsidR="00EC0F3C">
              <w:rPr>
                <w:rFonts w:ascii="Garamond" w:hAnsi="Garamond" w:cs="Sylfaen"/>
                <w:sz w:val="22"/>
                <w:szCs w:val="22"/>
              </w:rPr>
              <w:t xml:space="preserve">up to </w:t>
            </w:r>
            <w:r w:rsidRPr="007F5632">
              <w:rPr>
                <w:rFonts w:ascii="Garamond" w:hAnsi="Garamond" w:cs="Sylfaen"/>
                <w:sz w:val="22"/>
                <w:szCs w:val="22"/>
              </w:rPr>
              <w:t>0.05 p</w:t>
            </w:r>
            <w:r w:rsidR="00EC0F3C">
              <w:rPr>
                <w:rFonts w:ascii="Garamond" w:hAnsi="Garamond" w:cs="Sylfaen"/>
                <w:sz w:val="22"/>
                <w:szCs w:val="22"/>
              </w:rPr>
              <w:t>p</w:t>
            </w:r>
            <w:r w:rsidRPr="007F5632">
              <w:rPr>
                <w:rFonts w:ascii="Garamond" w:hAnsi="Garamond" w:cs="Sylfaen"/>
                <w:sz w:val="22"/>
                <w:szCs w:val="22"/>
              </w:rPr>
              <w:t>.</w:t>
            </w:r>
          </w:p>
        </w:tc>
      </w:tr>
      <w:tr w:rsidR="00EC0F3C" w:rsidRPr="005B61BD" w14:paraId="701BA594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13222123" w14:textId="77777777" w:rsidR="00EC0F3C" w:rsidRPr="007F5632" w:rsidRDefault="00EC0F3C" w:rsidP="005F2E57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 w:rsidRPr="00EC0F3C">
              <w:rPr>
                <w:rFonts w:ascii="Garamond" w:eastAsia="Calibri" w:hAnsi="Garamond" w:cs="Sylfaen"/>
                <w:sz w:val="22"/>
                <w:szCs w:val="22"/>
              </w:rPr>
              <w:t xml:space="preserve">Structural reforms and increased competition weaken the </w:t>
            </w:r>
            <w:r w:rsidRPr="00EC0F3C">
              <w:rPr>
                <w:rFonts w:ascii="Garamond" w:eastAsia="Calibri" w:hAnsi="Garamond" w:cs="Sylfaen"/>
                <w:sz w:val="22"/>
                <w:szCs w:val="22"/>
              </w:rPr>
              <w:lastRenderedPageBreak/>
              <w:t>inflation environment</w:t>
            </w:r>
          </w:p>
        </w:tc>
        <w:tc>
          <w:tcPr>
            <w:tcW w:w="4528" w:type="dxa"/>
            <w:vAlign w:val="center"/>
          </w:tcPr>
          <w:p w14:paraId="1F5DE4B5" w14:textId="77777777" w:rsidR="00EC0F3C" w:rsidRPr="007F5632" w:rsidRDefault="00EC0F3C" w:rsidP="0072131D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lastRenderedPageBreak/>
              <w:t>Access to t</w:t>
            </w:r>
            <w:r w:rsidRPr="00EC0F3C">
              <w:rPr>
                <w:rFonts w:ascii="Garamond" w:hAnsi="Garamond" w:cs="Sylfaen"/>
                <w:sz w:val="22"/>
                <w:szCs w:val="22"/>
              </w:rPr>
              <w:t>he EAEU market</w:t>
            </w:r>
            <w:r>
              <w:rPr>
                <w:rFonts w:ascii="Garamond" w:hAnsi="Garamond" w:cs="Sylfaen"/>
                <w:sz w:val="22"/>
                <w:szCs w:val="22"/>
              </w:rPr>
              <w:t>,</w:t>
            </w:r>
            <w:r w:rsidRPr="00EC0F3C">
              <w:rPr>
                <w:rFonts w:ascii="Garamond" w:hAnsi="Garamond" w:cs="Sylfaen"/>
                <w:sz w:val="22"/>
                <w:szCs w:val="22"/>
              </w:rPr>
              <w:t xml:space="preserve">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implementation of </w:t>
            </w:r>
            <w:r w:rsidRPr="00EC0F3C">
              <w:rPr>
                <w:rFonts w:ascii="Garamond" w:hAnsi="Garamond" w:cs="Sylfaen"/>
                <w:sz w:val="22"/>
                <w:szCs w:val="22"/>
              </w:rPr>
              <w:t>structural reforms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, as well as increasingly competitive product markets lead firms to alter their </w:t>
            </w:r>
            <w:r w:rsidRPr="00EC0F3C">
              <w:rPr>
                <w:rFonts w:ascii="Garamond" w:hAnsi="Garamond" w:cs="Sylfaen"/>
                <w:sz w:val="22"/>
                <w:szCs w:val="22"/>
              </w:rPr>
              <w:t>pricing behavior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and </w:t>
            </w:r>
            <w:r w:rsidR="0072131D">
              <w:rPr>
                <w:rFonts w:ascii="Garamond" w:hAnsi="Garamond" w:cs="Sylfaen"/>
                <w:sz w:val="22"/>
                <w:szCs w:val="22"/>
              </w:rPr>
              <w:t>to lower their markups</w:t>
            </w:r>
            <w:r w:rsidRPr="00EC0F3C">
              <w:rPr>
                <w:rFonts w:ascii="Garamond" w:hAnsi="Garamond" w:cs="Sylfaen"/>
                <w:sz w:val="22"/>
                <w:szCs w:val="22"/>
              </w:rPr>
              <w:t>, which weakens inflationary pressures.</w:t>
            </w:r>
          </w:p>
        </w:tc>
      </w:tr>
      <w:tr w:rsidR="0072131D" w:rsidRPr="005B61BD" w14:paraId="726FB35D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6FAC16F3" w14:textId="77777777" w:rsidR="0072131D" w:rsidRPr="00EC0F3C" w:rsidRDefault="0072131D" w:rsidP="003B7632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 w:rsidRPr="0072131D">
              <w:rPr>
                <w:rFonts w:ascii="Garamond" w:eastAsia="Calibri" w:hAnsi="Garamond" w:cs="Sylfaen"/>
                <w:sz w:val="22"/>
                <w:szCs w:val="22"/>
              </w:rPr>
              <w:t>Increase resource efficiency</w:t>
            </w:r>
          </w:p>
        </w:tc>
        <w:tc>
          <w:tcPr>
            <w:tcW w:w="4528" w:type="dxa"/>
            <w:vAlign w:val="center"/>
          </w:tcPr>
          <w:p w14:paraId="37F94F9B" w14:textId="77777777" w:rsidR="0072131D" w:rsidRDefault="0072131D" w:rsidP="0072131D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t>T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here is an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estimated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i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ncrease in resource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efficiency in the non-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tradable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sector of the economy amid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a growing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demand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for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consumer goods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of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long-term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use and for lending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. These developments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diminish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inflationary pressures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as well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 by increasing supply and shifting demand (from short-term consumer goods to long-term consumer goods).</w:t>
            </w:r>
          </w:p>
        </w:tc>
      </w:tr>
      <w:tr w:rsidR="003B7632" w:rsidRPr="00EE5F0F" w14:paraId="6B96D98D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4240F09E" w14:textId="77777777" w:rsidR="003B7632" w:rsidRDefault="0072131D" w:rsidP="005F2E57">
            <w:pPr>
              <w:spacing w:before="30" w:after="30"/>
              <w:rPr>
                <w:rFonts w:ascii="Garamond" w:eastAsia="Calibri" w:hAnsi="Garamond" w:cs="Sylfaen"/>
                <w:sz w:val="22"/>
                <w:szCs w:val="22"/>
              </w:rPr>
            </w:pPr>
            <w:r>
              <w:rPr>
                <w:rFonts w:ascii="Garamond" w:eastAsia="Calibri" w:hAnsi="Garamond" w:cs="Sylfaen"/>
                <w:sz w:val="22"/>
                <w:szCs w:val="22"/>
              </w:rPr>
              <w:t>F</w:t>
            </w:r>
            <w:r w:rsidRPr="0072131D">
              <w:rPr>
                <w:rFonts w:ascii="Garamond" w:eastAsia="Calibri" w:hAnsi="Garamond" w:cs="Sylfaen"/>
                <w:sz w:val="22"/>
                <w:szCs w:val="22"/>
              </w:rPr>
              <w:t>ull execution of the state budget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 xml:space="preserve"> 2020</w:t>
            </w:r>
          </w:p>
        </w:tc>
        <w:tc>
          <w:tcPr>
            <w:tcW w:w="4528" w:type="dxa"/>
            <w:vAlign w:val="center"/>
          </w:tcPr>
          <w:p w14:paraId="505BC4B9" w14:textId="77777777" w:rsidR="003B7632" w:rsidRDefault="0072131D" w:rsidP="0072131D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sz w:val="22"/>
                <w:szCs w:val="22"/>
              </w:rPr>
            </w:pPr>
            <w:r>
              <w:rPr>
                <w:rFonts w:ascii="Garamond" w:hAnsi="Garamond" w:cs="Sylfaen"/>
                <w:sz w:val="22"/>
                <w:szCs w:val="22"/>
              </w:rPr>
              <w:t xml:space="preserve">The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impact of fiscal policy in 2020 is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estimated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2.9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 pp expansionary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. In the m</w:t>
            </w:r>
            <w:r>
              <w:rPr>
                <w:rFonts w:ascii="Garamond" w:hAnsi="Garamond" w:cs="Sylfaen"/>
                <w:sz w:val="22"/>
                <w:szCs w:val="22"/>
              </w:rPr>
              <w:t>id-t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 xml:space="preserve">erm, </w:t>
            </w:r>
            <w:r>
              <w:rPr>
                <w:rFonts w:ascii="Garamond" w:hAnsi="Garamond" w:cs="Sylfaen"/>
                <w:sz w:val="22"/>
                <w:szCs w:val="22"/>
              </w:rPr>
              <w:t xml:space="preserve">it is estimated to have </w:t>
            </w:r>
            <w:r w:rsidRPr="0072131D">
              <w:rPr>
                <w:rFonts w:ascii="Garamond" w:hAnsi="Garamond" w:cs="Sylfaen"/>
                <w:sz w:val="22"/>
                <w:szCs w:val="22"/>
              </w:rPr>
              <w:t>a neutral impact.</w:t>
            </w:r>
          </w:p>
        </w:tc>
      </w:tr>
      <w:tr w:rsidR="003B7632" w:rsidRPr="00EE5F0F" w14:paraId="0928C0CB" w14:textId="77777777" w:rsidTr="004D4A0F">
        <w:trPr>
          <w:trHeight w:val="20"/>
        </w:trPr>
        <w:tc>
          <w:tcPr>
            <w:tcW w:w="1715" w:type="dxa"/>
            <w:vAlign w:val="center"/>
          </w:tcPr>
          <w:p w14:paraId="1524E917" w14:textId="77777777" w:rsidR="003B7632" w:rsidRPr="00EE5F0F" w:rsidRDefault="003B7632" w:rsidP="003B7632">
            <w:pPr>
              <w:spacing w:before="40" w:after="40"/>
              <w:rPr>
                <w:rFonts w:ascii="Garamond" w:eastAsia="Calibri" w:hAnsi="Garamond" w:cs="Sylfaen"/>
                <w:sz w:val="22"/>
                <w:szCs w:val="22"/>
              </w:rPr>
            </w:pPr>
            <w:r w:rsidRPr="00BE2729">
              <w:rPr>
                <w:rFonts w:ascii="Garamond" w:eastAsia="Calibri" w:hAnsi="Garamond" w:cs="Sylfaen"/>
                <w:sz w:val="22"/>
                <w:szCs w:val="22"/>
              </w:rPr>
              <w:t>Measures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 xml:space="preserve"> to</w:t>
            </w:r>
            <w:r w:rsidRPr="00BE2729">
              <w:rPr>
                <w:rFonts w:ascii="Garamond" w:eastAsia="Calibri" w:hAnsi="Garamond" w:cs="Sylfaen"/>
                <w:sz w:val="22"/>
                <w:szCs w:val="22"/>
              </w:rPr>
              <w:t xml:space="preserve"> 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 xml:space="preserve">bolstering </w:t>
            </w:r>
            <w:r w:rsidRPr="00BE2729">
              <w:rPr>
                <w:rFonts w:ascii="Garamond" w:eastAsia="Calibri" w:hAnsi="Garamond" w:cs="Sylfaen"/>
                <w:sz w:val="22"/>
                <w:szCs w:val="22"/>
              </w:rPr>
              <w:t>p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 xml:space="preserve">otential </w:t>
            </w:r>
            <w:r w:rsidRPr="00BE2729">
              <w:rPr>
                <w:rFonts w:ascii="Garamond" w:eastAsia="Calibri" w:hAnsi="Garamond" w:cs="Sylfaen"/>
                <w:sz w:val="22"/>
                <w:szCs w:val="22"/>
              </w:rPr>
              <w:t xml:space="preserve">GDP </w:t>
            </w:r>
            <w:r>
              <w:rPr>
                <w:rFonts w:ascii="Garamond" w:eastAsia="Calibri" w:hAnsi="Garamond" w:cs="Sylfaen"/>
                <w:sz w:val="22"/>
                <w:szCs w:val="22"/>
              </w:rPr>
              <w:t>growth</w:t>
            </w:r>
          </w:p>
        </w:tc>
        <w:tc>
          <w:tcPr>
            <w:tcW w:w="4528" w:type="dxa"/>
            <w:vAlign w:val="center"/>
          </w:tcPr>
          <w:p w14:paraId="440EDC5D" w14:textId="77777777" w:rsidR="003B7632" w:rsidRDefault="008F49B7" w:rsidP="008F49B7">
            <w:pPr>
              <w:pStyle w:val="ListParagraph"/>
              <w:numPr>
                <w:ilvl w:val="0"/>
                <w:numId w:val="5"/>
              </w:numPr>
              <w:spacing w:before="30" w:after="30"/>
              <w:rPr>
                <w:rFonts w:ascii="Garamond" w:hAnsi="Garamond" w:cs="Sylfaen"/>
                <w:color w:val="000000" w:themeColor="text1"/>
                <w:sz w:val="22"/>
                <w:szCs w:val="22"/>
              </w:rPr>
            </w:pP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T</w:t>
            </w:r>
            <w:r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he 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activities of </w:t>
            </w:r>
            <w:proofErr w:type="spellStart"/>
            <w:r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Amulsar</w:t>
            </w:r>
            <w:proofErr w:type="spellEnd"/>
            <w:r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mine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and </w:t>
            </w:r>
            <w:r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Alaverdi copper smelter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are not factored in t</w:t>
            </w:r>
            <w:r w:rsidR="003B7632"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he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monetary policy s</w:t>
            </w:r>
            <w:r w:rsidR="003B7632" w:rsidRPr="003A4930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cenario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.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</w:t>
            </w:r>
            <w:r w:rsidR="003B7632" w:rsidRPr="003B77BB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The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ir </w:t>
            </w:r>
            <w:r w:rsidR="003B7632" w:rsidRPr="003B77BB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potential impact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is considered in the framework of forecast risks</w:t>
            </w:r>
            <w:r w:rsidR="003B7632" w:rsidRPr="003B77BB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.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O</w:t>
            </w:r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fficial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ly,</w:t>
            </w:r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construction of the </w:t>
            </w:r>
            <w:proofErr w:type="spellStart"/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Amulsar</w:t>
            </w:r>
            <w:proofErr w:type="spellEnd"/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mine is expected to continue 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in </w:t>
            </w:r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2020, with the 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operation of the </w:t>
            </w:r>
            <w:r w:rsidRPr="008F49B7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mine starting in 2021.</w:t>
            </w:r>
            <w:r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T</w:t>
            </w:r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he direct impact of the </w:t>
            </w:r>
            <w:proofErr w:type="spellStart"/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Amulsar</w:t>
            </w:r>
            <w:proofErr w:type="spellEnd"/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 mine on GDP will be 1.0-1.6% and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, with </w:t>
            </w:r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indirect impacts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, its contribution will be even higher, a</w:t>
            </w:r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ccording to C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entral </w:t>
            </w:r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B</w:t>
            </w:r>
            <w:r w:rsidR="003B7632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 xml:space="preserve">ank </w:t>
            </w:r>
            <w:r w:rsidR="003B7632" w:rsidRPr="00F30F89">
              <w:rPr>
                <w:rFonts w:ascii="Garamond" w:hAnsi="Garamond" w:cs="Sylfaen"/>
                <w:color w:val="000000" w:themeColor="text1"/>
                <w:sz w:val="22"/>
                <w:szCs w:val="22"/>
              </w:rPr>
              <w:t>estimates.</w:t>
            </w:r>
          </w:p>
        </w:tc>
      </w:tr>
    </w:tbl>
    <w:p w14:paraId="7B78D986" w14:textId="77777777" w:rsidR="00E218FC" w:rsidRDefault="00E218FC" w:rsidP="005C653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663DE935" w14:textId="77777777" w:rsidR="00627013" w:rsidRDefault="00627013" w:rsidP="005C653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627013">
        <w:rPr>
          <w:rFonts w:ascii="Garamond" w:hAnsi="Garamond"/>
          <w:b/>
          <w:sz w:val="22"/>
          <w:szCs w:val="22"/>
        </w:rPr>
        <w:t>Forecast risks</w:t>
      </w:r>
    </w:p>
    <w:p w14:paraId="70287616" w14:textId="77777777" w:rsidR="0003340B" w:rsidRPr="0003340B" w:rsidRDefault="0003340B" w:rsidP="0003340B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1D0479">
        <w:rPr>
          <w:rFonts w:ascii="Garamond" w:hAnsi="Garamond"/>
          <w:sz w:val="22"/>
          <w:szCs w:val="22"/>
        </w:rPr>
        <w:t xml:space="preserve">The risks </w:t>
      </w:r>
      <w:r w:rsidR="004640C6">
        <w:rPr>
          <w:rFonts w:ascii="Garamond" w:hAnsi="Garamond"/>
          <w:sz w:val="22"/>
          <w:szCs w:val="22"/>
        </w:rPr>
        <w:t>outlined in</w:t>
      </w:r>
      <w:r w:rsidR="003B77BB">
        <w:rPr>
          <w:rFonts w:ascii="Garamond" w:hAnsi="Garamond"/>
          <w:sz w:val="22"/>
          <w:szCs w:val="22"/>
        </w:rPr>
        <w:t xml:space="preserve"> the </w:t>
      </w:r>
      <w:r w:rsidR="00C86E56">
        <w:rPr>
          <w:rFonts w:ascii="Garamond" w:hAnsi="Garamond"/>
          <w:sz w:val="22"/>
          <w:szCs w:val="22"/>
        </w:rPr>
        <w:t xml:space="preserve">baseline scenario </w:t>
      </w:r>
      <w:r w:rsidR="003B77BB">
        <w:rPr>
          <w:rFonts w:ascii="Garamond" w:hAnsi="Garamond"/>
          <w:sz w:val="22"/>
          <w:szCs w:val="22"/>
        </w:rPr>
        <w:t>a</w:t>
      </w:r>
      <w:r w:rsidRPr="001D0479">
        <w:rPr>
          <w:rFonts w:ascii="Garamond" w:hAnsi="Garamond"/>
          <w:sz w:val="22"/>
          <w:szCs w:val="22"/>
        </w:rPr>
        <w:t xml:space="preserve">re </w:t>
      </w:r>
      <w:r w:rsidR="00C86E56">
        <w:rPr>
          <w:rFonts w:ascii="Garamond" w:hAnsi="Garamond"/>
          <w:sz w:val="22"/>
          <w:szCs w:val="22"/>
        </w:rPr>
        <w:t xml:space="preserve">associated with </w:t>
      </w:r>
      <w:r w:rsidRPr="001D0479">
        <w:rPr>
          <w:rFonts w:ascii="Garamond" w:hAnsi="Garamond"/>
          <w:sz w:val="22"/>
          <w:szCs w:val="22"/>
        </w:rPr>
        <w:t>both the supply and demand-driven developments in the</w:t>
      </w:r>
      <w:r w:rsidRPr="0003340B">
        <w:rPr>
          <w:rFonts w:ascii="Garamond" w:hAnsi="Garamond"/>
          <w:sz w:val="22"/>
          <w:szCs w:val="22"/>
        </w:rPr>
        <w:t xml:space="preserve"> relevant sectors of the economy.</w:t>
      </w:r>
    </w:p>
    <w:p w14:paraId="5B47100B" w14:textId="77777777" w:rsidR="0003340B" w:rsidRPr="0003340B" w:rsidRDefault="0003340B" w:rsidP="0003340B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03340B">
        <w:rPr>
          <w:rFonts w:ascii="Garamond" w:hAnsi="Garamond"/>
          <w:sz w:val="22"/>
          <w:szCs w:val="22"/>
        </w:rPr>
        <w:t xml:space="preserve">In terms of </w:t>
      </w:r>
      <w:r>
        <w:rPr>
          <w:rFonts w:ascii="Garamond" w:hAnsi="Garamond"/>
          <w:sz w:val="22"/>
          <w:szCs w:val="22"/>
        </w:rPr>
        <w:t>aggregate</w:t>
      </w:r>
      <w:r w:rsidRPr="0003340B">
        <w:rPr>
          <w:rFonts w:ascii="Garamond" w:hAnsi="Garamond"/>
          <w:sz w:val="22"/>
          <w:szCs w:val="22"/>
        </w:rPr>
        <w:t xml:space="preserve"> demand, the main risks </w:t>
      </w:r>
      <w:r w:rsidR="0037064D">
        <w:rPr>
          <w:rFonts w:ascii="Garamond" w:hAnsi="Garamond"/>
          <w:sz w:val="22"/>
          <w:szCs w:val="22"/>
        </w:rPr>
        <w:t>are attributable to the following factors:</w:t>
      </w:r>
    </w:p>
    <w:p w14:paraId="503F5F1F" w14:textId="77777777" w:rsidR="0003340B" w:rsidRDefault="00C86E56" w:rsidP="0037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</w:t>
      </w:r>
      <w:r w:rsidR="0037064D">
        <w:rPr>
          <w:rFonts w:ascii="Garamond" w:hAnsi="Garamond"/>
          <w:sz w:val="22"/>
          <w:szCs w:val="22"/>
        </w:rPr>
        <w:t xml:space="preserve">ostly short-term </w:t>
      </w:r>
      <w:r w:rsidRPr="00C86E56">
        <w:rPr>
          <w:rFonts w:ascii="Garamond" w:hAnsi="Garamond"/>
          <w:sz w:val="22"/>
          <w:szCs w:val="22"/>
        </w:rPr>
        <w:t>deflation</w:t>
      </w:r>
      <w:r w:rsidR="0037064D">
        <w:rPr>
          <w:rFonts w:ascii="Garamond" w:hAnsi="Garamond"/>
          <w:sz w:val="22"/>
          <w:szCs w:val="22"/>
        </w:rPr>
        <w:t>ary</w:t>
      </w:r>
      <w:r w:rsidRPr="00C86E56">
        <w:rPr>
          <w:rFonts w:ascii="Garamond" w:hAnsi="Garamond"/>
          <w:sz w:val="22"/>
          <w:szCs w:val="22"/>
        </w:rPr>
        <w:t xml:space="preserve"> risks </w:t>
      </w:r>
      <w:r w:rsidR="0037064D">
        <w:rPr>
          <w:rFonts w:ascii="Garamond" w:hAnsi="Garamond"/>
          <w:sz w:val="22"/>
          <w:szCs w:val="22"/>
        </w:rPr>
        <w:t xml:space="preserve">may arise in connection with </w:t>
      </w:r>
      <w:r w:rsidR="00BD3FE2">
        <w:rPr>
          <w:rFonts w:ascii="Garamond" w:hAnsi="Garamond"/>
          <w:sz w:val="22"/>
          <w:szCs w:val="22"/>
        </w:rPr>
        <w:t xml:space="preserve">slower </w:t>
      </w:r>
      <w:r w:rsidR="0037064D" w:rsidRPr="0037064D">
        <w:rPr>
          <w:rFonts w:ascii="Garamond" w:hAnsi="Garamond"/>
          <w:sz w:val="22"/>
          <w:szCs w:val="22"/>
        </w:rPr>
        <w:t xml:space="preserve">rates </w:t>
      </w:r>
      <w:r w:rsidR="0037064D">
        <w:rPr>
          <w:rFonts w:ascii="Garamond" w:hAnsi="Garamond"/>
          <w:sz w:val="22"/>
          <w:szCs w:val="22"/>
        </w:rPr>
        <w:t>at which demand and, consequently, core inflation recovers</w:t>
      </w:r>
      <w:r w:rsidR="00BD3FE2">
        <w:rPr>
          <w:rFonts w:ascii="Garamond" w:hAnsi="Garamond"/>
          <w:sz w:val="22"/>
          <w:szCs w:val="22"/>
        </w:rPr>
        <w:t xml:space="preserve"> in the forecast horizon</w:t>
      </w:r>
      <w:r w:rsidRPr="00C86E56">
        <w:rPr>
          <w:rFonts w:ascii="Garamond" w:hAnsi="Garamond"/>
          <w:sz w:val="22"/>
          <w:szCs w:val="22"/>
        </w:rPr>
        <w:t>.</w:t>
      </w:r>
    </w:p>
    <w:p w14:paraId="2A30FC09" w14:textId="77777777" w:rsidR="00472F68" w:rsidRDefault="00C86E56" w:rsidP="00A540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Pr="0003340B">
        <w:rPr>
          <w:rFonts w:ascii="Garamond" w:hAnsi="Garamond"/>
          <w:sz w:val="22"/>
          <w:szCs w:val="22"/>
        </w:rPr>
        <w:t xml:space="preserve">he </w:t>
      </w:r>
      <w:r w:rsidR="00BD3FE2">
        <w:rPr>
          <w:rFonts w:ascii="Garamond" w:hAnsi="Garamond"/>
          <w:sz w:val="22"/>
          <w:szCs w:val="22"/>
        </w:rPr>
        <w:t xml:space="preserve">impact of the fiscal policy in 2020 will be less expansionary as public expenditures and, particularly, capital plans under external funding continue to fall short. </w:t>
      </w:r>
    </w:p>
    <w:p w14:paraId="34419B98" w14:textId="77777777" w:rsidR="00A54087" w:rsidRPr="00A54087" w:rsidRDefault="0027739D" w:rsidP="00A54087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Overall, </w:t>
      </w:r>
      <w:r w:rsidR="00A54087" w:rsidRPr="00A54087">
        <w:rPr>
          <w:rFonts w:ascii="Garamond" w:hAnsi="Garamond"/>
          <w:sz w:val="22"/>
          <w:szCs w:val="22"/>
        </w:rPr>
        <w:t xml:space="preserve">risks to the </w:t>
      </w:r>
      <w:r>
        <w:rPr>
          <w:rFonts w:ascii="Garamond" w:hAnsi="Garamond"/>
          <w:sz w:val="22"/>
          <w:szCs w:val="22"/>
        </w:rPr>
        <w:t xml:space="preserve">inflation deviating from its path in the medium term </w:t>
      </w:r>
      <w:r w:rsidR="00560D86">
        <w:rPr>
          <w:rFonts w:ascii="Garamond" w:hAnsi="Garamond"/>
          <w:sz w:val="22"/>
          <w:szCs w:val="22"/>
        </w:rPr>
        <w:t xml:space="preserve">are balanced </w:t>
      </w:r>
      <w:r w:rsidR="00C11FA8">
        <w:rPr>
          <w:rFonts w:ascii="Garamond" w:hAnsi="Garamond"/>
          <w:sz w:val="22"/>
          <w:szCs w:val="22"/>
        </w:rPr>
        <w:t>(</w:t>
      </w:r>
      <w:r w:rsidR="00C11FA8" w:rsidRPr="00EE5F0F">
        <w:rPr>
          <w:rFonts w:ascii="Garamond" w:hAnsi="Garamond"/>
          <w:sz w:val="22"/>
          <w:szCs w:val="22"/>
        </w:rPr>
        <w:t xml:space="preserve">see </w:t>
      </w:r>
      <w:r w:rsidR="00C11FA8">
        <w:rPr>
          <w:rFonts w:ascii="Garamond" w:hAnsi="Garamond"/>
          <w:sz w:val="22"/>
          <w:szCs w:val="22"/>
        </w:rPr>
        <w:t>Chart 1 “</w:t>
      </w:r>
      <w:r w:rsidR="00C11FA8" w:rsidRPr="00EE5F0F">
        <w:rPr>
          <w:rFonts w:ascii="Garamond" w:hAnsi="Garamond"/>
          <w:sz w:val="22"/>
          <w:szCs w:val="22"/>
        </w:rPr>
        <w:t>Inflation Forecasts Probability Distribution</w:t>
      </w:r>
      <w:r w:rsidR="00C11FA8">
        <w:rPr>
          <w:rFonts w:ascii="Garamond" w:hAnsi="Garamond"/>
          <w:sz w:val="22"/>
          <w:szCs w:val="22"/>
        </w:rPr>
        <w:t>”</w:t>
      </w:r>
      <w:r w:rsidR="00C11FA8" w:rsidRPr="00EE5F0F">
        <w:rPr>
          <w:rFonts w:ascii="Garamond" w:hAnsi="Garamond"/>
          <w:sz w:val="22"/>
          <w:szCs w:val="22"/>
        </w:rPr>
        <w:t>).</w:t>
      </w:r>
      <w:r w:rsidR="00C11FA8" w:rsidRPr="00A54087">
        <w:rPr>
          <w:rFonts w:ascii="Garamond" w:hAnsi="Garamond"/>
          <w:sz w:val="22"/>
          <w:szCs w:val="22"/>
        </w:rPr>
        <w:t xml:space="preserve"> </w:t>
      </w:r>
    </w:p>
    <w:p w14:paraId="53FAE425" w14:textId="77777777" w:rsidR="0003340B" w:rsidRPr="0003340B" w:rsidRDefault="00B95881" w:rsidP="0003340B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 terms of supply</w:t>
      </w:r>
      <w:r w:rsidR="0003340B" w:rsidRPr="0003340B">
        <w:rPr>
          <w:rFonts w:ascii="Garamond" w:hAnsi="Garamond"/>
          <w:sz w:val="22"/>
          <w:szCs w:val="22"/>
        </w:rPr>
        <w:t xml:space="preserve">, the following </w:t>
      </w:r>
      <w:r>
        <w:rPr>
          <w:rFonts w:ascii="Garamond" w:hAnsi="Garamond"/>
          <w:sz w:val="22"/>
          <w:szCs w:val="22"/>
        </w:rPr>
        <w:t xml:space="preserve">are </w:t>
      </w:r>
      <w:r w:rsidR="0003340B" w:rsidRPr="0003340B">
        <w:rPr>
          <w:rFonts w:ascii="Garamond" w:hAnsi="Garamond"/>
          <w:sz w:val="22"/>
          <w:szCs w:val="22"/>
        </w:rPr>
        <w:t xml:space="preserve">risks </w:t>
      </w:r>
      <w:r>
        <w:rPr>
          <w:rFonts w:ascii="Garamond" w:hAnsi="Garamond"/>
          <w:sz w:val="22"/>
          <w:szCs w:val="22"/>
        </w:rPr>
        <w:t xml:space="preserve">to the </w:t>
      </w:r>
      <w:r w:rsidR="0003340B" w:rsidRPr="0003340B">
        <w:rPr>
          <w:rFonts w:ascii="Garamond" w:hAnsi="Garamond"/>
          <w:sz w:val="22"/>
          <w:szCs w:val="22"/>
        </w:rPr>
        <w:t>inflation:</w:t>
      </w:r>
    </w:p>
    <w:p w14:paraId="5B0F35AF" w14:textId="77777777" w:rsidR="00560D86" w:rsidRPr="00F66756" w:rsidRDefault="00560D86" w:rsidP="00C11F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 w:cs="Sylfaen"/>
          <w:sz w:val="22"/>
          <w:szCs w:val="22"/>
        </w:rPr>
        <w:t xml:space="preserve">Risks in either direction may arise in 2020 after a change in </w:t>
      </w:r>
      <w:r w:rsidRPr="00A81141">
        <w:rPr>
          <w:rFonts w:ascii="Garamond" w:hAnsi="Garamond" w:cs="Sylfaen"/>
          <w:sz w:val="22"/>
          <w:szCs w:val="22"/>
        </w:rPr>
        <w:t xml:space="preserve">customs and excise </w:t>
      </w:r>
      <w:r>
        <w:rPr>
          <w:rFonts w:ascii="Garamond" w:hAnsi="Garamond" w:cs="Sylfaen"/>
          <w:sz w:val="22"/>
          <w:szCs w:val="22"/>
        </w:rPr>
        <w:t xml:space="preserve">duty </w:t>
      </w:r>
      <w:r w:rsidRPr="00A81141">
        <w:rPr>
          <w:rFonts w:ascii="Garamond" w:hAnsi="Garamond" w:cs="Sylfaen"/>
          <w:sz w:val="22"/>
          <w:szCs w:val="22"/>
        </w:rPr>
        <w:t xml:space="preserve">for some products </w:t>
      </w:r>
      <w:r>
        <w:rPr>
          <w:rFonts w:ascii="Garamond" w:hAnsi="Garamond" w:cs="Sylfaen"/>
          <w:sz w:val="22"/>
          <w:szCs w:val="22"/>
        </w:rPr>
        <w:t xml:space="preserve">would affect the inflation (with an </w:t>
      </w:r>
      <w:r w:rsidRPr="00A81141">
        <w:rPr>
          <w:rFonts w:ascii="Garamond" w:hAnsi="Garamond" w:cs="Sylfaen"/>
          <w:sz w:val="22"/>
          <w:szCs w:val="22"/>
        </w:rPr>
        <w:t xml:space="preserve">estimated </w:t>
      </w:r>
      <w:r>
        <w:rPr>
          <w:rFonts w:ascii="Garamond" w:hAnsi="Garamond" w:cs="Sylfaen"/>
          <w:sz w:val="22"/>
          <w:szCs w:val="22"/>
        </w:rPr>
        <w:t xml:space="preserve">impact of up to </w:t>
      </w:r>
      <w:r w:rsidRPr="00A81141">
        <w:rPr>
          <w:rFonts w:ascii="Garamond" w:hAnsi="Garamond" w:cs="Sylfaen"/>
          <w:sz w:val="22"/>
          <w:szCs w:val="22"/>
        </w:rPr>
        <w:t>0.5 p</w:t>
      </w:r>
      <w:r>
        <w:rPr>
          <w:rFonts w:ascii="Garamond" w:hAnsi="Garamond" w:cs="Sylfaen"/>
          <w:sz w:val="22"/>
          <w:szCs w:val="22"/>
        </w:rPr>
        <w:t>p).</w:t>
      </w:r>
    </w:p>
    <w:p w14:paraId="718B5708" w14:textId="77777777" w:rsidR="00F66756" w:rsidRDefault="00F66756" w:rsidP="00F667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T</w:t>
      </w:r>
      <w:r w:rsidRPr="00F66756">
        <w:rPr>
          <w:rFonts w:ascii="Garamond" w:hAnsi="Garamond"/>
          <w:sz w:val="22"/>
          <w:szCs w:val="22"/>
        </w:rPr>
        <w:t>he estimated dec</w:t>
      </w:r>
      <w:r>
        <w:rPr>
          <w:rFonts w:ascii="Garamond" w:hAnsi="Garamond"/>
          <w:sz w:val="22"/>
          <w:szCs w:val="22"/>
        </w:rPr>
        <w:t xml:space="preserve">rease in markups </w:t>
      </w:r>
      <w:r w:rsidRPr="00F66756">
        <w:rPr>
          <w:rFonts w:ascii="Garamond" w:hAnsi="Garamond"/>
          <w:sz w:val="22"/>
          <w:szCs w:val="22"/>
        </w:rPr>
        <w:t xml:space="preserve">in various </w:t>
      </w:r>
      <w:r>
        <w:rPr>
          <w:rFonts w:ascii="Garamond" w:hAnsi="Garamond"/>
          <w:sz w:val="22"/>
          <w:szCs w:val="22"/>
        </w:rPr>
        <w:t xml:space="preserve">product </w:t>
      </w:r>
      <w:r w:rsidRPr="00F66756">
        <w:rPr>
          <w:rFonts w:ascii="Garamond" w:hAnsi="Garamond"/>
          <w:sz w:val="22"/>
          <w:szCs w:val="22"/>
        </w:rPr>
        <w:t>markets</w:t>
      </w:r>
      <w:r>
        <w:rPr>
          <w:rFonts w:ascii="Garamond" w:hAnsi="Garamond"/>
          <w:sz w:val="22"/>
          <w:szCs w:val="22"/>
        </w:rPr>
        <w:t xml:space="preserve"> as a result of implementation of </w:t>
      </w:r>
      <w:r w:rsidRPr="00F66756">
        <w:rPr>
          <w:rFonts w:ascii="Garamond" w:hAnsi="Garamond"/>
          <w:sz w:val="22"/>
          <w:szCs w:val="22"/>
        </w:rPr>
        <w:t>structural reforms and increased competition, a</w:t>
      </w:r>
      <w:r>
        <w:rPr>
          <w:rFonts w:ascii="Garamond" w:hAnsi="Garamond"/>
          <w:sz w:val="22"/>
          <w:szCs w:val="22"/>
        </w:rPr>
        <w:t xml:space="preserve">nd the increase in </w:t>
      </w:r>
      <w:r w:rsidRPr="00F66756">
        <w:rPr>
          <w:rFonts w:ascii="Garamond" w:hAnsi="Garamond"/>
          <w:sz w:val="22"/>
          <w:szCs w:val="22"/>
        </w:rPr>
        <w:t>productivity in the non-</w:t>
      </w:r>
      <w:r>
        <w:rPr>
          <w:rFonts w:ascii="Garamond" w:hAnsi="Garamond"/>
          <w:sz w:val="22"/>
          <w:szCs w:val="22"/>
        </w:rPr>
        <w:t xml:space="preserve">tradable </w:t>
      </w:r>
      <w:r w:rsidRPr="00F66756">
        <w:rPr>
          <w:rFonts w:ascii="Garamond" w:hAnsi="Garamond"/>
          <w:sz w:val="22"/>
          <w:szCs w:val="22"/>
        </w:rPr>
        <w:t xml:space="preserve">sector of the economy </w:t>
      </w:r>
      <w:r>
        <w:rPr>
          <w:rFonts w:ascii="Garamond" w:hAnsi="Garamond"/>
          <w:sz w:val="22"/>
          <w:szCs w:val="22"/>
        </w:rPr>
        <w:t>may last longer</w:t>
      </w:r>
      <w:r w:rsidRPr="00F66756">
        <w:rPr>
          <w:rFonts w:ascii="Garamond" w:hAnsi="Garamond"/>
          <w:sz w:val="22"/>
          <w:szCs w:val="22"/>
        </w:rPr>
        <w:t xml:space="preserve">, in which case </w:t>
      </w:r>
      <w:r>
        <w:rPr>
          <w:rFonts w:ascii="Garamond" w:hAnsi="Garamond"/>
          <w:sz w:val="22"/>
          <w:szCs w:val="22"/>
        </w:rPr>
        <w:t>a</w:t>
      </w:r>
      <w:r w:rsidRPr="00F66756">
        <w:rPr>
          <w:rFonts w:ascii="Garamond" w:hAnsi="Garamond"/>
          <w:sz w:val="22"/>
          <w:szCs w:val="22"/>
        </w:rPr>
        <w:t xml:space="preserve"> low inflation environment will </w:t>
      </w:r>
      <w:r>
        <w:rPr>
          <w:rFonts w:ascii="Garamond" w:hAnsi="Garamond"/>
          <w:sz w:val="22"/>
          <w:szCs w:val="22"/>
        </w:rPr>
        <w:t xml:space="preserve">persist </w:t>
      </w:r>
      <w:r w:rsidRPr="00F66756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 xml:space="preserve">riven by </w:t>
      </w:r>
      <w:r w:rsidRPr="00F66756">
        <w:rPr>
          <w:rFonts w:ascii="Garamond" w:hAnsi="Garamond"/>
          <w:sz w:val="22"/>
          <w:szCs w:val="22"/>
        </w:rPr>
        <w:t>supply factors.</w:t>
      </w:r>
    </w:p>
    <w:p w14:paraId="0996D3A8" w14:textId="77777777" w:rsidR="00F66756" w:rsidRPr="00560D86" w:rsidRDefault="00F66756" w:rsidP="00F66756">
      <w:pPr>
        <w:pStyle w:val="ListParagraph"/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7A429058" w14:textId="77777777" w:rsidR="0003340B" w:rsidRPr="0003340B" w:rsidRDefault="0039351A" w:rsidP="0003340B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 addition to the risks mentioned above, t</w:t>
      </w:r>
      <w:r w:rsidR="0003340B" w:rsidRPr="0003340B">
        <w:rPr>
          <w:rFonts w:ascii="Garamond" w:hAnsi="Garamond"/>
          <w:sz w:val="22"/>
          <w:szCs w:val="22"/>
        </w:rPr>
        <w:t xml:space="preserve">here are </w:t>
      </w:r>
      <w:r>
        <w:rPr>
          <w:rFonts w:ascii="Garamond" w:hAnsi="Garamond"/>
          <w:sz w:val="22"/>
          <w:szCs w:val="22"/>
        </w:rPr>
        <w:t xml:space="preserve">mid-term </w:t>
      </w:r>
      <w:r w:rsidR="00124193" w:rsidRPr="00124193">
        <w:rPr>
          <w:rFonts w:ascii="Garamond" w:hAnsi="Garamond"/>
          <w:sz w:val="22"/>
          <w:szCs w:val="22"/>
        </w:rPr>
        <w:t>risks</w:t>
      </w:r>
      <w:r>
        <w:rPr>
          <w:rFonts w:ascii="Garamond" w:hAnsi="Garamond"/>
          <w:sz w:val="22"/>
          <w:szCs w:val="22"/>
        </w:rPr>
        <w:t xml:space="preserve"> (which are </w:t>
      </w:r>
      <w:r w:rsidR="00F66756">
        <w:rPr>
          <w:rFonts w:ascii="Garamond" w:hAnsi="Garamond"/>
          <w:sz w:val="22"/>
          <w:szCs w:val="22"/>
        </w:rPr>
        <w:t xml:space="preserve">in either direction </w:t>
      </w:r>
      <w:r>
        <w:rPr>
          <w:rFonts w:ascii="Garamond" w:hAnsi="Garamond"/>
          <w:sz w:val="22"/>
          <w:szCs w:val="22"/>
        </w:rPr>
        <w:t xml:space="preserve">but upside risks prevail, however) associated with </w:t>
      </w:r>
      <w:r w:rsidR="00124193">
        <w:rPr>
          <w:rFonts w:ascii="Garamond" w:hAnsi="Garamond"/>
          <w:sz w:val="22"/>
          <w:szCs w:val="22"/>
        </w:rPr>
        <w:t xml:space="preserve">potential </w:t>
      </w:r>
      <w:r w:rsidR="00124193" w:rsidRPr="00124193">
        <w:rPr>
          <w:rFonts w:ascii="Garamond" w:hAnsi="Garamond"/>
          <w:sz w:val="22"/>
          <w:szCs w:val="22"/>
        </w:rPr>
        <w:t>economic growth</w:t>
      </w:r>
      <w:r w:rsidR="00124193">
        <w:rPr>
          <w:rFonts w:ascii="Garamond" w:hAnsi="Garamond"/>
          <w:sz w:val="22"/>
          <w:szCs w:val="22"/>
        </w:rPr>
        <w:t>, as follows:</w:t>
      </w:r>
    </w:p>
    <w:p w14:paraId="66A888A3" w14:textId="77777777" w:rsidR="0003340B" w:rsidRPr="00E66AD8" w:rsidRDefault="00124193" w:rsidP="00E16B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="00E16BAF" w:rsidRPr="00E16BAF">
        <w:rPr>
          <w:rFonts w:ascii="Garamond" w:hAnsi="Garamond"/>
          <w:sz w:val="22"/>
          <w:szCs w:val="22"/>
        </w:rPr>
        <w:t>he uncertainties associated with fu</w:t>
      </w:r>
      <w:r>
        <w:rPr>
          <w:rFonts w:ascii="Garamond" w:hAnsi="Garamond"/>
          <w:sz w:val="22"/>
          <w:szCs w:val="22"/>
        </w:rPr>
        <w:t xml:space="preserve">rther operating </w:t>
      </w:r>
      <w:r w:rsidR="00E16BAF" w:rsidRPr="00E16BAF">
        <w:rPr>
          <w:rFonts w:ascii="Garamond" w:hAnsi="Garamond"/>
          <w:sz w:val="22"/>
          <w:szCs w:val="22"/>
        </w:rPr>
        <w:t xml:space="preserve">of </w:t>
      </w:r>
      <w:proofErr w:type="spellStart"/>
      <w:r w:rsidR="00D5545E">
        <w:rPr>
          <w:rFonts w:ascii="Garamond" w:hAnsi="Garamond"/>
          <w:sz w:val="22"/>
          <w:szCs w:val="22"/>
        </w:rPr>
        <w:t>Am</w:t>
      </w:r>
      <w:r>
        <w:rPr>
          <w:rFonts w:ascii="Garamond" w:hAnsi="Garamond"/>
          <w:sz w:val="22"/>
          <w:szCs w:val="22"/>
        </w:rPr>
        <w:t>ulsar</w:t>
      </w:r>
      <w:proofErr w:type="spellEnd"/>
      <w:r>
        <w:rPr>
          <w:rFonts w:ascii="Garamond" w:hAnsi="Garamond"/>
          <w:sz w:val="22"/>
          <w:szCs w:val="22"/>
        </w:rPr>
        <w:t xml:space="preserve"> mine and </w:t>
      </w:r>
      <w:r w:rsidR="00E16BAF" w:rsidRPr="00E16BAF">
        <w:rPr>
          <w:rFonts w:ascii="Garamond" w:hAnsi="Garamond"/>
          <w:sz w:val="22"/>
          <w:szCs w:val="22"/>
        </w:rPr>
        <w:t>Alaverdi copper smelter.</w:t>
      </w:r>
    </w:p>
    <w:p w14:paraId="6A8EBB0A" w14:textId="77777777" w:rsidR="0003340B" w:rsidRDefault="0003340B" w:rsidP="00E66A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66AD8">
        <w:rPr>
          <w:rFonts w:ascii="Garamond" w:hAnsi="Garamond"/>
          <w:sz w:val="22"/>
          <w:szCs w:val="22"/>
        </w:rPr>
        <w:t>In the context of long</w:t>
      </w:r>
      <w:r w:rsidR="0085389F">
        <w:rPr>
          <w:rFonts w:ascii="Garamond" w:hAnsi="Garamond"/>
          <w:sz w:val="22"/>
          <w:szCs w:val="22"/>
        </w:rPr>
        <w:t>er</w:t>
      </w:r>
      <w:r w:rsidRPr="00E66AD8">
        <w:rPr>
          <w:rFonts w:ascii="Garamond" w:hAnsi="Garamond"/>
          <w:sz w:val="22"/>
          <w:szCs w:val="22"/>
        </w:rPr>
        <w:t>-term economic growth</w:t>
      </w:r>
      <w:r w:rsidR="000B2EC6">
        <w:rPr>
          <w:rFonts w:ascii="Garamond" w:hAnsi="Garamond"/>
          <w:sz w:val="22"/>
          <w:szCs w:val="22"/>
        </w:rPr>
        <w:t>,</w:t>
      </w:r>
      <w:r w:rsidRPr="00E66AD8">
        <w:rPr>
          <w:rFonts w:ascii="Garamond" w:hAnsi="Garamond"/>
          <w:sz w:val="22"/>
          <w:szCs w:val="22"/>
        </w:rPr>
        <w:t xml:space="preserve"> the </w:t>
      </w:r>
      <w:r w:rsidR="00124193">
        <w:rPr>
          <w:rFonts w:ascii="Garamond" w:hAnsi="Garamond"/>
          <w:sz w:val="22"/>
          <w:szCs w:val="22"/>
        </w:rPr>
        <w:t xml:space="preserve">further </w:t>
      </w:r>
      <w:r w:rsidRPr="00E66AD8">
        <w:rPr>
          <w:rFonts w:ascii="Garamond" w:hAnsi="Garamond"/>
          <w:sz w:val="22"/>
          <w:szCs w:val="22"/>
        </w:rPr>
        <w:t xml:space="preserve">course of structural reforms in the economy and </w:t>
      </w:r>
      <w:r w:rsidR="00164956">
        <w:rPr>
          <w:rFonts w:ascii="Garamond" w:hAnsi="Garamond"/>
          <w:sz w:val="22"/>
          <w:szCs w:val="22"/>
        </w:rPr>
        <w:t xml:space="preserve">to which extent </w:t>
      </w:r>
      <w:r w:rsidR="00164956" w:rsidRPr="00EE5F0F">
        <w:rPr>
          <w:rFonts w:ascii="Garamond" w:hAnsi="Garamond"/>
          <w:sz w:val="22"/>
          <w:szCs w:val="22"/>
        </w:rPr>
        <w:t>the</w:t>
      </w:r>
      <w:r w:rsidR="00164956">
        <w:rPr>
          <w:rFonts w:ascii="Garamond" w:hAnsi="Garamond"/>
          <w:sz w:val="22"/>
          <w:szCs w:val="22"/>
        </w:rPr>
        <w:t>y will affect the</w:t>
      </w:r>
      <w:r w:rsidRPr="00E66AD8">
        <w:rPr>
          <w:rFonts w:ascii="Garamond" w:hAnsi="Garamond"/>
          <w:sz w:val="22"/>
          <w:szCs w:val="22"/>
        </w:rPr>
        <w:t xml:space="preserve"> business and investment </w:t>
      </w:r>
      <w:r w:rsidR="00F10FA6">
        <w:rPr>
          <w:rFonts w:ascii="Garamond" w:hAnsi="Garamond"/>
          <w:sz w:val="22"/>
          <w:szCs w:val="22"/>
        </w:rPr>
        <w:t>climate</w:t>
      </w:r>
      <w:r w:rsidRPr="00E66AD8">
        <w:rPr>
          <w:rFonts w:ascii="Garamond" w:hAnsi="Garamond"/>
          <w:sz w:val="22"/>
          <w:szCs w:val="22"/>
        </w:rPr>
        <w:t>.</w:t>
      </w:r>
      <w:r w:rsidR="00F10FA6">
        <w:rPr>
          <w:rFonts w:ascii="Garamond" w:hAnsi="Garamond"/>
          <w:sz w:val="22"/>
          <w:szCs w:val="22"/>
        </w:rPr>
        <w:t xml:space="preserve"> </w:t>
      </w:r>
    </w:p>
    <w:p w14:paraId="00AA6912" w14:textId="77777777" w:rsidR="00B5320E" w:rsidRDefault="00F66756" w:rsidP="00F667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F66756">
        <w:rPr>
          <w:rFonts w:ascii="Garamond" w:hAnsi="Garamond"/>
          <w:sz w:val="22"/>
          <w:szCs w:val="22"/>
        </w:rPr>
        <w:t xml:space="preserve">Given high growth rates </w:t>
      </w:r>
      <w:r>
        <w:rPr>
          <w:rFonts w:ascii="Garamond" w:hAnsi="Garamond"/>
          <w:sz w:val="22"/>
          <w:szCs w:val="22"/>
        </w:rPr>
        <w:t xml:space="preserve">in </w:t>
      </w:r>
      <w:r w:rsidRPr="00F66756">
        <w:rPr>
          <w:rFonts w:ascii="Garamond" w:hAnsi="Garamond"/>
          <w:sz w:val="22"/>
          <w:szCs w:val="22"/>
        </w:rPr>
        <w:t>mortgage loans</w:t>
      </w:r>
      <w:r w:rsidR="004946BC">
        <w:rPr>
          <w:rStyle w:val="FootnoteReference"/>
          <w:rFonts w:ascii="Garamond" w:hAnsi="Garamond"/>
          <w:sz w:val="22"/>
          <w:szCs w:val="22"/>
        </w:rPr>
        <w:footnoteReference w:customMarkFollows="1" w:id="7"/>
        <w:t>10</w:t>
      </w:r>
      <w:r w:rsidRPr="00F66756">
        <w:rPr>
          <w:rFonts w:ascii="Garamond" w:hAnsi="Garamond"/>
          <w:sz w:val="22"/>
          <w:szCs w:val="22"/>
        </w:rPr>
        <w:t xml:space="preserve">, as well as the large number of </w:t>
      </w:r>
      <w:proofErr w:type="gramStart"/>
      <w:r w:rsidRPr="00F66756">
        <w:rPr>
          <w:rFonts w:ascii="Garamond" w:hAnsi="Garamond"/>
          <w:sz w:val="22"/>
          <w:szCs w:val="22"/>
        </w:rPr>
        <w:t>construction</w:t>
      </w:r>
      <w:proofErr w:type="gramEnd"/>
      <w:r w:rsidRPr="00F66756">
        <w:rPr>
          <w:rFonts w:ascii="Garamond" w:hAnsi="Garamond"/>
          <w:sz w:val="22"/>
          <w:szCs w:val="22"/>
        </w:rPr>
        <w:t xml:space="preserve"> permits</w:t>
      </w:r>
      <w:r w:rsidR="004946BC">
        <w:rPr>
          <w:rStyle w:val="FootnoteReference"/>
          <w:rFonts w:ascii="Garamond" w:hAnsi="Garamond"/>
          <w:sz w:val="22"/>
          <w:szCs w:val="22"/>
        </w:rPr>
        <w:footnoteReference w:customMarkFollows="1" w:id="8"/>
        <w:t>11</w:t>
      </w:r>
      <w:r w:rsidRPr="00F66756">
        <w:rPr>
          <w:rFonts w:ascii="Garamond" w:hAnsi="Garamond"/>
          <w:sz w:val="22"/>
          <w:szCs w:val="22"/>
        </w:rPr>
        <w:t xml:space="preserve"> issued lately, the risks </w:t>
      </w:r>
      <w:r w:rsidR="004946BC">
        <w:rPr>
          <w:rFonts w:ascii="Garamond" w:hAnsi="Garamond"/>
          <w:sz w:val="22"/>
          <w:szCs w:val="22"/>
        </w:rPr>
        <w:t xml:space="preserve">to </w:t>
      </w:r>
      <w:r w:rsidRPr="00F66756">
        <w:rPr>
          <w:rFonts w:ascii="Garamond" w:hAnsi="Garamond"/>
          <w:sz w:val="22"/>
          <w:szCs w:val="22"/>
        </w:rPr>
        <w:t>economic activity in the construction sector</w:t>
      </w:r>
      <w:r w:rsidR="004946BC">
        <w:rPr>
          <w:rFonts w:ascii="Garamond" w:hAnsi="Garamond"/>
          <w:sz w:val="22"/>
          <w:szCs w:val="22"/>
        </w:rPr>
        <w:t xml:space="preserve"> and to gross private fixed asset accumulation</w:t>
      </w:r>
      <w:r w:rsidRPr="00F66756">
        <w:rPr>
          <w:rFonts w:ascii="Garamond" w:hAnsi="Garamond"/>
          <w:sz w:val="22"/>
          <w:szCs w:val="22"/>
        </w:rPr>
        <w:t xml:space="preserve"> are </w:t>
      </w:r>
      <w:r w:rsidR="004946BC">
        <w:rPr>
          <w:rFonts w:ascii="Garamond" w:hAnsi="Garamond"/>
          <w:sz w:val="22"/>
          <w:szCs w:val="22"/>
        </w:rPr>
        <w:t xml:space="preserve">estimated to </w:t>
      </w:r>
      <w:r w:rsidR="00B5320E">
        <w:rPr>
          <w:rFonts w:ascii="Garamond" w:hAnsi="Garamond"/>
          <w:sz w:val="22"/>
          <w:szCs w:val="22"/>
        </w:rPr>
        <w:t xml:space="preserve">trend </w:t>
      </w:r>
      <w:r w:rsidR="004946BC">
        <w:rPr>
          <w:rFonts w:ascii="Garamond" w:hAnsi="Garamond"/>
          <w:sz w:val="22"/>
          <w:szCs w:val="22"/>
        </w:rPr>
        <w:t>up</w:t>
      </w:r>
      <w:r w:rsidR="00B5320E">
        <w:rPr>
          <w:rFonts w:ascii="Garamond" w:hAnsi="Garamond"/>
          <w:sz w:val="22"/>
          <w:szCs w:val="22"/>
        </w:rPr>
        <w:t>ward</w:t>
      </w:r>
      <w:r w:rsidRPr="00F66756">
        <w:rPr>
          <w:rFonts w:ascii="Garamond" w:hAnsi="Garamond"/>
          <w:sz w:val="22"/>
          <w:szCs w:val="22"/>
        </w:rPr>
        <w:t>.</w:t>
      </w:r>
    </w:p>
    <w:p w14:paraId="248D8360" w14:textId="77777777" w:rsidR="00B5320E" w:rsidRPr="00B5320E" w:rsidRDefault="00B5320E" w:rsidP="00B5320E"/>
    <w:p w14:paraId="63F5B751" w14:textId="77777777" w:rsidR="00B5320E" w:rsidRPr="00B5320E" w:rsidRDefault="00B5320E" w:rsidP="00B5320E"/>
    <w:p w14:paraId="648681AB" w14:textId="77777777" w:rsidR="00B5320E" w:rsidRDefault="00B5320E" w:rsidP="00B53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ECD" w:rsidRPr="00EE5F0F" w14:paraId="31D57467" w14:textId="77777777" w:rsidTr="00F34A03">
        <w:trPr>
          <w:trHeight w:val="6920"/>
        </w:trPr>
        <w:tc>
          <w:tcPr>
            <w:tcW w:w="9350" w:type="dxa"/>
          </w:tcPr>
          <w:p w14:paraId="17295A2F" w14:textId="77777777" w:rsidR="00F73ECD" w:rsidRPr="004D2636" w:rsidRDefault="00B5320E" w:rsidP="00DD509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lastRenderedPageBreak/>
              <w:t>Box 2</w:t>
            </w:r>
            <w:r w:rsidR="00F73ECD" w:rsidRPr="004D2636">
              <w:rPr>
                <w:rFonts w:ascii="Garamond" w:hAnsi="Garamond"/>
                <w:b/>
                <w:sz w:val="21"/>
                <w:szCs w:val="21"/>
              </w:rPr>
              <w:t>:</w:t>
            </w:r>
          </w:p>
          <w:p w14:paraId="2875877B" w14:textId="77777777" w:rsidR="00F73ECD" w:rsidRPr="004D2636" w:rsidRDefault="00B5320E" w:rsidP="00DD509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sz w:val="21"/>
                <w:szCs w:val="21"/>
              </w:rPr>
            </w:pPr>
            <w:r w:rsidRPr="00B5320E">
              <w:rPr>
                <w:rFonts w:ascii="Garamond" w:hAnsi="Garamond"/>
                <w:b/>
                <w:sz w:val="21"/>
                <w:szCs w:val="21"/>
              </w:rPr>
              <w:t xml:space="preserve">The </w:t>
            </w:r>
            <w:r>
              <w:rPr>
                <w:rFonts w:ascii="Garamond" w:hAnsi="Garamond"/>
                <w:b/>
                <w:sz w:val="21"/>
                <w:szCs w:val="21"/>
              </w:rPr>
              <w:t>impact of minimum w</w:t>
            </w:r>
            <w:r w:rsidRPr="00B5320E">
              <w:rPr>
                <w:rFonts w:ascii="Garamond" w:hAnsi="Garamond"/>
                <w:b/>
                <w:sz w:val="21"/>
                <w:szCs w:val="21"/>
              </w:rPr>
              <w:t>age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increases on i</w:t>
            </w:r>
            <w:r w:rsidRPr="00B5320E">
              <w:rPr>
                <w:rFonts w:ascii="Garamond" w:hAnsi="Garamond"/>
                <w:b/>
                <w:sz w:val="21"/>
                <w:szCs w:val="21"/>
              </w:rPr>
              <w:t>nflation</w:t>
            </w:r>
          </w:p>
          <w:p w14:paraId="3FDB3B52" w14:textId="77777777" w:rsidR="00E07BC7" w:rsidRDefault="001B1291" w:rsidP="00F34A03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21"/>
                <w:szCs w:val="21"/>
              </w:rPr>
            </w:pPr>
            <w:r w:rsidRPr="001B1291">
              <w:rPr>
                <w:rFonts w:ascii="Garamond" w:hAnsi="Garamond"/>
                <w:sz w:val="21"/>
                <w:szCs w:val="21"/>
              </w:rPr>
              <w:t xml:space="preserve">The increase in the minimum wage </w:t>
            </w:r>
            <w:r>
              <w:rPr>
                <w:rFonts w:ascii="Garamond" w:hAnsi="Garamond"/>
                <w:sz w:val="21"/>
                <w:szCs w:val="21"/>
              </w:rPr>
              <w:t xml:space="preserve">has an impact on </w:t>
            </w:r>
            <w:r w:rsidRPr="001B1291">
              <w:rPr>
                <w:rFonts w:ascii="Garamond" w:hAnsi="Garamond"/>
                <w:sz w:val="21"/>
                <w:szCs w:val="21"/>
              </w:rPr>
              <w:t>the average wage level and</w:t>
            </w:r>
            <w:r>
              <w:rPr>
                <w:rFonts w:ascii="Garamond" w:hAnsi="Garamond"/>
                <w:sz w:val="21"/>
                <w:szCs w:val="21"/>
              </w:rPr>
              <w:t>,</w:t>
            </w:r>
            <w:r w:rsidRPr="001B1291">
              <w:rPr>
                <w:rFonts w:ascii="Garamond" w:hAnsi="Garamond"/>
                <w:sz w:val="21"/>
                <w:szCs w:val="21"/>
              </w:rPr>
              <w:t xml:space="preserve"> therefore</w:t>
            </w:r>
            <w:r>
              <w:rPr>
                <w:rFonts w:ascii="Garamond" w:hAnsi="Garamond"/>
                <w:sz w:val="21"/>
                <w:szCs w:val="21"/>
              </w:rPr>
              <w:t>,</w:t>
            </w:r>
            <w:r w:rsidRPr="001B1291">
              <w:rPr>
                <w:rFonts w:ascii="Garamond" w:hAnsi="Garamond"/>
                <w:sz w:val="21"/>
                <w:szCs w:val="21"/>
              </w:rPr>
              <w:t xml:space="preserve"> on the costs of the </w:t>
            </w:r>
            <w:r>
              <w:rPr>
                <w:rFonts w:ascii="Garamond" w:hAnsi="Garamond"/>
                <w:sz w:val="21"/>
                <w:szCs w:val="21"/>
              </w:rPr>
              <w:t>firms</w:t>
            </w:r>
            <w:r w:rsidRPr="001B1291">
              <w:rPr>
                <w:rFonts w:ascii="Garamond" w:hAnsi="Garamond"/>
                <w:sz w:val="21"/>
                <w:szCs w:val="21"/>
              </w:rPr>
              <w:t>, which in turn transmit</w:t>
            </w:r>
            <w:r>
              <w:rPr>
                <w:rFonts w:ascii="Garamond" w:hAnsi="Garamond"/>
                <w:sz w:val="21"/>
                <w:szCs w:val="21"/>
              </w:rPr>
              <w:t xml:space="preserve">s </w:t>
            </w:r>
            <w:r w:rsidRPr="001B1291">
              <w:rPr>
                <w:rFonts w:ascii="Garamond" w:hAnsi="Garamond"/>
                <w:sz w:val="21"/>
                <w:szCs w:val="21"/>
              </w:rPr>
              <w:t>to inflation over time.</w:t>
            </w:r>
            <w:r w:rsidR="003C0BF5" w:rsidRPr="004D2636"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 xml:space="preserve">The </w:t>
            </w:r>
            <w:r w:rsidRPr="001B1291">
              <w:rPr>
                <w:rFonts w:ascii="Garamond" w:hAnsi="Garamond"/>
                <w:sz w:val="21"/>
                <w:szCs w:val="21"/>
              </w:rPr>
              <w:t xml:space="preserve">IMF estimates that one percent increase in minimum wage </w:t>
            </w:r>
            <w:r>
              <w:rPr>
                <w:rFonts w:ascii="Garamond" w:hAnsi="Garamond"/>
                <w:sz w:val="21"/>
                <w:szCs w:val="21"/>
              </w:rPr>
              <w:t xml:space="preserve">across </w:t>
            </w:r>
            <w:r w:rsidRPr="001B1291">
              <w:rPr>
                <w:rFonts w:ascii="Garamond" w:hAnsi="Garamond"/>
                <w:sz w:val="21"/>
                <w:szCs w:val="21"/>
              </w:rPr>
              <w:t xml:space="preserve">developing countries leads to </w:t>
            </w:r>
            <w:r>
              <w:rPr>
                <w:rFonts w:ascii="Garamond" w:hAnsi="Garamond"/>
                <w:sz w:val="21"/>
                <w:szCs w:val="21"/>
              </w:rPr>
              <w:t>a 0.01-</w:t>
            </w:r>
            <w:r w:rsidRPr="001B1291">
              <w:rPr>
                <w:rFonts w:ascii="Garamond" w:hAnsi="Garamond"/>
                <w:sz w:val="21"/>
                <w:szCs w:val="21"/>
              </w:rPr>
              <w:t xml:space="preserve">0.15% </w:t>
            </w:r>
            <w:r>
              <w:rPr>
                <w:rFonts w:ascii="Garamond" w:hAnsi="Garamond"/>
                <w:sz w:val="21"/>
                <w:szCs w:val="21"/>
              </w:rPr>
              <w:t xml:space="preserve">increase in average </w:t>
            </w:r>
            <w:r w:rsidRPr="001B1291">
              <w:rPr>
                <w:rFonts w:ascii="Garamond" w:hAnsi="Garamond"/>
                <w:sz w:val="21"/>
                <w:szCs w:val="21"/>
              </w:rPr>
              <w:t>wage</w:t>
            </w:r>
            <w:r>
              <w:rPr>
                <w:rStyle w:val="FootnoteReference"/>
                <w:rFonts w:ascii="Garamond" w:hAnsi="Garamond"/>
                <w:sz w:val="21"/>
                <w:szCs w:val="21"/>
              </w:rPr>
              <w:footnoteReference w:customMarkFollows="1" w:id="9"/>
              <w:t>12</w:t>
            </w:r>
            <w:r>
              <w:rPr>
                <w:rFonts w:ascii="Garamond" w:hAnsi="Garamond"/>
                <w:sz w:val="21"/>
                <w:szCs w:val="21"/>
              </w:rPr>
              <w:t>.</w:t>
            </w:r>
            <w:r w:rsidR="00D641D4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According</w:t>
            </w:r>
            <w:r w:rsidR="00D641D4">
              <w:rPr>
                <w:rFonts w:ascii="Garamond" w:hAnsi="Garamond"/>
                <w:sz w:val="21"/>
                <w:szCs w:val="21"/>
              </w:rPr>
              <w:t>ly, a 23.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6% </w:t>
            </w:r>
            <w:r w:rsidR="00D641D4">
              <w:rPr>
                <w:rFonts w:ascii="Garamond" w:hAnsi="Garamond"/>
                <w:sz w:val="21"/>
                <w:szCs w:val="21"/>
              </w:rPr>
              <w:t xml:space="preserve">rise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in the minimum wage in Armenia will lead to a</w:t>
            </w:r>
            <w:r w:rsidR="00D641D4">
              <w:rPr>
                <w:rFonts w:ascii="Garamond" w:hAnsi="Garamond"/>
                <w:sz w:val="21"/>
                <w:szCs w:val="21"/>
              </w:rPr>
              <w:t>bout a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2% increase in the average wage or </w:t>
            </w:r>
            <w:r w:rsidR="00143AD8">
              <w:rPr>
                <w:rFonts w:ascii="Garamond" w:hAnsi="Garamond"/>
                <w:sz w:val="21"/>
                <w:szCs w:val="21"/>
              </w:rPr>
              <w:t xml:space="preserve">nearly </w:t>
            </w:r>
            <w:r w:rsidR="00D641D4">
              <w:rPr>
                <w:rFonts w:ascii="Garamond" w:hAnsi="Garamond"/>
                <w:sz w:val="21"/>
                <w:szCs w:val="21"/>
              </w:rPr>
              <w:t>a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3% increase in the average wage of officially registered </w:t>
            </w:r>
            <w:r w:rsidR="00D641D4">
              <w:rPr>
                <w:rFonts w:ascii="Garamond" w:hAnsi="Garamond"/>
                <w:sz w:val="21"/>
                <w:szCs w:val="21"/>
              </w:rPr>
              <w:t xml:space="preserve">workers in the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private sector. This</w:t>
            </w:r>
            <w:r w:rsidR="00E436F1">
              <w:rPr>
                <w:rFonts w:ascii="Garamond" w:hAnsi="Garamond"/>
                <w:sz w:val="21"/>
                <w:szCs w:val="21"/>
              </w:rPr>
              <w:t xml:space="preserve">, affecting the </w:t>
            </w:r>
            <w:r w:rsidR="00E436F1" w:rsidRPr="00E436F1">
              <w:rPr>
                <w:rFonts w:ascii="Garamond" w:hAnsi="Garamond"/>
                <w:sz w:val="21"/>
                <w:szCs w:val="21"/>
              </w:rPr>
              <w:t xml:space="preserve">marginal costs of production of goods and </w:t>
            </w:r>
            <w:r w:rsidR="00E436F1">
              <w:rPr>
                <w:rFonts w:ascii="Garamond" w:hAnsi="Garamond"/>
                <w:sz w:val="21"/>
                <w:szCs w:val="21"/>
              </w:rPr>
              <w:t xml:space="preserve">provision of </w:t>
            </w:r>
            <w:r w:rsidR="00E436F1" w:rsidRPr="00E436F1">
              <w:rPr>
                <w:rFonts w:ascii="Garamond" w:hAnsi="Garamond"/>
                <w:sz w:val="21"/>
                <w:szCs w:val="21"/>
              </w:rPr>
              <w:t>services</w:t>
            </w:r>
            <w:r w:rsidR="00E436F1">
              <w:rPr>
                <w:rFonts w:ascii="Garamond" w:hAnsi="Garamond"/>
                <w:sz w:val="21"/>
                <w:szCs w:val="21"/>
              </w:rPr>
              <w:t>, wil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l lead to </w:t>
            </w:r>
            <w:r w:rsidR="00255A74">
              <w:rPr>
                <w:rFonts w:ascii="Garamond" w:hAnsi="Garamond"/>
                <w:sz w:val="21"/>
                <w:szCs w:val="21"/>
              </w:rPr>
              <w:t xml:space="preserve">a certain level of </w:t>
            </w:r>
            <w:r w:rsidR="00E436F1">
              <w:rPr>
                <w:rFonts w:ascii="Garamond" w:hAnsi="Garamond"/>
                <w:sz w:val="21"/>
                <w:szCs w:val="21"/>
              </w:rPr>
              <w:t>inflation o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ver time. When considering the im</w:t>
            </w:r>
            <w:r w:rsidR="00E65187">
              <w:rPr>
                <w:rFonts w:ascii="Garamond" w:hAnsi="Garamond"/>
                <w:sz w:val="21"/>
                <w:szCs w:val="21"/>
              </w:rPr>
              <w:t xml:space="preserve">pact on inflation, the share of those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informal</w:t>
            </w:r>
            <w:r w:rsidR="00E65187">
              <w:rPr>
                <w:rFonts w:ascii="Garamond" w:hAnsi="Garamond"/>
                <w:sz w:val="21"/>
                <w:szCs w:val="21"/>
              </w:rPr>
              <w:t xml:space="preserve">ly employed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in </w:t>
            </w:r>
            <w:r w:rsidR="00E65187">
              <w:rPr>
                <w:rFonts w:ascii="Garamond" w:hAnsi="Garamond"/>
                <w:sz w:val="21"/>
                <w:szCs w:val="21"/>
              </w:rPr>
              <w:t xml:space="preserve">Armenia’s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labor market </w:t>
            </w:r>
            <w:r w:rsidR="00E65187">
              <w:rPr>
                <w:rFonts w:ascii="Garamond" w:hAnsi="Garamond"/>
                <w:sz w:val="21"/>
                <w:szCs w:val="21"/>
              </w:rPr>
              <w:t>(</w:t>
            </w:r>
            <w:r w:rsidR="00E65187" w:rsidRPr="00D641D4">
              <w:rPr>
                <w:rFonts w:ascii="Garamond" w:hAnsi="Garamond"/>
                <w:sz w:val="21"/>
                <w:szCs w:val="21"/>
              </w:rPr>
              <w:t xml:space="preserve">which amounted to 41.3% in 2018, according to </w:t>
            </w:r>
            <w:r w:rsidR="00E65187">
              <w:rPr>
                <w:rFonts w:ascii="Garamond" w:hAnsi="Garamond"/>
                <w:sz w:val="21"/>
                <w:szCs w:val="21"/>
              </w:rPr>
              <w:t xml:space="preserve">Armenia Statistics Committee </w:t>
            </w:r>
            <w:r w:rsidR="00E65187" w:rsidRPr="00D641D4">
              <w:rPr>
                <w:rFonts w:ascii="Garamond" w:hAnsi="Garamond"/>
                <w:sz w:val="21"/>
                <w:szCs w:val="21"/>
              </w:rPr>
              <w:t>data</w:t>
            </w:r>
            <w:r w:rsidR="00E65187">
              <w:rPr>
                <w:rStyle w:val="FootnoteReference"/>
                <w:rFonts w:ascii="Garamond" w:hAnsi="Garamond"/>
                <w:sz w:val="21"/>
                <w:szCs w:val="21"/>
              </w:rPr>
              <w:footnoteReference w:customMarkFollows="1" w:id="10"/>
              <w:t>13</w:t>
            </w:r>
            <w:r w:rsidR="00E65187">
              <w:rPr>
                <w:rFonts w:ascii="Garamond" w:hAnsi="Garamond"/>
                <w:sz w:val="21"/>
                <w:szCs w:val="21"/>
              </w:rPr>
              <w:t>) should be taken into account</w:t>
            </w:r>
            <w:r w:rsidR="005F0150">
              <w:rPr>
                <w:rFonts w:ascii="Garamond" w:hAnsi="Garamond"/>
                <w:sz w:val="21"/>
                <w:szCs w:val="21"/>
              </w:rPr>
              <w:t>. The A</w:t>
            </w:r>
            <w:r w:rsidR="00E65187">
              <w:rPr>
                <w:rFonts w:ascii="Garamond" w:hAnsi="Garamond"/>
                <w:sz w:val="21"/>
                <w:szCs w:val="21"/>
              </w:rPr>
              <w:t xml:space="preserve">rmenia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State Revenue Committee </w:t>
            </w:r>
            <w:r w:rsidR="005F0150">
              <w:rPr>
                <w:rFonts w:ascii="Garamond" w:hAnsi="Garamond"/>
                <w:sz w:val="21"/>
                <w:szCs w:val="21"/>
              </w:rPr>
              <w:t xml:space="preserve">data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(</w:t>
            </w:r>
            <w:r w:rsidR="005F0150" w:rsidRPr="00D641D4">
              <w:rPr>
                <w:rFonts w:ascii="Garamond" w:hAnsi="Garamond"/>
                <w:sz w:val="21"/>
                <w:szCs w:val="21"/>
              </w:rPr>
              <w:t>614459 registered employees as of September 2019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)</w:t>
            </w:r>
            <w:r w:rsidR="005F0150">
              <w:rPr>
                <w:rStyle w:val="FootnoteReference"/>
                <w:rFonts w:ascii="Garamond" w:hAnsi="Garamond"/>
                <w:sz w:val="21"/>
                <w:szCs w:val="21"/>
              </w:rPr>
              <w:footnoteReference w:customMarkFollows="1" w:id="11"/>
              <w:t>14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, a</w:t>
            </w:r>
            <w:r w:rsidR="005F0150">
              <w:rPr>
                <w:rFonts w:ascii="Garamond" w:hAnsi="Garamond"/>
                <w:sz w:val="21"/>
                <w:szCs w:val="21"/>
              </w:rPr>
              <w:t xml:space="preserve">nd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the total number of employe</w:t>
            </w:r>
            <w:r w:rsidR="005F0150">
              <w:rPr>
                <w:rFonts w:ascii="Garamond" w:hAnsi="Garamond"/>
                <w:sz w:val="21"/>
                <w:szCs w:val="21"/>
              </w:rPr>
              <w:t>d,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published by the </w:t>
            </w:r>
            <w:r w:rsidR="005F0150">
              <w:rPr>
                <w:rFonts w:ascii="Garamond" w:hAnsi="Garamond"/>
                <w:sz w:val="21"/>
                <w:szCs w:val="21"/>
              </w:rPr>
              <w:t>SC,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5F0150">
              <w:rPr>
                <w:rFonts w:ascii="Garamond" w:hAnsi="Garamond"/>
                <w:sz w:val="21"/>
                <w:szCs w:val="21"/>
              </w:rPr>
              <w:t xml:space="preserve">suggest that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the informal employment rate has dropped significantly to 34-38%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. The </w:t>
            </w:r>
            <w:r w:rsidR="005637BC" w:rsidRPr="00D641D4">
              <w:rPr>
                <w:rFonts w:ascii="Garamond" w:hAnsi="Garamond"/>
                <w:sz w:val="21"/>
                <w:szCs w:val="21"/>
              </w:rPr>
              <w:t>informal sector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 workers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are m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ostly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in agriculture. On the other hand, labor costs make up about 42% of production costs</w:t>
            </w:r>
            <w:r w:rsidR="005637BC">
              <w:rPr>
                <w:rStyle w:val="FootnoteReference"/>
                <w:rFonts w:ascii="Garamond" w:hAnsi="Garamond"/>
                <w:sz w:val="21"/>
                <w:szCs w:val="21"/>
              </w:rPr>
              <w:footnoteReference w:customMarkFollows="1" w:id="12"/>
              <w:t>15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. In addition, </w:t>
            </w:r>
            <w:r w:rsidR="005637BC" w:rsidRPr="00D641D4">
              <w:rPr>
                <w:rFonts w:ascii="Garamond" w:hAnsi="Garamond"/>
                <w:sz w:val="21"/>
                <w:szCs w:val="21"/>
              </w:rPr>
              <w:t>overwhelming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 majority of </w:t>
            </w:r>
            <w:r w:rsidR="005637BC" w:rsidRPr="00D641D4">
              <w:rPr>
                <w:rFonts w:ascii="Garamond" w:hAnsi="Garamond"/>
                <w:sz w:val="21"/>
                <w:szCs w:val="21"/>
              </w:rPr>
              <w:t xml:space="preserve">markets in </w:t>
            </w:r>
            <w:r w:rsidR="005637BC">
              <w:rPr>
                <w:rFonts w:ascii="Garamond" w:hAnsi="Garamond"/>
                <w:sz w:val="21"/>
                <w:szCs w:val="21"/>
              </w:rPr>
              <w:t>Armenia</w:t>
            </w:r>
            <w:r w:rsidR="005637BC" w:rsidRPr="00D641D4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are </w:t>
            </w:r>
            <w:r w:rsidR="005637BC" w:rsidRPr="00D641D4">
              <w:rPr>
                <w:rFonts w:ascii="Garamond" w:hAnsi="Garamond"/>
                <w:sz w:val="21"/>
                <w:szCs w:val="21"/>
              </w:rPr>
              <w:t xml:space="preserve">characterized </w:t>
            </w:r>
            <w:r w:rsidR="005637BC">
              <w:rPr>
                <w:rFonts w:ascii="Garamond" w:hAnsi="Garamond"/>
                <w:sz w:val="21"/>
                <w:szCs w:val="21"/>
              </w:rPr>
              <w:t xml:space="preserve">as having features of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competing monopol</w:t>
            </w:r>
            <w:r w:rsidR="005637BC">
              <w:rPr>
                <w:rFonts w:ascii="Garamond" w:hAnsi="Garamond"/>
                <w:sz w:val="21"/>
                <w:szCs w:val="21"/>
              </w:rPr>
              <w:t>ies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, which implies that 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the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change in marginal costs 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amid </w:t>
            </w:r>
            <w:r w:rsidR="00F34A03" w:rsidRPr="00D641D4">
              <w:rPr>
                <w:rFonts w:ascii="Garamond" w:hAnsi="Garamond"/>
                <w:sz w:val="21"/>
                <w:szCs w:val="21"/>
              </w:rPr>
              <w:t>price rigidity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will </w:t>
            </w:r>
            <w:r w:rsidR="00F34A03">
              <w:rPr>
                <w:rFonts w:ascii="Garamond" w:hAnsi="Garamond"/>
                <w:sz w:val="21"/>
                <w:szCs w:val="21"/>
              </w:rPr>
              <w:t>only g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radual</w:t>
            </w:r>
            <w:r w:rsidR="00F34A03">
              <w:rPr>
                <w:rFonts w:ascii="Garamond" w:hAnsi="Garamond"/>
                <w:sz w:val="21"/>
                <w:szCs w:val="21"/>
              </w:rPr>
              <w:t>ly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affect the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inflation. Taking all this into account, the primary impact of the minimum wage increase on inflation is estimated to be 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rather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limited</w:t>
            </w:r>
            <w:r w:rsidR="00F34A03">
              <w:rPr>
                <w:rFonts w:ascii="Garamond" w:hAnsi="Garamond"/>
                <w:sz w:val="21"/>
                <w:szCs w:val="21"/>
              </w:rPr>
              <w:t>,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around 0</w:t>
            </w:r>
            <w:r w:rsidR="00D641D4" w:rsidRPr="00D641D4">
              <w:rPr>
                <w:rFonts w:ascii="Times New Roman" w:hAnsi="Times New Roman"/>
                <w:sz w:val="21"/>
                <w:szCs w:val="21"/>
              </w:rPr>
              <w:t>․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03 p</w:t>
            </w:r>
            <w:r w:rsidR="00F34A03">
              <w:rPr>
                <w:rFonts w:ascii="Garamond" w:hAnsi="Garamond"/>
                <w:sz w:val="21"/>
                <w:szCs w:val="21"/>
              </w:rPr>
              <w:t>p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, and the overall impact over the next year</w:t>
            </w:r>
            <w:r w:rsidR="00F34A03">
              <w:rPr>
                <w:rFonts w:ascii="Garamond" w:hAnsi="Garamond"/>
                <w:sz w:val="21"/>
                <w:szCs w:val="21"/>
              </w:rPr>
              <w:t>,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 xml:space="preserve"> a</w:t>
            </w:r>
            <w:r w:rsidR="00F34A03">
              <w:rPr>
                <w:rFonts w:ascii="Garamond" w:hAnsi="Garamond"/>
                <w:sz w:val="21"/>
                <w:szCs w:val="21"/>
              </w:rPr>
              <w:t xml:space="preserve">bout 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0</w:t>
            </w:r>
            <w:r w:rsidR="00D641D4" w:rsidRPr="00D641D4">
              <w:rPr>
                <w:rFonts w:ascii="Times New Roman" w:hAnsi="Times New Roman"/>
                <w:sz w:val="21"/>
                <w:szCs w:val="21"/>
              </w:rPr>
              <w:t>․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1 p</w:t>
            </w:r>
            <w:r w:rsidR="00F34A03">
              <w:rPr>
                <w:rFonts w:ascii="Garamond" w:hAnsi="Garamond"/>
                <w:sz w:val="21"/>
                <w:szCs w:val="21"/>
              </w:rPr>
              <w:t>p</w:t>
            </w:r>
            <w:r w:rsidR="00D641D4" w:rsidRPr="00D641D4">
              <w:rPr>
                <w:rFonts w:ascii="Garamond" w:hAnsi="Garamond"/>
                <w:sz w:val="21"/>
                <w:szCs w:val="21"/>
              </w:rPr>
              <w:t>.</w:t>
            </w:r>
            <w:r w:rsidR="00E07BC7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587F971F" w14:textId="77777777" w:rsidR="00E07BC7" w:rsidRPr="004D2636" w:rsidRDefault="00E07BC7" w:rsidP="00E86655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The assumption underlying 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the calculations is </w:t>
            </w:r>
            <w:r>
              <w:rPr>
                <w:rFonts w:ascii="Garamond" w:hAnsi="Garamond"/>
                <w:sz w:val="21"/>
                <w:szCs w:val="21"/>
              </w:rPr>
              <w:t xml:space="preserve">that a 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change in the minimum wage does not </w:t>
            </w:r>
            <w:r>
              <w:rPr>
                <w:rFonts w:ascii="Garamond" w:hAnsi="Garamond"/>
                <w:sz w:val="21"/>
                <w:szCs w:val="21"/>
              </w:rPr>
              <w:t xml:space="preserve">lead concurrently to 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a </w:t>
            </w:r>
            <w:r>
              <w:rPr>
                <w:rFonts w:ascii="Garamond" w:hAnsi="Garamond"/>
                <w:sz w:val="21"/>
                <w:szCs w:val="21"/>
              </w:rPr>
              <w:t>notable c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hange in productivity. </w:t>
            </w:r>
            <w:r>
              <w:rPr>
                <w:rFonts w:ascii="Garamond" w:hAnsi="Garamond"/>
                <w:sz w:val="21"/>
                <w:szCs w:val="21"/>
              </w:rPr>
              <w:t>T</w:t>
            </w:r>
            <w:r w:rsidRPr="00E07BC7">
              <w:rPr>
                <w:rFonts w:ascii="Garamond" w:hAnsi="Garamond"/>
                <w:sz w:val="21"/>
                <w:szCs w:val="21"/>
              </w:rPr>
              <w:t>his assumption</w:t>
            </w:r>
            <w:r>
              <w:rPr>
                <w:rFonts w:ascii="Garamond" w:hAnsi="Garamond"/>
                <w:sz w:val="21"/>
                <w:szCs w:val="21"/>
              </w:rPr>
              <w:t>,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>i</w:t>
            </w:r>
            <w:r w:rsidRPr="00E07BC7">
              <w:rPr>
                <w:rFonts w:ascii="Garamond" w:hAnsi="Garamond"/>
                <w:sz w:val="21"/>
                <w:szCs w:val="21"/>
              </w:rPr>
              <w:t>t should be noted</w:t>
            </w:r>
            <w:r>
              <w:rPr>
                <w:rFonts w:ascii="Garamond" w:hAnsi="Garamond"/>
                <w:sz w:val="21"/>
                <w:szCs w:val="21"/>
              </w:rPr>
              <w:t>,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 is quite rigorous, and </w:t>
            </w:r>
            <w:r>
              <w:rPr>
                <w:rFonts w:ascii="Garamond" w:hAnsi="Garamond"/>
                <w:sz w:val="21"/>
                <w:szCs w:val="21"/>
              </w:rPr>
              <w:t xml:space="preserve">a 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common position on the subject in </w:t>
            </w:r>
            <w:r>
              <w:rPr>
                <w:rFonts w:ascii="Garamond" w:hAnsi="Garamond"/>
                <w:sz w:val="21"/>
                <w:szCs w:val="21"/>
              </w:rPr>
              <w:t xml:space="preserve">the </w:t>
            </w:r>
            <w:r w:rsidRPr="00E07BC7">
              <w:rPr>
                <w:rFonts w:ascii="Garamond" w:hAnsi="Garamond"/>
                <w:sz w:val="21"/>
                <w:szCs w:val="21"/>
              </w:rPr>
              <w:t>world literature</w:t>
            </w:r>
            <w:r>
              <w:rPr>
                <w:rFonts w:ascii="Garamond" w:hAnsi="Garamond"/>
                <w:sz w:val="21"/>
                <w:szCs w:val="21"/>
              </w:rPr>
              <w:t xml:space="preserve"> is lacking</w:t>
            </w:r>
            <w:r w:rsidRPr="00E07BC7">
              <w:rPr>
                <w:rFonts w:ascii="Garamond" w:hAnsi="Garamond"/>
                <w:sz w:val="21"/>
                <w:szCs w:val="21"/>
              </w:rPr>
              <w:t>. However, the underlying logic is that the rise in wages is usually a consequence</w:t>
            </w:r>
            <w:r>
              <w:rPr>
                <w:rFonts w:ascii="Garamond" w:hAnsi="Garamond"/>
                <w:sz w:val="21"/>
                <w:szCs w:val="21"/>
              </w:rPr>
              <w:t>,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 not a cause,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of </w:t>
            </w:r>
            <w:r>
              <w:rPr>
                <w:rFonts w:ascii="Garamond" w:hAnsi="Garamond"/>
                <w:sz w:val="21"/>
                <w:szCs w:val="21"/>
              </w:rPr>
              <w:t>increased</w:t>
            </w:r>
            <w:r w:rsidRPr="00E07BC7">
              <w:rPr>
                <w:rFonts w:ascii="Garamond" w:hAnsi="Garamond"/>
                <w:sz w:val="21"/>
                <w:szCs w:val="21"/>
              </w:rPr>
              <w:t xml:space="preserve"> productivity, </w:t>
            </w:r>
            <w:r>
              <w:rPr>
                <w:rFonts w:ascii="Garamond" w:hAnsi="Garamond"/>
                <w:sz w:val="21"/>
                <w:szCs w:val="21"/>
              </w:rPr>
              <w:t xml:space="preserve">so </w:t>
            </w:r>
            <w:r w:rsidRPr="00E07BC7">
              <w:rPr>
                <w:rFonts w:ascii="Garamond" w:hAnsi="Garamond"/>
                <w:sz w:val="21"/>
                <w:szCs w:val="21"/>
              </w:rPr>
              <w:t>a substantial increase in wage-driven productivity in the economy is unlikely</w:t>
            </w:r>
            <w:r w:rsidR="00E86655">
              <w:rPr>
                <w:rFonts w:ascii="Garamond" w:hAnsi="Garamond"/>
                <w:sz w:val="21"/>
                <w:szCs w:val="21"/>
              </w:rPr>
              <w:t xml:space="preserve"> to be considered</w:t>
            </w:r>
            <w:r w:rsidRPr="00E07BC7">
              <w:rPr>
                <w:rFonts w:ascii="Garamond" w:hAnsi="Garamond"/>
                <w:sz w:val="21"/>
                <w:szCs w:val="21"/>
              </w:rPr>
              <w:t>.</w:t>
            </w:r>
          </w:p>
        </w:tc>
      </w:tr>
    </w:tbl>
    <w:p w14:paraId="64DF5BB9" w14:textId="77777777" w:rsidR="00037AE4" w:rsidRDefault="00037AE4" w:rsidP="00037AE4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DEC" w14:paraId="454C6333" w14:textId="77777777" w:rsidTr="00AB2DEC">
        <w:tc>
          <w:tcPr>
            <w:tcW w:w="9576" w:type="dxa"/>
          </w:tcPr>
          <w:p w14:paraId="67CEACE9" w14:textId="77777777" w:rsidR="00AB2DEC" w:rsidRPr="004D2636" w:rsidRDefault="00AB2DEC" w:rsidP="00AB2DEC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Box 3</w:t>
            </w:r>
            <w:r w:rsidRPr="004D2636">
              <w:rPr>
                <w:rFonts w:ascii="Garamond" w:hAnsi="Garamond"/>
                <w:b/>
                <w:sz w:val="21"/>
                <w:szCs w:val="21"/>
              </w:rPr>
              <w:t>:</w:t>
            </w:r>
          </w:p>
          <w:p w14:paraId="7ECC4547" w14:textId="77777777" w:rsidR="00AB2DEC" w:rsidRPr="004D2636" w:rsidRDefault="00AB2DEC" w:rsidP="00AB2DEC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b/>
                <w:sz w:val="21"/>
                <w:szCs w:val="21"/>
              </w:rPr>
            </w:pPr>
            <w:r w:rsidRPr="00B5320E">
              <w:rPr>
                <w:rFonts w:ascii="Garamond" w:hAnsi="Garamond"/>
                <w:b/>
                <w:sz w:val="21"/>
                <w:szCs w:val="21"/>
              </w:rPr>
              <w:t xml:space="preserve">The </w:t>
            </w:r>
            <w:r>
              <w:rPr>
                <w:rFonts w:ascii="Garamond" w:hAnsi="Garamond"/>
                <w:b/>
                <w:sz w:val="21"/>
                <w:szCs w:val="21"/>
              </w:rPr>
              <w:t>impact of change in Tax Code on i</w:t>
            </w:r>
            <w:r w:rsidRPr="00B5320E">
              <w:rPr>
                <w:rFonts w:ascii="Garamond" w:hAnsi="Garamond"/>
                <w:b/>
                <w:sz w:val="21"/>
                <w:szCs w:val="21"/>
              </w:rPr>
              <w:t>nflation</w:t>
            </w:r>
          </w:p>
          <w:p w14:paraId="7D8A9E70" w14:textId="77777777" w:rsidR="00AB2DEC" w:rsidRPr="00AB2DEC" w:rsidRDefault="00E66EBC" w:rsidP="00AB2DEC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The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changes </w:t>
            </w:r>
            <w:r>
              <w:rPr>
                <w:rFonts w:ascii="Garamond" w:hAnsi="Garamond"/>
                <w:sz w:val="22"/>
                <w:szCs w:val="22"/>
              </w:rPr>
              <w:t xml:space="preserve">to </w:t>
            </w:r>
            <w:r w:rsidRPr="00AB2DEC">
              <w:rPr>
                <w:rFonts w:ascii="Garamond" w:hAnsi="Garamond"/>
                <w:sz w:val="22"/>
                <w:szCs w:val="22"/>
              </w:rPr>
              <w:t>income tax and profit tax</w:t>
            </w:r>
            <w:r>
              <w:rPr>
                <w:rFonts w:ascii="Garamond" w:hAnsi="Garamond"/>
                <w:sz w:val="22"/>
                <w:szCs w:val="22"/>
              </w:rPr>
              <w:t>,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adopted on June 25, 2019, will </w:t>
            </w:r>
            <w:r>
              <w:rPr>
                <w:rFonts w:ascii="Garamond" w:hAnsi="Garamond"/>
                <w:sz w:val="22"/>
                <w:szCs w:val="22"/>
              </w:rPr>
              <w:t>take effect starting 2020. R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educing the </w:t>
            </w:r>
            <w:r>
              <w:rPr>
                <w:rFonts w:ascii="Garamond" w:hAnsi="Garamond"/>
                <w:sz w:val="22"/>
                <w:szCs w:val="22"/>
              </w:rPr>
              <w:t xml:space="preserve">businesses’ tax </w:t>
            </w:r>
            <w:r w:rsidRPr="00AB2DEC">
              <w:rPr>
                <w:rFonts w:ascii="Garamond" w:hAnsi="Garamond"/>
                <w:sz w:val="22"/>
                <w:szCs w:val="22"/>
              </w:rPr>
              <w:t>burden on direct tax</w:t>
            </w:r>
            <w:r>
              <w:rPr>
                <w:rFonts w:ascii="Garamond" w:hAnsi="Garamond"/>
                <w:sz w:val="22"/>
                <w:szCs w:val="22"/>
              </w:rPr>
              <w:t>es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 and 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having it somehow </w:t>
            </w:r>
            <w:r w:rsidRPr="00AB2DEC">
              <w:rPr>
                <w:rFonts w:ascii="Garamond" w:hAnsi="Garamond"/>
                <w:sz w:val="22"/>
                <w:szCs w:val="22"/>
              </w:rPr>
              <w:t>shift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ed on </w:t>
            </w:r>
            <w:r w:rsidRPr="00AB2DEC">
              <w:rPr>
                <w:rFonts w:ascii="Garamond" w:hAnsi="Garamond"/>
                <w:sz w:val="22"/>
                <w:szCs w:val="22"/>
              </w:rPr>
              <w:t>to indirect taxes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 i</w:t>
            </w:r>
            <w:r>
              <w:rPr>
                <w:rFonts w:ascii="Garamond" w:hAnsi="Garamond"/>
                <w:sz w:val="22"/>
                <w:szCs w:val="22"/>
              </w:rPr>
              <w:t xml:space="preserve">s 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what </w:t>
            </w:r>
            <w:r>
              <w:rPr>
                <w:rFonts w:ascii="Garamond" w:hAnsi="Garamond"/>
                <w:sz w:val="22"/>
                <w:szCs w:val="22"/>
              </w:rPr>
              <w:t>the G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overnment</w:t>
            </w:r>
            <w:r>
              <w:rPr>
                <w:rFonts w:ascii="Garamond" w:hAnsi="Garamond"/>
                <w:sz w:val="22"/>
                <w:szCs w:val="22"/>
              </w:rPr>
              <w:t xml:space="preserve"> intend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ed </w:t>
            </w:r>
            <w:r>
              <w:rPr>
                <w:rFonts w:ascii="Garamond" w:hAnsi="Garamond"/>
                <w:sz w:val="22"/>
                <w:szCs w:val="22"/>
              </w:rPr>
              <w:t>when pursu</w:t>
            </w:r>
            <w:r w:rsidR="00700C22">
              <w:rPr>
                <w:rFonts w:ascii="Garamond" w:hAnsi="Garamond"/>
                <w:sz w:val="22"/>
                <w:szCs w:val="22"/>
              </w:rPr>
              <w:t>ing such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changes. </w:t>
            </w:r>
            <w:r w:rsidR="00700C22">
              <w:rPr>
                <w:rFonts w:ascii="Garamond" w:hAnsi="Garamond"/>
                <w:sz w:val="22"/>
                <w:szCs w:val="22"/>
              </w:rPr>
              <w:t>T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he changes 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made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are aimed 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to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simplify</w:t>
            </w:r>
            <w:r w:rsidR="00700C2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the overall tax</w:t>
            </w:r>
            <w:r w:rsidR="00700C22">
              <w:rPr>
                <w:rFonts w:ascii="Garamond" w:hAnsi="Garamond"/>
                <w:sz w:val="22"/>
                <w:szCs w:val="22"/>
              </w:rPr>
              <w:t>ing and to alter certain t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ax rates. </w:t>
            </w:r>
            <w:r w:rsidR="00B90EC3">
              <w:rPr>
                <w:rFonts w:ascii="Garamond" w:hAnsi="Garamond"/>
                <w:sz w:val="22"/>
                <w:szCs w:val="22"/>
              </w:rPr>
              <w:t>Under the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change</w:t>
            </w:r>
            <w:r w:rsidR="00B90EC3">
              <w:rPr>
                <w:rFonts w:ascii="Garamond" w:hAnsi="Garamond"/>
                <w:sz w:val="22"/>
                <w:szCs w:val="22"/>
              </w:rPr>
              <w:t xml:space="preserve">s,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 single tax rate </w:t>
            </w:r>
            <w:r w:rsidR="00B90EC3">
              <w:rPr>
                <w:rFonts w:ascii="Garamond" w:hAnsi="Garamond"/>
                <w:sz w:val="22"/>
                <w:szCs w:val="22"/>
              </w:rPr>
              <w:t xml:space="preserve">is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set for income tax, and the </w:t>
            </w:r>
            <w:r w:rsidR="00B90EC3">
              <w:rPr>
                <w:rFonts w:ascii="Garamond" w:hAnsi="Garamond"/>
                <w:sz w:val="22"/>
                <w:szCs w:val="22"/>
              </w:rPr>
              <w:t xml:space="preserve">profit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lastRenderedPageBreak/>
              <w:t xml:space="preserve">tax rate </w:t>
            </w:r>
            <w:r w:rsidR="00B90EC3">
              <w:rPr>
                <w:rFonts w:ascii="Garamond" w:hAnsi="Garamond"/>
                <w:sz w:val="22"/>
                <w:szCs w:val="22"/>
              </w:rPr>
              <w:t xml:space="preserve">is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reduced by two percentage points. These changes will have a short-term and long-term impact on the economy. In the short run, the </w:t>
            </w:r>
            <w:r w:rsidR="00870735">
              <w:rPr>
                <w:rFonts w:ascii="Garamond" w:hAnsi="Garamond"/>
                <w:sz w:val="22"/>
                <w:szCs w:val="22"/>
              </w:rPr>
              <w:t xml:space="preserve">effects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will </w:t>
            </w:r>
            <w:r w:rsidR="00870735">
              <w:rPr>
                <w:rFonts w:ascii="Garamond" w:hAnsi="Garamond"/>
                <w:sz w:val="22"/>
                <w:szCs w:val="22"/>
              </w:rPr>
              <w:t>be observable m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ainly </w:t>
            </w:r>
            <w:r w:rsidR="00870735">
              <w:rPr>
                <w:rFonts w:ascii="Garamond" w:hAnsi="Garamond"/>
                <w:sz w:val="22"/>
                <w:szCs w:val="22"/>
              </w:rPr>
              <w:t xml:space="preserve">through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demand, which </w:t>
            </w:r>
            <w:r w:rsidR="00870735">
              <w:rPr>
                <w:rFonts w:ascii="Garamond" w:hAnsi="Garamond"/>
                <w:sz w:val="22"/>
                <w:szCs w:val="22"/>
              </w:rPr>
              <w:t>by and large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70735">
              <w:rPr>
                <w:rFonts w:ascii="Garamond" w:hAnsi="Garamond"/>
                <w:sz w:val="22"/>
                <w:szCs w:val="22"/>
              </w:rPr>
              <w:t xml:space="preserve">is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included in </w:t>
            </w:r>
            <w:r w:rsidR="00870735">
              <w:rPr>
                <w:rFonts w:ascii="Garamond" w:hAnsi="Garamond"/>
                <w:sz w:val="22"/>
                <w:szCs w:val="22"/>
              </w:rPr>
              <w:t>the next year’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s budget indic</w:t>
            </w:r>
            <w:r w:rsidR="00870735">
              <w:rPr>
                <w:rFonts w:ascii="Garamond" w:hAnsi="Garamond"/>
                <w:sz w:val="22"/>
                <w:szCs w:val="22"/>
              </w:rPr>
              <w:t>ators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and</w:t>
            </w:r>
            <w:r w:rsidR="00870735">
              <w:rPr>
                <w:rFonts w:ascii="Garamond" w:hAnsi="Garamond"/>
                <w:sz w:val="22"/>
                <w:szCs w:val="22"/>
              </w:rPr>
              <w:t>,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therefore</w:t>
            </w:r>
            <w:r w:rsidR="00870735">
              <w:rPr>
                <w:rFonts w:ascii="Garamond" w:hAnsi="Garamond"/>
                <w:sz w:val="22"/>
                <w:szCs w:val="22"/>
              </w:rPr>
              <w:t>,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70735">
              <w:rPr>
                <w:rFonts w:ascii="Garamond" w:hAnsi="Garamond"/>
                <w:sz w:val="22"/>
                <w:szCs w:val="22"/>
              </w:rPr>
              <w:t>considered i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n the monetary </w:t>
            </w:r>
            <w:r w:rsidR="00870735">
              <w:rPr>
                <w:rFonts w:ascii="Garamond" w:hAnsi="Garamond"/>
                <w:sz w:val="22"/>
                <w:szCs w:val="22"/>
              </w:rPr>
              <w:t xml:space="preserve">policy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program</w:t>
            </w:r>
            <w:r w:rsidR="00870735">
              <w:rPr>
                <w:rStyle w:val="FootnoteReference"/>
                <w:rFonts w:ascii="Garamond" w:hAnsi="Garamond"/>
                <w:sz w:val="22"/>
                <w:szCs w:val="22"/>
              </w:rPr>
              <w:footnoteReference w:customMarkFollows="1" w:id="13"/>
              <w:t>16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. In the long run, the effects of tax change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 will be seen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mostly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from a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supply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side,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as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the structure of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supply changes in the capital and labor markets. These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effects have been quantified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using a structural model. In particular, as a result of reduc</w:t>
            </w:r>
            <w:r w:rsidR="00182585">
              <w:rPr>
                <w:rFonts w:ascii="Garamond" w:hAnsi="Garamond"/>
                <w:sz w:val="22"/>
                <w:szCs w:val="22"/>
              </w:rPr>
              <w:t>ed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income tax and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profit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tax rates, the net monetary impact on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potential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GDP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in the long run (10 years and over)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has been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estimated </w:t>
            </w:r>
            <w:r w:rsidR="00182585">
              <w:rPr>
                <w:rFonts w:ascii="Garamond" w:hAnsi="Garamond"/>
                <w:sz w:val="22"/>
                <w:szCs w:val="22"/>
              </w:rPr>
              <w:t xml:space="preserve">to be 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about 0.3 p</w:t>
            </w:r>
            <w:r w:rsidR="00182585">
              <w:rPr>
                <w:rFonts w:ascii="Garamond" w:hAnsi="Garamond"/>
                <w:sz w:val="22"/>
                <w:szCs w:val="22"/>
              </w:rPr>
              <w:t>p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 positive.</w:t>
            </w:r>
          </w:p>
          <w:p w14:paraId="49ED3363" w14:textId="77777777" w:rsidR="00AB2DEC" w:rsidRPr="00AB2DEC" w:rsidRDefault="00182585" w:rsidP="00AB2DEC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 xml:space="preserve">he estimated long-term impacts will only </w:t>
            </w:r>
            <w:r w:rsidR="00BE40AE">
              <w:rPr>
                <w:rFonts w:ascii="Garamond" w:hAnsi="Garamond"/>
                <w:sz w:val="22"/>
                <w:szCs w:val="22"/>
              </w:rPr>
              <w:t>materialize gradually</w:t>
            </w:r>
            <w:r w:rsidR="00AB2DEC" w:rsidRPr="00AB2DEC">
              <w:rPr>
                <w:rFonts w:ascii="Garamond" w:hAnsi="Garamond"/>
                <w:sz w:val="22"/>
                <w:szCs w:val="22"/>
              </w:rPr>
              <w:t>.</w:t>
            </w:r>
          </w:p>
          <w:p w14:paraId="2BD92AD1" w14:textId="77777777" w:rsidR="00AB2DEC" w:rsidRDefault="00AB2DEC" w:rsidP="00BE40AE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AB2DEC">
              <w:rPr>
                <w:rFonts w:ascii="Garamond" w:hAnsi="Garamond"/>
                <w:sz w:val="22"/>
                <w:szCs w:val="22"/>
              </w:rPr>
              <w:t xml:space="preserve">The </w:t>
            </w:r>
            <w:r w:rsidR="00BE40AE">
              <w:rPr>
                <w:rFonts w:ascii="Garamond" w:hAnsi="Garamond"/>
                <w:sz w:val="22"/>
                <w:szCs w:val="22"/>
              </w:rPr>
              <w:t xml:space="preserve">impact of 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positive </w:t>
            </w:r>
            <w:r w:rsidR="00BE40AE">
              <w:rPr>
                <w:rFonts w:ascii="Garamond" w:hAnsi="Garamond"/>
                <w:sz w:val="22"/>
                <w:szCs w:val="22"/>
              </w:rPr>
              <w:t xml:space="preserve">change in potential 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GDP on </w:t>
            </w:r>
            <w:r w:rsidR="00BE40AE">
              <w:rPr>
                <w:rFonts w:ascii="Garamond" w:hAnsi="Garamond"/>
                <w:sz w:val="22"/>
                <w:szCs w:val="22"/>
              </w:rPr>
              <w:t>t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he </w:t>
            </w:r>
            <w:r w:rsidR="00BE40AE" w:rsidRPr="00AB2DEC">
              <w:rPr>
                <w:rFonts w:ascii="Garamond" w:hAnsi="Garamond"/>
                <w:sz w:val="22"/>
                <w:szCs w:val="22"/>
              </w:rPr>
              <w:t xml:space="preserve">GDP gap </w:t>
            </w:r>
            <w:r w:rsidR="00BE40AE">
              <w:rPr>
                <w:rFonts w:ascii="Garamond" w:hAnsi="Garamond"/>
                <w:sz w:val="22"/>
                <w:szCs w:val="22"/>
              </w:rPr>
              <w:t>estimates</w:t>
            </w:r>
            <w:r w:rsidR="003734B3">
              <w:rPr>
                <w:rFonts w:ascii="Garamond" w:hAnsi="Garamond"/>
                <w:sz w:val="22"/>
                <w:szCs w:val="22"/>
              </w:rPr>
              <w:t>,</w:t>
            </w:r>
            <w:r w:rsidR="00BE40AE">
              <w:rPr>
                <w:rFonts w:ascii="Garamond" w:hAnsi="Garamond"/>
                <w:sz w:val="22"/>
                <w:szCs w:val="22"/>
              </w:rPr>
              <w:t xml:space="preserve"> hence </w:t>
            </w:r>
            <w:r w:rsidR="00BE40AE" w:rsidRPr="00AB2DEC">
              <w:rPr>
                <w:rFonts w:ascii="Garamond" w:hAnsi="Garamond"/>
                <w:sz w:val="22"/>
                <w:szCs w:val="22"/>
              </w:rPr>
              <w:t>inflation</w:t>
            </w:r>
            <w:r w:rsidR="003734B3">
              <w:rPr>
                <w:rFonts w:ascii="Garamond" w:hAnsi="Garamond"/>
                <w:sz w:val="22"/>
                <w:szCs w:val="22"/>
              </w:rPr>
              <w:t>,</w:t>
            </w:r>
            <w:r w:rsidR="00BE40AE">
              <w:rPr>
                <w:rFonts w:ascii="Garamond" w:hAnsi="Garamond"/>
                <w:sz w:val="22"/>
                <w:szCs w:val="22"/>
              </w:rPr>
              <w:t xml:space="preserve"> in a </w:t>
            </w:r>
            <w:r w:rsidR="00BE40AE" w:rsidRPr="00AB2DEC">
              <w:rPr>
                <w:rFonts w:ascii="Garamond" w:hAnsi="Garamond"/>
                <w:sz w:val="22"/>
                <w:szCs w:val="22"/>
              </w:rPr>
              <w:t>three-year monetary policy</w:t>
            </w:r>
            <w:r w:rsidR="00BE40AE">
              <w:rPr>
                <w:rFonts w:ascii="Garamond" w:hAnsi="Garamond"/>
                <w:sz w:val="22"/>
                <w:szCs w:val="22"/>
              </w:rPr>
              <w:t xml:space="preserve"> forecast </w:t>
            </w:r>
            <w:r w:rsidR="00BE40AE" w:rsidRPr="00AB2DEC">
              <w:rPr>
                <w:rFonts w:ascii="Garamond" w:hAnsi="Garamond"/>
                <w:sz w:val="22"/>
                <w:szCs w:val="22"/>
              </w:rPr>
              <w:t>horizon</w:t>
            </w:r>
            <w:r w:rsidRPr="00AB2DEC">
              <w:rPr>
                <w:rFonts w:ascii="Garamond" w:hAnsi="Garamond"/>
                <w:sz w:val="22"/>
                <w:szCs w:val="22"/>
              </w:rPr>
              <w:t xml:space="preserve"> will not be significant.</w:t>
            </w:r>
          </w:p>
        </w:tc>
      </w:tr>
    </w:tbl>
    <w:p w14:paraId="1E867C1D" w14:textId="77777777" w:rsidR="00AB2DEC" w:rsidRDefault="00AB2DEC" w:rsidP="00037AE4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28541D2F" w14:textId="77777777" w:rsidR="006535D4" w:rsidRPr="006535D4" w:rsidRDefault="006535D4" w:rsidP="00037AE4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6535D4">
        <w:rPr>
          <w:rFonts w:ascii="Garamond" w:hAnsi="Garamond"/>
          <w:b/>
          <w:sz w:val="22"/>
          <w:szCs w:val="22"/>
        </w:rPr>
        <w:t>Box 4:</w:t>
      </w:r>
    </w:p>
    <w:p w14:paraId="3DF053D7" w14:textId="77777777" w:rsidR="006535D4" w:rsidRPr="00EE5F0F" w:rsidRDefault="006535D4" w:rsidP="00037AE4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47CD28AF" w14:textId="77777777" w:rsidR="00933B63" w:rsidRPr="00EE5F0F" w:rsidRDefault="00933B63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 ACTUAL DEVELOPMENTS IN Q</w:t>
      </w:r>
      <w:r w:rsidR="006535D4">
        <w:rPr>
          <w:rFonts w:ascii="Garamond" w:hAnsi="Garamond"/>
          <w:b/>
          <w:color w:val="0070C0"/>
          <w:sz w:val="22"/>
          <w:szCs w:val="22"/>
        </w:rPr>
        <w:t>3</w:t>
      </w:r>
      <w:r w:rsidRPr="00EE5F0F">
        <w:rPr>
          <w:rFonts w:ascii="Garamond" w:hAnsi="Garamond"/>
          <w:b/>
          <w:color w:val="0070C0"/>
          <w:sz w:val="22"/>
          <w:szCs w:val="22"/>
        </w:rPr>
        <w:t>, 201</w:t>
      </w:r>
      <w:r w:rsidR="00542F22">
        <w:rPr>
          <w:rFonts w:ascii="Garamond" w:hAnsi="Garamond"/>
          <w:b/>
          <w:color w:val="0070C0"/>
          <w:sz w:val="22"/>
          <w:szCs w:val="22"/>
        </w:rPr>
        <w:t>9</w:t>
      </w:r>
    </w:p>
    <w:p w14:paraId="249EA9A7" w14:textId="77777777" w:rsidR="00933B63" w:rsidRPr="00EE5F0F" w:rsidRDefault="00933B63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3.1. Inflation</w:t>
      </w:r>
    </w:p>
    <w:p w14:paraId="75DF2A9B" w14:textId="77777777" w:rsidR="00933B63" w:rsidRPr="00EE5F0F" w:rsidRDefault="00933B63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3.1.1. Fulfilment of the inflation target</w:t>
      </w:r>
    </w:p>
    <w:p w14:paraId="0D726C54" w14:textId="77777777" w:rsidR="006F2DA8" w:rsidRPr="00924A9E" w:rsidRDefault="00FC5E95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</w:t>
      </w:r>
      <w:r w:rsidR="007D4CE5">
        <w:rPr>
          <w:rFonts w:ascii="Garamond" w:hAnsi="Garamond"/>
          <w:sz w:val="22"/>
          <w:szCs w:val="22"/>
        </w:rPr>
        <w:t xml:space="preserve">Q4 2018 </w:t>
      </w:r>
      <w:r w:rsidR="00CA3CF3">
        <w:rPr>
          <w:rFonts w:ascii="Garamond" w:hAnsi="Garamond"/>
          <w:sz w:val="22"/>
          <w:szCs w:val="22"/>
        </w:rPr>
        <w:t xml:space="preserve">monetary policy program </w:t>
      </w:r>
      <w:r w:rsidR="00D238CB">
        <w:rPr>
          <w:rFonts w:ascii="Garamond" w:hAnsi="Garamond"/>
          <w:sz w:val="22"/>
          <w:szCs w:val="22"/>
        </w:rPr>
        <w:t xml:space="preserve">had </w:t>
      </w:r>
      <w:r w:rsidR="00661009">
        <w:rPr>
          <w:rFonts w:ascii="Garamond" w:hAnsi="Garamond"/>
          <w:sz w:val="22"/>
          <w:szCs w:val="22"/>
        </w:rPr>
        <w:t xml:space="preserve">predicted </w:t>
      </w:r>
      <w:r w:rsidR="00CA3CF3">
        <w:rPr>
          <w:rFonts w:ascii="Garamond" w:hAnsi="Garamond"/>
          <w:sz w:val="22"/>
          <w:szCs w:val="22"/>
        </w:rPr>
        <w:t xml:space="preserve">a stable behavior for </w:t>
      </w:r>
      <w:r w:rsidRPr="004A1A32">
        <w:rPr>
          <w:rFonts w:ascii="Garamond" w:hAnsi="Garamond"/>
          <w:sz w:val="22"/>
          <w:szCs w:val="22"/>
        </w:rPr>
        <w:t xml:space="preserve">inflation </w:t>
      </w:r>
      <w:r w:rsidR="00CA3CF3">
        <w:rPr>
          <w:rFonts w:ascii="Garamond" w:hAnsi="Garamond"/>
          <w:sz w:val="22"/>
          <w:szCs w:val="22"/>
        </w:rPr>
        <w:t>in</w:t>
      </w:r>
      <w:r w:rsidR="007D4CE5">
        <w:rPr>
          <w:rFonts w:ascii="Garamond" w:hAnsi="Garamond"/>
          <w:sz w:val="22"/>
          <w:szCs w:val="22"/>
        </w:rPr>
        <w:t xml:space="preserve"> </w:t>
      </w:r>
      <w:r w:rsidR="00661009">
        <w:rPr>
          <w:rFonts w:ascii="Garamond" w:hAnsi="Garamond"/>
          <w:sz w:val="22"/>
          <w:szCs w:val="22"/>
        </w:rPr>
        <w:t>the short run,</w:t>
      </w:r>
      <w:r w:rsidR="007D4CE5">
        <w:rPr>
          <w:rFonts w:ascii="Garamond" w:hAnsi="Garamond"/>
          <w:sz w:val="22"/>
          <w:szCs w:val="22"/>
        </w:rPr>
        <w:t xml:space="preserve"> </w:t>
      </w:r>
      <w:r w:rsidR="00661009">
        <w:rPr>
          <w:rFonts w:ascii="Garamond" w:hAnsi="Garamond"/>
          <w:sz w:val="22"/>
          <w:szCs w:val="22"/>
        </w:rPr>
        <w:t xml:space="preserve">up </w:t>
      </w:r>
      <w:r w:rsidR="007D4CE5">
        <w:rPr>
          <w:rFonts w:ascii="Garamond" w:hAnsi="Garamond"/>
          <w:sz w:val="22"/>
          <w:szCs w:val="22"/>
        </w:rPr>
        <w:t>until Q4 2019</w:t>
      </w:r>
      <w:r w:rsidR="00CA3CF3">
        <w:rPr>
          <w:rFonts w:ascii="Garamond" w:hAnsi="Garamond"/>
          <w:sz w:val="22"/>
          <w:szCs w:val="22"/>
        </w:rPr>
        <w:t xml:space="preserve">, supported by expected </w:t>
      </w:r>
      <w:r w:rsidR="00CA3CF3" w:rsidRPr="00CA3CF3">
        <w:rPr>
          <w:rFonts w:ascii="Garamond" w:hAnsi="Garamond"/>
          <w:sz w:val="22"/>
          <w:szCs w:val="22"/>
        </w:rPr>
        <w:t xml:space="preserve">macroeconomic developments and </w:t>
      </w:r>
      <w:r w:rsidR="00CA3CF3">
        <w:rPr>
          <w:rFonts w:ascii="Garamond" w:hAnsi="Garamond"/>
          <w:sz w:val="22"/>
          <w:szCs w:val="22"/>
        </w:rPr>
        <w:t xml:space="preserve">further </w:t>
      </w:r>
      <w:r w:rsidR="00661009">
        <w:rPr>
          <w:rFonts w:ascii="Garamond" w:hAnsi="Garamond"/>
          <w:sz w:val="22"/>
          <w:szCs w:val="22"/>
        </w:rPr>
        <w:t xml:space="preserve">a </w:t>
      </w:r>
      <w:r w:rsidR="00CA3CF3" w:rsidRPr="00CA3CF3">
        <w:rPr>
          <w:rFonts w:ascii="Garamond" w:hAnsi="Garamond"/>
          <w:sz w:val="22"/>
          <w:szCs w:val="22"/>
        </w:rPr>
        <w:t>stimulati</w:t>
      </w:r>
      <w:r w:rsidR="00CA3CF3">
        <w:rPr>
          <w:rFonts w:ascii="Garamond" w:hAnsi="Garamond"/>
          <w:sz w:val="22"/>
          <w:szCs w:val="22"/>
        </w:rPr>
        <w:t xml:space="preserve">ve </w:t>
      </w:r>
      <w:r w:rsidR="00CA3CF3" w:rsidRPr="00CA3CF3">
        <w:rPr>
          <w:rFonts w:ascii="Garamond" w:hAnsi="Garamond"/>
          <w:sz w:val="22"/>
          <w:szCs w:val="22"/>
        </w:rPr>
        <w:t>monetary policy</w:t>
      </w:r>
      <w:r w:rsidR="00661009">
        <w:rPr>
          <w:rFonts w:ascii="Garamond" w:hAnsi="Garamond"/>
          <w:sz w:val="22"/>
          <w:szCs w:val="22"/>
        </w:rPr>
        <w:t>. With i</w:t>
      </w:r>
      <w:r w:rsidR="00661009" w:rsidRPr="00661009">
        <w:rPr>
          <w:rFonts w:ascii="Garamond" w:hAnsi="Garamond"/>
          <w:sz w:val="22"/>
          <w:szCs w:val="22"/>
        </w:rPr>
        <w:t>nflation</w:t>
      </w:r>
      <w:r w:rsidR="00661009">
        <w:rPr>
          <w:rFonts w:ascii="Garamond" w:hAnsi="Garamond"/>
          <w:sz w:val="22"/>
          <w:szCs w:val="22"/>
        </w:rPr>
        <w:t xml:space="preserve"> outlined to persist close to the </w:t>
      </w:r>
      <w:r w:rsidR="00661009" w:rsidRPr="00661009">
        <w:rPr>
          <w:rFonts w:ascii="Garamond" w:hAnsi="Garamond"/>
          <w:sz w:val="22"/>
          <w:szCs w:val="22"/>
        </w:rPr>
        <w:t xml:space="preserve">lower </w:t>
      </w:r>
      <w:r w:rsidR="00661009">
        <w:rPr>
          <w:rFonts w:ascii="Garamond" w:hAnsi="Garamond"/>
          <w:sz w:val="22"/>
          <w:szCs w:val="22"/>
        </w:rPr>
        <w:t xml:space="preserve">part of </w:t>
      </w:r>
      <w:r w:rsidR="00661009" w:rsidRPr="00661009">
        <w:rPr>
          <w:rFonts w:ascii="Garamond" w:hAnsi="Garamond"/>
          <w:sz w:val="22"/>
          <w:szCs w:val="22"/>
        </w:rPr>
        <w:t xml:space="preserve">the </w:t>
      </w:r>
      <w:r w:rsidR="00661009">
        <w:rPr>
          <w:rFonts w:ascii="Garamond" w:hAnsi="Garamond"/>
          <w:sz w:val="22"/>
          <w:szCs w:val="22"/>
        </w:rPr>
        <w:t>confidence band, t</w:t>
      </w:r>
      <w:r w:rsidR="00661009" w:rsidRPr="00661009">
        <w:rPr>
          <w:rFonts w:ascii="Garamond" w:hAnsi="Garamond"/>
          <w:sz w:val="22"/>
          <w:szCs w:val="22"/>
        </w:rPr>
        <w:t>he C</w:t>
      </w:r>
      <w:r w:rsidR="00661009">
        <w:rPr>
          <w:rFonts w:ascii="Garamond" w:hAnsi="Garamond"/>
          <w:sz w:val="22"/>
          <w:szCs w:val="22"/>
        </w:rPr>
        <w:t xml:space="preserve">entral </w:t>
      </w:r>
      <w:r w:rsidR="00661009" w:rsidRPr="00661009">
        <w:rPr>
          <w:rFonts w:ascii="Garamond" w:hAnsi="Garamond"/>
          <w:sz w:val="22"/>
          <w:szCs w:val="22"/>
        </w:rPr>
        <w:t>B</w:t>
      </w:r>
      <w:r w:rsidR="00661009">
        <w:rPr>
          <w:rFonts w:ascii="Garamond" w:hAnsi="Garamond"/>
          <w:sz w:val="22"/>
          <w:szCs w:val="22"/>
        </w:rPr>
        <w:t xml:space="preserve">ank would </w:t>
      </w:r>
      <w:r w:rsidR="00D238CB">
        <w:rPr>
          <w:rFonts w:ascii="Garamond" w:hAnsi="Garamond"/>
          <w:sz w:val="22"/>
          <w:szCs w:val="22"/>
        </w:rPr>
        <w:t xml:space="preserve">have to </w:t>
      </w:r>
      <w:r w:rsidR="00661009">
        <w:rPr>
          <w:rFonts w:ascii="Garamond" w:hAnsi="Garamond"/>
          <w:sz w:val="22"/>
          <w:szCs w:val="22"/>
        </w:rPr>
        <w:t>continue implementing an expansionary mo</w:t>
      </w:r>
      <w:r w:rsidR="00661009" w:rsidRPr="00661009">
        <w:rPr>
          <w:rFonts w:ascii="Garamond" w:hAnsi="Garamond"/>
          <w:sz w:val="22"/>
          <w:szCs w:val="22"/>
        </w:rPr>
        <w:t xml:space="preserve">netary policy in the short </w:t>
      </w:r>
      <w:r w:rsidR="00661009">
        <w:rPr>
          <w:rFonts w:ascii="Garamond" w:hAnsi="Garamond"/>
          <w:sz w:val="22"/>
          <w:szCs w:val="22"/>
        </w:rPr>
        <w:t>term</w:t>
      </w:r>
      <w:r w:rsidR="00661009" w:rsidRPr="00661009">
        <w:rPr>
          <w:rFonts w:ascii="Garamond" w:hAnsi="Garamond"/>
          <w:sz w:val="22"/>
          <w:szCs w:val="22"/>
        </w:rPr>
        <w:t xml:space="preserve">, </w:t>
      </w:r>
      <w:r w:rsidR="00661009">
        <w:rPr>
          <w:rFonts w:ascii="Garamond" w:hAnsi="Garamond"/>
          <w:sz w:val="22"/>
          <w:szCs w:val="22"/>
        </w:rPr>
        <w:t xml:space="preserve">while stimulative monetary conditions were expected to phase out in the medium term and </w:t>
      </w:r>
      <w:r w:rsidR="00661009" w:rsidRPr="00661009">
        <w:rPr>
          <w:rFonts w:ascii="Garamond" w:hAnsi="Garamond"/>
          <w:sz w:val="22"/>
          <w:szCs w:val="22"/>
        </w:rPr>
        <w:t>a</w:t>
      </w:r>
      <w:r w:rsidR="00661009">
        <w:rPr>
          <w:rFonts w:ascii="Garamond" w:hAnsi="Garamond"/>
          <w:sz w:val="22"/>
          <w:szCs w:val="22"/>
        </w:rPr>
        <w:t>t</w:t>
      </w:r>
      <w:r w:rsidR="00661009" w:rsidRPr="00661009">
        <w:rPr>
          <w:rFonts w:ascii="Garamond" w:hAnsi="Garamond"/>
          <w:sz w:val="22"/>
          <w:szCs w:val="22"/>
        </w:rPr>
        <w:t xml:space="preserve"> </w:t>
      </w:r>
      <w:r w:rsidR="00661009">
        <w:rPr>
          <w:rFonts w:ascii="Garamond" w:hAnsi="Garamond"/>
          <w:sz w:val="22"/>
          <w:szCs w:val="22"/>
        </w:rPr>
        <w:t xml:space="preserve">a </w:t>
      </w:r>
      <w:r w:rsidR="00661009" w:rsidRPr="00661009">
        <w:rPr>
          <w:rFonts w:ascii="Garamond" w:hAnsi="Garamond"/>
          <w:sz w:val="22"/>
          <w:szCs w:val="22"/>
        </w:rPr>
        <w:t xml:space="preserve">slower pace to </w:t>
      </w:r>
      <w:r w:rsidR="00661009">
        <w:rPr>
          <w:rFonts w:ascii="Garamond" w:hAnsi="Garamond"/>
          <w:sz w:val="22"/>
          <w:szCs w:val="22"/>
        </w:rPr>
        <w:t xml:space="preserve">help </w:t>
      </w:r>
      <w:r w:rsidR="00661009" w:rsidRPr="00661009">
        <w:rPr>
          <w:rFonts w:ascii="Garamond" w:hAnsi="Garamond"/>
          <w:sz w:val="22"/>
          <w:szCs w:val="22"/>
        </w:rPr>
        <w:t>inflation recover and stabilize around the target.</w:t>
      </w:r>
      <w:r w:rsidR="00661009">
        <w:rPr>
          <w:rFonts w:ascii="Garamond" w:hAnsi="Garamond"/>
          <w:sz w:val="22"/>
          <w:szCs w:val="22"/>
        </w:rPr>
        <w:t xml:space="preserve"> </w:t>
      </w:r>
    </w:p>
    <w:p w14:paraId="79B29B45" w14:textId="77777777" w:rsidR="00D25EB7" w:rsidRDefault="00982B27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 the meantime, a</w:t>
      </w:r>
      <w:r w:rsidR="00283F68">
        <w:rPr>
          <w:rFonts w:ascii="Garamond" w:hAnsi="Garamond"/>
          <w:sz w:val="22"/>
          <w:szCs w:val="22"/>
        </w:rPr>
        <w:t>ctual i</w:t>
      </w:r>
      <w:r w:rsidR="00E42369">
        <w:rPr>
          <w:rFonts w:ascii="Garamond" w:hAnsi="Garamond"/>
          <w:sz w:val="22"/>
          <w:szCs w:val="22"/>
        </w:rPr>
        <w:t xml:space="preserve">nflation </w:t>
      </w:r>
      <w:r w:rsidR="006428B8" w:rsidRPr="006428B8">
        <w:rPr>
          <w:rFonts w:ascii="Garamond" w:hAnsi="Garamond"/>
          <w:sz w:val="22"/>
          <w:szCs w:val="22"/>
        </w:rPr>
        <w:t xml:space="preserve">developments </w:t>
      </w:r>
      <w:r w:rsidR="00283F68">
        <w:rPr>
          <w:rFonts w:ascii="Garamond" w:hAnsi="Garamond"/>
          <w:sz w:val="22"/>
          <w:szCs w:val="22"/>
        </w:rPr>
        <w:t xml:space="preserve">have </w:t>
      </w:r>
      <w:r>
        <w:rPr>
          <w:rFonts w:ascii="Garamond" w:hAnsi="Garamond"/>
          <w:sz w:val="22"/>
          <w:szCs w:val="22"/>
        </w:rPr>
        <w:t xml:space="preserve">somewhat </w:t>
      </w:r>
      <w:r w:rsidR="00E42369">
        <w:rPr>
          <w:rFonts w:ascii="Garamond" w:hAnsi="Garamond"/>
          <w:sz w:val="22"/>
          <w:szCs w:val="22"/>
        </w:rPr>
        <w:t>deviated from the scenario</w:t>
      </w:r>
      <w:r w:rsidR="00492A4E">
        <w:rPr>
          <w:rFonts w:ascii="Garamond" w:hAnsi="Garamond"/>
          <w:sz w:val="22"/>
          <w:szCs w:val="22"/>
        </w:rPr>
        <w:t>,</w:t>
      </w:r>
      <w:r w:rsidR="00E42369">
        <w:rPr>
          <w:rFonts w:ascii="Garamond" w:hAnsi="Garamond"/>
          <w:sz w:val="22"/>
          <w:szCs w:val="22"/>
        </w:rPr>
        <w:t xml:space="preserve"> as</w:t>
      </w:r>
      <w:r w:rsidR="00492A4E" w:rsidRPr="00492A4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the </w:t>
      </w:r>
      <w:r w:rsidR="00492A4E" w:rsidRPr="00E42369">
        <w:rPr>
          <w:rFonts w:ascii="Garamond" w:hAnsi="Garamond"/>
          <w:sz w:val="22"/>
          <w:szCs w:val="22"/>
        </w:rPr>
        <w:t>fiscal policy</w:t>
      </w:r>
      <w:r w:rsidR="00492A4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carried out each subsequent quarter proved more contractionary</w:t>
      </w:r>
      <w:r w:rsidR="00F8663E">
        <w:rPr>
          <w:rFonts w:ascii="Garamond" w:hAnsi="Garamond"/>
          <w:sz w:val="22"/>
          <w:szCs w:val="22"/>
        </w:rPr>
        <w:t xml:space="preserve"> on the back of weaker-than-expected demand and lower prices in the external environment. Not only have t</w:t>
      </w:r>
      <w:r w:rsidR="00F8663E" w:rsidRPr="00F8663E">
        <w:rPr>
          <w:rFonts w:ascii="Garamond" w:hAnsi="Garamond"/>
          <w:sz w:val="22"/>
          <w:szCs w:val="22"/>
        </w:rPr>
        <w:t>hese developments</w:t>
      </w:r>
      <w:r w:rsidR="00F8663E">
        <w:rPr>
          <w:rFonts w:ascii="Garamond" w:hAnsi="Garamond"/>
          <w:sz w:val="22"/>
          <w:szCs w:val="22"/>
        </w:rPr>
        <w:t xml:space="preserve"> caused </w:t>
      </w:r>
      <w:r w:rsidR="00F8663E" w:rsidRPr="00F8663E">
        <w:rPr>
          <w:rFonts w:ascii="Garamond" w:hAnsi="Garamond"/>
          <w:sz w:val="22"/>
          <w:szCs w:val="22"/>
        </w:rPr>
        <w:t xml:space="preserve">the </w:t>
      </w:r>
      <w:r w:rsidR="00F8663E">
        <w:rPr>
          <w:rFonts w:ascii="Garamond" w:hAnsi="Garamond"/>
          <w:sz w:val="22"/>
          <w:szCs w:val="22"/>
        </w:rPr>
        <w:t xml:space="preserve">domestic </w:t>
      </w:r>
      <w:r w:rsidR="00F8663E" w:rsidRPr="00F8663E">
        <w:rPr>
          <w:rFonts w:ascii="Garamond" w:hAnsi="Garamond"/>
          <w:sz w:val="22"/>
          <w:szCs w:val="22"/>
        </w:rPr>
        <w:t xml:space="preserve">aggregate demand </w:t>
      </w:r>
      <w:r w:rsidR="00F8663E">
        <w:rPr>
          <w:rFonts w:ascii="Garamond" w:hAnsi="Garamond"/>
          <w:sz w:val="22"/>
          <w:szCs w:val="22"/>
        </w:rPr>
        <w:t xml:space="preserve">to slacken </w:t>
      </w:r>
      <w:r w:rsidR="00F8663E" w:rsidRPr="00F8663E">
        <w:rPr>
          <w:rFonts w:ascii="Garamond" w:hAnsi="Garamond"/>
          <w:sz w:val="22"/>
          <w:szCs w:val="22"/>
        </w:rPr>
        <w:t>considerably</w:t>
      </w:r>
      <w:r w:rsidR="00F8663E">
        <w:rPr>
          <w:rFonts w:ascii="Garamond" w:hAnsi="Garamond"/>
          <w:sz w:val="22"/>
          <w:szCs w:val="22"/>
        </w:rPr>
        <w:t xml:space="preserve"> but prompted </w:t>
      </w:r>
      <w:r w:rsidR="00500C78">
        <w:rPr>
          <w:rFonts w:ascii="Garamond" w:hAnsi="Garamond"/>
          <w:sz w:val="22"/>
          <w:szCs w:val="22"/>
        </w:rPr>
        <w:t xml:space="preserve">the </w:t>
      </w:r>
      <w:r w:rsidR="00CD5699">
        <w:rPr>
          <w:rFonts w:ascii="Garamond" w:hAnsi="Garamond"/>
          <w:sz w:val="22"/>
          <w:szCs w:val="22"/>
        </w:rPr>
        <w:t xml:space="preserve">12-month core inflation </w:t>
      </w:r>
      <w:r w:rsidR="00F8663E">
        <w:rPr>
          <w:rFonts w:ascii="Garamond" w:hAnsi="Garamond"/>
          <w:sz w:val="22"/>
          <w:szCs w:val="22"/>
        </w:rPr>
        <w:t>to</w:t>
      </w:r>
      <w:r w:rsidR="00A41C10">
        <w:rPr>
          <w:rFonts w:ascii="Garamond" w:hAnsi="Garamond"/>
          <w:sz w:val="22"/>
          <w:szCs w:val="22"/>
        </w:rPr>
        <w:t xml:space="preserve"> </w:t>
      </w:r>
      <w:r w:rsidR="00801283">
        <w:rPr>
          <w:rFonts w:ascii="Garamond" w:hAnsi="Garamond"/>
          <w:sz w:val="22"/>
          <w:szCs w:val="22"/>
        </w:rPr>
        <w:t xml:space="preserve">subdue by 2.6 pp over the past one-year period to 1.1% at the end of September of 2019. </w:t>
      </w:r>
      <w:r w:rsidR="00EB4EF5">
        <w:rPr>
          <w:rFonts w:ascii="Garamond" w:hAnsi="Garamond"/>
          <w:sz w:val="22"/>
          <w:szCs w:val="22"/>
        </w:rPr>
        <w:t xml:space="preserve">On the other hand, </w:t>
      </w:r>
      <w:r w:rsidR="00801283">
        <w:rPr>
          <w:rFonts w:ascii="Garamond" w:hAnsi="Garamond"/>
          <w:sz w:val="22"/>
          <w:szCs w:val="22"/>
        </w:rPr>
        <w:t xml:space="preserve">due to prices of </w:t>
      </w:r>
      <w:r w:rsidR="00801283" w:rsidRPr="00EB4EF5">
        <w:rPr>
          <w:rFonts w:ascii="Garamond" w:hAnsi="Garamond"/>
          <w:sz w:val="22"/>
          <w:szCs w:val="22"/>
        </w:rPr>
        <w:t>agricultural</w:t>
      </w:r>
      <w:r w:rsidR="00801283">
        <w:rPr>
          <w:rFonts w:ascii="Garamond" w:hAnsi="Garamond"/>
          <w:sz w:val="22"/>
          <w:szCs w:val="22"/>
        </w:rPr>
        <w:t xml:space="preserve"> </w:t>
      </w:r>
      <w:r w:rsidR="00801283">
        <w:rPr>
          <w:rFonts w:ascii="Garamond" w:hAnsi="Garamond"/>
          <w:sz w:val="22"/>
          <w:szCs w:val="22"/>
        </w:rPr>
        <w:lastRenderedPageBreak/>
        <w:t xml:space="preserve">products which </w:t>
      </w:r>
      <w:r w:rsidR="00187F30">
        <w:rPr>
          <w:rFonts w:ascii="Garamond" w:hAnsi="Garamond"/>
          <w:sz w:val="22"/>
          <w:szCs w:val="22"/>
        </w:rPr>
        <w:t xml:space="preserve">suffered a shift in </w:t>
      </w:r>
      <w:r w:rsidR="00801283">
        <w:rPr>
          <w:rFonts w:ascii="Garamond" w:hAnsi="Garamond"/>
          <w:sz w:val="22"/>
          <w:szCs w:val="22"/>
        </w:rPr>
        <w:t>seasonality in the sector, t</w:t>
      </w:r>
      <w:r w:rsidR="00801283" w:rsidRPr="00EB4EF5">
        <w:rPr>
          <w:rFonts w:ascii="Garamond" w:hAnsi="Garamond"/>
          <w:sz w:val="22"/>
          <w:szCs w:val="22"/>
        </w:rPr>
        <w:t xml:space="preserve">he 12-month </w:t>
      </w:r>
      <w:r w:rsidR="00801283">
        <w:rPr>
          <w:rFonts w:ascii="Garamond" w:hAnsi="Garamond"/>
          <w:sz w:val="22"/>
          <w:szCs w:val="22"/>
        </w:rPr>
        <w:t xml:space="preserve">headline </w:t>
      </w:r>
      <w:r w:rsidR="00801283" w:rsidRPr="00EB4EF5">
        <w:rPr>
          <w:rFonts w:ascii="Garamond" w:hAnsi="Garamond"/>
          <w:sz w:val="22"/>
          <w:szCs w:val="22"/>
        </w:rPr>
        <w:t>inflation</w:t>
      </w:r>
      <w:r w:rsidR="00801283">
        <w:rPr>
          <w:rFonts w:ascii="Garamond" w:hAnsi="Garamond"/>
          <w:sz w:val="22"/>
          <w:szCs w:val="22"/>
        </w:rPr>
        <w:t xml:space="preserve"> </w:t>
      </w:r>
      <w:r w:rsidR="00187F30">
        <w:rPr>
          <w:rFonts w:ascii="Garamond" w:hAnsi="Garamond"/>
          <w:sz w:val="22"/>
          <w:szCs w:val="22"/>
        </w:rPr>
        <w:t>demonstrated v</w:t>
      </w:r>
      <w:r w:rsidR="00801283">
        <w:rPr>
          <w:rFonts w:ascii="Garamond" w:hAnsi="Garamond"/>
          <w:sz w:val="22"/>
          <w:szCs w:val="22"/>
        </w:rPr>
        <w:t>olati</w:t>
      </w:r>
      <w:r w:rsidR="00187F30">
        <w:rPr>
          <w:rFonts w:ascii="Garamond" w:hAnsi="Garamond"/>
          <w:sz w:val="22"/>
          <w:szCs w:val="22"/>
        </w:rPr>
        <w:t>lity,</w:t>
      </w:r>
      <w:r w:rsidR="00EB4EF5">
        <w:rPr>
          <w:rFonts w:ascii="Garamond" w:hAnsi="Garamond"/>
          <w:sz w:val="22"/>
          <w:szCs w:val="22"/>
        </w:rPr>
        <w:t xml:space="preserve"> </w:t>
      </w:r>
      <w:r w:rsidR="00801283">
        <w:rPr>
          <w:rFonts w:ascii="Garamond" w:hAnsi="Garamond"/>
          <w:sz w:val="22"/>
          <w:szCs w:val="22"/>
        </w:rPr>
        <w:t>reaching 0.5% in end-September</w:t>
      </w:r>
      <w:r w:rsidR="008A33C1">
        <w:rPr>
          <w:rFonts w:ascii="Garamond" w:hAnsi="Garamond"/>
          <w:sz w:val="22"/>
          <w:szCs w:val="22"/>
        </w:rPr>
        <w:t>, as a result</w:t>
      </w:r>
      <w:r w:rsidR="00EB4EF5" w:rsidRPr="00EB4EF5">
        <w:rPr>
          <w:rFonts w:ascii="Garamond" w:hAnsi="Garamond"/>
          <w:sz w:val="22"/>
          <w:szCs w:val="22"/>
        </w:rPr>
        <w:t>.</w:t>
      </w:r>
    </w:p>
    <w:p w14:paraId="53FB8E37" w14:textId="77777777" w:rsidR="00303988" w:rsidRDefault="001F1E18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With an inflation environment persisting low, t</w:t>
      </w:r>
      <w:r w:rsidR="00BB6AF7">
        <w:rPr>
          <w:rFonts w:ascii="Garamond" w:hAnsi="Garamond"/>
          <w:sz w:val="22"/>
          <w:szCs w:val="22"/>
        </w:rPr>
        <w:t xml:space="preserve">he </w:t>
      </w:r>
      <w:r w:rsidR="00CE7ACC" w:rsidRPr="001F1E18">
        <w:rPr>
          <w:rFonts w:ascii="Garamond" w:hAnsi="Garamond"/>
          <w:sz w:val="22"/>
          <w:szCs w:val="22"/>
        </w:rPr>
        <w:t xml:space="preserve">Central Bank </w:t>
      </w:r>
      <w:r w:rsidR="005327DA" w:rsidRPr="001F1E18">
        <w:rPr>
          <w:rFonts w:ascii="Garamond" w:hAnsi="Garamond"/>
          <w:sz w:val="22"/>
          <w:szCs w:val="22"/>
        </w:rPr>
        <w:t>ha</w:t>
      </w:r>
      <w:r>
        <w:rPr>
          <w:rFonts w:ascii="Garamond" w:hAnsi="Garamond"/>
          <w:sz w:val="22"/>
          <w:szCs w:val="22"/>
        </w:rPr>
        <w:t>s</w:t>
      </w:r>
      <w:r w:rsidR="005327DA" w:rsidRPr="001F1E18">
        <w:rPr>
          <w:rFonts w:ascii="Garamond" w:hAnsi="Garamond"/>
          <w:sz w:val="22"/>
          <w:szCs w:val="22"/>
        </w:rPr>
        <w:t xml:space="preserve"> pursued</w:t>
      </w:r>
      <w:r w:rsidRPr="001F1E18">
        <w:rPr>
          <w:rFonts w:ascii="Garamond" w:hAnsi="Garamond"/>
          <w:sz w:val="22"/>
          <w:szCs w:val="22"/>
        </w:rPr>
        <w:t xml:space="preserve"> an expansionary monetary policy</w:t>
      </w:r>
      <w:r w:rsidR="005327DA" w:rsidRPr="001F1E18">
        <w:rPr>
          <w:rFonts w:ascii="Garamond" w:hAnsi="Garamond"/>
          <w:sz w:val="22"/>
          <w:szCs w:val="22"/>
        </w:rPr>
        <w:t xml:space="preserve"> over the past one-year horizon, </w:t>
      </w:r>
      <w:r w:rsidR="00BB6AF7" w:rsidRPr="005327DA">
        <w:rPr>
          <w:rFonts w:ascii="Garamond" w:hAnsi="Garamond"/>
          <w:b/>
          <w:sz w:val="22"/>
          <w:szCs w:val="22"/>
        </w:rPr>
        <w:t xml:space="preserve">while </w:t>
      </w:r>
      <w:r w:rsidR="005327DA" w:rsidRPr="005327DA">
        <w:rPr>
          <w:rFonts w:ascii="Garamond" w:hAnsi="Garamond"/>
          <w:b/>
          <w:sz w:val="22"/>
          <w:szCs w:val="22"/>
        </w:rPr>
        <w:t xml:space="preserve">favoring a </w:t>
      </w:r>
      <w:r w:rsidR="00CE7ACC" w:rsidRPr="005327DA">
        <w:rPr>
          <w:rFonts w:ascii="Garamond" w:hAnsi="Garamond"/>
          <w:b/>
          <w:sz w:val="22"/>
          <w:szCs w:val="22"/>
        </w:rPr>
        <w:t>gradual recovery of inflation,</w:t>
      </w:r>
      <w:r w:rsidR="00CE7ACC">
        <w:rPr>
          <w:rFonts w:ascii="Garamond" w:hAnsi="Garamond"/>
          <w:sz w:val="22"/>
          <w:szCs w:val="22"/>
        </w:rPr>
        <w:t xml:space="preserve"> since </w:t>
      </w:r>
      <w:r w:rsidR="00CE7ACC" w:rsidRPr="00C02601">
        <w:rPr>
          <w:rFonts w:ascii="Garamond" w:hAnsi="Garamond"/>
          <w:sz w:val="22"/>
          <w:szCs w:val="22"/>
        </w:rPr>
        <w:t>low inflation</w:t>
      </w:r>
      <w:r w:rsidR="005327DA">
        <w:rPr>
          <w:rFonts w:ascii="Garamond" w:hAnsi="Garamond"/>
          <w:sz w:val="22"/>
          <w:szCs w:val="22"/>
        </w:rPr>
        <w:t xml:space="preserve"> </w:t>
      </w:r>
      <w:r w:rsidR="00215503">
        <w:rPr>
          <w:rFonts w:ascii="Garamond" w:hAnsi="Garamond"/>
          <w:sz w:val="22"/>
          <w:szCs w:val="22"/>
        </w:rPr>
        <w:t xml:space="preserve">of </w:t>
      </w:r>
      <w:r w:rsidR="005327DA">
        <w:rPr>
          <w:rFonts w:ascii="Garamond" w:hAnsi="Garamond"/>
          <w:sz w:val="22"/>
          <w:szCs w:val="22"/>
        </w:rPr>
        <w:t>that time</w:t>
      </w:r>
      <w:r w:rsidR="00CE7ACC" w:rsidRPr="00C02601">
        <w:rPr>
          <w:rFonts w:ascii="Garamond" w:hAnsi="Garamond"/>
          <w:sz w:val="22"/>
          <w:szCs w:val="22"/>
        </w:rPr>
        <w:t xml:space="preserve"> contribute</w:t>
      </w:r>
      <w:r w:rsidR="005327DA">
        <w:rPr>
          <w:rFonts w:ascii="Garamond" w:hAnsi="Garamond"/>
          <w:sz w:val="22"/>
          <w:szCs w:val="22"/>
        </w:rPr>
        <w:t>d</w:t>
      </w:r>
      <w:r w:rsidR="00CE7ACC" w:rsidRPr="00C02601">
        <w:rPr>
          <w:rFonts w:ascii="Garamond" w:hAnsi="Garamond"/>
          <w:sz w:val="22"/>
          <w:szCs w:val="22"/>
        </w:rPr>
        <w:t xml:space="preserve"> to anchoring long-term inflation expectations and maintaining</w:t>
      </w:r>
      <w:r w:rsidR="00CE7ACC">
        <w:rPr>
          <w:rFonts w:ascii="Garamond" w:hAnsi="Garamond"/>
          <w:sz w:val="22"/>
          <w:szCs w:val="22"/>
        </w:rPr>
        <w:t xml:space="preserve"> the purchasing power of income. Also, </w:t>
      </w:r>
      <w:r w:rsidR="00301B99">
        <w:rPr>
          <w:rFonts w:ascii="Garamond" w:hAnsi="Garamond"/>
          <w:sz w:val="22"/>
          <w:szCs w:val="22"/>
        </w:rPr>
        <w:t xml:space="preserve">as considerable </w:t>
      </w:r>
      <w:r w:rsidR="00CE7ACC" w:rsidRPr="007E496A">
        <w:rPr>
          <w:rFonts w:ascii="Garamond" w:hAnsi="Garamond"/>
          <w:sz w:val="22"/>
          <w:szCs w:val="22"/>
        </w:rPr>
        <w:t xml:space="preserve">inflationary </w:t>
      </w:r>
      <w:r w:rsidR="00CE7ACC">
        <w:rPr>
          <w:rFonts w:ascii="Garamond" w:hAnsi="Garamond"/>
          <w:sz w:val="22"/>
          <w:szCs w:val="22"/>
        </w:rPr>
        <w:t xml:space="preserve">effects </w:t>
      </w:r>
      <w:r w:rsidR="00CE7ACC" w:rsidRPr="007E496A">
        <w:rPr>
          <w:rFonts w:ascii="Garamond" w:hAnsi="Garamond"/>
          <w:sz w:val="22"/>
          <w:szCs w:val="22"/>
        </w:rPr>
        <w:t xml:space="preserve">from external and </w:t>
      </w:r>
      <w:r w:rsidR="00CE7ACC">
        <w:rPr>
          <w:rFonts w:ascii="Garamond" w:hAnsi="Garamond"/>
          <w:sz w:val="22"/>
          <w:szCs w:val="22"/>
        </w:rPr>
        <w:t xml:space="preserve">domestic </w:t>
      </w:r>
      <w:r w:rsidR="00CE7ACC" w:rsidRPr="007E496A">
        <w:rPr>
          <w:rFonts w:ascii="Garamond" w:hAnsi="Garamond"/>
          <w:sz w:val="22"/>
          <w:szCs w:val="22"/>
        </w:rPr>
        <w:t>economies</w:t>
      </w:r>
      <w:r w:rsidR="00CE7ACC">
        <w:rPr>
          <w:rFonts w:ascii="Garamond" w:hAnsi="Garamond"/>
          <w:sz w:val="22"/>
          <w:szCs w:val="22"/>
        </w:rPr>
        <w:t xml:space="preserve"> </w:t>
      </w:r>
      <w:r w:rsidR="00301B99">
        <w:rPr>
          <w:rFonts w:ascii="Garamond" w:hAnsi="Garamond"/>
          <w:sz w:val="22"/>
          <w:szCs w:val="22"/>
        </w:rPr>
        <w:t xml:space="preserve">were lacking </w:t>
      </w:r>
      <w:r w:rsidR="00306B4B">
        <w:rPr>
          <w:rFonts w:ascii="Garamond" w:hAnsi="Garamond"/>
          <w:sz w:val="22"/>
          <w:szCs w:val="22"/>
        </w:rPr>
        <w:t xml:space="preserve">because of </w:t>
      </w:r>
      <w:r w:rsidR="00301B99">
        <w:rPr>
          <w:rFonts w:ascii="Garamond" w:hAnsi="Garamond"/>
          <w:sz w:val="22"/>
          <w:szCs w:val="22"/>
        </w:rPr>
        <w:t xml:space="preserve">persistently </w:t>
      </w:r>
      <w:r w:rsidR="00CE7ACC">
        <w:rPr>
          <w:rFonts w:ascii="Garamond" w:hAnsi="Garamond"/>
          <w:sz w:val="22"/>
          <w:szCs w:val="22"/>
        </w:rPr>
        <w:t xml:space="preserve">weak </w:t>
      </w:r>
      <w:r w:rsidR="00CE7ACC" w:rsidRPr="00C02601">
        <w:rPr>
          <w:rFonts w:ascii="Garamond" w:hAnsi="Garamond"/>
          <w:sz w:val="22"/>
          <w:szCs w:val="22"/>
        </w:rPr>
        <w:t xml:space="preserve">global and domestic demand, and that </w:t>
      </w:r>
      <w:r w:rsidR="000500A9">
        <w:rPr>
          <w:rFonts w:ascii="Garamond" w:hAnsi="Garamond"/>
          <w:sz w:val="22"/>
          <w:szCs w:val="22"/>
        </w:rPr>
        <w:t>monetary conditions at the time were</w:t>
      </w:r>
      <w:r w:rsidR="00CE7ACC">
        <w:rPr>
          <w:rFonts w:ascii="Garamond" w:hAnsi="Garamond"/>
          <w:sz w:val="22"/>
          <w:szCs w:val="22"/>
        </w:rPr>
        <w:t xml:space="preserve"> estimated </w:t>
      </w:r>
      <w:r w:rsidR="000500A9">
        <w:rPr>
          <w:rFonts w:ascii="Garamond" w:hAnsi="Garamond"/>
          <w:sz w:val="22"/>
          <w:szCs w:val="22"/>
        </w:rPr>
        <w:t xml:space="preserve">rather </w:t>
      </w:r>
      <w:r w:rsidR="00CE7ACC">
        <w:rPr>
          <w:rFonts w:ascii="Garamond" w:hAnsi="Garamond"/>
          <w:sz w:val="22"/>
          <w:szCs w:val="22"/>
        </w:rPr>
        <w:t>expansionary</w:t>
      </w:r>
      <w:r w:rsidR="00CE7ACC" w:rsidRPr="00C02601">
        <w:rPr>
          <w:rFonts w:ascii="Garamond" w:hAnsi="Garamond"/>
          <w:sz w:val="22"/>
          <w:szCs w:val="22"/>
        </w:rPr>
        <w:t xml:space="preserve">, </w:t>
      </w:r>
      <w:r w:rsidR="00CE7ACC">
        <w:rPr>
          <w:rFonts w:ascii="Garamond" w:hAnsi="Garamond"/>
          <w:sz w:val="22"/>
          <w:szCs w:val="22"/>
        </w:rPr>
        <w:t xml:space="preserve">the </w:t>
      </w:r>
      <w:r w:rsidR="000500A9">
        <w:rPr>
          <w:rFonts w:ascii="Garamond" w:hAnsi="Garamond"/>
          <w:sz w:val="22"/>
          <w:szCs w:val="22"/>
        </w:rPr>
        <w:t xml:space="preserve">Central Bank </w:t>
      </w:r>
      <w:r w:rsidR="00BB6AF7" w:rsidRPr="000500A9">
        <w:rPr>
          <w:rFonts w:ascii="Garamond" w:hAnsi="Garamond"/>
          <w:sz w:val="22"/>
          <w:szCs w:val="22"/>
        </w:rPr>
        <w:t>left t</w:t>
      </w:r>
      <w:r w:rsidR="00397003" w:rsidRPr="000500A9">
        <w:rPr>
          <w:rFonts w:ascii="Garamond" w:hAnsi="Garamond"/>
          <w:sz w:val="22"/>
          <w:szCs w:val="22"/>
        </w:rPr>
        <w:t xml:space="preserve">he refinancing rate </w:t>
      </w:r>
      <w:r w:rsidR="009D1727" w:rsidRPr="000500A9">
        <w:rPr>
          <w:rFonts w:ascii="Garamond" w:hAnsi="Garamond"/>
          <w:sz w:val="22"/>
          <w:szCs w:val="22"/>
        </w:rPr>
        <w:t>unchanged</w:t>
      </w:r>
      <w:r w:rsidR="00BB6AF7" w:rsidRPr="000500A9">
        <w:rPr>
          <w:rFonts w:ascii="Garamond" w:hAnsi="Garamond"/>
          <w:sz w:val="22"/>
          <w:szCs w:val="22"/>
        </w:rPr>
        <w:t xml:space="preserve"> in </w:t>
      </w:r>
      <w:r w:rsidR="000500A9">
        <w:rPr>
          <w:rFonts w:ascii="Garamond" w:hAnsi="Garamond"/>
          <w:sz w:val="22"/>
          <w:szCs w:val="22"/>
        </w:rPr>
        <w:t xml:space="preserve">the </w:t>
      </w:r>
      <w:r w:rsidR="00A65A44">
        <w:rPr>
          <w:rFonts w:ascii="Garamond" w:hAnsi="Garamond"/>
          <w:sz w:val="22"/>
          <w:szCs w:val="22"/>
        </w:rPr>
        <w:t>fourth</w:t>
      </w:r>
      <w:r w:rsidR="000500A9">
        <w:rPr>
          <w:rFonts w:ascii="Garamond" w:hAnsi="Garamond"/>
          <w:sz w:val="22"/>
          <w:szCs w:val="22"/>
        </w:rPr>
        <w:t xml:space="preserve"> </w:t>
      </w:r>
      <w:r w:rsidR="00A65A44">
        <w:rPr>
          <w:rFonts w:ascii="Garamond" w:hAnsi="Garamond"/>
          <w:sz w:val="22"/>
          <w:szCs w:val="22"/>
        </w:rPr>
        <w:t>quarter</w:t>
      </w:r>
      <w:r w:rsidR="000500A9">
        <w:rPr>
          <w:rFonts w:ascii="Garamond" w:hAnsi="Garamond"/>
          <w:sz w:val="22"/>
          <w:szCs w:val="22"/>
        </w:rPr>
        <w:t xml:space="preserve"> of 2</w:t>
      </w:r>
      <w:r w:rsidR="00BB6AF7" w:rsidRPr="000500A9">
        <w:rPr>
          <w:rFonts w:ascii="Garamond" w:hAnsi="Garamond"/>
          <w:sz w:val="22"/>
          <w:szCs w:val="22"/>
        </w:rPr>
        <w:t>018</w:t>
      </w:r>
      <w:r w:rsidR="00764595" w:rsidRPr="000500A9">
        <w:rPr>
          <w:rFonts w:ascii="Garamond" w:hAnsi="Garamond"/>
          <w:sz w:val="22"/>
          <w:szCs w:val="22"/>
        </w:rPr>
        <w:t>.</w:t>
      </w:r>
      <w:r w:rsidR="000F6029">
        <w:rPr>
          <w:rFonts w:ascii="Garamond" w:hAnsi="Garamond"/>
          <w:sz w:val="22"/>
          <w:szCs w:val="22"/>
        </w:rPr>
        <w:t xml:space="preserve"> </w:t>
      </w:r>
      <w:r w:rsidR="00303988" w:rsidRPr="00303988">
        <w:rPr>
          <w:rFonts w:ascii="Garamond" w:hAnsi="Garamond"/>
          <w:sz w:val="22"/>
          <w:szCs w:val="22"/>
        </w:rPr>
        <w:t xml:space="preserve">In </w:t>
      </w:r>
      <w:r w:rsidR="00303988">
        <w:rPr>
          <w:rFonts w:ascii="Garamond" w:hAnsi="Garamond"/>
          <w:sz w:val="22"/>
          <w:szCs w:val="22"/>
        </w:rPr>
        <w:t xml:space="preserve">view of </w:t>
      </w:r>
      <w:r w:rsidR="00303988" w:rsidRPr="00303988">
        <w:rPr>
          <w:rFonts w:ascii="Garamond" w:hAnsi="Garamond"/>
          <w:sz w:val="22"/>
          <w:szCs w:val="22"/>
        </w:rPr>
        <w:t>continu</w:t>
      </w:r>
      <w:r w:rsidR="00303988">
        <w:rPr>
          <w:rFonts w:ascii="Garamond" w:hAnsi="Garamond"/>
          <w:sz w:val="22"/>
          <w:szCs w:val="22"/>
        </w:rPr>
        <w:t>ed</w:t>
      </w:r>
      <w:r w:rsidR="00303988" w:rsidRPr="00303988">
        <w:rPr>
          <w:rFonts w:ascii="Garamond" w:hAnsi="Garamond"/>
          <w:sz w:val="22"/>
          <w:szCs w:val="22"/>
        </w:rPr>
        <w:t xml:space="preserve"> slow</w:t>
      </w:r>
      <w:r w:rsidR="00303988">
        <w:rPr>
          <w:rFonts w:ascii="Garamond" w:hAnsi="Garamond"/>
          <w:sz w:val="22"/>
          <w:szCs w:val="22"/>
        </w:rPr>
        <w:t xml:space="preserve">ing </w:t>
      </w:r>
      <w:r w:rsidR="00F6107C">
        <w:rPr>
          <w:rFonts w:ascii="Garamond" w:hAnsi="Garamond"/>
          <w:sz w:val="22"/>
          <w:szCs w:val="22"/>
        </w:rPr>
        <w:t>in</w:t>
      </w:r>
      <w:r w:rsidR="00303988" w:rsidRPr="00303988">
        <w:rPr>
          <w:rFonts w:ascii="Garamond" w:hAnsi="Garamond"/>
          <w:sz w:val="22"/>
          <w:szCs w:val="22"/>
        </w:rPr>
        <w:t xml:space="preserve"> global economic growth and </w:t>
      </w:r>
      <w:r w:rsidR="00303988">
        <w:rPr>
          <w:rFonts w:ascii="Garamond" w:hAnsi="Garamond"/>
          <w:sz w:val="22"/>
          <w:szCs w:val="22"/>
        </w:rPr>
        <w:t>anticipated</w:t>
      </w:r>
      <w:r w:rsidR="00303988" w:rsidRPr="00303988">
        <w:rPr>
          <w:rFonts w:ascii="Garamond" w:hAnsi="Garamond"/>
          <w:sz w:val="22"/>
          <w:szCs w:val="22"/>
        </w:rPr>
        <w:t xml:space="preserve"> weakening of the inflation environment in </w:t>
      </w:r>
      <w:r w:rsidR="00303988">
        <w:rPr>
          <w:rFonts w:ascii="Garamond" w:hAnsi="Garamond"/>
          <w:sz w:val="22"/>
          <w:szCs w:val="22"/>
        </w:rPr>
        <w:t>world</w:t>
      </w:r>
      <w:r w:rsidR="00303988" w:rsidRPr="00303988">
        <w:rPr>
          <w:rFonts w:ascii="Garamond" w:hAnsi="Garamond"/>
          <w:sz w:val="22"/>
          <w:szCs w:val="22"/>
        </w:rPr>
        <w:t xml:space="preserve"> commodity markets, the Central Bank </w:t>
      </w:r>
      <w:r w:rsidR="000F6029">
        <w:rPr>
          <w:rFonts w:ascii="Garamond" w:hAnsi="Garamond"/>
          <w:sz w:val="22"/>
          <w:szCs w:val="22"/>
        </w:rPr>
        <w:t xml:space="preserve">added to the monetary stimulus by </w:t>
      </w:r>
      <w:r w:rsidR="0086276B">
        <w:rPr>
          <w:rFonts w:ascii="Garamond" w:hAnsi="Garamond"/>
          <w:sz w:val="22"/>
          <w:szCs w:val="22"/>
        </w:rPr>
        <w:t>cut</w:t>
      </w:r>
      <w:r w:rsidR="000F6029">
        <w:rPr>
          <w:rFonts w:ascii="Garamond" w:hAnsi="Garamond"/>
          <w:sz w:val="22"/>
          <w:szCs w:val="22"/>
        </w:rPr>
        <w:t>ting</w:t>
      </w:r>
      <w:r w:rsidR="0086276B">
        <w:rPr>
          <w:rFonts w:ascii="Garamond" w:hAnsi="Garamond"/>
          <w:sz w:val="22"/>
          <w:szCs w:val="22"/>
        </w:rPr>
        <w:t xml:space="preserve"> the</w:t>
      </w:r>
      <w:r w:rsidR="00303988" w:rsidRPr="00303988">
        <w:rPr>
          <w:rFonts w:ascii="Garamond" w:hAnsi="Garamond"/>
          <w:sz w:val="22"/>
          <w:szCs w:val="22"/>
        </w:rPr>
        <w:t xml:space="preserve"> refinancing rate </w:t>
      </w:r>
      <w:r w:rsidR="00F6107C">
        <w:rPr>
          <w:rFonts w:ascii="Garamond" w:hAnsi="Garamond"/>
          <w:sz w:val="22"/>
          <w:szCs w:val="22"/>
        </w:rPr>
        <w:t xml:space="preserve">by </w:t>
      </w:r>
      <w:r w:rsidR="00303988" w:rsidRPr="00303988">
        <w:rPr>
          <w:rFonts w:ascii="Garamond" w:hAnsi="Garamond"/>
          <w:sz w:val="22"/>
          <w:szCs w:val="22"/>
        </w:rPr>
        <w:t>0.25 p</w:t>
      </w:r>
      <w:r w:rsidR="00F6107C">
        <w:rPr>
          <w:rFonts w:ascii="Garamond" w:hAnsi="Garamond"/>
          <w:sz w:val="22"/>
          <w:szCs w:val="22"/>
        </w:rPr>
        <w:t>p to</w:t>
      </w:r>
      <w:r w:rsidR="00303988" w:rsidRPr="00303988">
        <w:rPr>
          <w:rFonts w:ascii="Garamond" w:hAnsi="Garamond"/>
          <w:sz w:val="22"/>
          <w:szCs w:val="22"/>
        </w:rPr>
        <w:t xml:space="preserve"> 5.75% </w:t>
      </w:r>
      <w:r w:rsidR="00F6107C">
        <w:rPr>
          <w:rFonts w:ascii="Garamond" w:hAnsi="Garamond"/>
          <w:sz w:val="22"/>
          <w:szCs w:val="22"/>
        </w:rPr>
        <w:t>i</w:t>
      </w:r>
      <w:r w:rsidR="00F6107C" w:rsidRPr="00303988">
        <w:rPr>
          <w:rFonts w:ascii="Garamond" w:hAnsi="Garamond"/>
          <w:sz w:val="22"/>
          <w:szCs w:val="22"/>
        </w:rPr>
        <w:t>n January</w:t>
      </w:r>
      <w:r w:rsidR="00F6107C">
        <w:rPr>
          <w:rFonts w:ascii="Garamond" w:hAnsi="Garamond"/>
          <w:sz w:val="22"/>
          <w:szCs w:val="22"/>
        </w:rPr>
        <w:t xml:space="preserve"> 2019</w:t>
      </w:r>
      <w:r w:rsidR="000F6029">
        <w:rPr>
          <w:rFonts w:ascii="Garamond" w:hAnsi="Garamond"/>
          <w:sz w:val="22"/>
          <w:szCs w:val="22"/>
        </w:rPr>
        <w:t>.</w:t>
      </w:r>
      <w:r w:rsidR="00F6107C">
        <w:rPr>
          <w:rFonts w:ascii="Garamond" w:hAnsi="Garamond"/>
          <w:sz w:val="22"/>
          <w:szCs w:val="22"/>
        </w:rPr>
        <w:t xml:space="preserve"> </w:t>
      </w:r>
      <w:r w:rsidR="000F6029">
        <w:rPr>
          <w:rFonts w:ascii="Garamond" w:hAnsi="Garamond"/>
          <w:sz w:val="22"/>
          <w:szCs w:val="22"/>
        </w:rPr>
        <w:t>I</w:t>
      </w:r>
      <w:r w:rsidR="00303988" w:rsidRPr="00303988">
        <w:rPr>
          <w:rFonts w:ascii="Garamond" w:hAnsi="Garamond"/>
          <w:sz w:val="22"/>
          <w:szCs w:val="22"/>
        </w:rPr>
        <w:t xml:space="preserve">n </w:t>
      </w:r>
      <w:r w:rsidR="000F6029">
        <w:rPr>
          <w:rFonts w:ascii="Garamond" w:hAnsi="Garamond"/>
          <w:sz w:val="22"/>
          <w:szCs w:val="22"/>
        </w:rPr>
        <w:t>t</w:t>
      </w:r>
      <w:r w:rsidR="00A65A44">
        <w:rPr>
          <w:rFonts w:ascii="Garamond" w:hAnsi="Garamond"/>
          <w:sz w:val="22"/>
          <w:szCs w:val="22"/>
        </w:rPr>
        <w:t>he period February-August</w:t>
      </w:r>
      <w:r w:rsidR="000F6029">
        <w:rPr>
          <w:rFonts w:ascii="Garamond" w:hAnsi="Garamond"/>
          <w:sz w:val="22"/>
          <w:szCs w:val="22"/>
        </w:rPr>
        <w:t xml:space="preserve">, the policy rate stayed intact </w:t>
      </w:r>
      <w:r w:rsidR="00BA173B">
        <w:rPr>
          <w:rFonts w:ascii="Garamond" w:hAnsi="Garamond"/>
          <w:sz w:val="22"/>
          <w:szCs w:val="22"/>
        </w:rPr>
        <w:t xml:space="preserve">since </w:t>
      </w:r>
      <w:r w:rsidR="00303988" w:rsidRPr="00303988">
        <w:rPr>
          <w:rFonts w:ascii="Garamond" w:hAnsi="Garamond"/>
          <w:sz w:val="22"/>
          <w:szCs w:val="22"/>
        </w:rPr>
        <w:t xml:space="preserve">the amount of stimulus </w:t>
      </w:r>
      <w:r w:rsidR="00F6107C">
        <w:rPr>
          <w:rFonts w:ascii="Garamond" w:hAnsi="Garamond"/>
          <w:sz w:val="22"/>
          <w:szCs w:val="22"/>
        </w:rPr>
        <w:t xml:space="preserve">was </w:t>
      </w:r>
      <w:r w:rsidR="00BA173B">
        <w:rPr>
          <w:rFonts w:ascii="Garamond" w:hAnsi="Garamond"/>
          <w:sz w:val="22"/>
          <w:szCs w:val="22"/>
        </w:rPr>
        <w:t xml:space="preserve">estimated </w:t>
      </w:r>
      <w:r w:rsidR="00F6107C">
        <w:rPr>
          <w:rFonts w:ascii="Garamond" w:hAnsi="Garamond"/>
          <w:sz w:val="22"/>
          <w:szCs w:val="22"/>
        </w:rPr>
        <w:t>satisfactory</w:t>
      </w:r>
      <w:r w:rsidR="00BA173B">
        <w:rPr>
          <w:rFonts w:ascii="Garamond" w:hAnsi="Garamond"/>
          <w:sz w:val="22"/>
          <w:szCs w:val="22"/>
        </w:rPr>
        <w:t xml:space="preserve"> in light of expected expansionary fiscal policy</w:t>
      </w:r>
      <w:r w:rsidR="00303988" w:rsidRPr="00303988">
        <w:rPr>
          <w:rFonts w:ascii="Garamond" w:hAnsi="Garamond"/>
          <w:sz w:val="22"/>
          <w:szCs w:val="22"/>
        </w:rPr>
        <w:t xml:space="preserve">. </w:t>
      </w:r>
      <w:r w:rsidR="00A65A44">
        <w:rPr>
          <w:rFonts w:ascii="Garamond" w:hAnsi="Garamond"/>
          <w:sz w:val="22"/>
          <w:szCs w:val="22"/>
        </w:rPr>
        <w:t>However, as the G</w:t>
      </w:r>
      <w:r w:rsidR="00A65A44" w:rsidRPr="00A65A44">
        <w:rPr>
          <w:rFonts w:ascii="Garamond" w:hAnsi="Garamond"/>
          <w:sz w:val="22"/>
          <w:szCs w:val="22"/>
        </w:rPr>
        <w:t xml:space="preserve">overnment continued </w:t>
      </w:r>
      <w:r w:rsidR="00A65A44">
        <w:rPr>
          <w:rFonts w:ascii="Garamond" w:hAnsi="Garamond"/>
          <w:sz w:val="22"/>
          <w:szCs w:val="22"/>
        </w:rPr>
        <w:t xml:space="preserve">implementing contractionary </w:t>
      </w:r>
      <w:r w:rsidR="00A65A44" w:rsidRPr="00A65A44">
        <w:rPr>
          <w:rFonts w:ascii="Garamond" w:hAnsi="Garamond"/>
          <w:sz w:val="22"/>
          <w:szCs w:val="22"/>
        </w:rPr>
        <w:t xml:space="preserve">fiscal policy </w:t>
      </w:r>
      <w:r w:rsidR="00A65A44">
        <w:rPr>
          <w:rFonts w:ascii="Garamond" w:hAnsi="Garamond"/>
          <w:sz w:val="22"/>
          <w:szCs w:val="22"/>
        </w:rPr>
        <w:t>while</w:t>
      </w:r>
      <w:r w:rsidR="00A65A44" w:rsidRPr="00A65A44">
        <w:rPr>
          <w:rFonts w:ascii="Garamond" w:hAnsi="Garamond"/>
          <w:sz w:val="22"/>
          <w:szCs w:val="22"/>
        </w:rPr>
        <w:t xml:space="preserve"> </w:t>
      </w:r>
      <w:r w:rsidR="00A65A44">
        <w:rPr>
          <w:rFonts w:ascii="Garamond" w:hAnsi="Garamond"/>
          <w:sz w:val="22"/>
          <w:szCs w:val="22"/>
        </w:rPr>
        <w:t>d</w:t>
      </w:r>
      <w:r w:rsidR="00A65A44" w:rsidRPr="00A65A44">
        <w:rPr>
          <w:rFonts w:ascii="Garamond" w:hAnsi="Garamond"/>
          <w:sz w:val="22"/>
          <w:szCs w:val="22"/>
        </w:rPr>
        <w:t>eflationary effects</w:t>
      </w:r>
      <w:r w:rsidR="00A65A44">
        <w:rPr>
          <w:rFonts w:ascii="Garamond" w:hAnsi="Garamond"/>
          <w:sz w:val="22"/>
          <w:szCs w:val="22"/>
        </w:rPr>
        <w:t xml:space="preserve"> from the external sector were further observable, the Central Bank</w:t>
      </w:r>
      <w:r w:rsidR="00A65A44" w:rsidRPr="00A65A44">
        <w:rPr>
          <w:rFonts w:ascii="Garamond" w:hAnsi="Garamond"/>
          <w:sz w:val="22"/>
          <w:szCs w:val="22"/>
        </w:rPr>
        <w:t xml:space="preserve"> softened monetary conditions in September</w:t>
      </w:r>
      <w:r w:rsidR="00404628">
        <w:rPr>
          <w:rFonts w:ascii="Garamond" w:hAnsi="Garamond"/>
          <w:sz w:val="22"/>
          <w:szCs w:val="22"/>
        </w:rPr>
        <w:t xml:space="preserve"> by cutting t</w:t>
      </w:r>
      <w:r w:rsidR="00A65A44" w:rsidRPr="00A65A44">
        <w:rPr>
          <w:rFonts w:ascii="Garamond" w:hAnsi="Garamond"/>
          <w:sz w:val="22"/>
          <w:szCs w:val="22"/>
        </w:rPr>
        <w:t xml:space="preserve">he refinancing rate </w:t>
      </w:r>
      <w:r w:rsidR="00404628">
        <w:rPr>
          <w:rFonts w:ascii="Garamond" w:hAnsi="Garamond"/>
          <w:sz w:val="22"/>
          <w:szCs w:val="22"/>
        </w:rPr>
        <w:t xml:space="preserve">by another </w:t>
      </w:r>
      <w:r w:rsidR="00A65A44" w:rsidRPr="00A65A44">
        <w:rPr>
          <w:rFonts w:ascii="Garamond" w:hAnsi="Garamond"/>
          <w:sz w:val="22"/>
          <w:szCs w:val="22"/>
        </w:rPr>
        <w:t>0.25 p</w:t>
      </w:r>
      <w:r w:rsidR="00404628">
        <w:rPr>
          <w:rFonts w:ascii="Garamond" w:hAnsi="Garamond"/>
          <w:sz w:val="22"/>
          <w:szCs w:val="22"/>
        </w:rPr>
        <w:t>p</w:t>
      </w:r>
      <w:r w:rsidR="00A65A44" w:rsidRPr="00A65A44">
        <w:rPr>
          <w:rFonts w:ascii="Garamond" w:hAnsi="Garamond"/>
          <w:sz w:val="22"/>
          <w:szCs w:val="22"/>
        </w:rPr>
        <w:t>.</w:t>
      </w:r>
      <w:r w:rsidR="00404628">
        <w:rPr>
          <w:rFonts w:ascii="Garamond" w:hAnsi="Garamond"/>
          <w:sz w:val="22"/>
          <w:szCs w:val="22"/>
        </w:rPr>
        <w:t xml:space="preserve"> </w:t>
      </w:r>
      <w:r w:rsidR="00A65A44">
        <w:rPr>
          <w:rFonts w:ascii="Garamond" w:hAnsi="Garamond"/>
          <w:sz w:val="22"/>
          <w:szCs w:val="22"/>
        </w:rPr>
        <w:t>At the same time,</w:t>
      </w:r>
      <w:r w:rsidR="0086276B">
        <w:rPr>
          <w:rFonts w:ascii="Garamond" w:hAnsi="Garamond"/>
          <w:sz w:val="22"/>
          <w:szCs w:val="22"/>
        </w:rPr>
        <w:t xml:space="preserve"> </w:t>
      </w:r>
      <w:r w:rsidR="00303988" w:rsidRPr="00303988">
        <w:rPr>
          <w:rFonts w:ascii="Garamond" w:hAnsi="Garamond"/>
          <w:sz w:val="22"/>
          <w:szCs w:val="22"/>
        </w:rPr>
        <w:t>the C</w:t>
      </w:r>
      <w:r w:rsidR="0086276B">
        <w:rPr>
          <w:rFonts w:ascii="Garamond" w:hAnsi="Garamond"/>
          <w:sz w:val="22"/>
          <w:szCs w:val="22"/>
        </w:rPr>
        <w:t xml:space="preserve">entral </w:t>
      </w:r>
      <w:r w:rsidR="00303988" w:rsidRPr="00303988">
        <w:rPr>
          <w:rFonts w:ascii="Garamond" w:hAnsi="Garamond"/>
          <w:sz w:val="22"/>
          <w:szCs w:val="22"/>
        </w:rPr>
        <w:t>B</w:t>
      </w:r>
      <w:r w:rsidR="0086276B">
        <w:rPr>
          <w:rFonts w:ascii="Garamond" w:hAnsi="Garamond"/>
          <w:sz w:val="22"/>
          <w:szCs w:val="22"/>
        </w:rPr>
        <w:t>ank</w:t>
      </w:r>
      <w:r w:rsidR="00303988" w:rsidRPr="00303988">
        <w:rPr>
          <w:rFonts w:ascii="Garamond" w:hAnsi="Garamond"/>
          <w:sz w:val="22"/>
          <w:szCs w:val="22"/>
        </w:rPr>
        <w:t xml:space="preserve"> </w:t>
      </w:r>
      <w:r w:rsidR="0086276B">
        <w:rPr>
          <w:rFonts w:ascii="Garamond" w:hAnsi="Garamond"/>
          <w:sz w:val="22"/>
          <w:szCs w:val="22"/>
        </w:rPr>
        <w:t xml:space="preserve">signaled </w:t>
      </w:r>
      <w:r w:rsidR="00A65A44">
        <w:rPr>
          <w:rFonts w:ascii="Garamond" w:hAnsi="Garamond"/>
          <w:sz w:val="22"/>
          <w:szCs w:val="22"/>
        </w:rPr>
        <w:t xml:space="preserve">the financial market </w:t>
      </w:r>
      <w:r w:rsidR="0086276B">
        <w:rPr>
          <w:rFonts w:ascii="Garamond" w:hAnsi="Garamond"/>
          <w:sz w:val="22"/>
          <w:szCs w:val="22"/>
        </w:rPr>
        <w:t>that the monetary conditions w</w:t>
      </w:r>
      <w:r w:rsidR="004A7225">
        <w:rPr>
          <w:rFonts w:ascii="Garamond" w:hAnsi="Garamond"/>
          <w:sz w:val="22"/>
          <w:szCs w:val="22"/>
        </w:rPr>
        <w:t>ould</w:t>
      </w:r>
      <w:r w:rsidR="0086276B">
        <w:rPr>
          <w:rFonts w:ascii="Garamond" w:hAnsi="Garamond"/>
          <w:sz w:val="22"/>
          <w:szCs w:val="22"/>
        </w:rPr>
        <w:t xml:space="preserve"> remain expansionary for as long a period as required</w:t>
      </w:r>
      <w:r w:rsidR="004A7225">
        <w:rPr>
          <w:rFonts w:ascii="Garamond" w:hAnsi="Garamond"/>
          <w:sz w:val="22"/>
          <w:szCs w:val="22"/>
        </w:rPr>
        <w:t>, in fulfillment of the inflation target</w:t>
      </w:r>
      <w:r w:rsidR="00F62C2E">
        <w:rPr>
          <w:rFonts w:ascii="Garamond" w:hAnsi="Garamond"/>
          <w:sz w:val="22"/>
          <w:szCs w:val="22"/>
        </w:rPr>
        <w:t xml:space="preserve"> in the medium run</w:t>
      </w:r>
      <w:r w:rsidR="00303988" w:rsidRPr="00303988">
        <w:rPr>
          <w:rFonts w:ascii="Garamond" w:hAnsi="Garamond"/>
          <w:sz w:val="22"/>
          <w:szCs w:val="22"/>
        </w:rPr>
        <w:t>.</w:t>
      </w:r>
    </w:p>
    <w:p w14:paraId="748BC066" w14:textId="77777777" w:rsidR="0086276B" w:rsidRDefault="0086276B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306102E4" w14:textId="77777777" w:rsidR="001E301B" w:rsidRPr="00EE5F0F" w:rsidRDefault="001E301B" w:rsidP="00933B63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3.1.2. Prices</w:t>
      </w:r>
    </w:p>
    <w:p w14:paraId="14B8A5CB" w14:textId="77777777" w:rsidR="00947280" w:rsidRDefault="00947280" w:rsidP="00947280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 12-month inflation remained low</w:t>
      </w:r>
      <w:r w:rsidRPr="0094728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in the </w:t>
      </w:r>
      <w:r w:rsidR="00404628">
        <w:rPr>
          <w:rFonts w:ascii="Garamond" w:hAnsi="Garamond"/>
          <w:sz w:val="22"/>
          <w:szCs w:val="22"/>
        </w:rPr>
        <w:t>third</w:t>
      </w:r>
      <w:r>
        <w:rPr>
          <w:rFonts w:ascii="Garamond" w:hAnsi="Garamond"/>
          <w:sz w:val="22"/>
          <w:szCs w:val="22"/>
        </w:rPr>
        <w:t xml:space="preserve"> quarter of 2019, </w:t>
      </w:r>
      <w:r w:rsidR="00404628">
        <w:rPr>
          <w:rFonts w:ascii="Garamond" w:hAnsi="Garamond"/>
          <w:sz w:val="22"/>
          <w:szCs w:val="22"/>
        </w:rPr>
        <w:t>amounting to 0</w:t>
      </w:r>
      <w:r>
        <w:rPr>
          <w:rFonts w:ascii="Garamond" w:hAnsi="Garamond"/>
          <w:sz w:val="22"/>
          <w:szCs w:val="22"/>
        </w:rPr>
        <w:t xml:space="preserve">.5% </w:t>
      </w:r>
      <w:r w:rsidR="00404628">
        <w:rPr>
          <w:rFonts w:ascii="Garamond" w:hAnsi="Garamond"/>
          <w:sz w:val="22"/>
          <w:szCs w:val="22"/>
        </w:rPr>
        <w:t>y/y, mainly driven by a 2</w:t>
      </w:r>
      <w:r>
        <w:rPr>
          <w:rFonts w:ascii="Garamond" w:hAnsi="Garamond"/>
          <w:sz w:val="22"/>
          <w:szCs w:val="22"/>
        </w:rPr>
        <w:t>.</w:t>
      </w:r>
      <w:r w:rsidR="00404628">
        <w:rPr>
          <w:rFonts w:ascii="Garamond" w:hAnsi="Garamond"/>
          <w:sz w:val="22"/>
          <w:szCs w:val="22"/>
        </w:rPr>
        <w:t>7</w:t>
      </w:r>
      <w:r>
        <w:rPr>
          <w:rFonts w:ascii="Garamond" w:hAnsi="Garamond"/>
          <w:sz w:val="22"/>
          <w:szCs w:val="22"/>
        </w:rPr>
        <w:t xml:space="preserve">% </w:t>
      </w:r>
      <w:r w:rsidR="00404628">
        <w:rPr>
          <w:rFonts w:ascii="Garamond" w:hAnsi="Garamond"/>
          <w:sz w:val="22"/>
          <w:szCs w:val="22"/>
        </w:rPr>
        <w:t>fall</w:t>
      </w:r>
      <w:r>
        <w:rPr>
          <w:rFonts w:ascii="Garamond" w:hAnsi="Garamond"/>
          <w:sz w:val="22"/>
          <w:szCs w:val="22"/>
        </w:rPr>
        <w:t xml:space="preserve"> in seasonal prices of food products. </w:t>
      </w:r>
      <w:r w:rsidR="00290CA2">
        <w:rPr>
          <w:rFonts w:ascii="Garamond" w:hAnsi="Garamond"/>
          <w:sz w:val="22"/>
          <w:szCs w:val="22"/>
        </w:rPr>
        <w:t xml:space="preserve">In the </w:t>
      </w:r>
      <w:r>
        <w:rPr>
          <w:rFonts w:ascii="Garamond" w:hAnsi="Garamond"/>
          <w:sz w:val="22"/>
          <w:szCs w:val="22"/>
        </w:rPr>
        <w:t>meantime</w:t>
      </w:r>
      <w:r w:rsidR="00404628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</w:t>
      </w:r>
      <w:r w:rsidR="00290CA2">
        <w:rPr>
          <w:rFonts w:ascii="Garamond" w:hAnsi="Garamond"/>
          <w:sz w:val="22"/>
          <w:szCs w:val="22"/>
        </w:rPr>
        <w:t xml:space="preserve">the 12-month </w:t>
      </w:r>
      <w:r>
        <w:rPr>
          <w:rFonts w:ascii="Garamond" w:hAnsi="Garamond"/>
          <w:sz w:val="22"/>
          <w:szCs w:val="22"/>
        </w:rPr>
        <w:t xml:space="preserve">core </w:t>
      </w:r>
      <w:r w:rsidR="00290CA2">
        <w:rPr>
          <w:rFonts w:ascii="Garamond" w:hAnsi="Garamond"/>
          <w:sz w:val="22"/>
          <w:szCs w:val="22"/>
        </w:rPr>
        <w:t xml:space="preserve">inflation </w:t>
      </w:r>
      <w:r>
        <w:rPr>
          <w:rFonts w:ascii="Garamond" w:hAnsi="Garamond"/>
          <w:sz w:val="22"/>
          <w:szCs w:val="22"/>
        </w:rPr>
        <w:t>has been 1.</w:t>
      </w:r>
      <w:r w:rsidR="00404628">
        <w:rPr>
          <w:rFonts w:ascii="Garamond" w:hAnsi="Garamond"/>
          <w:sz w:val="22"/>
          <w:szCs w:val="22"/>
        </w:rPr>
        <w:t>1</w:t>
      </w:r>
      <w:r>
        <w:rPr>
          <w:rFonts w:ascii="Garamond" w:hAnsi="Garamond"/>
          <w:sz w:val="22"/>
          <w:szCs w:val="22"/>
        </w:rPr>
        <w:t xml:space="preserve">%, while </w:t>
      </w:r>
      <w:r w:rsidR="00054233">
        <w:rPr>
          <w:rFonts w:ascii="Garamond" w:hAnsi="Garamond"/>
          <w:sz w:val="22"/>
          <w:szCs w:val="22"/>
        </w:rPr>
        <w:t xml:space="preserve">the rise of </w:t>
      </w:r>
      <w:r>
        <w:rPr>
          <w:rFonts w:ascii="Garamond" w:hAnsi="Garamond"/>
          <w:sz w:val="22"/>
          <w:szCs w:val="22"/>
        </w:rPr>
        <w:t xml:space="preserve">regulated </w:t>
      </w:r>
      <w:r w:rsidR="00556AD8" w:rsidRPr="00556AD8">
        <w:rPr>
          <w:rFonts w:ascii="Garamond" w:hAnsi="Garamond"/>
          <w:sz w:val="22"/>
          <w:szCs w:val="22"/>
        </w:rPr>
        <w:t>service tariffs</w:t>
      </w:r>
      <w:r w:rsidR="00054233">
        <w:rPr>
          <w:rFonts w:ascii="Garamond" w:hAnsi="Garamond"/>
          <w:sz w:val="22"/>
          <w:szCs w:val="22"/>
        </w:rPr>
        <w:t>, 0.7% y/y.</w:t>
      </w:r>
    </w:p>
    <w:p w14:paraId="0ABD22BC" w14:textId="77777777" w:rsidR="003E2A36" w:rsidRDefault="00947280" w:rsidP="00947280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y/y </w:t>
      </w:r>
      <w:r w:rsidR="00054233">
        <w:rPr>
          <w:rFonts w:ascii="Garamond" w:hAnsi="Garamond"/>
          <w:sz w:val="22"/>
          <w:szCs w:val="22"/>
        </w:rPr>
        <w:t>dec</w:t>
      </w:r>
      <w:r>
        <w:rPr>
          <w:rFonts w:ascii="Garamond" w:hAnsi="Garamond"/>
          <w:sz w:val="22"/>
          <w:szCs w:val="22"/>
        </w:rPr>
        <w:t>rease in s</w:t>
      </w:r>
      <w:r w:rsidRPr="00947280">
        <w:rPr>
          <w:rFonts w:ascii="Garamond" w:hAnsi="Garamond"/>
          <w:sz w:val="22"/>
          <w:szCs w:val="22"/>
        </w:rPr>
        <w:t xml:space="preserve">easonal </w:t>
      </w:r>
      <w:r>
        <w:rPr>
          <w:rFonts w:ascii="Garamond" w:hAnsi="Garamond"/>
          <w:sz w:val="22"/>
          <w:szCs w:val="22"/>
        </w:rPr>
        <w:t xml:space="preserve">prices of food products </w:t>
      </w:r>
      <w:r w:rsidR="00054233">
        <w:rPr>
          <w:rFonts w:ascii="Garamond" w:hAnsi="Garamond"/>
          <w:sz w:val="22"/>
          <w:szCs w:val="22"/>
        </w:rPr>
        <w:t>i</w:t>
      </w:r>
      <w:r w:rsidR="003E2A36">
        <w:rPr>
          <w:rFonts w:ascii="Garamond" w:hAnsi="Garamond"/>
          <w:sz w:val="22"/>
          <w:szCs w:val="22"/>
        </w:rPr>
        <w:t xml:space="preserve">s a result of </w:t>
      </w:r>
      <w:r w:rsidR="00054233">
        <w:rPr>
          <w:rFonts w:ascii="Garamond" w:hAnsi="Garamond"/>
          <w:sz w:val="22"/>
          <w:szCs w:val="22"/>
        </w:rPr>
        <w:t>1</w:t>
      </w:r>
      <w:r w:rsidRPr="00947280">
        <w:rPr>
          <w:rFonts w:ascii="Garamond" w:hAnsi="Garamond"/>
          <w:sz w:val="22"/>
          <w:szCs w:val="22"/>
        </w:rPr>
        <w:t>.</w:t>
      </w:r>
      <w:r w:rsidR="00054233">
        <w:rPr>
          <w:rFonts w:ascii="Garamond" w:hAnsi="Garamond"/>
          <w:sz w:val="22"/>
          <w:szCs w:val="22"/>
        </w:rPr>
        <w:t>9</w:t>
      </w:r>
      <w:r w:rsidRPr="00947280">
        <w:rPr>
          <w:rFonts w:ascii="Garamond" w:hAnsi="Garamond"/>
          <w:sz w:val="22"/>
          <w:szCs w:val="22"/>
        </w:rPr>
        <w:t>%</w:t>
      </w:r>
      <w:r w:rsidR="00054233">
        <w:rPr>
          <w:rFonts w:ascii="Garamond" w:hAnsi="Garamond"/>
          <w:sz w:val="22"/>
          <w:szCs w:val="22"/>
        </w:rPr>
        <w:t xml:space="preserve"> </w:t>
      </w:r>
      <w:r w:rsidRPr="00947280">
        <w:rPr>
          <w:rFonts w:ascii="Garamond" w:hAnsi="Garamond"/>
          <w:sz w:val="22"/>
          <w:szCs w:val="22"/>
        </w:rPr>
        <w:t xml:space="preserve">and </w:t>
      </w:r>
      <w:r w:rsidR="00054233">
        <w:rPr>
          <w:rFonts w:ascii="Garamond" w:hAnsi="Garamond"/>
          <w:sz w:val="22"/>
          <w:szCs w:val="22"/>
        </w:rPr>
        <w:t>4</w:t>
      </w:r>
      <w:r w:rsidRPr="00947280">
        <w:rPr>
          <w:rFonts w:ascii="Garamond" w:hAnsi="Garamond"/>
          <w:sz w:val="22"/>
          <w:szCs w:val="22"/>
        </w:rPr>
        <w:t>.</w:t>
      </w:r>
      <w:r w:rsidR="00054233">
        <w:rPr>
          <w:rFonts w:ascii="Garamond" w:hAnsi="Garamond"/>
          <w:sz w:val="22"/>
          <w:szCs w:val="22"/>
        </w:rPr>
        <w:t>0</w:t>
      </w:r>
      <w:r w:rsidRPr="00947280">
        <w:rPr>
          <w:rFonts w:ascii="Garamond" w:hAnsi="Garamond"/>
          <w:sz w:val="22"/>
          <w:szCs w:val="22"/>
        </w:rPr>
        <w:t xml:space="preserve">% </w:t>
      </w:r>
      <w:r w:rsidR="00054233">
        <w:rPr>
          <w:rFonts w:ascii="Garamond" w:hAnsi="Garamond"/>
          <w:sz w:val="22"/>
          <w:szCs w:val="22"/>
        </w:rPr>
        <w:t xml:space="preserve">falling in prices of </w:t>
      </w:r>
      <w:r w:rsidR="003E2A36">
        <w:rPr>
          <w:rFonts w:ascii="Garamond" w:hAnsi="Garamond"/>
          <w:sz w:val="22"/>
          <w:szCs w:val="22"/>
        </w:rPr>
        <w:t>items “</w:t>
      </w:r>
      <w:r w:rsidRPr="00947280">
        <w:rPr>
          <w:rFonts w:ascii="Garamond" w:hAnsi="Garamond"/>
          <w:sz w:val="22"/>
          <w:szCs w:val="22"/>
        </w:rPr>
        <w:t>Fruit</w:t>
      </w:r>
      <w:r w:rsidR="003E2A36">
        <w:rPr>
          <w:rFonts w:ascii="Garamond" w:hAnsi="Garamond"/>
          <w:sz w:val="22"/>
          <w:szCs w:val="22"/>
        </w:rPr>
        <w:t>”</w:t>
      </w:r>
      <w:r w:rsidR="00054233">
        <w:rPr>
          <w:rFonts w:ascii="Garamond" w:hAnsi="Garamond"/>
          <w:sz w:val="22"/>
          <w:szCs w:val="22"/>
        </w:rPr>
        <w:t xml:space="preserve"> and</w:t>
      </w:r>
      <w:r w:rsidRPr="00947280">
        <w:rPr>
          <w:rFonts w:ascii="Garamond" w:hAnsi="Garamond"/>
          <w:sz w:val="22"/>
          <w:szCs w:val="22"/>
        </w:rPr>
        <w:t xml:space="preserve"> </w:t>
      </w:r>
      <w:r w:rsidR="003E2A36">
        <w:rPr>
          <w:rFonts w:ascii="Garamond" w:hAnsi="Garamond"/>
          <w:sz w:val="22"/>
          <w:szCs w:val="22"/>
        </w:rPr>
        <w:t>“Vegetable</w:t>
      </w:r>
      <w:r w:rsidR="00054233">
        <w:rPr>
          <w:rFonts w:ascii="Garamond" w:hAnsi="Garamond"/>
          <w:sz w:val="22"/>
          <w:szCs w:val="22"/>
        </w:rPr>
        <w:t>”</w:t>
      </w:r>
      <w:r w:rsidR="003E2A36">
        <w:rPr>
          <w:rFonts w:ascii="Garamond" w:hAnsi="Garamond"/>
          <w:sz w:val="22"/>
          <w:szCs w:val="22"/>
        </w:rPr>
        <w:t>,</w:t>
      </w:r>
      <w:r w:rsidRPr="00947280">
        <w:rPr>
          <w:rFonts w:ascii="Garamond" w:hAnsi="Garamond"/>
          <w:sz w:val="22"/>
          <w:szCs w:val="22"/>
        </w:rPr>
        <w:t xml:space="preserve"> respectively (</w:t>
      </w:r>
      <w:r w:rsidR="003E2A36">
        <w:rPr>
          <w:rFonts w:ascii="Garamond" w:hAnsi="Garamond"/>
          <w:sz w:val="22"/>
          <w:szCs w:val="22"/>
        </w:rPr>
        <w:t xml:space="preserve">combined </w:t>
      </w:r>
      <w:r w:rsidRPr="00947280">
        <w:rPr>
          <w:rFonts w:ascii="Garamond" w:hAnsi="Garamond"/>
          <w:sz w:val="22"/>
          <w:szCs w:val="22"/>
        </w:rPr>
        <w:t xml:space="preserve">contribution to </w:t>
      </w:r>
      <w:r w:rsidR="003E2A36">
        <w:rPr>
          <w:rFonts w:ascii="Garamond" w:hAnsi="Garamond"/>
          <w:sz w:val="22"/>
          <w:szCs w:val="22"/>
        </w:rPr>
        <w:t xml:space="preserve">y/y </w:t>
      </w:r>
      <w:r w:rsidRPr="00947280">
        <w:rPr>
          <w:rFonts w:ascii="Garamond" w:hAnsi="Garamond"/>
          <w:sz w:val="22"/>
          <w:szCs w:val="22"/>
        </w:rPr>
        <w:t>inflation</w:t>
      </w:r>
      <w:r w:rsidR="003E2A36">
        <w:rPr>
          <w:rFonts w:ascii="Garamond" w:hAnsi="Garamond"/>
          <w:sz w:val="22"/>
          <w:szCs w:val="22"/>
        </w:rPr>
        <w:t>:</w:t>
      </w:r>
      <w:r w:rsidRPr="00947280">
        <w:rPr>
          <w:rFonts w:ascii="Garamond" w:hAnsi="Garamond"/>
          <w:sz w:val="22"/>
          <w:szCs w:val="22"/>
        </w:rPr>
        <w:t xml:space="preserve"> </w:t>
      </w:r>
      <w:r w:rsidR="00054233">
        <w:rPr>
          <w:rFonts w:ascii="Garamond" w:hAnsi="Garamond"/>
          <w:sz w:val="22"/>
          <w:szCs w:val="22"/>
        </w:rPr>
        <w:t>-0</w:t>
      </w:r>
      <w:r w:rsidRPr="00947280">
        <w:rPr>
          <w:rFonts w:ascii="Garamond" w:hAnsi="Garamond"/>
          <w:sz w:val="22"/>
          <w:szCs w:val="22"/>
        </w:rPr>
        <w:t>.</w:t>
      </w:r>
      <w:r w:rsidR="00054233">
        <w:rPr>
          <w:rFonts w:ascii="Garamond" w:hAnsi="Garamond"/>
          <w:sz w:val="22"/>
          <w:szCs w:val="22"/>
        </w:rPr>
        <w:t>3</w:t>
      </w:r>
      <w:r w:rsidRPr="00947280">
        <w:rPr>
          <w:rFonts w:ascii="Garamond" w:hAnsi="Garamond"/>
          <w:sz w:val="22"/>
          <w:szCs w:val="22"/>
        </w:rPr>
        <w:t xml:space="preserve"> p</w:t>
      </w:r>
      <w:r w:rsidR="003E2A36">
        <w:rPr>
          <w:rFonts w:ascii="Garamond" w:hAnsi="Garamond"/>
          <w:sz w:val="22"/>
          <w:szCs w:val="22"/>
        </w:rPr>
        <w:t>p</w:t>
      </w:r>
      <w:r w:rsidRPr="00947280">
        <w:rPr>
          <w:rFonts w:ascii="Garamond" w:hAnsi="Garamond"/>
          <w:sz w:val="22"/>
          <w:szCs w:val="22"/>
        </w:rPr>
        <w:t>).</w:t>
      </w:r>
      <w:r w:rsidR="003E2A36">
        <w:rPr>
          <w:rFonts w:ascii="Garamond" w:hAnsi="Garamond"/>
          <w:sz w:val="22"/>
          <w:szCs w:val="22"/>
        </w:rPr>
        <w:t xml:space="preserve"> </w:t>
      </w:r>
    </w:p>
    <w:p w14:paraId="14EA2C70" w14:textId="77777777" w:rsidR="003E2A36" w:rsidRDefault="003E2A36" w:rsidP="00947280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y/y increase in core inflation rate </w:t>
      </w:r>
      <w:r w:rsidR="005E32CF">
        <w:rPr>
          <w:rFonts w:ascii="Garamond" w:hAnsi="Garamond"/>
          <w:sz w:val="22"/>
          <w:szCs w:val="22"/>
        </w:rPr>
        <w:t>was mainly driven by 3.3%</w:t>
      </w:r>
      <w:r w:rsidR="007D1943">
        <w:rPr>
          <w:rFonts w:ascii="Garamond" w:hAnsi="Garamond"/>
          <w:sz w:val="22"/>
          <w:szCs w:val="22"/>
        </w:rPr>
        <w:t xml:space="preserve"> and</w:t>
      </w:r>
      <w:r w:rsidR="005E32CF">
        <w:rPr>
          <w:rFonts w:ascii="Garamond" w:hAnsi="Garamond"/>
          <w:sz w:val="22"/>
          <w:szCs w:val="22"/>
        </w:rPr>
        <w:t xml:space="preserve"> 7</w:t>
      </w:r>
      <w:r w:rsidRPr="003E2A36">
        <w:rPr>
          <w:rFonts w:ascii="Garamond" w:hAnsi="Garamond"/>
          <w:sz w:val="22"/>
          <w:szCs w:val="22"/>
        </w:rPr>
        <w:t>.</w:t>
      </w:r>
      <w:r w:rsidR="005E32CF">
        <w:rPr>
          <w:rFonts w:ascii="Garamond" w:hAnsi="Garamond"/>
          <w:sz w:val="22"/>
          <w:szCs w:val="22"/>
        </w:rPr>
        <w:t>3</w:t>
      </w:r>
      <w:r w:rsidRPr="003E2A36">
        <w:rPr>
          <w:rFonts w:ascii="Garamond" w:hAnsi="Garamond"/>
          <w:sz w:val="22"/>
          <w:szCs w:val="22"/>
        </w:rPr>
        <w:t xml:space="preserve">% </w:t>
      </w:r>
      <w:r>
        <w:rPr>
          <w:rFonts w:ascii="Garamond" w:hAnsi="Garamond"/>
          <w:sz w:val="22"/>
          <w:szCs w:val="22"/>
        </w:rPr>
        <w:t>growths reported for items “</w:t>
      </w:r>
      <w:r w:rsidRPr="003E2A36">
        <w:rPr>
          <w:rFonts w:ascii="Garamond" w:hAnsi="Garamond"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 xml:space="preserve">read products </w:t>
      </w:r>
      <w:r w:rsidRPr="003E2A36">
        <w:rPr>
          <w:rFonts w:ascii="Garamond" w:hAnsi="Garamond"/>
          <w:sz w:val="22"/>
          <w:szCs w:val="22"/>
        </w:rPr>
        <w:t xml:space="preserve">and </w:t>
      </w:r>
      <w:r>
        <w:rPr>
          <w:rFonts w:ascii="Garamond" w:hAnsi="Garamond"/>
          <w:sz w:val="22"/>
          <w:szCs w:val="22"/>
        </w:rPr>
        <w:t>wheat”</w:t>
      </w:r>
      <w:r w:rsidR="007D1943">
        <w:rPr>
          <w:rFonts w:ascii="Garamond" w:hAnsi="Garamond"/>
          <w:sz w:val="22"/>
          <w:szCs w:val="22"/>
        </w:rPr>
        <w:t xml:space="preserve"> and</w:t>
      </w:r>
      <w:r w:rsidRPr="003E2A3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“</w:t>
      </w:r>
      <w:r w:rsidRPr="003E2A36">
        <w:rPr>
          <w:rFonts w:ascii="Garamond" w:hAnsi="Garamond"/>
          <w:sz w:val="22"/>
          <w:szCs w:val="22"/>
        </w:rPr>
        <w:t>Tobacco</w:t>
      </w:r>
      <w:r>
        <w:rPr>
          <w:rFonts w:ascii="Garamond" w:hAnsi="Garamond"/>
          <w:sz w:val="22"/>
          <w:szCs w:val="22"/>
        </w:rPr>
        <w:t>”</w:t>
      </w:r>
      <w:r w:rsidR="007D1943">
        <w:rPr>
          <w:rFonts w:ascii="Garamond" w:hAnsi="Garamond"/>
          <w:sz w:val="22"/>
          <w:szCs w:val="22"/>
        </w:rPr>
        <w:t>, and 7</w:t>
      </w:r>
      <w:r w:rsidR="007D1943" w:rsidRPr="003E2A36">
        <w:rPr>
          <w:rFonts w:ascii="Garamond" w:hAnsi="Garamond"/>
          <w:sz w:val="22"/>
          <w:szCs w:val="22"/>
        </w:rPr>
        <w:t>.</w:t>
      </w:r>
      <w:r w:rsidR="007D1943">
        <w:rPr>
          <w:rFonts w:ascii="Garamond" w:hAnsi="Garamond"/>
          <w:sz w:val="22"/>
          <w:szCs w:val="22"/>
        </w:rPr>
        <w:t>1</w:t>
      </w:r>
      <w:r w:rsidR="007D1943" w:rsidRPr="003E2A36">
        <w:rPr>
          <w:rFonts w:ascii="Garamond" w:hAnsi="Garamond"/>
          <w:sz w:val="22"/>
          <w:szCs w:val="22"/>
        </w:rPr>
        <w:t>%</w:t>
      </w:r>
      <w:r w:rsidR="007D1943">
        <w:rPr>
          <w:rFonts w:ascii="Garamond" w:hAnsi="Garamond"/>
          <w:sz w:val="22"/>
          <w:szCs w:val="22"/>
        </w:rPr>
        <w:t>, 12.3% and 3.2%</w:t>
      </w:r>
      <w:r w:rsidRPr="003E2A36">
        <w:rPr>
          <w:rFonts w:ascii="Garamond" w:hAnsi="Garamond"/>
          <w:sz w:val="22"/>
          <w:szCs w:val="22"/>
        </w:rPr>
        <w:t xml:space="preserve"> </w:t>
      </w:r>
      <w:r w:rsidR="007D1943">
        <w:rPr>
          <w:rFonts w:ascii="Garamond" w:hAnsi="Garamond"/>
          <w:sz w:val="22"/>
          <w:szCs w:val="22"/>
        </w:rPr>
        <w:t xml:space="preserve">growths </w:t>
      </w:r>
      <w:r w:rsidR="005E32CF">
        <w:rPr>
          <w:rFonts w:ascii="Garamond" w:hAnsi="Garamond"/>
          <w:sz w:val="22"/>
          <w:szCs w:val="22"/>
        </w:rPr>
        <w:t xml:space="preserve">for </w:t>
      </w:r>
      <w:r w:rsidRPr="003E2A36">
        <w:rPr>
          <w:rFonts w:ascii="Garamond" w:hAnsi="Garamond"/>
          <w:sz w:val="22"/>
          <w:szCs w:val="22"/>
        </w:rPr>
        <w:t xml:space="preserve">items </w:t>
      </w:r>
      <w:r w:rsidR="00BB2B00">
        <w:rPr>
          <w:rFonts w:ascii="Garamond" w:hAnsi="Garamond"/>
          <w:sz w:val="22"/>
          <w:szCs w:val="22"/>
        </w:rPr>
        <w:t>“</w:t>
      </w:r>
      <w:r w:rsidRPr="003E2A36">
        <w:rPr>
          <w:rFonts w:ascii="Garamond" w:hAnsi="Garamond"/>
          <w:sz w:val="22"/>
          <w:szCs w:val="22"/>
        </w:rPr>
        <w:t>Cloth</w:t>
      </w:r>
      <w:r w:rsidR="00BB2B00">
        <w:rPr>
          <w:rFonts w:ascii="Garamond" w:hAnsi="Garamond"/>
          <w:sz w:val="22"/>
          <w:szCs w:val="22"/>
        </w:rPr>
        <w:t>es”</w:t>
      </w:r>
      <w:r w:rsidRPr="003E2A36">
        <w:rPr>
          <w:rFonts w:ascii="Garamond" w:hAnsi="Garamond"/>
          <w:sz w:val="22"/>
          <w:szCs w:val="22"/>
        </w:rPr>
        <w:t xml:space="preserve">, </w:t>
      </w:r>
      <w:r w:rsidR="00BB2B00">
        <w:rPr>
          <w:rFonts w:ascii="Garamond" w:hAnsi="Garamond"/>
          <w:sz w:val="22"/>
          <w:szCs w:val="22"/>
        </w:rPr>
        <w:t>“Footwear”</w:t>
      </w:r>
      <w:r w:rsidRPr="003E2A36">
        <w:rPr>
          <w:rFonts w:ascii="Garamond" w:hAnsi="Garamond"/>
          <w:sz w:val="22"/>
          <w:szCs w:val="22"/>
        </w:rPr>
        <w:t xml:space="preserve"> and </w:t>
      </w:r>
      <w:r w:rsidR="00BB2B00">
        <w:rPr>
          <w:rFonts w:ascii="Garamond" w:hAnsi="Garamond"/>
          <w:sz w:val="22"/>
          <w:szCs w:val="22"/>
        </w:rPr>
        <w:t>“</w:t>
      </w:r>
      <w:r w:rsidRPr="003E2A36">
        <w:rPr>
          <w:rFonts w:ascii="Garamond" w:hAnsi="Garamond"/>
          <w:sz w:val="22"/>
          <w:szCs w:val="22"/>
        </w:rPr>
        <w:t>Fuel</w:t>
      </w:r>
      <w:r w:rsidR="00BB2B00">
        <w:rPr>
          <w:rFonts w:ascii="Garamond" w:hAnsi="Garamond"/>
          <w:sz w:val="22"/>
          <w:szCs w:val="22"/>
        </w:rPr>
        <w:t>”,</w:t>
      </w:r>
      <w:r w:rsidRPr="003E2A36">
        <w:rPr>
          <w:rFonts w:ascii="Garamond" w:hAnsi="Garamond"/>
          <w:sz w:val="22"/>
          <w:szCs w:val="22"/>
        </w:rPr>
        <w:t xml:space="preserve"> respectively</w:t>
      </w:r>
      <w:r w:rsidR="00BB2B00">
        <w:rPr>
          <w:rFonts w:ascii="Garamond" w:hAnsi="Garamond"/>
          <w:sz w:val="22"/>
          <w:szCs w:val="22"/>
        </w:rPr>
        <w:t xml:space="preserve"> </w:t>
      </w:r>
      <w:r w:rsidRPr="003E2A36">
        <w:rPr>
          <w:rFonts w:ascii="Garamond" w:hAnsi="Garamond"/>
          <w:sz w:val="22"/>
          <w:szCs w:val="22"/>
        </w:rPr>
        <w:t>(</w:t>
      </w:r>
      <w:r w:rsidR="00BB2B00">
        <w:rPr>
          <w:rFonts w:ascii="Garamond" w:hAnsi="Garamond"/>
          <w:sz w:val="22"/>
          <w:szCs w:val="22"/>
        </w:rPr>
        <w:t xml:space="preserve">combined </w:t>
      </w:r>
      <w:r w:rsidRPr="003E2A36">
        <w:rPr>
          <w:rFonts w:ascii="Garamond" w:hAnsi="Garamond"/>
          <w:sz w:val="22"/>
          <w:szCs w:val="22"/>
        </w:rPr>
        <w:t xml:space="preserve">contribution to </w:t>
      </w:r>
      <w:r w:rsidR="00FB5E48">
        <w:rPr>
          <w:rFonts w:ascii="Garamond" w:hAnsi="Garamond"/>
          <w:sz w:val="22"/>
          <w:szCs w:val="22"/>
        </w:rPr>
        <w:t xml:space="preserve">y/y </w:t>
      </w:r>
      <w:r w:rsidR="00BB2B00">
        <w:rPr>
          <w:rFonts w:ascii="Garamond" w:hAnsi="Garamond"/>
          <w:sz w:val="22"/>
          <w:szCs w:val="22"/>
        </w:rPr>
        <w:t xml:space="preserve">inflation: </w:t>
      </w:r>
      <w:r w:rsidR="005E32CF">
        <w:rPr>
          <w:rFonts w:ascii="Garamond" w:hAnsi="Garamond"/>
          <w:sz w:val="22"/>
          <w:szCs w:val="22"/>
        </w:rPr>
        <w:t>about 1.0</w:t>
      </w:r>
      <w:r w:rsidRPr="003E2A36">
        <w:rPr>
          <w:rFonts w:ascii="Garamond" w:hAnsi="Garamond"/>
          <w:sz w:val="22"/>
          <w:szCs w:val="22"/>
        </w:rPr>
        <w:t xml:space="preserve"> p</w:t>
      </w:r>
      <w:r w:rsidR="00BB2B00">
        <w:rPr>
          <w:rFonts w:ascii="Garamond" w:hAnsi="Garamond"/>
          <w:sz w:val="22"/>
          <w:szCs w:val="22"/>
        </w:rPr>
        <w:t>p</w:t>
      </w:r>
      <w:r w:rsidRPr="003E2A36">
        <w:rPr>
          <w:rFonts w:ascii="Garamond" w:hAnsi="Garamond"/>
          <w:sz w:val="22"/>
          <w:szCs w:val="22"/>
        </w:rPr>
        <w:t>).</w:t>
      </w:r>
      <w:r w:rsidR="00FB5E48">
        <w:rPr>
          <w:rFonts w:ascii="Garamond" w:hAnsi="Garamond"/>
          <w:sz w:val="22"/>
          <w:szCs w:val="22"/>
        </w:rPr>
        <w:t xml:space="preserve"> </w:t>
      </w:r>
      <w:r w:rsidR="00CF2726">
        <w:rPr>
          <w:rFonts w:ascii="Garamond" w:hAnsi="Garamond"/>
          <w:sz w:val="22"/>
          <w:szCs w:val="22"/>
        </w:rPr>
        <w:t>At the same time, the decline in</w:t>
      </w:r>
      <w:r w:rsidRPr="003E2A36">
        <w:rPr>
          <w:rFonts w:ascii="Garamond" w:hAnsi="Garamond"/>
          <w:sz w:val="22"/>
          <w:szCs w:val="22"/>
        </w:rPr>
        <w:t xml:space="preserve"> </w:t>
      </w:r>
      <w:r w:rsidR="00CF2726">
        <w:rPr>
          <w:rFonts w:ascii="Garamond" w:hAnsi="Garamond"/>
          <w:sz w:val="22"/>
          <w:szCs w:val="22"/>
        </w:rPr>
        <w:t xml:space="preserve">prices </w:t>
      </w:r>
      <w:r w:rsidR="00625265">
        <w:rPr>
          <w:rFonts w:ascii="Garamond" w:hAnsi="Garamond"/>
          <w:sz w:val="22"/>
          <w:szCs w:val="22"/>
        </w:rPr>
        <w:t xml:space="preserve">of food products </w:t>
      </w:r>
      <w:r w:rsidRPr="003E2A36">
        <w:rPr>
          <w:rFonts w:ascii="Garamond" w:hAnsi="Garamond"/>
          <w:sz w:val="22"/>
          <w:szCs w:val="22"/>
        </w:rPr>
        <w:t>in international markets</w:t>
      </w:r>
      <w:r w:rsidR="00CF2726">
        <w:rPr>
          <w:rFonts w:ascii="Garamond" w:hAnsi="Garamond"/>
          <w:sz w:val="22"/>
          <w:szCs w:val="22"/>
        </w:rPr>
        <w:t xml:space="preserve"> has pushed </w:t>
      </w:r>
      <w:r w:rsidR="00CF2726" w:rsidRPr="003E2A36">
        <w:rPr>
          <w:rFonts w:ascii="Garamond" w:hAnsi="Garamond"/>
          <w:sz w:val="22"/>
          <w:szCs w:val="22"/>
        </w:rPr>
        <w:t xml:space="preserve">the domestic </w:t>
      </w:r>
      <w:r w:rsidR="00CF2726">
        <w:rPr>
          <w:rFonts w:ascii="Garamond" w:hAnsi="Garamond"/>
          <w:sz w:val="22"/>
          <w:szCs w:val="22"/>
        </w:rPr>
        <w:t>prices of t</w:t>
      </w:r>
      <w:r w:rsidR="00CF2726" w:rsidRPr="003E2A36">
        <w:rPr>
          <w:rFonts w:ascii="Garamond" w:hAnsi="Garamond"/>
          <w:sz w:val="22"/>
          <w:szCs w:val="22"/>
        </w:rPr>
        <w:t xml:space="preserve">hese products </w:t>
      </w:r>
      <w:r w:rsidR="00CF2726">
        <w:rPr>
          <w:rFonts w:ascii="Garamond" w:hAnsi="Garamond"/>
          <w:sz w:val="22"/>
          <w:szCs w:val="22"/>
        </w:rPr>
        <w:t>down</w:t>
      </w:r>
      <w:r w:rsidRPr="003E2A36">
        <w:rPr>
          <w:rFonts w:ascii="Garamond" w:hAnsi="Garamond"/>
          <w:sz w:val="22"/>
          <w:szCs w:val="22"/>
        </w:rPr>
        <w:t>.</w:t>
      </w:r>
      <w:r w:rsidR="00625265">
        <w:rPr>
          <w:rFonts w:ascii="Garamond" w:hAnsi="Garamond"/>
          <w:sz w:val="22"/>
          <w:szCs w:val="22"/>
        </w:rPr>
        <w:t xml:space="preserve"> </w:t>
      </w:r>
      <w:r w:rsidR="00625265" w:rsidRPr="00625265">
        <w:rPr>
          <w:rFonts w:ascii="Garamond" w:hAnsi="Garamond"/>
          <w:sz w:val="22"/>
          <w:szCs w:val="22"/>
        </w:rPr>
        <w:t xml:space="preserve">As a result, </w:t>
      </w:r>
      <w:r w:rsidR="00A05F9B" w:rsidRPr="00625265">
        <w:rPr>
          <w:rFonts w:ascii="Garamond" w:hAnsi="Garamond"/>
          <w:sz w:val="22"/>
          <w:szCs w:val="22"/>
        </w:rPr>
        <w:t>gradually declining from 4.6%</w:t>
      </w:r>
      <w:r w:rsidR="00A05F9B">
        <w:rPr>
          <w:rFonts w:ascii="Garamond" w:hAnsi="Garamond"/>
          <w:sz w:val="22"/>
          <w:szCs w:val="22"/>
        </w:rPr>
        <w:t xml:space="preserve"> y/y over </w:t>
      </w:r>
      <w:r w:rsidR="00A05F9B" w:rsidRPr="00625265">
        <w:rPr>
          <w:rFonts w:ascii="Garamond" w:hAnsi="Garamond"/>
          <w:sz w:val="22"/>
          <w:szCs w:val="22"/>
        </w:rPr>
        <w:t xml:space="preserve">the </w:t>
      </w:r>
      <w:r w:rsidR="00A05F9B">
        <w:rPr>
          <w:rFonts w:ascii="Garamond" w:hAnsi="Garamond"/>
          <w:sz w:val="22"/>
          <w:szCs w:val="22"/>
        </w:rPr>
        <w:t xml:space="preserve">past one-year horizon, </w:t>
      </w:r>
      <w:r w:rsidR="00625265">
        <w:rPr>
          <w:rFonts w:ascii="Garamond" w:hAnsi="Garamond"/>
          <w:sz w:val="22"/>
          <w:szCs w:val="22"/>
        </w:rPr>
        <w:t xml:space="preserve">price </w:t>
      </w:r>
      <w:r w:rsidR="00625265" w:rsidRPr="00625265">
        <w:rPr>
          <w:rFonts w:ascii="Garamond" w:hAnsi="Garamond"/>
          <w:sz w:val="22"/>
          <w:szCs w:val="22"/>
        </w:rPr>
        <w:t xml:space="preserve">inflation </w:t>
      </w:r>
      <w:r w:rsidR="00625265">
        <w:rPr>
          <w:rFonts w:ascii="Garamond" w:hAnsi="Garamond"/>
          <w:sz w:val="22"/>
          <w:szCs w:val="22"/>
        </w:rPr>
        <w:t xml:space="preserve">on </w:t>
      </w:r>
      <w:r w:rsidR="00625265" w:rsidRPr="00625265">
        <w:rPr>
          <w:rFonts w:ascii="Garamond" w:hAnsi="Garamond"/>
          <w:sz w:val="22"/>
          <w:szCs w:val="22"/>
        </w:rPr>
        <w:t xml:space="preserve">non-seasonal food products </w:t>
      </w:r>
      <w:r w:rsidR="00A05F9B">
        <w:rPr>
          <w:rFonts w:ascii="Garamond" w:hAnsi="Garamond"/>
          <w:sz w:val="22"/>
          <w:szCs w:val="22"/>
        </w:rPr>
        <w:t xml:space="preserve">amounted to </w:t>
      </w:r>
      <w:r w:rsidR="00625265" w:rsidRPr="00625265">
        <w:rPr>
          <w:rFonts w:ascii="Garamond" w:hAnsi="Garamond"/>
          <w:sz w:val="22"/>
          <w:szCs w:val="22"/>
        </w:rPr>
        <w:t xml:space="preserve">0.2% </w:t>
      </w:r>
      <w:r w:rsidR="00A05F9B">
        <w:rPr>
          <w:rFonts w:ascii="Garamond" w:hAnsi="Garamond"/>
          <w:sz w:val="22"/>
          <w:szCs w:val="22"/>
        </w:rPr>
        <w:t xml:space="preserve">y/y </w:t>
      </w:r>
      <w:r w:rsidR="00625265" w:rsidRPr="00625265">
        <w:rPr>
          <w:rFonts w:ascii="Garamond" w:hAnsi="Garamond"/>
          <w:sz w:val="22"/>
          <w:szCs w:val="22"/>
        </w:rPr>
        <w:t>in September.</w:t>
      </w:r>
      <w:r>
        <w:rPr>
          <w:rFonts w:ascii="Garamond" w:hAnsi="Garamond"/>
          <w:sz w:val="22"/>
          <w:szCs w:val="22"/>
        </w:rPr>
        <w:t xml:space="preserve"> </w:t>
      </w:r>
    </w:p>
    <w:p w14:paraId="76B7899E" w14:textId="77777777" w:rsidR="00210628" w:rsidRDefault="006A09E1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6A09E1">
        <w:rPr>
          <w:rFonts w:ascii="Garamond" w:hAnsi="Garamond"/>
          <w:sz w:val="22"/>
          <w:szCs w:val="22"/>
        </w:rPr>
        <w:t xml:space="preserve">In the past </w:t>
      </w:r>
      <w:r w:rsidR="00F72C8F">
        <w:rPr>
          <w:rFonts w:ascii="Garamond" w:hAnsi="Garamond"/>
          <w:sz w:val="22"/>
          <w:szCs w:val="22"/>
        </w:rPr>
        <w:t>one-year horizon</w:t>
      </w:r>
      <w:r w:rsidRPr="006A09E1">
        <w:rPr>
          <w:rFonts w:ascii="Garamond" w:hAnsi="Garamond"/>
          <w:sz w:val="22"/>
          <w:szCs w:val="22"/>
        </w:rPr>
        <w:t xml:space="preserve">, inflation has been largely in line with demand developments, although </w:t>
      </w:r>
      <w:r>
        <w:rPr>
          <w:rFonts w:ascii="Garamond" w:hAnsi="Garamond"/>
          <w:sz w:val="22"/>
          <w:szCs w:val="22"/>
        </w:rPr>
        <w:t xml:space="preserve">it had </w:t>
      </w:r>
      <w:r w:rsidR="00BB6CD3">
        <w:rPr>
          <w:rFonts w:ascii="Garamond" w:hAnsi="Garamond"/>
          <w:sz w:val="22"/>
          <w:szCs w:val="22"/>
        </w:rPr>
        <w:t>some</w:t>
      </w:r>
      <w:r w:rsidR="001C55C3">
        <w:rPr>
          <w:rFonts w:ascii="Garamond" w:hAnsi="Garamond"/>
          <w:sz w:val="22"/>
          <w:szCs w:val="22"/>
        </w:rPr>
        <w:t>how</w:t>
      </w:r>
      <w:r w:rsidR="00BB6CD3">
        <w:rPr>
          <w:rFonts w:ascii="Garamond" w:hAnsi="Garamond"/>
          <w:sz w:val="22"/>
          <w:szCs w:val="22"/>
        </w:rPr>
        <w:t xml:space="preserve"> incurred the s</w:t>
      </w:r>
      <w:r w:rsidR="00F72C8F">
        <w:rPr>
          <w:rFonts w:ascii="Garamond" w:hAnsi="Garamond"/>
          <w:sz w:val="22"/>
          <w:szCs w:val="22"/>
        </w:rPr>
        <w:t xml:space="preserve">upply-side </w:t>
      </w:r>
      <w:r>
        <w:rPr>
          <w:rFonts w:ascii="Garamond" w:hAnsi="Garamond"/>
          <w:sz w:val="22"/>
          <w:szCs w:val="22"/>
        </w:rPr>
        <w:t xml:space="preserve">impact </w:t>
      </w:r>
      <w:r w:rsidRPr="006A09E1">
        <w:rPr>
          <w:rFonts w:ascii="Garamond" w:hAnsi="Garamond"/>
          <w:sz w:val="22"/>
          <w:szCs w:val="22"/>
        </w:rPr>
        <w:t xml:space="preserve">of </w:t>
      </w:r>
      <w:r>
        <w:rPr>
          <w:rFonts w:ascii="Garamond" w:hAnsi="Garamond"/>
          <w:sz w:val="22"/>
          <w:szCs w:val="22"/>
        </w:rPr>
        <w:t xml:space="preserve">individual </w:t>
      </w:r>
      <w:r w:rsidRPr="006A09E1">
        <w:rPr>
          <w:rFonts w:ascii="Garamond" w:hAnsi="Garamond"/>
          <w:sz w:val="22"/>
          <w:szCs w:val="22"/>
        </w:rPr>
        <w:t xml:space="preserve">products. </w:t>
      </w:r>
      <w:r w:rsidR="001C55C3" w:rsidRPr="001C55C3">
        <w:rPr>
          <w:rFonts w:ascii="Garamond" w:hAnsi="Garamond"/>
          <w:sz w:val="22"/>
          <w:szCs w:val="22"/>
        </w:rPr>
        <w:t xml:space="preserve">At the beginning of the reporting period, due </w:t>
      </w:r>
      <w:r w:rsidR="001C55C3" w:rsidRPr="001C55C3">
        <w:rPr>
          <w:rFonts w:ascii="Garamond" w:hAnsi="Garamond"/>
          <w:sz w:val="22"/>
          <w:szCs w:val="22"/>
        </w:rPr>
        <w:lastRenderedPageBreak/>
        <w:t>to external f</w:t>
      </w:r>
      <w:r w:rsidR="001C55C3">
        <w:rPr>
          <w:rFonts w:ascii="Garamond" w:hAnsi="Garamond"/>
          <w:sz w:val="22"/>
          <w:szCs w:val="22"/>
        </w:rPr>
        <w:t xml:space="preserve">actors, the </w:t>
      </w:r>
      <w:r w:rsidR="001C55C3" w:rsidRPr="001C55C3">
        <w:rPr>
          <w:rFonts w:ascii="Garamond" w:hAnsi="Garamond"/>
          <w:sz w:val="22"/>
          <w:szCs w:val="22"/>
        </w:rPr>
        <w:t>flour and bread prices</w:t>
      </w:r>
      <w:r w:rsidR="001C55C3">
        <w:rPr>
          <w:rFonts w:ascii="Garamond" w:hAnsi="Garamond"/>
          <w:sz w:val="22"/>
          <w:szCs w:val="22"/>
        </w:rPr>
        <w:t xml:space="preserve"> have grown</w:t>
      </w:r>
      <w:r w:rsidR="001C55C3">
        <w:rPr>
          <w:rStyle w:val="FootnoteReference"/>
          <w:rFonts w:ascii="Garamond" w:hAnsi="Garamond"/>
          <w:sz w:val="22"/>
          <w:szCs w:val="22"/>
        </w:rPr>
        <w:footnoteReference w:customMarkFollows="1" w:id="14"/>
        <w:t>25</w:t>
      </w:r>
      <w:r w:rsidR="001C55C3" w:rsidRPr="001C55C3">
        <w:rPr>
          <w:rFonts w:ascii="Garamond" w:hAnsi="Garamond"/>
          <w:sz w:val="22"/>
          <w:szCs w:val="22"/>
        </w:rPr>
        <w:t>, with a</w:t>
      </w:r>
      <w:r w:rsidR="001C55C3">
        <w:rPr>
          <w:rFonts w:ascii="Garamond" w:hAnsi="Garamond"/>
          <w:sz w:val="22"/>
          <w:szCs w:val="22"/>
        </w:rPr>
        <w:t xml:space="preserve">n estimated combined </w:t>
      </w:r>
      <w:r w:rsidR="001C55C3" w:rsidRPr="001C55C3">
        <w:rPr>
          <w:rFonts w:ascii="Garamond" w:hAnsi="Garamond"/>
          <w:sz w:val="22"/>
          <w:szCs w:val="22"/>
        </w:rPr>
        <w:t>inflation</w:t>
      </w:r>
      <w:r w:rsidR="001C55C3">
        <w:rPr>
          <w:rFonts w:ascii="Garamond" w:hAnsi="Garamond"/>
          <w:sz w:val="22"/>
          <w:szCs w:val="22"/>
        </w:rPr>
        <w:t xml:space="preserve"> </w:t>
      </w:r>
      <w:r w:rsidR="001C55C3" w:rsidRPr="001C55C3">
        <w:rPr>
          <w:rFonts w:ascii="Garamond" w:hAnsi="Garamond"/>
          <w:sz w:val="22"/>
          <w:szCs w:val="22"/>
        </w:rPr>
        <w:t xml:space="preserve">impact </w:t>
      </w:r>
      <w:r w:rsidR="001C55C3">
        <w:rPr>
          <w:rFonts w:ascii="Garamond" w:hAnsi="Garamond"/>
          <w:sz w:val="22"/>
          <w:szCs w:val="22"/>
        </w:rPr>
        <w:t>of</w:t>
      </w:r>
      <w:r w:rsidR="001C55C3" w:rsidRPr="001C55C3">
        <w:rPr>
          <w:rFonts w:ascii="Garamond" w:hAnsi="Garamond"/>
          <w:sz w:val="22"/>
          <w:szCs w:val="22"/>
        </w:rPr>
        <w:t xml:space="preserve"> about 0.3 p</w:t>
      </w:r>
      <w:r w:rsidR="001C55C3">
        <w:rPr>
          <w:rFonts w:ascii="Garamond" w:hAnsi="Garamond"/>
          <w:sz w:val="22"/>
          <w:szCs w:val="22"/>
        </w:rPr>
        <w:t xml:space="preserve">p. </w:t>
      </w:r>
    </w:p>
    <w:p w14:paraId="7A2776CB" w14:textId="77777777" w:rsidR="005C339F" w:rsidRDefault="00F72C8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Note that t</w:t>
      </w:r>
      <w:r w:rsidR="0024036F">
        <w:rPr>
          <w:rFonts w:ascii="Garamond" w:hAnsi="Garamond"/>
          <w:sz w:val="22"/>
          <w:szCs w:val="22"/>
        </w:rPr>
        <w:t xml:space="preserve">he inflation impact of the change in </w:t>
      </w:r>
      <w:r w:rsidR="0024036F" w:rsidRPr="003B756E">
        <w:rPr>
          <w:rFonts w:ascii="Garamond" w:hAnsi="Garamond"/>
          <w:sz w:val="22"/>
          <w:szCs w:val="22"/>
        </w:rPr>
        <w:t xml:space="preserve">customs </w:t>
      </w:r>
      <w:r w:rsidR="0024036F">
        <w:rPr>
          <w:rFonts w:ascii="Garamond" w:hAnsi="Garamond"/>
          <w:sz w:val="22"/>
          <w:szCs w:val="22"/>
        </w:rPr>
        <w:t xml:space="preserve">duty on </w:t>
      </w:r>
      <w:r w:rsidR="006A09E1" w:rsidRPr="006A09E1">
        <w:rPr>
          <w:rFonts w:ascii="Garamond" w:hAnsi="Garamond"/>
          <w:sz w:val="22"/>
          <w:szCs w:val="22"/>
        </w:rPr>
        <w:t xml:space="preserve">some commodity </w:t>
      </w:r>
      <w:r w:rsidR="0024036F">
        <w:rPr>
          <w:rFonts w:ascii="Garamond" w:hAnsi="Garamond"/>
          <w:sz w:val="22"/>
          <w:szCs w:val="22"/>
        </w:rPr>
        <w:t xml:space="preserve">groups </w:t>
      </w:r>
      <w:r w:rsidR="001C55C3">
        <w:rPr>
          <w:rFonts w:ascii="Garamond" w:hAnsi="Garamond"/>
          <w:sz w:val="22"/>
          <w:szCs w:val="22"/>
        </w:rPr>
        <w:t>was</w:t>
      </w:r>
      <w:r w:rsidR="006A09E1" w:rsidRPr="006A09E1">
        <w:rPr>
          <w:rFonts w:ascii="Garamond" w:hAnsi="Garamond"/>
          <w:sz w:val="22"/>
          <w:szCs w:val="22"/>
        </w:rPr>
        <w:t xml:space="preserve"> estimated </w:t>
      </w:r>
      <w:r w:rsidR="00210628">
        <w:rPr>
          <w:rFonts w:ascii="Garamond" w:hAnsi="Garamond"/>
          <w:sz w:val="22"/>
          <w:szCs w:val="22"/>
        </w:rPr>
        <w:t>to reach</w:t>
      </w:r>
      <w:r w:rsidR="006A09E1" w:rsidRPr="006A09E1">
        <w:rPr>
          <w:rFonts w:ascii="Garamond" w:hAnsi="Garamond"/>
          <w:sz w:val="22"/>
          <w:szCs w:val="22"/>
        </w:rPr>
        <w:t xml:space="preserve"> 0.3 p</w:t>
      </w:r>
      <w:r w:rsidR="0024036F">
        <w:rPr>
          <w:rFonts w:ascii="Garamond" w:hAnsi="Garamond"/>
          <w:sz w:val="22"/>
          <w:szCs w:val="22"/>
        </w:rPr>
        <w:t>p</w:t>
      </w:r>
      <w:r w:rsidR="006A09E1" w:rsidRPr="006A09E1">
        <w:rPr>
          <w:rFonts w:ascii="Garamond" w:hAnsi="Garamond"/>
          <w:sz w:val="22"/>
          <w:szCs w:val="22"/>
        </w:rPr>
        <w:t xml:space="preserve"> </w:t>
      </w:r>
      <w:r w:rsidR="00210628">
        <w:rPr>
          <w:rFonts w:ascii="Garamond" w:hAnsi="Garamond"/>
          <w:sz w:val="22"/>
          <w:szCs w:val="22"/>
        </w:rPr>
        <w:t>in early 2019,</w:t>
      </w:r>
      <w:r w:rsidR="0024036F">
        <w:rPr>
          <w:rFonts w:ascii="Garamond" w:hAnsi="Garamond"/>
          <w:sz w:val="22"/>
          <w:szCs w:val="22"/>
        </w:rPr>
        <w:t xml:space="preserve"> </w:t>
      </w:r>
      <w:r w:rsidR="006A09E1" w:rsidRPr="006A09E1">
        <w:rPr>
          <w:rFonts w:ascii="Garamond" w:hAnsi="Garamond"/>
          <w:sz w:val="22"/>
          <w:szCs w:val="22"/>
        </w:rPr>
        <w:t>mainly due to the increase in poultry prices.</w:t>
      </w:r>
      <w:r w:rsidR="0024036F">
        <w:rPr>
          <w:rFonts w:ascii="Garamond" w:hAnsi="Garamond"/>
          <w:sz w:val="22"/>
          <w:szCs w:val="22"/>
        </w:rPr>
        <w:t xml:space="preserve"> </w:t>
      </w:r>
      <w:r w:rsidR="00210628" w:rsidRPr="00210628">
        <w:rPr>
          <w:rFonts w:ascii="Garamond" w:hAnsi="Garamond"/>
          <w:sz w:val="22"/>
          <w:szCs w:val="22"/>
        </w:rPr>
        <w:t xml:space="preserve">As for the change in the tobacco and alcohol prices due to </w:t>
      </w:r>
      <w:r w:rsidR="00210628">
        <w:rPr>
          <w:rFonts w:ascii="Garamond" w:hAnsi="Garamond"/>
          <w:sz w:val="22"/>
          <w:szCs w:val="22"/>
        </w:rPr>
        <w:t>new</w:t>
      </w:r>
      <w:r w:rsidR="00210628" w:rsidRPr="00210628">
        <w:rPr>
          <w:rFonts w:ascii="Garamond" w:hAnsi="Garamond"/>
          <w:sz w:val="22"/>
          <w:szCs w:val="22"/>
        </w:rPr>
        <w:t xml:space="preserve"> excise tax rates, the actual impact on the </w:t>
      </w:r>
      <w:r w:rsidR="00210628">
        <w:rPr>
          <w:rFonts w:ascii="Garamond" w:hAnsi="Garamond"/>
          <w:sz w:val="22"/>
          <w:szCs w:val="22"/>
        </w:rPr>
        <w:t>headline</w:t>
      </w:r>
      <w:r w:rsidR="00210628" w:rsidRPr="00210628">
        <w:rPr>
          <w:rFonts w:ascii="Garamond" w:hAnsi="Garamond"/>
          <w:sz w:val="22"/>
          <w:szCs w:val="22"/>
        </w:rPr>
        <w:t xml:space="preserve"> inflation is estimated to be up to 0.2 p</w:t>
      </w:r>
      <w:r w:rsidR="00210628">
        <w:rPr>
          <w:rFonts w:ascii="Garamond" w:hAnsi="Garamond"/>
          <w:sz w:val="22"/>
          <w:szCs w:val="22"/>
        </w:rPr>
        <w:t>p</w:t>
      </w:r>
      <w:r w:rsidR="00210628" w:rsidRPr="00210628">
        <w:rPr>
          <w:rFonts w:ascii="Garamond" w:hAnsi="Garamond"/>
          <w:sz w:val="22"/>
          <w:szCs w:val="22"/>
        </w:rPr>
        <w:t>.</w:t>
      </w:r>
    </w:p>
    <w:p w14:paraId="57054873" w14:textId="77777777" w:rsidR="00F72C8F" w:rsidRDefault="00F72C8F" w:rsidP="006A09E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C00000"/>
          <w:sz w:val="22"/>
          <w:szCs w:val="22"/>
        </w:rPr>
      </w:pPr>
    </w:p>
    <w:p w14:paraId="00B9439D" w14:textId="77777777" w:rsidR="006A09E1" w:rsidRDefault="00210628" w:rsidP="006A09E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C00000"/>
          <w:sz w:val="22"/>
          <w:szCs w:val="22"/>
        </w:rPr>
      </w:pPr>
      <w:r>
        <w:rPr>
          <w:rFonts w:ascii="Garamond" w:hAnsi="Garamond"/>
          <w:b/>
          <w:color w:val="C00000"/>
          <w:sz w:val="22"/>
          <w:szCs w:val="22"/>
        </w:rPr>
        <w:t>Table 5</w:t>
      </w:r>
      <w:r w:rsidR="006A09E1">
        <w:rPr>
          <w:rFonts w:ascii="Garamond" w:hAnsi="Garamond"/>
          <w:b/>
          <w:color w:val="C00000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632" w14:paraId="2EA6AB2F" w14:textId="77777777" w:rsidTr="00C57632">
        <w:tc>
          <w:tcPr>
            <w:tcW w:w="9576" w:type="dxa"/>
          </w:tcPr>
          <w:p w14:paraId="5E639DB9" w14:textId="77777777" w:rsidR="00C57632" w:rsidRPr="00C57632" w:rsidRDefault="00C57632" w:rsidP="0021062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sz w:val="18"/>
                <w:szCs w:val="18"/>
              </w:rPr>
            </w:pPr>
            <w:r w:rsidRPr="00C57632">
              <w:rPr>
                <w:rFonts w:ascii="Garamond" w:hAnsi="Garamond"/>
                <w:color w:val="FF0000"/>
                <w:sz w:val="18"/>
                <w:szCs w:val="18"/>
              </w:rPr>
              <w:t xml:space="preserve">Footnote </w:t>
            </w:r>
            <w:r w:rsidR="00210628">
              <w:rPr>
                <w:rFonts w:ascii="Garamond" w:hAnsi="Garamond"/>
                <w:color w:val="FF0000"/>
                <w:sz w:val="18"/>
                <w:szCs w:val="18"/>
              </w:rPr>
              <w:t>26</w:t>
            </w:r>
            <w:r w:rsidRPr="00C57632">
              <w:rPr>
                <w:rFonts w:ascii="Garamond" w:hAnsi="Garamond"/>
                <w:color w:val="FF0000"/>
                <w:sz w:val="18"/>
                <w:szCs w:val="18"/>
              </w:rPr>
              <w:t xml:space="preserve"> </w:t>
            </w:r>
            <w:r w:rsidR="00210628">
              <w:rPr>
                <w:rFonts w:ascii="Garamond" w:hAnsi="Garamond"/>
                <w:sz w:val="18"/>
                <w:szCs w:val="18"/>
              </w:rPr>
              <w:t xml:space="preserve">The y/y data of structural elements of food products are </w:t>
            </w:r>
            <w:proofErr w:type="spellStart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>calculated</w:t>
            </w:r>
            <w:proofErr w:type="spellEnd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>by</w:t>
            </w:r>
            <w:proofErr w:type="spellEnd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>the</w:t>
            </w:r>
            <w:proofErr w:type="spellEnd"/>
            <w:r w:rsidRPr="00C57632">
              <w:rPr>
                <w:rFonts w:ascii="Garamond" w:hAnsi="Garamond"/>
                <w:sz w:val="18"/>
                <w:szCs w:val="18"/>
                <w:lang w:val="hy-AM"/>
              </w:rPr>
              <w:t xml:space="preserve"> Central Bank </w:t>
            </w:r>
            <w:r w:rsidR="00210628">
              <w:rPr>
                <w:rFonts w:ascii="Garamond" w:hAnsi="Garamond"/>
                <w:sz w:val="18"/>
                <w:szCs w:val="18"/>
              </w:rPr>
              <w:t xml:space="preserve">based on the information provided by </w:t>
            </w:r>
            <w:r w:rsidRPr="00C57632">
              <w:rPr>
                <w:rFonts w:ascii="Garamond" w:hAnsi="Garamond"/>
                <w:sz w:val="18"/>
                <w:szCs w:val="18"/>
              </w:rPr>
              <w:t>the Republic of Armenia Statistics Committee</w:t>
            </w:r>
            <w:r w:rsidR="00001A34">
              <w:rPr>
                <w:rFonts w:ascii="Garamond" w:hAnsi="Garamond"/>
                <w:sz w:val="18"/>
                <w:szCs w:val="18"/>
              </w:rPr>
              <w:t>.</w:t>
            </w:r>
          </w:p>
        </w:tc>
      </w:tr>
    </w:tbl>
    <w:p w14:paraId="4B01FB5F" w14:textId="77777777" w:rsidR="00C57632" w:rsidRDefault="00C57632" w:rsidP="006A09E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2615486D" w14:textId="77777777" w:rsidR="000D538D" w:rsidRDefault="00781AC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>Import prices:</w:t>
      </w:r>
      <w:r w:rsidR="00543AF2">
        <w:rPr>
          <w:rFonts w:ascii="Garamond" w:hAnsi="Garamond"/>
          <w:sz w:val="22"/>
          <w:szCs w:val="22"/>
        </w:rPr>
        <w:t xml:space="preserve"> </w:t>
      </w:r>
      <w:r w:rsidR="006B588F">
        <w:rPr>
          <w:rFonts w:ascii="Garamond" w:hAnsi="Garamond"/>
          <w:sz w:val="22"/>
          <w:szCs w:val="22"/>
        </w:rPr>
        <w:t xml:space="preserve">In </w:t>
      </w:r>
      <w:r w:rsidR="006B588F" w:rsidRPr="00EE5F0F">
        <w:rPr>
          <w:rFonts w:ascii="Garamond" w:hAnsi="Garamond"/>
          <w:sz w:val="22"/>
          <w:szCs w:val="22"/>
        </w:rPr>
        <w:t xml:space="preserve">the </w:t>
      </w:r>
      <w:r w:rsidR="00210628">
        <w:rPr>
          <w:rFonts w:ascii="Garamond" w:hAnsi="Garamond"/>
          <w:sz w:val="22"/>
          <w:szCs w:val="22"/>
        </w:rPr>
        <w:t>third</w:t>
      </w:r>
      <w:r w:rsidR="006B588F">
        <w:rPr>
          <w:rFonts w:ascii="Garamond" w:hAnsi="Garamond"/>
          <w:sz w:val="22"/>
          <w:szCs w:val="22"/>
        </w:rPr>
        <w:t xml:space="preserve"> </w:t>
      </w:r>
      <w:r w:rsidR="006B588F" w:rsidRPr="00EE5F0F">
        <w:rPr>
          <w:rFonts w:ascii="Garamond" w:hAnsi="Garamond"/>
          <w:sz w:val="22"/>
          <w:szCs w:val="22"/>
        </w:rPr>
        <w:t>quarter of 201</w:t>
      </w:r>
      <w:r w:rsidR="006B588F">
        <w:rPr>
          <w:rFonts w:ascii="Garamond" w:hAnsi="Garamond"/>
          <w:sz w:val="22"/>
          <w:szCs w:val="22"/>
        </w:rPr>
        <w:t>9</w:t>
      </w:r>
      <w:r w:rsidR="00210628">
        <w:rPr>
          <w:rFonts w:ascii="Garamond" w:hAnsi="Garamond"/>
          <w:sz w:val="22"/>
          <w:szCs w:val="22"/>
        </w:rPr>
        <w:t>,</w:t>
      </w:r>
      <w:r w:rsidR="006B588F">
        <w:rPr>
          <w:rFonts w:ascii="Garamond" w:hAnsi="Garamond"/>
          <w:sz w:val="22"/>
          <w:szCs w:val="22"/>
        </w:rPr>
        <w:t xml:space="preserve"> t</w:t>
      </w:r>
      <w:r w:rsidR="00543AF2">
        <w:rPr>
          <w:rFonts w:ascii="Garamond" w:hAnsi="Garamond"/>
          <w:sz w:val="22"/>
          <w:szCs w:val="22"/>
        </w:rPr>
        <w:t xml:space="preserve">he dollar prices of import of </w:t>
      </w:r>
      <w:r w:rsidRPr="00EE5F0F">
        <w:rPr>
          <w:rFonts w:ascii="Garamond" w:hAnsi="Garamond"/>
          <w:sz w:val="22"/>
          <w:szCs w:val="22"/>
        </w:rPr>
        <w:t xml:space="preserve">goods </w:t>
      </w:r>
      <w:r w:rsidR="00BF2BF1">
        <w:rPr>
          <w:rFonts w:ascii="Garamond" w:hAnsi="Garamond"/>
          <w:sz w:val="22"/>
          <w:szCs w:val="22"/>
        </w:rPr>
        <w:t xml:space="preserve">and services </w:t>
      </w:r>
      <w:r w:rsidRPr="00EE5F0F">
        <w:rPr>
          <w:rFonts w:ascii="Garamond" w:hAnsi="Garamond"/>
          <w:sz w:val="22"/>
          <w:szCs w:val="22"/>
        </w:rPr>
        <w:t xml:space="preserve">to Armenia </w:t>
      </w:r>
      <w:r w:rsidR="006B588F">
        <w:rPr>
          <w:rFonts w:ascii="Garamond" w:hAnsi="Garamond"/>
          <w:sz w:val="22"/>
          <w:szCs w:val="22"/>
        </w:rPr>
        <w:t>posted a</w:t>
      </w:r>
      <w:r w:rsidR="0010582B">
        <w:rPr>
          <w:rFonts w:ascii="Garamond" w:hAnsi="Garamond"/>
          <w:sz w:val="22"/>
          <w:szCs w:val="22"/>
        </w:rPr>
        <w:t xml:space="preserve"> 0.2% increase </w:t>
      </w:r>
      <w:r w:rsidR="006B588F">
        <w:rPr>
          <w:rFonts w:ascii="Garamond" w:hAnsi="Garamond"/>
          <w:sz w:val="22"/>
          <w:szCs w:val="22"/>
        </w:rPr>
        <w:t>relative to the previous quarter</w:t>
      </w:r>
      <w:r w:rsidR="0010582B">
        <w:rPr>
          <w:rFonts w:ascii="Garamond" w:hAnsi="Garamond"/>
          <w:sz w:val="22"/>
          <w:szCs w:val="22"/>
        </w:rPr>
        <w:t xml:space="preserve"> </w:t>
      </w:r>
      <w:r w:rsidR="0010582B" w:rsidRPr="0010582B">
        <w:rPr>
          <w:rFonts w:ascii="Garamond" w:hAnsi="Garamond"/>
          <w:sz w:val="22"/>
          <w:szCs w:val="22"/>
        </w:rPr>
        <w:t>after a one-year decline</w:t>
      </w:r>
      <w:r w:rsidR="00A827C3">
        <w:rPr>
          <w:rFonts w:ascii="Garamond" w:hAnsi="Garamond"/>
          <w:sz w:val="22"/>
          <w:szCs w:val="22"/>
        </w:rPr>
        <w:t xml:space="preserve">. </w:t>
      </w:r>
      <w:r w:rsidR="0010582B">
        <w:rPr>
          <w:rFonts w:ascii="Garamond" w:hAnsi="Garamond"/>
          <w:sz w:val="22"/>
          <w:szCs w:val="22"/>
        </w:rPr>
        <w:t>The</w:t>
      </w:r>
      <w:r w:rsidR="00A827C3">
        <w:rPr>
          <w:rFonts w:ascii="Garamond" w:hAnsi="Garamond"/>
          <w:sz w:val="22"/>
          <w:szCs w:val="22"/>
        </w:rPr>
        <w:t xml:space="preserve"> </w:t>
      </w:r>
      <w:r w:rsidR="0010582B">
        <w:rPr>
          <w:rFonts w:ascii="Garamond" w:hAnsi="Garamond"/>
          <w:sz w:val="22"/>
          <w:szCs w:val="22"/>
        </w:rPr>
        <w:t xml:space="preserve">increase in </w:t>
      </w:r>
      <w:r w:rsidR="00A827C3">
        <w:rPr>
          <w:rFonts w:ascii="Garamond" w:hAnsi="Garamond"/>
          <w:sz w:val="22"/>
          <w:szCs w:val="22"/>
        </w:rPr>
        <w:t xml:space="preserve">dollar prices of import relative </w:t>
      </w:r>
      <w:r w:rsidR="00A827C3" w:rsidRPr="00A827C3">
        <w:rPr>
          <w:rFonts w:ascii="Garamond" w:hAnsi="Garamond"/>
          <w:sz w:val="22"/>
          <w:szCs w:val="22"/>
        </w:rPr>
        <w:t xml:space="preserve">to the </w:t>
      </w:r>
      <w:r w:rsidR="0010582B">
        <w:rPr>
          <w:rFonts w:ascii="Garamond" w:hAnsi="Garamond"/>
          <w:sz w:val="22"/>
          <w:szCs w:val="22"/>
        </w:rPr>
        <w:t>third</w:t>
      </w:r>
      <w:r w:rsidR="00A827C3" w:rsidRPr="00A827C3">
        <w:rPr>
          <w:rFonts w:ascii="Garamond" w:hAnsi="Garamond"/>
          <w:sz w:val="22"/>
          <w:szCs w:val="22"/>
        </w:rPr>
        <w:t xml:space="preserve"> quarter of the previous year</w:t>
      </w:r>
      <w:r w:rsidR="0010582B">
        <w:rPr>
          <w:rFonts w:ascii="Garamond" w:hAnsi="Garamond"/>
          <w:sz w:val="22"/>
          <w:szCs w:val="22"/>
        </w:rPr>
        <w:t xml:space="preserve"> </w:t>
      </w:r>
      <w:r w:rsidR="00A827C3">
        <w:rPr>
          <w:rFonts w:ascii="Garamond" w:hAnsi="Garamond"/>
          <w:sz w:val="22"/>
          <w:szCs w:val="22"/>
        </w:rPr>
        <w:t xml:space="preserve">has been </w:t>
      </w:r>
      <w:r w:rsidR="0010582B">
        <w:rPr>
          <w:rFonts w:ascii="Garamond" w:hAnsi="Garamond"/>
          <w:sz w:val="22"/>
          <w:szCs w:val="22"/>
        </w:rPr>
        <w:t>1.3</w:t>
      </w:r>
      <w:r w:rsidR="00A827C3" w:rsidRPr="00A827C3">
        <w:rPr>
          <w:rFonts w:ascii="Garamond" w:hAnsi="Garamond"/>
          <w:sz w:val="22"/>
          <w:szCs w:val="22"/>
        </w:rPr>
        <w:t>%</w:t>
      </w:r>
      <w:r w:rsidR="00A827C3">
        <w:rPr>
          <w:rFonts w:ascii="Garamond" w:hAnsi="Garamond"/>
          <w:sz w:val="22"/>
          <w:szCs w:val="22"/>
        </w:rPr>
        <w:t xml:space="preserve"> y/y and owed </w:t>
      </w:r>
      <w:r w:rsidR="00A827C3" w:rsidRPr="00A827C3">
        <w:rPr>
          <w:rFonts w:ascii="Garamond" w:hAnsi="Garamond"/>
          <w:sz w:val="22"/>
          <w:szCs w:val="22"/>
        </w:rPr>
        <w:t xml:space="preserve">mainly </w:t>
      </w:r>
      <w:r w:rsidR="009743FA">
        <w:rPr>
          <w:rFonts w:ascii="Garamond" w:hAnsi="Garamond"/>
          <w:sz w:val="22"/>
          <w:szCs w:val="22"/>
        </w:rPr>
        <w:t xml:space="preserve">to y/y </w:t>
      </w:r>
      <w:r w:rsidR="0010582B">
        <w:rPr>
          <w:rFonts w:ascii="Garamond" w:hAnsi="Garamond"/>
          <w:sz w:val="22"/>
          <w:szCs w:val="22"/>
        </w:rPr>
        <w:t>ap</w:t>
      </w:r>
      <w:r w:rsidR="009743FA">
        <w:rPr>
          <w:rFonts w:ascii="Garamond" w:hAnsi="Garamond"/>
          <w:sz w:val="22"/>
          <w:szCs w:val="22"/>
        </w:rPr>
        <w:t xml:space="preserve">preciation of nominal exchange rates in </w:t>
      </w:r>
      <w:r w:rsidR="0010582B">
        <w:rPr>
          <w:rFonts w:ascii="Garamond" w:hAnsi="Garamond"/>
          <w:sz w:val="22"/>
          <w:szCs w:val="22"/>
        </w:rPr>
        <w:t>main</w:t>
      </w:r>
      <w:r w:rsidR="009743FA">
        <w:rPr>
          <w:rFonts w:ascii="Garamond" w:hAnsi="Garamond"/>
          <w:sz w:val="22"/>
          <w:szCs w:val="22"/>
        </w:rPr>
        <w:t xml:space="preserve"> partner countries. </w:t>
      </w:r>
      <w:r w:rsidR="0010582B">
        <w:rPr>
          <w:rFonts w:ascii="Garamond" w:hAnsi="Garamond"/>
          <w:sz w:val="22"/>
          <w:szCs w:val="22"/>
        </w:rPr>
        <w:t xml:space="preserve">The y/y contribution of intermediate </w:t>
      </w:r>
      <w:r w:rsidR="0010582B" w:rsidRPr="0010582B">
        <w:rPr>
          <w:rFonts w:ascii="Garamond" w:hAnsi="Garamond"/>
          <w:sz w:val="22"/>
          <w:szCs w:val="22"/>
        </w:rPr>
        <w:t xml:space="preserve">goods to total import prices </w:t>
      </w:r>
      <w:r w:rsidR="0010582B">
        <w:rPr>
          <w:rFonts w:ascii="Garamond" w:hAnsi="Garamond"/>
          <w:sz w:val="22"/>
          <w:szCs w:val="22"/>
        </w:rPr>
        <w:t xml:space="preserve">has been </w:t>
      </w:r>
      <w:r w:rsidR="0010582B" w:rsidRPr="0010582B">
        <w:rPr>
          <w:rFonts w:ascii="Garamond" w:hAnsi="Garamond"/>
          <w:sz w:val="22"/>
          <w:szCs w:val="22"/>
        </w:rPr>
        <w:t xml:space="preserve">zero; </w:t>
      </w:r>
      <w:r w:rsidR="0010582B">
        <w:rPr>
          <w:rFonts w:ascii="Garamond" w:hAnsi="Garamond"/>
          <w:sz w:val="22"/>
          <w:szCs w:val="22"/>
        </w:rPr>
        <w:t>t</w:t>
      </w:r>
      <w:r w:rsidR="0010582B" w:rsidRPr="0010582B">
        <w:rPr>
          <w:rFonts w:ascii="Garamond" w:hAnsi="Garamond"/>
          <w:sz w:val="22"/>
          <w:szCs w:val="22"/>
        </w:rPr>
        <w:t xml:space="preserve">he </w:t>
      </w:r>
      <w:r w:rsidR="0010582B">
        <w:rPr>
          <w:rFonts w:ascii="Garamond" w:hAnsi="Garamond"/>
          <w:sz w:val="22"/>
          <w:szCs w:val="22"/>
        </w:rPr>
        <w:t xml:space="preserve">decrease </w:t>
      </w:r>
      <w:r w:rsidR="0010582B" w:rsidRPr="0010582B">
        <w:rPr>
          <w:rFonts w:ascii="Garamond" w:hAnsi="Garamond"/>
          <w:sz w:val="22"/>
          <w:szCs w:val="22"/>
        </w:rPr>
        <w:t>in oil, aluminum and wheat prices has been offset by the</w:t>
      </w:r>
      <w:r w:rsidR="0010582B">
        <w:rPr>
          <w:rFonts w:ascii="Garamond" w:hAnsi="Garamond"/>
          <w:sz w:val="22"/>
          <w:szCs w:val="22"/>
        </w:rPr>
        <w:t xml:space="preserve"> y/y increase in other </w:t>
      </w:r>
      <w:r w:rsidR="0010582B" w:rsidRPr="0010582B">
        <w:rPr>
          <w:rFonts w:ascii="Garamond" w:hAnsi="Garamond"/>
          <w:sz w:val="22"/>
          <w:szCs w:val="22"/>
        </w:rPr>
        <w:t>intermediate goods.</w:t>
      </w:r>
      <w:r w:rsidR="000D538D">
        <w:rPr>
          <w:rFonts w:ascii="Garamond" w:hAnsi="Garamond"/>
          <w:sz w:val="22"/>
          <w:szCs w:val="22"/>
        </w:rPr>
        <w:t xml:space="preserve"> </w:t>
      </w:r>
    </w:p>
    <w:p w14:paraId="19883A11" w14:textId="77777777" w:rsidR="00085F36" w:rsidRDefault="00085F36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1A28680F" w14:textId="77777777" w:rsidR="00781ACF" w:rsidRPr="00EE5F0F" w:rsidRDefault="00781AC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3.2 Economic developments</w:t>
      </w:r>
    </w:p>
    <w:p w14:paraId="1B2CBEAD" w14:textId="77777777" w:rsidR="00F404A3" w:rsidRDefault="00781ACF" w:rsidP="0082553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3.2.1. Economy position</w:t>
      </w:r>
    </w:p>
    <w:p w14:paraId="1E9BA14E" w14:textId="4C720937" w:rsidR="00781ACF" w:rsidRDefault="0082553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82553F">
        <w:rPr>
          <w:rFonts w:ascii="Garamond" w:hAnsi="Garamond"/>
          <w:b/>
          <w:sz w:val="22"/>
          <w:szCs w:val="22"/>
        </w:rPr>
        <w:t xml:space="preserve">The negative GDP gap </w:t>
      </w:r>
      <w:r>
        <w:rPr>
          <w:rFonts w:ascii="Garamond" w:hAnsi="Garamond"/>
          <w:b/>
          <w:sz w:val="22"/>
          <w:szCs w:val="22"/>
        </w:rPr>
        <w:t xml:space="preserve">somehow </w:t>
      </w:r>
      <w:r w:rsidR="0003358E">
        <w:rPr>
          <w:rFonts w:ascii="Garamond" w:hAnsi="Garamond"/>
          <w:b/>
          <w:sz w:val="22"/>
          <w:szCs w:val="22"/>
        </w:rPr>
        <w:t xml:space="preserve">narrowed </w:t>
      </w:r>
      <w:r w:rsidRPr="0082553F">
        <w:rPr>
          <w:rFonts w:ascii="Garamond" w:hAnsi="Garamond"/>
          <w:b/>
          <w:sz w:val="22"/>
          <w:szCs w:val="22"/>
        </w:rPr>
        <w:t xml:space="preserve">in the reporting quarter, </w:t>
      </w:r>
      <w:r w:rsidR="0003358E">
        <w:rPr>
          <w:rFonts w:ascii="Garamond" w:hAnsi="Garamond"/>
          <w:b/>
          <w:sz w:val="22"/>
          <w:szCs w:val="22"/>
        </w:rPr>
        <w:t>nevertheless</w:t>
      </w:r>
      <w:r w:rsidR="0003358E" w:rsidRPr="0082553F">
        <w:rPr>
          <w:rFonts w:ascii="Garamond" w:hAnsi="Garamond"/>
          <w:b/>
          <w:sz w:val="22"/>
          <w:szCs w:val="22"/>
        </w:rPr>
        <w:t xml:space="preserve"> </w:t>
      </w:r>
      <w:r w:rsidRPr="0082553F">
        <w:rPr>
          <w:rFonts w:ascii="Garamond" w:hAnsi="Garamond"/>
          <w:b/>
          <w:sz w:val="22"/>
          <w:szCs w:val="22"/>
        </w:rPr>
        <w:t>GDP</w:t>
      </w:r>
      <w:r w:rsidR="0003358E">
        <w:rPr>
          <w:rFonts w:ascii="Garamond" w:hAnsi="Garamond"/>
          <w:b/>
          <w:sz w:val="22"/>
          <w:szCs w:val="22"/>
        </w:rPr>
        <w:t xml:space="preserve"> is</w:t>
      </w:r>
      <w:r w:rsidRPr="0082553F">
        <w:rPr>
          <w:rFonts w:ascii="Garamond" w:hAnsi="Garamond"/>
          <w:b/>
          <w:sz w:val="22"/>
          <w:szCs w:val="22"/>
        </w:rPr>
        <w:t xml:space="preserve"> still </w:t>
      </w:r>
      <w:r>
        <w:rPr>
          <w:rFonts w:ascii="Garamond" w:hAnsi="Garamond"/>
          <w:b/>
          <w:sz w:val="22"/>
          <w:szCs w:val="22"/>
        </w:rPr>
        <w:t>lag</w:t>
      </w:r>
      <w:r w:rsidR="0023079C">
        <w:rPr>
          <w:rFonts w:ascii="Garamond" w:hAnsi="Garamond"/>
          <w:b/>
          <w:sz w:val="22"/>
          <w:szCs w:val="22"/>
        </w:rPr>
        <w:t xml:space="preserve">ging </w:t>
      </w:r>
      <w:r>
        <w:rPr>
          <w:rFonts w:ascii="Garamond" w:hAnsi="Garamond"/>
          <w:b/>
          <w:sz w:val="22"/>
          <w:szCs w:val="22"/>
        </w:rPr>
        <w:t xml:space="preserve">behind the potential level. </w:t>
      </w:r>
      <w:r w:rsidR="0023079C" w:rsidRPr="0023079C">
        <w:rPr>
          <w:rFonts w:ascii="Garamond" w:hAnsi="Garamond"/>
          <w:sz w:val="22"/>
          <w:szCs w:val="22"/>
        </w:rPr>
        <w:t>Continu</w:t>
      </w:r>
      <w:r w:rsidR="0023079C">
        <w:rPr>
          <w:rFonts w:ascii="Garamond" w:hAnsi="Garamond"/>
          <w:sz w:val="22"/>
          <w:szCs w:val="22"/>
        </w:rPr>
        <w:t xml:space="preserve">ed </w:t>
      </w:r>
      <w:r w:rsidR="0023079C" w:rsidRPr="0023079C">
        <w:rPr>
          <w:rFonts w:ascii="Garamond" w:hAnsi="Garamond"/>
          <w:sz w:val="22"/>
          <w:szCs w:val="22"/>
        </w:rPr>
        <w:t>stimulati</w:t>
      </w:r>
      <w:r w:rsidR="0023079C">
        <w:rPr>
          <w:rFonts w:ascii="Garamond" w:hAnsi="Garamond"/>
          <w:sz w:val="22"/>
          <w:szCs w:val="22"/>
        </w:rPr>
        <w:t>ve</w:t>
      </w:r>
      <w:r w:rsidR="0023079C" w:rsidRPr="0023079C">
        <w:rPr>
          <w:rFonts w:ascii="Garamond" w:hAnsi="Garamond"/>
          <w:sz w:val="22"/>
          <w:szCs w:val="22"/>
        </w:rPr>
        <w:t xml:space="preserve"> monetary policy, </w:t>
      </w:r>
      <w:r w:rsidR="0023079C">
        <w:rPr>
          <w:rFonts w:ascii="Garamond" w:hAnsi="Garamond"/>
          <w:sz w:val="22"/>
          <w:szCs w:val="22"/>
        </w:rPr>
        <w:t xml:space="preserve">growing </w:t>
      </w:r>
      <w:r w:rsidR="0023079C" w:rsidRPr="0023079C">
        <w:rPr>
          <w:rFonts w:ascii="Garamond" w:hAnsi="Garamond"/>
          <w:sz w:val="22"/>
          <w:szCs w:val="22"/>
        </w:rPr>
        <w:t xml:space="preserve">lending volumes, high </w:t>
      </w:r>
      <w:r w:rsidR="0023079C">
        <w:rPr>
          <w:rFonts w:ascii="Garamond" w:hAnsi="Garamond"/>
          <w:sz w:val="22"/>
          <w:szCs w:val="22"/>
        </w:rPr>
        <w:t>l</w:t>
      </w:r>
      <w:r w:rsidR="0023079C" w:rsidRPr="0023079C">
        <w:rPr>
          <w:rFonts w:ascii="Garamond" w:hAnsi="Garamond"/>
          <w:sz w:val="22"/>
          <w:szCs w:val="22"/>
        </w:rPr>
        <w:t xml:space="preserve">evels of economic activity and private spending (see </w:t>
      </w:r>
      <w:r w:rsidR="0023079C">
        <w:rPr>
          <w:rFonts w:ascii="Garamond" w:hAnsi="Garamond"/>
          <w:sz w:val="22"/>
          <w:szCs w:val="22"/>
        </w:rPr>
        <w:t>sub</w:t>
      </w:r>
      <w:r w:rsidR="0023079C" w:rsidRPr="0023079C">
        <w:rPr>
          <w:rFonts w:ascii="Garamond" w:hAnsi="Garamond"/>
          <w:sz w:val="22"/>
          <w:szCs w:val="22"/>
        </w:rPr>
        <w:t xml:space="preserve">sections 3.2.2 and 3.2.3), </w:t>
      </w:r>
      <w:r w:rsidR="0023079C">
        <w:rPr>
          <w:rFonts w:ascii="Garamond" w:hAnsi="Garamond"/>
          <w:sz w:val="22"/>
          <w:szCs w:val="22"/>
        </w:rPr>
        <w:t xml:space="preserve">the </w:t>
      </w:r>
      <w:r w:rsidR="0023079C" w:rsidRPr="0023079C">
        <w:rPr>
          <w:rFonts w:ascii="Garamond" w:hAnsi="Garamond"/>
          <w:sz w:val="22"/>
          <w:szCs w:val="22"/>
        </w:rPr>
        <w:t xml:space="preserve">employment growth (see </w:t>
      </w:r>
      <w:r w:rsidR="0023079C">
        <w:rPr>
          <w:rFonts w:ascii="Garamond" w:hAnsi="Garamond"/>
          <w:sz w:val="22"/>
          <w:szCs w:val="22"/>
        </w:rPr>
        <w:t>sub</w:t>
      </w:r>
      <w:r w:rsidR="0023079C" w:rsidRPr="0023079C">
        <w:rPr>
          <w:rFonts w:ascii="Garamond" w:hAnsi="Garamond"/>
          <w:sz w:val="22"/>
          <w:szCs w:val="22"/>
        </w:rPr>
        <w:t>section 3.2.4), and the budget</w:t>
      </w:r>
      <w:r w:rsidR="0023079C">
        <w:rPr>
          <w:rFonts w:ascii="Garamond" w:hAnsi="Garamond"/>
          <w:sz w:val="22"/>
          <w:szCs w:val="22"/>
        </w:rPr>
        <w:t xml:space="preserve">’s expansionary </w:t>
      </w:r>
      <w:r w:rsidR="0023079C" w:rsidRPr="0023079C">
        <w:rPr>
          <w:rFonts w:ascii="Garamond" w:hAnsi="Garamond"/>
          <w:sz w:val="22"/>
          <w:szCs w:val="22"/>
        </w:rPr>
        <w:t xml:space="preserve">impact in the reporting quarter </w:t>
      </w:r>
      <w:r w:rsidR="0014403A">
        <w:rPr>
          <w:rFonts w:ascii="Garamond" w:hAnsi="Garamond"/>
          <w:sz w:val="22"/>
          <w:szCs w:val="22"/>
        </w:rPr>
        <w:t xml:space="preserve">all have facilitated the economy </w:t>
      </w:r>
      <w:r w:rsidR="007827BD">
        <w:rPr>
          <w:rFonts w:ascii="Garamond" w:hAnsi="Garamond"/>
          <w:sz w:val="22"/>
          <w:szCs w:val="22"/>
        </w:rPr>
        <w:t xml:space="preserve">to </w:t>
      </w:r>
      <w:r w:rsidR="0023079C" w:rsidRPr="0023079C">
        <w:rPr>
          <w:rFonts w:ascii="Garamond" w:hAnsi="Garamond"/>
          <w:sz w:val="22"/>
          <w:szCs w:val="22"/>
        </w:rPr>
        <w:t>gradually approach its potential leve</w:t>
      </w:r>
      <w:r w:rsidR="0014403A">
        <w:rPr>
          <w:rFonts w:ascii="Garamond" w:hAnsi="Garamond"/>
          <w:sz w:val="22"/>
          <w:szCs w:val="22"/>
        </w:rPr>
        <w:t xml:space="preserve">l and production resources </w:t>
      </w:r>
      <w:r w:rsidR="007827BD">
        <w:rPr>
          <w:rFonts w:ascii="Garamond" w:hAnsi="Garamond"/>
          <w:sz w:val="22"/>
          <w:szCs w:val="22"/>
        </w:rPr>
        <w:t xml:space="preserve">to </w:t>
      </w:r>
      <w:r w:rsidR="0023079C" w:rsidRPr="0023079C">
        <w:rPr>
          <w:rFonts w:ascii="Garamond" w:hAnsi="Garamond"/>
          <w:sz w:val="22"/>
          <w:szCs w:val="22"/>
        </w:rPr>
        <w:t xml:space="preserve">be used </w:t>
      </w:r>
      <w:r w:rsidR="0014403A">
        <w:rPr>
          <w:rFonts w:ascii="Garamond" w:hAnsi="Garamond"/>
          <w:sz w:val="22"/>
          <w:szCs w:val="22"/>
        </w:rPr>
        <w:t>in the most efficient manner.</w:t>
      </w:r>
      <w:r w:rsidR="0023079C" w:rsidRPr="0023079C">
        <w:rPr>
          <w:rFonts w:ascii="Garamond" w:hAnsi="Garamond"/>
          <w:sz w:val="22"/>
          <w:szCs w:val="22"/>
        </w:rPr>
        <w:t xml:space="preserve"> However, the GDP gap in the third quarter of 2019 is still estimated </w:t>
      </w:r>
      <w:r w:rsidR="0014403A">
        <w:rPr>
          <w:rFonts w:ascii="Garamond" w:hAnsi="Garamond"/>
          <w:sz w:val="22"/>
          <w:szCs w:val="22"/>
        </w:rPr>
        <w:t xml:space="preserve">minor </w:t>
      </w:r>
      <w:r w:rsidR="0023079C" w:rsidRPr="0023079C">
        <w:rPr>
          <w:rFonts w:ascii="Garamond" w:hAnsi="Garamond"/>
          <w:sz w:val="22"/>
          <w:szCs w:val="22"/>
        </w:rPr>
        <w:t>negative, which is in line with the weak inflation environment</w:t>
      </w:r>
      <w:r w:rsidR="0014403A">
        <w:rPr>
          <w:rFonts w:ascii="Garamond" w:hAnsi="Garamond"/>
          <w:sz w:val="22"/>
          <w:szCs w:val="22"/>
        </w:rPr>
        <w:t xml:space="preserve"> in the reporting quarter (see subsection 2.2.</w:t>
      </w:r>
      <w:r w:rsidR="0023079C" w:rsidRPr="0023079C">
        <w:rPr>
          <w:rFonts w:ascii="Garamond" w:hAnsi="Garamond"/>
          <w:sz w:val="22"/>
          <w:szCs w:val="22"/>
        </w:rPr>
        <w:t>1).</w:t>
      </w:r>
      <w:r w:rsidR="0014403A">
        <w:rPr>
          <w:rFonts w:ascii="Garamond" w:hAnsi="Garamond"/>
          <w:sz w:val="22"/>
          <w:szCs w:val="22"/>
        </w:rPr>
        <w:t xml:space="preserve"> E</w:t>
      </w:r>
      <w:r w:rsidR="0014403A" w:rsidRPr="00403AC4">
        <w:rPr>
          <w:rFonts w:ascii="Garamond" w:hAnsi="Garamond"/>
          <w:sz w:val="22"/>
          <w:szCs w:val="22"/>
        </w:rPr>
        <w:t>xchange rate</w:t>
      </w:r>
      <w:r w:rsidR="0014403A">
        <w:rPr>
          <w:rFonts w:ascii="Garamond" w:hAnsi="Garamond"/>
          <w:sz w:val="22"/>
          <w:szCs w:val="22"/>
        </w:rPr>
        <w:t xml:space="preserve"> depreciation in p</w:t>
      </w:r>
      <w:r w:rsidR="0014403A" w:rsidRPr="00403AC4">
        <w:rPr>
          <w:rFonts w:ascii="Garamond" w:hAnsi="Garamond"/>
          <w:sz w:val="22"/>
          <w:szCs w:val="22"/>
        </w:rPr>
        <w:t>artner countries</w:t>
      </w:r>
      <w:r w:rsidR="0014403A">
        <w:rPr>
          <w:rFonts w:ascii="Garamond" w:hAnsi="Garamond"/>
          <w:sz w:val="22"/>
          <w:szCs w:val="22"/>
        </w:rPr>
        <w:t xml:space="preserve"> in the third quarter of 2019</w:t>
      </w:r>
      <w:r w:rsidR="001B4328" w:rsidRPr="00403AC4">
        <w:rPr>
          <w:rFonts w:ascii="Garamond" w:hAnsi="Garamond"/>
          <w:sz w:val="22"/>
          <w:szCs w:val="22"/>
        </w:rPr>
        <w:t xml:space="preserve">, the </w:t>
      </w:r>
      <w:r w:rsidR="000C22CD">
        <w:rPr>
          <w:rFonts w:ascii="Garamond" w:hAnsi="Garamond"/>
          <w:sz w:val="22"/>
          <w:szCs w:val="22"/>
        </w:rPr>
        <w:t xml:space="preserve">slowing of economic growth in </w:t>
      </w:r>
      <w:r w:rsidR="0014403A">
        <w:rPr>
          <w:rFonts w:ascii="Garamond" w:hAnsi="Garamond"/>
          <w:sz w:val="22"/>
          <w:szCs w:val="22"/>
        </w:rPr>
        <w:t xml:space="preserve">main </w:t>
      </w:r>
      <w:r w:rsidR="000C22CD">
        <w:rPr>
          <w:rFonts w:ascii="Garamond" w:hAnsi="Garamond"/>
          <w:sz w:val="22"/>
          <w:szCs w:val="22"/>
        </w:rPr>
        <w:t>partner countries, the l</w:t>
      </w:r>
      <w:r w:rsidR="000C22CD" w:rsidRPr="000C22CD">
        <w:rPr>
          <w:rFonts w:ascii="Garamond" w:hAnsi="Garamond"/>
          <w:sz w:val="22"/>
          <w:szCs w:val="22"/>
        </w:rPr>
        <w:t xml:space="preserve">ow level of </w:t>
      </w:r>
      <w:r w:rsidR="000C22CD">
        <w:rPr>
          <w:rFonts w:ascii="Garamond" w:hAnsi="Garamond"/>
          <w:sz w:val="22"/>
          <w:szCs w:val="22"/>
        </w:rPr>
        <w:t xml:space="preserve">remittances in real terms </w:t>
      </w:r>
      <w:r w:rsidR="001B4328">
        <w:rPr>
          <w:rFonts w:ascii="Garamond" w:hAnsi="Garamond"/>
          <w:sz w:val="22"/>
          <w:szCs w:val="22"/>
        </w:rPr>
        <w:t xml:space="preserve">have </w:t>
      </w:r>
      <w:r w:rsidR="001B4328" w:rsidRPr="00086E60">
        <w:rPr>
          <w:rFonts w:ascii="Garamond" w:hAnsi="Garamond"/>
          <w:sz w:val="22"/>
          <w:szCs w:val="22"/>
        </w:rPr>
        <w:t xml:space="preserve">contributed to the </w:t>
      </w:r>
      <w:r w:rsidR="001B4328">
        <w:rPr>
          <w:rFonts w:ascii="Garamond" w:hAnsi="Garamond"/>
          <w:sz w:val="22"/>
          <w:szCs w:val="22"/>
        </w:rPr>
        <w:t xml:space="preserve">shaping of </w:t>
      </w:r>
      <w:r w:rsidR="000C22CD">
        <w:rPr>
          <w:rFonts w:ascii="Garamond" w:hAnsi="Garamond"/>
          <w:sz w:val="22"/>
          <w:szCs w:val="22"/>
        </w:rPr>
        <w:t>a</w:t>
      </w:r>
      <w:r w:rsidR="001B4328">
        <w:rPr>
          <w:rFonts w:ascii="Garamond" w:hAnsi="Garamond"/>
          <w:sz w:val="22"/>
          <w:szCs w:val="22"/>
        </w:rPr>
        <w:t xml:space="preserve"> </w:t>
      </w:r>
      <w:r w:rsidR="001B4328" w:rsidRPr="00086E60">
        <w:rPr>
          <w:rFonts w:ascii="Garamond" w:hAnsi="Garamond"/>
          <w:sz w:val="22"/>
          <w:szCs w:val="22"/>
        </w:rPr>
        <w:t>negative GDP gap</w:t>
      </w:r>
      <w:r w:rsidR="000C22CD">
        <w:rPr>
          <w:rFonts w:ascii="Garamond" w:hAnsi="Garamond"/>
          <w:sz w:val="22"/>
          <w:szCs w:val="22"/>
        </w:rPr>
        <w:t xml:space="preserve">. </w:t>
      </w:r>
    </w:p>
    <w:p w14:paraId="5387F87D" w14:textId="77777777" w:rsidR="00371990" w:rsidRPr="00EE5F0F" w:rsidRDefault="00371990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2254B45F" w14:textId="77777777" w:rsidR="00781ACF" w:rsidRPr="00EE5F0F" w:rsidRDefault="00781AC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3.2.2. The expenditures aspect of the economy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F622D2" w:rsidRPr="00AB24C1" w14:paraId="3D1A1FBD" w14:textId="77777777" w:rsidTr="00F622D2">
        <w:tc>
          <w:tcPr>
            <w:tcW w:w="6204" w:type="dxa"/>
          </w:tcPr>
          <w:p w14:paraId="269855A3" w14:textId="77777777" w:rsidR="00F622D2" w:rsidRPr="00536FF2" w:rsidRDefault="005B3BA7" w:rsidP="005B3BA7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Increased domestic demand, </w:t>
            </w:r>
            <w:proofErr w:type="spellStart"/>
            <w:r>
              <w:rPr>
                <w:rFonts w:ascii="Garamond" w:hAnsi="Garamond"/>
                <w:color w:val="0070C0"/>
                <w:sz w:val="20"/>
                <w:szCs w:val="20"/>
              </w:rPr>
              <w:t>fuelled</w:t>
            </w:r>
            <w:proofErr w:type="spellEnd"/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 by high growth in private spending, fostered the economic growth in the third quarter of 2019.</w:t>
            </w:r>
            <w:r w:rsidR="00F622D2" w:rsidRPr="00536FF2">
              <w:rPr>
                <w:rFonts w:ascii="Garamond" w:hAnsi="Garamond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2E40611D" w14:textId="77777777" w:rsidR="00F622D2" w:rsidRDefault="00F622D2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76DA6C00" w14:textId="4DD86A02" w:rsidR="00D25EB7" w:rsidRDefault="00E21DBB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Pr="00EE5F0F">
        <w:rPr>
          <w:rFonts w:ascii="Garamond" w:hAnsi="Garamond"/>
          <w:sz w:val="22"/>
          <w:szCs w:val="22"/>
        </w:rPr>
        <w:t xml:space="preserve">he </w:t>
      </w:r>
      <w:r w:rsidR="00D36F07">
        <w:rPr>
          <w:rFonts w:ascii="Garamond" w:hAnsi="Garamond"/>
          <w:sz w:val="22"/>
          <w:szCs w:val="22"/>
        </w:rPr>
        <w:t xml:space="preserve">economic growth in the </w:t>
      </w:r>
      <w:r w:rsidR="005B3BA7">
        <w:rPr>
          <w:rFonts w:ascii="Garamond" w:hAnsi="Garamond"/>
          <w:sz w:val="22"/>
          <w:szCs w:val="22"/>
        </w:rPr>
        <w:t>third</w:t>
      </w:r>
      <w:r w:rsidR="00D36F07">
        <w:rPr>
          <w:rFonts w:ascii="Garamond" w:hAnsi="Garamond"/>
          <w:sz w:val="22"/>
          <w:szCs w:val="22"/>
        </w:rPr>
        <w:t xml:space="preserve"> quarter of 2019 was largely driven by domestic demand that has increased mostly thanks to </w:t>
      </w:r>
      <w:r w:rsidR="005B3BA7">
        <w:rPr>
          <w:rFonts w:ascii="Garamond" w:hAnsi="Garamond"/>
          <w:sz w:val="22"/>
          <w:szCs w:val="22"/>
        </w:rPr>
        <w:t xml:space="preserve">high </w:t>
      </w:r>
      <w:r w:rsidRPr="00EE5F0F">
        <w:rPr>
          <w:rFonts w:ascii="Garamond" w:hAnsi="Garamond"/>
          <w:sz w:val="22"/>
          <w:szCs w:val="22"/>
        </w:rPr>
        <w:t xml:space="preserve">growth </w:t>
      </w:r>
      <w:r w:rsidR="00D36F07">
        <w:rPr>
          <w:rFonts w:ascii="Garamond" w:hAnsi="Garamond"/>
          <w:sz w:val="22"/>
          <w:szCs w:val="22"/>
        </w:rPr>
        <w:t xml:space="preserve">in private spending. </w:t>
      </w:r>
      <w:r w:rsidR="005B3BA7" w:rsidRPr="005B3BA7">
        <w:rPr>
          <w:rFonts w:ascii="Garamond" w:hAnsi="Garamond"/>
          <w:sz w:val="22"/>
          <w:szCs w:val="22"/>
        </w:rPr>
        <w:t xml:space="preserve">Unlike the previous quarters, public spending </w:t>
      </w:r>
      <w:r w:rsidR="005B3BA7">
        <w:rPr>
          <w:rFonts w:ascii="Garamond" w:hAnsi="Garamond"/>
          <w:sz w:val="22"/>
          <w:szCs w:val="22"/>
        </w:rPr>
        <w:t>has positively contributed to the growth i</w:t>
      </w:r>
      <w:r w:rsidR="005B3BA7" w:rsidRPr="005B3BA7">
        <w:rPr>
          <w:rFonts w:ascii="Garamond" w:hAnsi="Garamond"/>
          <w:sz w:val="22"/>
          <w:szCs w:val="22"/>
        </w:rPr>
        <w:t>n the reporting period.</w:t>
      </w:r>
      <w:r w:rsidR="005B3BA7">
        <w:rPr>
          <w:rFonts w:ascii="Garamond" w:hAnsi="Garamond"/>
          <w:sz w:val="22"/>
          <w:szCs w:val="22"/>
        </w:rPr>
        <w:t xml:space="preserve"> Though </w:t>
      </w:r>
      <w:r w:rsidR="005B3BA7" w:rsidRPr="005B3BA7">
        <w:rPr>
          <w:rFonts w:ascii="Garamond" w:hAnsi="Garamond"/>
          <w:sz w:val="22"/>
          <w:szCs w:val="22"/>
        </w:rPr>
        <w:t>slightly lower than in the previous quarter</w:t>
      </w:r>
      <w:r w:rsidR="005B3BA7">
        <w:rPr>
          <w:rFonts w:ascii="Garamond" w:hAnsi="Garamond"/>
          <w:sz w:val="22"/>
          <w:szCs w:val="22"/>
        </w:rPr>
        <w:t>, p</w:t>
      </w:r>
      <w:r w:rsidR="005B3BA7" w:rsidRPr="005B3BA7">
        <w:rPr>
          <w:rFonts w:ascii="Garamond" w:hAnsi="Garamond"/>
          <w:sz w:val="22"/>
          <w:szCs w:val="22"/>
        </w:rPr>
        <w:t>rivate consumption growth</w:t>
      </w:r>
      <w:r w:rsidR="005B3BA7">
        <w:rPr>
          <w:rFonts w:ascii="Garamond" w:hAnsi="Garamond"/>
          <w:sz w:val="22"/>
          <w:szCs w:val="22"/>
        </w:rPr>
        <w:t xml:space="preserve"> persisted at a</w:t>
      </w:r>
      <w:r w:rsidR="005B3BA7" w:rsidRPr="005B3BA7">
        <w:rPr>
          <w:rFonts w:ascii="Garamond" w:hAnsi="Garamond"/>
          <w:sz w:val="22"/>
          <w:szCs w:val="22"/>
        </w:rPr>
        <w:t xml:space="preserve"> high level</w:t>
      </w:r>
      <w:r w:rsidR="005B3BA7">
        <w:rPr>
          <w:rFonts w:ascii="Garamond" w:hAnsi="Garamond"/>
          <w:sz w:val="22"/>
          <w:szCs w:val="22"/>
        </w:rPr>
        <w:t xml:space="preserve">, amounting to </w:t>
      </w:r>
      <w:r w:rsidR="005B3BA7" w:rsidRPr="005B3BA7">
        <w:rPr>
          <w:rFonts w:ascii="Garamond" w:hAnsi="Garamond"/>
          <w:sz w:val="22"/>
          <w:szCs w:val="22"/>
        </w:rPr>
        <w:t xml:space="preserve">10.1%. </w:t>
      </w:r>
      <w:r w:rsidR="005B3BA7">
        <w:rPr>
          <w:rFonts w:ascii="Garamond" w:hAnsi="Garamond"/>
          <w:sz w:val="22"/>
          <w:szCs w:val="22"/>
        </w:rPr>
        <w:t>L</w:t>
      </w:r>
      <w:r w:rsidR="005B3BA7" w:rsidRPr="005B3BA7">
        <w:rPr>
          <w:rFonts w:ascii="Garamond" w:hAnsi="Garamond"/>
          <w:sz w:val="22"/>
          <w:szCs w:val="22"/>
        </w:rPr>
        <w:t>ending to households continues</w:t>
      </w:r>
      <w:r w:rsidR="005B3BA7">
        <w:rPr>
          <w:rFonts w:ascii="Garamond" w:hAnsi="Garamond"/>
          <w:sz w:val="22"/>
          <w:szCs w:val="22"/>
        </w:rPr>
        <w:t xml:space="preserve"> to grow while serving a key source that finances </w:t>
      </w:r>
      <w:r w:rsidR="005B3BA7" w:rsidRPr="005B3BA7">
        <w:rPr>
          <w:rFonts w:ascii="Garamond" w:hAnsi="Garamond"/>
          <w:sz w:val="22"/>
          <w:szCs w:val="22"/>
        </w:rPr>
        <w:t>private consumption.</w:t>
      </w:r>
      <w:r w:rsidR="005B3BA7">
        <w:rPr>
          <w:rFonts w:ascii="Garamond" w:hAnsi="Garamond"/>
          <w:sz w:val="22"/>
          <w:szCs w:val="22"/>
        </w:rPr>
        <w:t xml:space="preserve"> Gross</w:t>
      </w:r>
      <w:r w:rsidR="005B3BA7" w:rsidRPr="005B3BA7">
        <w:rPr>
          <w:rFonts w:ascii="Garamond" w:hAnsi="Garamond"/>
          <w:sz w:val="22"/>
          <w:szCs w:val="22"/>
        </w:rPr>
        <w:t xml:space="preserve"> accumulation of private fixed assets in the reporting quarter </w:t>
      </w:r>
      <w:r w:rsidR="00B71D4A">
        <w:rPr>
          <w:rFonts w:ascii="Garamond" w:hAnsi="Garamond"/>
          <w:sz w:val="22"/>
          <w:szCs w:val="22"/>
        </w:rPr>
        <w:t xml:space="preserve">has </w:t>
      </w:r>
      <w:r w:rsidR="00AA44D8">
        <w:rPr>
          <w:rFonts w:ascii="Garamond" w:hAnsi="Garamond"/>
          <w:sz w:val="22"/>
          <w:szCs w:val="22"/>
        </w:rPr>
        <w:t xml:space="preserve">decreased </w:t>
      </w:r>
      <w:r w:rsidR="005B3BA7" w:rsidRPr="005B3BA7">
        <w:rPr>
          <w:rFonts w:ascii="Garamond" w:hAnsi="Garamond"/>
          <w:sz w:val="22"/>
          <w:szCs w:val="22"/>
        </w:rPr>
        <w:t xml:space="preserve">by 3.6%, which is </w:t>
      </w:r>
      <w:r w:rsidR="00B71D4A">
        <w:rPr>
          <w:rFonts w:ascii="Garamond" w:hAnsi="Garamond"/>
          <w:sz w:val="22"/>
          <w:szCs w:val="22"/>
        </w:rPr>
        <w:t xml:space="preserve">below the </w:t>
      </w:r>
      <w:r w:rsidR="005B3BA7" w:rsidRPr="005B3BA7">
        <w:rPr>
          <w:rFonts w:ascii="Garamond" w:hAnsi="Garamond"/>
          <w:sz w:val="22"/>
          <w:szCs w:val="22"/>
        </w:rPr>
        <w:t xml:space="preserve">previous forecasts </w:t>
      </w:r>
      <w:r w:rsidR="00B71D4A">
        <w:rPr>
          <w:rFonts w:ascii="Garamond" w:hAnsi="Garamond"/>
          <w:sz w:val="22"/>
          <w:szCs w:val="22"/>
        </w:rPr>
        <w:t xml:space="preserve">by </w:t>
      </w:r>
      <w:r w:rsidR="005B3BA7" w:rsidRPr="005B3BA7">
        <w:rPr>
          <w:rFonts w:ascii="Garamond" w:hAnsi="Garamond"/>
          <w:sz w:val="22"/>
          <w:szCs w:val="22"/>
        </w:rPr>
        <w:t>the Central Bank. According to the C</w:t>
      </w:r>
      <w:r w:rsidR="00AA44D8">
        <w:rPr>
          <w:rFonts w:ascii="Garamond" w:hAnsi="Garamond"/>
          <w:sz w:val="22"/>
          <w:szCs w:val="22"/>
        </w:rPr>
        <w:t xml:space="preserve">entral </w:t>
      </w:r>
      <w:r w:rsidR="005B3BA7" w:rsidRPr="005B3BA7">
        <w:rPr>
          <w:rFonts w:ascii="Garamond" w:hAnsi="Garamond"/>
          <w:sz w:val="22"/>
          <w:szCs w:val="22"/>
        </w:rPr>
        <w:t>B</w:t>
      </w:r>
      <w:r w:rsidR="00AA44D8">
        <w:rPr>
          <w:rFonts w:ascii="Garamond" w:hAnsi="Garamond"/>
          <w:sz w:val="22"/>
          <w:szCs w:val="22"/>
        </w:rPr>
        <w:t>ank</w:t>
      </w:r>
      <w:r w:rsidR="005B3BA7" w:rsidRPr="005B3BA7">
        <w:rPr>
          <w:rFonts w:ascii="Garamond" w:hAnsi="Garamond"/>
          <w:sz w:val="22"/>
          <w:szCs w:val="22"/>
        </w:rPr>
        <w:t xml:space="preserve"> estimates, </w:t>
      </w:r>
      <w:r w:rsidR="00AA44D8">
        <w:rPr>
          <w:rFonts w:ascii="Garamond" w:hAnsi="Garamond"/>
          <w:sz w:val="22"/>
          <w:szCs w:val="22"/>
        </w:rPr>
        <w:t xml:space="preserve">a </w:t>
      </w:r>
      <w:r w:rsidR="005B3BA7" w:rsidRPr="005B3BA7">
        <w:rPr>
          <w:rFonts w:ascii="Garamond" w:hAnsi="Garamond"/>
          <w:sz w:val="22"/>
          <w:szCs w:val="22"/>
        </w:rPr>
        <w:t xml:space="preserve">weak investment environment is still due to the change in the investment structure, </w:t>
      </w:r>
      <w:r w:rsidR="00AA44D8">
        <w:rPr>
          <w:rFonts w:ascii="Garamond" w:hAnsi="Garamond"/>
          <w:sz w:val="22"/>
          <w:szCs w:val="22"/>
        </w:rPr>
        <w:t xml:space="preserve">a </w:t>
      </w:r>
      <w:r w:rsidR="005B3BA7" w:rsidRPr="005B3BA7">
        <w:rPr>
          <w:rFonts w:ascii="Garamond" w:hAnsi="Garamond"/>
          <w:sz w:val="22"/>
          <w:szCs w:val="22"/>
        </w:rPr>
        <w:t>reduc</w:t>
      </w:r>
      <w:r w:rsidR="00AA44D8">
        <w:rPr>
          <w:rFonts w:ascii="Garamond" w:hAnsi="Garamond"/>
          <w:sz w:val="22"/>
          <w:szCs w:val="22"/>
        </w:rPr>
        <w:t>ed</w:t>
      </w:r>
      <w:r w:rsidR="005B3BA7" w:rsidRPr="005B3BA7">
        <w:rPr>
          <w:rFonts w:ascii="Garamond" w:hAnsi="Garamond"/>
          <w:sz w:val="22"/>
          <w:szCs w:val="22"/>
        </w:rPr>
        <w:t xml:space="preserve"> </w:t>
      </w:r>
      <w:r w:rsidR="00AA44D8">
        <w:rPr>
          <w:rFonts w:ascii="Garamond" w:hAnsi="Garamond"/>
          <w:sz w:val="22"/>
          <w:szCs w:val="22"/>
        </w:rPr>
        <w:t xml:space="preserve">amount of </w:t>
      </w:r>
      <w:r w:rsidR="005B3BA7" w:rsidRPr="005B3BA7">
        <w:rPr>
          <w:rFonts w:ascii="Garamond" w:hAnsi="Garamond"/>
          <w:sz w:val="22"/>
          <w:szCs w:val="22"/>
        </w:rPr>
        <w:t>large-scale investments</w:t>
      </w:r>
      <w:r w:rsidR="00AA44D8">
        <w:rPr>
          <w:rFonts w:ascii="Garamond" w:hAnsi="Garamond"/>
          <w:sz w:val="22"/>
          <w:szCs w:val="22"/>
        </w:rPr>
        <w:t xml:space="preserve">, </w:t>
      </w:r>
      <w:r w:rsidR="00AA44D8" w:rsidRPr="005B3BA7">
        <w:rPr>
          <w:rFonts w:ascii="Garamond" w:hAnsi="Garamond"/>
          <w:sz w:val="22"/>
          <w:szCs w:val="22"/>
        </w:rPr>
        <w:t>in particular</w:t>
      </w:r>
      <w:r w:rsidR="005B3BA7" w:rsidRPr="005B3BA7">
        <w:rPr>
          <w:rFonts w:ascii="Garamond" w:hAnsi="Garamond"/>
          <w:sz w:val="22"/>
          <w:szCs w:val="22"/>
        </w:rPr>
        <w:t xml:space="preserve">. Thus, the growth of private spending in the </w:t>
      </w:r>
      <w:r w:rsidR="00A32697" w:rsidRPr="00A32697">
        <w:rPr>
          <w:rFonts w:ascii="Garamond" w:hAnsi="Garamond"/>
          <w:color w:val="FF0000"/>
          <w:sz w:val="22"/>
          <w:szCs w:val="22"/>
        </w:rPr>
        <w:t xml:space="preserve">second? </w:t>
      </w:r>
      <w:r w:rsidR="007D5BAC" w:rsidRPr="007D5BAC">
        <w:rPr>
          <w:rFonts w:ascii="Garamond" w:hAnsi="Garamond"/>
          <w:color w:val="FF0000"/>
          <w:sz w:val="22"/>
          <w:szCs w:val="22"/>
        </w:rPr>
        <w:t>third?</w:t>
      </w:r>
      <w:r w:rsidR="00F62CF3">
        <w:rPr>
          <w:rFonts w:ascii="Garamond" w:hAnsi="Garamond"/>
          <w:color w:val="FF0000"/>
          <w:sz w:val="22"/>
          <w:szCs w:val="22"/>
        </w:rPr>
        <w:t xml:space="preserve"> third</w:t>
      </w:r>
      <w:r w:rsidR="005B3BA7" w:rsidRPr="005B3BA7">
        <w:rPr>
          <w:rFonts w:ascii="Garamond" w:hAnsi="Garamond"/>
          <w:sz w:val="22"/>
          <w:szCs w:val="22"/>
        </w:rPr>
        <w:t xml:space="preserve"> quarter was 7.9%, which mainly explains the economic growth of the same quarter.</w:t>
      </w:r>
    </w:p>
    <w:p w14:paraId="346E2D5E" w14:textId="77777777" w:rsidR="00781ACF" w:rsidRPr="00EE5F0F" w:rsidRDefault="007D5BAC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High growth of p</w:t>
      </w:r>
      <w:r w:rsidR="00536FF2">
        <w:rPr>
          <w:rFonts w:ascii="Garamond" w:hAnsi="Garamond"/>
          <w:sz w:val="22"/>
          <w:szCs w:val="22"/>
        </w:rPr>
        <w:t xml:space="preserve">rivate consumption </w:t>
      </w:r>
      <w:r w:rsidR="00536FF2" w:rsidRPr="00536FF2">
        <w:rPr>
          <w:rFonts w:ascii="Garamond" w:hAnsi="Garamond"/>
          <w:sz w:val="22"/>
          <w:szCs w:val="22"/>
        </w:rPr>
        <w:t xml:space="preserve">still </w:t>
      </w:r>
      <w:r>
        <w:rPr>
          <w:rFonts w:ascii="Garamond" w:hAnsi="Garamond"/>
          <w:sz w:val="22"/>
          <w:szCs w:val="22"/>
        </w:rPr>
        <w:t>leaves</w:t>
      </w:r>
      <w:r w:rsidR="00536FF2">
        <w:rPr>
          <w:rFonts w:ascii="Garamond" w:hAnsi="Garamond"/>
          <w:sz w:val="22"/>
          <w:szCs w:val="22"/>
        </w:rPr>
        <w:t xml:space="preserve"> a </w:t>
      </w:r>
      <w:r>
        <w:rPr>
          <w:rFonts w:ascii="Garamond" w:hAnsi="Garamond"/>
          <w:sz w:val="22"/>
          <w:szCs w:val="22"/>
        </w:rPr>
        <w:t xml:space="preserve">minor </w:t>
      </w:r>
      <w:r w:rsidR="00536FF2" w:rsidRPr="00536FF2">
        <w:rPr>
          <w:rFonts w:ascii="Garamond" w:hAnsi="Garamond"/>
          <w:sz w:val="22"/>
          <w:szCs w:val="22"/>
        </w:rPr>
        <w:t>effect on inflation</w:t>
      </w:r>
      <w:r w:rsidR="00536FF2">
        <w:rPr>
          <w:rFonts w:ascii="Garamond" w:hAnsi="Garamond"/>
          <w:sz w:val="22"/>
          <w:szCs w:val="22"/>
        </w:rPr>
        <w:t>,</w:t>
      </w:r>
      <w:r w:rsidR="00536FF2" w:rsidRPr="00536FF2">
        <w:rPr>
          <w:rFonts w:ascii="Garamond" w:hAnsi="Garamond"/>
          <w:sz w:val="22"/>
          <w:szCs w:val="22"/>
        </w:rPr>
        <w:t xml:space="preserve"> according to the C</w:t>
      </w:r>
      <w:r w:rsidR="00536FF2">
        <w:rPr>
          <w:rFonts w:ascii="Garamond" w:hAnsi="Garamond"/>
          <w:sz w:val="22"/>
          <w:szCs w:val="22"/>
        </w:rPr>
        <w:t xml:space="preserve">entral </w:t>
      </w:r>
      <w:r w:rsidR="00536FF2" w:rsidRPr="00536FF2">
        <w:rPr>
          <w:rFonts w:ascii="Garamond" w:hAnsi="Garamond"/>
          <w:sz w:val="22"/>
          <w:szCs w:val="22"/>
        </w:rPr>
        <w:t>B</w:t>
      </w:r>
      <w:r w:rsidR="00536FF2">
        <w:rPr>
          <w:rFonts w:ascii="Garamond" w:hAnsi="Garamond"/>
          <w:sz w:val="22"/>
          <w:szCs w:val="22"/>
        </w:rPr>
        <w:t xml:space="preserve">ank </w:t>
      </w:r>
      <w:r w:rsidR="00536FF2" w:rsidRPr="00536FF2">
        <w:rPr>
          <w:rFonts w:ascii="Garamond" w:hAnsi="Garamond"/>
          <w:sz w:val="22"/>
          <w:szCs w:val="22"/>
        </w:rPr>
        <w:t xml:space="preserve">estimates, </w:t>
      </w:r>
      <w:r w:rsidR="00536FF2">
        <w:rPr>
          <w:rFonts w:ascii="Garamond" w:hAnsi="Garamond"/>
          <w:sz w:val="22"/>
          <w:szCs w:val="22"/>
        </w:rPr>
        <w:t xml:space="preserve">determined by </w:t>
      </w:r>
      <w:r w:rsidR="00536FF2" w:rsidRPr="00536FF2">
        <w:rPr>
          <w:rFonts w:ascii="Garamond" w:hAnsi="Garamond"/>
          <w:sz w:val="22"/>
          <w:szCs w:val="22"/>
        </w:rPr>
        <w:t xml:space="preserve">peculiarities </w:t>
      </w:r>
      <w:r w:rsidR="00536FF2">
        <w:rPr>
          <w:rFonts w:ascii="Garamond" w:hAnsi="Garamond"/>
          <w:sz w:val="22"/>
          <w:szCs w:val="22"/>
        </w:rPr>
        <w:t xml:space="preserve">in the </w:t>
      </w:r>
      <w:r w:rsidR="00536FF2" w:rsidRPr="00536FF2">
        <w:rPr>
          <w:rFonts w:ascii="Garamond" w:hAnsi="Garamond"/>
          <w:sz w:val="22"/>
          <w:szCs w:val="22"/>
        </w:rPr>
        <w:t>consumption structure</w:t>
      </w:r>
      <w:r w:rsidR="00536FF2">
        <w:rPr>
          <w:rFonts w:ascii="Garamond" w:hAnsi="Garamond"/>
          <w:sz w:val="22"/>
          <w:szCs w:val="22"/>
        </w:rPr>
        <w:t xml:space="preserve">. </w:t>
      </w:r>
    </w:p>
    <w:p w14:paraId="01CF423F" w14:textId="77777777" w:rsidR="00781ACF" w:rsidRPr="00EE5F0F" w:rsidRDefault="002A1E4B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="00743A97">
        <w:rPr>
          <w:rFonts w:ascii="Garamond" w:hAnsi="Garamond"/>
          <w:sz w:val="22"/>
          <w:szCs w:val="22"/>
        </w:rPr>
        <w:t xml:space="preserve">he </w:t>
      </w:r>
      <w:r w:rsidR="006E6EEA">
        <w:rPr>
          <w:rFonts w:ascii="Garamond" w:hAnsi="Garamond"/>
          <w:sz w:val="22"/>
          <w:szCs w:val="22"/>
        </w:rPr>
        <w:t xml:space="preserve">real </w:t>
      </w:r>
      <w:r w:rsidR="00B2087D" w:rsidRPr="00B2087D">
        <w:rPr>
          <w:rFonts w:ascii="Garamond" w:hAnsi="Garamond"/>
          <w:sz w:val="22"/>
          <w:szCs w:val="22"/>
        </w:rPr>
        <w:t>export and import</w:t>
      </w:r>
      <w:r w:rsidR="00B2087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volumes </w:t>
      </w:r>
      <w:r w:rsidR="007D5BAC">
        <w:rPr>
          <w:rFonts w:ascii="Garamond" w:hAnsi="Garamond"/>
          <w:sz w:val="22"/>
          <w:szCs w:val="22"/>
        </w:rPr>
        <w:t>p</w:t>
      </w:r>
      <w:r>
        <w:rPr>
          <w:rFonts w:ascii="Garamond" w:hAnsi="Garamond"/>
          <w:sz w:val="22"/>
          <w:szCs w:val="22"/>
        </w:rPr>
        <w:t xml:space="preserve">roved </w:t>
      </w:r>
      <w:r w:rsidR="007D5BAC">
        <w:rPr>
          <w:rFonts w:ascii="Garamond" w:hAnsi="Garamond"/>
          <w:sz w:val="22"/>
          <w:szCs w:val="22"/>
        </w:rPr>
        <w:t xml:space="preserve">rather high </w:t>
      </w:r>
      <w:r>
        <w:rPr>
          <w:rFonts w:ascii="Garamond" w:hAnsi="Garamond"/>
          <w:sz w:val="22"/>
          <w:szCs w:val="22"/>
        </w:rPr>
        <w:t>in the</w:t>
      </w:r>
      <w:r w:rsidRPr="00EE5F0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third quarter</w:t>
      </w:r>
      <w:r w:rsidRPr="00EE5F0F">
        <w:rPr>
          <w:rFonts w:ascii="Garamond" w:hAnsi="Garamond"/>
          <w:sz w:val="22"/>
          <w:szCs w:val="22"/>
        </w:rPr>
        <w:t xml:space="preserve"> of 201</w:t>
      </w:r>
      <w:r>
        <w:rPr>
          <w:rFonts w:ascii="Garamond" w:hAnsi="Garamond"/>
          <w:sz w:val="22"/>
          <w:szCs w:val="22"/>
        </w:rPr>
        <w:t>9</w:t>
      </w:r>
      <w:r w:rsidR="00572B2A">
        <w:rPr>
          <w:rFonts w:ascii="Garamond" w:hAnsi="Garamond"/>
          <w:sz w:val="22"/>
          <w:szCs w:val="22"/>
        </w:rPr>
        <w:t xml:space="preserve">. </w:t>
      </w:r>
      <w:r w:rsidR="006E6EEA">
        <w:rPr>
          <w:rFonts w:ascii="Garamond" w:hAnsi="Garamond"/>
          <w:sz w:val="22"/>
          <w:szCs w:val="22"/>
        </w:rPr>
        <w:t>The r</w:t>
      </w:r>
      <w:r w:rsidR="00B2087D" w:rsidRPr="00B2087D">
        <w:rPr>
          <w:rFonts w:ascii="Garamond" w:hAnsi="Garamond"/>
          <w:sz w:val="22"/>
          <w:szCs w:val="22"/>
        </w:rPr>
        <w:t xml:space="preserve">eal </w:t>
      </w:r>
      <w:r w:rsidR="006E6EEA">
        <w:rPr>
          <w:rFonts w:ascii="Garamond" w:hAnsi="Garamond"/>
          <w:sz w:val="22"/>
          <w:szCs w:val="22"/>
        </w:rPr>
        <w:t xml:space="preserve">export </w:t>
      </w:r>
      <w:r w:rsidR="00B2087D" w:rsidRPr="00B2087D">
        <w:rPr>
          <w:rFonts w:ascii="Garamond" w:hAnsi="Garamond"/>
          <w:sz w:val="22"/>
          <w:szCs w:val="22"/>
        </w:rPr>
        <w:t xml:space="preserve">volumes </w:t>
      </w:r>
      <w:r w:rsidR="006E6EEA">
        <w:rPr>
          <w:rFonts w:ascii="Garamond" w:hAnsi="Garamond"/>
          <w:sz w:val="22"/>
          <w:szCs w:val="22"/>
        </w:rPr>
        <w:t xml:space="preserve">have </w:t>
      </w:r>
      <w:r w:rsidR="003120F8">
        <w:rPr>
          <w:rFonts w:ascii="Garamond" w:hAnsi="Garamond"/>
          <w:sz w:val="22"/>
          <w:szCs w:val="22"/>
        </w:rPr>
        <w:t xml:space="preserve">grown </w:t>
      </w:r>
      <w:r w:rsidR="006E6EEA">
        <w:rPr>
          <w:rFonts w:ascii="Garamond" w:hAnsi="Garamond"/>
          <w:sz w:val="22"/>
          <w:szCs w:val="22"/>
        </w:rPr>
        <w:t>faster than those of import</w:t>
      </w:r>
      <w:r w:rsidR="00B2087D" w:rsidRPr="00B2087D">
        <w:rPr>
          <w:rFonts w:ascii="Garamond" w:hAnsi="Garamond"/>
          <w:sz w:val="22"/>
          <w:szCs w:val="22"/>
        </w:rPr>
        <w:t>.</w:t>
      </w:r>
      <w:r w:rsidR="00ED54BB">
        <w:rPr>
          <w:rFonts w:ascii="Garamond" w:hAnsi="Garamond"/>
          <w:sz w:val="22"/>
          <w:szCs w:val="22"/>
        </w:rPr>
        <w:t xml:space="preserve"> As a result, </w:t>
      </w:r>
      <w:r w:rsidR="00ED54BB" w:rsidRPr="00ED54BB">
        <w:rPr>
          <w:rFonts w:ascii="Garamond" w:hAnsi="Garamond"/>
          <w:sz w:val="22"/>
          <w:szCs w:val="22"/>
        </w:rPr>
        <w:t>net real export</w:t>
      </w:r>
      <w:r w:rsidR="003120F8">
        <w:rPr>
          <w:rFonts w:ascii="Garamond" w:hAnsi="Garamond"/>
          <w:sz w:val="22"/>
          <w:szCs w:val="22"/>
        </w:rPr>
        <w:t>’s contribution</w:t>
      </w:r>
      <w:r w:rsidR="00ED54BB">
        <w:rPr>
          <w:rFonts w:ascii="Garamond" w:hAnsi="Garamond"/>
          <w:sz w:val="22"/>
          <w:szCs w:val="22"/>
        </w:rPr>
        <w:t xml:space="preserve"> to the GDP </w:t>
      </w:r>
      <w:r w:rsidR="003120F8">
        <w:rPr>
          <w:rFonts w:ascii="Garamond" w:hAnsi="Garamond"/>
          <w:sz w:val="22"/>
          <w:szCs w:val="22"/>
        </w:rPr>
        <w:t>was positive</w:t>
      </w:r>
      <w:r w:rsidR="00ED54BB" w:rsidRPr="00ED54BB">
        <w:rPr>
          <w:rFonts w:ascii="Garamond" w:hAnsi="Garamond"/>
          <w:sz w:val="22"/>
          <w:szCs w:val="22"/>
        </w:rPr>
        <w:t>.</w:t>
      </w:r>
      <w:r w:rsidR="00ED54BB">
        <w:rPr>
          <w:rFonts w:ascii="Garamond" w:hAnsi="Garamond"/>
          <w:sz w:val="22"/>
          <w:szCs w:val="22"/>
        </w:rPr>
        <w:t xml:space="preserve"> </w:t>
      </w:r>
      <w:r w:rsidR="00ED54BB" w:rsidRPr="00ED54BB">
        <w:rPr>
          <w:rFonts w:ascii="Garamond" w:hAnsi="Garamond"/>
          <w:sz w:val="22"/>
          <w:szCs w:val="22"/>
        </w:rPr>
        <w:t xml:space="preserve">Thus, the </w:t>
      </w:r>
      <w:r w:rsidR="003120F8">
        <w:rPr>
          <w:rFonts w:ascii="Garamond" w:hAnsi="Garamond"/>
          <w:sz w:val="22"/>
          <w:szCs w:val="22"/>
        </w:rPr>
        <w:t xml:space="preserve">real growth of </w:t>
      </w:r>
      <w:r w:rsidR="00ED54BB" w:rsidRPr="00ED54BB">
        <w:rPr>
          <w:rFonts w:ascii="Garamond" w:hAnsi="Garamond"/>
          <w:sz w:val="22"/>
          <w:szCs w:val="22"/>
        </w:rPr>
        <w:t xml:space="preserve">export of goods and services </w:t>
      </w:r>
      <w:r w:rsidR="003120F8">
        <w:rPr>
          <w:rFonts w:ascii="Garamond" w:hAnsi="Garamond"/>
          <w:sz w:val="22"/>
          <w:szCs w:val="22"/>
        </w:rPr>
        <w:t xml:space="preserve">and import of goods and services in the </w:t>
      </w:r>
      <w:r>
        <w:rPr>
          <w:rFonts w:ascii="Garamond" w:hAnsi="Garamond"/>
          <w:sz w:val="22"/>
          <w:szCs w:val="22"/>
        </w:rPr>
        <w:t>third</w:t>
      </w:r>
      <w:r w:rsidR="003120F8" w:rsidRPr="00ED54BB">
        <w:rPr>
          <w:rFonts w:ascii="Garamond" w:hAnsi="Garamond"/>
          <w:sz w:val="22"/>
          <w:szCs w:val="22"/>
        </w:rPr>
        <w:t xml:space="preserve"> quarter</w:t>
      </w:r>
      <w:r w:rsidR="003120F8">
        <w:rPr>
          <w:rFonts w:ascii="Garamond" w:hAnsi="Garamond"/>
          <w:sz w:val="22"/>
          <w:szCs w:val="22"/>
        </w:rPr>
        <w:t xml:space="preserve"> of 2019 amounted to </w:t>
      </w:r>
      <w:r>
        <w:rPr>
          <w:rFonts w:ascii="Garamond" w:hAnsi="Garamond"/>
          <w:sz w:val="22"/>
          <w:szCs w:val="22"/>
        </w:rPr>
        <w:t>17</w:t>
      </w:r>
      <w:r w:rsidR="00ED54BB" w:rsidRPr="00ED54BB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>2</w:t>
      </w:r>
      <w:r w:rsidR="00ED54BB" w:rsidRPr="00ED54BB">
        <w:rPr>
          <w:rFonts w:ascii="Garamond" w:hAnsi="Garamond"/>
          <w:sz w:val="22"/>
          <w:szCs w:val="22"/>
        </w:rPr>
        <w:t>%</w:t>
      </w:r>
      <w:r w:rsidR="00ED54B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y/y </w:t>
      </w:r>
      <w:r w:rsidR="00D222B3">
        <w:rPr>
          <w:rFonts w:ascii="Garamond" w:hAnsi="Garamond"/>
          <w:sz w:val="22"/>
          <w:szCs w:val="22"/>
        </w:rPr>
        <w:t xml:space="preserve">and </w:t>
      </w:r>
      <w:r>
        <w:rPr>
          <w:rFonts w:ascii="Garamond" w:hAnsi="Garamond"/>
          <w:sz w:val="22"/>
          <w:szCs w:val="22"/>
        </w:rPr>
        <w:t>11</w:t>
      </w:r>
      <w:r w:rsidR="00D222B3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>6</w:t>
      </w:r>
      <w:r w:rsidR="00D222B3">
        <w:rPr>
          <w:rFonts w:ascii="Garamond" w:hAnsi="Garamond"/>
          <w:sz w:val="22"/>
          <w:szCs w:val="22"/>
        </w:rPr>
        <w:t xml:space="preserve">% </w:t>
      </w:r>
      <w:r w:rsidR="00ED54BB">
        <w:rPr>
          <w:rFonts w:ascii="Garamond" w:hAnsi="Garamond"/>
          <w:sz w:val="22"/>
          <w:szCs w:val="22"/>
        </w:rPr>
        <w:t>y/y</w:t>
      </w:r>
      <w:r w:rsidR="00ED54BB" w:rsidRPr="00ED54BB">
        <w:rPr>
          <w:rFonts w:ascii="Garamond" w:hAnsi="Garamond"/>
          <w:sz w:val="22"/>
          <w:szCs w:val="22"/>
        </w:rPr>
        <w:t xml:space="preserve">, </w:t>
      </w:r>
      <w:r w:rsidR="00D222B3">
        <w:rPr>
          <w:rFonts w:ascii="Garamond" w:hAnsi="Garamond"/>
          <w:sz w:val="22"/>
          <w:szCs w:val="22"/>
        </w:rPr>
        <w:t xml:space="preserve">respectively. </w:t>
      </w:r>
      <w:r w:rsidR="00630CAC">
        <w:rPr>
          <w:rFonts w:ascii="Garamond" w:hAnsi="Garamond"/>
          <w:sz w:val="22"/>
          <w:szCs w:val="22"/>
        </w:rPr>
        <w:t xml:space="preserve">An increased </w:t>
      </w:r>
      <w:proofErr w:type="gramStart"/>
      <w:r w:rsidR="00630CAC">
        <w:rPr>
          <w:rFonts w:ascii="Garamond" w:hAnsi="Garamond"/>
          <w:sz w:val="22"/>
          <w:szCs w:val="22"/>
        </w:rPr>
        <w:t>amount</w:t>
      </w:r>
      <w:proofErr w:type="gramEnd"/>
      <w:r w:rsidR="00630CAC">
        <w:rPr>
          <w:rFonts w:ascii="Garamond" w:hAnsi="Garamond"/>
          <w:sz w:val="22"/>
          <w:szCs w:val="22"/>
        </w:rPr>
        <w:t xml:space="preserve"> of imported cars as well as </w:t>
      </w:r>
      <w:r w:rsidR="00630CAC" w:rsidRPr="00630CAC">
        <w:rPr>
          <w:rFonts w:ascii="Garamond" w:hAnsi="Garamond"/>
          <w:sz w:val="22"/>
          <w:szCs w:val="22"/>
        </w:rPr>
        <w:t>medicines</w:t>
      </w:r>
      <w:r w:rsidR="00630CAC">
        <w:rPr>
          <w:rFonts w:ascii="Garamond" w:hAnsi="Garamond"/>
          <w:sz w:val="22"/>
          <w:szCs w:val="22"/>
        </w:rPr>
        <w:t xml:space="preserve"> received under </w:t>
      </w:r>
      <w:r w:rsidR="00630CAC" w:rsidRPr="00630CAC">
        <w:rPr>
          <w:rFonts w:ascii="Garamond" w:hAnsi="Garamond"/>
          <w:sz w:val="22"/>
          <w:szCs w:val="22"/>
        </w:rPr>
        <w:t>humanitarian</w:t>
      </w:r>
      <w:r w:rsidR="00630CAC">
        <w:rPr>
          <w:rFonts w:ascii="Garamond" w:hAnsi="Garamond"/>
          <w:sz w:val="22"/>
          <w:szCs w:val="22"/>
        </w:rPr>
        <w:t xml:space="preserve"> aid</w:t>
      </w:r>
      <w:r w:rsidR="00630CAC" w:rsidRPr="00630CAC">
        <w:rPr>
          <w:rFonts w:ascii="Garamond" w:hAnsi="Garamond"/>
          <w:sz w:val="22"/>
          <w:szCs w:val="22"/>
        </w:rPr>
        <w:t xml:space="preserve"> </w:t>
      </w:r>
      <w:r w:rsidR="00630CAC">
        <w:rPr>
          <w:rFonts w:ascii="Garamond" w:hAnsi="Garamond"/>
          <w:sz w:val="22"/>
          <w:szCs w:val="22"/>
        </w:rPr>
        <w:t xml:space="preserve">were the main contribution to the growth of import. </w:t>
      </w:r>
    </w:p>
    <w:p w14:paraId="072D2F3A" w14:textId="77777777" w:rsidR="00781ACF" w:rsidRDefault="00781AC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 xml:space="preserve">In the </w:t>
      </w:r>
      <w:r w:rsidR="00630CAC">
        <w:rPr>
          <w:rFonts w:ascii="Garamond" w:hAnsi="Garamond"/>
          <w:sz w:val="22"/>
          <w:szCs w:val="22"/>
        </w:rPr>
        <w:t>third</w:t>
      </w:r>
      <w:r w:rsidRPr="00EE5F0F">
        <w:rPr>
          <w:rFonts w:ascii="Garamond" w:hAnsi="Garamond"/>
          <w:sz w:val="22"/>
          <w:szCs w:val="22"/>
        </w:rPr>
        <w:t xml:space="preserve"> quarter of 201</w:t>
      </w:r>
      <w:r w:rsidR="00D222B3">
        <w:rPr>
          <w:rFonts w:ascii="Garamond" w:hAnsi="Garamond"/>
          <w:sz w:val="22"/>
          <w:szCs w:val="22"/>
        </w:rPr>
        <w:t xml:space="preserve">9 </w:t>
      </w:r>
      <w:r w:rsidRPr="00EE5F0F">
        <w:rPr>
          <w:rFonts w:ascii="Garamond" w:hAnsi="Garamond"/>
          <w:sz w:val="22"/>
          <w:szCs w:val="22"/>
        </w:rPr>
        <w:t>net remittances of individuals (seasonal workers’ income and personal transfers inclusive)</w:t>
      </w:r>
      <w:r w:rsidR="000C1208">
        <w:rPr>
          <w:rFonts w:ascii="Garamond" w:hAnsi="Garamond"/>
          <w:sz w:val="22"/>
          <w:szCs w:val="22"/>
        </w:rPr>
        <w:t xml:space="preserve"> in </w:t>
      </w:r>
      <w:r w:rsidR="00FD0ABE">
        <w:rPr>
          <w:rFonts w:ascii="Garamond" w:hAnsi="Garamond"/>
          <w:sz w:val="22"/>
          <w:szCs w:val="22"/>
        </w:rPr>
        <w:t>US dollars</w:t>
      </w:r>
      <w:r w:rsidRPr="00EE5F0F">
        <w:rPr>
          <w:rFonts w:ascii="Garamond" w:hAnsi="Garamond"/>
          <w:sz w:val="22"/>
          <w:szCs w:val="22"/>
        </w:rPr>
        <w:t xml:space="preserve"> </w:t>
      </w:r>
      <w:r w:rsidR="00324828">
        <w:rPr>
          <w:rFonts w:ascii="Garamond" w:hAnsi="Garamond"/>
          <w:sz w:val="22"/>
          <w:szCs w:val="22"/>
        </w:rPr>
        <w:t>reported a tiny growth, 0.5</w:t>
      </w:r>
      <w:r w:rsidRPr="00EE5F0F">
        <w:rPr>
          <w:rFonts w:ascii="Garamond" w:hAnsi="Garamond"/>
          <w:sz w:val="22"/>
          <w:szCs w:val="22"/>
        </w:rPr>
        <w:t xml:space="preserve">% y/y, </w:t>
      </w:r>
      <w:r w:rsidR="001F4E33">
        <w:rPr>
          <w:rFonts w:ascii="Garamond" w:hAnsi="Garamond"/>
          <w:sz w:val="22"/>
          <w:szCs w:val="22"/>
        </w:rPr>
        <w:t xml:space="preserve">according to the Central Bank estimates, </w:t>
      </w:r>
      <w:r w:rsidR="00324828">
        <w:rPr>
          <w:rFonts w:ascii="Garamond" w:hAnsi="Garamond"/>
          <w:sz w:val="22"/>
          <w:szCs w:val="22"/>
        </w:rPr>
        <w:t>reflecting the slowing of growth in the non-tradable sector of t</w:t>
      </w:r>
      <w:r w:rsidRPr="00EE5F0F">
        <w:rPr>
          <w:rFonts w:ascii="Garamond" w:hAnsi="Garamond"/>
          <w:sz w:val="22"/>
          <w:szCs w:val="22"/>
        </w:rPr>
        <w:t xml:space="preserve">he </w:t>
      </w:r>
      <w:r w:rsidR="00FD0ABE">
        <w:rPr>
          <w:rFonts w:ascii="Garamond" w:hAnsi="Garamond"/>
          <w:sz w:val="22"/>
          <w:szCs w:val="22"/>
        </w:rPr>
        <w:t xml:space="preserve">Russian </w:t>
      </w:r>
      <w:r w:rsidR="00324828">
        <w:rPr>
          <w:rFonts w:ascii="Garamond" w:hAnsi="Garamond"/>
          <w:sz w:val="22"/>
          <w:szCs w:val="22"/>
        </w:rPr>
        <w:t>economy</w:t>
      </w:r>
      <w:r w:rsidRPr="00EE5F0F">
        <w:rPr>
          <w:rFonts w:ascii="Garamond" w:hAnsi="Garamond"/>
          <w:sz w:val="22"/>
          <w:szCs w:val="22"/>
        </w:rPr>
        <w:t>.</w:t>
      </w:r>
      <w:r w:rsidR="009953EF">
        <w:rPr>
          <w:rFonts w:ascii="Garamond" w:hAnsi="Garamond"/>
          <w:sz w:val="22"/>
          <w:szCs w:val="22"/>
        </w:rPr>
        <w:t xml:space="preserve"> </w:t>
      </w:r>
    </w:p>
    <w:p w14:paraId="6B796A5C" w14:textId="77777777" w:rsidR="00E90953" w:rsidRDefault="004D2425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Pr="00EE5F0F">
        <w:rPr>
          <w:rFonts w:ascii="Garamond" w:hAnsi="Garamond"/>
          <w:sz w:val="22"/>
          <w:szCs w:val="22"/>
        </w:rPr>
        <w:t xml:space="preserve">n the </w:t>
      </w:r>
      <w:r w:rsidR="00324828">
        <w:rPr>
          <w:rFonts w:ascii="Garamond" w:hAnsi="Garamond"/>
          <w:sz w:val="22"/>
          <w:szCs w:val="22"/>
        </w:rPr>
        <w:t>third</w:t>
      </w:r>
      <w:r w:rsidR="00D222B3">
        <w:rPr>
          <w:rFonts w:ascii="Garamond" w:hAnsi="Garamond"/>
          <w:sz w:val="22"/>
          <w:szCs w:val="22"/>
        </w:rPr>
        <w:t xml:space="preserve"> </w:t>
      </w:r>
      <w:r w:rsidRPr="00EE5F0F">
        <w:rPr>
          <w:rFonts w:ascii="Garamond" w:hAnsi="Garamond"/>
          <w:sz w:val="22"/>
          <w:szCs w:val="22"/>
        </w:rPr>
        <w:t>quarter of 201</w:t>
      </w:r>
      <w:r w:rsidR="00D222B3">
        <w:rPr>
          <w:rFonts w:ascii="Garamond" w:hAnsi="Garamond"/>
          <w:sz w:val="22"/>
          <w:szCs w:val="22"/>
        </w:rPr>
        <w:t>9</w:t>
      </w:r>
      <w:r>
        <w:rPr>
          <w:rFonts w:ascii="Garamond" w:hAnsi="Garamond"/>
          <w:sz w:val="22"/>
          <w:szCs w:val="22"/>
        </w:rPr>
        <w:t xml:space="preserve"> </w:t>
      </w:r>
      <w:r w:rsidR="0016421D" w:rsidRPr="00EE5F0F">
        <w:rPr>
          <w:rFonts w:ascii="Garamond" w:hAnsi="Garamond"/>
          <w:sz w:val="22"/>
          <w:szCs w:val="22"/>
        </w:rPr>
        <w:t xml:space="preserve">the current account deficit-to-GDP ratio </w:t>
      </w:r>
      <w:r>
        <w:rPr>
          <w:rFonts w:ascii="Garamond" w:hAnsi="Garamond"/>
          <w:sz w:val="22"/>
          <w:szCs w:val="22"/>
        </w:rPr>
        <w:t xml:space="preserve">dropped </w:t>
      </w:r>
      <w:r w:rsidR="0016421D" w:rsidRPr="00EE5F0F">
        <w:rPr>
          <w:rFonts w:ascii="Garamond" w:hAnsi="Garamond"/>
          <w:sz w:val="22"/>
          <w:szCs w:val="22"/>
        </w:rPr>
        <w:t xml:space="preserve">by about </w:t>
      </w:r>
      <w:r w:rsidR="001F4E33">
        <w:rPr>
          <w:rFonts w:ascii="Garamond" w:hAnsi="Garamond"/>
          <w:sz w:val="22"/>
          <w:szCs w:val="22"/>
        </w:rPr>
        <w:t>1</w:t>
      </w:r>
      <w:r>
        <w:rPr>
          <w:rFonts w:ascii="Garamond" w:hAnsi="Garamond"/>
          <w:sz w:val="22"/>
          <w:szCs w:val="22"/>
        </w:rPr>
        <w:t>.</w:t>
      </w:r>
      <w:r w:rsidR="00324828">
        <w:rPr>
          <w:rFonts w:ascii="Garamond" w:hAnsi="Garamond"/>
          <w:sz w:val="22"/>
          <w:szCs w:val="22"/>
        </w:rPr>
        <w:t>2</w:t>
      </w:r>
      <w:r>
        <w:rPr>
          <w:rFonts w:ascii="Garamond" w:hAnsi="Garamond"/>
          <w:sz w:val="22"/>
          <w:szCs w:val="22"/>
        </w:rPr>
        <w:t xml:space="preserve"> pp</w:t>
      </w:r>
      <w:r w:rsidR="0016421D" w:rsidRPr="0016421D">
        <w:rPr>
          <w:rFonts w:ascii="Garamond" w:hAnsi="Garamond"/>
          <w:sz w:val="22"/>
          <w:szCs w:val="22"/>
        </w:rPr>
        <w:t xml:space="preserve">, </w:t>
      </w:r>
      <w:r w:rsidR="00324828">
        <w:rPr>
          <w:rFonts w:ascii="Garamond" w:hAnsi="Garamond"/>
          <w:sz w:val="22"/>
          <w:szCs w:val="22"/>
        </w:rPr>
        <w:t xml:space="preserve">according to </w:t>
      </w:r>
      <w:r w:rsidR="001F4E33">
        <w:rPr>
          <w:rFonts w:ascii="Garamond" w:hAnsi="Garamond"/>
          <w:sz w:val="22"/>
          <w:szCs w:val="22"/>
        </w:rPr>
        <w:t xml:space="preserve">the Central Bank </w:t>
      </w:r>
      <w:r>
        <w:rPr>
          <w:rFonts w:ascii="Garamond" w:hAnsi="Garamond"/>
          <w:sz w:val="22"/>
          <w:szCs w:val="22"/>
        </w:rPr>
        <w:t>estimat</w:t>
      </w:r>
      <w:r w:rsidR="001F4E33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>s</w:t>
      </w:r>
      <w:r w:rsidRPr="004D2425">
        <w:rPr>
          <w:rFonts w:ascii="Garamond" w:hAnsi="Garamond"/>
          <w:sz w:val="22"/>
          <w:szCs w:val="22"/>
        </w:rPr>
        <w:t>.</w:t>
      </w:r>
    </w:p>
    <w:p w14:paraId="2BF2354A" w14:textId="77777777" w:rsidR="001E2944" w:rsidRDefault="00781ACF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>Fiscal policy</w:t>
      </w:r>
      <w:r w:rsidR="00FF3872">
        <w:rPr>
          <w:rStyle w:val="FootnoteReference"/>
          <w:rFonts w:ascii="Garamond" w:hAnsi="Garamond"/>
          <w:b/>
          <w:sz w:val="22"/>
          <w:szCs w:val="22"/>
        </w:rPr>
        <w:footnoteReference w:customMarkFollows="1" w:id="15"/>
        <w:t>27</w:t>
      </w:r>
      <w:r w:rsidRPr="00EE5F0F">
        <w:rPr>
          <w:rFonts w:ascii="Garamond" w:hAnsi="Garamond"/>
          <w:b/>
          <w:sz w:val="22"/>
          <w:szCs w:val="22"/>
        </w:rPr>
        <w:t xml:space="preserve">: </w:t>
      </w:r>
      <w:r w:rsidRPr="00EE5F0F">
        <w:rPr>
          <w:rFonts w:ascii="Garamond" w:hAnsi="Garamond"/>
          <w:sz w:val="22"/>
          <w:szCs w:val="22"/>
        </w:rPr>
        <w:t xml:space="preserve">In the </w:t>
      </w:r>
      <w:r w:rsidR="00FF3872">
        <w:rPr>
          <w:rFonts w:ascii="Garamond" w:hAnsi="Garamond"/>
          <w:sz w:val="22"/>
          <w:szCs w:val="22"/>
        </w:rPr>
        <w:t>third</w:t>
      </w:r>
      <w:r w:rsidR="00D222B3">
        <w:rPr>
          <w:rFonts w:ascii="Garamond" w:hAnsi="Garamond"/>
          <w:sz w:val="22"/>
          <w:szCs w:val="22"/>
        </w:rPr>
        <w:t xml:space="preserve"> quarter of 2019</w:t>
      </w:r>
      <w:r w:rsidR="00FF3872">
        <w:rPr>
          <w:rFonts w:ascii="Garamond" w:hAnsi="Garamond"/>
          <w:sz w:val="22"/>
          <w:szCs w:val="22"/>
        </w:rPr>
        <w:t>,</w:t>
      </w:r>
      <w:r w:rsidR="0022067B">
        <w:rPr>
          <w:rFonts w:ascii="Garamond" w:hAnsi="Garamond"/>
          <w:sz w:val="22"/>
          <w:szCs w:val="22"/>
        </w:rPr>
        <w:t xml:space="preserve"> the state b</w:t>
      </w:r>
      <w:r w:rsidRPr="00EE5F0F">
        <w:rPr>
          <w:rFonts w:ascii="Garamond" w:hAnsi="Garamond"/>
          <w:sz w:val="22"/>
          <w:szCs w:val="22"/>
        </w:rPr>
        <w:t xml:space="preserve">udget performed with actual </w:t>
      </w:r>
      <w:r w:rsidR="00FF3872" w:rsidRPr="00EE5F0F">
        <w:rPr>
          <w:rFonts w:ascii="Garamond" w:hAnsi="Garamond"/>
          <w:sz w:val="22"/>
          <w:szCs w:val="22"/>
        </w:rPr>
        <w:t xml:space="preserve">revenues </w:t>
      </w:r>
      <w:r w:rsidR="00FF3872">
        <w:rPr>
          <w:rFonts w:ascii="Garamond" w:hAnsi="Garamond"/>
          <w:sz w:val="22"/>
          <w:szCs w:val="22"/>
        </w:rPr>
        <w:t xml:space="preserve">and </w:t>
      </w:r>
      <w:r w:rsidRPr="00EE5F0F">
        <w:rPr>
          <w:rFonts w:ascii="Garamond" w:hAnsi="Garamond"/>
          <w:sz w:val="22"/>
          <w:szCs w:val="22"/>
        </w:rPr>
        <w:t xml:space="preserve">expenditures </w:t>
      </w:r>
      <w:r w:rsidR="00FF3872">
        <w:rPr>
          <w:rFonts w:ascii="Garamond" w:hAnsi="Garamond"/>
          <w:sz w:val="22"/>
          <w:szCs w:val="22"/>
        </w:rPr>
        <w:t xml:space="preserve">somehow </w:t>
      </w:r>
      <w:r w:rsidRPr="00EE5F0F">
        <w:rPr>
          <w:rFonts w:ascii="Garamond" w:hAnsi="Garamond"/>
          <w:sz w:val="22"/>
          <w:szCs w:val="22"/>
        </w:rPr>
        <w:t>deviat</w:t>
      </w:r>
      <w:r w:rsidR="00FF3872">
        <w:rPr>
          <w:rFonts w:ascii="Garamond" w:hAnsi="Garamond"/>
          <w:sz w:val="22"/>
          <w:szCs w:val="22"/>
        </w:rPr>
        <w:t xml:space="preserve">ed </w:t>
      </w:r>
      <w:r w:rsidRPr="00EE5F0F">
        <w:rPr>
          <w:rFonts w:ascii="Garamond" w:hAnsi="Garamond"/>
          <w:sz w:val="22"/>
          <w:szCs w:val="22"/>
        </w:rPr>
        <w:t>from the Central Bank’s projections</w:t>
      </w:r>
      <w:r w:rsidR="00FF3872">
        <w:rPr>
          <w:rStyle w:val="FootnoteReference"/>
          <w:rFonts w:ascii="Garamond" w:hAnsi="Garamond"/>
          <w:sz w:val="22"/>
          <w:szCs w:val="22"/>
        </w:rPr>
        <w:footnoteReference w:customMarkFollows="1" w:id="16"/>
        <w:t>28</w:t>
      </w:r>
      <w:r w:rsidR="00FF3872">
        <w:rPr>
          <w:rFonts w:ascii="Garamond" w:hAnsi="Garamond"/>
          <w:sz w:val="22"/>
          <w:szCs w:val="22"/>
        </w:rPr>
        <w:t xml:space="preserve"> in the direction upward.</w:t>
      </w:r>
      <w:r w:rsidR="00FD02C0">
        <w:rPr>
          <w:rFonts w:ascii="Garamond" w:hAnsi="Garamond"/>
          <w:sz w:val="22"/>
          <w:szCs w:val="22"/>
        </w:rPr>
        <w:t xml:space="preserve"> As a result, t</w:t>
      </w:r>
      <w:r w:rsidR="00FD02C0" w:rsidRPr="00EE5F0F">
        <w:rPr>
          <w:rFonts w:ascii="Garamond" w:hAnsi="Garamond"/>
          <w:sz w:val="22"/>
          <w:szCs w:val="22"/>
        </w:rPr>
        <w:t>he fiscal policy</w:t>
      </w:r>
      <w:r w:rsidR="00FD02C0">
        <w:rPr>
          <w:rFonts w:ascii="Garamond" w:hAnsi="Garamond"/>
          <w:sz w:val="22"/>
          <w:szCs w:val="22"/>
        </w:rPr>
        <w:t>’s</w:t>
      </w:r>
      <w:r w:rsidR="00FD02C0" w:rsidRPr="00EE5F0F">
        <w:rPr>
          <w:rFonts w:ascii="Garamond" w:hAnsi="Garamond"/>
          <w:sz w:val="22"/>
          <w:szCs w:val="22"/>
        </w:rPr>
        <w:t xml:space="preserve"> </w:t>
      </w:r>
      <w:r w:rsidR="00FD02C0" w:rsidRPr="00EE5F0F">
        <w:rPr>
          <w:rFonts w:ascii="Garamond" w:hAnsi="Garamond"/>
          <w:sz w:val="22"/>
          <w:szCs w:val="22"/>
        </w:rPr>
        <w:lastRenderedPageBreak/>
        <w:t>imp</w:t>
      </w:r>
      <w:r w:rsidR="00FD02C0">
        <w:rPr>
          <w:rFonts w:ascii="Garamond" w:hAnsi="Garamond"/>
          <w:sz w:val="22"/>
          <w:szCs w:val="22"/>
        </w:rPr>
        <w:t>act on aggregate demand in</w:t>
      </w:r>
      <w:r w:rsidR="00FD02C0" w:rsidRPr="00EE5F0F">
        <w:rPr>
          <w:rFonts w:ascii="Garamond" w:hAnsi="Garamond"/>
          <w:sz w:val="22"/>
          <w:szCs w:val="22"/>
        </w:rPr>
        <w:t xml:space="preserve"> the </w:t>
      </w:r>
      <w:r w:rsidR="00FD02C0">
        <w:rPr>
          <w:rFonts w:ascii="Garamond" w:hAnsi="Garamond"/>
          <w:sz w:val="22"/>
          <w:szCs w:val="22"/>
        </w:rPr>
        <w:t>third quarter of 2019 i</w:t>
      </w:r>
      <w:r w:rsidR="00FD02C0" w:rsidRPr="00EE5F0F">
        <w:rPr>
          <w:rFonts w:ascii="Garamond" w:hAnsi="Garamond"/>
          <w:sz w:val="22"/>
          <w:szCs w:val="22"/>
        </w:rPr>
        <w:t xml:space="preserve">s an estimated </w:t>
      </w:r>
      <w:r w:rsidR="00FD02C0">
        <w:rPr>
          <w:rFonts w:ascii="Garamond" w:hAnsi="Garamond"/>
          <w:sz w:val="22"/>
          <w:szCs w:val="22"/>
        </w:rPr>
        <w:t>0</w:t>
      </w:r>
      <w:r w:rsidR="00FD02C0" w:rsidRPr="00EE5F0F">
        <w:rPr>
          <w:rFonts w:ascii="Garamond" w:hAnsi="Garamond"/>
          <w:sz w:val="22"/>
          <w:szCs w:val="22"/>
        </w:rPr>
        <w:t>.</w:t>
      </w:r>
      <w:r w:rsidR="00FD02C0">
        <w:rPr>
          <w:rFonts w:ascii="Garamond" w:hAnsi="Garamond"/>
          <w:sz w:val="22"/>
          <w:szCs w:val="22"/>
        </w:rPr>
        <w:t>9</w:t>
      </w:r>
      <w:r w:rsidR="00FD02C0" w:rsidRPr="00EE5F0F">
        <w:rPr>
          <w:rFonts w:ascii="Garamond" w:hAnsi="Garamond"/>
          <w:sz w:val="22"/>
          <w:szCs w:val="22"/>
        </w:rPr>
        <w:t xml:space="preserve"> pp </w:t>
      </w:r>
      <w:r w:rsidR="00FD02C0">
        <w:rPr>
          <w:rFonts w:ascii="Garamond" w:hAnsi="Garamond"/>
          <w:sz w:val="22"/>
          <w:szCs w:val="22"/>
        </w:rPr>
        <w:t xml:space="preserve">expansionary </w:t>
      </w:r>
      <w:r w:rsidR="00FD02C0" w:rsidRPr="00EE5F0F">
        <w:rPr>
          <w:rFonts w:ascii="Garamond" w:hAnsi="Garamond"/>
          <w:sz w:val="22"/>
          <w:szCs w:val="22"/>
        </w:rPr>
        <w:t xml:space="preserve">instead of </w:t>
      </w:r>
      <w:r w:rsidR="00FD02C0">
        <w:rPr>
          <w:rFonts w:ascii="Garamond" w:hAnsi="Garamond"/>
          <w:sz w:val="22"/>
          <w:szCs w:val="22"/>
        </w:rPr>
        <w:t>the forecast 0</w:t>
      </w:r>
      <w:r w:rsidR="00FD02C0" w:rsidRPr="00EE5F0F">
        <w:rPr>
          <w:rFonts w:ascii="Garamond" w:hAnsi="Garamond"/>
          <w:sz w:val="22"/>
          <w:szCs w:val="22"/>
        </w:rPr>
        <w:t>.</w:t>
      </w:r>
      <w:r w:rsidR="00FD02C0">
        <w:rPr>
          <w:rFonts w:ascii="Garamond" w:hAnsi="Garamond"/>
          <w:sz w:val="22"/>
          <w:szCs w:val="22"/>
        </w:rPr>
        <w:t>5</w:t>
      </w:r>
      <w:r w:rsidR="00FD02C0" w:rsidRPr="00EE5F0F">
        <w:rPr>
          <w:rFonts w:ascii="Garamond" w:hAnsi="Garamond"/>
          <w:sz w:val="22"/>
          <w:szCs w:val="22"/>
        </w:rPr>
        <w:t xml:space="preserve"> pp </w:t>
      </w:r>
      <w:r w:rsidR="00FD02C0">
        <w:rPr>
          <w:rFonts w:ascii="Garamond" w:hAnsi="Garamond"/>
          <w:sz w:val="22"/>
          <w:szCs w:val="22"/>
        </w:rPr>
        <w:t>expansionary</w:t>
      </w:r>
      <w:r w:rsidR="00FD02C0" w:rsidRPr="00EE5F0F">
        <w:rPr>
          <w:rFonts w:ascii="Garamond" w:hAnsi="Garamond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1E2944" w:rsidRPr="00AB24C1" w14:paraId="5988C8C3" w14:textId="77777777" w:rsidTr="00007704">
        <w:tc>
          <w:tcPr>
            <w:tcW w:w="6204" w:type="dxa"/>
          </w:tcPr>
          <w:p w14:paraId="05F31567" w14:textId="77777777" w:rsidR="001E2944" w:rsidRPr="00536FF2" w:rsidRDefault="001E2944" w:rsidP="00FD02C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 w:rsidRPr="00536FF2">
              <w:rPr>
                <w:rFonts w:ascii="Garamond" w:hAnsi="Garamond"/>
                <w:color w:val="0070C0"/>
                <w:sz w:val="20"/>
                <w:szCs w:val="20"/>
              </w:rPr>
              <w:t xml:space="preserve">The 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 xml:space="preserve">fiscal policy’s impact on aggregate demand is an estimated 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>0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>.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>9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 xml:space="preserve"> pp 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 xml:space="preserve">expansionary, 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>instead of 0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>.5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 xml:space="preserve"> pp 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>expansionary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 xml:space="preserve">, for the </w:t>
            </w:r>
            <w:r w:rsidR="00FD02C0">
              <w:rPr>
                <w:rFonts w:ascii="Garamond" w:hAnsi="Garamond"/>
                <w:color w:val="0070C0"/>
                <w:sz w:val="22"/>
                <w:szCs w:val="22"/>
              </w:rPr>
              <w:t>third</w:t>
            </w:r>
            <w:r w:rsidRPr="001E2944">
              <w:rPr>
                <w:rFonts w:ascii="Garamond" w:hAnsi="Garamond"/>
                <w:color w:val="0070C0"/>
                <w:sz w:val="22"/>
                <w:szCs w:val="22"/>
              </w:rPr>
              <w:t xml:space="preserve"> quarter</w:t>
            </w:r>
            <w:r>
              <w:rPr>
                <w:rFonts w:ascii="Garamond" w:hAnsi="Garamond"/>
                <w:color w:val="0070C0"/>
                <w:sz w:val="22"/>
                <w:szCs w:val="22"/>
              </w:rPr>
              <w:t xml:space="preserve">. </w:t>
            </w:r>
          </w:p>
        </w:tc>
      </w:tr>
    </w:tbl>
    <w:p w14:paraId="6F8AD174" w14:textId="77777777" w:rsidR="006A3AB4" w:rsidRDefault="006A3AB4" w:rsidP="00781AC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3B924F91" w14:textId="77777777" w:rsidR="00242EA6" w:rsidRPr="00EE5F0F" w:rsidRDefault="00242EA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color w:val="000000"/>
          <w:sz w:val="22"/>
          <w:szCs w:val="22"/>
        </w:rPr>
      </w:pPr>
      <w:r w:rsidRPr="00EE5F0F">
        <w:rPr>
          <w:rFonts w:ascii="Garamond" w:hAnsi="Garamond"/>
          <w:color w:val="000000"/>
          <w:sz w:val="22"/>
          <w:szCs w:val="22"/>
        </w:rPr>
        <w:t xml:space="preserve">In the </w:t>
      </w:r>
      <w:r w:rsidR="00FD02C0">
        <w:rPr>
          <w:rFonts w:ascii="Garamond" w:hAnsi="Garamond"/>
          <w:color w:val="000000"/>
          <w:sz w:val="22"/>
          <w:szCs w:val="22"/>
        </w:rPr>
        <w:t>third</w:t>
      </w:r>
      <w:r w:rsidRPr="00EE5F0F">
        <w:rPr>
          <w:rFonts w:ascii="Garamond" w:hAnsi="Garamond"/>
          <w:color w:val="000000"/>
          <w:sz w:val="22"/>
          <w:szCs w:val="22"/>
        </w:rPr>
        <w:t xml:space="preserve"> quarter of 201</w:t>
      </w:r>
      <w:r w:rsidR="0053128D">
        <w:rPr>
          <w:rFonts w:ascii="Garamond" w:hAnsi="Garamond"/>
          <w:color w:val="000000"/>
          <w:sz w:val="22"/>
          <w:szCs w:val="22"/>
        </w:rPr>
        <w:t>9</w:t>
      </w:r>
      <w:r w:rsidR="00735B49">
        <w:rPr>
          <w:rFonts w:ascii="Garamond" w:hAnsi="Garamond"/>
          <w:color w:val="000000"/>
          <w:sz w:val="22"/>
          <w:szCs w:val="22"/>
        </w:rPr>
        <w:t>,</w:t>
      </w:r>
      <w:r w:rsidRPr="00EE5F0F">
        <w:rPr>
          <w:rFonts w:ascii="Garamond" w:hAnsi="Garamond"/>
          <w:color w:val="000000"/>
          <w:sz w:val="22"/>
          <w:szCs w:val="22"/>
        </w:rPr>
        <w:t xml:space="preserve"> </w:t>
      </w:r>
      <w:r w:rsidR="0053128D">
        <w:rPr>
          <w:rFonts w:ascii="Garamond" w:hAnsi="Garamond"/>
          <w:color w:val="000000"/>
          <w:sz w:val="22"/>
          <w:szCs w:val="22"/>
        </w:rPr>
        <w:t xml:space="preserve">actual </w:t>
      </w:r>
      <w:r w:rsidRPr="00EE5F0F">
        <w:rPr>
          <w:rFonts w:ascii="Garamond" w:hAnsi="Garamond"/>
          <w:color w:val="000000"/>
          <w:sz w:val="22"/>
          <w:szCs w:val="22"/>
        </w:rPr>
        <w:t xml:space="preserve">budget revenues </w:t>
      </w:r>
      <w:r w:rsidR="00735B49">
        <w:rPr>
          <w:rFonts w:ascii="Garamond" w:hAnsi="Garamond"/>
          <w:color w:val="000000"/>
          <w:sz w:val="22"/>
          <w:szCs w:val="22"/>
        </w:rPr>
        <w:t xml:space="preserve">exceeded </w:t>
      </w:r>
      <w:r w:rsidR="00B30D6A">
        <w:rPr>
          <w:rFonts w:ascii="Garamond" w:hAnsi="Garamond"/>
          <w:color w:val="000000"/>
          <w:sz w:val="22"/>
          <w:szCs w:val="22"/>
        </w:rPr>
        <w:t xml:space="preserve">the projection by </w:t>
      </w:r>
      <w:r w:rsidR="00FD02C0">
        <w:rPr>
          <w:rFonts w:ascii="Garamond" w:hAnsi="Garamond"/>
          <w:color w:val="000000"/>
          <w:sz w:val="22"/>
          <w:szCs w:val="22"/>
        </w:rPr>
        <w:t>4</w:t>
      </w:r>
      <w:r w:rsidR="0053128D">
        <w:rPr>
          <w:rFonts w:ascii="Garamond" w:hAnsi="Garamond"/>
          <w:color w:val="000000"/>
          <w:sz w:val="22"/>
          <w:szCs w:val="22"/>
        </w:rPr>
        <w:t>.</w:t>
      </w:r>
      <w:r w:rsidR="00FD02C0">
        <w:rPr>
          <w:rFonts w:ascii="Garamond" w:hAnsi="Garamond"/>
          <w:color w:val="000000"/>
          <w:sz w:val="22"/>
          <w:szCs w:val="22"/>
        </w:rPr>
        <w:t>1</w:t>
      </w:r>
      <w:r w:rsidR="0053128D">
        <w:rPr>
          <w:rFonts w:ascii="Garamond" w:hAnsi="Garamond"/>
          <w:color w:val="000000"/>
          <w:sz w:val="22"/>
          <w:szCs w:val="22"/>
        </w:rPr>
        <w:t>%</w:t>
      </w:r>
      <w:r w:rsidR="00735B49">
        <w:rPr>
          <w:rFonts w:ascii="Garamond" w:hAnsi="Garamond"/>
          <w:color w:val="000000"/>
          <w:sz w:val="22"/>
          <w:szCs w:val="22"/>
        </w:rPr>
        <w:t xml:space="preserve"> thanks to overperformed tax revenues.</w:t>
      </w:r>
      <w:r w:rsidR="00501718">
        <w:rPr>
          <w:rFonts w:ascii="Garamond" w:hAnsi="Garamond"/>
          <w:color w:val="000000"/>
          <w:sz w:val="22"/>
          <w:szCs w:val="22"/>
        </w:rPr>
        <w:t xml:space="preserve"> </w:t>
      </w:r>
      <w:r w:rsidR="00F74134" w:rsidRPr="00F74134">
        <w:rPr>
          <w:rFonts w:ascii="Garamond" w:hAnsi="Garamond"/>
          <w:color w:val="000000"/>
          <w:sz w:val="22"/>
          <w:szCs w:val="22"/>
        </w:rPr>
        <w:t>As a result, the revenue i</w:t>
      </w:r>
      <w:r w:rsidR="00AC5A09">
        <w:rPr>
          <w:rFonts w:ascii="Garamond" w:hAnsi="Garamond"/>
          <w:color w:val="000000"/>
          <w:sz w:val="22"/>
          <w:szCs w:val="22"/>
        </w:rPr>
        <w:t xml:space="preserve">mpulse </w:t>
      </w:r>
      <w:r w:rsidR="00735B49">
        <w:rPr>
          <w:rFonts w:ascii="Garamond" w:hAnsi="Garamond"/>
          <w:color w:val="000000"/>
          <w:sz w:val="22"/>
          <w:szCs w:val="22"/>
        </w:rPr>
        <w:t>amounted to 1</w:t>
      </w:r>
      <w:r w:rsidR="00F74134" w:rsidRPr="00F74134">
        <w:rPr>
          <w:rFonts w:ascii="Garamond" w:hAnsi="Garamond"/>
          <w:color w:val="000000"/>
          <w:sz w:val="22"/>
          <w:szCs w:val="22"/>
        </w:rPr>
        <w:t>.</w:t>
      </w:r>
      <w:r w:rsidR="00735B49">
        <w:rPr>
          <w:rFonts w:ascii="Garamond" w:hAnsi="Garamond"/>
          <w:color w:val="000000"/>
          <w:sz w:val="22"/>
          <w:szCs w:val="22"/>
        </w:rPr>
        <w:t>1</w:t>
      </w:r>
      <w:r w:rsidR="00F74134" w:rsidRPr="00F74134">
        <w:rPr>
          <w:rFonts w:ascii="Garamond" w:hAnsi="Garamond"/>
          <w:color w:val="000000"/>
          <w:sz w:val="22"/>
          <w:szCs w:val="22"/>
        </w:rPr>
        <w:t xml:space="preserve"> p</w:t>
      </w:r>
      <w:r w:rsidR="00AC5A09">
        <w:rPr>
          <w:rFonts w:ascii="Garamond" w:hAnsi="Garamond"/>
          <w:color w:val="000000"/>
          <w:sz w:val="22"/>
          <w:szCs w:val="22"/>
        </w:rPr>
        <w:t>p contractionary</w:t>
      </w:r>
      <w:r w:rsidR="00F74134" w:rsidRPr="00F74134">
        <w:rPr>
          <w:rFonts w:ascii="Garamond" w:hAnsi="Garamond"/>
          <w:color w:val="000000"/>
          <w:sz w:val="22"/>
          <w:szCs w:val="22"/>
        </w:rPr>
        <w:t xml:space="preserve">, instead of </w:t>
      </w:r>
      <w:r w:rsidR="00735B49">
        <w:rPr>
          <w:rFonts w:ascii="Garamond" w:hAnsi="Garamond"/>
          <w:color w:val="000000"/>
          <w:sz w:val="22"/>
          <w:szCs w:val="22"/>
        </w:rPr>
        <w:t>the forecast 0</w:t>
      </w:r>
      <w:r w:rsidR="00F74134" w:rsidRPr="00F74134">
        <w:rPr>
          <w:rFonts w:ascii="Garamond" w:hAnsi="Garamond"/>
          <w:color w:val="000000"/>
          <w:sz w:val="22"/>
          <w:szCs w:val="22"/>
        </w:rPr>
        <w:t>.</w:t>
      </w:r>
      <w:r w:rsidR="00735B49">
        <w:rPr>
          <w:rFonts w:ascii="Garamond" w:hAnsi="Garamond"/>
          <w:color w:val="000000"/>
          <w:sz w:val="22"/>
          <w:szCs w:val="22"/>
        </w:rPr>
        <w:t>5</w:t>
      </w:r>
      <w:r w:rsidR="00F74134" w:rsidRPr="00F74134">
        <w:rPr>
          <w:rFonts w:ascii="Garamond" w:hAnsi="Garamond"/>
          <w:color w:val="000000"/>
          <w:sz w:val="22"/>
          <w:szCs w:val="22"/>
        </w:rPr>
        <w:t xml:space="preserve"> </w:t>
      </w:r>
      <w:r w:rsidR="00AC5A09">
        <w:rPr>
          <w:rFonts w:ascii="Garamond" w:hAnsi="Garamond"/>
          <w:color w:val="000000"/>
          <w:sz w:val="22"/>
          <w:szCs w:val="22"/>
        </w:rPr>
        <w:t>pp contractionary</w:t>
      </w:r>
      <w:r w:rsidR="00F74134" w:rsidRPr="00F74134">
        <w:rPr>
          <w:rFonts w:ascii="Garamond" w:hAnsi="Garamond"/>
          <w:color w:val="000000"/>
          <w:sz w:val="22"/>
          <w:szCs w:val="22"/>
        </w:rPr>
        <w:t>.</w:t>
      </w:r>
      <w:r w:rsidR="00AC5A09">
        <w:rPr>
          <w:rFonts w:ascii="Garamond" w:hAnsi="Garamond"/>
          <w:color w:val="000000"/>
          <w:sz w:val="22"/>
          <w:szCs w:val="22"/>
        </w:rPr>
        <w:t xml:space="preserve"> </w:t>
      </w:r>
    </w:p>
    <w:p w14:paraId="77035466" w14:textId="77777777" w:rsidR="00242EA6" w:rsidRPr="0022067B" w:rsidRDefault="00511E9F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>S</w:t>
      </w:r>
      <w:r w:rsidR="00242EA6" w:rsidRPr="00EE5F0F">
        <w:rPr>
          <w:rFonts w:ascii="Garamond" w:hAnsi="Garamond"/>
          <w:sz w:val="22"/>
          <w:szCs w:val="22"/>
        </w:rPr>
        <w:t xml:space="preserve">tate budget expenditures </w:t>
      </w:r>
      <w:r w:rsidR="00735B49">
        <w:rPr>
          <w:rFonts w:ascii="Garamond" w:hAnsi="Garamond"/>
          <w:sz w:val="22"/>
          <w:szCs w:val="22"/>
        </w:rPr>
        <w:t>made up 104</w:t>
      </w:r>
      <w:r w:rsidR="0053128D">
        <w:rPr>
          <w:rFonts w:ascii="Garamond" w:hAnsi="Garamond"/>
          <w:sz w:val="22"/>
          <w:szCs w:val="22"/>
        </w:rPr>
        <w:t>.</w:t>
      </w:r>
      <w:r w:rsidR="00735B49">
        <w:rPr>
          <w:rFonts w:ascii="Garamond" w:hAnsi="Garamond"/>
          <w:sz w:val="22"/>
          <w:szCs w:val="22"/>
        </w:rPr>
        <w:t>1</w:t>
      </w:r>
      <w:r w:rsidR="00242EA6" w:rsidRPr="00EE5F0F">
        <w:rPr>
          <w:rFonts w:ascii="Garamond" w:hAnsi="Garamond"/>
          <w:sz w:val="22"/>
          <w:szCs w:val="22"/>
        </w:rPr>
        <w:t xml:space="preserve">% of the </w:t>
      </w:r>
      <w:r w:rsidR="00AC5A09">
        <w:rPr>
          <w:rFonts w:ascii="Garamond" w:hAnsi="Garamond"/>
          <w:sz w:val="22"/>
          <w:szCs w:val="22"/>
        </w:rPr>
        <w:t xml:space="preserve">Central Bank </w:t>
      </w:r>
      <w:r w:rsidR="00242EA6" w:rsidRPr="00EE5F0F">
        <w:rPr>
          <w:rFonts w:ascii="Garamond" w:hAnsi="Garamond"/>
          <w:sz w:val="22"/>
          <w:szCs w:val="22"/>
        </w:rPr>
        <w:t>projection</w:t>
      </w:r>
      <w:r w:rsidR="00AC5A09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so </w:t>
      </w:r>
      <w:r w:rsidR="00AC5A09">
        <w:rPr>
          <w:rFonts w:ascii="Garamond" w:hAnsi="Garamond"/>
          <w:sz w:val="22"/>
          <w:szCs w:val="22"/>
        </w:rPr>
        <w:t>t</w:t>
      </w:r>
      <w:r w:rsidR="00735B49">
        <w:rPr>
          <w:rFonts w:ascii="Garamond" w:hAnsi="Garamond"/>
          <w:sz w:val="22"/>
          <w:szCs w:val="22"/>
        </w:rPr>
        <w:t xml:space="preserve">he </w:t>
      </w:r>
      <w:r w:rsidR="00AC5A09" w:rsidRPr="00AC5A09">
        <w:rPr>
          <w:rFonts w:ascii="Garamond" w:hAnsi="Garamond"/>
          <w:sz w:val="22"/>
          <w:szCs w:val="22"/>
        </w:rPr>
        <w:t>expen</w:t>
      </w:r>
      <w:r w:rsidR="00AC5A09">
        <w:rPr>
          <w:rFonts w:ascii="Garamond" w:hAnsi="Garamond"/>
          <w:sz w:val="22"/>
          <w:szCs w:val="22"/>
        </w:rPr>
        <w:t xml:space="preserve">ditures </w:t>
      </w:r>
      <w:r w:rsidR="00AC5A09" w:rsidRPr="00AC5A09">
        <w:rPr>
          <w:rFonts w:ascii="Garamond" w:hAnsi="Garamond"/>
          <w:sz w:val="22"/>
          <w:szCs w:val="22"/>
        </w:rPr>
        <w:t>impulse</w:t>
      </w:r>
      <w:r>
        <w:rPr>
          <w:rFonts w:ascii="Garamond" w:hAnsi="Garamond"/>
          <w:sz w:val="22"/>
          <w:szCs w:val="22"/>
        </w:rPr>
        <w:t xml:space="preserve"> </w:t>
      </w:r>
      <w:r w:rsidR="00735B49" w:rsidRPr="00735B49">
        <w:rPr>
          <w:rFonts w:ascii="Garamond" w:hAnsi="Garamond"/>
          <w:sz w:val="22"/>
          <w:szCs w:val="22"/>
        </w:rPr>
        <w:t>had a larger effect, 2.0</w:t>
      </w:r>
      <w:r w:rsidR="00735B49">
        <w:rPr>
          <w:rFonts w:ascii="Garamond" w:hAnsi="Garamond"/>
          <w:sz w:val="22"/>
          <w:szCs w:val="22"/>
        </w:rPr>
        <w:t xml:space="preserve"> expansionary</w:t>
      </w:r>
      <w:r w:rsidR="00735B49" w:rsidRPr="00735B49">
        <w:rPr>
          <w:rFonts w:ascii="Garamond" w:hAnsi="Garamond"/>
          <w:sz w:val="22"/>
          <w:szCs w:val="22"/>
        </w:rPr>
        <w:t xml:space="preserve"> against the </w:t>
      </w:r>
      <w:r w:rsidR="00735B49">
        <w:rPr>
          <w:rFonts w:ascii="Garamond" w:hAnsi="Garamond"/>
          <w:sz w:val="22"/>
          <w:szCs w:val="22"/>
        </w:rPr>
        <w:t xml:space="preserve">expected </w:t>
      </w:r>
      <w:r w:rsidR="00735B49" w:rsidRPr="00735B49">
        <w:rPr>
          <w:rFonts w:ascii="Garamond" w:hAnsi="Garamond"/>
          <w:sz w:val="22"/>
          <w:szCs w:val="22"/>
        </w:rPr>
        <w:t xml:space="preserve">1.0 </w:t>
      </w:r>
      <w:r w:rsidR="00735B49">
        <w:rPr>
          <w:rFonts w:ascii="Garamond" w:hAnsi="Garamond"/>
          <w:sz w:val="22"/>
          <w:szCs w:val="22"/>
        </w:rPr>
        <w:t>expansionary</w:t>
      </w:r>
      <w:r w:rsidR="00735B49" w:rsidRPr="00735B49">
        <w:rPr>
          <w:rFonts w:ascii="Garamond" w:hAnsi="Garamond"/>
          <w:sz w:val="22"/>
          <w:szCs w:val="22"/>
        </w:rPr>
        <w:t>.</w:t>
      </w:r>
      <w:r w:rsidR="00735B49">
        <w:rPr>
          <w:rFonts w:ascii="Garamond" w:hAnsi="Garamond"/>
          <w:sz w:val="22"/>
          <w:szCs w:val="22"/>
        </w:rPr>
        <w:t xml:space="preserve"> </w:t>
      </w:r>
      <w:r w:rsidR="00BE662B" w:rsidRPr="00BE662B">
        <w:rPr>
          <w:rFonts w:ascii="Garamond" w:hAnsi="Garamond"/>
          <w:sz w:val="22"/>
          <w:szCs w:val="22"/>
        </w:rPr>
        <w:t xml:space="preserve">Nominal growth of </w:t>
      </w:r>
      <w:r w:rsidR="00BE662B">
        <w:rPr>
          <w:rFonts w:ascii="Garamond" w:hAnsi="Garamond"/>
          <w:sz w:val="22"/>
          <w:szCs w:val="22"/>
        </w:rPr>
        <w:t xml:space="preserve">public </w:t>
      </w:r>
      <w:r w:rsidR="00BE662B" w:rsidRPr="00BE662B">
        <w:rPr>
          <w:rFonts w:ascii="Garamond" w:hAnsi="Garamond"/>
          <w:sz w:val="22"/>
          <w:szCs w:val="22"/>
        </w:rPr>
        <w:t>demand</w:t>
      </w:r>
      <w:r w:rsidR="00BE662B">
        <w:rPr>
          <w:rStyle w:val="FootnoteReference"/>
          <w:rFonts w:ascii="Garamond" w:hAnsi="Garamond"/>
          <w:sz w:val="22"/>
          <w:szCs w:val="22"/>
        </w:rPr>
        <w:footnoteReference w:customMarkFollows="1" w:id="17"/>
        <w:t>29</w:t>
      </w:r>
      <w:r w:rsidR="00BE662B" w:rsidRPr="00BE662B">
        <w:rPr>
          <w:rFonts w:ascii="Garamond" w:hAnsi="Garamond"/>
          <w:sz w:val="22"/>
          <w:szCs w:val="22"/>
        </w:rPr>
        <w:t xml:space="preserve"> was 107.6%.</w:t>
      </w:r>
      <w:r w:rsidR="00BE662B">
        <w:rPr>
          <w:rFonts w:ascii="Garamond" w:hAnsi="Garamond"/>
          <w:sz w:val="22"/>
          <w:szCs w:val="22"/>
        </w:rPr>
        <w:t xml:space="preserve"> </w:t>
      </w:r>
      <w:r w:rsidR="00BE662B" w:rsidRPr="00BE662B">
        <w:rPr>
          <w:rFonts w:ascii="Garamond" w:hAnsi="Garamond"/>
          <w:b/>
          <w:sz w:val="22"/>
          <w:szCs w:val="22"/>
        </w:rPr>
        <w:t>G</w:t>
      </w:r>
      <w:r w:rsidR="007D5123" w:rsidRPr="007D5123">
        <w:rPr>
          <w:rFonts w:ascii="Garamond" w:hAnsi="Garamond"/>
          <w:b/>
          <w:color w:val="000000"/>
          <w:sz w:val="22"/>
          <w:szCs w:val="22"/>
        </w:rPr>
        <w:t>o</w:t>
      </w:r>
      <w:r w:rsidR="00242EA6" w:rsidRPr="00EE5F0F">
        <w:rPr>
          <w:rFonts w:ascii="Garamond" w:hAnsi="Garamond"/>
          <w:b/>
          <w:sz w:val="22"/>
          <w:szCs w:val="22"/>
        </w:rPr>
        <w:t>vernment consumption</w:t>
      </w:r>
      <w:r w:rsidR="00242EA6" w:rsidRPr="00EE5F0F">
        <w:rPr>
          <w:rFonts w:ascii="Garamond" w:hAnsi="Garamond"/>
          <w:sz w:val="22"/>
          <w:szCs w:val="22"/>
        </w:rPr>
        <w:t xml:space="preserve"> </w:t>
      </w:r>
      <w:r w:rsidR="00BE662B">
        <w:rPr>
          <w:rFonts w:ascii="Garamond" w:hAnsi="Garamond"/>
          <w:sz w:val="22"/>
          <w:szCs w:val="22"/>
        </w:rPr>
        <w:t>reached 105</w:t>
      </w:r>
      <w:r w:rsidR="007D5123">
        <w:rPr>
          <w:rFonts w:ascii="Garamond" w:hAnsi="Garamond"/>
          <w:sz w:val="22"/>
          <w:szCs w:val="22"/>
        </w:rPr>
        <w:t>.</w:t>
      </w:r>
      <w:r w:rsidR="00BE662B">
        <w:rPr>
          <w:rFonts w:ascii="Garamond" w:hAnsi="Garamond"/>
          <w:sz w:val="22"/>
          <w:szCs w:val="22"/>
        </w:rPr>
        <w:t>8</w:t>
      </w:r>
      <w:r w:rsidR="00242EA6" w:rsidRPr="00EE5F0F">
        <w:rPr>
          <w:rFonts w:ascii="Garamond" w:hAnsi="Garamond"/>
          <w:sz w:val="22"/>
          <w:szCs w:val="22"/>
        </w:rPr>
        <w:t>%</w:t>
      </w:r>
      <w:r w:rsidR="00485256">
        <w:rPr>
          <w:rFonts w:ascii="Garamond" w:hAnsi="Garamond"/>
          <w:sz w:val="22"/>
          <w:szCs w:val="22"/>
        </w:rPr>
        <w:t xml:space="preserve"> of the projected indicator</w:t>
      </w:r>
      <w:r w:rsidR="00BE662B">
        <w:rPr>
          <w:rFonts w:ascii="Garamond" w:hAnsi="Garamond"/>
          <w:sz w:val="22"/>
          <w:szCs w:val="22"/>
        </w:rPr>
        <w:t xml:space="preserve"> and </w:t>
      </w:r>
      <w:r w:rsidR="00BE662B" w:rsidRPr="00BE662B">
        <w:rPr>
          <w:rFonts w:ascii="Garamond" w:hAnsi="Garamond"/>
          <w:b/>
          <w:sz w:val="22"/>
          <w:szCs w:val="22"/>
        </w:rPr>
        <w:t>e</w:t>
      </w:r>
      <w:r w:rsidR="007D5123">
        <w:rPr>
          <w:rFonts w:ascii="Garamond" w:hAnsi="Garamond"/>
          <w:b/>
          <w:sz w:val="22"/>
          <w:szCs w:val="22"/>
        </w:rPr>
        <w:t xml:space="preserve">xpenditures on </w:t>
      </w:r>
      <w:r w:rsidR="00242EA6" w:rsidRPr="00EE5F0F">
        <w:rPr>
          <w:rFonts w:ascii="Garamond" w:hAnsi="Garamond"/>
          <w:b/>
          <w:sz w:val="22"/>
          <w:szCs w:val="22"/>
        </w:rPr>
        <w:t>non-financial assets</w:t>
      </w:r>
      <w:r w:rsidR="00242EA6" w:rsidRPr="00EE5F0F">
        <w:rPr>
          <w:rFonts w:ascii="Garamond" w:hAnsi="Garamond"/>
          <w:sz w:val="22"/>
          <w:szCs w:val="22"/>
        </w:rPr>
        <w:t xml:space="preserve"> </w:t>
      </w:r>
      <w:r w:rsidR="003E4550">
        <w:rPr>
          <w:rFonts w:ascii="Garamond" w:hAnsi="Garamond"/>
          <w:sz w:val="22"/>
          <w:szCs w:val="22"/>
        </w:rPr>
        <w:t xml:space="preserve">amounted to </w:t>
      </w:r>
      <w:r w:rsidR="00BE662B">
        <w:rPr>
          <w:rFonts w:ascii="Garamond" w:hAnsi="Garamond"/>
          <w:sz w:val="22"/>
          <w:szCs w:val="22"/>
        </w:rPr>
        <w:t>113.5</w:t>
      </w:r>
      <w:r w:rsidR="003D59B0">
        <w:rPr>
          <w:rFonts w:ascii="Garamond" w:hAnsi="Garamond"/>
          <w:sz w:val="22"/>
          <w:szCs w:val="22"/>
        </w:rPr>
        <w:t xml:space="preserve">% </w:t>
      </w:r>
      <w:r w:rsidR="003E4550">
        <w:rPr>
          <w:rFonts w:ascii="Garamond" w:hAnsi="Garamond"/>
          <w:sz w:val="22"/>
          <w:szCs w:val="22"/>
        </w:rPr>
        <w:t>of the projection</w:t>
      </w:r>
      <w:r w:rsidR="00202A83">
        <w:rPr>
          <w:rFonts w:ascii="Garamond" w:hAnsi="Garamond"/>
          <w:sz w:val="22"/>
          <w:szCs w:val="22"/>
        </w:rPr>
        <w:t xml:space="preserve">. This </w:t>
      </w:r>
      <w:r w:rsidR="003D59B0">
        <w:rPr>
          <w:rFonts w:ascii="Garamond" w:hAnsi="Garamond"/>
          <w:sz w:val="22"/>
          <w:szCs w:val="22"/>
        </w:rPr>
        <w:t xml:space="preserve">is explained by </w:t>
      </w:r>
      <w:r w:rsidR="00BE662B">
        <w:rPr>
          <w:rFonts w:ascii="Garamond" w:hAnsi="Garamond"/>
          <w:sz w:val="22"/>
          <w:szCs w:val="22"/>
        </w:rPr>
        <w:t xml:space="preserve">more capital expenditures funded by domestic sources and </w:t>
      </w:r>
      <w:r w:rsidR="003E4550">
        <w:rPr>
          <w:rFonts w:ascii="Garamond" w:hAnsi="Garamond"/>
          <w:sz w:val="22"/>
          <w:szCs w:val="22"/>
        </w:rPr>
        <w:t xml:space="preserve">lower </w:t>
      </w:r>
      <w:r w:rsidR="00E24346">
        <w:rPr>
          <w:rFonts w:ascii="Garamond" w:hAnsi="Garamond"/>
          <w:sz w:val="22"/>
          <w:szCs w:val="22"/>
        </w:rPr>
        <w:t>p</w:t>
      </w:r>
      <w:r w:rsidR="003D59B0" w:rsidRPr="003D59B0">
        <w:rPr>
          <w:rFonts w:ascii="Garamond" w:hAnsi="Garamond"/>
          <w:sz w:val="22"/>
          <w:szCs w:val="22"/>
        </w:rPr>
        <w:t xml:space="preserve">erformance of </w:t>
      </w:r>
      <w:r w:rsidR="00BE662B">
        <w:rPr>
          <w:rFonts w:ascii="Garamond" w:hAnsi="Garamond"/>
          <w:sz w:val="22"/>
          <w:szCs w:val="22"/>
        </w:rPr>
        <w:t xml:space="preserve">loans and donations under </w:t>
      </w:r>
      <w:r w:rsidR="003E4550">
        <w:rPr>
          <w:rFonts w:ascii="Garamond" w:hAnsi="Garamond"/>
          <w:sz w:val="22"/>
          <w:szCs w:val="22"/>
        </w:rPr>
        <w:t>foreign assistance</w:t>
      </w:r>
      <w:r w:rsidR="00BE662B">
        <w:rPr>
          <w:rFonts w:ascii="Garamond" w:hAnsi="Garamond"/>
          <w:sz w:val="22"/>
          <w:szCs w:val="22"/>
        </w:rPr>
        <w:t xml:space="preserve">, </w:t>
      </w:r>
      <w:r w:rsidR="00BE662B" w:rsidRPr="00BE662B">
        <w:rPr>
          <w:rFonts w:ascii="Garamond" w:hAnsi="Garamond"/>
          <w:sz w:val="22"/>
          <w:szCs w:val="22"/>
        </w:rPr>
        <w:t xml:space="preserve">which was also </w:t>
      </w:r>
      <w:r w:rsidR="00BE662B">
        <w:rPr>
          <w:rFonts w:ascii="Garamond" w:hAnsi="Garamond"/>
          <w:sz w:val="22"/>
          <w:szCs w:val="22"/>
        </w:rPr>
        <w:t xml:space="preserve">the </w:t>
      </w:r>
      <w:r w:rsidR="00BE662B" w:rsidRPr="00BE662B">
        <w:rPr>
          <w:rFonts w:ascii="Garamond" w:hAnsi="Garamond"/>
          <w:sz w:val="22"/>
          <w:szCs w:val="22"/>
        </w:rPr>
        <w:t>indicator of the first half of the year.</w:t>
      </w:r>
      <w:r w:rsidR="00BE662B">
        <w:rPr>
          <w:rFonts w:ascii="Garamond" w:hAnsi="Garamond"/>
          <w:sz w:val="22"/>
          <w:szCs w:val="22"/>
        </w:rPr>
        <w:t xml:space="preserve"> </w:t>
      </w:r>
    </w:p>
    <w:p w14:paraId="55C9CE61" w14:textId="77777777" w:rsidR="006A3AB4" w:rsidRDefault="00242EA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Cs/>
          <w:iCs/>
          <w:color w:val="000000"/>
          <w:sz w:val="22"/>
          <w:szCs w:val="22"/>
        </w:rPr>
      </w:pPr>
      <w:r w:rsidRPr="00EE5F0F">
        <w:rPr>
          <w:rFonts w:ascii="Garamond" w:hAnsi="Garamond"/>
          <w:sz w:val="22"/>
          <w:szCs w:val="22"/>
        </w:rPr>
        <w:t xml:space="preserve">With </w:t>
      </w:r>
      <w:r w:rsidRPr="00EE5F0F">
        <w:rPr>
          <w:rFonts w:ascii="Garamond" w:hAnsi="Garamond"/>
          <w:bCs/>
          <w:iCs/>
          <w:color w:val="000000"/>
          <w:sz w:val="22"/>
          <w:szCs w:val="22"/>
        </w:rPr>
        <w:t xml:space="preserve">revenues and expenditures performance described above, the state budget generated a 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deficit o</w:t>
      </w:r>
      <w:r w:rsidR="00D61F69">
        <w:rPr>
          <w:rFonts w:ascii="Garamond" w:hAnsi="Garamond"/>
          <w:bCs/>
          <w:iCs/>
          <w:color w:val="000000"/>
          <w:sz w:val="22"/>
          <w:szCs w:val="22"/>
        </w:rPr>
        <w:t xml:space="preserve">f </w:t>
      </w:r>
      <w:r w:rsidR="00D87037">
        <w:rPr>
          <w:rFonts w:ascii="Garamond" w:hAnsi="Garamond"/>
          <w:bCs/>
          <w:iCs/>
          <w:color w:val="000000"/>
          <w:sz w:val="22"/>
          <w:szCs w:val="22"/>
        </w:rPr>
        <w:t>A</w:t>
      </w:r>
      <w:r w:rsidRPr="00EE5F0F">
        <w:rPr>
          <w:rFonts w:ascii="Garamond" w:hAnsi="Garamond"/>
          <w:bCs/>
          <w:iCs/>
          <w:color w:val="000000"/>
          <w:sz w:val="22"/>
          <w:szCs w:val="22"/>
        </w:rPr>
        <w:t xml:space="preserve">MD 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26</w:t>
      </w:r>
      <w:r w:rsidR="00916F0F">
        <w:rPr>
          <w:rFonts w:ascii="Garamond" w:hAnsi="Garamond"/>
          <w:bCs/>
          <w:iCs/>
          <w:color w:val="000000"/>
          <w:sz w:val="22"/>
          <w:szCs w:val="22"/>
        </w:rPr>
        <w:t>.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8</w:t>
      </w:r>
      <w:r w:rsidRPr="00EE5F0F">
        <w:rPr>
          <w:rFonts w:ascii="Garamond" w:hAnsi="Garamond"/>
          <w:bCs/>
          <w:iCs/>
          <w:color w:val="000000"/>
          <w:sz w:val="22"/>
          <w:szCs w:val="22"/>
        </w:rPr>
        <w:t xml:space="preserve"> billion in the 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third</w:t>
      </w:r>
      <w:r w:rsidR="00D61F69">
        <w:rPr>
          <w:rFonts w:ascii="Garamond" w:hAnsi="Garamond"/>
          <w:bCs/>
          <w:iCs/>
          <w:color w:val="000000"/>
          <w:sz w:val="22"/>
          <w:szCs w:val="22"/>
        </w:rPr>
        <w:t xml:space="preserve"> </w:t>
      </w:r>
      <w:r w:rsidRPr="00EE5F0F">
        <w:rPr>
          <w:rFonts w:ascii="Garamond" w:hAnsi="Garamond"/>
          <w:bCs/>
          <w:iCs/>
          <w:color w:val="000000"/>
          <w:sz w:val="22"/>
          <w:szCs w:val="22"/>
        </w:rPr>
        <w:t>quarter of 201</w:t>
      </w:r>
      <w:r w:rsidR="00D61F69">
        <w:rPr>
          <w:rFonts w:ascii="Garamond" w:hAnsi="Garamond"/>
          <w:bCs/>
          <w:iCs/>
          <w:color w:val="000000"/>
          <w:sz w:val="22"/>
          <w:szCs w:val="22"/>
        </w:rPr>
        <w:t>9</w:t>
      </w:r>
      <w:r w:rsidR="00FA27AA">
        <w:rPr>
          <w:rFonts w:ascii="Garamond" w:hAnsi="Garamond"/>
          <w:bCs/>
          <w:iCs/>
          <w:color w:val="000000"/>
          <w:sz w:val="22"/>
          <w:szCs w:val="22"/>
        </w:rPr>
        <w:t xml:space="preserve">, against that of </w:t>
      </w:r>
      <w:r w:rsidR="00AC5C9B">
        <w:rPr>
          <w:rFonts w:ascii="Garamond" w:hAnsi="Garamond"/>
          <w:bCs/>
          <w:iCs/>
          <w:color w:val="000000"/>
          <w:sz w:val="22"/>
          <w:szCs w:val="22"/>
        </w:rPr>
        <w:t xml:space="preserve">AMD 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25</w:t>
      </w:r>
      <w:r w:rsidR="00AC5C9B" w:rsidRPr="00AC5C9B">
        <w:rPr>
          <w:rFonts w:ascii="Garamond" w:hAnsi="Garamond"/>
          <w:bCs/>
          <w:iCs/>
          <w:color w:val="000000"/>
          <w:sz w:val="22"/>
          <w:szCs w:val="22"/>
        </w:rPr>
        <w:t>.</w:t>
      </w:r>
      <w:r w:rsidR="00480535">
        <w:rPr>
          <w:rFonts w:ascii="Garamond" w:hAnsi="Garamond"/>
          <w:bCs/>
          <w:iCs/>
          <w:color w:val="000000"/>
          <w:sz w:val="22"/>
          <w:szCs w:val="22"/>
        </w:rPr>
        <w:t>7</w:t>
      </w:r>
      <w:r w:rsidR="00D61F69">
        <w:rPr>
          <w:rFonts w:ascii="Garamond" w:hAnsi="Garamond"/>
          <w:bCs/>
          <w:iCs/>
          <w:color w:val="000000"/>
          <w:sz w:val="22"/>
          <w:szCs w:val="22"/>
        </w:rPr>
        <w:t xml:space="preserve"> billion </w:t>
      </w:r>
      <w:r w:rsidR="00CD635C">
        <w:rPr>
          <w:rFonts w:ascii="Garamond" w:hAnsi="Garamond"/>
          <w:bCs/>
          <w:iCs/>
          <w:color w:val="000000"/>
          <w:sz w:val="22"/>
          <w:szCs w:val="22"/>
        </w:rPr>
        <w:t xml:space="preserve">projected </w:t>
      </w:r>
      <w:r w:rsidR="000E283C">
        <w:rPr>
          <w:rFonts w:ascii="Garamond" w:hAnsi="Garamond"/>
          <w:bCs/>
          <w:iCs/>
          <w:color w:val="000000"/>
          <w:sz w:val="22"/>
          <w:szCs w:val="22"/>
        </w:rPr>
        <w:t>by the Central Bank</w:t>
      </w:r>
      <w:r w:rsidR="00AC5C9B" w:rsidRPr="00AC5C9B">
        <w:rPr>
          <w:rFonts w:ascii="Garamond" w:hAnsi="Garamond"/>
          <w:bCs/>
          <w:iCs/>
          <w:color w:val="000000"/>
          <w:sz w:val="22"/>
          <w:szCs w:val="22"/>
        </w:rPr>
        <w:t xml:space="preserve">. </w:t>
      </w:r>
    </w:p>
    <w:p w14:paraId="39FF4CDC" w14:textId="77777777" w:rsidR="006A3AB4" w:rsidRPr="00EE5F0F" w:rsidRDefault="006A3AB4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bCs/>
          <w:iCs/>
          <w:color w:val="0070C0"/>
          <w:sz w:val="22"/>
          <w:szCs w:val="22"/>
        </w:rPr>
      </w:pPr>
    </w:p>
    <w:p w14:paraId="123463CC" w14:textId="77777777" w:rsidR="00242EA6" w:rsidRPr="00EE5F0F" w:rsidRDefault="00242EA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bCs/>
          <w:iCs/>
          <w:color w:val="0070C0"/>
          <w:sz w:val="22"/>
          <w:szCs w:val="22"/>
        </w:rPr>
        <w:t xml:space="preserve">3.2.3. The production </w:t>
      </w:r>
      <w:r w:rsidRPr="00EE5F0F">
        <w:rPr>
          <w:rFonts w:ascii="Garamond" w:hAnsi="Garamond"/>
          <w:b/>
          <w:color w:val="0070C0"/>
          <w:sz w:val="22"/>
          <w:szCs w:val="22"/>
        </w:rPr>
        <w:t>aspect of the economy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A735E1" w:rsidRPr="00AB24C1" w14:paraId="3EEFAE86" w14:textId="77777777" w:rsidTr="002335C7">
        <w:tc>
          <w:tcPr>
            <w:tcW w:w="6204" w:type="dxa"/>
          </w:tcPr>
          <w:p w14:paraId="7EE554B5" w14:textId="77777777" w:rsidR="00A735E1" w:rsidRPr="00536FF2" w:rsidRDefault="00A735E1" w:rsidP="00A735E1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 w:rsidRPr="00536FF2">
              <w:rPr>
                <w:rFonts w:ascii="Garamond" w:hAnsi="Garamond"/>
                <w:color w:val="0070C0"/>
                <w:sz w:val="20"/>
                <w:szCs w:val="20"/>
              </w:rPr>
              <w:t xml:space="preserve">The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GDP growth was 7.9% in the third quarter of 2019, which is </w:t>
            </w:r>
            <w:r w:rsidRPr="00A735E1">
              <w:rPr>
                <w:rFonts w:ascii="Garamond" w:hAnsi="Garamond"/>
                <w:color w:val="0070C0"/>
                <w:sz w:val="20"/>
                <w:szCs w:val="20"/>
              </w:rPr>
              <w:t>0.7% higher than the C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>entral Bank’s</w:t>
            </w:r>
            <w:r w:rsidRPr="00A735E1">
              <w:rPr>
                <w:rFonts w:ascii="Garamond" w:hAnsi="Garamond"/>
                <w:color w:val="0070C0"/>
                <w:sz w:val="20"/>
                <w:szCs w:val="20"/>
              </w:rPr>
              <w:t xml:space="preserve"> previous estimates.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0C070D72" w14:textId="01783F65" w:rsidR="00A9445F" w:rsidRDefault="00EE5C5A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GDP growth </w:t>
      </w:r>
      <w:r w:rsidR="00732A14">
        <w:rPr>
          <w:rFonts w:ascii="Garamond" w:hAnsi="Garamond"/>
          <w:sz w:val="22"/>
          <w:szCs w:val="22"/>
        </w:rPr>
        <w:t xml:space="preserve">amounted to </w:t>
      </w:r>
      <w:r w:rsidR="00F65026">
        <w:rPr>
          <w:rFonts w:ascii="Garamond" w:hAnsi="Garamond"/>
          <w:sz w:val="22"/>
          <w:szCs w:val="22"/>
        </w:rPr>
        <w:t>7</w:t>
      </w:r>
      <w:r>
        <w:rPr>
          <w:rFonts w:ascii="Garamond" w:hAnsi="Garamond"/>
          <w:sz w:val="22"/>
          <w:szCs w:val="22"/>
        </w:rPr>
        <w:t>.</w:t>
      </w:r>
      <w:r w:rsidR="00F65026">
        <w:rPr>
          <w:rFonts w:ascii="Garamond" w:hAnsi="Garamond"/>
          <w:sz w:val="22"/>
          <w:szCs w:val="22"/>
        </w:rPr>
        <w:t>9</w:t>
      </w:r>
      <w:r>
        <w:rPr>
          <w:rFonts w:ascii="Garamond" w:hAnsi="Garamond"/>
          <w:sz w:val="22"/>
          <w:szCs w:val="22"/>
        </w:rPr>
        <w:t xml:space="preserve">% </w:t>
      </w:r>
      <w:r w:rsidR="00080015" w:rsidRPr="00FA3C9F">
        <w:rPr>
          <w:rFonts w:ascii="Garamond" w:hAnsi="Garamond"/>
          <w:sz w:val="22"/>
          <w:szCs w:val="22"/>
        </w:rPr>
        <w:t xml:space="preserve">in the </w:t>
      </w:r>
      <w:r w:rsidR="00F65026">
        <w:rPr>
          <w:rFonts w:ascii="Garamond" w:hAnsi="Garamond"/>
          <w:sz w:val="22"/>
          <w:szCs w:val="22"/>
        </w:rPr>
        <w:t>third</w:t>
      </w:r>
      <w:r w:rsidR="00850B87" w:rsidRPr="00FA3C9F">
        <w:rPr>
          <w:rFonts w:ascii="Garamond" w:hAnsi="Garamond"/>
          <w:sz w:val="22"/>
          <w:szCs w:val="22"/>
        </w:rPr>
        <w:t xml:space="preserve"> quarter of 2019</w:t>
      </w:r>
      <w:r w:rsidR="00FA3C9F">
        <w:rPr>
          <w:rFonts w:ascii="Garamond" w:hAnsi="Garamond"/>
          <w:sz w:val="22"/>
          <w:szCs w:val="22"/>
        </w:rPr>
        <w:t>,</w:t>
      </w:r>
      <w:r w:rsidR="00080015" w:rsidRPr="00FA3C9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which is </w:t>
      </w:r>
      <w:r w:rsidR="00F65026">
        <w:rPr>
          <w:rFonts w:ascii="Garamond" w:hAnsi="Garamond"/>
          <w:sz w:val="22"/>
          <w:szCs w:val="22"/>
        </w:rPr>
        <w:t>0.7% higher from previous estimates of t</w:t>
      </w:r>
      <w:r>
        <w:rPr>
          <w:rFonts w:ascii="Garamond" w:hAnsi="Garamond"/>
          <w:sz w:val="22"/>
          <w:szCs w:val="22"/>
        </w:rPr>
        <w:t>he Central Bank</w:t>
      </w:r>
      <w:r w:rsidR="00732A14">
        <w:rPr>
          <w:rFonts w:ascii="Garamond" w:hAnsi="Garamond"/>
          <w:sz w:val="22"/>
          <w:szCs w:val="22"/>
        </w:rPr>
        <w:t xml:space="preserve">. </w:t>
      </w:r>
      <w:r w:rsidR="00F65026">
        <w:rPr>
          <w:rFonts w:ascii="Garamond" w:hAnsi="Garamond"/>
          <w:sz w:val="22"/>
          <w:szCs w:val="22"/>
        </w:rPr>
        <w:t>Upside d</w:t>
      </w:r>
      <w:r w:rsidR="00732A14" w:rsidRPr="00732A14">
        <w:rPr>
          <w:rFonts w:ascii="Garamond" w:hAnsi="Garamond"/>
          <w:sz w:val="22"/>
          <w:szCs w:val="22"/>
        </w:rPr>
        <w:t>eviations</w:t>
      </w:r>
      <w:r w:rsidR="00732A14">
        <w:rPr>
          <w:rFonts w:ascii="Garamond" w:hAnsi="Garamond"/>
          <w:sz w:val="22"/>
          <w:szCs w:val="22"/>
        </w:rPr>
        <w:t xml:space="preserve"> </w:t>
      </w:r>
      <w:r w:rsidR="009F61AF">
        <w:rPr>
          <w:rFonts w:ascii="Garamond" w:hAnsi="Garamond"/>
          <w:sz w:val="22"/>
          <w:szCs w:val="22"/>
        </w:rPr>
        <w:t xml:space="preserve">were observable </w:t>
      </w:r>
      <w:r w:rsidR="00F65026">
        <w:rPr>
          <w:rFonts w:ascii="Garamond" w:hAnsi="Garamond"/>
          <w:sz w:val="22"/>
          <w:szCs w:val="22"/>
        </w:rPr>
        <w:t xml:space="preserve">almost in all sectors of the economy. </w:t>
      </w:r>
      <w:r w:rsidR="005C4B1C">
        <w:rPr>
          <w:rFonts w:ascii="Garamond" w:hAnsi="Garamond"/>
          <w:sz w:val="22"/>
          <w:szCs w:val="22"/>
        </w:rPr>
        <w:t>I</w:t>
      </w:r>
      <w:r w:rsidR="00732A14" w:rsidRPr="00732A14">
        <w:rPr>
          <w:rFonts w:ascii="Garamond" w:hAnsi="Garamond"/>
          <w:sz w:val="22"/>
          <w:szCs w:val="22"/>
        </w:rPr>
        <w:t>ndustry</w:t>
      </w:r>
      <w:r w:rsidR="00AF7D32">
        <w:rPr>
          <w:rFonts w:ascii="Garamond" w:hAnsi="Garamond"/>
          <w:sz w:val="22"/>
          <w:szCs w:val="22"/>
        </w:rPr>
        <w:t xml:space="preserve"> reported as much as </w:t>
      </w:r>
      <w:r w:rsidR="00732A14" w:rsidRPr="00732A14">
        <w:rPr>
          <w:rFonts w:ascii="Garamond" w:hAnsi="Garamond"/>
          <w:sz w:val="22"/>
          <w:szCs w:val="22"/>
        </w:rPr>
        <w:t>1</w:t>
      </w:r>
      <w:r w:rsidR="005C4B1C">
        <w:rPr>
          <w:rFonts w:ascii="Garamond" w:hAnsi="Garamond"/>
          <w:sz w:val="22"/>
          <w:szCs w:val="22"/>
        </w:rPr>
        <w:t>2</w:t>
      </w:r>
      <w:r w:rsidR="00732A14" w:rsidRPr="00732A14">
        <w:rPr>
          <w:rFonts w:ascii="Garamond" w:hAnsi="Garamond"/>
          <w:sz w:val="22"/>
          <w:szCs w:val="22"/>
        </w:rPr>
        <w:t>.</w:t>
      </w:r>
      <w:r w:rsidR="005C4B1C">
        <w:rPr>
          <w:rFonts w:ascii="Garamond" w:hAnsi="Garamond"/>
          <w:sz w:val="22"/>
          <w:szCs w:val="22"/>
        </w:rPr>
        <w:t>9</w:t>
      </w:r>
      <w:r w:rsidR="00732A14" w:rsidRPr="00732A14">
        <w:rPr>
          <w:rFonts w:ascii="Garamond" w:hAnsi="Garamond"/>
          <w:sz w:val="22"/>
          <w:szCs w:val="22"/>
        </w:rPr>
        <w:t xml:space="preserve">% </w:t>
      </w:r>
      <w:r w:rsidR="00AF7D32">
        <w:rPr>
          <w:rFonts w:ascii="Garamond" w:hAnsi="Garamond"/>
          <w:sz w:val="22"/>
          <w:szCs w:val="22"/>
        </w:rPr>
        <w:t>growth</w:t>
      </w:r>
      <w:r w:rsidR="005C4B1C">
        <w:rPr>
          <w:rFonts w:ascii="Garamond" w:hAnsi="Garamond"/>
          <w:sz w:val="22"/>
          <w:szCs w:val="22"/>
        </w:rPr>
        <w:t xml:space="preserve">, which is slightly </w:t>
      </w:r>
      <w:r w:rsidR="00732A14" w:rsidRPr="00732A14">
        <w:rPr>
          <w:rFonts w:ascii="Garamond" w:hAnsi="Garamond"/>
          <w:sz w:val="22"/>
          <w:szCs w:val="22"/>
        </w:rPr>
        <w:t xml:space="preserve">above </w:t>
      </w:r>
      <w:r w:rsidR="005C4B1C">
        <w:rPr>
          <w:rFonts w:ascii="Garamond" w:hAnsi="Garamond"/>
          <w:sz w:val="22"/>
          <w:szCs w:val="22"/>
        </w:rPr>
        <w:t xml:space="preserve">the </w:t>
      </w:r>
      <w:r w:rsidR="00732A14" w:rsidRPr="00732A14">
        <w:rPr>
          <w:rFonts w:ascii="Garamond" w:hAnsi="Garamond"/>
          <w:sz w:val="22"/>
          <w:szCs w:val="22"/>
        </w:rPr>
        <w:t>previous estimat</w:t>
      </w:r>
      <w:r w:rsidR="009F61AF">
        <w:rPr>
          <w:rFonts w:ascii="Garamond" w:hAnsi="Garamond"/>
          <w:sz w:val="22"/>
          <w:szCs w:val="22"/>
        </w:rPr>
        <w:t>ion</w:t>
      </w:r>
      <w:r w:rsidR="005C4B1C">
        <w:rPr>
          <w:rFonts w:ascii="Garamond" w:hAnsi="Garamond"/>
          <w:sz w:val="22"/>
          <w:szCs w:val="22"/>
        </w:rPr>
        <w:t xml:space="preserve"> and </w:t>
      </w:r>
      <w:r w:rsidR="009F61AF">
        <w:rPr>
          <w:rFonts w:ascii="Garamond" w:hAnsi="Garamond"/>
          <w:sz w:val="22"/>
          <w:szCs w:val="22"/>
        </w:rPr>
        <w:t>owe</w:t>
      </w:r>
      <w:r w:rsidR="005C4B1C">
        <w:rPr>
          <w:rFonts w:ascii="Garamond" w:hAnsi="Garamond"/>
          <w:sz w:val="22"/>
          <w:szCs w:val="22"/>
        </w:rPr>
        <w:t>s</w:t>
      </w:r>
      <w:r w:rsidR="009F61AF">
        <w:rPr>
          <w:rFonts w:ascii="Garamond" w:hAnsi="Garamond"/>
          <w:sz w:val="22"/>
          <w:szCs w:val="22"/>
        </w:rPr>
        <w:t xml:space="preserve"> </w:t>
      </w:r>
      <w:r w:rsidR="00732A14" w:rsidRPr="00732A14">
        <w:rPr>
          <w:rFonts w:ascii="Garamond" w:hAnsi="Garamond"/>
          <w:sz w:val="22"/>
          <w:szCs w:val="22"/>
        </w:rPr>
        <w:t xml:space="preserve">to the </w:t>
      </w:r>
      <w:r w:rsidR="005C4B1C">
        <w:rPr>
          <w:rFonts w:ascii="Garamond" w:hAnsi="Garamond"/>
          <w:sz w:val="22"/>
          <w:szCs w:val="22"/>
        </w:rPr>
        <w:t xml:space="preserve">high growth </w:t>
      </w:r>
      <w:r w:rsidR="009F61AF">
        <w:rPr>
          <w:rFonts w:ascii="Garamond" w:hAnsi="Garamond"/>
          <w:sz w:val="22"/>
          <w:szCs w:val="22"/>
        </w:rPr>
        <w:t>in</w:t>
      </w:r>
      <w:r w:rsidR="00732A14" w:rsidRPr="00732A14">
        <w:rPr>
          <w:rFonts w:ascii="Garamond" w:hAnsi="Garamond"/>
          <w:sz w:val="22"/>
          <w:szCs w:val="22"/>
        </w:rPr>
        <w:t xml:space="preserve"> mining </w:t>
      </w:r>
      <w:r w:rsidR="005C4B1C">
        <w:rPr>
          <w:rFonts w:ascii="Garamond" w:hAnsi="Garamond"/>
          <w:sz w:val="22"/>
          <w:szCs w:val="22"/>
        </w:rPr>
        <w:t xml:space="preserve">and </w:t>
      </w:r>
      <w:r w:rsidR="00F62CF3">
        <w:rPr>
          <w:rFonts w:ascii="Garamond" w:hAnsi="Garamond"/>
          <w:sz w:val="22"/>
          <w:szCs w:val="22"/>
        </w:rPr>
        <w:t>manufacturing</w:t>
      </w:r>
      <w:r w:rsidR="001D0857">
        <w:rPr>
          <w:rFonts w:ascii="Garamond" w:hAnsi="Garamond"/>
          <w:sz w:val="22"/>
          <w:szCs w:val="22"/>
        </w:rPr>
        <w:t xml:space="preserve">. </w:t>
      </w:r>
      <w:r w:rsidR="005C4B1C" w:rsidRPr="005C4B1C">
        <w:rPr>
          <w:rFonts w:ascii="Garamond" w:hAnsi="Garamond"/>
          <w:sz w:val="22"/>
          <w:szCs w:val="22"/>
        </w:rPr>
        <w:t xml:space="preserve">The growth </w:t>
      </w:r>
      <w:r w:rsidR="005C4B1C">
        <w:rPr>
          <w:rFonts w:ascii="Garamond" w:hAnsi="Garamond"/>
          <w:sz w:val="22"/>
          <w:szCs w:val="22"/>
        </w:rPr>
        <w:t xml:space="preserve">in </w:t>
      </w:r>
      <w:r w:rsidR="005C4B1C" w:rsidRPr="005C4B1C">
        <w:rPr>
          <w:rFonts w:ascii="Garamond" w:hAnsi="Garamond"/>
          <w:sz w:val="22"/>
          <w:szCs w:val="22"/>
        </w:rPr>
        <w:t>construction</w:t>
      </w:r>
      <w:r w:rsidR="005C4B1C">
        <w:rPr>
          <w:rFonts w:ascii="Garamond" w:hAnsi="Garamond"/>
          <w:sz w:val="22"/>
          <w:szCs w:val="22"/>
        </w:rPr>
        <w:t>,</w:t>
      </w:r>
      <w:r w:rsidR="005C4B1C" w:rsidRPr="005C4B1C">
        <w:rPr>
          <w:rFonts w:ascii="Garamond" w:hAnsi="Garamond"/>
          <w:sz w:val="22"/>
          <w:szCs w:val="22"/>
        </w:rPr>
        <w:t xml:space="preserve"> also higher than </w:t>
      </w:r>
      <w:r w:rsidR="005C4B1C">
        <w:rPr>
          <w:rFonts w:ascii="Garamond" w:hAnsi="Garamond"/>
          <w:sz w:val="22"/>
          <w:szCs w:val="22"/>
        </w:rPr>
        <w:t xml:space="preserve">forecast </w:t>
      </w:r>
      <w:r w:rsidR="005C4B1C" w:rsidRPr="005C4B1C">
        <w:rPr>
          <w:rFonts w:ascii="Garamond" w:hAnsi="Garamond"/>
          <w:sz w:val="22"/>
          <w:szCs w:val="22"/>
        </w:rPr>
        <w:t>previous</w:t>
      </w:r>
      <w:r w:rsidR="005C4B1C">
        <w:rPr>
          <w:rFonts w:ascii="Garamond" w:hAnsi="Garamond"/>
          <w:sz w:val="22"/>
          <w:szCs w:val="22"/>
        </w:rPr>
        <w:t xml:space="preserve">ly, amounted to </w:t>
      </w:r>
      <w:r w:rsidR="005C4B1C" w:rsidRPr="005C4B1C">
        <w:rPr>
          <w:rFonts w:ascii="Garamond" w:hAnsi="Garamond"/>
          <w:sz w:val="22"/>
          <w:szCs w:val="22"/>
        </w:rPr>
        <w:t>5.0%.</w:t>
      </w:r>
      <w:r w:rsidR="005C4B1C">
        <w:rPr>
          <w:rFonts w:ascii="Garamond" w:hAnsi="Garamond"/>
          <w:sz w:val="22"/>
          <w:szCs w:val="22"/>
        </w:rPr>
        <w:t xml:space="preserve"> </w:t>
      </w:r>
      <w:r w:rsidR="005C4B1C" w:rsidRPr="005C4B1C">
        <w:rPr>
          <w:rFonts w:ascii="Garamond" w:hAnsi="Garamond"/>
          <w:sz w:val="22"/>
          <w:szCs w:val="22"/>
        </w:rPr>
        <w:t xml:space="preserve">It </w:t>
      </w:r>
      <w:r w:rsidR="005C4B1C">
        <w:rPr>
          <w:rFonts w:ascii="Garamond" w:hAnsi="Garamond"/>
          <w:sz w:val="22"/>
          <w:szCs w:val="22"/>
        </w:rPr>
        <w:t xml:space="preserve">is worth mentioning that </w:t>
      </w:r>
      <w:r w:rsidR="005C4B1C" w:rsidRPr="005C4B1C">
        <w:rPr>
          <w:rFonts w:ascii="Garamond" w:hAnsi="Garamond"/>
          <w:sz w:val="22"/>
          <w:szCs w:val="22"/>
        </w:rPr>
        <w:t xml:space="preserve">lending volumes in </w:t>
      </w:r>
      <w:r w:rsidR="00A9445F">
        <w:rPr>
          <w:rFonts w:ascii="Garamond" w:hAnsi="Garamond"/>
          <w:sz w:val="22"/>
          <w:szCs w:val="22"/>
        </w:rPr>
        <w:t xml:space="preserve">the </w:t>
      </w:r>
      <w:r w:rsidR="00F62CF3">
        <w:rPr>
          <w:rFonts w:ascii="Garamond" w:hAnsi="Garamond"/>
          <w:sz w:val="22"/>
          <w:szCs w:val="22"/>
        </w:rPr>
        <w:t>manufacturing</w:t>
      </w:r>
      <w:r w:rsidR="005C4B1C" w:rsidRPr="005C4B1C">
        <w:rPr>
          <w:rFonts w:ascii="Garamond" w:hAnsi="Garamond"/>
          <w:sz w:val="22"/>
          <w:szCs w:val="22"/>
        </w:rPr>
        <w:t xml:space="preserve"> and</w:t>
      </w:r>
      <w:r w:rsidR="005C4B1C">
        <w:rPr>
          <w:rFonts w:ascii="Garamond" w:hAnsi="Garamond"/>
          <w:sz w:val="22"/>
          <w:szCs w:val="22"/>
        </w:rPr>
        <w:t xml:space="preserve"> </w:t>
      </w:r>
      <w:r w:rsidR="005C4B1C" w:rsidRPr="005C4B1C">
        <w:rPr>
          <w:rFonts w:ascii="Garamond" w:hAnsi="Garamond"/>
          <w:sz w:val="22"/>
          <w:szCs w:val="22"/>
        </w:rPr>
        <w:t xml:space="preserve">construction have </w:t>
      </w:r>
      <w:r w:rsidR="002477E7">
        <w:rPr>
          <w:rFonts w:ascii="Garamond" w:hAnsi="Garamond"/>
          <w:sz w:val="22"/>
          <w:szCs w:val="22"/>
        </w:rPr>
        <w:t xml:space="preserve">noticeably </w:t>
      </w:r>
      <w:r w:rsidR="005C4B1C" w:rsidRPr="005C4B1C">
        <w:rPr>
          <w:rFonts w:ascii="Garamond" w:hAnsi="Garamond"/>
          <w:sz w:val="22"/>
          <w:szCs w:val="22"/>
        </w:rPr>
        <w:t xml:space="preserve">increased lately, which is a </w:t>
      </w:r>
      <w:r w:rsidR="002477E7">
        <w:rPr>
          <w:rFonts w:ascii="Garamond" w:hAnsi="Garamond"/>
          <w:sz w:val="22"/>
          <w:szCs w:val="22"/>
        </w:rPr>
        <w:t xml:space="preserve">precursor for </w:t>
      </w:r>
      <w:r w:rsidR="005C4B1C" w:rsidRPr="005C4B1C">
        <w:rPr>
          <w:rFonts w:ascii="Garamond" w:hAnsi="Garamond"/>
          <w:sz w:val="22"/>
          <w:szCs w:val="22"/>
        </w:rPr>
        <w:t>positive developments</w:t>
      </w:r>
      <w:r w:rsidR="002477E7">
        <w:rPr>
          <w:rFonts w:ascii="Garamond" w:hAnsi="Garamond"/>
          <w:sz w:val="22"/>
          <w:szCs w:val="22"/>
        </w:rPr>
        <w:t xml:space="preserve"> there</w:t>
      </w:r>
      <w:r w:rsidR="005C4B1C" w:rsidRPr="005C4B1C">
        <w:rPr>
          <w:rFonts w:ascii="Garamond" w:hAnsi="Garamond"/>
          <w:sz w:val="22"/>
          <w:szCs w:val="22"/>
        </w:rPr>
        <w:t>. The growth of services is in line with the previous forecast</w:t>
      </w:r>
      <w:r w:rsidR="002477E7">
        <w:rPr>
          <w:rFonts w:ascii="Garamond" w:hAnsi="Garamond"/>
          <w:sz w:val="22"/>
          <w:szCs w:val="22"/>
        </w:rPr>
        <w:t xml:space="preserve">, reaching </w:t>
      </w:r>
      <w:r w:rsidR="005C4B1C" w:rsidRPr="005C4B1C">
        <w:rPr>
          <w:rFonts w:ascii="Garamond" w:hAnsi="Garamond"/>
          <w:sz w:val="22"/>
          <w:szCs w:val="22"/>
        </w:rPr>
        <w:t>10.0%.</w:t>
      </w:r>
      <w:r w:rsidR="001D0857">
        <w:rPr>
          <w:rFonts w:ascii="Garamond" w:hAnsi="Garamond"/>
          <w:sz w:val="22"/>
          <w:szCs w:val="22"/>
        </w:rPr>
        <w:t xml:space="preserve"> </w:t>
      </w:r>
      <w:r w:rsidR="005C4B1C">
        <w:rPr>
          <w:rFonts w:ascii="Garamond" w:hAnsi="Garamond"/>
          <w:sz w:val="22"/>
          <w:szCs w:val="22"/>
        </w:rPr>
        <w:t xml:space="preserve">Note that </w:t>
      </w:r>
      <w:r w:rsidR="005C4B1C" w:rsidRPr="00732A14">
        <w:rPr>
          <w:rFonts w:ascii="Garamond" w:hAnsi="Garamond"/>
          <w:sz w:val="22"/>
          <w:szCs w:val="22"/>
        </w:rPr>
        <w:t xml:space="preserve">the decline in agriculture </w:t>
      </w:r>
      <w:r w:rsidR="005C4B1C">
        <w:rPr>
          <w:rFonts w:ascii="Garamond" w:hAnsi="Garamond"/>
          <w:sz w:val="22"/>
          <w:szCs w:val="22"/>
        </w:rPr>
        <w:t>has been slower, 2</w:t>
      </w:r>
      <w:r w:rsidR="005C4B1C" w:rsidRPr="00732A14">
        <w:rPr>
          <w:rFonts w:ascii="Garamond" w:hAnsi="Garamond"/>
          <w:sz w:val="22"/>
          <w:szCs w:val="22"/>
        </w:rPr>
        <w:t>.</w:t>
      </w:r>
      <w:r w:rsidR="005C4B1C">
        <w:rPr>
          <w:rFonts w:ascii="Garamond" w:hAnsi="Garamond"/>
          <w:sz w:val="22"/>
          <w:szCs w:val="22"/>
        </w:rPr>
        <w:t>0</w:t>
      </w:r>
      <w:r w:rsidR="005C4B1C" w:rsidRPr="00732A14">
        <w:rPr>
          <w:rFonts w:ascii="Garamond" w:hAnsi="Garamond"/>
          <w:sz w:val="22"/>
          <w:szCs w:val="22"/>
        </w:rPr>
        <w:t>%</w:t>
      </w:r>
      <w:r w:rsidR="005C4B1C">
        <w:rPr>
          <w:rFonts w:ascii="Garamond" w:hAnsi="Garamond"/>
          <w:sz w:val="22"/>
          <w:szCs w:val="22"/>
        </w:rPr>
        <w:t>.</w:t>
      </w:r>
    </w:p>
    <w:p w14:paraId="059B7BD3" w14:textId="77777777" w:rsidR="00C623D0" w:rsidRDefault="00C623D0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There is anticipation that </w:t>
      </w:r>
      <w:r w:rsidR="00A9445F" w:rsidRPr="00A9445F">
        <w:rPr>
          <w:rFonts w:ascii="Garamond" w:hAnsi="Garamond"/>
          <w:sz w:val="22"/>
          <w:szCs w:val="22"/>
        </w:rPr>
        <w:t>industry</w:t>
      </w:r>
      <w:r w:rsidR="00A9445F">
        <w:rPr>
          <w:rFonts w:ascii="Garamond" w:hAnsi="Garamond"/>
          <w:sz w:val="22"/>
          <w:szCs w:val="22"/>
        </w:rPr>
        <w:t xml:space="preserve">’s contribution </w:t>
      </w:r>
      <w:r w:rsidR="00A9445F" w:rsidRPr="00A9445F">
        <w:rPr>
          <w:rFonts w:ascii="Garamond" w:hAnsi="Garamond"/>
          <w:sz w:val="22"/>
          <w:szCs w:val="22"/>
        </w:rPr>
        <w:t>to economic growth w</w:t>
      </w:r>
      <w:r w:rsidR="00A9445F">
        <w:rPr>
          <w:rFonts w:ascii="Garamond" w:hAnsi="Garamond"/>
          <w:sz w:val="22"/>
          <w:szCs w:val="22"/>
        </w:rPr>
        <w:t xml:space="preserve">ill somehow </w:t>
      </w:r>
      <w:r w:rsidR="00A9445F" w:rsidRPr="00A9445F">
        <w:rPr>
          <w:rFonts w:ascii="Garamond" w:hAnsi="Garamond"/>
          <w:sz w:val="22"/>
          <w:szCs w:val="22"/>
        </w:rPr>
        <w:t xml:space="preserve">slow </w:t>
      </w:r>
      <w:r w:rsidR="00A9445F">
        <w:rPr>
          <w:rFonts w:ascii="Garamond" w:hAnsi="Garamond"/>
          <w:sz w:val="22"/>
          <w:szCs w:val="22"/>
        </w:rPr>
        <w:t xml:space="preserve">during </w:t>
      </w:r>
      <w:r w:rsidR="00A9445F" w:rsidRPr="00C623D0">
        <w:rPr>
          <w:rFonts w:ascii="Garamond" w:hAnsi="Garamond"/>
          <w:sz w:val="22"/>
          <w:szCs w:val="22"/>
        </w:rPr>
        <w:t xml:space="preserve">the </w:t>
      </w:r>
      <w:r w:rsidR="00A9445F">
        <w:rPr>
          <w:rFonts w:ascii="Garamond" w:hAnsi="Garamond"/>
          <w:sz w:val="22"/>
          <w:szCs w:val="22"/>
        </w:rPr>
        <w:t>fourth</w:t>
      </w:r>
      <w:r w:rsidR="00A9445F" w:rsidRPr="00C623D0">
        <w:rPr>
          <w:rFonts w:ascii="Garamond" w:hAnsi="Garamond"/>
          <w:sz w:val="22"/>
          <w:szCs w:val="22"/>
        </w:rPr>
        <w:t xml:space="preserve"> quarter of 2019</w:t>
      </w:r>
      <w:r w:rsidR="00A9445F">
        <w:rPr>
          <w:rFonts w:ascii="Garamond" w:hAnsi="Garamond"/>
          <w:sz w:val="22"/>
          <w:szCs w:val="22"/>
        </w:rPr>
        <w:t xml:space="preserve"> </w:t>
      </w:r>
      <w:r w:rsidR="00A9445F" w:rsidRPr="00A9445F">
        <w:rPr>
          <w:rFonts w:ascii="Garamond" w:hAnsi="Garamond"/>
          <w:sz w:val="22"/>
          <w:szCs w:val="22"/>
        </w:rPr>
        <w:t>due to sl</w:t>
      </w:r>
      <w:r w:rsidR="00A9445F">
        <w:rPr>
          <w:rFonts w:ascii="Garamond" w:hAnsi="Garamond"/>
          <w:sz w:val="22"/>
          <w:szCs w:val="22"/>
        </w:rPr>
        <w:t xml:space="preserve">ackened </w:t>
      </w:r>
      <w:r w:rsidR="00A9445F" w:rsidRPr="00A9445F">
        <w:rPr>
          <w:rFonts w:ascii="Garamond" w:hAnsi="Garamond"/>
          <w:sz w:val="22"/>
          <w:szCs w:val="22"/>
        </w:rPr>
        <w:t>economic activity in October</w:t>
      </w:r>
      <w:r w:rsidR="00A9445F">
        <w:rPr>
          <w:rFonts w:ascii="Garamond" w:hAnsi="Garamond"/>
          <w:sz w:val="22"/>
          <w:szCs w:val="22"/>
        </w:rPr>
        <w:t>, whereas</w:t>
      </w:r>
      <w:r w:rsidR="00A9445F" w:rsidRPr="00A9445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services will </w:t>
      </w:r>
      <w:r w:rsidR="00553961">
        <w:rPr>
          <w:rFonts w:ascii="Garamond" w:hAnsi="Garamond"/>
          <w:sz w:val="22"/>
          <w:szCs w:val="22"/>
        </w:rPr>
        <w:t xml:space="preserve">remain </w:t>
      </w:r>
      <w:r w:rsidR="00FC0B5F">
        <w:rPr>
          <w:rFonts w:ascii="Garamond" w:hAnsi="Garamond"/>
          <w:sz w:val="22"/>
          <w:szCs w:val="22"/>
        </w:rPr>
        <w:t>a</w:t>
      </w:r>
      <w:r w:rsidR="00553961">
        <w:rPr>
          <w:rFonts w:ascii="Garamond" w:hAnsi="Garamond"/>
          <w:sz w:val="22"/>
          <w:szCs w:val="22"/>
        </w:rPr>
        <w:t xml:space="preserve"> key</w:t>
      </w:r>
      <w:r>
        <w:rPr>
          <w:rFonts w:ascii="Garamond" w:hAnsi="Garamond"/>
          <w:sz w:val="22"/>
          <w:szCs w:val="22"/>
        </w:rPr>
        <w:t xml:space="preserve"> driver to</w:t>
      </w:r>
      <w:r w:rsidR="00A9445F">
        <w:rPr>
          <w:rFonts w:ascii="Garamond" w:hAnsi="Garamond"/>
          <w:sz w:val="22"/>
          <w:szCs w:val="22"/>
        </w:rPr>
        <w:t xml:space="preserve"> the</w:t>
      </w:r>
      <w:r w:rsidR="004F2299">
        <w:rPr>
          <w:rFonts w:ascii="Garamond" w:hAnsi="Garamond"/>
          <w:sz w:val="22"/>
          <w:szCs w:val="22"/>
        </w:rPr>
        <w:t xml:space="preserve"> growth</w:t>
      </w:r>
      <w:r w:rsidR="00FC0B5F" w:rsidRPr="00FC0B5F">
        <w:rPr>
          <w:rFonts w:ascii="Garamond" w:hAnsi="Garamond"/>
          <w:sz w:val="22"/>
          <w:szCs w:val="22"/>
        </w:rPr>
        <w:t>.</w:t>
      </w:r>
    </w:p>
    <w:p w14:paraId="38EA03FA" w14:textId="77777777" w:rsidR="00716B12" w:rsidRDefault="00716B12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T</w:t>
      </w:r>
      <w:r w:rsidRPr="00EE5F0F">
        <w:rPr>
          <w:rFonts w:ascii="Garamond" w:hAnsi="Garamond"/>
          <w:sz w:val="22"/>
          <w:szCs w:val="22"/>
        </w:rPr>
        <w:t>he productivity</w:t>
      </w:r>
      <w:r>
        <w:rPr>
          <w:rFonts w:ascii="Garamond" w:hAnsi="Garamond"/>
          <w:sz w:val="22"/>
          <w:szCs w:val="22"/>
        </w:rPr>
        <w:t xml:space="preserve"> i</w:t>
      </w:r>
      <w:r w:rsidR="00194D78">
        <w:rPr>
          <w:rFonts w:ascii="Garamond" w:hAnsi="Garamond"/>
          <w:sz w:val="22"/>
          <w:szCs w:val="22"/>
        </w:rPr>
        <w:t xml:space="preserve">n the </w:t>
      </w:r>
      <w:r w:rsidR="00A9445F">
        <w:rPr>
          <w:rFonts w:ascii="Garamond" w:hAnsi="Garamond"/>
          <w:sz w:val="22"/>
          <w:szCs w:val="22"/>
        </w:rPr>
        <w:t>third</w:t>
      </w:r>
      <w:r w:rsidR="00194D78">
        <w:rPr>
          <w:rFonts w:ascii="Garamond" w:hAnsi="Garamond"/>
          <w:sz w:val="22"/>
          <w:szCs w:val="22"/>
        </w:rPr>
        <w:t xml:space="preserve"> quarter of 201</w:t>
      </w:r>
      <w:r w:rsidR="00D16EEC">
        <w:rPr>
          <w:rFonts w:ascii="Garamond" w:hAnsi="Garamond"/>
          <w:sz w:val="22"/>
          <w:szCs w:val="22"/>
        </w:rPr>
        <w:t>9</w:t>
      </w:r>
      <w:r w:rsidR="00194D78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remained almost the same,</w:t>
      </w:r>
      <w:r w:rsidR="00194D78">
        <w:rPr>
          <w:rFonts w:ascii="Garamond" w:hAnsi="Garamond"/>
          <w:sz w:val="22"/>
          <w:szCs w:val="22"/>
        </w:rPr>
        <w:t xml:space="preserve"> according to th</w:t>
      </w:r>
      <w:r w:rsidR="002F6593" w:rsidRPr="00EE5F0F">
        <w:rPr>
          <w:rFonts w:ascii="Garamond" w:hAnsi="Garamond"/>
          <w:sz w:val="22"/>
          <w:szCs w:val="22"/>
        </w:rPr>
        <w:t>e Central Bank estimat</w:t>
      </w:r>
      <w:r w:rsidR="00561047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 xml:space="preserve">. </w:t>
      </w:r>
      <w:r w:rsidRPr="00716B12">
        <w:rPr>
          <w:rFonts w:ascii="Garamond" w:hAnsi="Garamond"/>
          <w:sz w:val="22"/>
          <w:szCs w:val="22"/>
        </w:rPr>
        <w:t>This is due to the fact that high GDP and demand growth</w:t>
      </w:r>
      <w:r>
        <w:rPr>
          <w:rFonts w:ascii="Garamond" w:hAnsi="Garamond"/>
          <w:sz w:val="22"/>
          <w:szCs w:val="22"/>
        </w:rPr>
        <w:t>s</w:t>
      </w:r>
      <w:r w:rsidRPr="00716B1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came along with </w:t>
      </w:r>
      <w:r w:rsidRPr="00716B12">
        <w:rPr>
          <w:rFonts w:ascii="Garamond" w:hAnsi="Garamond"/>
          <w:sz w:val="22"/>
          <w:szCs w:val="22"/>
        </w:rPr>
        <w:t xml:space="preserve">higher </w:t>
      </w:r>
      <w:r>
        <w:rPr>
          <w:rFonts w:ascii="Garamond" w:hAnsi="Garamond"/>
          <w:sz w:val="22"/>
          <w:szCs w:val="22"/>
        </w:rPr>
        <w:t xml:space="preserve">growths </w:t>
      </w:r>
      <w:r w:rsidRPr="00716B12">
        <w:rPr>
          <w:rFonts w:ascii="Garamond" w:hAnsi="Garamond"/>
          <w:sz w:val="22"/>
          <w:szCs w:val="22"/>
        </w:rPr>
        <w:t xml:space="preserve">in employment and hours worked, which </w:t>
      </w:r>
      <w:r>
        <w:rPr>
          <w:rFonts w:ascii="Garamond" w:hAnsi="Garamond"/>
          <w:sz w:val="22"/>
          <w:szCs w:val="22"/>
        </w:rPr>
        <w:t>in turn was</w:t>
      </w:r>
      <w:r w:rsidRPr="00716B12">
        <w:rPr>
          <w:rFonts w:ascii="Garamond" w:hAnsi="Garamond"/>
          <w:sz w:val="22"/>
          <w:szCs w:val="22"/>
        </w:rPr>
        <w:t xml:space="preserve"> offset by increased efficiency in the use of labor resources.</w:t>
      </w:r>
      <w:r>
        <w:rPr>
          <w:rFonts w:ascii="Garamond" w:hAnsi="Garamond"/>
          <w:sz w:val="22"/>
          <w:szCs w:val="22"/>
        </w:rPr>
        <w:t xml:space="preserve"> </w:t>
      </w:r>
    </w:p>
    <w:p w14:paraId="04A75BC0" w14:textId="77777777" w:rsidR="00716B12" w:rsidRDefault="00716B12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237784A2" w14:textId="77777777" w:rsidR="00242EA6" w:rsidRPr="00EE5F0F" w:rsidRDefault="00242EA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3.2.4. Labor market</w:t>
      </w:r>
      <w:r w:rsidR="00716B12">
        <w:rPr>
          <w:rStyle w:val="FootnoteReference"/>
          <w:rFonts w:ascii="Garamond" w:hAnsi="Garamond"/>
          <w:b/>
          <w:color w:val="0070C0"/>
          <w:sz w:val="22"/>
          <w:szCs w:val="22"/>
        </w:rPr>
        <w:footnoteReference w:customMarkFollows="1" w:id="18"/>
        <w:t>30</w:t>
      </w:r>
    </w:p>
    <w:p w14:paraId="3B27F0F3" w14:textId="7C4E6921" w:rsidR="00327812" w:rsidRDefault="000919B5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="00B805F6">
        <w:rPr>
          <w:rFonts w:ascii="Garamond" w:hAnsi="Garamond"/>
          <w:sz w:val="22"/>
          <w:szCs w:val="22"/>
        </w:rPr>
        <w:t>n t</w:t>
      </w:r>
      <w:r w:rsidR="003E2223">
        <w:rPr>
          <w:rFonts w:ascii="Garamond" w:hAnsi="Garamond"/>
          <w:sz w:val="22"/>
          <w:szCs w:val="22"/>
        </w:rPr>
        <w:t xml:space="preserve">he </w:t>
      </w:r>
      <w:r w:rsidR="003905EA">
        <w:rPr>
          <w:rFonts w:ascii="Garamond" w:hAnsi="Garamond"/>
          <w:sz w:val="22"/>
          <w:szCs w:val="22"/>
        </w:rPr>
        <w:t>third</w:t>
      </w:r>
      <w:r w:rsidR="003E2223">
        <w:rPr>
          <w:rFonts w:ascii="Garamond" w:hAnsi="Garamond"/>
          <w:sz w:val="22"/>
          <w:szCs w:val="22"/>
        </w:rPr>
        <w:t xml:space="preserve"> quarter</w:t>
      </w:r>
      <w:r w:rsidR="00B805F6">
        <w:rPr>
          <w:rFonts w:ascii="Garamond" w:hAnsi="Garamond"/>
          <w:sz w:val="22"/>
          <w:szCs w:val="22"/>
        </w:rPr>
        <w:t xml:space="preserve"> </w:t>
      </w:r>
      <w:r w:rsidR="006C4749">
        <w:rPr>
          <w:rFonts w:ascii="Garamond" w:hAnsi="Garamond"/>
          <w:sz w:val="22"/>
          <w:szCs w:val="22"/>
        </w:rPr>
        <w:t>of 2019</w:t>
      </w:r>
      <w:r>
        <w:rPr>
          <w:rFonts w:ascii="Garamond" w:hAnsi="Garamond"/>
          <w:sz w:val="22"/>
          <w:szCs w:val="22"/>
        </w:rPr>
        <w:t>,</w:t>
      </w:r>
      <w:r w:rsidR="006C4749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t</w:t>
      </w:r>
      <w:r w:rsidRPr="006C4749">
        <w:rPr>
          <w:rFonts w:ascii="Garamond" w:hAnsi="Garamond"/>
          <w:sz w:val="22"/>
          <w:szCs w:val="22"/>
        </w:rPr>
        <w:t>he private sector nominal wage</w:t>
      </w:r>
      <w:r>
        <w:rPr>
          <w:rFonts w:ascii="Garamond" w:hAnsi="Garamond"/>
          <w:sz w:val="22"/>
          <w:szCs w:val="22"/>
        </w:rPr>
        <w:t xml:space="preserve"> </w:t>
      </w:r>
      <w:r w:rsidRPr="006C4749">
        <w:rPr>
          <w:rFonts w:ascii="Garamond" w:hAnsi="Garamond"/>
          <w:sz w:val="22"/>
          <w:szCs w:val="22"/>
        </w:rPr>
        <w:t>growth rate</w:t>
      </w:r>
      <w:r w:rsidR="0076770D">
        <w:rPr>
          <w:rFonts w:ascii="Garamond" w:hAnsi="Garamond"/>
          <w:sz w:val="22"/>
          <w:szCs w:val="22"/>
        </w:rPr>
        <w:t xml:space="preserve"> </w:t>
      </w:r>
      <w:r w:rsidR="00C30AC1">
        <w:rPr>
          <w:rFonts w:ascii="Garamond" w:hAnsi="Garamond"/>
          <w:sz w:val="22"/>
          <w:szCs w:val="22"/>
        </w:rPr>
        <w:t>was 4</w:t>
      </w:r>
      <w:r w:rsidR="006C4749">
        <w:rPr>
          <w:rFonts w:ascii="Garamond" w:hAnsi="Garamond"/>
          <w:sz w:val="22"/>
          <w:szCs w:val="22"/>
        </w:rPr>
        <w:t>.</w:t>
      </w:r>
      <w:r w:rsidR="00C30AC1">
        <w:rPr>
          <w:rFonts w:ascii="Garamond" w:hAnsi="Garamond"/>
          <w:sz w:val="22"/>
          <w:szCs w:val="22"/>
        </w:rPr>
        <w:t>4</w:t>
      </w:r>
      <w:r w:rsidR="006C4749">
        <w:rPr>
          <w:rFonts w:ascii="Garamond" w:hAnsi="Garamond"/>
          <w:sz w:val="22"/>
          <w:szCs w:val="22"/>
        </w:rPr>
        <w:t>%</w:t>
      </w:r>
      <w:r w:rsidR="00C30AC1">
        <w:rPr>
          <w:rFonts w:ascii="Garamond" w:hAnsi="Garamond"/>
          <w:sz w:val="22"/>
          <w:szCs w:val="22"/>
        </w:rPr>
        <w:t xml:space="preserve"> – slightly above</w:t>
      </w:r>
      <w:r>
        <w:rPr>
          <w:rFonts w:ascii="Garamond" w:hAnsi="Garamond"/>
          <w:sz w:val="22"/>
          <w:szCs w:val="22"/>
        </w:rPr>
        <w:t xml:space="preserve"> previous forecasts by the Central Bank</w:t>
      </w:r>
      <w:r w:rsidR="003A59AB">
        <w:rPr>
          <w:rFonts w:ascii="Garamond" w:hAnsi="Garamond"/>
          <w:sz w:val="22"/>
          <w:szCs w:val="22"/>
        </w:rPr>
        <w:t>.</w:t>
      </w:r>
      <w:r w:rsidRPr="006C4749">
        <w:rPr>
          <w:rFonts w:ascii="Garamond" w:hAnsi="Garamond"/>
          <w:sz w:val="22"/>
          <w:szCs w:val="22"/>
        </w:rPr>
        <w:t xml:space="preserve"> </w:t>
      </w:r>
      <w:r w:rsidR="003A59AB">
        <w:rPr>
          <w:rFonts w:ascii="Times New Roman" w:hAnsi="Times New Roman"/>
          <w:sz w:val="22"/>
          <w:szCs w:val="22"/>
        </w:rPr>
        <w:t>P</w:t>
      </w:r>
      <w:r w:rsidRPr="006C4749">
        <w:rPr>
          <w:rFonts w:ascii="Garamond" w:hAnsi="Garamond"/>
          <w:sz w:val="22"/>
          <w:szCs w:val="22"/>
        </w:rPr>
        <w:t xml:space="preserve">rivate sector </w:t>
      </w:r>
      <w:r>
        <w:rPr>
          <w:rFonts w:ascii="Garamond" w:hAnsi="Garamond"/>
          <w:sz w:val="22"/>
          <w:szCs w:val="22"/>
        </w:rPr>
        <w:t xml:space="preserve">real </w:t>
      </w:r>
      <w:r w:rsidRPr="006C4749">
        <w:rPr>
          <w:rFonts w:ascii="Garamond" w:hAnsi="Garamond"/>
          <w:sz w:val="22"/>
          <w:szCs w:val="22"/>
        </w:rPr>
        <w:t>wage</w:t>
      </w:r>
      <w:r>
        <w:rPr>
          <w:rFonts w:ascii="Garamond" w:hAnsi="Garamond"/>
          <w:sz w:val="22"/>
          <w:szCs w:val="22"/>
        </w:rPr>
        <w:t xml:space="preserve"> </w:t>
      </w:r>
      <w:r w:rsidRPr="006C4749">
        <w:rPr>
          <w:rFonts w:ascii="Garamond" w:hAnsi="Garamond"/>
          <w:sz w:val="22"/>
          <w:szCs w:val="22"/>
        </w:rPr>
        <w:t>growth rate</w:t>
      </w:r>
      <w:r>
        <w:rPr>
          <w:rFonts w:ascii="Garamond" w:hAnsi="Garamond"/>
          <w:sz w:val="22"/>
          <w:szCs w:val="22"/>
        </w:rPr>
        <w:t xml:space="preserve"> </w:t>
      </w:r>
      <w:r w:rsidR="003A59AB">
        <w:rPr>
          <w:rFonts w:ascii="Garamond" w:hAnsi="Garamond"/>
          <w:sz w:val="22"/>
          <w:szCs w:val="22"/>
        </w:rPr>
        <w:t xml:space="preserve">is around </w:t>
      </w:r>
      <w:r w:rsidR="00C30AC1">
        <w:rPr>
          <w:rFonts w:ascii="Garamond" w:hAnsi="Garamond"/>
          <w:sz w:val="22"/>
          <w:szCs w:val="22"/>
        </w:rPr>
        <w:t>3</w:t>
      </w:r>
      <w:r>
        <w:rPr>
          <w:rFonts w:ascii="Garamond" w:hAnsi="Garamond"/>
          <w:sz w:val="22"/>
          <w:szCs w:val="22"/>
        </w:rPr>
        <w:t>.</w:t>
      </w:r>
      <w:r w:rsidR="00C30AC1">
        <w:rPr>
          <w:rFonts w:ascii="Garamond" w:hAnsi="Garamond"/>
          <w:sz w:val="22"/>
          <w:szCs w:val="22"/>
        </w:rPr>
        <w:t>5</w:t>
      </w:r>
      <w:r>
        <w:rPr>
          <w:rFonts w:ascii="Garamond" w:hAnsi="Garamond"/>
          <w:sz w:val="22"/>
          <w:szCs w:val="22"/>
        </w:rPr>
        <w:t xml:space="preserve">%. </w:t>
      </w:r>
      <w:r w:rsidR="0076770D">
        <w:rPr>
          <w:rFonts w:ascii="Garamond" w:hAnsi="Garamond"/>
          <w:sz w:val="22"/>
          <w:szCs w:val="22"/>
        </w:rPr>
        <w:t xml:space="preserve">The real </w:t>
      </w:r>
      <w:r w:rsidR="0076770D" w:rsidRPr="006C4749">
        <w:rPr>
          <w:rFonts w:ascii="Garamond" w:hAnsi="Garamond"/>
          <w:sz w:val="22"/>
          <w:szCs w:val="22"/>
        </w:rPr>
        <w:t>wage</w:t>
      </w:r>
      <w:r w:rsidR="0076770D">
        <w:rPr>
          <w:rFonts w:ascii="Garamond" w:hAnsi="Garamond"/>
          <w:sz w:val="22"/>
          <w:szCs w:val="22"/>
        </w:rPr>
        <w:t xml:space="preserve"> </w:t>
      </w:r>
      <w:r w:rsidR="0076770D" w:rsidRPr="006C4749">
        <w:rPr>
          <w:rFonts w:ascii="Garamond" w:hAnsi="Garamond"/>
          <w:sz w:val="22"/>
          <w:szCs w:val="22"/>
        </w:rPr>
        <w:t>growth rate</w:t>
      </w:r>
      <w:r w:rsidR="0076770D">
        <w:rPr>
          <w:rFonts w:ascii="Garamond" w:hAnsi="Garamond"/>
          <w:sz w:val="22"/>
          <w:szCs w:val="22"/>
        </w:rPr>
        <w:t xml:space="preserve"> </w:t>
      </w:r>
      <w:r w:rsidR="00327812">
        <w:rPr>
          <w:rFonts w:ascii="Garamond" w:hAnsi="Garamond"/>
          <w:sz w:val="22"/>
          <w:szCs w:val="22"/>
        </w:rPr>
        <w:t xml:space="preserve">outpaced </w:t>
      </w:r>
      <w:r w:rsidR="0076770D">
        <w:rPr>
          <w:rFonts w:ascii="Garamond" w:hAnsi="Garamond"/>
          <w:sz w:val="22"/>
          <w:szCs w:val="22"/>
        </w:rPr>
        <w:t xml:space="preserve">the </w:t>
      </w:r>
      <w:r w:rsidR="00B805F6">
        <w:rPr>
          <w:rFonts w:ascii="Garamond" w:hAnsi="Garamond"/>
          <w:sz w:val="22"/>
          <w:szCs w:val="22"/>
        </w:rPr>
        <w:t>productivity</w:t>
      </w:r>
      <w:r w:rsidR="0076770D">
        <w:rPr>
          <w:rFonts w:ascii="Garamond" w:hAnsi="Garamond"/>
          <w:sz w:val="22"/>
          <w:szCs w:val="22"/>
        </w:rPr>
        <w:t xml:space="preserve"> growth rate</w:t>
      </w:r>
      <w:r w:rsidR="00327812">
        <w:rPr>
          <w:rStyle w:val="FootnoteReference"/>
          <w:rFonts w:ascii="Garamond" w:hAnsi="Garamond"/>
          <w:sz w:val="22"/>
          <w:szCs w:val="22"/>
        </w:rPr>
        <w:footnoteReference w:customMarkFollows="1" w:id="19"/>
        <w:t>31</w:t>
      </w:r>
      <w:r w:rsidR="0076770D">
        <w:rPr>
          <w:rFonts w:ascii="Garamond" w:hAnsi="Garamond"/>
          <w:sz w:val="22"/>
          <w:szCs w:val="22"/>
        </w:rPr>
        <w:t xml:space="preserve"> </w:t>
      </w:r>
      <w:r w:rsidR="00327812" w:rsidRPr="00327812">
        <w:rPr>
          <w:rFonts w:ascii="Garamond" w:hAnsi="Garamond"/>
          <w:sz w:val="22"/>
          <w:szCs w:val="22"/>
        </w:rPr>
        <w:t>driven by an increase in labor demand</w:t>
      </w:r>
      <w:r w:rsidR="00327812">
        <w:rPr>
          <w:rFonts w:ascii="Garamond" w:hAnsi="Garamond"/>
          <w:sz w:val="22"/>
          <w:szCs w:val="22"/>
        </w:rPr>
        <w:t xml:space="preserve">. </w:t>
      </w:r>
    </w:p>
    <w:p w14:paraId="065379AA" w14:textId="45E6EE09" w:rsidR="00912BAE" w:rsidRDefault="00327812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</w:t>
      </w:r>
      <w:r w:rsidRPr="00EE5F0F">
        <w:rPr>
          <w:rFonts w:ascii="Garamond" w:hAnsi="Garamond"/>
          <w:sz w:val="22"/>
          <w:szCs w:val="22"/>
        </w:rPr>
        <w:t xml:space="preserve">n the </w:t>
      </w:r>
      <w:r>
        <w:rPr>
          <w:rFonts w:ascii="Garamond" w:hAnsi="Garamond"/>
          <w:sz w:val="22"/>
          <w:szCs w:val="22"/>
        </w:rPr>
        <w:t>third quarter of 2019 t</w:t>
      </w:r>
      <w:r w:rsidR="008E5761" w:rsidRPr="008E5761">
        <w:rPr>
          <w:rFonts w:ascii="Garamond" w:hAnsi="Garamond"/>
          <w:sz w:val="22"/>
          <w:szCs w:val="22"/>
        </w:rPr>
        <w:t xml:space="preserve">he unemployment rate is </w:t>
      </w:r>
      <w:r w:rsidR="008E5761">
        <w:rPr>
          <w:rFonts w:ascii="Garamond" w:hAnsi="Garamond"/>
          <w:sz w:val="22"/>
          <w:szCs w:val="22"/>
        </w:rPr>
        <w:t xml:space="preserve">estimated </w:t>
      </w:r>
      <w:r w:rsidR="003A59AB">
        <w:rPr>
          <w:rFonts w:ascii="Garamond" w:hAnsi="Garamond"/>
          <w:sz w:val="22"/>
          <w:szCs w:val="22"/>
        </w:rPr>
        <w:t xml:space="preserve">at </w:t>
      </w:r>
      <w:r>
        <w:rPr>
          <w:rFonts w:ascii="Garamond" w:hAnsi="Garamond"/>
          <w:sz w:val="22"/>
          <w:szCs w:val="22"/>
        </w:rPr>
        <w:t>1</w:t>
      </w:r>
      <w:r w:rsidR="008E5761" w:rsidRPr="008E5761">
        <w:rPr>
          <w:rFonts w:ascii="Garamond" w:hAnsi="Garamond"/>
          <w:sz w:val="22"/>
          <w:szCs w:val="22"/>
        </w:rPr>
        <w:t>8%</w:t>
      </w:r>
      <w:r>
        <w:rPr>
          <w:rFonts w:ascii="Garamond" w:hAnsi="Garamond"/>
          <w:sz w:val="22"/>
          <w:szCs w:val="22"/>
        </w:rPr>
        <w:t xml:space="preserve">; </w:t>
      </w:r>
      <w:r w:rsidR="003A59AB">
        <w:rPr>
          <w:rFonts w:ascii="Garamond" w:hAnsi="Garamond"/>
          <w:sz w:val="22"/>
          <w:szCs w:val="22"/>
        </w:rPr>
        <w:t xml:space="preserve">which </w:t>
      </w:r>
      <w:r>
        <w:rPr>
          <w:rFonts w:ascii="Garamond" w:hAnsi="Garamond"/>
          <w:sz w:val="22"/>
          <w:szCs w:val="22"/>
        </w:rPr>
        <w:t>is</w:t>
      </w:r>
      <w:r w:rsidRPr="00327812">
        <w:rPr>
          <w:rFonts w:ascii="Garamond" w:hAnsi="Garamond"/>
          <w:sz w:val="22"/>
          <w:szCs w:val="22"/>
        </w:rPr>
        <w:t xml:space="preserve"> lower </w:t>
      </w:r>
      <w:r w:rsidR="003A59AB">
        <w:rPr>
          <w:rFonts w:ascii="Garamond" w:hAnsi="Garamond"/>
          <w:sz w:val="22"/>
          <w:szCs w:val="22"/>
        </w:rPr>
        <w:t xml:space="preserve">than the </w:t>
      </w:r>
      <w:r w:rsidRPr="00327812">
        <w:rPr>
          <w:rFonts w:ascii="Garamond" w:hAnsi="Garamond"/>
          <w:sz w:val="22"/>
          <w:szCs w:val="22"/>
        </w:rPr>
        <w:t>previous forecast</w:t>
      </w:r>
      <w:r w:rsidR="00BB0E99">
        <w:rPr>
          <w:rFonts w:ascii="Garamond" w:hAnsi="Garamond"/>
          <w:sz w:val="22"/>
          <w:szCs w:val="22"/>
        </w:rPr>
        <w:t>.</w:t>
      </w:r>
      <w:r w:rsidR="00DE2125">
        <w:rPr>
          <w:rFonts w:ascii="Garamond" w:hAnsi="Garamond"/>
          <w:sz w:val="22"/>
          <w:szCs w:val="22"/>
        </w:rPr>
        <w:t xml:space="preserve"> </w:t>
      </w:r>
      <w:r w:rsidR="00BB0E99">
        <w:rPr>
          <w:rFonts w:ascii="Garamond" w:hAnsi="Garamond"/>
          <w:sz w:val="22"/>
          <w:szCs w:val="22"/>
        </w:rPr>
        <w:t xml:space="preserve">This </w:t>
      </w:r>
      <w:r w:rsidR="00F2002B">
        <w:rPr>
          <w:rFonts w:ascii="Garamond" w:hAnsi="Garamond"/>
          <w:sz w:val="22"/>
          <w:szCs w:val="22"/>
        </w:rPr>
        <w:t>is</w:t>
      </w:r>
      <w:r w:rsidR="00DE2125">
        <w:rPr>
          <w:rFonts w:ascii="Garamond" w:hAnsi="Garamond"/>
          <w:sz w:val="22"/>
          <w:szCs w:val="22"/>
        </w:rPr>
        <w:t xml:space="preserve"> explain</w:t>
      </w:r>
      <w:r w:rsidR="00F2002B">
        <w:rPr>
          <w:rFonts w:ascii="Garamond" w:hAnsi="Garamond"/>
          <w:sz w:val="22"/>
          <w:szCs w:val="22"/>
        </w:rPr>
        <w:t>ed</w:t>
      </w:r>
      <w:r w:rsidR="00DE2125">
        <w:rPr>
          <w:rFonts w:ascii="Garamond" w:hAnsi="Garamond"/>
          <w:sz w:val="22"/>
          <w:szCs w:val="22"/>
        </w:rPr>
        <w:t xml:space="preserve"> </w:t>
      </w:r>
      <w:r w:rsidR="00F2002B">
        <w:rPr>
          <w:rFonts w:ascii="Garamond" w:hAnsi="Garamond"/>
          <w:sz w:val="22"/>
          <w:szCs w:val="22"/>
        </w:rPr>
        <w:t xml:space="preserve">by </w:t>
      </w:r>
      <w:r w:rsidR="00DE2125">
        <w:rPr>
          <w:rFonts w:ascii="Garamond" w:hAnsi="Garamond"/>
          <w:sz w:val="22"/>
          <w:szCs w:val="22"/>
        </w:rPr>
        <w:t xml:space="preserve">the fact that </w:t>
      </w:r>
      <w:r w:rsidRPr="00327812">
        <w:rPr>
          <w:rFonts w:ascii="Garamond" w:hAnsi="Garamond"/>
          <w:sz w:val="22"/>
          <w:szCs w:val="22"/>
        </w:rPr>
        <w:t>the demand for labor increases</w:t>
      </w:r>
      <w:r w:rsidR="00DE2125">
        <w:rPr>
          <w:rFonts w:ascii="Garamond" w:hAnsi="Garamond"/>
          <w:sz w:val="22"/>
          <w:szCs w:val="22"/>
        </w:rPr>
        <w:t xml:space="preserve"> </w:t>
      </w:r>
      <w:r w:rsidR="00F2002B">
        <w:rPr>
          <w:rFonts w:ascii="Garamond" w:hAnsi="Garamond"/>
          <w:sz w:val="22"/>
          <w:szCs w:val="22"/>
        </w:rPr>
        <w:t xml:space="preserve">when </w:t>
      </w:r>
      <w:r w:rsidR="00D72493">
        <w:rPr>
          <w:rFonts w:ascii="Garamond" w:hAnsi="Garamond"/>
          <w:sz w:val="22"/>
          <w:szCs w:val="22"/>
        </w:rPr>
        <w:t>econom</w:t>
      </w:r>
      <w:r w:rsidR="00F2002B">
        <w:rPr>
          <w:rFonts w:ascii="Garamond" w:hAnsi="Garamond"/>
          <w:sz w:val="22"/>
          <w:szCs w:val="22"/>
        </w:rPr>
        <w:t>ic</w:t>
      </w:r>
      <w:r w:rsidR="00DE2125">
        <w:rPr>
          <w:rFonts w:ascii="Garamond" w:hAnsi="Garamond"/>
          <w:sz w:val="22"/>
          <w:szCs w:val="22"/>
        </w:rPr>
        <w:t xml:space="preserve"> grow</w:t>
      </w:r>
      <w:r w:rsidR="00F2002B">
        <w:rPr>
          <w:rFonts w:ascii="Garamond" w:hAnsi="Garamond"/>
          <w:sz w:val="22"/>
          <w:szCs w:val="22"/>
        </w:rPr>
        <w:t xml:space="preserve">th is supported by the growth in more </w:t>
      </w:r>
      <w:proofErr w:type="gramStart"/>
      <w:r w:rsidR="00F2002B">
        <w:rPr>
          <w:rFonts w:ascii="Garamond" w:hAnsi="Garamond"/>
          <w:sz w:val="22"/>
          <w:szCs w:val="22"/>
        </w:rPr>
        <w:t>labor intensive</w:t>
      </w:r>
      <w:proofErr w:type="gramEnd"/>
      <w:r w:rsidR="00F2002B">
        <w:rPr>
          <w:rFonts w:ascii="Garamond" w:hAnsi="Garamond"/>
          <w:sz w:val="22"/>
          <w:szCs w:val="22"/>
        </w:rPr>
        <w:t xml:space="preserve"> sector: services</w:t>
      </w:r>
      <w:r w:rsidR="00DE2125">
        <w:rPr>
          <w:rFonts w:ascii="Garamond" w:hAnsi="Garamond"/>
          <w:sz w:val="22"/>
          <w:szCs w:val="22"/>
        </w:rPr>
        <w:t>.</w:t>
      </w:r>
      <w:r w:rsidR="00D54655">
        <w:rPr>
          <w:rFonts w:ascii="Garamond" w:hAnsi="Garamond"/>
          <w:sz w:val="22"/>
          <w:szCs w:val="22"/>
        </w:rPr>
        <w:t xml:space="preserve"> </w:t>
      </w:r>
    </w:p>
    <w:p w14:paraId="4B6F2B00" w14:textId="77777777" w:rsidR="00327812" w:rsidRPr="00EE5F0F" w:rsidRDefault="00DE2125" w:rsidP="00327812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</w:t>
      </w:r>
      <w:r w:rsidR="00327812">
        <w:rPr>
          <w:rFonts w:ascii="Garamond" w:hAnsi="Garamond"/>
          <w:sz w:val="22"/>
          <w:szCs w:val="22"/>
        </w:rPr>
        <w:t xml:space="preserve">the </w:t>
      </w:r>
      <w:r w:rsidR="00327812" w:rsidRPr="0076770D">
        <w:rPr>
          <w:rFonts w:ascii="Garamond" w:hAnsi="Garamond"/>
          <w:sz w:val="22"/>
          <w:szCs w:val="22"/>
        </w:rPr>
        <w:t xml:space="preserve">reporting </w:t>
      </w:r>
      <w:r w:rsidR="00327812">
        <w:rPr>
          <w:rFonts w:ascii="Garamond" w:hAnsi="Garamond"/>
          <w:sz w:val="22"/>
          <w:szCs w:val="22"/>
        </w:rPr>
        <w:t>quarter</w:t>
      </w:r>
      <w:r>
        <w:rPr>
          <w:rFonts w:ascii="Garamond" w:hAnsi="Garamond"/>
          <w:sz w:val="22"/>
          <w:szCs w:val="22"/>
        </w:rPr>
        <w:t>,</w:t>
      </w:r>
      <w:r w:rsidR="0032781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firms’ </w:t>
      </w:r>
      <w:r w:rsidR="00327812" w:rsidRPr="0076770D">
        <w:rPr>
          <w:rFonts w:ascii="Garamond" w:hAnsi="Garamond"/>
          <w:sz w:val="22"/>
          <w:szCs w:val="22"/>
        </w:rPr>
        <w:t xml:space="preserve">unit labor costs </w:t>
      </w:r>
      <w:r>
        <w:rPr>
          <w:rFonts w:ascii="Garamond" w:hAnsi="Garamond"/>
          <w:sz w:val="22"/>
          <w:szCs w:val="22"/>
        </w:rPr>
        <w:t>remained unchanged,</w:t>
      </w:r>
      <w:r w:rsidR="00327812" w:rsidRPr="0076770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with </w:t>
      </w:r>
      <w:r w:rsidRPr="0076770D">
        <w:rPr>
          <w:rFonts w:ascii="Garamond" w:hAnsi="Garamond"/>
          <w:sz w:val="22"/>
          <w:szCs w:val="22"/>
        </w:rPr>
        <w:t>private wage</w:t>
      </w:r>
      <w:r>
        <w:rPr>
          <w:rFonts w:ascii="Garamond" w:hAnsi="Garamond"/>
          <w:sz w:val="22"/>
          <w:szCs w:val="22"/>
        </w:rPr>
        <w:t xml:space="preserve"> growth</w:t>
      </w:r>
      <w:r w:rsidRPr="0076770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pacing in line with </w:t>
      </w:r>
      <w:r w:rsidR="00327812" w:rsidRPr="0076770D">
        <w:rPr>
          <w:rFonts w:ascii="Garamond" w:hAnsi="Garamond"/>
          <w:sz w:val="22"/>
          <w:szCs w:val="22"/>
        </w:rPr>
        <w:t xml:space="preserve">output growth </w:t>
      </w:r>
      <w:r w:rsidR="00327812">
        <w:rPr>
          <w:rFonts w:ascii="Garamond" w:hAnsi="Garamond"/>
          <w:sz w:val="22"/>
          <w:szCs w:val="22"/>
        </w:rPr>
        <w:t xml:space="preserve">over </w:t>
      </w:r>
      <w:r w:rsidR="00327812" w:rsidRPr="0076770D">
        <w:rPr>
          <w:rFonts w:ascii="Garamond" w:hAnsi="Garamond"/>
          <w:sz w:val="22"/>
          <w:szCs w:val="22"/>
        </w:rPr>
        <w:t xml:space="preserve">per unit </w:t>
      </w:r>
      <w:r w:rsidR="00327812">
        <w:rPr>
          <w:rFonts w:ascii="Garamond" w:hAnsi="Garamond"/>
          <w:sz w:val="22"/>
          <w:szCs w:val="22"/>
        </w:rPr>
        <w:t xml:space="preserve">of </w:t>
      </w:r>
      <w:r w:rsidR="00327812" w:rsidRPr="0076770D">
        <w:rPr>
          <w:rFonts w:ascii="Garamond" w:hAnsi="Garamond"/>
          <w:sz w:val="22"/>
          <w:szCs w:val="22"/>
        </w:rPr>
        <w:t>labor</w:t>
      </w:r>
      <w:r>
        <w:rPr>
          <w:rFonts w:ascii="Garamond" w:hAnsi="Garamond"/>
          <w:sz w:val="22"/>
          <w:szCs w:val="22"/>
        </w:rPr>
        <w:t xml:space="preserve">, thanks to which </w:t>
      </w:r>
      <w:r w:rsidRPr="00DE2125">
        <w:rPr>
          <w:rFonts w:ascii="Garamond" w:hAnsi="Garamond"/>
          <w:sz w:val="22"/>
          <w:szCs w:val="22"/>
        </w:rPr>
        <w:t>inflationary pressures from the labor market</w:t>
      </w:r>
      <w:r>
        <w:rPr>
          <w:rFonts w:ascii="Garamond" w:hAnsi="Garamond"/>
          <w:sz w:val="22"/>
          <w:szCs w:val="22"/>
        </w:rPr>
        <w:t xml:space="preserve"> are not observable.</w:t>
      </w:r>
      <w:r w:rsidR="00327812">
        <w:rPr>
          <w:rFonts w:ascii="Garamond" w:hAnsi="Garamond"/>
          <w:sz w:val="22"/>
          <w:szCs w:val="22"/>
        </w:rPr>
        <w:t xml:space="preserve"> </w:t>
      </w:r>
    </w:p>
    <w:p w14:paraId="02D17A57" w14:textId="77777777" w:rsidR="00DE2125" w:rsidRDefault="00DE2125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</w:p>
    <w:p w14:paraId="394F1F31" w14:textId="77777777" w:rsidR="00242EA6" w:rsidRPr="00EE5F0F" w:rsidRDefault="00242EA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color w:val="0070C0"/>
          <w:sz w:val="22"/>
          <w:szCs w:val="22"/>
        </w:rPr>
        <w:t>3.3. Financial market developments</w:t>
      </w:r>
    </w:p>
    <w:p w14:paraId="2B6C6E80" w14:textId="77777777" w:rsidR="00EB618D" w:rsidRPr="00EE5F0F" w:rsidRDefault="00242EA6" w:rsidP="00EB618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 w:rsidRPr="00EE5F0F">
        <w:rPr>
          <w:rFonts w:ascii="Garamond" w:hAnsi="Garamond"/>
          <w:b/>
          <w:sz w:val="22"/>
          <w:szCs w:val="22"/>
        </w:rPr>
        <w:t xml:space="preserve">In the </w:t>
      </w:r>
      <w:r w:rsidR="00DE2125">
        <w:rPr>
          <w:rFonts w:ascii="Garamond" w:hAnsi="Garamond"/>
          <w:b/>
          <w:sz w:val="22"/>
          <w:szCs w:val="22"/>
        </w:rPr>
        <w:t>third</w:t>
      </w:r>
      <w:r w:rsidRPr="00EE5F0F">
        <w:rPr>
          <w:rFonts w:ascii="Garamond" w:hAnsi="Garamond"/>
          <w:b/>
          <w:sz w:val="22"/>
          <w:szCs w:val="22"/>
        </w:rPr>
        <w:t xml:space="preserve"> quarter of 201</w:t>
      </w:r>
      <w:r w:rsidR="00912BAE">
        <w:rPr>
          <w:rFonts w:ascii="Garamond" w:hAnsi="Garamond"/>
          <w:b/>
          <w:sz w:val="22"/>
          <w:szCs w:val="22"/>
        </w:rPr>
        <w:t>9</w:t>
      </w:r>
      <w:r w:rsidR="006C13A6">
        <w:rPr>
          <w:rFonts w:ascii="Garamond" w:hAnsi="Garamond"/>
          <w:b/>
          <w:sz w:val="22"/>
          <w:szCs w:val="22"/>
        </w:rPr>
        <w:t>,</w:t>
      </w:r>
      <w:r w:rsidRPr="00EE5F0F">
        <w:rPr>
          <w:rFonts w:ascii="Garamond" w:hAnsi="Garamond"/>
          <w:b/>
          <w:sz w:val="22"/>
          <w:szCs w:val="22"/>
        </w:rPr>
        <w:t xml:space="preserve"> the </w:t>
      </w:r>
      <w:r w:rsidR="00113D70">
        <w:rPr>
          <w:rFonts w:ascii="Garamond" w:hAnsi="Garamond"/>
          <w:b/>
          <w:sz w:val="22"/>
          <w:szCs w:val="22"/>
        </w:rPr>
        <w:t xml:space="preserve">Board of the </w:t>
      </w:r>
      <w:r w:rsidRPr="00EE5F0F">
        <w:rPr>
          <w:rFonts w:ascii="Garamond" w:hAnsi="Garamond"/>
          <w:b/>
          <w:sz w:val="22"/>
          <w:szCs w:val="22"/>
        </w:rPr>
        <w:t>Central Bank</w:t>
      </w:r>
      <w:r w:rsidR="00113D70">
        <w:rPr>
          <w:rFonts w:ascii="Garamond" w:hAnsi="Garamond"/>
          <w:b/>
          <w:sz w:val="22"/>
          <w:szCs w:val="22"/>
        </w:rPr>
        <w:t xml:space="preserve"> </w:t>
      </w:r>
      <w:r w:rsidR="00DE2125">
        <w:rPr>
          <w:rFonts w:ascii="Garamond" w:hAnsi="Garamond"/>
          <w:b/>
          <w:sz w:val="22"/>
          <w:szCs w:val="22"/>
        </w:rPr>
        <w:t>cut</w:t>
      </w:r>
      <w:r w:rsidR="00D72493">
        <w:rPr>
          <w:rFonts w:ascii="Garamond" w:hAnsi="Garamond"/>
          <w:b/>
          <w:sz w:val="22"/>
          <w:szCs w:val="22"/>
        </w:rPr>
        <w:t xml:space="preserve"> </w:t>
      </w:r>
      <w:r w:rsidRPr="00EE5F0F">
        <w:rPr>
          <w:rFonts w:ascii="Garamond" w:hAnsi="Garamond"/>
          <w:b/>
          <w:sz w:val="22"/>
          <w:szCs w:val="22"/>
        </w:rPr>
        <w:t xml:space="preserve">the refinancing rate </w:t>
      </w:r>
      <w:r w:rsidR="00EB618D">
        <w:rPr>
          <w:rFonts w:ascii="Garamond" w:hAnsi="Garamond"/>
          <w:b/>
          <w:sz w:val="22"/>
          <w:szCs w:val="22"/>
        </w:rPr>
        <w:t xml:space="preserve">by 0.25 pp to </w:t>
      </w:r>
      <w:r w:rsidR="00113D70">
        <w:rPr>
          <w:rFonts w:ascii="Garamond" w:hAnsi="Garamond"/>
          <w:b/>
          <w:sz w:val="22"/>
          <w:szCs w:val="22"/>
        </w:rPr>
        <w:t>5.5%</w:t>
      </w:r>
      <w:r w:rsidRPr="00EE5F0F">
        <w:rPr>
          <w:rFonts w:ascii="Garamond" w:hAnsi="Garamond"/>
          <w:b/>
          <w:sz w:val="22"/>
          <w:szCs w:val="22"/>
        </w:rPr>
        <w:t>.</w:t>
      </w:r>
      <w:r w:rsidR="00334AFE" w:rsidRPr="00EE5F0F">
        <w:rPr>
          <w:rFonts w:ascii="Garamond" w:hAnsi="Garamond"/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EB618D" w:rsidRPr="00AB24C1" w14:paraId="6B59C2E6" w14:textId="77777777" w:rsidTr="00EB618D">
        <w:trPr>
          <w:trHeight w:val="719"/>
        </w:trPr>
        <w:tc>
          <w:tcPr>
            <w:tcW w:w="6204" w:type="dxa"/>
          </w:tcPr>
          <w:p w14:paraId="79D7EADB" w14:textId="77777777" w:rsidR="00EB618D" w:rsidRPr="00536FF2" w:rsidRDefault="00EB618D" w:rsidP="00EB618D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Garamond" w:hAnsi="Garamond"/>
                <w:color w:val="0070C0"/>
                <w:sz w:val="20"/>
                <w:szCs w:val="20"/>
              </w:rPr>
            </w:pPr>
            <w:r w:rsidRPr="00536FF2">
              <w:rPr>
                <w:rFonts w:ascii="Garamond" w:hAnsi="Garamond"/>
                <w:color w:val="0070C0"/>
                <w:sz w:val="20"/>
                <w:szCs w:val="20"/>
              </w:rPr>
              <w:t xml:space="preserve">The 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>refinancing rate was reduced by 0.25 pp to 5.5% in the third quarter of 2019</w:t>
            </w:r>
            <w:r w:rsidRPr="00A735E1">
              <w:rPr>
                <w:rFonts w:ascii="Garamond" w:hAnsi="Garamond"/>
                <w:color w:val="0070C0"/>
                <w:sz w:val="20"/>
                <w:szCs w:val="20"/>
              </w:rPr>
              <w:t>.</w:t>
            </w:r>
            <w:r>
              <w:rPr>
                <w:rFonts w:ascii="Garamond" w:hAnsi="Garamond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6D96EEC2" w14:textId="77777777" w:rsidR="00EB618D" w:rsidRDefault="00EB618D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52527665" w14:textId="77777777" w:rsidR="00C00DF3" w:rsidRDefault="00BE3246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Pr="00BE3246">
        <w:rPr>
          <w:rFonts w:ascii="Garamond" w:hAnsi="Garamond"/>
          <w:sz w:val="22"/>
          <w:szCs w:val="22"/>
        </w:rPr>
        <w:t>he</w:t>
      </w:r>
      <w:r w:rsidR="006C13A6">
        <w:rPr>
          <w:rFonts w:ascii="Garamond" w:hAnsi="Garamond"/>
          <w:sz w:val="22"/>
          <w:szCs w:val="22"/>
        </w:rPr>
        <w:t xml:space="preserve"> decision </w:t>
      </w:r>
      <w:r w:rsidR="00DF7937">
        <w:rPr>
          <w:rFonts w:ascii="Garamond" w:hAnsi="Garamond"/>
          <w:sz w:val="22"/>
          <w:szCs w:val="22"/>
        </w:rPr>
        <w:t xml:space="preserve">to cut the policy rate </w:t>
      </w:r>
      <w:r w:rsidR="00EB618D">
        <w:rPr>
          <w:rFonts w:ascii="Garamond" w:hAnsi="Garamond"/>
          <w:sz w:val="22"/>
          <w:szCs w:val="22"/>
        </w:rPr>
        <w:t xml:space="preserve">came in </w:t>
      </w:r>
      <w:r w:rsidR="007F53A2" w:rsidRPr="00DF7937">
        <w:rPr>
          <w:rFonts w:ascii="Garamond" w:hAnsi="Garamond"/>
          <w:sz w:val="22"/>
          <w:szCs w:val="22"/>
        </w:rPr>
        <w:t>consider</w:t>
      </w:r>
      <w:r w:rsidR="00EB618D" w:rsidRPr="00DF7937">
        <w:rPr>
          <w:rFonts w:ascii="Garamond" w:hAnsi="Garamond"/>
          <w:sz w:val="22"/>
          <w:szCs w:val="22"/>
        </w:rPr>
        <w:t>ation</w:t>
      </w:r>
      <w:r w:rsidR="00EB618D">
        <w:rPr>
          <w:rFonts w:ascii="Garamond" w:hAnsi="Garamond"/>
          <w:sz w:val="22"/>
          <w:szCs w:val="22"/>
        </w:rPr>
        <w:t xml:space="preserve"> of </w:t>
      </w:r>
      <w:r w:rsidR="00DF7937">
        <w:rPr>
          <w:rFonts w:ascii="Garamond" w:hAnsi="Garamond"/>
          <w:sz w:val="22"/>
          <w:szCs w:val="22"/>
        </w:rPr>
        <w:t>de</w:t>
      </w:r>
      <w:r w:rsidR="007F53A2" w:rsidRPr="007F53A2">
        <w:rPr>
          <w:rFonts w:ascii="Garamond" w:hAnsi="Garamond"/>
          <w:sz w:val="22"/>
          <w:szCs w:val="22"/>
        </w:rPr>
        <w:t xml:space="preserve">flationary </w:t>
      </w:r>
      <w:r w:rsidR="007F53A2">
        <w:rPr>
          <w:rFonts w:ascii="Garamond" w:hAnsi="Garamond"/>
          <w:sz w:val="22"/>
          <w:szCs w:val="22"/>
        </w:rPr>
        <w:t>effects</w:t>
      </w:r>
      <w:r w:rsidR="004D54D5">
        <w:rPr>
          <w:rFonts w:ascii="Garamond" w:hAnsi="Garamond"/>
          <w:sz w:val="22"/>
          <w:szCs w:val="22"/>
        </w:rPr>
        <w:t>,</w:t>
      </w:r>
      <w:r w:rsidR="007F53A2">
        <w:rPr>
          <w:rFonts w:ascii="Garamond" w:hAnsi="Garamond"/>
          <w:sz w:val="22"/>
          <w:szCs w:val="22"/>
        </w:rPr>
        <w:t xml:space="preserve"> </w:t>
      </w:r>
      <w:r w:rsidR="00DF7937">
        <w:rPr>
          <w:rFonts w:ascii="Garamond" w:hAnsi="Garamond"/>
          <w:sz w:val="22"/>
          <w:szCs w:val="22"/>
        </w:rPr>
        <w:t xml:space="preserve">transmitting </w:t>
      </w:r>
      <w:r w:rsidR="007F53A2" w:rsidRPr="007F53A2">
        <w:rPr>
          <w:rFonts w:ascii="Garamond" w:hAnsi="Garamond"/>
          <w:sz w:val="22"/>
          <w:szCs w:val="22"/>
        </w:rPr>
        <w:t xml:space="preserve">from the external </w:t>
      </w:r>
      <w:r w:rsidR="007F53A2">
        <w:rPr>
          <w:rFonts w:ascii="Garamond" w:hAnsi="Garamond"/>
          <w:sz w:val="22"/>
          <w:szCs w:val="22"/>
        </w:rPr>
        <w:t>sector</w:t>
      </w:r>
      <w:r w:rsidR="004D54D5">
        <w:rPr>
          <w:rFonts w:ascii="Garamond" w:hAnsi="Garamond"/>
          <w:sz w:val="22"/>
          <w:szCs w:val="22"/>
        </w:rPr>
        <w:t>,</w:t>
      </w:r>
      <w:r w:rsidR="007F53A2">
        <w:rPr>
          <w:rFonts w:ascii="Garamond" w:hAnsi="Garamond"/>
          <w:sz w:val="22"/>
          <w:szCs w:val="22"/>
        </w:rPr>
        <w:t xml:space="preserve"> </w:t>
      </w:r>
      <w:r w:rsidR="007F53A2" w:rsidRPr="007F53A2">
        <w:rPr>
          <w:rFonts w:ascii="Garamond" w:hAnsi="Garamond"/>
          <w:sz w:val="22"/>
          <w:szCs w:val="22"/>
        </w:rPr>
        <w:t xml:space="preserve">and </w:t>
      </w:r>
      <w:r w:rsidR="00DF7937">
        <w:rPr>
          <w:rFonts w:ascii="Garamond" w:hAnsi="Garamond"/>
          <w:sz w:val="22"/>
          <w:szCs w:val="22"/>
        </w:rPr>
        <w:t>the pace of the fiscal policy. On th</w:t>
      </w:r>
      <w:r w:rsidR="007F53A2" w:rsidRPr="007F53A2">
        <w:rPr>
          <w:rFonts w:ascii="Garamond" w:hAnsi="Garamond"/>
          <w:sz w:val="22"/>
          <w:szCs w:val="22"/>
        </w:rPr>
        <w:t xml:space="preserve">e other hand, </w:t>
      </w:r>
      <w:r w:rsidR="00DF7937">
        <w:rPr>
          <w:rFonts w:ascii="Garamond" w:hAnsi="Garamond"/>
          <w:sz w:val="22"/>
          <w:szCs w:val="22"/>
        </w:rPr>
        <w:t xml:space="preserve">the </w:t>
      </w:r>
      <w:r w:rsidR="00DF7937" w:rsidRPr="00DF7937">
        <w:rPr>
          <w:rFonts w:ascii="Garamond" w:hAnsi="Garamond"/>
          <w:sz w:val="22"/>
          <w:szCs w:val="22"/>
        </w:rPr>
        <w:t xml:space="preserve">inflation and inflation expectations </w:t>
      </w:r>
      <w:r w:rsidR="00DF7937">
        <w:rPr>
          <w:rFonts w:ascii="Garamond" w:hAnsi="Garamond"/>
          <w:sz w:val="22"/>
          <w:szCs w:val="22"/>
        </w:rPr>
        <w:t xml:space="preserve">recovering </w:t>
      </w:r>
      <w:r w:rsidR="00DF7937" w:rsidRPr="00DF7937">
        <w:rPr>
          <w:rFonts w:ascii="Garamond" w:hAnsi="Garamond"/>
          <w:sz w:val="22"/>
          <w:szCs w:val="22"/>
        </w:rPr>
        <w:t>gradual</w:t>
      </w:r>
      <w:r w:rsidR="00DF7937">
        <w:rPr>
          <w:rFonts w:ascii="Garamond" w:hAnsi="Garamond"/>
          <w:sz w:val="22"/>
          <w:szCs w:val="22"/>
        </w:rPr>
        <w:t>ly w</w:t>
      </w:r>
      <w:r w:rsidR="00DF7937" w:rsidRPr="00DF7937">
        <w:rPr>
          <w:rFonts w:ascii="Garamond" w:hAnsi="Garamond"/>
          <w:sz w:val="22"/>
          <w:szCs w:val="22"/>
        </w:rPr>
        <w:t xml:space="preserve">as highlighted </w:t>
      </w:r>
      <w:r w:rsidR="00DF7937">
        <w:rPr>
          <w:rFonts w:ascii="Garamond" w:hAnsi="Garamond"/>
          <w:sz w:val="22"/>
          <w:szCs w:val="22"/>
        </w:rPr>
        <w:t xml:space="preserve">as </w:t>
      </w:r>
      <w:r w:rsidR="007F53A2" w:rsidRPr="007F53A2">
        <w:rPr>
          <w:rFonts w:ascii="Garamond" w:hAnsi="Garamond"/>
          <w:sz w:val="22"/>
          <w:szCs w:val="22"/>
        </w:rPr>
        <w:t>low inflation</w:t>
      </w:r>
      <w:r w:rsidR="00DF7937">
        <w:rPr>
          <w:rFonts w:ascii="Garamond" w:hAnsi="Garamond"/>
          <w:sz w:val="22"/>
          <w:szCs w:val="22"/>
        </w:rPr>
        <w:t xml:space="preserve"> </w:t>
      </w:r>
      <w:r w:rsidR="007F53A2" w:rsidRPr="007F53A2">
        <w:rPr>
          <w:rFonts w:ascii="Garamond" w:hAnsi="Garamond"/>
          <w:sz w:val="22"/>
          <w:szCs w:val="22"/>
        </w:rPr>
        <w:t>contributes to anchoring long-term inflation expectations and maintainin</w:t>
      </w:r>
      <w:r w:rsidR="007F53A2">
        <w:rPr>
          <w:rFonts w:ascii="Garamond" w:hAnsi="Garamond"/>
          <w:sz w:val="22"/>
          <w:szCs w:val="22"/>
        </w:rPr>
        <w:t xml:space="preserve">g </w:t>
      </w:r>
      <w:r w:rsidR="007F53A2" w:rsidRPr="007F53A2">
        <w:rPr>
          <w:rFonts w:ascii="Garamond" w:hAnsi="Garamond"/>
          <w:sz w:val="22"/>
          <w:szCs w:val="22"/>
        </w:rPr>
        <w:t>purchasing power</w:t>
      </w:r>
      <w:r w:rsidR="007F53A2">
        <w:rPr>
          <w:rFonts w:ascii="Garamond" w:hAnsi="Garamond"/>
          <w:sz w:val="22"/>
          <w:szCs w:val="22"/>
        </w:rPr>
        <w:t xml:space="preserve"> of income</w:t>
      </w:r>
      <w:r w:rsidR="007F53A2" w:rsidRPr="007F53A2">
        <w:rPr>
          <w:rFonts w:ascii="Garamond" w:hAnsi="Garamond"/>
          <w:sz w:val="22"/>
          <w:szCs w:val="22"/>
        </w:rPr>
        <w:t>.</w:t>
      </w:r>
      <w:r w:rsidR="007F53A2">
        <w:rPr>
          <w:rFonts w:ascii="Garamond" w:hAnsi="Garamond"/>
          <w:sz w:val="22"/>
          <w:szCs w:val="22"/>
        </w:rPr>
        <w:t xml:space="preserve"> </w:t>
      </w:r>
      <w:r w:rsidR="00554DB9">
        <w:rPr>
          <w:rFonts w:ascii="Garamond" w:hAnsi="Garamond"/>
          <w:sz w:val="22"/>
          <w:szCs w:val="22"/>
        </w:rPr>
        <w:t>T</w:t>
      </w:r>
      <w:r w:rsidR="00C00DF3" w:rsidRPr="00303988">
        <w:rPr>
          <w:rFonts w:ascii="Garamond" w:hAnsi="Garamond"/>
          <w:sz w:val="22"/>
          <w:szCs w:val="22"/>
        </w:rPr>
        <w:t>he C</w:t>
      </w:r>
      <w:r w:rsidR="00C00DF3">
        <w:rPr>
          <w:rFonts w:ascii="Garamond" w:hAnsi="Garamond"/>
          <w:sz w:val="22"/>
          <w:szCs w:val="22"/>
        </w:rPr>
        <w:t xml:space="preserve">entral </w:t>
      </w:r>
      <w:r w:rsidR="00C00DF3" w:rsidRPr="00303988">
        <w:rPr>
          <w:rFonts w:ascii="Garamond" w:hAnsi="Garamond"/>
          <w:sz w:val="22"/>
          <w:szCs w:val="22"/>
        </w:rPr>
        <w:t>B</w:t>
      </w:r>
      <w:r w:rsidR="00C00DF3">
        <w:rPr>
          <w:rFonts w:ascii="Garamond" w:hAnsi="Garamond"/>
          <w:sz w:val="22"/>
          <w:szCs w:val="22"/>
        </w:rPr>
        <w:t>ank</w:t>
      </w:r>
      <w:r w:rsidR="00C00DF3" w:rsidRPr="00303988">
        <w:rPr>
          <w:rFonts w:ascii="Garamond" w:hAnsi="Garamond"/>
          <w:sz w:val="22"/>
          <w:szCs w:val="22"/>
        </w:rPr>
        <w:t xml:space="preserve"> </w:t>
      </w:r>
      <w:r w:rsidR="00554DB9">
        <w:rPr>
          <w:rFonts w:ascii="Garamond" w:hAnsi="Garamond"/>
          <w:sz w:val="22"/>
          <w:szCs w:val="22"/>
        </w:rPr>
        <w:t xml:space="preserve">continued </w:t>
      </w:r>
      <w:r w:rsidR="00C00DF3">
        <w:rPr>
          <w:rFonts w:ascii="Garamond" w:hAnsi="Garamond"/>
          <w:sz w:val="22"/>
          <w:szCs w:val="22"/>
        </w:rPr>
        <w:t>signal</w:t>
      </w:r>
      <w:r w:rsidR="00554DB9">
        <w:rPr>
          <w:rFonts w:ascii="Garamond" w:hAnsi="Garamond"/>
          <w:sz w:val="22"/>
          <w:szCs w:val="22"/>
        </w:rPr>
        <w:t xml:space="preserve">ing </w:t>
      </w:r>
      <w:r w:rsidR="00C00DF3" w:rsidRPr="00303988">
        <w:rPr>
          <w:rFonts w:ascii="Garamond" w:hAnsi="Garamond"/>
          <w:sz w:val="22"/>
          <w:szCs w:val="22"/>
        </w:rPr>
        <w:t xml:space="preserve">the financial market </w:t>
      </w:r>
      <w:r w:rsidR="00AA7DF1">
        <w:rPr>
          <w:rFonts w:ascii="Garamond" w:hAnsi="Garamond"/>
          <w:sz w:val="22"/>
          <w:szCs w:val="22"/>
        </w:rPr>
        <w:t>participants that, in view of predicted macroeconomic developments, the monetary conditions would remain</w:t>
      </w:r>
      <w:r w:rsidR="00280AD1">
        <w:rPr>
          <w:rFonts w:ascii="Garamond" w:hAnsi="Garamond"/>
          <w:sz w:val="22"/>
          <w:szCs w:val="22"/>
        </w:rPr>
        <w:t xml:space="preserve"> </w:t>
      </w:r>
      <w:r w:rsidR="00AA7DF1">
        <w:rPr>
          <w:rFonts w:ascii="Garamond" w:hAnsi="Garamond"/>
          <w:sz w:val="22"/>
          <w:szCs w:val="22"/>
        </w:rPr>
        <w:t xml:space="preserve">expansionary </w:t>
      </w:r>
      <w:r w:rsidR="00280AD1">
        <w:rPr>
          <w:rFonts w:ascii="Garamond" w:hAnsi="Garamond"/>
          <w:sz w:val="22"/>
          <w:szCs w:val="22"/>
        </w:rPr>
        <w:t>for as long a period as required, in order to fulfil the mid-term inflation target</w:t>
      </w:r>
      <w:r w:rsidR="00AA7DF1">
        <w:rPr>
          <w:rFonts w:ascii="Garamond" w:hAnsi="Garamond"/>
          <w:sz w:val="22"/>
          <w:szCs w:val="22"/>
        </w:rPr>
        <w:t>.</w:t>
      </w:r>
    </w:p>
    <w:p w14:paraId="4094EC83" w14:textId="77777777" w:rsidR="00194EA3" w:rsidRPr="00EE5F0F" w:rsidRDefault="00280AD1" w:rsidP="00242EA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color w:val="C00000"/>
          <w:sz w:val="22"/>
          <w:szCs w:val="22"/>
        </w:rPr>
        <w:t>Table 6</w:t>
      </w:r>
      <w:r w:rsidR="00194EA3">
        <w:rPr>
          <w:rFonts w:ascii="Garamond" w:hAnsi="Garamond"/>
          <w:b/>
          <w:color w:val="C00000"/>
          <w:sz w:val="22"/>
          <w:szCs w:val="22"/>
        </w:rPr>
        <w:t>:</w:t>
      </w:r>
    </w:p>
    <w:p w14:paraId="2C42460B" w14:textId="77777777" w:rsidR="001C08CC" w:rsidRDefault="00BB4BFB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In the </w:t>
      </w:r>
      <w:r w:rsidR="00280AD1">
        <w:rPr>
          <w:rFonts w:ascii="Garamond" w:hAnsi="Garamond"/>
          <w:sz w:val="22"/>
          <w:szCs w:val="22"/>
        </w:rPr>
        <w:t>third</w:t>
      </w:r>
      <w:r>
        <w:rPr>
          <w:rFonts w:ascii="Garamond" w:hAnsi="Garamond"/>
          <w:sz w:val="22"/>
          <w:szCs w:val="22"/>
        </w:rPr>
        <w:t xml:space="preserve"> quarter of 2019 s</w:t>
      </w:r>
      <w:r w:rsidR="00747F05" w:rsidRPr="00747F05">
        <w:rPr>
          <w:rFonts w:ascii="Garamond" w:hAnsi="Garamond"/>
          <w:sz w:val="22"/>
          <w:szCs w:val="22"/>
        </w:rPr>
        <w:t xml:space="preserve">hort-term </w:t>
      </w:r>
      <w:r w:rsidR="00747F05">
        <w:rPr>
          <w:rFonts w:ascii="Garamond" w:hAnsi="Garamond"/>
          <w:sz w:val="22"/>
          <w:szCs w:val="22"/>
        </w:rPr>
        <w:t xml:space="preserve">money market rates </w:t>
      </w:r>
      <w:r>
        <w:rPr>
          <w:rFonts w:ascii="Garamond" w:hAnsi="Garamond"/>
          <w:sz w:val="22"/>
          <w:szCs w:val="22"/>
        </w:rPr>
        <w:t>dropped</w:t>
      </w:r>
      <w:r w:rsidR="00280AD1">
        <w:rPr>
          <w:rFonts w:ascii="Garamond" w:hAnsi="Garamond"/>
          <w:sz w:val="22"/>
          <w:szCs w:val="22"/>
        </w:rPr>
        <w:t>, in line with the policy rate cut by</w:t>
      </w:r>
      <w:r w:rsidR="00747F05">
        <w:rPr>
          <w:rFonts w:ascii="Garamond" w:hAnsi="Garamond"/>
          <w:sz w:val="22"/>
          <w:szCs w:val="22"/>
        </w:rPr>
        <w:t xml:space="preserve"> the Central Bank. T</w:t>
      </w:r>
      <w:r w:rsidR="00747F05" w:rsidRPr="00EE5F0F">
        <w:rPr>
          <w:rFonts w:ascii="Garamond" w:hAnsi="Garamond"/>
          <w:sz w:val="22"/>
          <w:szCs w:val="22"/>
        </w:rPr>
        <w:t xml:space="preserve">he </w:t>
      </w:r>
      <w:r w:rsidR="00747F05">
        <w:rPr>
          <w:rFonts w:ascii="Garamond" w:hAnsi="Garamond"/>
          <w:sz w:val="22"/>
          <w:szCs w:val="22"/>
        </w:rPr>
        <w:t xml:space="preserve">quarterly </w:t>
      </w:r>
      <w:r w:rsidR="00747F05" w:rsidRPr="00EE5F0F">
        <w:rPr>
          <w:rFonts w:ascii="Garamond" w:hAnsi="Garamond"/>
          <w:sz w:val="22"/>
          <w:szCs w:val="22"/>
        </w:rPr>
        <w:t xml:space="preserve">interbank repo </w:t>
      </w:r>
      <w:r w:rsidR="00747F05">
        <w:rPr>
          <w:rFonts w:ascii="Garamond" w:hAnsi="Garamond"/>
          <w:sz w:val="22"/>
          <w:szCs w:val="22"/>
        </w:rPr>
        <w:t xml:space="preserve">(up to 7-day) </w:t>
      </w:r>
      <w:r w:rsidR="00747F05" w:rsidRPr="00EE5F0F">
        <w:rPr>
          <w:rFonts w:ascii="Garamond" w:hAnsi="Garamond"/>
          <w:sz w:val="22"/>
          <w:szCs w:val="22"/>
        </w:rPr>
        <w:t xml:space="preserve">rate </w:t>
      </w:r>
      <w:r w:rsidR="00DE49E1">
        <w:rPr>
          <w:rFonts w:ascii="Garamond" w:hAnsi="Garamond"/>
          <w:sz w:val="22"/>
          <w:szCs w:val="22"/>
        </w:rPr>
        <w:t xml:space="preserve">fell to </w:t>
      </w:r>
      <w:r w:rsidR="002966E3">
        <w:rPr>
          <w:rFonts w:ascii="Garamond" w:hAnsi="Garamond"/>
          <w:sz w:val="22"/>
          <w:szCs w:val="22"/>
        </w:rPr>
        <w:t>5</w:t>
      </w:r>
      <w:r w:rsidR="00747F05" w:rsidRPr="00EE5F0F">
        <w:rPr>
          <w:rFonts w:ascii="Garamond" w:hAnsi="Garamond"/>
          <w:sz w:val="22"/>
          <w:szCs w:val="22"/>
        </w:rPr>
        <w:t>.</w:t>
      </w:r>
      <w:r w:rsidR="00280AD1">
        <w:rPr>
          <w:rFonts w:ascii="Garamond" w:hAnsi="Garamond"/>
          <w:sz w:val="22"/>
          <w:szCs w:val="22"/>
        </w:rPr>
        <w:t>78</w:t>
      </w:r>
      <w:r w:rsidR="00747F05" w:rsidRPr="00EE5F0F">
        <w:rPr>
          <w:rFonts w:ascii="Garamond" w:hAnsi="Garamond"/>
          <w:sz w:val="22"/>
          <w:szCs w:val="22"/>
        </w:rPr>
        <w:t>%</w:t>
      </w:r>
      <w:r w:rsidR="00747F05">
        <w:rPr>
          <w:rFonts w:ascii="Garamond" w:hAnsi="Garamond"/>
          <w:sz w:val="22"/>
          <w:szCs w:val="22"/>
        </w:rPr>
        <w:t>.</w:t>
      </w:r>
      <w:r w:rsidR="002966E3">
        <w:rPr>
          <w:rFonts w:ascii="Garamond" w:hAnsi="Garamond"/>
          <w:sz w:val="22"/>
          <w:szCs w:val="22"/>
        </w:rPr>
        <w:t xml:space="preserve"> </w:t>
      </w:r>
      <w:r w:rsidR="00280AD1" w:rsidRPr="00280AD1">
        <w:rPr>
          <w:rFonts w:ascii="Garamond" w:hAnsi="Garamond"/>
          <w:sz w:val="22"/>
          <w:szCs w:val="22"/>
        </w:rPr>
        <w:t xml:space="preserve">The repo rate was 5.68% in September, </w:t>
      </w:r>
      <w:r w:rsidR="00280AD1">
        <w:rPr>
          <w:rFonts w:ascii="Garamond" w:hAnsi="Garamond"/>
          <w:sz w:val="22"/>
          <w:szCs w:val="22"/>
        </w:rPr>
        <w:t xml:space="preserve">having fallen by </w:t>
      </w:r>
      <w:r w:rsidR="00280AD1" w:rsidRPr="00280AD1">
        <w:rPr>
          <w:rFonts w:ascii="Garamond" w:hAnsi="Garamond"/>
          <w:sz w:val="22"/>
          <w:szCs w:val="22"/>
        </w:rPr>
        <w:t>0.16 p</w:t>
      </w:r>
      <w:r w:rsidR="00280AD1">
        <w:rPr>
          <w:rFonts w:ascii="Garamond" w:hAnsi="Garamond"/>
          <w:sz w:val="22"/>
          <w:szCs w:val="22"/>
        </w:rPr>
        <w:t xml:space="preserve">p against </w:t>
      </w:r>
      <w:r w:rsidR="00280AD1" w:rsidRPr="00280AD1">
        <w:rPr>
          <w:rFonts w:ascii="Garamond" w:hAnsi="Garamond"/>
          <w:sz w:val="22"/>
          <w:szCs w:val="22"/>
        </w:rPr>
        <w:t>June.</w:t>
      </w:r>
      <w:r w:rsidR="00280AD1">
        <w:rPr>
          <w:rFonts w:ascii="Garamond" w:hAnsi="Garamond"/>
          <w:sz w:val="22"/>
          <w:szCs w:val="22"/>
        </w:rPr>
        <w:t xml:space="preserve"> </w:t>
      </w:r>
    </w:p>
    <w:p w14:paraId="0585CF6B" w14:textId="77777777" w:rsidR="00A64428" w:rsidRDefault="00280AD1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 i</w:t>
      </w:r>
      <w:r w:rsidRPr="00280AD1">
        <w:rPr>
          <w:rFonts w:ascii="Garamond" w:hAnsi="Garamond"/>
          <w:sz w:val="22"/>
          <w:szCs w:val="22"/>
        </w:rPr>
        <w:t>nterest rate decline</w:t>
      </w:r>
      <w:r>
        <w:rPr>
          <w:rFonts w:ascii="Garamond" w:hAnsi="Garamond"/>
          <w:sz w:val="22"/>
          <w:szCs w:val="22"/>
        </w:rPr>
        <w:t xml:space="preserve"> was evident </w:t>
      </w:r>
      <w:r w:rsidRPr="00280AD1">
        <w:rPr>
          <w:rFonts w:ascii="Garamond" w:hAnsi="Garamond"/>
          <w:sz w:val="22"/>
          <w:szCs w:val="22"/>
        </w:rPr>
        <w:t>in almost all segments of the financial market</w:t>
      </w:r>
      <w:r>
        <w:rPr>
          <w:rFonts w:ascii="Garamond" w:hAnsi="Garamond"/>
          <w:sz w:val="22"/>
          <w:szCs w:val="22"/>
        </w:rPr>
        <w:t>:</w:t>
      </w:r>
      <w:r w:rsidRPr="00280AD1">
        <w:rPr>
          <w:rFonts w:ascii="Garamond" w:hAnsi="Garamond"/>
          <w:sz w:val="22"/>
          <w:szCs w:val="22"/>
        </w:rPr>
        <w:t xml:space="preserve"> </w:t>
      </w:r>
      <w:r w:rsidR="008D06E2">
        <w:rPr>
          <w:rFonts w:ascii="Garamond" w:hAnsi="Garamond"/>
          <w:sz w:val="22"/>
          <w:szCs w:val="22"/>
        </w:rPr>
        <w:t>i</w:t>
      </w:r>
      <w:r w:rsidR="002D4EB4" w:rsidRPr="003E58CC">
        <w:rPr>
          <w:rFonts w:ascii="Garamond" w:hAnsi="Garamond"/>
          <w:sz w:val="22"/>
          <w:szCs w:val="22"/>
        </w:rPr>
        <w:t>n the government securities market</w:t>
      </w:r>
      <w:r w:rsidR="00D57068">
        <w:rPr>
          <w:rFonts w:ascii="Garamond" w:hAnsi="Garamond"/>
          <w:sz w:val="22"/>
          <w:szCs w:val="22"/>
        </w:rPr>
        <w:t>,</w:t>
      </w:r>
      <w:r w:rsidR="002D4EB4" w:rsidRPr="003E58CC">
        <w:rPr>
          <w:rFonts w:ascii="Garamond" w:hAnsi="Garamond"/>
          <w:sz w:val="22"/>
          <w:szCs w:val="22"/>
        </w:rPr>
        <w:t xml:space="preserve"> </w:t>
      </w:r>
      <w:r w:rsidR="00D57068">
        <w:rPr>
          <w:rFonts w:ascii="Garamond" w:hAnsi="Garamond"/>
          <w:sz w:val="22"/>
          <w:szCs w:val="22"/>
        </w:rPr>
        <w:t xml:space="preserve">yields on </w:t>
      </w:r>
      <w:r w:rsidR="00C61C55" w:rsidRPr="003E58CC">
        <w:rPr>
          <w:rFonts w:ascii="Garamond" w:hAnsi="Garamond"/>
          <w:sz w:val="22"/>
          <w:szCs w:val="22"/>
        </w:rPr>
        <w:t xml:space="preserve">short-term bonds </w:t>
      </w:r>
      <w:r w:rsidR="008D06E2">
        <w:rPr>
          <w:rFonts w:ascii="Garamond" w:hAnsi="Garamond"/>
          <w:sz w:val="22"/>
          <w:szCs w:val="22"/>
        </w:rPr>
        <w:t xml:space="preserve">continued </w:t>
      </w:r>
      <w:r w:rsidR="00D57068">
        <w:rPr>
          <w:rFonts w:ascii="Garamond" w:hAnsi="Garamond"/>
          <w:sz w:val="22"/>
          <w:szCs w:val="22"/>
        </w:rPr>
        <w:t>narrow</w:t>
      </w:r>
      <w:r w:rsidR="008D06E2">
        <w:rPr>
          <w:rFonts w:ascii="Garamond" w:hAnsi="Garamond"/>
          <w:sz w:val="22"/>
          <w:szCs w:val="22"/>
        </w:rPr>
        <w:t>ing d</w:t>
      </w:r>
      <w:r w:rsidR="00D57068" w:rsidRPr="003E58CC">
        <w:rPr>
          <w:rFonts w:ascii="Garamond" w:hAnsi="Garamond"/>
          <w:sz w:val="22"/>
          <w:szCs w:val="22"/>
        </w:rPr>
        <w:t>uring the quarter</w:t>
      </w:r>
      <w:r w:rsidR="008D06E2">
        <w:rPr>
          <w:rFonts w:ascii="Garamond" w:hAnsi="Garamond"/>
          <w:sz w:val="22"/>
          <w:szCs w:val="22"/>
        </w:rPr>
        <w:t>. Government bond yields have reduced along the entire yield curve</w:t>
      </w:r>
      <w:r w:rsidR="00D57068">
        <w:rPr>
          <w:rFonts w:ascii="Garamond" w:hAnsi="Garamond"/>
          <w:sz w:val="22"/>
          <w:szCs w:val="22"/>
        </w:rPr>
        <w:t>,</w:t>
      </w:r>
      <w:r w:rsidR="008D06E2">
        <w:rPr>
          <w:rFonts w:ascii="Garamond" w:hAnsi="Garamond"/>
          <w:sz w:val="22"/>
          <w:szCs w:val="22"/>
        </w:rPr>
        <w:t xml:space="preserve"> reflecting the </w:t>
      </w:r>
      <w:r w:rsidR="008D06E2" w:rsidRPr="008D06E2">
        <w:rPr>
          <w:rFonts w:ascii="Garamond" w:hAnsi="Garamond"/>
          <w:sz w:val="22"/>
          <w:szCs w:val="22"/>
        </w:rPr>
        <w:t>financial market participants</w:t>
      </w:r>
      <w:r w:rsidR="008D06E2">
        <w:rPr>
          <w:rFonts w:ascii="Garamond" w:hAnsi="Garamond"/>
          <w:sz w:val="22"/>
          <w:szCs w:val="22"/>
        </w:rPr>
        <w:t xml:space="preserve">’ expectations over dropping interest rate. Note that </w:t>
      </w:r>
      <w:r w:rsidR="008D06E2" w:rsidRPr="008D06E2">
        <w:rPr>
          <w:rFonts w:ascii="Garamond" w:hAnsi="Garamond"/>
          <w:sz w:val="22"/>
          <w:szCs w:val="22"/>
        </w:rPr>
        <w:t xml:space="preserve">the </w:t>
      </w:r>
      <w:r w:rsidR="008D06E2">
        <w:rPr>
          <w:rFonts w:ascii="Garamond" w:hAnsi="Garamond"/>
          <w:sz w:val="22"/>
          <w:szCs w:val="22"/>
        </w:rPr>
        <w:t>tightening</w:t>
      </w:r>
      <w:r w:rsidR="008D06E2" w:rsidRPr="008D06E2">
        <w:rPr>
          <w:rFonts w:ascii="Garamond" w:hAnsi="Garamond"/>
          <w:sz w:val="22"/>
          <w:szCs w:val="22"/>
        </w:rPr>
        <w:t xml:space="preserve"> </w:t>
      </w:r>
      <w:r w:rsidR="008D06E2">
        <w:rPr>
          <w:rFonts w:ascii="Garamond" w:hAnsi="Garamond"/>
          <w:sz w:val="22"/>
          <w:szCs w:val="22"/>
        </w:rPr>
        <w:t xml:space="preserve">in the </w:t>
      </w:r>
      <w:r w:rsidR="008D06E2" w:rsidRPr="008D06E2">
        <w:rPr>
          <w:rFonts w:ascii="Garamond" w:hAnsi="Garamond"/>
          <w:sz w:val="22"/>
          <w:szCs w:val="22"/>
        </w:rPr>
        <w:t xml:space="preserve">mid-term </w:t>
      </w:r>
      <w:r w:rsidR="008D06E2">
        <w:rPr>
          <w:rFonts w:ascii="Garamond" w:hAnsi="Garamond"/>
          <w:sz w:val="22"/>
          <w:szCs w:val="22"/>
        </w:rPr>
        <w:t>segment of the curve was most pronounced.</w:t>
      </w:r>
      <w:r w:rsidR="00D57068">
        <w:rPr>
          <w:rFonts w:ascii="Garamond" w:hAnsi="Garamond"/>
          <w:sz w:val="22"/>
          <w:szCs w:val="22"/>
        </w:rPr>
        <w:t xml:space="preserve"> </w:t>
      </w:r>
    </w:p>
    <w:p w14:paraId="7972F0EB" w14:textId="77777777" w:rsidR="00DB4258" w:rsidRDefault="005700D5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 the </w:t>
      </w:r>
      <w:r w:rsidR="00A32543">
        <w:rPr>
          <w:rFonts w:ascii="Garamond" w:hAnsi="Garamond"/>
          <w:sz w:val="22"/>
          <w:szCs w:val="22"/>
        </w:rPr>
        <w:t>third quarter of 2019 too,</w:t>
      </w:r>
      <w:r>
        <w:rPr>
          <w:rFonts w:ascii="Garamond" w:hAnsi="Garamond"/>
          <w:sz w:val="22"/>
          <w:szCs w:val="22"/>
        </w:rPr>
        <w:t xml:space="preserve"> </w:t>
      </w:r>
      <w:r w:rsidR="00A32543">
        <w:rPr>
          <w:rFonts w:ascii="Garamond" w:hAnsi="Garamond"/>
          <w:sz w:val="22"/>
          <w:szCs w:val="22"/>
        </w:rPr>
        <w:t xml:space="preserve">moderate lending terms amid </w:t>
      </w:r>
      <w:r>
        <w:rPr>
          <w:rFonts w:ascii="Garamond" w:hAnsi="Garamond"/>
          <w:sz w:val="22"/>
          <w:szCs w:val="22"/>
        </w:rPr>
        <w:t xml:space="preserve">the </w:t>
      </w:r>
      <w:r w:rsidRPr="005700D5">
        <w:rPr>
          <w:rFonts w:ascii="Garamond" w:hAnsi="Garamond"/>
          <w:sz w:val="22"/>
          <w:szCs w:val="22"/>
        </w:rPr>
        <w:t>stimulati</w:t>
      </w:r>
      <w:r>
        <w:rPr>
          <w:rFonts w:ascii="Garamond" w:hAnsi="Garamond"/>
          <w:sz w:val="22"/>
          <w:szCs w:val="22"/>
        </w:rPr>
        <w:t xml:space="preserve">ve </w:t>
      </w:r>
      <w:r w:rsidRPr="005700D5">
        <w:rPr>
          <w:rFonts w:ascii="Garamond" w:hAnsi="Garamond"/>
          <w:sz w:val="22"/>
          <w:szCs w:val="22"/>
        </w:rPr>
        <w:t>monetary policy of the Central Bank</w:t>
      </w:r>
      <w:r>
        <w:rPr>
          <w:rFonts w:ascii="Garamond" w:hAnsi="Garamond"/>
          <w:sz w:val="22"/>
          <w:szCs w:val="22"/>
        </w:rPr>
        <w:t xml:space="preserve"> and adequately </w:t>
      </w:r>
      <w:r w:rsidRPr="005700D5">
        <w:rPr>
          <w:rFonts w:ascii="Garamond" w:hAnsi="Garamond"/>
          <w:sz w:val="22"/>
          <w:szCs w:val="22"/>
        </w:rPr>
        <w:t>capitaliz</w:t>
      </w:r>
      <w:r>
        <w:rPr>
          <w:rFonts w:ascii="Garamond" w:hAnsi="Garamond"/>
          <w:sz w:val="22"/>
          <w:szCs w:val="22"/>
        </w:rPr>
        <w:t xml:space="preserve">ed domestic </w:t>
      </w:r>
      <w:r w:rsidRPr="005700D5">
        <w:rPr>
          <w:rFonts w:ascii="Garamond" w:hAnsi="Garamond"/>
          <w:sz w:val="22"/>
          <w:szCs w:val="22"/>
        </w:rPr>
        <w:t>financial system</w:t>
      </w:r>
      <w:r>
        <w:rPr>
          <w:rFonts w:ascii="Garamond" w:hAnsi="Garamond"/>
          <w:sz w:val="22"/>
          <w:szCs w:val="22"/>
        </w:rPr>
        <w:t xml:space="preserve"> kept on fostering the growth of </w:t>
      </w:r>
      <w:r w:rsidR="00A32543">
        <w:rPr>
          <w:rFonts w:ascii="Garamond" w:hAnsi="Garamond"/>
          <w:sz w:val="22"/>
          <w:szCs w:val="22"/>
        </w:rPr>
        <w:t xml:space="preserve">loans provided by </w:t>
      </w:r>
      <w:r w:rsidRPr="005700D5">
        <w:rPr>
          <w:rFonts w:ascii="Garamond" w:hAnsi="Garamond"/>
          <w:sz w:val="22"/>
          <w:szCs w:val="22"/>
        </w:rPr>
        <w:t xml:space="preserve">financial </w:t>
      </w:r>
      <w:r>
        <w:rPr>
          <w:rFonts w:ascii="Garamond" w:hAnsi="Garamond"/>
          <w:sz w:val="22"/>
          <w:szCs w:val="22"/>
        </w:rPr>
        <w:t>companies</w:t>
      </w:r>
      <w:r w:rsidR="006A39E5">
        <w:rPr>
          <w:rFonts w:ascii="Garamond" w:hAnsi="Garamond"/>
          <w:sz w:val="22"/>
          <w:szCs w:val="22"/>
        </w:rPr>
        <w:t>. Lending pe</w:t>
      </w:r>
      <w:r w:rsidR="004D54D5">
        <w:rPr>
          <w:rFonts w:ascii="Garamond" w:hAnsi="Garamond"/>
          <w:sz w:val="22"/>
          <w:szCs w:val="22"/>
        </w:rPr>
        <w:t xml:space="preserve">rsisted at a high growth rate: </w:t>
      </w:r>
      <w:r w:rsidR="006A39E5">
        <w:rPr>
          <w:rFonts w:ascii="Garamond" w:hAnsi="Garamond"/>
          <w:sz w:val="22"/>
          <w:szCs w:val="22"/>
        </w:rPr>
        <w:t>t</w:t>
      </w:r>
      <w:r w:rsidR="006A39E5" w:rsidRPr="005700D5">
        <w:rPr>
          <w:rFonts w:ascii="Garamond" w:hAnsi="Garamond"/>
          <w:sz w:val="22"/>
          <w:szCs w:val="22"/>
        </w:rPr>
        <w:t xml:space="preserve">he 12-month growth of total lending in </w:t>
      </w:r>
      <w:r w:rsidR="006A39E5">
        <w:rPr>
          <w:rFonts w:ascii="Garamond" w:hAnsi="Garamond"/>
          <w:sz w:val="22"/>
          <w:szCs w:val="22"/>
        </w:rPr>
        <w:t>September of</w:t>
      </w:r>
      <w:r w:rsidR="006A39E5" w:rsidRPr="005700D5">
        <w:rPr>
          <w:rFonts w:ascii="Garamond" w:hAnsi="Garamond"/>
          <w:sz w:val="22"/>
          <w:szCs w:val="22"/>
        </w:rPr>
        <w:t xml:space="preserve"> 2019 was 1</w:t>
      </w:r>
      <w:r w:rsidR="006A39E5">
        <w:rPr>
          <w:rFonts w:ascii="Garamond" w:hAnsi="Garamond"/>
          <w:sz w:val="22"/>
          <w:szCs w:val="22"/>
        </w:rPr>
        <w:t>5</w:t>
      </w:r>
      <w:r w:rsidR="006A39E5" w:rsidRPr="005700D5">
        <w:rPr>
          <w:rFonts w:ascii="Garamond" w:hAnsi="Garamond"/>
          <w:sz w:val="22"/>
          <w:szCs w:val="22"/>
        </w:rPr>
        <w:t>.</w:t>
      </w:r>
      <w:r w:rsidR="006A39E5">
        <w:rPr>
          <w:rFonts w:ascii="Garamond" w:hAnsi="Garamond"/>
          <w:sz w:val="22"/>
          <w:szCs w:val="22"/>
        </w:rPr>
        <w:t>2</w:t>
      </w:r>
      <w:r w:rsidR="006A39E5" w:rsidRPr="005700D5">
        <w:rPr>
          <w:rFonts w:ascii="Garamond" w:hAnsi="Garamond"/>
          <w:sz w:val="22"/>
          <w:szCs w:val="22"/>
        </w:rPr>
        <w:t xml:space="preserve">%, </w:t>
      </w:r>
      <w:r w:rsidR="006A39E5">
        <w:rPr>
          <w:rFonts w:ascii="Garamond" w:hAnsi="Garamond"/>
          <w:sz w:val="22"/>
          <w:szCs w:val="22"/>
        </w:rPr>
        <w:t xml:space="preserve">with </w:t>
      </w:r>
      <w:r w:rsidR="006A39E5" w:rsidRPr="005700D5">
        <w:rPr>
          <w:rFonts w:ascii="Garamond" w:hAnsi="Garamond"/>
          <w:sz w:val="22"/>
          <w:szCs w:val="22"/>
        </w:rPr>
        <w:t xml:space="preserve">consumer and mortgage </w:t>
      </w:r>
      <w:r w:rsidR="006A39E5">
        <w:rPr>
          <w:rFonts w:ascii="Garamond" w:hAnsi="Garamond"/>
          <w:sz w:val="22"/>
          <w:szCs w:val="22"/>
        </w:rPr>
        <w:t>loans</w:t>
      </w:r>
      <w:r w:rsidR="006A39E5" w:rsidRPr="005700D5">
        <w:rPr>
          <w:rFonts w:ascii="Garamond" w:hAnsi="Garamond"/>
          <w:sz w:val="22"/>
          <w:szCs w:val="22"/>
        </w:rPr>
        <w:t xml:space="preserve"> </w:t>
      </w:r>
      <w:r w:rsidR="006A39E5">
        <w:rPr>
          <w:rFonts w:ascii="Garamond" w:hAnsi="Garamond"/>
          <w:sz w:val="22"/>
          <w:szCs w:val="22"/>
        </w:rPr>
        <w:t xml:space="preserve">still </w:t>
      </w:r>
      <w:r w:rsidR="00DB4258">
        <w:rPr>
          <w:rFonts w:ascii="Garamond" w:hAnsi="Garamond"/>
          <w:sz w:val="22"/>
          <w:szCs w:val="22"/>
        </w:rPr>
        <w:t xml:space="preserve">prevailing in total loan portfolio. The level of interest rates of loans remains much the same </w:t>
      </w:r>
      <w:r w:rsidR="00DB4258" w:rsidRPr="00DB4258">
        <w:rPr>
          <w:rFonts w:ascii="Garamond" w:hAnsi="Garamond"/>
          <w:sz w:val="22"/>
          <w:szCs w:val="22"/>
        </w:rPr>
        <w:t>compared to the previous quarter.</w:t>
      </w:r>
    </w:p>
    <w:p w14:paraId="4991584A" w14:textId="77777777" w:rsidR="00966019" w:rsidRDefault="00966019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67F4DE88" w14:textId="77777777" w:rsidR="00966019" w:rsidRDefault="00966019" w:rsidP="00966019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color w:val="0070C0"/>
          <w:sz w:val="22"/>
          <w:szCs w:val="22"/>
        </w:rPr>
      </w:pPr>
      <w:r>
        <w:rPr>
          <w:rFonts w:ascii="Garamond" w:hAnsi="Garamond"/>
          <w:b/>
          <w:color w:val="0070C0"/>
          <w:sz w:val="22"/>
          <w:szCs w:val="22"/>
        </w:rPr>
        <w:t xml:space="preserve">4. </w:t>
      </w:r>
      <w:r w:rsidR="002335C7">
        <w:rPr>
          <w:rFonts w:ascii="Garamond" w:hAnsi="Garamond"/>
          <w:b/>
          <w:color w:val="0070C0"/>
          <w:sz w:val="22"/>
          <w:szCs w:val="22"/>
        </w:rPr>
        <w:t>SUMMING-UP</w:t>
      </w:r>
    </w:p>
    <w:p w14:paraId="3809E478" w14:textId="77777777" w:rsidR="00966019" w:rsidRPr="002335C7" w:rsidRDefault="00966019" w:rsidP="002335C7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</w:t>
      </w:r>
      <w:r w:rsidRPr="00497EA1">
        <w:rPr>
          <w:rFonts w:ascii="Garamond" w:hAnsi="Garamond"/>
          <w:b/>
          <w:sz w:val="22"/>
          <w:szCs w:val="22"/>
        </w:rPr>
        <w:t>he</w:t>
      </w:r>
      <w:r>
        <w:rPr>
          <w:rFonts w:ascii="Garamond" w:hAnsi="Garamond"/>
          <w:b/>
          <w:sz w:val="22"/>
          <w:szCs w:val="22"/>
        </w:rPr>
        <w:t xml:space="preserve"> </w:t>
      </w:r>
      <w:r w:rsidRPr="00497EA1">
        <w:rPr>
          <w:rFonts w:ascii="Garamond" w:hAnsi="Garamond"/>
          <w:b/>
          <w:sz w:val="22"/>
          <w:szCs w:val="22"/>
        </w:rPr>
        <w:t>inflation environment</w:t>
      </w:r>
      <w:r>
        <w:rPr>
          <w:rFonts w:ascii="Garamond" w:hAnsi="Garamond"/>
          <w:b/>
          <w:sz w:val="22"/>
          <w:szCs w:val="22"/>
        </w:rPr>
        <w:t xml:space="preserve"> </w:t>
      </w:r>
      <w:r w:rsidR="002335C7">
        <w:rPr>
          <w:rFonts w:ascii="Garamond" w:hAnsi="Garamond"/>
          <w:b/>
          <w:sz w:val="22"/>
          <w:szCs w:val="22"/>
        </w:rPr>
        <w:t xml:space="preserve">has been low </w:t>
      </w:r>
      <w:r w:rsidR="00D238CB">
        <w:rPr>
          <w:rFonts w:ascii="Garamond" w:hAnsi="Garamond"/>
          <w:b/>
          <w:sz w:val="22"/>
          <w:szCs w:val="22"/>
        </w:rPr>
        <w:t xml:space="preserve">in the course of </w:t>
      </w:r>
      <w:r w:rsidR="002335C7">
        <w:rPr>
          <w:rFonts w:ascii="Garamond" w:hAnsi="Garamond"/>
          <w:b/>
          <w:sz w:val="22"/>
          <w:szCs w:val="22"/>
        </w:rPr>
        <w:t xml:space="preserve">2019, and </w:t>
      </w:r>
      <w:r>
        <w:rPr>
          <w:rFonts w:ascii="Garamond" w:hAnsi="Garamond"/>
          <w:b/>
          <w:sz w:val="22"/>
          <w:szCs w:val="22"/>
        </w:rPr>
        <w:t xml:space="preserve">the Central Bank </w:t>
      </w:r>
      <w:r w:rsidR="002335C7">
        <w:rPr>
          <w:rFonts w:ascii="Garamond" w:hAnsi="Garamond"/>
          <w:b/>
          <w:sz w:val="22"/>
          <w:szCs w:val="22"/>
        </w:rPr>
        <w:t xml:space="preserve">kept on implementing </w:t>
      </w:r>
      <w:r>
        <w:rPr>
          <w:rFonts w:ascii="Garamond" w:hAnsi="Garamond"/>
          <w:b/>
          <w:sz w:val="22"/>
          <w:szCs w:val="22"/>
        </w:rPr>
        <w:t>a</w:t>
      </w:r>
      <w:r w:rsidR="002335C7">
        <w:rPr>
          <w:rFonts w:ascii="Garamond" w:hAnsi="Garamond"/>
          <w:b/>
          <w:sz w:val="22"/>
          <w:szCs w:val="22"/>
        </w:rPr>
        <w:t xml:space="preserve"> stimulative </w:t>
      </w:r>
      <w:r>
        <w:rPr>
          <w:rFonts w:ascii="Garamond" w:hAnsi="Garamond"/>
          <w:b/>
          <w:sz w:val="22"/>
          <w:szCs w:val="22"/>
        </w:rPr>
        <w:t xml:space="preserve">monetary policy. </w:t>
      </w:r>
      <w:r w:rsidR="002335C7">
        <w:rPr>
          <w:rFonts w:ascii="Garamond" w:hAnsi="Garamond"/>
          <w:b/>
          <w:sz w:val="22"/>
          <w:szCs w:val="22"/>
        </w:rPr>
        <w:t>However, letting the</w:t>
      </w:r>
      <w:r w:rsidR="002335C7" w:rsidRPr="002335C7">
        <w:rPr>
          <w:rFonts w:ascii="Garamond" w:hAnsi="Garamond"/>
          <w:b/>
          <w:sz w:val="22"/>
          <w:szCs w:val="22"/>
        </w:rPr>
        <w:t xml:space="preserve"> inflation recover</w:t>
      </w:r>
      <w:r w:rsidR="002335C7">
        <w:rPr>
          <w:rFonts w:ascii="Garamond" w:hAnsi="Garamond"/>
          <w:b/>
          <w:sz w:val="22"/>
          <w:szCs w:val="22"/>
        </w:rPr>
        <w:t xml:space="preserve"> </w:t>
      </w:r>
      <w:r w:rsidR="002335C7" w:rsidRPr="002335C7">
        <w:rPr>
          <w:rFonts w:ascii="Garamond" w:hAnsi="Garamond"/>
          <w:b/>
          <w:sz w:val="22"/>
          <w:szCs w:val="22"/>
        </w:rPr>
        <w:t xml:space="preserve">gradually </w:t>
      </w:r>
      <w:r w:rsidR="00D25EB7">
        <w:rPr>
          <w:rFonts w:ascii="Garamond" w:hAnsi="Garamond"/>
          <w:b/>
          <w:sz w:val="22"/>
          <w:szCs w:val="22"/>
        </w:rPr>
        <w:t xml:space="preserve">has been </w:t>
      </w:r>
      <w:r w:rsidR="00D238CB">
        <w:rPr>
          <w:rFonts w:ascii="Garamond" w:hAnsi="Garamond"/>
          <w:b/>
          <w:sz w:val="22"/>
          <w:szCs w:val="22"/>
        </w:rPr>
        <w:t>the choice of</w:t>
      </w:r>
      <w:r w:rsidR="002335C7">
        <w:rPr>
          <w:rFonts w:ascii="Garamond" w:hAnsi="Garamond"/>
          <w:b/>
          <w:sz w:val="22"/>
          <w:szCs w:val="22"/>
        </w:rPr>
        <w:t xml:space="preserve"> the Central Bank, </w:t>
      </w:r>
      <w:r w:rsidR="002335C7" w:rsidRPr="002335C7">
        <w:rPr>
          <w:rFonts w:ascii="Garamond" w:hAnsi="Garamond"/>
          <w:b/>
          <w:sz w:val="22"/>
          <w:szCs w:val="22"/>
        </w:rPr>
        <w:t>estimat</w:t>
      </w:r>
      <w:r w:rsidR="002335C7">
        <w:rPr>
          <w:rFonts w:ascii="Garamond" w:hAnsi="Garamond"/>
          <w:b/>
          <w:sz w:val="22"/>
          <w:szCs w:val="22"/>
        </w:rPr>
        <w:t>ing</w:t>
      </w:r>
      <w:r w:rsidR="002335C7" w:rsidRPr="002335C7">
        <w:rPr>
          <w:rFonts w:ascii="Garamond" w:hAnsi="Garamond"/>
          <w:b/>
          <w:sz w:val="22"/>
          <w:szCs w:val="22"/>
        </w:rPr>
        <w:t xml:space="preserve"> that </w:t>
      </w:r>
      <w:r w:rsidR="002335C7">
        <w:rPr>
          <w:rFonts w:ascii="Garamond" w:hAnsi="Garamond"/>
          <w:b/>
          <w:sz w:val="22"/>
          <w:szCs w:val="22"/>
        </w:rPr>
        <w:t xml:space="preserve">in a macroeconomic situation </w:t>
      </w:r>
      <w:r w:rsidR="00D238CB">
        <w:rPr>
          <w:rFonts w:ascii="Garamond" w:hAnsi="Garamond"/>
          <w:b/>
          <w:sz w:val="22"/>
          <w:szCs w:val="22"/>
        </w:rPr>
        <w:t xml:space="preserve">of </w:t>
      </w:r>
      <w:r w:rsidR="002335C7">
        <w:rPr>
          <w:rFonts w:ascii="Garamond" w:hAnsi="Garamond"/>
          <w:b/>
          <w:sz w:val="22"/>
          <w:szCs w:val="22"/>
        </w:rPr>
        <w:t xml:space="preserve">that time </w:t>
      </w:r>
      <w:r w:rsidR="002335C7" w:rsidRPr="002335C7">
        <w:rPr>
          <w:rFonts w:ascii="Garamond" w:hAnsi="Garamond"/>
          <w:b/>
          <w:sz w:val="22"/>
          <w:szCs w:val="22"/>
        </w:rPr>
        <w:t>low inflation contribute</w:t>
      </w:r>
      <w:r w:rsidR="002335C7">
        <w:rPr>
          <w:rFonts w:ascii="Garamond" w:hAnsi="Garamond"/>
          <w:b/>
          <w:sz w:val="22"/>
          <w:szCs w:val="22"/>
        </w:rPr>
        <w:t>d</w:t>
      </w:r>
      <w:r w:rsidR="002335C7" w:rsidRPr="002335C7">
        <w:rPr>
          <w:rFonts w:ascii="Garamond" w:hAnsi="Garamond"/>
          <w:b/>
          <w:sz w:val="22"/>
          <w:szCs w:val="22"/>
        </w:rPr>
        <w:t xml:space="preserve"> to anchoring long-term inflation expectations and maintaining the purchasing power of income.</w:t>
      </w:r>
      <w:r w:rsidR="0099133B">
        <w:rPr>
          <w:rFonts w:ascii="Garamond" w:hAnsi="Garamond"/>
          <w:b/>
          <w:sz w:val="22"/>
          <w:szCs w:val="22"/>
        </w:rPr>
        <w:t xml:space="preserve"> The year saw a</w:t>
      </w:r>
      <w:r w:rsidR="0099133B" w:rsidRPr="0099133B">
        <w:rPr>
          <w:rFonts w:ascii="Garamond" w:hAnsi="Garamond"/>
          <w:b/>
          <w:sz w:val="22"/>
          <w:szCs w:val="22"/>
        </w:rPr>
        <w:t xml:space="preserve"> number of deflationary risks </w:t>
      </w:r>
      <w:r w:rsidR="0099133B">
        <w:rPr>
          <w:rFonts w:ascii="Garamond" w:hAnsi="Garamond"/>
          <w:b/>
          <w:sz w:val="22"/>
          <w:szCs w:val="22"/>
        </w:rPr>
        <w:t xml:space="preserve">emerged through a more-than-expected contractionary </w:t>
      </w:r>
      <w:r w:rsidR="0099133B" w:rsidRPr="0099133B">
        <w:rPr>
          <w:rFonts w:ascii="Garamond" w:hAnsi="Garamond"/>
          <w:b/>
          <w:sz w:val="22"/>
          <w:szCs w:val="22"/>
        </w:rPr>
        <w:t xml:space="preserve">fiscal policy and </w:t>
      </w:r>
      <w:r w:rsidR="0099133B">
        <w:rPr>
          <w:rFonts w:ascii="Garamond" w:hAnsi="Garamond"/>
          <w:b/>
          <w:sz w:val="22"/>
          <w:szCs w:val="22"/>
        </w:rPr>
        <w:t xml:space="preserve">increasingly </w:t>
      </w:r>
      <w:r w:rsidR="0099133B" w:rsidRPr="0099133B">
        <w:rPr>
          <w:rFonts w:ascii="Garamond" w:hAnsi="Garamond"/>
          <w:b/>
          <w:sz w:val="22"/>
          <w:szCs w:val="22"/>
        </w:rPr>
        <w:t xml:space="preserve">deflationary environment </w:t>
      </w:r>
      <w:r w:rsidR="0099133B">
        <w:rPr>
          <w:rFonts w:ascii="Garamond" w:hAnsi="Garamond"/>
          <w:b/>
          <w:sz w:val="22"/>
          <w:szCs w:val="22"/>
        </w:rPr>
        <w:t xml:space="preserve">in </w:t>
      </w:r>
      <w:r w:rsidR="0099133B" w:rsidRPr="0099133B">
        <w:rPr>
          <w:rFonts w:ascii="Garamond" w:hAnsi="Garamond"/>
          <w:b/>
          <w:sz w:val="22"/>
          <w:szCs w:val="22"/>
        </w:rPr>
        <w:t xml:space="preserve">the </w:t>
      </w:r>
      <w:r w:rsidR="0099133B">
        <w:rPr>
          <w:rFonts w:ascii="Garamond" w:hAnsi="Garamond"/>
          <w:b/>
          <w:sz w:val="22"/>
          <w:szCs w:val="22"/>
        </w:rPr>
        <w:t>external sector</w:t>
      </w:r>
      <w:r w:rsidR="0099133B" w:rsidRPr="0099133B">
        <w:rPr>
          <w:rFonts w:ascii="Garamond" w:hAnsi="Garamond"/>
          <w:b/>
          <w:sz w:val="22"/>
          <w:szCs w:val="22"/>
        </w:rPr>
        <w:t xml:space="preserve">, </w:t>
      </w:r>
      <w:r w:rsidR="0099133B">
        <w:rPr>
          <w:rFonts w:ascii="Garamond" w:hAnsi="Garamond"/>
          <w:b/>
          <w:sz w:val="22"/>
          <w:szCs w:val="22"/>
        </w:rPr>
        <w:t>which have resulted in headline and core</w:t>
      </w:r>
      <w:r w:rsidR="0099133B" w:rsidRPr="0099133B">
        <w:rPr>
          <w:rFonts w:ascii="Garamond" w:hAnsi="Garamond"/>
          <w:b/>
          <w:sz w:val="22"/>
          <w:szCs w:val="22"/>
        </w:rPr>
        <w:t xml:space="preserve"> inflation rates </w:t>
      </w:r>
      <w:r w:rsidR="0099133B">
        <w:rPr>
          <w:rFonts w:ascii="Garamond" w:hAnsi="Garamond"/>
          <w:b/>
          <w:sz w:val="22"/>
          <w:szCs w:val="22"/>
        </w:rPr>
        <w:t xml:space="preserve">both running below their values projected in </w:t>
      </w:r>
      <w:r w:rsidR="0099133B" w:rsidRPr="0099133B">
        <w:rPr>
          <w:rFonts w:ascii="Garamond" w:hAnsi="Garamond"/>
          <w:b/>
          <w:sz w:val="22"/>
          <w:szCs w:val="22"/>
        </w:rPr>
        <w:t xml:space="preserve">the Monetary Policy Program. It is estimated that the year will end </w:t>
      </w:r>
      <w:r w:rsidR="00C84AFE">
        <w:rPr>
          <w:rFonts w:ascii="Garamond" w:hAnsi="Garamond"/>
          <w:b/>
          <w:sz w:val="22"/>
          <w:szCs w:val="22"/>
        </w:rPr>
        <w:t xml:space="preserve">with the 12-month inflation floating in the range of </w:t>
      </w:r>
      <w:r w:rsidR="0099133B" w:rsidRPr="0099133B">
        <w:rPr>
          <w:rFonts w:ascii="Garamond" w:hAnsi="Garamond"/>
          <w:b/>
          <w:sz w:val="22"/>
          <w:szCs w:val="22"/>
        </w:rPr>
        <w:t>0.8-1.2%.</w:t>
      </w:r>
    </w:p>
    <w:p w14:paraId="6E8E99FF" w14:textId="77777777" w:rsidR="003E58CC" w:rsidRDefault="003E58CC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6FB6B3A2" w14:textId="77777777" w:rsidR="003E58CC" w:rsidRDefault="003E58CC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4F16528D" w14:textId="77777777" w:rsidR="003E58CC" w:rsidRDefault="003E58CC" w:rsidP="00062BF6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/>
          <w:sz w:val="22"/>
          <w:szCs w:val="22"/>
        </w:rPr>
      </w:pPr>
    </w:p>
    <w:p w14:paraId="2669B913" w14:textId="77777777" w:rsidR="00B93284" w:rsidRDefault="00B93284" w:rsidP="00563050">
      <w:pPr>
        <w:spacing w:line="360" w:lineRule="auto"/>
        <w:jc w:val="center"/>
        <w:rPr>
          <w:rFonts w:ascii="Garamond" w:hAnsi="Garamond"/>
          <w:b/>
          <w:bCs/>
          <w:color w:val="0070C0"/>
          <w:sz w:val="22"/>
          <w:szCs w:val="22"/>
        </w:rPr>
      </w:pPr>
    </w:p>
    <w:p w14:paraId="40EDDD2D" w14:textId="77777777" w:rsidR="00B93284" w:rsidRDefault="00B93284" w:rsidP="00563050">
      <w:pPr>
        <w:spacing w:line="360" w:lineRule="auto"/>
        <w:jc w:val="center"/>
        <w:rPr>
          <w:rFonts w:ascii="Garamond" w:hAnsi="Garamond"/>
          <w:b/>
          <w:bCs/>
          <w:color w:val="0070C0"/>
          <w:sz w:val="22"/>
          <w:szCs w:val="22"/>
        </w:rPr>
      </w:pPr>
    </w:p>
    <w:p w14:paraId="004AE7EF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b/>
          <w:bCs/>
          <w:color w:val="0070C0"/>
          <w:sz w:val="22"/>
          <w:szCs w:val="22"/>
        </w:rPr>
      </w:pPr>
      <w:r w:rsidRPr="00163C85">
        <w:rPr>
          <w:rFonts w:ascii="Garamond" w:hAnsi="Garamond"/>
          <w:b/>
          <w:bCs/>
          <w:color w:val="0070C0"/>
          <w:sz w:val="22"/>
          <w:szCs w:val="22"/>
        </w:rPr>
        <w:t xml:space="preserve">BOARD </w:t>
      </w:r>
      <w:r>
        <w:rPr>
          <w:rFonts w:ascii="Garamond" w:hAnsi="Garamond"/>
          <w:b/>
          <w:bCs/>
          <w:color w:val="0070C0"/>
          <w:sz w:val="22"/>
          <w:szCs w:val="22"/>
        </w:rPr>
        <w:t xml:space="preserve">MEETING </w:t>
      </w:r>
      <w:r w:rsidRPr="00163C85">
        <w:rPr>
          <w:rFonts w:ascii="Garamond" w:hAnsi="Garamond"/>
          <w:b/>
          <w:bCs/>
          <w:color w:val="0070C0"/>
          <w:sz w:val="22"/>
          <w:szCs w:val="22"/>
        </w:rPr>
        <w:t>OF THE CBA</w:t>
      </w:r>
    </w:p>
    <w:p w14:paraId="54B07478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b/>
          <w:bCs/>
          <w:color w:val="0070C0"/>
          <w:sz w:val="22"/>
          <w:szCs w:val="22"/>
        </w:rPr>
      </w:pPr>
    </w:p>
    <w:p w14:paraId="107105BA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b/>
          <w:bCs/>
          <w:color w:val="0070C0"/>
          <w:sz w:val="22"/>
          <w:szCs w:val="22"/>
        </w:rPr>
      </w:pPr>
      <w:r w:rsidRPr="00163C85">
        <w:rPr>
          <w:rFonts w:ascii="Garamond" w:hAnsi="Garamond"/>
          <w:b/>
          <w:bCs/>
          <w:color w:val="0070C0"/>
          <w:sz w:val="22"/>
          <w:szCs w:val="22"/>
        </w:rPr>
        <w:t>MINUTES</w:t>
      </w:r>
    </w:p>
    <w:p w14:paraId="5AF5622C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b/>
          <w:bCs/>
          <w:sz w:val="22"/>
          <w:szCs w:val="22"/>
        </w:rPr>
      </w:pPr>
      <w:r w:rsidRPr="00163C85">
        <w:rPr>
          <w:rFonts w:ascii="Garamond" w:hAnsi="Garamond"/>
          <w:b/>
          <w:bCs/>
          <w:color w:val="0070C0"/>
          <w:sz w:val="22"/>
          <w:szCs w:val="22"/>
        </w:rPr>
        <w:t>(</w:t>
      </w:r>
      <w:r>
        <w:rPr>
          <w:rFonts w:ascii="Garamond" w:hAnsi="Garamond"/>
          <w:b/>
          <w:bCs/>
          <w:color w:val="0070C0"/>
          <w:sz w:val="22"/>
          <w:szCs w:val="22"/>
        </w:rPr>
        <w:t>1</w:t>
      </w:r>
      <w:r w:rsidR="00E52182">
        <w:rPr>
          <w:rFonts w:ascii="Garamond" w:hAnsi="Garamond"/>
          <w:b/>
          <w:bCs/>
          <w:color w:val="0070C0"/>
          <w:sz w:val="22"/>
          <w:szCs w:val="22"/>
        </w:rPr>
        <w:t>0</w:t>
      </w:r>
      <w:r w:rsidRPr="00163C85">
        <w:rPr>
          <w:rFonts w:ascii="Garamond" w:hAnsi="Garamond"/>
          <w:b/>
          <w:bCs/>
          <w:color w:val="0070C0"/>
          <w:sz w:val="22"/>
          <w:szCs w:val="22"/>
        </w:rPr>
        <w:t>.</w:t>
      </w:r>
      <w:r w:rsidR="00B93284">
        <w:rPr>
          <w:rFonts w:ascii="Garamond" w:hAnsi="Garamond"/>
          <w:b/>
          <w:bCs/>
          <w:color w:val="0070C0"/>
          <w:sz w:val="22"/>
          <w:szCs w:val="22"/>
        </w:rPr>
        <w:t>12</w:t>
      </w:r>
      <w:r w:rsidRPr="00163C85">
        <w:rPr>
          <w:rFonts w:ascii="Garamond" w:hAnsi="Garamond"/>
          <w:b/>
          <w:bCs/>
          <w:color w:val="0070C0"/>
          <w:sz w:val="22"/>
          <w:szCs w:val="22"/>
        </w:rPr>
        <w:t>.201</w:t>
      </w:r>
      <w:r>
        <w:rPr>
          <w:rFonts w:ascii="Garamond" w:hAnsi="Garamond"/>
          <w:b/>
          <w:bCs/>
          <w:color w:val="0070C0"/>
          <w:sz w:val="22"/>
          <w:szCs w:val="22"/>
        </w:rPr>
        <w:t>9</w:t>
      </w:r>
      <w:r w:rsidRPr="00163C85">
        <w:rPr>
          <w:rFonts w:ascii="Garamond" w:hAnsi="Garamond"/>
          <w:b/>
          <w:bCs/>
          <w:color w:val="0070C0"/>
          <w:sz w:val="22"/>
          <w:szCs w:val="22"/>
        </w:rPr>
        <w:t>)</w:t>
      </w:r>
    </w:p>
    <w:p w14:paraId="12C41544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b/>
          <w:bCs/>
          <w:sz w:val="22"/>
          <w:szCs w:val="22"/>
        </w:rPr>
      </w:pPr>
    </w:p>
    <w:p w14:paraId="07709F08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color w:val="0070C0"/>
          <w:sz w:val="22"/>
          <w:szCs w:val="22"/>
        </w:rPr>
      </w:pPr>
      <w:r w:rsidRPr="00163C85">
        <w:rPr>
          <w:rFonts w:ascii="Garamond" w:hAnsi="Garamond"/>
          <w:b/>
          <w:bCs/>
          <w:color w:val="0070C0"/>
          <w:sz w:val="22"/>
          <w:szCs w:val="22"/>
        </w:rPr>
        <w:t>On the Refinancing Rate</w:t>
      </w:r>
    </w:p>
    <w:p w14:paraId="0691BAC5" w14:textId="77777777" w:rsidR="00563050" w:rsidRPr="00163C85" w:rsidRDefault="00563050" w:rsidP="00563050">
      <w:pPr>
        <w:spacing w:line="360" w:lineRule="auto"/>
        <w:jc w:val="center"/>
        <w:rPr>
          <w:rFonts w:ascii="Garamond" w:hAnsi="Garamond"/>
          <w:sz w:val="22"/>
          <w:szCs w:val="22"/>
        </w:rPr>
      </w:pPr>
    </w:p>
    <w:p w14:paraId="1FB6C846" w14:textId="77777777" w:rsidR="00B93284" w:rsidRPr="004D4162" w:rsidRDefault="00B93284" w:rsidP="00B93284">
      <w:pPr>
        <w:pStyle w:val="BodyText"/>
        <w:spacing w:line="360" w:lineRule="auto"/>
        <w:jc w:val="center"/>
        <w:rPr>
          <w:rFonts w:ascii="Garamond" w:hAnsi="Garamond"/>
          <w:b/>
        </w:rPr>
      </w:pPr>
      <w:r w:rsidRPr="004D4162">
        <w:rPr>
          <w:rFonts w:ascii="Garamond" w:hAnsi="Garamond"/>
          <w:b/>
        </w:rPr>
        <w:t xml:space="preserve">The CBA Board Meeting of </w:t>
      </w:r>
      <w:r>
        <w:rPr>
          <w:rFonts w:ascii="Garamond" w:hAnsi="Garamond"/>
          <w:b/>
        </w:rPr>
        <w:t>December</w:t>
      </w:r>
      <w:r w:rsidRPr="004D416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10</w:t>
      </w:r>
      <w:r w:rsidRPr="004D4162">
        <w:rPr>
          <w:rFonts w:ascii="Garamond" w:hAnsi="Garamond"/>
          <w:b/>
          <w:bCs/>
        </w:rPr>
        <w:t>, 2019</w:t>
      </w:r>
      <w:r w:rsidRPr="004D4162">
        <w:rPr>
          <w:rFonts w:ascii="Garamond" w:hAnsi="Garamond"/>
          <w:b/>
        </w:rPr>
        <w:t xml:space="preserve"> attended by Deputy Governors </w:t>
      </w:r>
      <w:proofErr w:type="spellStart"/>
      <w:r w:rsidRPr="004D4162">
        <w:rPr>
          <w:rFonts w:ascii="Garamond" w:hAnsi="Garamond"/>
          <w:b/>
        </w:rPr>
        <w:t>Nerses</w:t>
      </w:r>
      <w:proofErr w:type="spellEnd"/>
      <w:r w:rsidRPr="004D4162">
        <w:rPr>
          <w:rFonts w:ascii="Garamond" w:hAnsi="Garamond"/>
          <w:b/>
        </w:rPr>
        <w:t xml:space="preserve"> </w:t>
      </w:r>
      <w:proofErr w:type="spellStart"/>
      <w:r w:rsidRPr="004D4162">
        <w:rPr>
          <w:rFonts w:ascii="Garamond" w:hAnsi="Garamond"/>
          <w:b/>
        </w:rPr>
        <w:t>Yeritsyan</w:t>
      </w:r>
      <w:proofErr w:type="spellEnd"/>
      <w:r w:rsidRPr="004D4162">
        <w:rPr>
          <w:rFonts w:ascii="Garamond" w:hAnsi="Garamond"/>
          <w:b/>
        </w:rPr>
        <w:t xml:space="preserve"> and Vakhtang </w:t>
      </w:r>
      <w:proofErr w:type="spellStart"/>
      <w:r w:rsidRPr="004D4162">
        <w:rPr>
          <w:rFonts w:ascii="Garamond" w:hAnsi="Garamond"/>
          <w:b/>
        </w:rPr>
        <w:t>Abrahamyan</w:t>
      </w:r>
      <w:proofErr w:type="spellEnd"/>
      <w:r w:rsidRPr="004D4162">
        <w:rPr>
          <w:rFonts w:ascii="Garamond" w:hAnsi="Garamond"/>
          <w:b/>
        </w:rPr>
        <w:t>, and Board Members</w:t>
      </w:r>
      <w:r>
        <w:rPr>
          <w:rFonts w:ascii="Garamond" w:hAnsi="Garamond"/>
          <w:b/>
        </w:rPr>
        <w:t xml:space="preserve"> Hasmik Ghahramanyan, </w:t>
      </w:r>
      <w:r w:rsidRPr="004D4162">
        <w:rPr>
          <w:rFonts w:ascii="Garamond" w:hAnsi="Garamond"/>
          <w:b/>
        </w:rPr>
        <w:t xml:space="preserve">Arthur Stepanyan, </w:t>
      </w:r>
      <w:r>
        <w:rPr>
          <w:rFonts w:ascii="Garamond" w:hAnsi="Garamond"/>
          <w:b/>
        </w:rPr>
        <w:t xml:space="preserve">Martin Galstyan, and Oleg </w:t>
      </w:r>
      <w:proofErr w:type="spellStart"/>
      <w:r>
        <w:rPr>
          <w:rFonts w:ascii="Garamond" w:hAnsi="Garamond"/>
          <w:b/>
        </w:rPr>
        <w:t>Aghasyan</w:t>
      </w:r>
      <w:proofErr w:type="spellEnd"/>
    </w:p>
    <w:p w14:paraId="422DDB74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7448C98E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>The Board meeting opened with presentation of the Situation Report as of</w:t>
      </w:r>
      <w:r>
        <w:rPr>
          <w:rFonts w:ascii="Garamond" w:hAnsi="Garamond"/>
          <w:sz w:val="22"/>
          <w:szCs w:val="22"/>
        </w:rPr>
        <w:t xml:space="preserve"> December 10, </w:t>
      </w:r>
      <w:r w:rsidRPr="004D4162">
        <w:rPr>
          <w:rFonts w:ascii="Garamond" w:hAnsi="Garamond"/>
          <w:bCs/>
          <w:sz w:val="22"/>
          <w:szCs w:val="22"/>
        </w:rPr>
        <w:t>2019</w:t>
      </w:r>
      <w:r w:rsidRPr="004D4162">
        <w:rPr>
          <w:rFonts w:ascii="Garamond" w:hAnsi="Garamond"/>
          <w:sz w:val="22"/>
          <w:szCs w:val="22"/>
        </w:rPr>
        <w:t xml:space="preserve">. It addressed current developments on inflation, external environment and real, fiscal and monetary sectors of the economy. </w:t>
      </w:r>
    </w:p>
    <w:p w14:paraId="27693351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09E25F1B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b/>
          <w:sz w:val="22"/>
          <w:szCs w:val="22"/>
        </w:rPr>
        <w:t xml:space="preserve">There was </w:t>
      </w:r>
      <w:r>
        <w:rPr>
          <w:rFonts w:ascii="Garamond" w:hAnsi="Garamond"/>
          <w:b/>
          <w:sz w:val="22"/>
          <w:szCs w:val="22"/>
        </w:rPr>
        <w:t>1</w:t>
      </w:r>
      <w:r w:rsidRPr="004D4162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b/>
          <w:sz w:val="22"/>
          <w:szCs w:val="22"/>
        </w:rPr>
        <w:t>1</w:t>
      </w:r>
      <w:r w:rsidRPr="004D4162">
        <w:rPr>
          <w:rFonts w:ascii="Garamond" w:hAnsi="Garamond"/>
          <w:b/>
          <w:sz w:val="22"/>
          <w:szCs w:val="22"/>
        </w:rPr>
        <w:t xml:space="preserve">% </w:t>
      </w:r>
      <w:r>
        <w:rPr>
          <w:rFonts w:ascii="Garamond" w:hAnsi="Garamond"/>
          <w:b/>
          <w:sz w:val="22"/>
          <w:szCs w:val="22"/>
        </w:rPr>
        <w:t>in</w:t>
      </w:r>
      <w:r w:rsidRPr="004D4162">
        <w:rPr>
          <w:rFonts w:ascii="Garamond" w:hAnsi="Garamond"/>
          <w:b/>
          <w:sz w:val="22"/>
          <w:szCs w:val="22"/>
        </w:rPr>
        <w:t xml:space="preserve">flation in </w:t>
      </w:r>
      <w:r>
        <w:rPr>
          <w:rFonts w:ascii="Garamond" w:hAnsi="Garamond"/>
          <w:b/>
          <w:sz w:val="22"/>
          <w:szCs w:val="22"/>
        </w:rPr>
        <w:t>November</w:t>
      </w:r>
      <w:r w:rsidRPr="004D4162">
        <w:rPr>
          <w:rFonts w:ascii="Garamond" w:hAnsi="Garamond"/>
          <w:b/>
          <w:sz w:val="22"/>
          <w:szCs w:val="22"/>
        </w:rPr>
        <w:t xml:space="preserve"> 2019</w:t>
      </w:r>
      <w:r w:rsidRPr="004D416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compared to that of 1.0% registered in the same month last year, and the 12-month inflation rate remained almost unchanged, </w:t>
      </w:r>
      <w:r w:rsidRPr="0040109E">
        <w:rPr>
          <w:rFonts w:ascii="Garamond" w:hAnsi="Garamond"/>
          <w:b/>
          <w:sz w:val="22"/>
          <w:szCs w:val="22"/>
        </w:rPr>
        <w:t>1.0%</w:t>
      </w:r>
      <w:r>
        <w:rPr>
          <w:rFonts w:ascii="Garamond" w:hAnsi="Garamond"/>
          <w:sz w:val="22"/>
          <w:szCs w:val="22"/>
        </w:rPr>
        <w:t xml:space="preserve"> at the end of the month. The month’s inflation owed to the change in prices; in particular, prices in items “Vegetable” and “Fruit” grew by 20.1% and 3.5%, respectively (combined contribution to inflation: 1.3 pp), and prices in items “Fats and oils”, “Dairy products” and “Bread products and grains” also posted increases by 0.7%, 0.4% and 0.3%. However</w:t>
      </w:r>
      <w:r w:rsidRPr="00226912">
        <w:rPr>
          <w:rFonts w:ascii="Garamond" w:hAnsi="Garamond"/>
          <w:sz w:val="22"/>
          <w:szCs w:val="22"/>
        </w:rPr>
        <w:t xml:space="preserve">, prices </w:t>
      </w:r>
      <w:r>
        <w:rPr>
          <w:rFonts w:ascii="Garamond" w:hAnsi="Garamond"/>
          <w:sz w:val="22"/>
          <w:szCs w:val="22"/>
        </w:rPr>
        <w:t>in item “F</w:t>
      </w:r>
      <w:r w:rsidRPr="00226912">
        <w:rPr>
          <w:rFonts w:ascii="Garamond" w:hAnsi="Garamond"/>
          <w:sz w:val="22"/>
          <w:szCs w:val="22"/>
        </w:rPr>
        <w:t>ish and seafood</w:t>
      </w:r>
      <w:r>
        <w:rPr>
          <w:rFonts w:ascii="Garamond" w:hAnsi="Garamond"/>
          <w:sz w:val="22"/>
          <w:szCs w:val="22"/>
        </w:rPr>
        <w:t>”</w:t>
      </w:r>
      <w:r w:rsidRPr="00226912">
        <w:rPr>
          <w:rFonts w:ascii="Garamond" w:hAnsi="Garamond"/>
          <w:sz w:val="22"/>
          <w:szCs w:val="22"/>
        </w:rPr>
        <w:t xml:space="preserve"> fell by about 1.0%.</w:t>
      </w:r>
      <w:r>
        <w:rPr>
          <w:rFonts w:ascii="Garamond" w:hAnsi="Garamond"/>
          <w:sz w:val="22"/>
          <w:szCs w:val="22"/>
        </w:rPr>
        <w:t xml:space="preserve"> </w:t>
      </w:r>
      <w:r w:rsidRPr="00226912">
        <w:rPr>
          <w:rFonts w:ascii="Garamond" w:hAnsi="Garamond"/>
          <w:b/>
          <w:sz w:val="22"/>
          <w:szCs w:val="22"/>
        </w:rPr>
        <w:t>T</w:t>
      </w:r>
      <w:r w:rsidRPr="004D4162">
        <w:rPr>
          <w:rFonts w:ascii="Garamond" w:hAnsi="Garamond"/>
          <w:b/>
          <w:sz w:val="22"/>
          <w:szCs w:val="22"/>
        </w:rPr>
        <w:t>he 12-month core inflation rate</w:t>
      </w:r>
      <w:r>
        <w:rPr>
          <w:rFonts w:ascii="Garamond" w:hAnsi="Garamond"/>
          <w:sz w:val="22"/>
          <w:szCs w:val="22"/>
        </w:rPr>
        <w:t xml:space="preserve"> continued reducing to 0.7% at the end of October.</w:t>
      </w:r>
      <w:r w:rsidRPr="004D4162">
        <w:rPr>
          <w:rFonts w:ascii="Garamond" w:hAnsi="Garamond"/>
          <w:sz w:val="22"/>
          <w:szCs w:val="22"/>
        </w:rPr>
        <w:t xml:space="preserve"> </w:t>
      </w:r>
    </w:p>
    <w:p w14:paraId="4C673685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EA3707F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 xml:space="preserve">Addressing the current economic situation, the Board stated that </w:t>
      </w:r>
      <w:r w:rsidRPr="004D4162">
        <w:rPr>
          <w:rFonts w:ascii="Garamond" w:hAnsi="Garamond"/>
          <w:b/>
          <w:sz w:val="22"/>
          <w:szCs w:val="22"/>
        </w:rPr>
        <w:t xml:space="preserve">economic activity </w:t>
      </w:r>
      <w:r>
        <w:rPr>
          <w:rFonts w:ascii="Garamond" w:hAnsi="Garamond"/>
          <w:b/>
          <w:sz w:val="22"/>
          <w:szCs w:val="22"/>
        </w:rPr>
        <w:t xml:space="preserve">exceeded the projected level </w:t>
      </w:r>
      <w:r>
        <w:rPr>
          <w:rFonts w:ascii="Garamond" w:hAnsi="Garamond"/>
          <w:sz w:val="22"/>
          <w:szCs w:val="22"/>
        </w:rPr>
        <w:t xml:space="preserve">owing mainly to the high growth in the services; in the period January-September, </w:t>
      </w:r>
      <w:r w:rsidRPr="00490C9E">
        <w:rPr>
          <w:rFonts w:ascii="Garamond" w:hAnsi="Garamond"/>
          <w:sz w:val="22"/>
          <w:szCs w:val="22"/>
        </w:rPr>
        <w:t>compared to the same period</w:t>
      </w:r>
      <w:r>
        <w:rPr>
          <w:rFonts w:ascii="Garamond" w:hAnsi="Garamond"/>
          <w:sz w:val="22"/>
          <w:szCs w:val="22"/>
        </w:rPr>
        <w:t xml:space="preserve"> last year, the </w:t>
      </w:r>
      <w:r w:rsidRPr="00490C9E">
        <w:rPr>
          <w:rFonts w:ascii="Garamond" w:hAnsi="Garamond"/>
          <w:sz w:val="22"/>
          <w:szCs w:val="22"/>
        </w:rPr>
        <w:t xml:space="preserve">economic </w:t>
      </w:r>
      <w:r>
        <w:rPr>
          <w:rFonts w:ascii="Garamond" w:hAnsi="Garamond"/>
          <w:sz w:val="22"/>
          <w:szCs w:val="22"/>
        </w:rPr>
        <w:t xml:space="preserve">growth has been 7.5%. </w:t>
      </w:r>
      <w:r w:rsidRPr="00226912">
        <w:rPr>
          <w:rFonts w:ascii="Garamond" w:hAnsi="Garamond"/>
          <w:sz w:val="22"/>
          <w:szCs w:val="22"/>
        </w:rPr>
        <w:t xml:space="preserve">These trends are </w:t>
      </w:r>
      <w:r>
        <w:rPr>
          <w:rFonts w:ascii="Garamond" w:hAnsi="Garamond"/>
          <w:sz w:val="22"/>
          <w:szCs w:val="22"/>
        </w:rPr>
        <w:t xml:space="preserve">persisting over </w:t>
      </w:r>
      <w:r w:rsidRPr="00226912">
        <w:rPr>
          <w:rFonts w:ascii="Garamond" w:hAnsi="Garamond"/>
          <w:sz w:val="22"/>
          <w:szCs w:val="22"/>
        </w:rPr>
        <w:t>the fourth quarter</w:t>
      </w:r>
      <w:r>
        <w:rPr>
          <w:rFonts w:ascii="Garamond" w:hAnsi="Garamond"/>
          <w:sz w:val="22"/>
          <w:szCs w:val="22"/>
        </w:rPr>
        <w:t xml:space="preserve"> too, so the </w:t>
      </w:r>
      <w:r w:rsidRPr="00490C9E">
        <w:rPr>
          <w:rFonts w:ascii="Garamond" w:hAnsi="Garamond"/>
          <w:sz w:val="22"/>
          <w:szCs w:val="22"/>
        </w:rPr>
        <w:t>January-</w:t>
      </w:r>
      <w:r>
        <w:rPr>
          <w:rFonts w:ascii="Garamond" w:hAnsi="Garamond"/>
          <w:sz w:val="22"/>
          <w:szCs w:val="22"/>
        </w:rPr>
        <w:t>October’s Economic A</w:t>
      </w:r>
      <w:r w:rsidRPr="00490C9E">
        <w:rPr>
          <w:rFonts w:ascii="Garamond" w:hAnsi="Garamond"/>
          <w:sz w:val="22"/>
          <w:szCs w:val="22"/>
        </w:rPr>
        <w:t xml:space="preserve">ctivity </w:t>
      </w:r>
      <w:r>
        <w:rPr>
          <w:rFonts w:ascii="Garamond" w:hAnsi="Garamond"/>
          <w:sz w:val="22"/>
          <w:szCs w:val="22"/>
        </w:rPr>
        <w:t>I</w:t>
      </w:r>
      <w:r w:rsidRPr="00490C9E">
        <w:rPr>
          <w:rFonts w:ascii="Garamond" w:hAnsi="Garamond"/>
          <w:sz w:val="22"/>
          <w:szCs w:val="22"/>
        </w:rPr>
        <w:t>nd</w:t>
      </w:r>
      <w:r>
        <w:rPr>
          <w:rFonts w:ascii="Garamond" w:hAnsi="Garamond"/>
          <w:sz w:val="22"/>
          <w:szCs w:val="22"/>
        </w:rPr>
        <w:t xml:space="preserve">icator hit a 7.2% level against </w:t>
      </w:r>
      <w:r w:rsidRPr="00490C9E">
        <w:rPr>
          <w:rFonts w:ascii="Garamond" w:hAnsi="Garamond"/>
          <w:sz w:val="22"/>
          <w:szCs w:val="22"/>
        </w:rPr>
        <w:t xml:space="preserve">the same period of the previous year, </w:t>
      </w:r>
      <w:r>
        <w:rPr>
          <w:rFonts w:ascii="Garamond" w:hAnsi="Garamond"/>
          <w:sz w:val="22"/>
          <w:szCs w:val="22"/>
        </w:rPr>
        <w:t xml:space="preserve">and the Central Bank estimates that the end-year indicator of economic growth will be around it, as well. </w:t>
      </w:r>
      <w:r w:rsidRPr="005A08AD">
        <w:rPr>
          <w:rFonts w:ascii="Garamond" w:hAnsi="Garamond"/>
          <w:sz w:val="22"/>
          <w:szCs w:val="22"/>
        </w:rPr>
        <w:t xml:space="preserve">Domestic demand </w:t>
      </w:r>
      <w:r>
        <w:rPr>
          <w:rFonts w:ascii="Garamond" w:hAnsi="Garamond"/>
          <w:sz w:val="22"/>
          <w:szCs w:val="22"/>
        </w:rPr>
        <w:t xml:space="preserve">too </w:t>
      </w:r>
      <w:r w:rsidRPr="005A08AD">
        <w:rPr>
          <w:rFonts w:ascii="Garamond" w:hAnsi="Garamond"/>
          <w:sz w:val="22"/>
          <w:szCs w:val="22"/>
        </w:rPr>
        <w:t xml:space="preserve">remains high </w:t>
      </w:r>
      <w:r>
        <w:rPr>
          <w:rFonts w:ascii="Garamond" w:hAnsi="Garamond"/>
          <w:sz w:val="22"/>
          <w:szCs w:val="22"/>
        </w:rPr>
        <w:t xml:space="preserve">during the fourth quarter thanks to </w:t>
      </w:r>
      <w:r w:rsidRPr="005A08AD">
        <w:rPr>
          <w:rFonts w:ascii="Garamond" w:hAnsi="Garamond"/>
          <w:sz w:val="22"/>
          <w:szCs w:val="22"/>
        </w:rPr>
        <w:t xml:space="preserve">the increase in private consumption, which </w:t>
      </w:r>
      <w:r>
        <w:rPr>
          <w:rFonts w:ascii="Garamond" w:hAnsi="Garamond"/>
          <w:sz w:val="22"/>
          <w:szCs w:val="22"/>
        </w:rPr>
        <w:t xml:space="preserve">is greatly supported by a stimulative monetary policy. </w:t>
      </w:r>
      <w:r w:rsidRPr="00742317">
        <w:rPr>
          <w:rFonts w:ascii="Garamond" w:hAnsi="Garamond"/>
          <w:sz w:val="22"/>
          <w:szCs w:val="22"/>
        </w:rPr>
        <w:t xml:space="preserve">The latter, </w:t>
      </w:r>
      <w:r>
        <w:rPr>
          <w:rFonts w:ascii="Garamond" w:hAnsi="Garamond"/>
          <w:sz w:val="22"/>
          <w:szCs w:val="22"/>
        </w:rPr>
        <w:t xml:space="preserve">as </w:t>
      </w:r>
      <w:r w:rsidRPr="00742317">
        <w:rPr>
          <w:rFonts w:ascii="Garamond" w:hAnsi="Garamond"/>
          <w:sz w:val="22"/>
          <w:szCs w:val="22"/>
        </w:rPr>
        <w:t>the financial system</w:t>
      </w:r>
      <w:r>
        <w:rPr>
          <w:rFonts w:ascii="Garamond" w:hAnsi="Garamond"/>
          <w:sz w:val="22"/>
          <w:szCs w:val="22"/>
        </w:rPr>
        <w:t xml:space="preserve"> further benefits strong </w:t>
      </w:r>
      <w:r w:rsidRPr="00742317">
        <w:rPr>
          <w:rFonts w:ascii="Garamond" w:hAnsi="Garamond"/>
          <w:sz w:val="22"/>
          <w:szCs w:val="22"/>
        </w:rPr>
        <w:t xml:space="preserve">capitalization, has contributed to </w:t>
      </w:r>
      <w:r>
        <w:rPr>
          <w:rFonts w:ascii="Garamond" w:hAnsi="Garamond"/>
          <w:sz w:val="22"/>
          <w:szCs w:val="22"/>
        </w:rPr>
        <w:t xml:space="preserve">the </w:t>
      </w:r>
      <w:r w:rsidRPr="00742317">
        <w:rPr>
          <w:rFonts w:ascii="Garamond" w:hAnsi="Garamond"/>
          <w:sz w:val="22"/>
          <w:szCs w:val="22"/>
        </w:rPr>
        <w:t xml:space="preserve">high growth </w:t>
      </w:r>
      <w:r>
        <w:rPr>
          <w:rFonts w:ascii="Garamond" w:hAnsi="Garamond"/>
          <w:sz w:val="22"/>
          <w:szCs w:val="22"/>
        </w:rPr>
        <w:t xml:space="preserve">in economy </w:t>
      </w:r>
      <w:r w:rsidRPr="00742317">
        <w:rPr>
          <w:rFonts w:ascii="Garamond" w:hAnsi="Garamond"/>
          <w:sz w:val="22"/>
          <w:szCs w:val="22"/>
        </w:rPr>
        <w:t>lending</w:t>
      </w:r>
      <w:r>
        <w:rPr>
          <w:rFonts w:ascii="Garamond" w:hAnsi="Garamond"/>
          <w:sz w:val="22"/>
          <w:szCs w:val="22"/>
        </w:rPr>
        <w:t xml:space="preserve">, in which structure the share of </w:t>
      </w:r>
      <w:r w:rsidRPr="00742317">
        <w:rPr>
          <w:rFonts w:ascii="Garamond" w:hAnsi="Garamond"/>
          <w:sz w:val="22"/>
          <w:szCs w:val="22"/>
        </w:rPr>
        <w:t xml:space="preserve">consumer and mortgage loans </w:t>
      </w:r>
      <w:r>
        <w:rPr>
          <w:rFonts w:ascii="Garamond" w:hAnsi="Garamond"/>
          <w:sz w:val="22"/>
          <w:szCs w:val="22"/>
        </w:rPr>
        <w:t xml:space="preserve">is considerable. </w:t>
      </w:r>
      <w:r w:rsidRPr="002230EA">
        <w:rPr>
          <w:rFonts w:ascii="Garamond" w:hAnsi="Garamond"/>
          <w:sz w:val="22"/>
          <w:szCs w:val="22"/>
        </w:rPr>
        <w:t xml:space="preserve">Although the impact of fiscal policy on aggregate demand for the last three quarters of the year has </w:t>
      </w:r>
      <w:r>
        <w:rPr>
          <w:rFonts w:ascii="Garamond" w:hAnsi="Garamond"/>
          <w:sz w:val="22"/>
          <w:szCs w:val="22"/>
        </w:rPr>
        <w:t>proved cont</w:t>
      </w:r>
      <w:r w:rsidRPr="002230EA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actionary</w:t>
      </w:r>
      <w:r w:rsidRPr="002230EA">
        <w:rPr>
          <w:rFonts w:ascii="Garamond" w:hAnsi="Garamond"/>
          <w:sz w:val="22"/>
          <w:szCs w:val="22"/>
        </w:rPr>
        <w:t xml:space="preserve">, at about 2.5 percentage points, in the fourth quarter and next year </w:t>
      </w:r>
      <w:r>
        <w:rPr>
          <w:rFonts w:ascii="Garamond" w:hAnsi="Garamond"/>
          <w:sz w:val="22"/>
          <w:szCs w:val="22"/>
        </w:rPr>
        <w:t xml:space="preserve">the </w:t>
      </w:r>
      <w:r w:rsidRPr="002230EA">
        <w:rPr>
          <w:rFonts w:ascii="Garamond" w:hAnsi="Garamond"/>
          <w:sz w:val="22"/>
          <w:szCs w:val="22"/>
        </w:rPr>
        <w:t xml:space="preserve">fiscal policy is expected to </w:t>
      </w:r>
      <w:r>
        <w:rPr>
          <w:rFonts w:ascii="Garamond" w:hAnsi="Garamond"/>
          <w:sz w:val="22"/>
          <w:szCs w:val="22"/>
        </w:rPr>
        <w:t>be expansionary</w:t>
      </w:r>
      <w:r w:rsidRPr="002230EA">
        <w:rPr>
          <w:rFonts w:ascii="Garamond" w:hAnsi="Garamond"/>
          <w:sz w:val="22"/>
          <w:szCs w:val="22"/>
        </w:rPr>
        <w:t xml:space="preserve">, which is </w:t>
      </w:r>
      <w:r>
        <w:rPr>
          <w:rFonts w:ascii="Garamond" w:hAnsi="Garamond"/>
          <w:sz w:val="22"/>
          <w:szCs w:val="22"/>
        </w:rPr>
        <w:t xml:space="preserve">quite a solid boost for </w:t>
      </w:r>
      <w:r w:rsidRPr="002230EA">
        <w:rPr>
          <w:rFonts w:ascii="Garamond" w:hAnsi="Garamond"/>
          <w:sz w:val="22"/>
          <w:szCs w:val="22"/>
        </w:rPr>
        <w:t>the domestic demand growth in the short term.</w:t>
      </w:r>
      <w:r>
        <w:rPr>
          <w:rFonts w:ascii="Garamond" w:hAnsi="Garamond"/>
          <w:sz w:val="22"/>
          <w:szCs w:val="22"/>
        </w:rPr>
        <w:t xml:space="preserve"> </w:t>
      </w:r>
    </w:p>
    <w:p w14:paraId="4F1F8C5B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08585F32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 to the external sector developments presented at the B</w:t>
      </w:r>
      <w:r w:rsidRPr="00EF7BBA">
        <w:rPr>
          <w:rFonts w:ascii="Garamond" w:hAnsi="Garamond"/>
          <w:sz w:val="22"/>
          <w:szCs w:val="22"/>
        </w:rPr>
        <w:t>oard meeting</w:t>
      </w:r>
      <w:r>
        <w:rPr>
          <w:rFonts w:ascii="Garamond" w:hAnsi="Garamond"/>
          <w:sz w:val="22"/>
          <w:szCs w:val="22"/>
        </w:rPr>
        <w:t xml:space="preserve">, though persisting </w:t>
      </w:r>
      <w:r w:rsidRPr="00EF7BBA">
        <w:rPr>
          <w:rFonts w:ascii="Garamond" w:hAnsi="Garamond"/>
          <w:sz w:val="22"/>
          <w:szCs w:val="22"/>
        </w:rPr>
        <w:t xml:space="preserve">uncertainties </w:t>
      </w:r>
      <w:r>
        <w:rPr>
          <w:rFonts w:ascii="Garamond" w:hAnsi="Garamond"/>
          <w:sz w:val="22"/>
          <w:szCs w:val="22"/>
        </w:rPr>
        <w:t xml:space="preserve">have somewhat withdrawn, the global </w:t>
      </w:r>
      <w:r w:rsidRPr="00EF7BBA">
        <w:rPr>
          <w:rFonts w:ascii="Garamond" w:hAnsi="Garamond"/>
          <w:sz w:val="22"/>
          <w:szCs w:val="22"/>
        </w:rPr>
        <w:t>econom</w:t>
      </w:r>
      <w:r>
        <w:rPr>
          <w:rFonts w:ascii="Garamond" w:hAnsi="Garamond"/>
          <w:sz w:val="22"/>
          <w:szCs w:val="22"/>
        </w:rPr>
        <w:t xml:space="preserve">ic growth is still sluggish, reflecting both a </w:t>
      </w:r>
      <w:r w:rsidRPr="00EF7BBA">
        <w:rPr>
          <w:rFonts w:ascii="Garamond" w:hAnsi="Garamond"/>
          <w:sz w:val="22"/>
          <w:szCs w:val="22"/>
        </w:rPr>
        <w:t>weaken</w:t>
      </w:r>
      <w:r>
        <w:rPr>
          <w:rFonts w:ascii="Garamond" w:hAnsi="Garamond"/>
          <w:sz w:val="22"/>
          <w:szCs w:val="22"/>
        </w:rPr>
        <w:t>ing demand and persistently low inflationary environment i</w:t>
      </w:r>
      <w:r w:rsidRPr="00EF7BBA">
        <w:rPr>
          <w:rFonts w:ascii="Garamond" w:hAnsi="Garamond"/>
          <w:sz w:val="22"/>
          <w:szCs w:val="22"/>
        </w:rPr>
        <w:t xml:space="preserve">n </w:t>
      </w:r>
      <w:r>
        <w:rPr>
          <w:rFonts w:ascii="Garamond" w:hAnsi="Garamond"/>
          <w:sz w:val="22"/>
          <w:szCs w:val="22"/>
        </w:rPr>
        <w:t xml:space="preserve">the world’s </w:t>
      </w:r>
      <w:r w:rsidRPr="00EF7BBA">
        <w:rPr>
          <w:rFonts w:ascii="Garamond" w:hAnsi="Garamond"/>
          <w:sz w:val="22"/>
          <w:szCs w:val="22"/>
        </w:rPr>
        <w:t>commodity markets.</w:t>
      </w:r>
      <w:r>
        <w:rPr>
          <w:rFonts w:ascii="Garamond" w:hAnsi="Garamond"/>
          <w:sz w:val="22"/>
          <w:szCs w:val="22"/>
        </w:rPr>
        <w:t xml:space="preserve"> In such a circumstance, central </w:t>
      </w:r>
      <w:r>
        <w:rPr>
          <w:rFonts w:ascii="Garamond" w:hAnsi="Garamond"/>
          <w:sz w:val="22"/>
          <w:szCs w:val="22"/>
        </w:rPr>
        <w:lastRenderedPageBreak/>
        <w:t xml:space="preserve">banks of main trade partner countries to Armenia </w:t>
      </w:r>
      <w:r w:rsidRPr="004D4162">
        <w:rPr>
          <w:rFonts w:ascii="Garamond" w:hAnsi="Garamond"/>
          <w:sz w:val="22"/>
          <w:szCs w:val="22"/>
        </w:rPr>
        <w:t xml:space="preserve">will </w:t>
      </w:r>
      <w:r>
        <w:rPr>
          <w:rFonts w:ascii="Garamond" w:hAnsi="Garamond"/>
          <w:sz w:val="22"/>
          <w:szCs w:val="22"/>
        </w:rPr>
        <w:t xml:space="preserve">further pursue, in an upcoming period of time, a stimulative monetary policy in order to fulfil their inflation targets. </w:t>
      </w:r>
    </w:p>
    <w:p w14:paraId="4148B65D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D88E647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Talking about th</w:t>
      </w:r>
      <w:r w:rsidRPr="004D4162">
        <w:rPr>
          <w:rFonts w:ascii="Garamond" w:hAnsi="Garamond"/>
          <w:sz w:val="22"/>
          <w:szCs w:val="22"/>
        </w:rPr>
        <w:t>e developments in the domestic financial market</w:t>
      </w:r>
      <w:r>
        <w:rPr>
          <w:rFonts w:ascii="Garamond" w:hAnsi="Garamond"/>
          <w:sz w:val="22"/>
          <w:szCs w:val="22"/>
        </w:rPr>
        <w:t>, the Board admitted that s</w:t>
      </w:r>
      <w:r w:rsidRPr="001D735A">
        <w:rPr>
          <w:rFonts w:ascii="Garamond" w:hAnsi="Garamond"/>
          <w:sz w:val="22"/>
          <w:szCs w:val="22"/>
        </w:rPr>
        <w:t xml:space="preserve">hort-term interest rates in the financial market </w:t>
      </w:r>
      <w:r>
        <w:rPr>
          <w:rFonts w:ascii="Garamond" w:hAnsi="Garamond"/>
          <w:sz w:val="22"/>
          <w:szCs w:val="22"/>
        </w:rPr>
        <w:t xml:space="preserve">fell during the fourth quarter, </w:t>
      </w:r>
      <w:r w:rsidRPr="001D735A">
        <w:rPr>
          <w:rFonts w:ascii="Garamond" w:hAnsi="Garamond"/>
          <w:sz w:val="22"/>
          <w:szCs w:val="22"/>
        </w:rPr>
        <w:t xml:space="preserve">in line with </w:t>
      </w:r>
      <w:r>
        <w:rPr>
          <w:rFonts w:ascii="Garamond" w:hAnsi="Garamond"/>
          <w:sz w:val="22"/>
          <w:szCs w:val="22"/>
        </w:rPr>
        <w:t xml:space="preserve">a </w:t>
      </w:r>
      <w:r w:rsidRPr="001D735A">
        <w:rPr>
          <w:rFonts w:ascii="Garamond" w:hAnsi="Garamond"/>
          <w:sz w:val="22"/>
          <w:szCs w:val="22"/>
        </w:rPr>
        <w:t>policy rate cut in September</w:t>
      </w:r>
      <w:r>
        <w:rPr>
          <w:rFonts w:ascii="Garamond" w:hAnsi="Garamond"/>
          <w:sz w:val="22"/>
          <w:szCs w:val="22"/>
        </w:rPr>
        <w:t>.</w:t>
      </w:r>
      <w:r w:rsidRPr="001D735A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In the government bond market in the meanwhile, interest rates also posted a decline </w:t>
      </w:r>
      <w:r w:rsidRPr="001D735A">
        <w:rPr>
          <w:rFonts w:ascii="Garamond" w:hAnsi="Garamond"/>
          <w:sz w:val="22"/>
          <w:szCs w:val="22"/>
        </w:rPr>
        <w:t>a</w:t>
      </w:r>
      <w:r>
        <w:rPr>
          <w:rFonts w:ascii="Garamond" w:hAnsi="Garamond"/>
          <w:sz w:val="22"/>
          <w:szCs w:val="22"/>
        </w:rPr>
        <w:t xml:space="preserve">long </w:t>
      </w:r>
      <w:r w:rsidRPr="001D735A">
        <w:rPr>
          <w:rFonts w:ascii="Garamond" w:hAnsi="Garamond"/>
          <w:sz w:val="22"/>
          <w:szCs w:val="22"/>
        </w:rPr>
        <w:t xml:space="preserve">the </w:t>
      </w:r>
      <w:r>
        <w:rPr>
          <w:rFonts w:ascii="Garamond" w:hAnsi="Garamond"/>
          <w:sz w:val="22"/>
          <w:szCs w:val="22"/>
        </w:rPr>
        <w:t xml:space="preserve">entire </w:t>
      </w:r>
      <w:r w:rsidRPr="001D735A">
        <w:rPr>
          <w:rFonts w:ascii="Garamond" w:hAnsi="Garamond"/>
          <w:sz w:val="22"/>
          <w:szCs w:val="22"/>
        </w:rPr>
        <w:t>yield curve.</w:t>
      </w:r>
      <w:r>
        <w:rPr>
          <w:rFonts w:ascii="Garamond" w:hAnsi="Garamond"/>
          <w:sz w:val="22"/>
          <w:szCs w:val="22"/>
        </w:rPr>
        <w:t xml:space="preserve"> </w:t>
      </w:r>
    </w:p>
    <w:p w14:paraId="27F6F920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48C01777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B15DA">
        <w:rPr>
          <w:rFonts w:ascii="Garamond" w:hAnsi="Garamond"/>
          <w:sz w:val="22"/>
          <w:szCs w:val="22"/>
        </w:rPr>
        <w:t xml:space="preserve">The Board </w:t>
      </w:r>
      <w:r>
        <w:rPr>
          <w:rFonts w:ascii="Garamond" w:hAnsi="Garamond"/>
          <w:sz w:val="22"/>
          <w:szCs w:val="22"/>
        </w:rPr>
        <w:t>touched upon s</w:t>
      </w:r>
      <w:r w:rsidRPr="007B15DA">
        <w:rPr>
          <w:rFonts w:ascii="Garamond" w:hAnsi="Garamond"/>
          <w:sz w:val="22"/>
          <w:szCs w:val="22"/>
        </w:rPr>
        <w:t xml:space="preserve">ome </w:t>
      </w:r>
      <w:r>
        <w:rPr>
          <w:rFonts w:ascii="Garamond" w:hAnsi="Garamond"/>
          <w:sz w:val="22"/>
          <w:szCs w:val="22"/>
        </w:rPr>
        <w:t xml:space="preserve">supply-driven </w:t>
      </w:r>
      <w:r w:rsidRPr="007B15DA">
        <w:rPr>
          <w:rFonts w:ascii="Garamond" w:hAnsi="Garamond"/>
          <w:sz w:val="22"/>
          <w:szCs w:val="22"/>
        </w:rPr>
        <w:t xml:space="preserve">factors </w:t>
      </w:r>
      <w:r>
        <w:rPr>
          <w:rFonts w:ascii="Garamond" w:hAnsi="Garamond"/>
          <w:sz w:val="22"/>
          <w:szCs w:val="22"/>
        </w:rPr>
        <w:t xml:space="preserve">set to </w:t>
      </w:r>
      <w:r w:rsidRPr="007B15DA">
        <w:rPr>
          <w:rFonts w:ascii="Garamond" w:hAnsi="Garamond"/>
          <w:sz w:val="22"/>
          <w:szCs w:val="22"/>
        </w:rPr>
        <w:t>curb inflation</w:t>
      </w:r>
      <w:r>
        <w:rPr>
          <w:rFonts w:ascii="Garamond" w:hAnsi="Garamond"/>
          <w:sz w:val="22"/>
          <w:szCs w:val="22"/>
        </w:rPr>
        <w:t>, namely that the</w:t>
      </w:r>
      <w:r w:rsidRPr="007B15DA">
        <w:rPr>
          <w:rFonts w:ascii="Garamond" w:hAnsi="Garamond"/>
          <w:sz w:val="22"/>
          <w:szCs w:val="22"/>
        </w:rPr>
        <w:t xml:space="preserve"> EAEU membership and structural reforms</w:t>
      </w:r>
      <w:r>
        <w:rPr>
          <w:rFonts w:ascii="Garamond" w:hAnsi="Garamond"/>
          <w:sz w:val="22"/>
          <w:szCs w:val="22"/>
        </w:rPr>
        <w:t xml:space="preserve"> facilitate an increasingly strong c</w:t>
      </w:r>
      <w:r w:rsidRPr="007B15DA">
        <w:rPr>
          <w:rFonts w:ascii="Garamond" w:hAnsi="Garamond"/>
          <w:sz w:val="22"/>
          <w:szCs w:val="22"/>
        </w:rPr>
        <w:t xml:space="preserve">ompetition in commodity markets, which changes the pricing behavior of </w:t>
      </w:r>
      <w:r>
        <w:rPr>
          <w:rFonts w:ascii="Garamond" w:hAnsi="Garamond"/>
          <w:sz w:val="22"/>
          <w:szCs w:val="22"/>
        </w:rPr>
        <w:t>firms</w:t>
      </w:r>
      <w:r w:rsidRPr="007B15DA">
        <w:rPr>
          <w:rFonts w:ascii="Garamond" w:hAnsi="Garamond"/>
          <w:sz w:val="22"/>
          <w:szCs w:val="22"/>
        </w:rPr>
        <w:t xml:space="preserve"> and reduces </w:t>
      </w:r>
      <w:r>
        <w:rPr>
          <w:rFonts w:ascii="Garamond" w:hAnsi="Garamond"/>
          <w:sz w:val="22"/>
          <w:szCs w:val="22"/>
        </w:rPr>
        <w:t>their markups</w:t>
      </w:r>
      <w:r w:rsidRPr="007B15DA">
        <w:rPr>
          <w:rFonts w:ascii="Garamond" w:hAnsi="Garamond"/>
          <w:sz w:val="22"/>
          <w:szCs w:val="22"/>
        </w:rPr>
        <w:t xml:space="preserve">, and </w:t>
      </w:r>
      <w:r>
        <w:rPr>
          <w:rFonts w:ascii="Garamond" w:hAnsi="Garamond"/>
          <w:sz w:val="22"/>
          <w:szCs w:val="22"/>
        </w:rPr>
        <w:t xml:space="preserve">that </w:t>
      </w:r>
      <w:r w:rsidRPr="007B15DA">
        <w:rPr>
          <w:rFonts w:ascii="Garamond" w:hAnsi="Garamond"/>
          <w:sz w:val="22"/>
          <w:szCs w:val="22"/>
        </w:rPr>
        <w:t xml:space="preserve">efficiency </w:t>
      </w:r>
      <w:r>
        <w:rPr>
          <w:rFonts w:ascii="Garamond" w:hAnsi="Garamond"/>
          <w:sz w:val="22"/>
          <w:szCs w:val="22"/>
        </w:rPr>
        <w:t xml:space="preserve">in </w:t>
      </w:r>
      <w:r w:rsidRPr="007B15DA">
        <w:rPr>
          <w:rFonts w:ascii="Garamond" w:hAnsi="Garamond"/>
          <w:sz w:val="22"/>
          <w:szCs w:val="22"/>
        </w:rPr>
        <w:t xml:space="preserve">resource utilization </w:t>
      </w:r>
      <w:r>
        <w:rPr>
          <w:rFonts w:ascii="Garamond" w:hAnsi="Garamond"/>
          <w:sz w:val="22"/>
          <w:szCs w:val="22"/>
        </w:rPr>
        <w:t xml:space="preserve">is rising, which was mainly noticeable in </w:t>
      </w:r>
      <w:r w:rsidRPr="007B15DA">
        <w:rPr>
          <w:rFonts w:ascii="Garamond" w:hAnsi="Garamond"/>
          <w:sz w:val="22"/>
          <w:szCs w:val="22"/>
        </w:rPr>
        <w:t>non-</w:t>
      </w:r>
      <w:r>
        <w:rPr>
          <w:rFonts w:ascii="Garamond" w:hAnsi="Garamond"/>
          <w:sz w:val="22"/>
          <w:szCs w:val="22"/>
        </w:rPr>
        <w:t xml:space="preserve">tradable sector of the economy, </w:t>
      </w:r>
      <w:r w:rsidRPr="00375225">
        <w:rPr>
          <w:rFonts w:ascii="Garamond" w:hAnsi="Garamond"/>
          <w:sz w:val="22"/>
          <w:szCs w:val="22"/>
        </w:rPr>
        <w:t xml:space="preserve">shifting demand from </w:t>
      </w:r>
      <w:r>
        <w:rPr>
          <w:rFonts w:ascii="Garamond" w:hAnsi="Garamond"/>
          <w:sz w:val="22"/>
          <w:szCs w:val="22"/>
        </w:rPr>
        <w:t xml:space="preserve">the market of </w:t>
      </w:r>
      <w:r w:rsidRPr="00375225">
        <w:rPr>
          <w:rFonts w:ascii="Garamond" w:hAnsi="Garamond"/>
          <w:sz w:val="22"/>
          <w:szCs w:val="22"/>
        </w:rPr>
        <w:t xml:space="preserve">short-term consumer goods to </w:t>
      </w:r>
      <w:r>
        <w:rPr>
          <w:rFonts w:ascii="Garamond" w:hAnsi="Garamond"/>
          <w:sz w:val="22"/>
          <w:szCs w:val="22"/>
        </w:rPr>
        <w:t xml:space="preserve">that of </w:t>
      </w:r>
      <w:r w:rsidRPr="00375225">
        <w:rPr>
          <w:rFonts w:ascii="Garamond" w:hAnsi="Garamond"/>
          <w:sz w:val="22"/>
          <w:szCs w:val="22"/>
        </w:rPr>
        <w:t>long-term consumer goods.</w:t>
      </w:r>
    </w:p>
    <w:p w14:paraId="0C511E14" w14:textId="77777777" w:rsidR="00B93284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EFBA3AF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>Following presentation of the Situation Report and the developments in external and domestic macroeconomic environments, the Board began addressing the monetary policy directions and making decision on the interest rate.</w:t>
      </w:r>
      <w:r>
        <w:rPr>
          <w:rFonts w:ascii="Garamond" w:hAnsi="Garamond"/>
          <w:sz w:val="22"/>
          <w:szCs w:val="22"/>
        </w:rPr>
        <w:t xml:space="preserve"> In view of n</w:t>
      </w:r>
      <w:r w:rsidRPr="00003A2A">
        <w:rPr>
          <w:rFonts w:ascii="Garamond" w:hAnsi="Garamond"/>
          <w:sz w:val="22"/>
          <w:szCs w:val="22"/>
        </w:rPr>
        <w:t xml:space="preserve">on-inflationary impacts expected from the external sector in the near future and </w:t>
      </w:r>
      <w:r>
        <w:rPr>
          <w:rFonts w:ascii="Garamond" w:hAnsi="Garamond"/>
          <w:sz w:val="22"/>
          <w:szCs w:val="22"/>
        </w:rPr>
        <w:t xml:space="preserve">a </w:t>
      </w:r>
      <w:r w:rsidRPr="00003A2A">
        <w:rPr>
          <w:rFonts w:ascii="Garamond" w:hAnsi="Garamond"/>
          <w:sz w:val="22"/>
          <w:szCs w:val="22"/>
        </w:rPr>
        <w:t>stimulati</w:t>
      </w:r>
      <w:r>
        <w:rPr>
          <w:rFonts w:ascii="Garamond" w:hAnsi="Garamond"/>
          <w:sz w:val="22"/>
          <w:szCs w:val="22"/>
        </w:rPr>
        <w:t xml:space="preserve">ve </w:t>
      </w:r>
      <w:r w:rsidRPr="00003A2A">
        <w:rPr>
          <w:rFonts w:ascii="Garamond" w:hAnsi="Garamond"/>
          <w:sz w:val="22"/>
          <w:szCs w:val="22"/>
        </w:rPr>
        <w:t>fiscal policy</w:t>
      </w:r>
      <w:r>
        <w:rPr>
          <w:rFonts w:ascii="Garamond" w:hAnsi="Garamond"/>
          <w:sz w:val="22"/>
          <w:szCs w:val="22"/>
        </w:rPr>
        <w:t>,</w:t>
      </w:r>
      <w:r w:rsidRPr="00003A2A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while </w:t>
      </w:r>
      <w:r w:rsidRPr="005228DC">
        <w:rPr>
          <w:rFonts w:ascii="Garamond" w:hAnsi="Garamond"/>
          <w:sz w:val="22"/>
          <w:szCs w:val="22"/>
        </w:rPr>
        <w:t xml:space="preserve">preferring </w:t>
      </w:r>
      <w:r>
        <w:rPr>
          <w:rFonts w:ascii="Garamond" w:hAnsi="Garamond"/>
          <w:sz w:val="22"/>
          <w:szCs w:val="22"/>
        </w:rPr>
        <w:t xml:space="preserve">a </w:t>
      </w:r>
      <w:r w:rsidRPr="005228DC">
        <w:rPr>
          <w:rFonts w:ascii="Garamond" w:hAnsi="Garamond"/>
          <w:sz w:val="22"/>
          <w:szCs w:val="22"/>
        </w:rPr>
        <w:t>gradual recovery of inflation</w:t>
      </w:r>
      <w:r>
        <w:rPr>
          <w:rFonts w:ascii="Garamond" w:hAnsi="Garamond"/>
          <w:sz w:val="22"/>
          <w:szCs w:val="22"/>
        </w:rPr>
        <w:t xml:space="preserve">, </w:t>
      </w:r>
      <w:r w:rsidRPr="005228DC">
        <w:rPr>
          <w:rFonts w:ascii="Garamond" w:hAnsi="Garamond"/>
          <w:sz w:val="22"/>
          <w:szCs w:val="22"/>
        </w:rPr>
        <w:t xml:space="preserve">the </w:t>
      </w:r>
      <w:r>
        <w:rPr>
          <w:rFonts w:ascii="Garamond" w:hAnsi="Garamond"/>
          <w:sz w:val="22"/>
          <w:szCs w:val="22"/>
        </w:rPr>
        <w:t>B</w:t>
      </w:r>
      <w:r w:rsidRPr="005228DC">
        <w:rPr>
          <w:rFonts w:ascii="Garamond" w:hAnsi="Garamond"/>
          <w:sz w:val="22"/>
          <w:szCs w:val="22"/>
        </w:rPr>
        <w:t>oard</w:t>
      </w:r>
      <w:r>
        <w:rPr>
          <w:rFonts w:ascii="Garamond" w:hAnsi="Garamond"/>
          <w:sz w:val="22"/>
          <w:szCs w:val="22"/>
        </w:rPr>
        <w:t xml:space="preserve"> </w:t>
      </w:r>
      <w:r w:rsidRPr="004113D0">
        <w:rPr>
          <w:rFonts w:ascii="Garamond" w:hAnsi="Garamond"/>
          <w:b/>
          <w:sz w:val="22"/>
          <w:szCs w:val="22"/>
        </w:rPr>
        <w:t xml:space="preserve">found it appropriate to </w:t>
      </w:r>
      <w:r>
        <w:rPr>
          <w:rFonts w:ascii="Garamond" w:hAnsi="Garamond"/>
          <w:b/>
          <w:sz w:val="22"/>
          <w:szCs w:val="22"/>
        </w:rPr>
        <w:t xml:space="preserve">retain the </w:t>
      </w:r>
      <w:r w:rsidRPr="004113D0">
        <w:rPr>
          <w:rFonts w:ascii="Garamond" w:hAnsi="Garamond"/>
          <w:b/>
          <w:sz w:val="22"/>
          <w:szCs w:val="22"/>
        </w:rPr>
        <w:t xml:space="preserve">monetary stimulus by </w:t>
      </w:r>
      <w:r>
        <w:rPr>
          <w:rFonts w:ascii="Garamond" w:hAnsi="Garamond"/>
          <w:b/>
          <w:sz w:val="22"/>
          <w:szCs w:val="22"/>
        </w:rPr>
        <w:t xml:space="preserve">leaving the refinancing rate unchanged. </w:t>
      </w:r>
      <w:r>
        <w:rPr>
          <w:rFonts w:ascii="Garamond" w:hAnsi="Garamond"/>
          <w:sz w:val="22"/>
          <w:szCs w:val="22"/>
        </w:rPr>
        <w:t>G</w:t>
      </w:r>
      <w:r w:rsidRPr="004D4162">
        <w:rPr>
          <w:rFonts w:ascii="Garamond" w:hAnsi="Garamond"/>
          <w:sz w:val="22"/>
          <w:szCs w:val="22"/>
        </w:rPr>
        <w:t xml:space="preserve">iven the predictable macroeconomic developments, </w:t>
      </w:r>
      <w:r>
        <w:rPr>
          <w:rFonts w:ascii="Garamond" w:hAnsi="Garamond"/>
          <w:sz w:val="22"/>
          <w:szCs w:val="22"/>
        </w:rPr>
        <w:t xml:space="preserve">the Board estimates that </w:t>
      </w:r>
      <w:r w:rsidRPr="004D4162">
        <w:rPr>
          <w:rFonts w:ascii="Garamond" w:hAnsi="Garamond"/>
          <w:sz w:val="22"/>
          <w:szCs w:val="22"/>
        </w:rPr>
        <w:t xml:space="preserve">monetary conditions </w:t>
      </w:r>
      <w:r>
        <w:rPr>
          <w:rFonts w:ascii="Garamond" w:hAnsi="Garamond"/>
          <w:sz w:val="22"/>
          <w:szCs w:val="22"/>
        </w:rPr>
        <w:t xml:space="preserve">still need </w:t>
      </w:r>
      <w:r w:rsidRPr="004D4162">
        <w:rPr>
          <w:rFonts w:ascii="Garamond" w:hAnsi="Garamond"/>
          <w:sz w:val="22"/>
          <w:szCs w:val="22"/>
        </w:rPr>
        <w:t xml:space="preserve">to be kept </w:t>
      </w:r>
      <w:r>
        <w:rPr>
          <w:rFonts w:ascii="Garamond" w:hAnsi="Garamond"/>
          <w:sz w:val="22"/>
          <w:szCs w:val="22"/>
        </w:rPr>
        <w:t xml:space="preserve">expansionary, in anticipation that </w:t>
      </w:r>
      <w:r w:rsidRPr="004D4162">
        <w:rPr>
          <w:rFonts w:ascii="Garamond" w:hAnsi="Garamond"/>
          <w:sz w:val="22"/>
          <w:szCs w:val="22"/>
        </w:rPr>
        <w:t xml:space="preserve">the inflation will run below the target in the coming months but will </w:t>
      </w:r>
      <w:r>
        <w:rPr>
          <w:rFonts w:ascii="Garamond" w:hAnsi="Garamond"/>
          <w:sz w:val="22"/>
          <w:szCs w:val="22"/>
        </w:rPr>
        <w:t xml:space="preserve">gradually get closer to it in the mid-term perspective. </w:t>
      </w:r>
    </w:p>
    <w:p w14:paraId="36C32FD1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790E2416" w14:textId="77777777" w:rsidR="00D25EB7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 xml:space="preserve">The Board also </w:t>
      </w:r>
      <w:r>
        <w:rPr>
          <w:rFonts w:ascii="Garamond" w:hAnsi="Garamond"/>
          <w:sz w:val="22"/>
          <w:szCs w:val="22"/>
        </w:rPr>
        <w:t xml:space="preserve">looked to </w:t>
      </w:r>
      <w:r w:rsidRPr="004D4162">
        <w:rPr>
          <w:rFonts w:ascii="Garamond" w:hAnsi="Garamond"/>
          <w:sz w:val="22"/>
          <w:szCs w:val="22"/>
        </w:rPr>
        <w:t>current inflation risks</w:t>
      </w:r>
      <w:r>
        <w:rPr>
          <w:rFonts w:ascii="Garamond" w:hAnsi="Garamond"/>
          <w:sz w:val="22"/>
          <w:szCs w:val="22"/>
        </w:rPr>
        <w:t xml:space="preserve">. These risks are generally balanced now. However, if they </w:t>
      </w:r>
      <w:r w:rsidRPr="004D4162">
        <w:rPr>
          <w:rFonts w:ascii="Garamond" w:hAnsi="Garamond"/>
          <w:sz w:val="22"/>
          <w:szCs w:val="22"/>
        </w:rPr>
        <w:t xml:space="preserve">materialize, an appropriate monetary policy response </w:t>
      </w:r>
      <w:r>
        <w:rPr>
          <w:rFonts w:ascii="Garamond" w:hAnsi="Garamond"/>
          <w:sz w:val="22"/>
          <w:szCs w:val="22"/>
        </w:rPr>
        <w:t xml:space="preserve">of the Central Bank </w:t>
      </w:r>
      <w:r w:rsidRPr="004D4162">
        <w:rPr>
          <w:rFonts w:ascii="Garamond" w:hAnsi="Garamond"/>
          <w:sz w:val="22"/>
          <w:szCs w:val="22"/>
        </w:rPr>
        <w:t xml:space="preserve">will </w:t>
      </w:r>
      <w:r>
        <w:rPr>
          <w:rFonts w:ascii="Garamond" w:hAnsi="Garamond"/>
          <w:sz w:val="22"/>
          <w:szCs w:val="22"/>
        </w:rPr>
        <w:t xml:space="preserve">come along </w:t>
      </w:r>
      <w:r w:rsidRPr="004D4162">
        <w:rPr>
          <w:rFonts w:ascii="Garamond" w:hAnsi="Garamond"/>
          <w:sz w:val="22"/>
          <w:szCs w:val="22"/>
        </w:rPr>
        <w:t>to ensure price stabili</w:t>
      </w:r>
      <w:r w:rsidR="00D25EB7">
        <w:rPr>
          <w:rFonts w:ascii="Garamond" w:hAnsi="Garamond"/>
          <w:sz w:val="22"/>
          <w:szCs w:val="22"/>
        </w:rPr>
        <w:t>ty in the medium term.</w:t>
      </w:r>
    </w:p>
    <w:p w14:paraId="2E8B64EB" w14:textId="77777777" w:rsidR="00D25EB7" w:rsidRDefault="00D25EB7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4AB47D7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>The Board approved the decision on interest rates of monetary instruments of the Central Bank and the proposed press release, which are attached hereto.</w:t>
      </w:r>
    </w:p>
    <w:p w14:paraId="29EFCCFD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sz w:val="22"/>
          <w:szCs w:val="22"/>
        </w:rPr>
      </w:pPr>
    </w:p>
    <w:p w14:paraId="6F97BD21" w14:textId="77777777" w:rsidR="00B93284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  <w:r>
        <w:rPr>
          <w:rFonts w:ascii="Garamond" w:hAnsi="Garamond"/>
          <w:b/>
          <w:color w:val="0070C0"/>
          <w:sz w:val="22"/>
          <w:szCs w:val="22"/>
        </w:rPr>
        <w:t>The Central Bank of the Republic of Armenia</w:t>
      </w:r>
    </w:p>
    <w:p w14:paraId="2B3F962C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  <w:r>
        <w:rPr>
          <w:rFonts w:ascii="Garamond" w:hAnsi="Garamond"/>
          <w:b/>
          <w:color w:val="0070C0"/>
          <w:sz w:val="22"/>
          <w:szCs w:val="22"/>
        </w:rPr>
        <w:t>Board Decision</w:t>
      </w:r>
    </w:p>
    <w:p w14:paraId="4170E123" w14:textId="77777777" w:rsidR="00B93284" w:rsidRPr="00B93284" w:rsidRDefault="00B93284" w:rsidP="00B93284">
      <w:pPr>
        <w:spacing w:line="360" w:lineRule="auto"/>
        <w:jc w:val="center"/>
        <w:rPr>
          <w:rFonts w:ascii="Garamond" w:hAnsi="Garamond"/>
          <w:b/>
          <w:sz w:val="22"/>
          <w:szCs w:val="22"/>
        </w:rPr>
      </w:pPr>
      <w:r w:rsidRPr="00B93284">
        <w:rPr>
          <w:rFonts w:ascii="Garamond" w:hAnsi="Garamond"/>
          <w:b/>
          <w:sz w:val="22"/>
          <w:szCs w:val="22"/>
        </w:rPr>
        <w:t xml:space="preserve">Interest Rates of Instruments of Monetary Policy of the Central Bank of the Republic of Armenia </w:t>
      </w:r>
    </w:p>
    <w:p w14:paraId="2279DCAD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sz w:val="22"/>
          <w:szCs w:val="22"/>
        </w:rPr>
      </w:pPr>
    </w:p>
    <w:p w14:paraId="38138DF9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lastRenderedPageBreak/>
        <w:t>By virtue of Article 2 (</w:t>
      </w:r>
      <w:r>
        <w:rPr>
          <w:rFonts w:ascii="Garamond" w:hAnsi="Garamond"/>
          <w:sz w:val="22"/>
          <w:szCs w:val="22"/>
        </w:rPr>
        <w:t>3</w:t>
      </w:r>
      <w:r w:rsidRPr="004D4162"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>,</w:t>
      </w:r>
      <w:r w:rsidRPr="004D4162">
        <w:rPr>
          <w:rFonts w:ascii="Garamond" w:hAnsi="Garamond"/>
          <w:sz w:val="22"/>
          <w:szCs w:val="22"/>
        </w:rPr>
        <w:t xml:space="preserve"> Article 20 </w:t>
      </w:r>
      <w:r>
        <w:rPr>
          <w:rFonts w:ascii="Garamond" w:hAnsi="Garamond"/>
          <w:sz w:val="22"/>
          <w:szCs w:val="22"/>
        </w:rPr>
        <w:t>“c”</w:t>
      </w:r>
      <w:r w:rsidRPr="004D416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and “e” </w:t>
      </w:r>
      <w:r w:rsidRPr="004D4162">
        <w:rPr>
          <w:rFonts w:ascii="Garamond" w:hAnsi="Garamond"/>
          <w:sz w:val="22"/>
          <w:szCs w:val="22"/>
        </w:rPr>
        <w:t>of the Republic of Armenia Law on the Central Bank</w:t>
      </w:r>
      <w:r>
        <w:rPr>
          <w:rFonts w:ascii="Garamond" w:hAnsi="Garamond"/>
          <w:sz w:val="22"/>
          <w:szCs w:val="22"/>
        </w:rPr>
        <w:t>,</w:t>
      </w:r>
      <w:r w:rsidRPr="004D416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and clauses of the </w:t>
      </w:r>
      <w:r w:rsidRPr="004D4162">
        <w:rPr>
          <w:rFonts w:ascii="Garamond" w:hAnsi="Garamond"/>
          <w:sz w:val="22"/>
          <w:szCs w:val="22"/>
        </w:rPr>
        <w:t xml:space="preserve">Republic of Armenia Law on </w:t>
      </w:r>
      <w:r>
        <w:rPr>
          <w:rFonts w:ascii="Garamond" w:hAnsi="Garamond"/>
          <w:sz w:val="22"/>
          <w:szCs w:val="22"/>
        </w:rPr>
        <w:t xml:space="preserve">Normative Regulations, </w:t>
      </w:r>
      <w:r w:rsidRPr="004D4162">
        <w:rPr>
          <w:rFonts w:ascii="Garamond" w:hAnsi="Garamond"/>
          <w:sz w:val="22"/>
          <w:szCs w:val="22"/>
        </w:rPr>
        <w:t xml:space="preserve">the Board of the Central Bank of the Republic of Armenia </w:t>
      </w:r>
      <w:r w:rsidRPr="004D4162">
        <w:rPr>
          <w:rFonts w:ascii="Garamond" w:hAnsi="Garamond"/>
          <w:b/>
          <w:sz w:val="22"/>
          <w:szCs w:val="22"/>
        </w:rPr>
        <w:t>enacts:</w:t>
      </w:r>
    </w:p>
    <w:p w14:paraId="613A5AFA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1.</w:t>
      </w:r>
      <w:r>
        <w:rPr>
          <w:rFonts w:ascii="Garamond" w:hAnsi="Garamond"/>
          <w:sz w:val="22"/>
          <w:szCs w:val="22"/>
        </w:rPr>
        <w:tab/>
        <w:t xml:space="preserve">Leave </w:t>
      </w:r>
      <w:r w:rsidRPr="004D4162">
        <w:rPr>
          <w:rFonts w:ascii="Garamond" w:hAnsi="Garamond"/>
          <w:sz w:val="22"/>
          <w:szCs w:val="22"/>
        </w:rPr>
        <w:t xml:space="preserve">the refinancing rate of the Central Bank of the Republic of Armenia </w:t>
      </w:r>
      <w:r>
        <w:rPr>
          <w:rFonts w:ascii="Garamond" w:hAnsi="Garamond"/>
          <w:sz w:val="22"/>
          <w:szCs w:val="22"/>
        </w:rPr>
        <w:t xml:space="preserve">unchanged, at </w:t>
      </w:r>
      <w:r w:rsidRPr="004D4162">
        <w:rPr>
          <w:rFonts w:ascii="Garamond" w:hAnsi="Garamond"/>
          <w:sz w:val="22"/>
          <w:szCs w:val="22"/>
        </w:rPr>
        <w:t>5.5%.</w:t>
      </w:r>
    </w:p>
    <w:p w14:paraId="16C11AA4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>2.</w:t>
      </w:r>
      <w:r>
        <w:rPr>
          <w:rFonts w:ascii="Garamond" w:hAnsi="Garamond"/>
          <w:sz w:val="22"/>
          <w:szCs w:val="22"/>
        </w:rPr>
        <w:tab/>
      </w:r>
      <w:r w:rsidRPr="004D4162">
        <w:rPr>
          <w:rFonts w:ascii="Garamond" w:hAnsi="Garamond"/>
          <w:sz w:val="22"/>
          <w:szCs w:val="22"/>
        </w:rPr>
        <w:t>Lombard facility rate offered by the Central Bank of the Republic of Armenia to be 7.</w:t>
      </w:r>
      <w:r>
        <w:rPr>
          <w:rFonts w:ascii="Garamond" w:hAnsi="Garamond"/>
          <w:sz w:val="22"/>
          <w:szCs w:val="22"/>
        </w:rPr>
        <w:t>0</w:t>
      </w:r>
      <w:r w:rsidRPr="004D4162">
        <w:rPr>
          <w:rFonts w:ascii="Garamond" w:hAnsi="Garamond"/>
          <w:sz w:val="22"/>
          <w:szCs w:val="22"/>
        </w:rPr>
        <w:t>%.</w:t>
      </w:r>
    </w:p>
    <w:p w14:paraId="0927B5B0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3.</w:t>
      </w:r>
      <w:r>
        <w:rPr>
          <w:rFonts w:ascii="Garamond" w:hAnsi="Garamond"/>
          <w:sz w:val="22"/>
          <w:szCs w:val="22"/>
        </w:rPr>
        <w:tab/>
      </w:r>
      <w:r w:rsidRPr="004D4162">
        <w:rPr>
          <w:rFonts w:ascii="Garamond" w:hAnsi="Garamond"/>
          <w:sz w:val="22"/>
          <w:szCs w:val="22"/>
        </w:rPr>
        <w:t>Deposit facility rate offered by the Central Bank of the Republic of Armenia to be 4.</w:t>
      </w:r>
      <w:r>
        <w:rPr>
          <w:rFonts w:ascii="Garamond" w:hAnsi="Garamond"/>
          <w:sz w:val="22"/>
          <w:szCs w:val="22"/>
        </w:rPr>
        <w:t>0</w:t>
      </w:r>
      <w:r w:rsidRPr="004D4162">
        <w:rPr>
          <w:rFonts w:ascii="Garamond" w:hAnsi="Garamond"/>
          <w:sz w:val="22"/>
          <w:szCs w:val="22"/>
        </w:rPr>
        <w:t>%.</w:t>
      </w:r>
    </w:p>
    <w:p w14:paraId="5371C594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4.</w:t>
      </w:r>
      <w:r>
        <w:rPr>
          <w:rFonts w:ascii="Garamond" w:hAnsi="Garamond"/>
          <w:sz w:val="22"/>
          <w:szCs w:val="22"/>
        </w:rPr>
        <w:tab/>
      </w:r>
      <w:r w:rsidRPr="004D4162">
        <w:rPr>
          <w:rFonts w:ascii="Garamond" w:hAnsi="Garamond"/>
          <w:sz w:val="22"/>
          <w:szCs w:val="22"/>
        </w:rPr>
        <w:t>This decision take</w:t>
      </w:r>
      <w:r>
        <w:rPr>
          <w:rFonts w:ascii="Garamond" w:hAnsi="Garamond"/>
          <w:sz w:val="22"/>
          <w:szCs w:val="22"/>
        </w:rPr>
        <w:t>s</w:t>
      </w:r>
      <w:r w:rsidRPr="004D4162">
        <w:rPr>
          <w:rFonts w:ascii="Garamond" w:hAnsi="Garamond"/>
          <w:sz w:val="22"/>
          <w:szCs w:val="22"/>
        </w:rPr>
        <w:t xml:space="preserve"> force</w:t>
      </w:r>
      <w:r>
        <w:rPr>
          <w:rFonts w:ascii="Garamond" w:hAnsi="Garamond"/>
          <w:sz w:val="22"/>
          <w:szCs w:val="22"/>
        </w:rPr>
        <w:t xml:space="preserve"> on</w:t>
      </w:r>
      <w:r w:rsidRPr="004D4162">
        <w:rPr>
          <w:rFonts w:ascii="Garamond" w:hAnsi="Garamond"/>
          <w:sz w:val="22"/>
          <w:szCs w:val="22"/>
        </w:rPr>
        <w:t xml:space="preserve"> </w:t>
      </w:r>
      <w:r w:rsidRPr="002E4111">
        <w:rPr>
          <w:rFonts w:ascii="Garamond" w:hAnsi="Garamond"/>
          <w:sz w:val="22"/>
          <w:szCs w:val="22"/>
        </w:rPr>
        <w:t xml:space="preserve">the day following </w:t>
      </w:r>
      <w:r>
        <w:rPr>
          <w:rFonts w:ascii="Garamond" w:hAnsi="Garamond"/>
          <w:sz w:val="22"/>
          <w:szCs w:val="22"/>
        </w:rPr>
        <w:t xml:space="preserve">its </w:t>
      </w:r>
      <w:r w:rsidRPr="002E4111">
        <w:rPr>
          <w:rFonts w:ascii="Garamond" w:hAnsi="Garamond"/>
          <w:sz w:val="22"/>
          <w:szCs w:val="22"/>
        </w:rPr>
        <w:t>p</w:t>
      </w:r>
      <w:r>
        <w:rPr>
          <w:rFonts w:ascii="Garamond" w:hAnsi="Garamond"/>
          <w:sz w:val="22"/>
          <w:szCs w:val="22"/>
        </w:rPr>
        <w:t xml:space="preserve">lacing on the internet </w:t>
      </w:r>
      <w:r w:rsidRPr="002E4111">
        <w:rPr>
          <w:rFonts w:ascii="Garamond" w:hAnsi="Garamond"/>
          <w:sz w:val="22"/>
          <w:szCs w:val="22"/>
        </w:rPr>
        <w:t>homepage</w:t>
      </w:r>
      <w:r>
        <w:rPr>
          <w:rFonts w:ascii="Garamond" w:hAnsi="Garamond"/>
          <w:sz w:val="22"/>
          <w:szCs w:val="22"/>
        </w:rPr>
        <w:t xml:space="preserve"> of </w:t>
      </w:r>
      <w:r w:rsidRPr="004D4162">
        <w:rPr>
          <w:rFonts w:ascii="Garamond" w:hAnsi="Garamond"/>
          <w:sz w:val="22"/>
          <w:szCs w:val="22"/>
        </w:rPr>
        <w:t>the Central Bank of the Republic of Armenia.</w:t>
      </w:r>
      <w:r>
        <w:rPr>
          <w:rFonts w:ascii="Garamond" w:hAnsi="Garamond"/>
          <w:sz w:val="22"/>
          <w:szCs w:val="22"/>
        </w:rPr>
        <w:t xml:space="preserve"> </w:t>
      </w:r>
    </w:p>
    <w:p w14:paraId="4EB591C9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6A6AFC0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Nerses</w:t>
      </w:r>
      <w:proofErr w:type="spellEnd"/>
      <w:r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Yeritsyan</w:t>
      </w:r>
      <w:proofErr w:type="spellEnd"/>
      <w:r w:rsidRPr="004D4162">
        <w:rPr>
          <w:rFonts w:ascii="Garamond" w:hAnsi="Garamond"/>
          <w:b/>
          <w:sz w:val="22"/>
          <w:szCs w:val="22"/>
        </w:rPr>
        <w:t>,</w:t>
      </w:r>
    </w:p>
    <w:p w14:paraId="63B12985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Deputy </w:t>
      </w:r>
      <w:r w:rsidRPr="004D4162">
        <w:rPr>
          <w:rFonts w:ascii="Garamond" w:hAnsi="Garamond"/>
          <w:b/>
          <w:sz w:val="22"/>
          <w:szCs w:val="22"/>
        </w:rPr>
        <w:t>Governor of the Central Bank</w:t>
      </w:r>
    </w:p>
    <w:p w14:paraId="1E92CC2E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b/>
          <w:sz w:val="22"/>
          <w:szCs w:val="22"/>
        </w:rPr>
      </w:pPr>
    </w:p>
    <w:p w14:paraId="00AFB3AB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December</w:t>
      </w:r>
      <w:r w:rsidRPr="004D4162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10</w:t>
      </w:r>
      <w:r w:rsidRPr="004D4162">
        <w:rPr>
          <w:rFonts w:ascii="Garamond" w:hAnsi="Garamond"/>
          <w:b/>
          <w:sz w:val="22"/>
          <w:szCs w:val="22"/>
        </w:rPr>
        <w:t>, 2019</w:t>
      </w:r>
    </w:p>
    <w:p w14:paraId="6F8C4803" w14:textId="77777777" w:rsidR="00B93284" w:rsidRPr="004D4162" w:rsidRDefault="00B93284" w:rsidP="00B9328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D4162">
        <w:rPr>
          <w:rFonts w:ascii="Garamond" w:hAnsi="Garamond"/>
          <w:sz w:val="22"/>
          <w:szCs w:val="22"/>
        </w:rPr>
        <w:t>c. Yerevan</w:t>
      </w:r>
    </w:p>
    <w:p w14:paraId="73B39153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4ADB1AA8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529A8276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0C8BC422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68F008F7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5B94E9E9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7ADE64FC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40D5137B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495919F1" w14:textId="77777777" w:rsidR="00B93284" w:rsidRPr="004D4162" w:rsidRDefault="00B93284" w:rsidP="00B93284">
      <w:pPr>
        <w:spacing w:line="360" w:lineRule="auto"/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7A451E98" w14:textId="77777777" w:rsidR="00B93284" w:rsidRPr="004D4162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48B3AA93" w14:textId="77777777" w:rsidR="00B93284" w:rsidRPr="004D4162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2FA39EE6" w14:textId="77777777" w:rsidR="00B93284" w:rsidRPr="004D4162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33139AB3" w14:textId="77777777" w:rsidR="00B93284" w:rsidRPr="004D4162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122280E6" w14:textId="77777777" w:rsidR="00B93284" w:rsidRPr="004D4162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50B7B00D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31E9BAEA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6EB474D4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1BF2D058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4D2F8607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33358E04" w14:textId="77777777" w:rsidR="00B9328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</w:p>
    <w:p w14:paraId="2895F045" w14:textId="77777777" w:rsidR="00B93284" w:rsidRPr="00B16FA4" w:rsidRDefault="00B93284" w:rsidP="00B93284">
      <w:pPr>
        <w:jc w:val="center"/>
        <w:rPr>
          <w:rFonts w:ascii="Garamond" w:hAnsi="Garamond"/>
          <w:b/>
          <w:color w:val="0070C0"/>
          <w:sz w:val="22"/>
          <w:szCs w:val="22"/>
        </w:rPr>
      </w:pPr>
      <w:r w:rsidRPr="00B16FA4">
        <w:rPr>
          <w:rFonts w:ascii="Garamond" w:hAnsi="Garamond"/>
          <w:b/>
          <w:color w:val="0070C0"/>
          <w:sz w:val="22"/>
          <w:szCs w:val="22"/>
        </w:rPr>
        <w:t>PRESS RELEASE</w:t>
      </w:r>
    </w:p>
    <w:p w14:paraId="1B2F3F1E" w14:textId="77777777" w:rsidR="00B93284" w:rsidRPr="00B16FA4" w:rsidRDefault="00B93284" w:rsidP="00B93284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color w:val="0070C0"/>
          <w:sz w:val="22"/>
          <w:szCs w:val="22"/>
        </w:rPr>
        <w:t>10</w:t>
      </w:r>
      <w:r w:rsidRPr="00B16FA4">
        <w:rPr>
          <w:rFonts w:ascii="Garamond" w:hAnsi="Garamond"/>
          <w:b/>
          <w:color w:val="0070C0"/>
          <w:sz w:val="22"/>
          <w:szCs w:val="22"/>
        </w:rPr>
        <w:t>.</w:t>
      </w:r>
      <w:r>
        <w:rPr>
          <w:rFonts w:ascii="Garamond" w:hAnsi="Garamond"/>
          <w:b/>
          <w:color w:val="0070C0"/>
          <w:sz w:val="22"/>
          <w:szCs w:val="22"/>
        </w:rPr>
        <w:t>12</w:t>
      </w:r>
      <w:r w:rsidRPr="00B16FA4">
        <w:rPr>
          <w:rFonts w:ascii="Garamond" w:hAnsi="Garamond"/>
          <w:b/>
          <w:color w:val="0070C0"/>
          <w:sz w:val="22"/>
          <w:szCs w:val="22"/>
        </w:rPr>
        <w:t>.201</w:t>
      </w:r>
      <w:r>
        <w:rPr>
          <w:rFonts w:ascii="Garamond" w:hAnsi="Garamond"/>
          <w:b/>
          <w:color w:val="0070C0"/>
          <w:sz w:val="22"/>
          <w:szCs w:val="22"/>
        </w:rPr>
        <w:t>9</w:t>
      </w:r>
    </w:p>
    <w:p w14:paraId="7E951047" w14:textId="77777777" w:rsidR="00B93284" w:rsidRPr="00B16FA4" w:rsidRDefault="00B93284" w:rsidP="00B93284">
      <w:pPr>
        <w:jc w:val="both"/>
        <w:rPr>
          <w:rFonts w:ascii="Garamond" w:hAnsi="Garamond"/>
          <w:sz w:val="22"/>
          <w:szCs w:val="22"/>
        </w:rPr>
      </w:pPr>
    </w:p>
    <w:p w14:paraId="379E5E58" w14:textId="77777777" w:rsidR="00B93284" w:rsidRPr="00B16FA4" w:rsidRDefault="00B93284" w:rsidP="00B93284">
      <w:pPr>
        <w:jc w:val="both"/>
        <w:rPr>
          <w:rFonts w:ascii="Garamond" w:hAnsi="Garamond"/>
        </w:rPr>
      </w:pPr>
      <w:r>
        <w:rPr>
          <w:rFonts w:ascii="Garamond" w:hAnsi="Garamond"/>
        </w:rPr>
        <w:t>In</w:t>
      </w:r>
      <w:r w:rsidRPr="00B16FA4">
        <w:rPr>
          <w:rFonts w:ascii="Garamond" w:hAnsi="Garamond"/>
        </w:rPr>
        <w:t xml:space="preserve"> the </w:t>
      </w:r>
      <w:r>
        <w:rPr>
          <w:rFonts w:ascii="Garamond" w:hAnsi="Garamond"/>
        </w:rPr>
        <w:t>December 10,</w:t>
      </w:r>
      <w:r w:rsidRPr="00B16FA4">
        <w:rPr>
          <w:rFonts w:ascii="Garamond" w:hAnsi="Garamond"/>
        </w:rPr>
        <w:t xml:space="preserve"> 201</w:t>
      </w:r>
      <w:r>
        <w:rPr>
          <w:rFonts w:ascii="Garamond" w:hAnsi="Garamond"/>
        </w:rPr>
        <w:t>9</w:t>
      </w:r>
      <w:r w:rsidRPr="00B16FA4">
        <w:rPr>
          <w:rFonts w:ascii="Garamond" w:hAnsi="Garamond"/>
        </w:rPr>
        <w:t xml:space="preserve"> meeting</w:t>
      </w:r>
      <w:r>
        <w:rPr>
          <w:rFonts w:ascii="Garamond" w:hAnsi="Garamond"/>
        </w:rPr>
        <w:t xml:space="preserve"> </w:t>
      </w:r>
      <w:r w:rsidRPr="00B16FA4">
        <w:rPr>
          <w:rFonts w:ascii="Garamond" w:hAnsi="Garamond"/>
        </w:rPr>
        <w:t>the Board of the Central Bank of Armenia</w:t>
      </w:r>
      <w:r>
        <w:rPr>
          <w:rFonts w:ascii="Garamond" w:hAnsi="Garamond"/>
        </w:rPr>
        <w:t xml:space="preserve"> </w:t>
      </w:r>
      <w:r w:rsidRPr="00B16FA4">
        <w:rPr>
          <w:rFonts w:ascii="Garamond" w:hAnsi="Garamond"/>
        </w:rPr>
        <w:t xml:space="preserve">decided to </w:t>
      </w:r>
      <w:r>
        <w:rPr>
          <w:rFonts w:ascii="Garamond" w:hAnsi="Garamond"/>
        </w:rPr>
        <w:t xml:space="preserve">leave </w:t>
      </w:r>
      <w:r w:rsidRPr="00B16FA4">
        <w:rPr>
          <w:rFonts w:ascii="Garamond" w:hAnsi="Garamond"/>
        </w:rPr>
        <w:t>the refinancing rate</w:t>
      </w:r>
      <w:r>
        <w:rPr>
          <w:rFonts w:ascii="Garamond" w:hAnsi="Garamond"/>
        </w:rPr>
        <w:t xml:space="preserve"> unchanged, at 5.5</w:t>
      </w:r>
      <w:r w:rsidRPr="00B16FA4">
        <w:rPr>
          <w:rFonts w:ascii="Garamond" w:hAnsi="Garamond"/>
        </w:rPr>
        <w:t>%.</w:t>
      </w:r>
    </w:p>
    <w:p w14:paraId="519614D5" w14:textId="77777777" w:rsidR="00B93284" w:rsidRPr="00B16FA4" w:rsidRDefault="00B93284" w:rsidP="00B93284">
      <w:pPr>
        <w:jc w:val="both"/>
        <w:rPr>
          <w:rFonts w:ascii="Garamond" w:hAnsi="Garamond"/>
        </w:rPr>
      </w:pPr>
    </w:p>
    <w:p w14:paraId="05AA186F" w14:textId="77777777" w:rsidR="00B93284" w:rsidRDefault="00B93284" w:rsidP="00B93284">
      <w:pPr>
        <w:jc w:val="both"/>
        <w:rPr>
          <w:rFonts w:ascii="Garamond" w:hAnsi="Garamond"/>
        </w:rPr>
      </w:pPr>
      <w:r w:rsidRPr="00B16FA4">
        <w:rPr>
          <w:rFonts w:ascii="Garamond" w:hAnsi="Garamond"/>
        </w:rPr>
        <w:lastRenderedPageBreak/>
        <w:t xml:space="preserve">There was </w:t>
      </w:r>
      <w:r>
        <w:rPr>
          <w:rFonts w:ascii="Garamond" w:hAnsi="Garamond"/>
        </w:rPr>
        <w:t>1</w:t>
      </w:r>
      <w:r w:rsidRPr="00B16FA4">
        <w:rPr>
          <w:rFonts w:ascii="Garamond" w:hAnsi="Garamond"/>
        </w:rPr>
        <w:t>.</w:t>
      </w:r>
      <w:r>
        <w:rPr>
          <w:rFonts w:ascii="Garamond" w:hAnsi="Garamond"/>
        </w:rPr>
        <w:t>1</w:t>
      </w:r>
      <w:r w:rsidRPr="00B16FA4">
        <w:rPr>
          <w:rFonts w:ascii="Garamond" w:hAnsi="Garamond"/>
        </w:rPr>
        <w:t xml:space="preserve">% </w:t>
      </w:r>
      <w:r>
        <w:rPr>
          <w:rFonts w:ascii="Garamond" w:hAnsi="Garamond"/>
        </w:rPr>
        <w:t>in</w:t>
      </w:r>
      <w:r w:rsidRPr="00B16FA4">
        <w:rPr>
          <w:rFonts w:ascii="Garamond" w:hAnsi="Garamond"/>
        </w:rPr>
        <w:t xml:space="preserve">flation in </w:t>
      </w:r>
      <w:r>
        <w:rPr>
          <w:rFonts w:ascii="Garamond" w:hAnsi="Garamond"/>
        </w:rPr>
        <w:t xml:space="preserve">November of </w:t>
      </w:r>
      <w:r w:rsidRPr="00B16FA4">
        <w:rPr>
          <w:rFonts w:ascii="Garamond" w:hAnsi="Garamond"/>
        </w:rPr>
        <w:t>201</w:t>
      </w:r>
      <w:r>
        <w:rPr>
          <w:rFonts w:ascii="Garamond" w:hAnsi="Garamond"/>
        </w:rPr>
        <w:t xml:space="preserve">9 compared to that of 1.0% registered in the same period of the previous year, and the </w:t>
      </w:r>
      <w:r w:rsidRPr="003B235F">
        <w:rPr>
          <w:rFonts w:ascii="Garamond" w:hAnsi="Garamond"/>
        </w:rPr>
        <w:t xml:space="preserve">12-month inflation </w:t>
      </w:r>
      <w:r>
        <w:rPr>
          <w:rFonts w:ascii="Garamond" w:hAnsi="Garamond"/>
        </w:rPr>
        <w:t>rate remained almost unaltered, reaching 1</w:t>
      </w:r>
      <w:r w:rsidRPr="003B235F">
        <w:rPr>
          <w:rFonts w:ascii="Garamond" w:hAnsi="Garamond"/>
        </w:rPr>
        <w:t>.</w:t>
      </w:r>
      <w:r>
        <w:rPr>
          <w:rFonts w:ascii="Garamond" w:hAnsi="Garamond"/>
        </w:rPr>
        <w:t>0</w:t>
      </w:r>
      <w:r w:rsidRPr="003B235F">
        <w:rPr>
          <w:rFonts w:ascii="Garamond" w:hAnsi="Garamond"/>
        </w:rPr>
        <w:t xml:space="preserve">% at the end of the month. </w:t>
      </w:r>
    </w:p>
    <w:p w14:paraId="697800C3" w14:textId="77777777" w:rsidR="00B93284" w:rsidRPr="00B16FA4" w:rsidRDefault="00B93284" w:rsidP="00B93284">
      <w:pPr>
        <w:jc w:val="both"/>
        <w:rPr>
          <w:rFonts w:ascii="Garamond" w:hAnsi="Garamond"/>
        </w:rPr>
      </w:pPr>
    </w:p>
    <w:p w14:paraId="3BC219A6" w14:textId="77777777" w:rsidR="00B93284" w:rsidRDefault="00B93284" w:rsidP="00B93284">
      <w:pPr>
        <w:jc w:val="both"/>
        <w:rPr>
          <w:rFonts w:ascii="Garamond" w:hAnsi="Garamond"/>
        </w:rPr>
      </w:pPr>
      <w:r>
        <w:rPr>
          <w:rFonts w:ascii="Garamond" w:hAnsi="Garamond"/>
        </w:rPr>
        <w:t>In the external sector, s</w:t>
      </w:r>
      <w:r w:rsidRPr="009D5A55">
        <w:rPr>
          <w:rFonts w:ascii="Garamond" w:hAnsi="Garamond"/>
        </w:rPr>
        <w:t xml:space="preserve">ome </w:t>
      </w:r>
      <w:r>
        <w:rPr>
          <w:rFonts w:ascii="Garamond" w:hAnsi="Garamond"/>
        </w:rPr>
        <w:t xml:space="preserve">reducing of </w:t>
      </w:r>
      <w:r w:rsidRPr="009D5A55">
        <w:rPr>
          <w:rFonts w:ascii="Garamond" w:hAnsi="Garamond"/>
        </w:rPr>
        <w:t xml:space="preserve">economic uncertainties </w:t>
      </w:r>
      <w:r>
        <w:rPr>
          <w:rFonts w:ascii="Garamond" w:hAnsi="Garamond"/>
        </w:rPr>
        <w:t xml:space="preserve">was </w:t>
      </w:r>
      <w:r w:rsidRPr="009D5A55">
        <w:rPr>
          <w:rFonts w:ascii="Garamond" w:hAnsi="Garamond"/>
        </w:rPr>
        <w:t>observ</w:t>
      </w:r>
      <w:r>
        <w:rPr>
          <w:rFonts w:ascii="Garamond" w:hAnsi="Garamond"/>
        </w:rPr>
        <w:t>able, yet t</w:t>
      </w:r>
      <w:r w:rsidRPr="009D5A55">
        <w:rPr>
          <w:rFonts w:ascii="Garamond" w:hAnsi="Garamond"/>
        </w:rPr>
        <w:t xml:space="preserve">he slow pace of global economic growth has been </w:t>
      </w:r>
      <w:r>
        <w:rPr>
          <w:rFonts w:ascii="Garamond" w:hAnsi="Garamond"/>
        </w:rPr>
        <w:t>persisting</w:t>
      </w:r>
      <w:r w:rsidRPr="009D5A55">
        <w:rPr>
          <w:rFonts w:ascii="Garamond" w:hAnsi="Garamond"/>
        </w:rPr>
        <w:t>, reflecting both weak global demand and low inflationary environment in international commodity markets.</w:t>
      </w:r>
      <w:r>
        <w:rPr>
          <w:rFonts w:ascii="Garamond" w:hAnsi="Garamond"/>
        </w:rPr>
        <w:t xml:space="preserve"> T</w:t>
      </w:r>
      <w:r w:rsidRPr="00AC000C">
        <w:rPr>
          <w:rFonts w:ascii="Garamond" w:hAnsi="Garamond"/>
        </w:rPr>
        <w:t>he Board</w:t>
      </w:r>
      <w:r>
        <w:rPr>
          <w:rFonts w:ascii="Garamond" w:hAnsi="Garamond"/>
        </w:rPr>
        <w:t xml:space="preserve"> of the Central Bank </w:t>
      </w:r>
      <w:r w:rsidRPr="00AC000C">
        <w:rPr>
          <w:rFonts w:ascii="Garamond" w:hAnsi="Garamond"/>
        </w:rPr>
        <w:t xml:space="preserve">estimates that </w:t>
      </w:r>
      <w:r>
        <w:rPr>
          <w:rFonts w:ascii="Garamond" w:hAnsi="Garamond"/>
        </w:rPr>
        <w:t>no considerable pressures from t</w:t>
      </w:r>
      <w:r w:rsidRPr="00CA1C1A">
        <w:rPr>
          <w:rFonts w:ascii="Garamond" w:hAnsi="Garamond"/>
        </w:rPr>
        <w:t>he external sector</w:t>
      </w:r>
      <w:r>
        <w:rPr>
          <w:rFonts w:ascii="Garamond" w:hAnsi="Garamond"/>
        </w:rPr>
        <w:t xml:space="preserve"> on the inflation environment are expected</w:t>
      </w:r>
      <w:r w:rsidRPr="00CA1C1A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</w:p>
    <w:p w14:paraId="205EC2DC" w14:textId="77777777" w:rsidR="00B93284" w:rsidRDefault="00B93284" w:rsidP="00B93284">
      <w:pPr>
        <w:jc w:val="both"/>
        <w:rPr>
          <w:rFonts w:ascii="Garamond" w:hAnsi="Garamond"/>
        </w:rPr>
      </w:pPr>
    </w:p>
    <w:p w14:paraId="6E662552" w14:textId="77777777" w:rsidR="00B93284" w:rsidRDefault="00B93284" w:rsidP="00B9328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Board admits that </w:t>
      </w:r>
      <w:r w:rsidRPr="00A75838">
        <w:rPr>
          <w:rFonts w:ascii="Garamond" w:hAnsi="Garamond"/>
        </w:rPr>
        <w:t xml:space="preserve">economic activity </w:t>
      </w:r>
      <w:r>
        <w:rPr>
          <w:rFonts w:ascii="Garamond" w:hAnsi="Garamond"/>
        </w:rPr>
        <w:t xml:space="preserve">in Armenia </w:t>
      </w:r>
      <w:r w:rsidRPr="00A75838">
        <w:rPr>
          <w:rFonts w:ascii="Garamond" w:hAnsi="Garamond"/>
        </w:rPr>
        <w:t>in the third quarter</w:t>
      </w:r>
      <w:r>
        <w:rPr>
          <w:rFonts w:ascii="Garamond" w:hAnsi="Garamond"/>
        </w:rPr>
        <w:t xml:space="preserve"> exceeded the projected level, which will continue so during the fourth quarter, </w:t>
      </w:r>
      <w:r w:rsidRPr="00C11746">
        <w:rPr>
          <w:rFonts w:ascii="Garamond" w:hAnsi="Garamond"/>
        </w:rPr>
        <w:t xml:space="preserve">mainly </w:t>
      </w:r>
      <w:r>
        <w:rPr>
          <w:rFonts w:ascii="Garamond" w:hAnsi="Garamond"/>
        </w:rPr>
        <w:t xml:space="preserve">thanks to </w:t>
      </w:r>
      <w:r w:rsidRPr="00C11746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contribution by </w:t>
      </w:r>
      <w:r w:rsidRPr="00C11746">
        <w:rPr>
          <w:rFonts w:ascii="Garamond" w:hAnsi="Garamond"/>
        </w:rPr>
        <w:t>the service</w:t>
      </w:r>
      <w:r>
        <w:rPr>
          <w:rFonts w:ascii="Garamond" w:hAnsi="Garamond"/>
        </w:rPr>
        <w:t>s</w:t>
      </w:r>
      <w:r w:rsidRPr="00C11746">
        <w:rPr>
          <w:rFonts w:ascii="Garamond" w:hAnsi="Garamond"/>
        </w:rPr>
        <w:t xml:space="preserve"> sector</w:t>
      </w:r>
      <w:r>
        <w:rPr>
          <w:rFonts w:ascii="Garamond" w:hAnsi="Garamond"/>
        </w:rPr>
        <w:t xml:space="preserve">. </w:t>
      </w:r>
      <w:r w:rsidRPr="008F09FC">
        <w:rPr>
          <w:rFonts w:ascii="Garamond" w:hAnsi="Garamond"/>
        </w:rPr>
        <w:t xml:space="preserve">Domestic demand </w:t>
      </w:r>
      <w:r>
        <w:rPr>
          <w:rFonts w:ascii="Garamond" w:hAnsi="Garamond"/>
        </w:rPr>
        <w:t>remains strong as well, owing to increased</w:t>
      </w:r>
      <w:r w:rsidRPr="008F09FC">
        <w:rPr>
          <w:rFonts w:ascii="Garamond" w:hAnsi="Garamond"/>
        </w:rPr>
        <w:t xml:space="preserve"> private consumption, which continues to be su</w:t>
      </w:r>
      <w:r>
        <w:rPr>
          <w:rFonts w:ascii="Garamond" w:hAnsi="Garamond"/>
        </w:rPr>
        <w:t>stained by the monetary policy’s s</w:t>
      </w:r>
      <w:r w:rsidRPr="008F09FC">
        <w:rPr>
          <w:rFonts w:ascii="Garamond" w:hAnsi="Garamond"/>
        </w:rPr>
        <w:t>timul</w:t>
      </w:r>
      <w:r>
        <w:rPr>
          <w:rFonts w:ascii="Garamond" w:hAnsi="Garamond"/>
        </w:rPr>
        <w:t xml:space="preserve">ative stance. </w:t>
      </w:r>
      <w:r w:rsidRPr="008F09FC">
        <w:rPr>
          <w:rFonts w:ascii="Garamond" w:hAnsi="Garamond"/>
        </w:rPr>
        <w:t xml:space="preserve">At the same time, </w:t>
      </w:r>
      <w:r>
        <w:rPr>
          <w:rFonts w:ascii="Garamond" w:hAnsi="Garamond"/>
        </w:rPr>
        <w:t xml:space="preserve">although </w:t>
      </w:r>
      <w:r w:rsidRPr="008F09FC">
        <w:rPr>
          <w:rFonts w:ascii="Garamond" w:hAnsi="Garamond"/>
        </w:rPr>
        <w:t>the fiscal policy</w:t>
      </w:r>
      <w:r>
        <w:rPr>
          <w:rFonts w:ascii="Garamond" w:hAnsi="Garamond"/>
        </w:rPr>
        <w:t xml:space="preserve">’s impact on aggregate demand is estimated contractionary from the beginning of the year, the impact in the fourth quarter and throughout the next year is anticipated to be expansionary. </w:t>
      </w:r>
    </w:p>
    <w:p w14:paraId="5FB2ABDB" w14:textId="77777777" w:rsidR="00B93284" w:rsidRDefault="00B93284" w:rsidP="00B93284">
      <w:pPr>
        <w:jc w:val="both"/>
        <w:rPr>
          <w:rFonts w:ascii="Garamond" w:hAnsi="Garamond"/>
        </w:rPr>
      </w:pPr>
    </w:p>
    <w:p w14:paraId="6477CE24" w14:textId="77777777" w:rsidR="00B93284" w:rsidRDefault="00B93284" w:rsidP="00B9328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Given </w:t>
      </w:r>
      <w:r w:rsidRPr="00B56D7E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abovementioned actual and expected </w:t>
      </w:r>
      <w:r w:rsidRPr="00B56D7E">
        <w:rPr>
          <w:rFonts w:ascii="Garamond" w:hAnsi="Garamond"/>
        </w:rPr>
        <w:t>de</w:t>
      </w:r>
      <w:r>
        <w:rPr>
          <w:rFonts w:ascii="Garamond" w:hAnsi="Garamond"/>
        </w:rPr>
        <w:t xml:space="preserve">velopments in the </w:t>
      </w:r>
      <w:r w:rsidRPr="00B56D7E">
        <w:rPr>
          <w:rFonts w:ascii="Garamond" w:hAnsi="Garamond"/>
        </w:rPr>
        <w:t>external</w:t>
      </w:r>
      <w:r>
        <w:rPr>
          <w:rFonts w:ascii="Garamond" w:hAnsi="Garamond"/>
        </w:rPr>
        <w:t xml:space="preserve"> and domestic economies, and in view of further preference to a gradual recovery of inflation</w:t>
      </w:r>
      <w:r w:rsidRPr="00B56D7E">
        <w:rPr>
          <w:rFonts w:ascii="Garamond" w:hAnsi="Garamond"/>
        </w:rPr>
        <w:t>, the Board</w:t>
      </w:r>
      <w:r>
        <w:rPr>
          <w:rFonts w:ascii="Garamond" w:hAnsi="Garamond"/>
        </w:rPr>
        <w:t xml:space="preserve"> of the Central Bank</w:t>
      </w:r>
      <w:r w:rsidRPr="00AE4CC0">
        <w:rPr>
          <w:rFonts w:ascii="Garamond" w:hAnsi="Garamond"/>
        </w:rPr>
        <w:t xml:space="preserve"> </w:t>
      </w:r>
      <w:r>
        <w:rPr>
          <w:rFonts w:ascii="Garamond" w:hAnsi="Garamond"/>
        </w:rPr>
        <w:t>finds it reasonable to keep the monetary stimulus under current terms by leaving the refinancing rate unchanged. The Board also finds that i</w:t>
      </w:r>
      <w:r w:rsidRPr="00330B4B">
        <w:rPr>
          <w:rFonts w:ascii="Garamond" w:hAnsi="Garamond"/>
        </w:rPr>
        <w:t>n view of anticipated macroeconomic developments</w:t>
      </w:r>
      <w:r>
        <w:rPr>
          <w:rFonts w:ascii="Garamond" w:hAnsi="Garamond"/>
        </w:rPr>
        <w:t>,</w:t>
      </w:r>
      <w:r w:rsidRPr="00330B4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keeping the policy stance still expansionary will be needed. </w:t>
      </w:r>
      <w:r w:rsidRPr="00B16FA4">
        <w:rPr>
          <w:rFonts w:ascii="Garamond" w:hAnsi="Garamond"/>
        </w:rPr>
        <w:t>As a result, the expectation is that</w:t>
      </w:r>
      <w:r>
        <w:rPr>
          <w:rFonts w:ascii="Garamond" w:hAnsi="Garamond"/>
        </w:rPr>
        <w:t xml:space="preserve"> the</w:t>
      </w:r>
      <w:r w:rsidRPr="00B16FA4">
        <w:rPr>
          <w:rFonts w:ascii="Garamond" w:hAnsi="Garamond"/>
        </w:rPr>
        <w:t xml:space="preserve"> inflation will </w:t>
      </w:r>
      <w:r>
        <w:rPr>
          <w:rFonts w:ascii="Garamond" w:hAnsi="Garamond"/>
        </w:rPr>
        <w:t xml:space="preserve">run below the target in the coming months but will gradually return to </w:t>
      </w:r>
      <w:r w:rsidRPr="00B16FA4">
        <w:rPr>
          <w:rFonts w:ascii="Garamond" w:hAnsi="Garamond"/>
        </w:rPr>
        <w:t xml:space="preserve">the </w:t>
      </w:r>
      <w:r>
        <w:rPr>
          <w:rFonts w:ascii="Garamond" w:hAnsi="Garamond"/>
        </w:rPr>
        <w:t>target in the mid-term perspective.</w:t>
      </w:r>
    </w:p>
    <w:p w14:paraId="632C3642" w14:textId="77777777" w:rsidR="00B93284" w:rsidRDefault="00B93284" w:rsidP="00B93284">
      <w:pPr>
        <w:jc w:val="both"/>
        <w:rPr>
          <w:rFonts w:ascii="Garamond" w:hAnsi="Garamond"/>
        </w:rPr>
      </w:pPr>
    </w:p>
    <w:p w14:paraId="322A737E" w14:textId="77777777" w:rsidR="00B93284" w:rsidRPr="00B16FA4" w:rsidRDefault="00B93284" w:rsidP="00B93284">
      <w:pPr>
        <w:jc w:val="both"/>
        <w:rPr>
          <w:rFonts w:ascii="Garamond" w:hAnsi="Garamond"/>
          <w:b/>
          <w:sz w:val="20"/>
        </w:rPr>
      </w:pPr>
      <w:r>
        <w:rPr>
          <w:rFonts w:ascii="Garamond" w:hAnsi="Garamond"/>
        </w:rPr>
        <w:t>At present, risks to inflation deviating from the projection path are generally balanced; in the event such risks materialize, the Central Bank will respond adequately while maintaining price stability in the medium run</w:t>
      </w:r>
      <w:r w:rsidRPr="00B16FA4">
        <w:rPr>
          <w:rFonts w:ascii="Garamond" w:hAnsi="Garamond"/>
        </w:rPr>
        <w:t>.</w:t>
      </w:r>
    </w:p>
    <w:p w14:paraId="219D89BC" w14:textId="77777777" w:rsidR="00B93284" w:rsidRPr="00B16FA4" w:rsidRDefault="00B93284" w:rsidP="00B93284">
      <w:pPr>
        <w:jc w:val="both"/>
        <w:rPr>
          <w:rFonts w:ascii="Garamond" w:hAnsi="Garamond"/>
          <w:color w:val="C00000"/>
        </w:rPr>
      </w:pPr>
      <w:r w:rsidRPr="00B16FA4">
        <w:rPr>
          <w:rFonts w:ascii="Garamond" w:hAnsi="Garamond"/>
          <w:color w:val="C00000"/>
        </w:rPr>
        <w:t>…………………………………………………………………………………………</w:t>
      </w:r>
      <w:r>
        <w:rPr>
          <w:rFonts w:ascii="Garamond" w:hAnsi="Garamond"/>
          <w:color w:val="C00000"/>
        </w:rPr>
        <w:t>.</w:t>
      </w:r>
      <w:r w:rsidRPr="00B16FA4">
        <w:rPr>
          <w:rFonts w:ascii="Garamond" w:hAnsi="Garamond"/>
          <w:color w:val="C00000"/>
        </w:rPr>
        <w:t>………</w:t>
      </w:r>
      <w:r>
        <w:rPr>
          <w:rFonts w:ascii="Garamond" w:hAnsi="Garamond"/>
          <w:color w:val="C00000"/>
        </w:rPr>
        <w:t>..…</w:t>
      </w:r>
    </w:p>
    <w:p w14:paraId="33B9A66C" w14:textId="77777777" w:rsidR="00FA549B" w:rsidRPr="00A32697" w:rsidRDefault="00B93284" w:rsidP="00B93284">
      <w:pPr>
        <w:spacing w:line="360" w:lineRule="auto"/>
        <w:jc w:val="both"/>
        <w:rPr>
          <w:rFonts w:ascii="Garamond" w:hAnsi="Garamond"/>
          <w:b/>
          <w:sz w:val="22"/>
          <w:szCs w:val="22"/>
        </w:rPr>
      </w:pPr>
      <w:r w:rsidRPr="00A32697">
        <w:rPr>
          <w:rFonts w:ascii="Garamond" w:hAnsi="Garamond"/>
          <w:b/>
        </w:rPr>
        <w:t>Press Service of the Central Bank of Armenia</w:t>
      </w:r>
    </w:p>
    <w:sectPr w:rsidR="00FA549B" w:rsidRPr="00A3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7F53" w14:textId="77777777" w:rsidR="00037DF8" w:rsidRDefault="00037DF8" w:rsidP="00EE619D">
      <w:r>
        <w:separator/>
      </w:r>
    </w:p>
  </w:endnote>
  <w:endnote w:type="continuationSeparator" w:id="0">
    <w:p w14:paraId="7A4CE827" w14:textId="77777777" w:rsidR="00037DF8" w:rsidRDefault="00037DF8" w:rsidP="00EE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0801" w14:textId="77777777" w:rsidR="00037DF8" w:rsidRDefault="00037DF8" w:rsidP="00EE619D">
      <w:r>
        <w:separator/>
      </w:r>
    </w:p>
  </w:footnote>
  <w:footnote w:type="continuationSeparator" w:id="0">
    <w:p w14:paraId="00DF1225" w14:textId="77777777" w:rsidR="00037DF8" w:rsidRDefault="00037DF8" w:rsidP="00EE619D">
      <w:r>
        <w:continuationSeparator/>
      </w:r>
    </w:p>
  </w:footnote>
  <w:footnote w:id="1">
    <w:p w14:paraId="19DDB7AD" w14:textId="77777777" w:rsidR="002335C7" w:rsidRPr="00616B7A" w:rsidRDefault="002335C7" w:rsidP="00474E70">
      <w:pPr>
        <w:pStyle w:val="FootnoteText"/>
        <w:jc w:val="both"/>
        <w:rPr>
          <w:rFonts w:ascii="Garamond" w:hAnsi="Garamond"/>
        </w:rPr>
      </w:pPr>
      <w:r w:rsidRPr="00616B7A">
        <w:rPr>
          <w:rStyle w:val="FootnoteReference"/>
          <w:rFonts w:ascii="Garamond" w:hAnsi="Garamond"/>
        </w:rPr>
        <w:t>2</w:t>
      </w:r>
      <w:r w:rsidRPr="00616B7A">
        <w:rPr>
          <w:rFonts w:ascii="Garamond" w:hAnsi="Garamond"/>
        </w:rPr>
        <w:t xml:space="preserve"> The </w:t>
      </w:r>
      <w:r>
        <w:rPr>
          <w:rFonts w:ascii="Garamond" w:hAnsi="Garamond"/>
        </w:rPr>
        <w:t xml:space="preserve">personal consumption expenditure price index target is </w:t>
      </w:r>
      <w:r w:rsidRPr="00616B7A">
        <w:rPr>
          <w:rFonts w:ascii="Garamond" w:hAnsi="Garamond"/>
        </w:rPr>
        <w:t xml:space="preserve">2%, which </w:t>
      </w:r>
      <w:r>
        <w:rPr>
          <w:rFonts w:ascii="Garamond" w:hAnsi="Garamond"/>
        </w:rPr>
        <w:t>on</w:t>
      </w:r>
      <w:r w:rsidRPr="00616B7A">
        <w:rPr>
          <w:rFonts w:ascii="Garamond" w:hAnsi="Garamond"/>
        </w:rPr>
        <w:t xml:space="preserve"> average </w:t>
      </w:r>
      <w:r>
        <w:rPr>
          <w:rFonts w:ascii="Garamond" w:hAnsi="Garamond"/>
        </w:rPr>
        <w:t xml:space="preserve">is commensurate with headline inflation </w:t>
      </w:r>
      <w:r w:rsidRPr="00616B7A">
        <w:rPr>
          <w:rFonts w:ascii="Garamond" w:hAnsi="Garamond"/>
        </w:rPr>
        <w:t>of 2.4%.</w:t>
      </w:r>
    </w:p>
  </w:footnote>
  <w:footnote w:id="2">
    <w:p w14:paraId="69DC21D7" w14:textId="77777777" w:rsidR="002335C7" w:rsidRPr="0074684B" w:rsidRDefault="002335C7" w:rsidP="00D4483A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3</w:t>
      </w:r>
      <w:r w:rsidRPr="0074684B">
        <w:rPr>
          <w:rFonts w:ascii="Garamond" w:hAnsi="Garamond"/>
        </w:rPr>
        <w:t xml:space="preserve"> For a detailed economic growth forecasts, see the </w:t>
      </w:r>
      <w:r w:rsidRPr="00C87D8A">
        <w:rPr>
          <w:rFonts w:ascii="Garamond" w:hAnsi="Garamond"/>
          <w:color w:val="FF0000"/>
        </w:rPr>
        <w:t>“GDP Projection Probability Distribution”</w:t>
      </w:r>
      <w:r>
        <w:rPr>
          <w:rFonts w:ascii="Garamond" w:hAnsi="Garamond"/>
        </w:rPr>
        <w:t>,</w:t>
      </w:r>
      <w:r w:rsidRPr="0074684B">
        <w:rPr>
          <w:rFonts w:ascii="Garamond" w:hAnsi="Garamond"/>
        </w:rPr>
        <w:t xml:space="preserve"> chart</w:t>
      </w:r>
      <w:r>
        <w:rPr>
          <w:rFonts w:ascii="Garamond" w:hAnsi="Garamond"/>
        </w:rPr>
        <w:t xml:space="preserve"> 19, table 2</w:t>
      </w:r>
      <w:r w:rsidRPr="0074684B">
        <w:rPr>
          <w:rFonts w:ascii="Garamond" w:hAnsi="Garamond"/>
        </w:rPr>
        <w:t>.</w:t>
      </w:r>
    </w:p>
  </w:footnote>
  <w:footnote w:id="3">
    <w:p w14:paraId="3D0B2593" w14:textId="77777777" w:rsidR="002335C7" w:rsidRPr="00AD7602" w:rsidRDefault="002335C7">
      <w:pPr>
        <w:pStyle w:val="FootnoteText"/>
        <w:rPr>
          <w:rFonts w:ascii="Garamond" w:hAnsi="Garamond"/>
        </w:rPr>
      </w:pPr>
      <w:r w:rsidRPr="00AD7602">
        <w:rPr>
          <w:rStyle w:val="FootnoteReference"/>
          <w:rFonts w:ascii="Garamond" w:hAnsi="Garamond"/>
        </w:rPr>
        <w:t>5</w:t>
      </w:r>
      <w:r w:rsidRPr="00AD7602">
        <w:rPr>
          <w:rFonts w:ascii="Garamond" w:hAnsi="Garamond"/>
        </w:rPr>
        <w:t xml:space="preserve"> In October, growth rates in these industries decelerated.</w:t>
      </w:r>
    </w:p>
  </w:footnote>
  <w:footnote w:id="4">
    <w:p w14:paraId="6FAD4487" w14:textId="77777777" w:rsidR="002335C7" w:rsidRPr="00DE38A2" w:rsidRDefault="002335C7" w:rsidP="0032575D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6</w:t>
      </w:r>
      <w:r>
        <w:t xml:space="preserve"> </w:t>
      </w:r>
      <w:r w:rsidRPr="00DE38A2">
        <w:rPr>
          <w:rFonts w:ascii="Garamond" w:hAnsi="Garamond"/>
        </w:rPr>
        <w:t xml:space="preserve">The indicators set by the laws on “State Budget of the Republic of Armenia” are allowed to be adjusted during the year under certain Government resolutions which are posted </w:t>
      </w:r>
      <w:r w:rsidRPr="00DE38A2">
        <w:rPr>
          <w:rFonts w:ascii="Garamond" w:hAnsi="Garamond"/>
        </w:rPr>
        <w:t>at: https://www.e-gov.am.</w:t>
      </w:r>
    </w:p>
  </w:footnote>
  <w:footnote w:id="5">
    <w:p w14:paraId="652ADDDC" w14:textId="77777777" w:rsidR="002335C7" w:rsidRPr="00A4336F" w:rsidRDefault="002335C7">
      <w:pPr>
        <w:pStyle w:val="FootnoteText"/>
        <w:rPr>
          <w:rFonts w:ascii="Garamond" w:hAnsi="Garamond"/>
        </w:rPr>
      </w:pPr>
      <w:r w:rsidRPr="00A4336F">
        <w:rPr>
          <w:rStyle w:val="FootnoteReference"/>
          <w:rFonts w:ascii="Garamond" w:hAnsi="Garamond"/>
        </w:rPr>
        <w:t>7</w:t>
      </w:r>
      <w:r w:rsidRPr="00A4336F">
        <w:rPr>
          <w:rFonts w:ascii="Garamond" w:hAnsi="Garamond"/>
        </w:rPr>
        <w:t xml:space="preserve"> The GDP forecast is </w:t>
      </w:r>
      <w:r>
        <w:rPr>
          <w:rFonts w:ascii="Garamond" w:hAnsi="Garamond"/>
        </w:rPr>
        <w:t xml:space="preserve">the </w:t>
      </w:r>
      <w:r w:rsidRPr="00A4336F">
        <w:rPr>
          <w:rFonts w:ascii="Garamond" w:hAnsi="Garamond"/>
        </w:rPr>
        <w:t>C</w:t>
      </w:r>
      <w:r>
        <w:rPr>
          <w:rFonts w:ascii="Garamond" w:hAnsi="Garamond"/>
        </w:rPr>
        <w:t xml:space="preserve">entral </w:t>
      </w:r>
      <w:r w:rsidRPr="00A4336F">
        <w:rPr>
          <w:rFonts w:ascii="Garamond" w:hAnsi="Garamond"/>
        </w:rPr>
        <w:t>B</w:t>
      </w:r>
      <w:r>
        <w:rPr>
          <w:rFonts w:ascii="Garamond" w:hAnsi="Garamond"/>
        </w:rPr>
        <w:t>ank</w:t>
      </w:r>
      <w:r w:rsidRPr="00A4336F">
        <w:rPr>
          <w:rFonts w:ascii="Garamond" w:hAnsi="Garamond"/>
        </w:rPr>
        <w:t xml:space="preserve"> estimate.</w:t>
      </w:r>
    </w:p>
  </w:footnote>
  <w:footnote w:id="6">
    <w:p w14:paraId="388E33A3" w14:textId="77777777" w:rsidR="002335C7" w:rsidRPr="00331DDB" w:rsidRDefault="002335C7" w:rsidP="007C4FF5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8</w:t>
      </w:r>
      <w:r w:rsidRPr="00331DDB">
        <w:rPr>
          <w:rFonts w:ascii="Garamond" w:hAnsi="Garamond"/>
        </w:rPr>
        <w:t xml:space="preserve"> The labor market data for </w:t>
      </w:r>
      <w:r>
        <w:rPr>
          <w:rFonts w:ascii="Garamond" w:hAnsi="Garamond"/>
        </w:rPr>
        <w:t xml:space="preserve">third quarters of </w:t>
      </w:r>
      <w:r w:rsidRPr="00331DDB">
        <w:rPr>
          <w:rFonts w:ascii="Garamond" w:hAnsi="Garamond"/>
        </w:rPr>
        <w:t>201</w:t>
      </w:r>
      <w:r>
        <w:rPr>
          <w:rFonts w:ascii="Garamond" w:hAnsi="Garamond"/>
        </w:rPr>
        <w:t>9</w:t>
      </w:r>
      <w:r w:rsidRPr="00331DDB">
        <w:rPr>
          <w:rFonts w:ascii="Garamond" w:hAnsi="Garamond"/>
        </w:rPr>
        <w:t>-202</w:t>
      </w:r>
      <w:r>
        <w:rPr>
          <w:rFonts w:ascii="Garamond" w:hAnsi="Garamond"/>
        </w:rPr>
        <w:t>2</w:t>
      </w:r>
      <w:r w:rsidRPr="00331DDB">
        <w:rPr>
          <w:rFonts w:ascii="Garamond" w:hAnsi="Garamond"/>
        </w:rPr>
        <w:t xml:space="preserve"> are the Central Bank </w:t>
      </w:r>
      <w:r w:rsidRPr="00331DDB">
        <w:rPr>
          <w:rFonts w:ascii="Garamond" w:hAnsi="Garamond"/>
        </w:rPr>
        <w:t xml:space="preserve">projections which are based on the </w:t>
      </w:r>
      <w:r>
        <w:rPr>
          <w:rFonts w:ascii="Garamond" w:hAnsi="Garamond"/>
        </w:rPr>
        <w:t>actual second quarter 2019 data</w:t>
      </w:r>
      <w:r w:rsidRPr="00331DDB">
        <w:rPr>
          <w:rFonts w:ascii="Garamond" w:hAnsi="Garamond"/>
        </w:rPr>
        <w:t>. The growth indicators presented in this sub-section are relative to the same reference period last year, unless otherwise specified.</w:t>
      </w:r>
    </w:p>
  </w:footnote>
  <w:footnote w:id="7">
    <w:p w14:paraId="425FD193" w14:textId="77777777" w:rsidR="002335C7" w:rsidRPr="004946BC" w:rsidRDefault="002335C7" w:rsidP="004946BC">
      <w:pPr>
        <w:pStyle w:val="FootnoteText"/>
        <w:jc w:val="both"/>
        <w:rPr>
          <w:rFonts w:ascii="Garamond" w:hAnsi="Garamond"/>
        </w:rPr>
      </w:pPr>
      <w:r w:rsidRPr="004946BC">
        <w:rPr>
          <w:rStyle w:val="FootnoteReference"/>
          <w:rFonts w:ascii="Garamond" w:hAnsi="Garamond"/>
        </w:rPr>
        <w:t>10</w:t>
      </w:r>
      <w:r w:rsidRPr="004946BC">
        <w:rPr>
          <w:rFonts w:ascii="Garamond" w:hAnsi="Garamond"/>
        </w:rPr>
        <w:t xml:space="preserve"> As of October 2019, the amount of mortgage loans has increased by 39.7% compared to the same month of the previous year.</w:t>
      </w:r>
    </w:p>
  </w:footnote>
  <w:footnote w:id="8">
    <w:p w14:paraId="70F7DAAD" w14:textId="77777777" w:rsidR="002335C7" w:rsidRPr="001B1291" w:rsidRDefault="002335C7">
      <w:pPr>
        <w:pStyle w:val="FootnoteText"/>
        <w:rPr>
          <w:rFonts w:ascii="Garamond" w:hAnsi="Garamond"/>
        </w:rPr>
      </w:pPr>
      <w:r w:rsidRPr="004946BC">
        <w:rPr>
          <w:rStyle w:val="FootnoteReference"/>
          <w:rFonts w:ascii="Garamond" w:hAnsi="Garamond"/>
        </w:rPr>
        <w:t>11</w:t>
      </w:r>
      <w:r w:rsidRPr="004946BC">
        <w:rPr>
          <w:rFonts w:ascii="Garamond" w:hAnsi="Garamond"/>
        </w:rPr>
        <w:t xml:space="preserve"> See</w:t>
      </w:r>
      <w:r w:rsidRPr="004946BC">
        <w:rPr>
          <w:rFonts w:ascii="Garamond" w:hAnsi="Garamond"/>
          <w:lang w:val="hy-AM"/>
        </w:rPr>
        <w:t xml:space="preserve"> </w:t>
      </w:r>
      <w:hyperlink r:id="rId1" w:history="1">
        <w:r w:rsidRPr="004946BC">
          <w:rPr>
            <w:rStyle w:val="Hyperlink"/>
            <w:rFonts w:ascii="Garamond" w:hAnsi="Garamond"/>
            <w:color w:val="auto"/>
            <w:u w:val="none"/>
            <w:lang w:val="hy-AM"/>
          </w:rPr>
          <w:t>https://www.yerevan.am/am/quarterly-statistics/</w:t>
        </w:r>
      </w:hyperlink>
      <w:r>
        <w:rPr>
          <w:rStyle w:val="Hyperlink"/>
          <w:rFonts w:ascii="Garamond" w:hAnsi="Garamond"/>
          <w:color w:val="auto"/>
          <w:u w:val="none"/>
        </w:rPr>
        <w:t>.</w:t>
      </w:r>
    </w:p>
  </w:footnote>
  <w:footnote w:id="9">
    <w:p w14:paraId="6F8D1CB9" w14:textId="77777777" w:rsidR="002335C7" w:rsidRPr="001B1291" w:rsidRDefault="002335C7">
      <w:pPr>
        <w:pStyle w:val="FootnoteText"/>
        <w:rPr>
          <w:rFonts w:ascii="Garamond" w:hAnsi="Garamond"/>
        </w:rPr>
      </w:pPr>
      <w:r w:rsidRPr="001B1291">
        <w:rPr>
          <w:rStyle w:val="FootnoteReference"/>
          <w:rFonts w:ascii="Garamond" w:hAnsi="Garamond"/>
        </w:rPr>
        <w:t>12</w:t>
      </w:r>
      <w:r w:rsidRPr="001B1291">
        <w:rPr>
          <w:rFonts w:ascii="Garamond" w:hAnsi="Garamond"/>
        </w:rPr>
        <w:t xml:space="preserve"> Cross-Country Report on Minimum Wages, IMF, 2016</w:t>
      </w:r>
      <w:r>
        <w:rPr>
          <w:rFonts w:ascii="Garamond" w:hAnsi="Garamond"/>
        </w:rPr>
        <w:t>.</w:t>
      </w:r>
    </w:p>
  </w:footnote>
  <w:footnote w:id="10">
    <w:p w14:paraId="1393EB68" w14:textId="77777777" w:rsidR="002335C7" w:rsidRPr="00E65187" w:rsidRDefault="002335C7">
      <w:pPr>
        <w:pStyle w:val="FootnoteText"/>
        <w:rPr>
          <w:rFonts w:ascii="Garamond" w:hAnsi="Garamond"/>
        </w:rPr>
      </w:pPr>
      <w:r w:rsidRPr="00E65187">
        <w:rPr>
          <w:rStyle w:val="FootnoteReference"/>
          <w:rFonts w:ascii="Garamond" w:hAnsi="Garamond"/>
        </w:rPr>
        <w:t>13</w:t>
      </w:r>
      <w:r w:rsidRPr="00E65187">
        <w:rPr>
          <w:rFonts w:ascii="Garamond" w:hAnsi="Garamond"/>
        </w:rPr>
        <w:t xml:space="preserve"> See </w:t>
      </w:r>
      <w:hyperlink r:id="rId2" w:history="1">
        <w:r w:rsidRPr="00E65187">
          <w:rPr>
            <w:rStyle w:val="Hyperlink"/>
            <w:rFonts w:ascii="Garamond" w:hAnsi="Garamond"/>
            <w:color w:val="auto"/>
            <w:u w:val="none"/>
          </w:rPr>
          <w:t>https://www.armstat.am/file/doc/99516743.pdf</w:t>
        </w:r>
      </w:hyperlink>
      <w:r w:rsidRPr="00E65187">
        <w:rPr>
          <w:rStyle w:val="Hyperlink"/>
          <w:rFonts w:ascii="Garamond" w:hAnsi="Garamond"/>
          <w:color w:val="auto"/>
          <w:u w:val="none"/>
        </w:rPr>
        <w:t>.</w:t>
      </w:r>
    </w:p>
  </w:footnote>
  <w:footnote w:id="11">
    <w:p w14:paraId="2CBAB48C" w14:textId="77777777" w:rsidR="002335C7" w:rsidRPr="005F0150" w:rsidRDefault="002335C7">
      <w:pPr>
        <w:pStyle w:val="FootnoteText"/>
        <w:rPr>
          <w:rFonts w:ascii="Garamond" w:hAnsi="Garamond"/>
        </w:rPr>
      </w:pPr>
      <w:r w:rsidRPr="005F0150">
        <w:rPr>
          <w:rStyle w:val="FootnoteReference"/>
          <w:rFonts w:ascii="Garamond" w:hAnsi="Garamond"/>
        </w:rPr>
        <w:t>14</w:t>
      </w:r>
      <w:r w:rsidRPr="005F0150">
        <w:rPr>
          <w:rFonts w:ascii="Garamond" w:hAnsi="Garamond"/>
        </w:rPr>
        <w:t xml:space="preserve"> </w:t>
      </w:r>
      <w:r w:rsidRPr="00E65187">
        <w:rPr>
          <w:rFonts w:ascii="Garamond" w:hAnsi="Garamond"/>
        </w:rPr>
        <w:t>See</w:t>
      </w:r>
      <w:r w:rsidRPr="005F0150">
        <w:rPr>
          <w:rFonts w:ascii="Garamond" w:hAnsi="Garamond"/>
        </w:rPr>
        <w:t xml:space="preserve"> </w:t>
      </w:r>
      <w:hyperlink r:id="rId3" w:history="1">
        <w:r w:rsidRPr="005F0150">
          <w:rPr>
            <w:rStyle w:val="Hyperlink"/>
            <w:rFonts w:ascii="Garamond" w:hAnsi="Garamond"/>
            <w:color w:val="auto"/>
            <w:u w:val="none"/>
            <w:lang w:val="hy-AM"/>
          </w:rPr>
          <w:t>https://www.armstat.am/file/article/sv_10_19a_142.pdf</w:t>
        </w:r>
      </w:hyperlink>
      <w:r>
        <w:rPr>
          <w:rStyle w:val="Hyperlink"/>
          <w:rFonts w:ascii="Garamond" w:hAnsi="Garamond"/>
          <w:color w:val="auto"/>
          <w:u w:val="none"/>
        </w:rPr>
        <w:t>.</w:t>
      </w:r>
    </w:p>
  </w:footnote>
  <w:footnote w:id="12">
    <w:p w14:paraId="11AD2871" w14:textId="77777777" w:rsidR="002335C7" w:rsidRPr="005637BC" w:rsidRDefault="002335C7" w:rsidP="005637BC">
      <w:pPr>
        <w:pStyle w:val="FootnoteText"/>
        <w:jc w:val="both"/>
        <w:rPr>
          <w:rFonts w:ascii="Garamond" w:hAnsi="Garamond"/>
        </w:rPr>
      </w:pPr>
      <w:r w:rsidRPr="005637BC">
        <w:rPr>
          <w:rStyle w:val="FootnoteReference"/>
          <w:rFonts w:ascii="Garamond" w:hAnsi="Garamond"/>
        </w:rPr>
        <w:t>15</w:t>
      </w:r>
      <w:r w:rsidRPr="005637BC">
        <w:rPr>
          <w:rFonts w:ascii="Garamond" w:hAnsi="Garamond"/>
        </w:rPr>
        <w:t xml:space="preserve"> </w:t>
      </w:r>
      <w:r>
        <w:rPr>
          <w:rFonts w:ascii="Garamond" w:hAnsi="Garamond"/>
        </w:rPr>
        <w:t>T</w:t>
      </w:r>
      <w:r w:rsidRPr="005637BC">
        <w:rPr>
          <w:rFonts w:ascii="Garamond" w:hAnsi="Garamond"/>
        </w:rPr>
        <w:t xml:space="preserve">he </w:t>
      </w:r>
      <w:r>
        <w:rPr>
          <w:rFonts w:ascii="Garamond" w:hAnsi="Garamond"/>
        </w:rPr>
        <w:t xml:space="preserve">ratio of </w:t>
      </w:r>
      <w:r w:rsidRPr="005637BC">
        <w:rPr>
          <w:rFonts w:ascii="Garamond" w:hAnsi="Garamond"/>
        </w:rPr>
        <w:t xml:space="preserve">wage fund (the </w:t>
      </w:r>
      <w:r>
        <w:rPr>
          <w:rFonts w:ascii="Garamond" w:hAnsi="Garamond"/>
        </w:rPr>
        <w:t xml:space="preserve">product of </w:t>
      </w:r>
      <w:r w:rsidRPr="005637BC">
        <w:rPr>
          <w:rFonts w:ascii="Garamond" w:hAnsi="Garamond"/>
        </w:rPr>
        <w:t xml:space="preserve">total employed in the economy and average wage) to nominal GDP was considered </w:t>
      </w:r>
      <w:r>
        <w:rPr>
          <w:rFonts w:ascii="Garamond" w:hAnsi="Garamond"/>
        </w:rPr>
        <w:t>a</w:t>
      </w:r>
      <w:r w:rsidRPr="005637BC">
        <w:rPr>
          <w:rFonts w:ascii="Garamond" w:hAnsi="Garamond"/>
        </w:rPr>
        <w:t xml:space="preserve">s </w:t>
      </w:r>
      <w:r>
        <w:rPr>
          <w:rFonts w:ascii="Garamond" w:hAnsi="Garamond"/>
        </w:rPr>
        <w:t>approximation of labor costs.</w:t>
      </w:r>
    </w:p>
  </w:footnote>
  <w:footnote w:id="13">
    <w:p w14:paraId="3AF538C3" w14:textId="77777777" w:rsidR="002335C7" w:rsidRPr="00870735" w:rsidRDefault="002335C7" w:rsidP="00870735">
      <w:pPr>
        <w:pStyle w:val="FootnoteText"/>
        <w:jc w:val="both"/>
        <w:rPr>
          <w:rFonts w:ascii="Garamond" w:hAnsi="Garamond"/>
        </w:rPr>
      </w:pPr>
      <w:r w:rsidRPr="00870735">
        <w:rPr>
          <w:rStyle w:val="FootnoteReference"/>
          <w:rFonts w:ascii="Garamond" w:hAnsi="Garamond"/>
        </w:rPr>
        <w:t>16</w:t>
      </w:r>
      <w:r w:rsidRPr="00870735">
        <w:rPr>
          <w:rFonts w:ascii="Garamond" w:hAnsi="Garamond"/>
        </w:rPr>
        <w:t xml:space="preserve"> It should be noted</w:t>
      </w:r>
      <w:r>
        <w:rPr>
          <w:rFonts w:ascii="Garamond" w:hAnsi="Garamond"/>
        </w:rPr>
        <w:t xml:space="preserve"> </w:t>
      </w:r>
      <w:r w:rsidRPr="00870735">
        <w:rPr>
          <w:rFonts w:ascii="Garamond" w:hAnsi="Garamond"/>
        </w:rPr>
        <w:t xml:space="preserve">that a number of micro data are </w:t>
      </w:r>
      <w:r>
        <w:rPr>
          <w:rFonts w:ascii="Garamond" w:hAnsi="Garamond"/>
        </w:rPr>
        <w:t xml:space="preserve">needed for a more accurate quantifying (in terms of demand) of </w:t>
      </w:r>
      <w:r w:rsidRPr="00870735">
        <w:rPr>
          <w:rFonts w:ascii="Garamond" w:hAnsi="Garamond"/>
        </w:rPr>
        <w:t xml:space="preserve">resource redistribution </w:t>
      </w:r>
      <w:r>
        <w:rPr>
          <w:rFonts w:ascii="Garamond" w:hAnsi="Garamond"/>
        </w:rPr>
        <w:t xml:space="preserve">and territory-specific effects </w:t>
      </w:r>
      <w:r w:rsidRPr="00870735">
        <w:rPr>
          <w:rFonts w:ascii="Garamond" w:hAnsi="Garamond"/>
        </w:rPr>
        <w:t xml:space="preserve">as a result of these changes, but </w:t>
      </w:r>
      <w:r>
        <w:rPr>
          <w:rFonts w:ascii="Garamond" w:hAnsi="Garamond"/>
        </w:rPr>
        <w:t xml:space="preserve">such data are </w:t>
      </w:r>
      <w:r w:rsidRPr="00870735">
        <w:rPr>
          <w:rFonts w:ascii="Garamond" w:hAnsi="Garamond"/>
        </w:rPr>
        <w:t xml:space="preserve">not available or </w:t>
      </w:r>
      <w:r>
        <w:rPr>
          <w:rFonts w:ascii="Garamond" w:hAnsi="Garamond"/>
        </w:rPr>
        <w:t>nor accessible, however</w:t>
      </w:r>
      <w:r w:rsidRPr="00870735">
        <w:rPr>
          <w:rFonts w:ascii="Garamond" w:hAnsi="Garamond"/>
        </w:rPr>
        <w:t>.</w:t>
      </w:r>
    </w:p>
  </w:footnote>
  <w:footnote w:id="14">
    <w:p w14:paraId="6C8F7624" w14:textId="77777777" w:rsidR="002335C7" w:rsidRPr="005B3BA7" w:rsidRDefault="002335C7" w:rsidP="001C55C3">
      <w:pPr>
        <w:pStyle w:val="FootnoteText"/>
        <w:rPr>
          <w:rFonts w:ascii="Garamond" w:hAnsi="Garamond"/>
          <w:lang w:val="hy-AM"/>
        </w:rPr>
      </w:pPr>
      <w:r w:rsidRPr="005B3BA7">
        <w:rPr>
          <w:rStyle w:val="FootnoteReference"/>
          <w:rFonts w:ascii="Garamond" w:hAnsi="Garamond"/>
        </w:rPr>
        <w:t>25</w:t>
      </w:r>
      <w:r w:rsidRPr="005B3BA7">
        <w:rPr>
          <w:rFonts w:ascii="Garamond" w:hAnsi="Garamond"/>
          <w:lang w:val="hy-AM"/>
        </w:rPr>
        <w:t xml:space="preserve"> </w:t>
      </w:r>
      <w:hyperlink r:id="rId4" w:history="1">
        <w:r w:rsidRPr="005B3BA7">
          <w:rPr>
            <w:rStyle w:val="Hyperlink"/>
            <w:rFonts w:ascii="Garamond" w:hAnsi="Garamond"/>
            <w:color w:val="auto"/>
            <w:u w:val="none"/>
            <w:lang w:val="hy-AM"/>
          </w:rPr>
          <w:t>http://www.competition.am/index.php?page=&amp;menu=174&amp;newsID=1547&amp;lng=1</w:t>
        </w:r>
      </w:hyperlink>
    </w:p>
  </w:footnote>
  <w:footnote w:id="15">
    <w:p w14:paraId="56B43318" w14:textId="77777777" w:rsidR="002335C7" w:rsidRDefault="002335C7" w:rsidP="00781ACF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27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iCs/>
        </w:rPr>
        <w:t xml:space="preserve">The review of the fiscal sector used actual consolidated budget indicators of the third quarter of 2019. </w:t>
      </w:r>
    </w:p>
  </w:footnote>
  <w:footnote w:id="16">
    <w:p w14:paraId="5A190ED6" w14:textId="77777777" w:rsidR="002335C7" w:rsidRPr="00FD02C0" w:rsidRDefault="002335C7" w:rsidP="00FD02C0">
      <w:pPr>
        <w:pStyle w:val="FootnoteText"/>
        <w:jc w:val="both"/>
        <w:rPr>
          <w:rFonts w:ascii="Garamond" w:hAnsi="Garamond"/>
        </w:rPr>
      </w:pPr>
      <w:r w:rsidRPr="00FD02C0">
        <w:rPr>
          <w:rStyle w:val="FootnoteReference"/>
          <w:rFonts w:ascii="Garamond" w:hAnsi="Garamond"/>
        </w:rPr>
        <w:t>28</w:t>
      </w:r>
      <w:r w:rsidRPr="00FD02C0">
        <w:rPr>
          <w:rFonts w:ascii="Garamond" w:hAnsi="Garamond"/>
        </w:rPr>
        <w:t xml:space="preserve"> The revenue projection </w:t>
      </w:r>
      <w:r w:rsidRPr="00FD02C0">
        <w:rPr>
          <w:rFonts w:ascii="Garamond" w:hAnsi="Garamond"/>
        </w:rPr>
        <w:t xml:space="preserve">was based on the adjusted 2019 plan of the Government and the decision to refund the economic agents the VAT debit balance. The expenditure projection is the Central Bank estimate. </w:t>
      </w:r>
    </w:p>
  </w:footnote>
  <w:footnote w:id="17">
    <w:p w14:paraId="0E5B0FE5" w14:textId="77777777" w:rsidR="002335C7" w:rsidRPr="00BE662B" w:rsidRDefault="002335C7">
      <w:pPr>
        <w:pStyle w:val="FootnoteText"/>
        <w:rPr>
          <w:rFonts w:ascii="Garamond" w:hAnsi="Garamond"/>
        </w:rPr>
      </w:pPr>
      <w:r w:rsidRPr="00BE662B">
        <w:rPr>
          <w:rStyle w:val="FootnoteReference"/>
          <w:rFonts w:ascii="Garamond" w:hAnsi="Garamond"/>
        </w:rPr>
        <w:t>29</w:t>
      </w:r>
      <w:r w:rsidRPr="00BE662B">
        <w:rPr>
          <w:rFonts w:ascii="Garamond" w:hAnsi="Garamond"/>
        </w:rPr>
        <w:t xml:space="preserve"> Includes government consumption and investments.</w:t>
      </w:r>
    </w:p>
  </w:footnote>
  <w:footnote w:id="18">
    <w:p w14:paraId="567D8A19" w14:textId="77777777" w:rsidR="002335C7" w:rsidRDefault="002335C7" w:rsidP="00242EA6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30</w:t>
      </w:r>
      <w:r>
        <w:rPr>
          <w:rFonts w:ascii="Garamond" w:hAnsi="Garamond"/>
        </w:rPr>
        <w:t xml:space="preserve"> The growth indicators in this subsection are relative to the same reference period last year, unless otherwise specified.</w:t>
      </w:r>
    </w:p>
  </w:footnote>
  <w:footnote w:id="19">
    <w:p w14:paraId="2927CCFB" w14:textId="77777777" w:rsidR="002335C7" w:rsidRPr="00B805F6" w:rsidRDefault="002335C7" w:rsidP="00B805F6">
      <w:pPr>
        <w:pStyle w:val="FootnoteText"/>
        <w:jc w:val="both"/>
        <w:rPr>
          <w:rFonts w:ascii="Garamond" w:hAnsi="Garamond"/>
        </w:rPr>
      </w:pPr>
      <w:r>
        <w:rPr>
          <w:rStyle w:val="FootnoteReference"/>
        </w:rPr>
        <w:t>31</w:t>
      </w:r>
      <w:r w:rsidRPr="00B805F6">
        <w:rPr>
          <w:rFonts w:ascii="Garamond" w:hAnsi="Garamond"/>
        </w:rPr>
        <w:t xml:space="preserve"> The gross real value added per </w:t>
      </w:r>
      <w:r>
        <w:rPr>
          <w:rFonts w:ascii="Garamond" w:hAnsi="Garamond"/>
        </w:rPr>
        <w:t xml:space="preserve">hour </w:t>
      </w:r>
      <w:r w:rsidRPr="00B805F6">
        <w:rPr>
          <w:rFonts w:ascii="Garamond" w:hAnsi="Garamond"/>
        </w:rPr>
        <w:t xml:space="preserve">employed </w:t>
      </w:r>
      <w:r w:rsidRPr="00B805F6">
        <w:rPr>
          <w:rFonts w:ascii="Garamond" w:hAnsi="Garamond"/>
        </w:rPr>
        <w:t>has been viewed as the productivity indicator</w:t>
      </w:r>
      <w:r>
        <w:rPr>
          <w:rFonts w:ascii="Garamond" w:hAnsi="Garamond"/>
        </w:rPr>
        <w:t>, which has dropped by 0.5% in the reporting period</w:t>
      </w:r>
      <w:r w:rsidRPr="00B805F6">
        <w:rPr>
          <w:rFonts w:ascii="Garamond" w:hAnsi="Garamond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630"/>
    <w:multiLevelType w:val="hybridMultilevel"/>
    <w:tmpl w:val="7CD4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612F"/>
    <w:multiLevelType w:val="hybridMultilevel"/>
    <w:tmpl w:val="7736DDB2"/>
    <w:lvl w:ilvl="0" w:tplc="DA186CFC">
      <w:start w:val="4"/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12FA4"/>
    <w:multiLevelType w:val="hybridMultilevel"/>
    <w:tmpl w:val="C5F83BDE"/>
    <w:lvl w:ilvl="0" w:tplc="042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70900"/>
    <w:multiLevelType w:val="hybridMultilevel"/>
    <w:tmpl w:val="C8283D98"/>
    <w:lvl w:ilvl="0" w:tplc="042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0B69ED"/>
    <w:multiLevelType w:val="hybridMultilevel"/>
    <w:tmpl w:val="D2EC3668"/>
    <w:lvl w:ilvl="0" w:tplc="042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167E7"/>
    <w:multiLevelType w:val="hybridMultilevel"/>
    <w:tmpl w:val="29E6AF64"/>
    <w:lvl w:ilvl="0" w:tplc="38988830">
      <w:start w:val="13"/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C0FC4"/>
    <w:multiLevelType w:val="hybridMultilevel"/>
    <w:tmpl w:val="F45ABD28"/>
    <w:lvl w:ilvl="0" w:tplc="042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51"/>
    <w:rsid w:val="000007DB"/>
    <w:rsid w:val="00001832"/>
    <w:rsid w:val="00001A34"/>
    <w:rsid w:val="00001A3F"/>
    <w:rsid w:val="000029F4"/>
    <w:rsid w:val="000046DB"/>
    <w:rsid w:val="00004D9D"/>
    <w:rsid w:val="000051F3"/>
    <w:rsid w:val="00006209"/>
    <w:rsid w:val="00007704"/>
    <w:rsid w:val="000107C3"/>
    <w:rsid w:val="00010BFD"/>
    <w:rsid w:val="00010FBE"/>
    <w:rsid w:val="000115CE"/>
    <w:rsid w:val="00011616"/>
    <w:rsid w:val="00012292"/>
    <w:rsid w:val="0001231A"/>
    <w:rsid w:val="00012C1C"/>
    <w:rsid w:val="00012E6D"/>
    <w:rsid w:val="00012FB1"/>
    <w:rsid w:val="000142B6"/>
    <w:rsid w:val="00015947"/>
    <w:rsid w:val="00015A40"/>
    <w:rsid w:val="00016B26"/>
    <w:rsid w:val="00017CD7"/>
    <w:rsid w:val="00020BD0"/>
    <w:rsid w:val="00020F25"/>
    <w:rsid w:val="000241AE"/>
    <w:rsid w:val="00024A46"/>
    <w:rsid w:val="00030246"/>
    <w:rsid w:val="00030DCD"/>
    <w:rsid w:val="00033310"/>
    <w:rsid w:val="0003340B"/>
    <w:rsid w:val="0003358E"/>
    <w:rsid w:val="00033894"/>
    <w:rsid w:val="000351D6"/>
    <w:rsid w:val="00035CE5"/>
    <w:rsid w:val="00037AE4"/>
    <w:rsid w:val="00037DF8"/>
    <w:rsid w:val="00037E61"/>
    <w:rsid w:val="0004189E"/>
    <w:rsid w:val="00041C0A"/>
    <w:rsid w:val="0004339D"/>
    <w:rsid w:val="000435F3"/>
    <w:rsid w:val="0004379A"/>
    <w:rsid w:val="00044BC5"/>
    <w:rsid w:val="0004623F"/>
    <w:rsid w:val="000465DB"/>
    <w:rsid w:val="000500A0"/>
    <w:rsid w:val="000500A9"/>
    <w:rsid w:val="000504FF"/>
    <w:rsid w:val="0005236A"/>
    <w:rsid w:val="00053B34"/>
    <w:rsid w:val="00053D3C"/>
    <w:rsid w:val="00054233"/>
    <w:rsid w:val="000543B3"/>
    <w:rsid w:val="00055AF4"/>
    <w:rsid w:val="00055EDF"/>
    <w:rsid w:val="00055F83"/>
    <w:rsid w:val="00056C6C"/>
    <w:rsid w:val="000612ED"/>
    <w:rsid w:val="00062BF6"/>
    <w:rsid w:val="00063063"/>
    <w:rsid w:val="00063526"/>
    <w:rsid w:val="00063CF8"/>
    <w:rsid w:val="00064988"/>
    <w:rsid w:val="00065C25"/>
    <w:rsid w:val="00065E6E"/>
    <w:rsid w:val="00066454"/>
    <w:rsid w:val="00066D12"/>
    <w:rsid w:val="0006717B"/>
    <w:rsid w:val="0007024C"/>
    <w:rsid w:val="00071D45"/>
    <w:rsid w:val="00072E34"/>
    <w:rsid w:val="000737AC"/>
    <w:rsid w:val="00073A22"/>
    <w:rsid w:val="00076DC3"/>
    <w:rsid w:val="000774D3"/>
    <w:rsid w:val="00077C44"/>
    <w:rsid w:val="00080015"/>
    <w:rsid w:val="0008330C"/>
    <w:rsid w:val="00085001"/>
    <w:rsid w:val="00085F36"/>
    <w:rsid w:val="00086741"/>
    <w:rsid w:val="00086DC8"/>
    <w:rsid w:val="00086E17"/>
    <w:rsid w:val="00086E60"/>
    <w:rsid w:val="00087327"/>
    <w:rsid w:val="000909CF"/>
    <w:rsid w:val="000919B2"/>
    <w:rsid w:val="000919B5"/>
    <w:rsid w:val="00094276"/>
    <w:rsid w:val="000965BB"/>
    <w:rsid w:val="00096C1A"/>
    <w:rsid w:val="00097822"/>
    <w:rsid w:val="000A0192"/>
    <w:rsid w:val="000A06E8"/>
    <w:rsid w:val="000A23B3"/>
    <w:rsid w:val="000A2CFF"/>
    <w:rsid w:val="000A2F3A"/>
    <w:rsid w:val="000A3F4A"/>
    <w:rsid w:val="000A53F3"/>
    <w:rsid w:val="000A5714"/>
    <w:rsid w:val="000A5C6B"/>
    <w:rsid w:val="000A5DFE"/>
    <w:rsid w:val="000A6626"/>
    <w:rsid w:val="000A6AF2"/>
    <w:rsid w:val="000B0A91"/>
    <w:rsid w:val="000B0F52"/>
    <w:rsid w:val="000B13F5"/>
    <w:rsid w:val="000B14DC"/>
    <w:rsid w:val="000B1E3D"/>
    <w:rsid w:val="000B214F"/>
    <w:rsid w:val="000B2925"/>
    <w:rsid w:val="000B2CE6"/>
    <w:rsid w:val="000B2EC6"/>
    <w:rsid w:val="000B40B9"/>
    <w:rsid w:val="000B4A00"/>
    <w:rsid w:val="000B65AC"/>
    <w:rsid w:val="000B67CD"/>
    <w:rsid w:val="000B7072"/>
    <w:rsid w:val="000C0B9F"/>
    <w:rsid w:val="000C0E3A"/>
    <w:rsid w:val="000C10D2"/>
    <w:rsid w:val="000C1208"/>
    <w:rsid w:val="000C22CD"/>
    <w:rsid w:val="000C26AF"/>
    <w:rsid w:val="000C4B46"/>
    <w:rsid w:val="000C72B9"/>
    <w:rsid w:val="000D01FB"/>
    <w:rsid w:val="000D0801"/>
    <w:rsid w:val="000D1F44"/>
    <w:rsid w:val="000D230B"/>
    <w:rsid w:val="000D2BCD"/>
    <w:rsid w:val="000D42F3"/>
    <w:rsid w:val="000D465D"/>
    <w:rsid w:val="000D4B83"/>
    <w:rsid w:val="000D538D"/>
    <w:rsid w:val="000D5A49"/>
    <w:rsid w:val="000E023A"/>
    <w:rsid w:val="000E1009"/>
    <w:rsid w:val="000E1DC6"/>
    <w:rsid w:val="000E1F26"/>
    <w:rsid w:val="000E283C"/>
    <w:rsid w:val="000E2CA7"/>
    <w:rsid w:val="000E68DE"/>
    <w:rsid w:val="000E7503"/>
    <w:rsid w:val="000F03FA"/>
    <w:rsid w:val="000F59C5"/>
    <w:rsid w:val="000F5C51"/>
    <w:rsid w:val="000F6029"/>
    <w:rsid w:val="000F7C8D"/>
    <w:rsid w:val="000F7F64"/>
    <w:rsid w:val="00102E11"/>
    <w:rsid w:val="001032FB"/>
    <w:rsid w:val="0010339C"/>
    <w:rsid w:val="0010487A"/>
    <w:rsid w:val="0010582B"/>
    <w:rsid w:val="00105DDF"/>
    <w:rsid w:val="001065FE"/>
    <w:rsid w:val="00106B36"/>
    <w:rsid w:val="00107AFB"/>
    <w:rsid w:val="00107BCE"/>
    <w:rsid w:val="00107E07"/>
    <w:rsid w:val="00107EED"/>
    <w:rsid w:val="00111FBD"/>
    <w:rsid w:val="00113D70"/>
    <w:rsid w:val="00115125"/>
    <w:rsid w:val="00115D65"/>
    <w:rsid w:val="001161ED"/>
    <w:rsid w:val="001165F7"/>
    <w:rsid w:val="00116E8B"/>
    <w:rsid w:val="00117E84"/>
    <w:rsid w:val="00120B61"/>
    <w:rsid w:val="00123C6A"/>
    <w:rsid w:val="00124193"/>
    <w:rsid w:val="00124332"/>
    <w:rsid w:val="0012445D"/>
    <w:rsid w:val="00124D9C"/>
    <w:rsid w:val="001257C7"/>
    <w:rsid w:val="0012686B"/>
    <w:rsid w:val="00130386"/>
    <w:rsid w:val="0013157E"/>
    <w:rsid w:val="00131D86"/>
    <w:rsid w:val="00132A02"/>
    <w:rsid w:val="00132E83"/>
    <w:rsid w:val="00134A51"/>
    <w:rsid w:val="00134F6D"/>
    <w:rsid w:val="00135108"/>
    <w:rsid w:val="00135E1D"/>
    <w:rsid w:val="00136095"/>
    <w:rsid w:val="0013609E"/>
    <w:rsid w:val="00137E90"/>
    <w:rsid w:val="00141BFC"/>
    <w:rsid w:val="00142427"/>
    <w:rsid w:val="001427C0"/>
    <w:rsid w:val="001428FC"/>
    <w:rsid w:val="001432D5"/>
    <w:rsid w:val="00143AD8"/>
    <w:rsid w:val="00143B11"/>
    <w:rsid w:val="0014403A"/>
    <w:rsid w:val="001453D7"/>
    <w:rsid w:val="001454E4"/>
    <w:rsid w:val="00146A2B"/>
    <w:rsid w:val="00146ACD"/>
    <w:rsid w:val="00150903"/>
    <w:rsid w:val="00151677"/>
    <w:rsid w:val="0015167B"/>
    <w:rsid w:val="001516E3"/>
    <w:rsid w:val="001516E5"/>
    <w:rsid w:val="0015196D"/>
    <w:rsid w:val="00151ABD"/>
    <w:rsid w:val="00151C36"/>
    <w:rsid w:val="00151ED8"/>
    <w:rsid w:val="001528D2"/>
    <w:rsid w:val="00152D6B"/>
    <w:rsid w:val="00153E9A"/>
    <w:rsid w:val="00153FFE"/>
    <w:rsid w:val="001542C7"/>
    <w:rsid w:val="001547FD"/>
    <w:rsid w:val="001563A7"/>
    <w:rsid w:val="00157030"/>
    <w:rsid w:val="001574F6"/>
    <w:rsid w:val="00157E84"/>
    <w:rsid w:val="00161645"/>
    <w:rsid w:val="00161D3D"/>
    <w:rsid w:val="00162176"/>
    <w:rsid w:val="0016228B"/>
    <w:rsid w:val="0016421D"/>
    <w:rsid w:val="00164956"/>
    <w:rsid w:val="00164D6D"/>
    <w:rsid w:val="00165650"/>
    <w:rsid w:val="00166AE0"/>
    <w:rsid w:val="00167660"/>
    <w:rsid w:val="00170F18"/>
    <w:rsid w:val="001747A0"/>
    <w:rsid w:val="001748AA"/>
    <w:rsid w:val="00175938"/>
    <w:rsid w:val="001761F4"/>
    <w:rsid w:val="00176926"/>
    <w:rsid w:val="00177746"/>
    <w:rsid w:val="00177B04"/>
    <w:rsid w:val="001803FC"/>
    <w:rsid w:val="001815BE"/>
    <w:rsid w:val="00181912"/>
    <w:rsid w:val="0018203D"/>
    <w:rsid w:val="00182585"/>
    <w:rsid w:val="00182A25"/>
    <w:rsid w:val="001830A1"/>
    <w:rsid w:val="00183633"/>
    <w:rsid w:val="00183BB8"/>
    <w:rsid w:val="00183E45"/>
    <w:rsid w:val="00184075"/>
    <w:rsid w:val="00184714"/>
    <w:rsid w:val="001862F9"/>
    <w:rsid w:val="00186500"/>
    <w:rsid w:val="00187F30"/>
    <w:rsid w:val="0019052E"/>
    <w:rsid w:val="00191370"/>
    <w:rsid w:val="00192E05"/>
    <w:rsid w:val="00193CAE"/>
    <w:rsid w:val="00194D78"/>
    <w:rsid w:val="00194EA3"/>
    <w:rsid w:val="001950CC"/>
    <w:rsid w:val="00195A36"/>
    <w:rsid w:val="00195F4C"/>
    <w:rsid w:val="00196199"/>
    <w:rsid w:val="00196427"/>
    <w:rsid w:val="00196F87"/>
    <w:rsid w:val="001A0F56"/>
    <w:rsid w:val="001A1385"/>
    <w:rsid w:val="001A180F"/>
    <w:rsid w:val="001A33F8"/>
    <w:rsid w:val="001A3C0A"/>
    <w:rsid w:val="001A456E"/>
    <w:rsid w:val="001A7CA9"/>
    <w:rsid w:val="001B0A66"/>
    <w:rsid w:val="001B1291"/>
    <w:rsid w:val="001B14CC"/>
    <w:rsid w:val="001B2700"/>
    <w:rsid w:val="001B2965"/>
    <w:rsid w:val="001B4328"/>
    <w:rsid w:val="001B67EA"/>
    <w:rsid w:val="001B71B2"/>
    <w:rsid w:val="001B7933"/>
    <w:rsid w:val="001B7D00"/>
    <w:rsid w:val="001B7F81"/>
    <w:rsid w:val="001C08CC"/>
    <w:rsid w:val="001C139D"/>
    <w:rsid w:val="001C2483"/>
    <w:rsid w:val="001C2D10"/>
    <w:rsid w:val="001C3F35"/>
    <w:rsid w:val="001C55C3"/>
    <w:rsid w:val="001C5652"/>
    <w:rsid w:val="001C5977"/>
    <w:rsid w:val="001C5E8B"/>
    <w:rsid w:val="001C7315"/>
    <w:rsid w:val="001D0479"/>
    <w:rsid w:val="001D0857"/>
    <w:rsid w:val="001D0B7E"/>
    <w:rsid w:val="001D0FDA"/>
    <w:rsid w:val="001D2F24"/>
    <w:rsid w:val="001D2F62"/>
    <w:rsid w:val="001D4535"/>
    <w:rsid w:val="001D4E73"/>
    <w:rsid w:val="001D5226"/>
    <w:rsid w:val="001D5FB4"/>
    <w:rsid w:val="001D6C93"/>
    <w:rsid w:val="001D6D28"/>
    <w:rsid w:val="001E0112"/>
    <w:rsid w:val="001E04DF"/>
    <w:rsid w:val="001E1BA3"/>
    <w:rsid w:val="001E2898"/>
    <w:rsid w:val="001E2944"/>
    <w:rsid w:val="001E301B"/>
    <w:rsid w:val="001E37BD"/>
    <w:rsid w:val="001E49E6"/>
    <w:rsid w:val="001E63BC"/>
    <w:rsid w:val="001F1E18"/>
    <w:rsid w:val="001F2209"/>
    <w:rsid w:val="001F384B"/>
    <w:rsid w:val="001F3F77"/>
    <w:rsid w:val="001F3FCB"/>
    <w:rsid w:val="001F4E33"/>
    <w:rsid w:val="001F524F"/>
    <w:rsid w:val="001F67CE"/>
    <w:rsid w:val="001F6FD1"/>
    <w:rsid w:val="001F7681"/>
    <w:rsid w:val="001F76A5"/>
    <w:rsid w:val="00200ECA"/>
    <w:rsid w:val="00201062"/>
    <w:rsid w:val="002021DA"/>
    <w:rsid w:val="0020224C"/>
    <w:rsid w:val="00202A83"/>
    <w:rsid w:val="002035A5"/>
    <w:rsid w:val="00204E46"/>
    <w:rsid w:val="0020630B"/>
    <w:rsid w:val="00206E6A"/>
    <w:rsid w:val="00207D49"/>
    <w:rsid w:val="00210628"/>
    <w:rsid w:val="00212166"/>
    <w:rsid w:val="002129C7"/>
    <w:rsid w:val="002139DF"/>
    <w:rsid w:val="002140DE"/>
    <w:rsid w:val="00214908"/>
    <w:rsid w:val="00214EC8"/>
    <w:rsid w:val="00214F7F"/>
    <w:rsid w:val="00215503"/>
    <w:rsid w:val="00216163"/>
    <w:rsid w:val="00217481"/>
    <w:rsid w:val="00220202"/>
    <w:rsid w:val="0022067B"/>
    <w:rsid w:val="00220A90"/>
    <w:rsid w:val="002254DB"/>
    <w:rsid w:val="00225C60"/>
    <w:rsid w:val="00225D1F"/>
    <w:rsid w:val="00225FA5"/>
    <w:rsid w:val="002265CD"/>
    <w:rsid w:val="00226A1D"/>
    <w:rsid w:val="002276FE"/>
    <w:rsid w:val="00227821"/>
    <w:rsid w:val="0023079C"/>
    <w:rsid w:val="00230DE8"/>
    <w:rsid w:val="00231385"/>
    <w:rsid w:val="0023260B"/>
    <w:rsid w:val="002335C7"/>
    <w:rsid w:val="00233922"/>
    <w:rsid w:val="0023452F"/>
    <w:rsid w:val="00234B5E"/>
    <w:rsid w:val="00234BE9"/>
    <w:rsid w:val="00235AE0"/>
    <w:rsid w:val="0024036F"/>
    <w:rsid w:val="00240895"/>
    <w:rsid w:val="00240896"/>
    <w:rsid w:val="00241C68"/>
    <w:rsid w:val="00242DB9"/>
    <w:rsid w:val="00242EA6"/>
    <w:rsid w:val="0024318B"/>
    <w:rsid w:val="00246039"/>
    <w:rsid w:val="002476F1"/>
    <w:rsid w:val="002477E7"/>
    <w:rsid w:val="002504D6"/>
    <w:rsid w:val="00250973"/>
    <w:rsid w:val="00251DCE"/>
    <w:rsid w:val="00252F40"/>
    <w:rsid w:val="00253F77"/>
    <w:rsid w:val="00254051"/>
    <w:rsid w:val="0025574B"/>
    <w:rsid w:val="00255A74"/>
    <w:rsid w:val="002574A2"/>
    <w:rsid w:val="00257EAB"/>
    <w:rsid w:val="00260739"/>
    <w:rsid w:val="00261149"/>
    <w:rsid w:val="00261AC1"/>
    <w:rsid w:val="00262DF4"/>
    <w:rsid w:val="00262F0E"/>
    <w:rsid w:val="00263C12"/>
    <w:rsid w:val="002647E8"/>
    <w:rsid w:val="00264CEB"/>
    <w:rsid w:val="00265345"/>
    <w:rsid w:val="00266698"/>
    <w:rsid w:val="00266CD8"/>
    <w:rsid w:val="00266DC6"/>
    <w:rsid w:val="00267A97"/>
    <w:rsid w:val="00271A46"/>
    <w:rsid w:val="00272DD8"/>
    <w:rsid w:val="002731EB"/>
    <w:rsid w:val="0027519B"/>
    <w:rsid w:val="00275357"/>
    <w:rsid w:val="002762C9"/>
    <w:rsid w:val="00276564"/>
    <w:rsid w:val="00276933"/>
    <w:rsid w:val="00276D6F"/>
    <w:rsid w:val="0027739D"/>
    <w:rsid w:val="00280AD1"/>
    <w:rsid w:val="0028129B"/>
    <w:rsid w:val="002813B4"/>
    <w:rsid w:val="00281E1F"/>
    <w:rsid w:val="00283F68"/>
    <w:rsid w:val="00286E12"/>
    <w:rsid w:val="002875AC"/>
    <w:rsid w:val="00290492"/>
    <w:rsid w:val="00290CA2"/>
    <w:rsid w:val="00291B43"/>
    <w:rsid w:val="00292634"/>
    <w:rsid w:val="00292820"/>
    <w:rsid w:val="00292E52"/>
    <w:rsid w:val="00293251"/>
    <w:rsid w:val="00293A3F"/>
    <w:rsid w:val="00293B76"/>
    <w:rsid w:val="00293D56"/>
    <w:rsid w:val="0029635E"/>
    <w:rsid w:val="00296451"/>
    <w:rsid w:val="002966E3"/>
    <w:rsid w:val="00296C8A"/>
    <w:rsid w:val="002976FB"/>
    <w:rsid w:val="002A0418"/>
    <w:rsid w:val="002A0889"/>
    <w:rsid w:val="002A0B5B"/>
    <w:rsid w:val="002A1E4B"/>
    <w:rsid w:val="002A234F"/>
    <w:rsid w:val="002A34A0"/>
    <w:rsid w:val="002A38BF"/>
    <w:rsid w:val="002A3A33"/>
    <w:rsid w:val="002A4151"/>
    <w:rsid w:val="002A546C"/>
    <w:rsid w:val="002A59D1"/>
    <w:rsid w:val="002A5B11"/>
    <w:rsid w:val="002A7A3F"/>
    <w:rsid w:val="002B088F"/>
    <w:rsid w:val="002B094A"/>
    <w:rsid w:val="002B0D62"/>
    <w:rsid w:val="002B107B"/>
    <w:rsid w:val="002B1502"/>
    <w:rsid w:val="002B1812"/>
    <w:rsid w:val="002B3C4F"/>
    <w:rsid w:val="002B3F46"/>
    <w:rsid w:val="002B44D9"/>
    <w:rsid w:val="002B746A"/>
    <w:rsid w:val="002C086C"/>
    <w:rsid w:val="002C0A14"/>
    <w:rsid w:val="002C0CFB"/>
    <w:rsid w:val="002C108E"/>
    <w:rsid w:val="002C20CF"/>
    <w:rsid w:val="002C3539"/>
    <w:rsid w:val="002C3E87"/>
    <w:rsid w:val="002C4561"/>
    <w:rsid w:val="002C488F"/>
    <w:rsid w:val="002C5043"/>
    <w:rsid w:val="002C60B9"/>
    <w:rsid w:val="002D0F71"/>
    <w:rsid w:val="002D1521"/>
    <w:rsid w:val="002D15E1"/>
    <w:rsid w:val="002D15EE"/>
    <w:rsid w:val="002D1638"/>
    <w:rsid w:val="002D2BE4"/>
    <w:rsid w:val="002D3047"/>
    <w:rsid w:val="002D378F"/>
    <w:rsid w:val="002D424C"/>
    <w:rsid w:val="002D4EB4"/>
    <w:rsid w:val="002D541D"/>
    <w:rsid w:val="002D6057"/>
    <w:rsid w:val="002D6DE0"/>
    <w:rsid w:val="002E1211"/>
    <w:rsid w:val="002E1785"/>
    <w:rsid w:val="002E1D31"/>
    <w:rsid w:val="002E280F"/>
    <w:rsid w:val="002E4BC0"/>
    <w:rsid w:val="002E4FD8"/>
    <w:rsid w:val="002E64B2"/>
    <w:rsid w:val="002E7DF3"/>
    <w:rsid w:val="002F643B"/>
    <w:rsid w:val="002F6593"/>
    <w:rsid w:val="002F7316"/>
    <w:rsid w:val="002F7CBD"/>
    <w:rsid w:val="00300395"/>
    <w:rsid w:val="00301B99"/>
    <w:rsid w:val="00302B8C"/>
    <w:rsid w:val="00303988"/>
    <w:rsid w:val="003047A0"/>
    <w:rsid w:val="00306152"/>
    <w:rsid w:val="00306B4B"/>
    <w:rsid w:val="00307627"/>
    <w:rsid w:val="003108B7"/>
    <w:rsid w:val="00310ECE"/>
    <w:rsid w:val="0031200A"/>
    <w:rsid w:val="003120F8"/>
    <w:rsid w:val="00312FE7"/>
    <w:rsid w:val="003132C8"/>
    <w:rsid w:val="00313C67"/>
    <w:rsid w:val="00314E55"/>
    <w:rsid w:val="003157FD"/>
    <w:rsid w:val="00315BD7"/>
    <w:rsid w:val="003168F3"/>
    <w:rsid w:val="00317122"/>
    <w:rsid w:val="00317ECB"/>
    <w:rsid w:val="003207A0"/>
    <w:rsid w:val="003210F7"/>
    <w:rsid w:val="003219DC"/>
    <w:rsid w:val="003237C8"/>
    <w:rsid w:val="00323CCA"/>
    <w:rsid w:val="00324349"/>
    <w:rsid w:val="00324828"/>
    <w:rsid w:val="0032575D"/>
    <w:rsid w:val="00327699"/>
    <w:rsid w:val="00327812"/>
    <w:rsid w:val="003311A1"/>
    <w:rsid w:val="003311D7"/>
    <w:rsid w:val="003316A8"/>
    <w:rsid w:val="00331719"/>
    <w:rsid w:val="00331DDB"/>
    <w:rsid w:val="00332132"/>
    <w:rsid w:val="00332C46"/>
    <w:rsid w:val="0033371D"/>
    <w:rsid w:val="00334AE6"/>
    <w:rsid w:val="00334AFE"/>
    <w:rsid w:val="00334D4F"/>
    <w:rsid w:val="003355CE"/>
    <w:rsid w:val="00337C52"/>
    <w:rsid w:val="003405AB"/>
    <w:rsid w:val="00340D9F"/>
    <w:rsid w:val="00341374"/>
    <w:rsid w:val="003417FE"/>
    <w:rsid w:val="00343456"/>
    <w:rsid w:val="00343A25"/>
    <w:rsid w:val="00344BAB"/>
    <w:rsid w:val="00344F63"/>
    <w:rsid w:val="003453CE"/>
    <w:rsid w:val="0034737B"/>
    <w:rsid w:val="00350306"/>
    <w:rsid w:val="00351249"/>
    <w:rsid w:val="003520FC"/>
    <w:rsid w:val="00352C8E"/>
    <w:rsid w:val="00353B8E"/>
    <w:rsid w:val="00353DFF"/>
    <w:rsid w:val="003543F8"/>
    <w:rsid w:val="0035481F"/>
    <w:rsid w:val="00356A47"/>
    <w:rsid w:val="003570A3"/>
    <w:rsid w:val="00360173"/>
    <w:rsid w:val="0036083E"/>
    <w:rsid w:val="003616E9"/>
    <w:rsid w:val="003624EE"/>
    <w:rsid w:val="0036344E"/>
    <w:rsid w:val="003645F2"/>
    <w:rsid w:val="003654D5"/>
    <w:rsid w:val="0037064D"/>
    <w:rsid w:val="00371990"/>
    <w:rsid w:val="003720FB"/>
    <w:rsid w:val="00372A7E"/>
    <w:rsid w:val="00373412"/>
    <w:rsid w:val="003734B3"/>
    <w:rsid w:val="00373F39"/>
    <w:rsid w:val="0037437E"/>
    <w:rsid w:val="00374C48"/>
    <w:rsid w:val="00375165"/>
    <w:rsid w:val="00375570"/>
    <w:rsid w:val="00375699"/>
    <w:rsid w:val="00376372"/>
    <w:rsid w:val="00376996"/>
    <w:rsid w:val="0038012B"/>
    <w:rsid w:val="00380306"/>
    <w:rsid w:val="00380380"/>
    <w:rsid w:val="00381C3C"/>
    <w:rsid w:val="00381D6D"/>
    <w:rsid w:val="00383D4D"/>
    <w:rsid w:val="00384065"/>
    <w:rsid w:val="0038479B"/>
    <w:rsid w:val="00384915"/>
    <w:rsid w:val="003864AA"/>
    <w:rsid w:val="00386779"/>
    <w:rsid w:val="0038793E"/>
    <w:rsid w:val="003905EA"/>
    <w:rsid w:val="00390AD3"/>
    <w:rsid w:val="00390B78"/>
    <w:rsid w:val="00390EB4"/>
    <w:rsid w:val="00390F3E"/>
    <w:rsid w:val="00391B6F"/>
    <w:rsid w:val="003928B3"/>
    <w:rsid w:val="0039351A"/>
    <w:rsid w:val="00394592"/>
    <w:rsid w:val="00396B2C"/>
    <w:rsid w:val="00397003"/>
    <w:rsid w:val="003970F8"/>
    <w:rsid w:val="00397BFD"/>
    <w:rsid w:val="003A047D"/>
    <w:rsid w:val="003A06CC"/>
    <w:rsid w:val="003A2DCC"/>
    <w:rsid w:val="003A3A84"/>
    <w:rsid w:val="003A3D31"/>
    <w:rsid w:val="003A3F08"/>
    <w:rsid w:val="003A43D2"/>
    <w:rsid w:val="003A4930"/>
    <w:rsid w:val="003A59AB"/>
    <w:rsid w:val="003A6BEB"/>
    <w:rsid w:val="003A741A"/>
    <w:rsid w:val="003B0B41"/>
    <w:rsid w:val="003B11A6"/>
    <w:rsid w:val="003B18EA"/>
    <w:rsid w:val="003B213B"/>
    <w:rsid w:val="003B2697"/>
    <w:rsid w:val="003B2AC1"/>
    <w:rsid w:val="003B3915"/>
    <w:rsid w:val="003B45F5"/>
    <w:rsid w:val="003B47F5"/>
    <w:rsid w:val="003B4967"/>
    <w:rsid w:val="003B4B24"/>
    <w:rsid w:val="003B4CC9"/>
    <w:rsid w:val="003B630F"/>
    <w:rsid w:val="003B6392"/>
    <w:rsid w:val="003B6FDA"/>
    <w:rsid w:val="003B756E"/>
    <w:rsid w:val="003B7632"/>
    <w:rsid w:val="003B77BB"/>
    <w:rsid w:val="003C0BF5"/>
    <w:rsid w:val="003C1254"/>
    <w:rsid w:val="003C1471"/>
    <w:rsid w:val="003C1D99"/>
    <w:rsid w:val="003C23DE"/>
    <w:rsid w:val="003C3D34"/>
    <w:rsid w:val="003C76C1"/>
    <w:rsid w:val="003C794A"/>
    <w:rsid w:val="003C7B52"/>
    <w:rsid w:val="003D0895"/>
    <w:rsid w:val="003D1442"/>
    <w:rsid w:val="003D237E"/>
    <w:rsid w:val="003D2B35"/>
    <w:rsid w:val="003D2CD2"/>
    <w:rsid w:val="003D300F"/>
    <w:rsid w:val="003D5827"/>
    <w:rsid w:val="003D59B0"/>
    <w:rsid w:val="003D6063"/>
    <w:rsid w:val="003D6368"/>
    <w:rsid w:val="003E01F9"/>
    <w:rsid w:val="003E020C"/>
    <w:rsid w:val="003E2223"/>
    <w:rsid w:val="003E2A36"/>
    <w:rsid w:val="003E32BF"/>
    <w:rsid w:val="003E35C5"/>
    <w:rsid w:val="003E3CD8"/>
    <w:rsid w:val="003E4550"/>
    <w:rsid w:val="003E4C3D"/>
    <w:rsid w:val="003E58CC"/>
    <w:rsid w:val="003E765B"/>
    <w:rsid w:val="003F0DF2"/>
    <w:rsid w:val="003F21C7"/>
    <w:rsid w:val="003F24E4"/>
    <w:rsid w:val="003F412F"/>
    <w:rsid w:val="003F5450"/>
    <w:rsid w:val="003F5A8C"/>
    <w:rsid w:val="003F621C"/>
    <w:rsid w:val="003F6C15"/>
    <w:rsid w:val="003F6D4A"/>
    <w:rsid w:val="003F7BD8"/>
    <w:rsid w:val="00402A16"/>
    <w:rsid w:val="00403AC4"/>
    <w:rsid w:val="00404293"/>
    <w:rsid w:val="00404628"/>
    <w:rsid w:val="004059B4"/>
    <w:rsid w:val="00407D23"/>
    <w:rsid w:val="00410C3A"/>
    <w:rsid w:val="00410D16"/>
    <w:rsid w:val="00411436"/>
    <w:rsid w:val="004143B9"/>
    <w:rsid w:val="00414CB6"/>
    <w:rsid w:val="00415095"/>
    <w:rsid w:val="00415567"/>
    <w:rsid w:val="00415CBC"/>
    <w:rsid w:val="00416169"/>
    <w:rsid w:val="0042326B"/>
    <w:rsid w:val="004246F6"/>
    <w:rsid w:val="00425F29"/>
    <w:rsid w:val="004301D7"/>
    <w:rsid w:val="00433BB8"/>
    <w:rsid w:val="0043420A"/>
    <w:rsid w:val="004354EE"/>
    <w:rsid w:val="0043638B"/>
    <w:rsid w:val="004365CE"/>
    <w:rsid w:val="0044086C"/>
    <w:rsid w:val="00443063"/>
    <w:rsid w:val="00444F2D"/>
    <w:rsid w:val="004471D9"/>
    <w:rsid w:val="00452460"/>
    <w:rsid w:val="00452657"/>
    <w:rsid w:val="004529A5"/>
    <w:rsid w:val="00452A1B"/>
    <w:rsid w:val="004530D3"/>
    <w:rsid w:val="00454F87"/>
    <w:rsid w:val="00455CA1"/>
    <w:rsid w:val="00456F59"/>
    <w:rsid w:val="00457C7F"/>
    <w:rsid w:val="00457EDC"/>
    <w:rsid w:val="0046096C"/>
    <w:rsid w:val="004610A4"/>
    <w:rsid w:val="00463534"/>
    <w:rsid w:val="00463624"/>
    <w:rsid w:val="0046389E"/>
    <w:rsid w:val="004640C6"/>
    <w:rsid w:val="00464EBD"/>
    <w:rsid w:val="00467C2C"/>
    <w:rsid w:val="004712E9"/>
    <w:rsid w:val="0047223E"/>
    <w:rsid w:val="00472F68"/>
    <w:rsid w:val="0047306C"/>
    <w:rsid w:val="00473C6C"/>
    <w:rsid w:val="00473E43"/>
    <w:rsid w:val="00474089"/>
    <w:rsid w:val="00474E70"/>
    <w:rsid w:val="00480535"/>
    <w:rsid w:val="00480548"/>
    <w:rsid w:val="004806AB"/>
    <w:rsid w:val="00481E7A"/>
    <w:rsid w:val="0048286A"/>
    <w:rsid w:val="0048450E"/>
    <w:rsid w:val="00485142"/>
    <w:rsid w:val="00485256"/>
    <w:rsid w:val="00485A57"/>
    <w:rsid w:val="0048763B"/>
    <w:rsid w:val="0049097F"/>
    <w:rsid w:val="00491532"/>
    <w:rsid w:val="00491B9C"/>
    <w:rsid w:val="00491F65"/>
    <w:rsid w:val="004924CA"/>
    <w:rsid w:val="004928D0"/>
    <w:rsid w:val="00492A4E"/>
    <w:rsid w:val="00492E20"/>
    <w:rsid w:val="00493561"/>
    <w:rsid w:val="004946BC"/>
    <w:rsid w:val="00494D26"/>
    <w:rsid w:val="00495551"/>
    <w:rsid w:val="00497D16"/>
    <w:rsid w:val="00497EA1"/>
    <w:rsid w:val="004A0FD4"/>
    <w:rsid w:val="004A12BA"/>
    <w:rsid w:val="004A1A32"/>
    <w:rsid w:val="004A1B7C"/>
    <w:rsid w:val="004A1E73"/>
    <w:rsid w:val="004A2C47"/>
    <w:rsid w:val="004A45D1"/>
    <w:rsid w:val="004A5B16"/>
    <w:rsid w:val="004A7225"/>
    <w:rsid w:val="004A7BD1"/>
    <w:rsid w:val="004B23F0"/>
    <w:rsid w:val="004B3275"/>
    <w:rsid w:val="004B330E"/>
    <w:rsid w:val="004B3D61"/>
    <w:rsid w:val="004B3EA5"/>
    <w:rsid w:val="004B4262"/>
    <w:rsid w:val="004B4D01"/>
    <w:rsid w:val="004B5112"/>
    <w:rsid w:val="004B5F90"/>
    <w:rsid w:val="004C2F59"/>
    <w:rsid w:val="004C31B2"/>
    <w:rsid w:val="004C42B3"/>
    <w:rsid w:val="004C4C65"/>
    <w:rsid w:val="004C508A"/>
    <w:rsid w:val="004C5244"/>
    <w:rsid w:val="004C5641"/>
    <w:rsid w:val="004C5E94"/>
    <w:rsid w:val="004C71ED"/>
    <w:rsid w:val="004C7884"/>
    <w:rsid w:val="004D0503"/>
    <w:rsid w:val="004D2425"/>
    <w:rsid w:val="004D2636"/>
    <w:rsid w:val="004D2BAE"/>
    <w:rsid w:val="004D3414"/>
    <w:rsid w:val="004D45BE"/>
    <w:rsid w:val="004D4A0F"/>
    <w:rsid w:val="004D54D5"/>
    <w:rsid w:val="004D598B"/>
    <w:rsid w:val="004D5BD5"/>
    <w:rsid w:val="004D616F"/>
    <w:rsid w:val="004E01A7"/>
    <w:rsid w:val="004E0889"/>
    <w:rsid w:val="004E2292"/>
    <w:rsid w:val="004E3D01"/>
    <w:rsid w:val="004E437B"/>
    <w:rsid w:val="004E6219"/>
    <w:rsid w:val="004E6857"/>
    <w:rsid w:val="004E6DAE"/>
    <w:rsid w:val="004E7901"/>
    <w:rsid w:val="004E7BE2"/>
    <w:rsid w:val="004F0089"/>
    <w:rsid w:val="004F0AC9"/>
    <w:rsid w:val="004F11B6"/>
    <w:rsid w:val="004F13D9"/>
    <w:rsid w:val="004F2299"/>
    <w:rsid w:val="004F233A"/>
    <w:rsid w:val="004F284A"/>
    <w:rsid w:val="004F392D"/>
    <w:rsid w:val="004F4131"/>
    <w:rsid w:val="004F46B3"/>
    <w:rsid w:val="004F4B84"/>
    <w:rsid w:val="004F65E2"/>
    <w:rsid w:val="004F68C6"/>
    <w:rsid w:val="004F71EF"/>
    <w:rsid w:val="004F7566"/>
    <w:rsid w:val="004F787B"/>
    <w:rsid w:val="004F7CB5"/>
    <w:rsid w:val="00500167"/>
    <w:rsid w:val="00500C78"/>
    <w:rsid w:val="00501006"/>
    <w:rsid w:val="00501718"/>
    <w:rsid w:val="005034C2"/>
    <w:rsid w:val="00504A6D"/>
    <w:rsid w:val="00506EA5"/>
    <w:rsid w:val="00510E69"/>
    <w:rsid w:val="00510FF0"/>
    <w:rsid w:val="00511E9F"/>
    <w:rsid w:val="00511F0C"/>
    <w:rsid w:val="005147C9"/>
    <w:rsid w:val="005165FF"/>
    <w:rsid w:val="00516832"/>
    <w:rsid w:val="00517352"/>
    <w:rsid w:val="00517B10"/>
    <w:rsid w:val="00520816"/>
    <w:rsid w:val="00521F06"/>
    <w:rsid w:val="00522147"/>
    <w:rsid w:val="00522F8F"/>
    <w:rsid w:val="0052401A"/>
    <w:rsid w:val="005242F5"/>
    <w:rsid w:val="00524539"/>
    <w:rsid w:val="00525AE5"/>
    <w:rsid w:val="005260C0"/>
    <w:rsid w:val="00526F9D"/>
    <w:rsid w:val="00530CFA"/>
    <w:rsid w:val="0053128D"/>
    <w:rsid w:val="00531EF1"/>
    <w:rsid w:val="0053275D"/>
    <w:rsid w:val="005327DA"/>
    <w:rsid w:val="00533644"/>
    <w:rsid w:val="0053486E"/>
    <w:rsid w:val="00534AE7"/>
    <w:rsid w:val="00535270"/>
    <w:rsid w:val="00536FF2"/>
    <w:rsid w:val="00537BD9"/>
    <w:rsid w:val="0054021A"/>
    <w:rsid w:val="00540986"/>
    <w:rsid w:val="005419F0"/>
    <w:rsid w:val="00542F22"/>
    <w:rsid w:val="00543464"/>
    <w:rsid w:val="00543A66"/>
    <w:rsid w:val="00543AF2"/>
    <w:rsid w:val="00544F1B"/>
    <w:rsid w:val="00545DBA"/>
    <w:rsid w:val="00546724"/>
    <w:rsid w:val="005515AB"/>
    <w:rsid w:val="00551F7E"/>
    <w:rsid w:val="0055355B"/>
    <w:rsid w:val="00553705"/>
    <w:rsid w:val="00553961"/>
    <w:rsid w:val="00553CF2"/>
    <w:rsid w:val="0055418A"/>
    <w:rsid w:val="00554DB9"/>
    <w:rsid w:val="00556AD8"/>
    <w:rsid w:val="00556E2F"/>
    <w:rsid w:val="005574CB"/>
    <w:rsid w:val="00560423"/>
    <w:rsid w:val="00560595"/>
    <w:rsid w:val="0056092C"/>
    <w:rsid w:val="00560D86"/>
    <w:rsid w:val="00560E31"/>
    <w:rsid w:val="00561047"/>
    <w:rsid w:val="00562C44"/>
    <w:rsid w:val="00563050"/>
    <w:rsid w:val="005637BC"/>
    <w:rsid w:val="00565DE7"/>
    <w:rsid w:val="00565F75"/>
    <w:rsid w:val="005664C1"/>
    <w:rsid w:val="00566D4F"/>
    <w:rsid w:val="005700D5"/>
    <w:rsid w:val="005708C3"/>
    <w:rsid w:val="00571689"/>
    <w:rsid w:val="00572A12"/>
    <w:rsid w:val="00572B2A"/>
    <w:rsid w:val="00572E8E"/>
    <w:rsid w:val="005747F6"/>
    <w:rsid w:val="0057624E"/>
    <w:rsid w:val="005776E9"/>
    <w:rsid w:val="0058009C"/>
    <w:rsid w:val="00580F5C"/>
    <w:rsid w:val="00581A38"/>
    <w:rsid w:val="00581B9B"/>
    <w:rsid w:val="005820A5"/>
    <w:rsid w:val="0058304F"/>
    <w:rsid w:val="0058338A"/>
    <w:rsid w:val="00583C36"/>
    <w:rsid w:val="005843A1"/>
    <w:rsid w:val="00585558"/>
    <w:rsid w:val="00590C2B"/>
    <w:rsid w:val="00592760"/>
    <w:rsid w:val="00592E4D"/>
    <w:rsid w:val="0059448F"/>
    <w:rsid w:val="005945BE"/>
    <w:rsid w:val="0059468A"/>
    <w:rsid w:val="005A3523"/>
    <w:rsid w:val="005A51B6"/>
    <w:rsid w:val="005A6E6F"/>
    <w:rsid w:val="005A6FF7"/>
    <w:rsid w:val="005B015A"/>
    <w:rsid w:val="005B15EB"/>
    <w:rsid w:val="005B16EF"/>
    <w:rsid w:val="005B1A98"/>
    <w:rsid w:val="005B1D64"/>
    <w:rsid w:val="005B1FE5"/>
    <w:rsid w:val="005B2473"/>
    <w:rsid w:val="005B2F43"/>
    <w:rsid w:val="005B3BA7"/>
    <w:rsid w:val="005B413F"/>
    <w:rsid w:val="005B4859"/>
    <w:rsid w:val="005B4D1B"/>
    <w:rsid w:val="005B5822"/>
    <w:rsid w:val="005B5D67"/>
    <w:rsid w:val="005B61BD"/>
    <w:rsid w:val="005C04B1"/>
    <w:rsid w:val="005C122C"/>
    <w:rsid w:val="005C2F7D"/>
    <w:rsid w:val="005C339F"/>
    <w:rsid w:val="005C3D27"/>
    <w:rsid w:val="005C432C"/>
    <w:rsid w:val="005C4379"/>
    <w:rsid w:val="005C4B1C"/>
    <w:rsid w:val="005C6027"/>
    <w:rsid w:val="005C6536"/>
    <w:rsid w:val="005C689C"/>
    <w:rsid w:val="005C761F"/>
    <w:rsid w:val="005C78E9"/>
    <w:rsid w:val="005D266D"/>
    <w:rsid w:val="005D2BEC"/>
    <w:rsid w:val="005D2F99"/>
    <w:rsid w:val="005D3B30"/>
    <w:rsid w:val="005D4071"/>
    <w:rsid w:val="005D4276"/>
    <w:rsid w:val="005D4D22"/>
    <w:rsid w:val="005D6B14"/>
    <w:rsid w:val="005D6EF3"/>
    <w:rsid w:val="005E041F"/>
    <w:rsid w:val="005E176B"/>
    <w:rsid w:val="005E2710"/>
    <w:rsid w:val="005E28F8"/>
    <w:rsid w:val="005E3189"/>
    <w:rsid w:val="005E32CF"/>
    <w:rsid w:val="005E5095"/>
    <w:rsid w:val="005E5244"/>
    <w:rsid w:val="005E6AEF"/>
    <w:rsid w:val="005E7FE5"/>
    <w:rsid w:val="005F0150"/>
    <w:rsid w:val="005F0906"/>
    <w:rsid w:val="005F2E57"/>
    <w:rsid w:val="005F4509"/>
    <w:rsid w:val="005F4E7D"/>
    <w:rsid w:val="005F5D70"/>
    <w:rsid w:val="005F6455"/>
    <w:rsid w:val="005F748E"/>
    <w:rsid w:val="00600595"/>
    <w:rsid w:val="00600EDF"/>
    <w:rsid w:val="00601760"/>
    <w:rsid w:val="00601A34"/>
    <w:rsid w:val="00603119"/>
    <w:rsid w:val="006038A5"/>
    <w:rsid w:val="00605E77"/>
    <w:rsid w:val="006067B4"/>
    <w:rsid w:val="00607D42"/>
    <w:rsid w:val="00610E19"/>
    <w:rsid w:val="00612410"/>
    <w:rsid w:val="00612C14"/>
    <w:rsid w:val="00612C30"/>
    <w:rsid w:val="00613557"/>
    <w:rsid w:val="006150AC"/>
    <w:rsid w:val="006166A2"/>
    <w:rsid w:val="00616B7A"/>
    <w:rsid w:val="00620DA0"/>
    <w:rsid w:val="0062136B"/>
    <w:rsid w:val="00621499"/>
    <w:rsid w:val="00622BFF"/>
    <w:rsid w:val="00625265"/>
    <w:rsid w:val="00625745"/>
    <w:rsid w:val="00625F58"/>
    <w:rsid w:val="00626606"/>
    <w:rsid w:val="00626752"/>
    <w:rsid w:val="00626D16"/>
    <w:rsid w:val="00627013"/>
    <w:rsid w:val="006306C7"/>
    <w:rsid w:val="00630CAC"/>
    <w:rsid w:val="00632799"/>
    <w:rsid w:val="00632A26"/>
    <w:rsid w:val="00632D07"/>
    <w:rsid w:val="00634424"/>
    <w:rsid w:val="00635251"/>
    <w:rsid w:val="006355AE"/>
    <w:rsid w:val="006366B1"/>
    <w:rsid w:val="00636ECE"/>
    <w:rsid w:val="0063768C"/>
    <w:rsid w:val="00637B52"/>
    <w:rsid w:val="00640EC9"/>
    <w:rsid w:val="00642308"/>
    <w:rsid w:val="006428B8"/>
    <w:rsid w:val="00642C67"/>
    <w:rsid w:val="006437AF"/>
    <w:rsid w:val="00644C5D"/>
    <w:rsid w:val="00644E22"/>
    <w:rsid w:val="00650CEB"/>
    <w:rsid w:val="00651BE5"/>
    <w:rsid w:val="006526F1"/>
    <w:rsid w:val="0065358B"/>
    <w:rsid w:val="006535D4"/>
    <w:rsid w:val="00653CAD"/>
    <w:rsid w:val="00653FB4"/>
    <w:rsid w:val="0065456A"/>
    <w:rsid w:val="006573EF"/>
    <w:rsid w:val="006575D7"/>
    <w:rsid w:val="00657A11"/>
    <w:rsid w:val="006603F1"/>
    <w:rsid w:val="00660AE6"/>
    <w:rsid w:val="00661009"/>
    <w:rsid w:val="006629EC"/>
    <w:rsid w:val="00662B23"/>
    <w:rsid w:val="0066474B"/>
    <w:rsid w:val="00665458"/>
    <w:rsid w:val="006717D6"/>
    <w:rsid w:val="00671CE7"/>
    <w:rsid w:val="00672005"/>
    <w:rsid w:val="00675279"/>
    <w:rsid w:val="00676B3A"/>
    <w:rsid w:val="00676C2C"/>
    <w:rsid w:val="00676DF1"/>
    <w:rsid w:val="00677E52"/>
    <w:rsid w:val="00680C82"/>
    <w:rsid w:val="006817DA"/>
    <w:rsid w:val="006848CE"/>
    <w:rsid w:val="00685D31"/>
    <w:rsid w:val="00686FDC"/>
    <w:rsid w:val="0068714E"/>
    <w:rsid w:val="006909DE"/>
    <w:rsid w:val="00691078"/>
    <w:rsid w:val="006925C3"/>
    <w:rsid w:val="00694B40"/>
    <w:rsid w:val="00694CA5"/>
    <w:rsid w:val="00695216"/>
    <w:rsid w:val="00695D0B"/>
    <w:rsid w:val="006966A5"/>
    <w:rsid w:val="00696D1A"/>
    <w:rsid w:val="00697941"/>
    <w:rsid w:val="006A09E1"/>
    <w:rsid w:val="006A290D"/>
    <w:rsid w:val="006A293D"/>
    <w:rsid w:val="006A3761"/>
    <w:rsid w:val="006A39E5"/>
    <w:rsid w:val="006A3AB4"/>
    <w:rsid w:val="006A4257"/>
    <w:rsid w:val="006A4D53"/>
    <w:rsid w:val="006A541E"/>
    <w:rsid w:val="006A54E5"/>
    <w:rsid w:val="006A5F88"/>
    <w:rsid w:val="006A7F7F"/>
    <w:rsid w:val="006B0127"/>
    <w:rsid w:val="006B09B3"/>
    <w:rsid w:val="006B17CC"/>
    <w:rsid w:val="006B1B30"/>
    <w:rsid w:val="006B1C98"/>
    <w:rsid w:val="006B2BCD"/>
    <w:rsid w:val="006B538C"/>
    <w:rsid w:val="006B588F"/>
    <w:rsid w:val="006B5C7F"/>
    <w:rsid w:val="006B6237"/>
    <w:rsid w:val="006B751A"/>
    <w:rsid w:val="006B7A31"/>
    <w:rsid w:val="006B7FBD"/>
    <w:rsid w:val="006C13A6"/>
    <w:rsid w:val="006C281A"/>
    <w:rsid w:val="006C3065"/>
    <w:rsid w:val="006C36B7"/>
    <w:rsid w:val="006C45C5"/>
    <w:rsid w:val="006C4749"/>
    <w:rsid w:val="006C67BA"/>
    <w:rsid w:val="006C6A27"/>
    <w:rsid w:val="006D0D59"/>
    <w:rsid w:val="006D0E8A"/>
    <w:rsid w:val="006D3F04"/>
    <w:rsid w:val="006D41EE"/>
    <w:rsid w:val="006D593F"/>
    <w:rsid w:val="006D59F1"/>
    <w:rsid w:val="006D5E20"/>
    <w:rsid w:val="006D6E86"/>
    <w:rsid w:val="006D6FA4"/>
    <w:rsid w:val="006E0C9C"/>
    <w:rsid w:val="006E1CFF"/>
    <w:rsid w:val="006E31BD"/>
    <w:rsid w:val="006E62E8"/>
    <w:rsid w:val="006E6EEA"/>
    <w:rsid w:val="006E7201"/>
    <w:rsid w:val="006E7B5A"/>
    <w:rsid w:val="006F0C63"/>
    <w:rsid w:val="006F190B"/>
    <w:rsid w:val="006F1AAC"/>
    <w:rsid w:val="006F1AC1"/>
    <w:rsid w:val="006F21AF"/>
    <w:rsid w:val="006F26CB"/>
    <w:rsid w:val="006F2DA8"/>
    <w:rsid w:val="006F36F5"/>
    <w:rsid w:val="006F3704"/>
    <w:rsid w:val="006F41B0"/>
    <w:rsid w:val="006F43FB"/>
    <w:rsid w:val="006F536B"/>
    <w:rsid w:val="006F710F"/>
    <w:rsid w:val="00700C22"/>
    <w:rsid w:val="007011C3"/>
    <w:rsid w:val="0070332C"/>
    <w:rsid w:val="00703FA4"/>
    <w:rsid w:val="0070535A"/>
    <w:rsid w:val="007059B1"/>
    <w:rsid w:val="00706446"/>
    <w:rsid w:val="00710622"/>
    <w:rsid w:val="00711711"/>
    <w:rsid w:val="007117A9"/>
    <w:rsid w:val="00714236"/>
    <w:rsid w:val="007145C1"/>
    <w:rsid w:val="00716B12"/>
    <w:rsid w:val="0072131D"/>
    <w:rsid w:val="00723A78"/>
    <w:rsid w:val="00723FC1"/>
    <w:rsid w:val="007241F1"/>
    <w:rsid w:val="0072461A"/>
    <w:rsid w:val="00725034"/>
    <w:rsid w:val="00727198"/>
    <w:rsid w:val="00731352"/>
    <w:rsid w:val="00732A14"/>
    <w:rsid w:val="0073509B"/>
    <w:rsid w:val="0073595A"/>
    <w:rsid w:val="00735B49"/>
    <w:rsid w:val="00735EED"/>
    <w:rsid w:val="00735F66"/>
    <w:rsid w:val="007364B7"/>
    <w:rsid w:val="00736EBD"/>
    <w:rsid w:val="0073763B"/>
    <w:rsid w:val="00737DD5"/>
    <w:rsid w:val="007404BA"/>
    <w:rsid w:val="0074142E"/>
    <w:rsid w:val="0074173F"/>
    <w:rsid w:val="00742158"/>
    <w:rsid w:val="00742EBE"/>
    <w:rsid w:val="00743A97"/>
    <w:rsid w:val="00744899"/>
    <w:rsid w:val="00744E8B"/>
    <w:rsid w:val="00745929"/>
    <w:rsid w:val="0074684B"/>
    <w:rsid w:val="00746C4E"/>
    <w:rsid w:val="00746EFB"/>
    <w:rsid w:val="00747F05"/>
    <w:rsid w:val="00750108"/>
    <w:rsid w:val="00750F8C"/>
    <w:rsid w:val="0075113D"/>
    <w:rsid w:val="00751554"/>
    <w:rsid w:val="007542DE"/>
    <w:rsid w:val="00754FF8"/>
    <w:rsid w:val="007567E6"/>
    <w:rsid w:val="007576AC"/>
    <w:rsid w:val="00757744"/>
    <w:rsid w:val="00760609"/>
    <w:rsid w:val="007609A9"/>
    <w:rsid w:val="007611C7"/>
    <w:rsid w:val="007611DB"/>
    <w:rsid w:val="00762760"/>
    <w:rsid w:val="007630D0"/>
    <w:rsid w:val="007634D1"/>
    <w:rsid w:val="007640FE"/>
    <w:rsid w:val="00764595"/>
    <w:rsid w:val="00765248"/>
    <w:rsid w:val="00765944"/>
    <w:rsid w:val="00765C16"/>
    <w:rsid w:val="007662B4"/>
    <w:rsid w:val="00767171"/>
    <w:rsid w:val="007676EF"/>
    <w:rsid w:val="0076770D"/>
    <w:rsid w:val="00767E0A"/>
    <w:rsid w:val="00770142"/>
    <w:rsid w:val="0077109B"/>
    <w:rsid w:val="007711B5"/>
    <w:rsid w:val="00771FA4"/>
    <w:rsid w:val="0077221F"/>
    <w:rsid w:val="00773681"/>
    <w:rsid w:val="00774197"/>
    <w:rsid w:val="007746F1"/>
    <w:rsid w:val="00774E83"/>
    <w:rsid w:val="00775BC3"/>
    <w:rsid w:val="00776296"/>
    <w:rsid w:val="00780C23"/>
    <w:rsid w:val="007814FC"/>
    <w:rsid w:val="00781571"/>
    <w:rsid w:val="00781ACF"/>
    <w:rsid w:val="007822A6"/>
    <w:rsid w:val="007827BD"/>
    <w:rsid w:val="0078431B"/>
    <w:rsid w:val="0078488C"/>
    <w:rsid w:val="007849D7"/>
    <w:rsid w:val="0078528B"/>
    <w:rsid w:val="00785503"/>
    <w:rsid w:val="007859CB"/>
    <w:rsid w:val="00785B36"/>
    <w:rsid w:val="007877D2"/>
    <w:rsid w:val="007877D5"/>
    <w:rsid w:val="00787AE0"/>
    <w:rsid w:val="007908C9"/>
    <w:rsid w:val="00791959"/>
    <w:rsid w:val="00791A86"/>
    <w:rsid w:val="00791CC6"/>
    <w:rsid w:val="007937A5"/>
    <w:rsid w:val="00793A6C"/>
    <w:rsid w:val="0079747A"/>
    <w:rsid w:val="0079789B"/>
    <w:rsid w:val="0079790B"/>
    <w:rsid w:val="007A1381"/>
    <w:rsid w:val="007A3B46"/>
    <w:rsid w:val="007A3D29"/>
    <w:rsid w:val="007A597B"/>
    <w:rsid w:val="007A7566"/>
    <w:rsid w:val="007A7810"/>
    <w:rsid w:val="007A7ABB"/>
    <w:rsid w:val="007B1049"/>
    <w:rsid w:val="007B1215"/>
    <w:rsid w:val="007B1D1B"/>
    <w:rsid w:val="007B2D60"/>
    <w:rsid w:val="007B694D"/>
    <w:rsid w:val="007B7C08"/>
    <w:rsid w:val="007C1CDD"/>
    <w:rsid w:val="007C2B74"/>
    <w:rsid w:val="007C30C8"/>
    <w:rsid w:val="007C43D1"/>
    <w:rsid w:val="007C4FF5"/>
    <w:rsid w:val="007C6692"/>
    <w:rsid w:val="007C699F"/>
    <w:rsid w:val="007D01C1"/>
    <w:rsid w:val="007D055F"/>
    <w:rsid w:val="007D081C"/>
    <w:rsid w:val="007D0C8B"/>
    <w:rsid w:val="007D1943"/>
    <w:rsid w:val="007D1BC6"/>
    <w:rsid w:val="007D2178"/>
    <w:rsid w:val="007D237B"/>
    <w:rsid w:val="007D3AA3"/>
    <w:rsid w:val="007D3E20"/>
    <w:rsid w:val="007D3FF8"/>
    <w:rsid w:val="007D415F"/>
    <w:rsid w:val="007D4CE5"/>
    <w:rsid w:val="007D5123"/>
    <w:rsid w:val="007D5578"/>
    <w:rsid w:val="007D5BAC"/>
    <w:rsid w:val="007D605E"/>
    <w:rsid w:val="007D6880"/>
    <w:rsid w:val="007D6ECD"/>
    <w:rsid w:val="007E0B0C"/>
    <w:rsid w:val="007E0CE0"/>
    <w:rsid w:val="007E1C97"/>
    <w:rsid w:val="007E234D"/>
    <w:rsid w:val="007E303C"/>
    <w:rsid w:val="007E371D"/>
    <w:rsid w:val="007E524F"/>
    <w:rsid w:val="007E61AF"/>
    <w:rsid w:val="007E6636"/>
    <w:rsid w:val="007E6F75"/>
    <w:rsid w:val="007E77B6"/>
    <w:rsid w:val="007E7FD6"/>
    <w:rsid w:val="007F3C29"/>
    <w:rsid w:val="007F3C2A"/>
    <w:rsid w:val="007F3F03"/>
    <w:rsid w:val="007F3F81"/>
    <w:rsid w:val="007F4F2D"/>
    <w:rsid w:val="007F5072"/>
    <w:rsid w:val="007F53A2"/>
    <w:rsid w:val="007F5632"/>
    <w:rsid w:val="007F5B7D"/>
    <w:rsid w:val="007F6C6D"/>
    <w:rsid w:val="0080092F"/>
    <w:rsid w:val="00801283"/>
    <w:rsid w:val="00801AD7"/>
    <w:rsid w:val="00801BFF"/>
    <w:rsid w:val="00803722"/>
    <w:rsid w:val="00803DE3"/>
    <w:rsid w:val="0080412F"/>
    <w:rsid w:val="008056E7"/>
    <w:rsid w:val="00806B8A"/>
    <w:rsid w:val="00806C2B"/>
    <w:rsid w:val="008103B1"/>
    <w:rsid w:val="008104A3"/>
    <w:rsid w:val="008106B8"/>
    <w:rsid w:val="00811579"/>
    <w:rsid w:val="00811961"/>
    <w:rsid w:val="008131AC"/>
    <w:rsid w:val="008141B3"/>
    <w:rsid w:val="00814CAB"/>
    <w:rsid w:val="008157D0"/>
    <w:rsid w:val="00815906"/>
    <w:rsid w:val="00815EC3"/>
    <w:rsid w:val="00817F99"/>
    <w:rsid w:val="0082104C"/>
    <w:rsid w:val="0082553F"/>
    <w:rsid w:val="00825E21"/>
    <w:rsid w:val="00827912"/>
    <w:rsid w:val="00827B52"/>
    <w:rsid w:val="00827D7C"/>
    <w:rsid w:val="0083040B"/>
    <w:rsid w:val="00830C5F"/>
    <w:rsid w:val="008314AD"/>
    <w:rsid w:val="00831D7D"/>
    <w:rsid w:val="0083205A"/>
    <w:rsid w:val="00832140"/>
    <w:rsid w:val="00832E2C"/>
    <w:rsid w:val="008336EE"/>
    <w:rsid w:val="0083416E"/>
    <w:rsid w:val="00836F28"/>
    <w:rsid w:val="00837138"/>
    <w:rsid w:val="00837168"/>
    <w:rsid w:val="008371E8"/>
    <w:rsid w:val="00837208"/>
    <w:rsid w:val="00837F88"/>
    <w:rsid w:val="0084028B"/>
    <w:rsid w:val="0084157B"/>
    <w:rsid w:val="0084268D"/>
    <w:rsid w:val="00842C92"/>
    <w:rsid w:val="00842D91"/>
    <w:rsid w:val="008450E8"/>
    <w:rsid w:val="008455F5"/>
    <w:rsid w:val="00845DD1"/>
    <w:rsid w:val="00845EE0"/>
    <w:rsid w:val="00846B8F"/>
    <w:rsid w:val="00846EFB"/>
    <w:rsid w:val="00850B87"/>
    <w:rsid w:val="00853145"/>
    <w:rsid w:val="0085389F"/>
    <w:rsid w:val="00853CC1"/>
    <w:rsid w:val="00854EA9"/>
    <w:rsid w:val="0085511C"/>
    <w:rsid w:val="008551A6"/>
    <w:rsid w:val="00855D3A"/>
    <w:rsid w:val="00855F1A"/>
    <w:rsid w:val="008564A8"/>
    <w:rsid w:val="00857308"/>
    <w:rsid w:val="00857BEC"/>
    <w:rsid w:val="0086062F"/>
    <w:rsid w:val="00860787"/>
    <w:rsid w:val="008612CC"/>
    <w:rsid w:val="00861BFA"/>
    <w:rsid w:val="00862751"/>
    <w:rsid w:val="0086276B"/>
    <w:rsid w:val="00862B97"/>
    <w:rsid w:val="00866663"/>
    <w:rsid w:val="00866F65"/>
    <w:rsid w:val="008674CA"/>
    <w:rsid w:val="00867895"/>
    <w:rsid w:val="00870735"/>
    <w:rsid w:val="00871A0A"/>
    <w:rsid w:val="00872640"/>
    <w:rsid w:val="00872CC4"/>
    <w:rsid w:val="00872DDC"/>
    <w:rsid w:val="00872F1A"/>
    <w:rsid w:val="0087381C"/>
    <w:rsid w:val="00873A0D"/>
    <w:rsid w:val="00873AEB"/>
    <w:rsid w:val="008742A3"/>
    <w:rsid w:val="00874BA9"/>
    <w:rsid w:val="00876964"/>
    <w:rsid w:val="00877E58"/>
    <w:rsid w:val="008802DC"/>
    <w:rsid w:val="008835BB"/>
    <w:rsid w:val="0088496C"/>
    <w:rsid w:val="00886B29"/>
    <w:rsid w:val="008901DA"/>
    <w:rsid w:val="008904D7"/>
    <w:rsid w:val="00890AB1"/>
    <w:rsid w:val="00890E8A"/>
    <w:rsid w:val="008935EC"/>
    <w:rsid w:val="008938F7"/>
    <w:rsid w:val="00894AA6"/>
    <w:rsid w:val="0089520E"/>
    <w:rsid w:val="0089793B"/>
    <w:rsid w:val="00897C95"/>
    <w:rsid w:val="008A06C0"/>
    <w:rsid w:val="008A13CF"/>
    <w:rsid w:val="008A151D"/>
    <w:rsid w:val="008A212F"/>
    <w:rsid w:val="008A33C1"/>
    <w:rsid w:val="008A380E"/>
    <w:rsid w:val="008A49F8"/>
    <w:rsid w:val="008A514E"/>
    <w:rsid w:val="008A576D"/>
    <w:rsid w:val="008B0BF7"/>
    <w:rsid w:val="008B4837"/>
    <w:rsid w:val="008B5651"/>
    <w:rsid w:val="008B632C"/>
    <w:rsid w:val="008B72FE"/>
    <w:rsid w:val="008B7BEE"/>
    <w:rsid w:val="008C05C0"/>
    <w:rsid w:val="008C1060"/>
    <w:rsid w:val="008C1568"/>
    <w:rsid w:val="008C15E2"/>
    <w:rsid w:val="008C19A6"/>
    <w:rsid w:val="008C1DD3"/>
    <w:rsid w:val="008C21F1"/>
    <w:rsid w:val="008C4DE2"/>
    <w:rsid w:val="008D06E2"/>
    <w:rsid w:val="008D163A"/>
    <w:rsid w:val="008D1D04"/>
    <w:rsid w:val="008D29B5"/>
    <w:rsid w:val="008D2BBA"/>
    <w:rsid w:val="008D3C4C"/>
    <w:rsid w:val="008D4C6F"/>
    <w:rsid w:val="008D51E4"/>
    <w:rsid w:val="008D6262"/>
    <w:rsid w:val="008D6F2F"/>
    <w:rsid w:val="008D7646"/>
    <w:rsid w:val="008E1204"/>
    <w:rsid w:val="008E1E4F"/>
    <w:rsid w:val="008E2580"/>
    <w:rsid w:val="008E3EF6"/>
    <w:rsid w:val="008E52CF"/>
    <w:rsid w:val="008E5761"/>
    <w:rsid w:val="008E6F98"/>
    <w:rsid w:val="008E7614"/>
    <w:rsid w:val="008F2A0D"/>
    <w:rsid w:val="008F3217"/>
    <w:rsid w:val="008F407D"/>
    <w:rsid w:val="008F49B7"/>
    <w:rsid w:val="008F4B61"/>
    <w:rsid w:val="008F5BE1"/>
    <w:rsid w:val="008F7AC9"/>
    <w:rsid w:val="008F7DEB"/>
    <w:rsid w:val="008F7E04"/>
    <w:rsid w:val="0090456D"/>
    <w:rsid w:val="00905E49"/>
    <w:rsid w:val="00907EF9"/>
    <w:rsid w:val="00912B02"/>
    <w:rsid w:val="00912BAE"/>
    <w:rsid w:val="00914374"/>
    <w:rsid w:val="009161D6"/>
    <w:rsid w:val="00916F0F"/>
    <w:rsid w:val="00917211"/>
    <w:rsid w:val="00917531"/>
    <w:rsid w:val="00917822"/>
    <w:rsid w:val="00917905"/>
    <w:rsid w:val="0092042C"/>
    <w:rsid w:val="00920949"/>
    <w:rsid w:val="00924A9E"/>
    <w:rsid w:val="009250E6"/>
    <w:rsid w:val="00925AB1"/>
    <w:rsid w:val="00926289"/>
    <w:rsid w:val="009265A7"/>
    <w:rsid w:val="009268CB"/>
    <w:rsid w:val="0092736C"/>
    <w:rsid w:val="009300D4"/>
    <w:rsid w:val="00930DCE"/>
    <w:rsid w:val="009318F7"/>
    <w:rsid w:val="009321C8"/>
    <w:rsid w:val="009324A0"/>
    <w:rsid w:val="0093348A"/>
    <w:rsid w:val="00933B63"/>
    <w:rsid w:val="00933C52"/>
    <w:rsid w:val="00934823"/>
    <w:rsid w:val="00934879"/>
    <w:rsid w:val="0093528D"/>
    <w:rsid w:val="00935E9A"/>
    <w:rsid w:val="00937BDC"/>
    <w:rsid w:val="00940040"/>
    <w:rsid w:val="009409B0"/>
    <w:rsid w:val="00940BC8"/>
    <w:rsid w:val="0094191B"/>
    <w:rsid w:val="00942390"/>
    <w:rsid w:val="00942E03"/>
    <w:rsid w:val="00943F4D"/>
    <w:rsid w:val="00944055"/>
    <w:rsid w:val="0094484A"/>
    <w:rsid w:val="009458F1"/>
    <w:rsid w:val="009464D5"/>
    <w:rsid w:val="00947280"/>
    <w:rsid w:val="00947522"/>
    <w:rsid w:val="00950921"/>
    <w:rsid w:val="00951313"/>
    <w:rsid w:val="00951370"/>
    <w:rsid w:val="00951BC7"/>
    <w:rsid w:val="009528D8"/>
    <w:rsid w:val="00954241"/>
    <w:rsid w:val="00954CC5"/>
    <w:rsid w:val="00954D2F"/>
    <w:rsid w:val="00955528"/>
    <w:rsid w:val="009559B2"/>
    <w:rsid w:val="009566DA"/>
    <w:rsid w:val="00956B51"/>
    <w:rsid w:val="00957D43"/>
    <w:rsid w:val="00957F0D"/>
    <w:rsid w:val="00960284"/>
    <w:rsid w:val="009612DF"/>
    <w:rsid w:val="00961EA7"/>
    <w:rsid w:val="0096204A"/>
    <w:rsid w:val="009625FD"/>
    <w:rsid w:val="00963BDB"/>
    <w:rsid w:val="00964076"/>
    <w:rsid w:val="009652E7"/>
    <w:rsid w:val="0096549C"/>
    <w:rsid w:val="00965A45"/>
    <w:rsid w:val="00966019"/>
    <w:rsid w:val="00966255"/>
    <w:rsid w:val="00966AB0"/>
    <w:rsid w:val="00966C30"/>
    <w:rsid w:val="00967B45"/>
    <w:rsid w:val="00970B9C"/>
    <w:rsid w:val="00970BB9"/>
    <w:rsid w:val="00970D7A"/>
    <w:rsid w:val="00971311"/>
    <w:rsid w:val="00971605"/>
    <w:rsid w:val="0097298A"/>
    <w:rsid w:val="00972A2E"/>
    <w:rsid w:val="00972FD6"/>
    <w:rsid w:val="009738BB"/>
    <w:rsid w:val="00974358"/>
    <w:rsid w:val="009743FA"/>
    <w:rsid w:val="00975997"/>
    <w:rsid w:val="00977017"/>
    <w:rsid w:val="00977D47"/>
    <w:rsid w:val="00980360"/>
    <w:rsid w:val="00982506"/>
    <w:rsid w:val="00982B27"/>
    <w:rsid w:val="009852BA"/>
    <w:rsid w:val="00985FF7"/>
    <w:rsid w:val="009867B4"/>
    <w:rsid w:val="00986952"/>
    <w:rsid w:val="009873A5"/>
    <w:rsid w:val="00987D52"/>
    <w:rsid w:val="00990C29"/>
    <w:rsid w:val="0099133B"/>
    <w:rsid w:val="00992FC8"/>
    <w:rsid w:val="00993B9C"/>
    <w:rsid w:val="00994D66"/>
    <w:rsid w:val="009953AB"/>
    <w:rsid w:val="009953EF"/>
    <w:rsid w:val="0099593D"/>
    <w:rsid w:val="0099686E"/>
    <w:rsid w:val="00997A5C"/>
    <w:rsid w:val="00997E65"/>
    <w:rsid w:val="009A0CAB"/>
    <w:rsid w:val="009A460A"/>
    <w:rsid w:val="009A5297"/>
    <w:rsid w:val="009A543E"/>
    <w:rsid w:val="009A57A0"/>
    <w:rsid w:val="009A6F46"/>
    <w:rsid w:val="009A742E"/>
    <w:rsid w:val="009A7796"/>
    <w:rsid w:val="009B0386"/>
    <w:rsid w:val="009B0DA8"/>
    <w:rsid w:val="009B112E"/>
    <w:rsid w:val="009B30B3"/>
    <w:rsid w:val="009B439A"/>
    <w:rsid w:val="009B6622"/>
    <w:rsid w:val="009B700F"/>
    <w:rsid w:val="009B7D40"/>
    <w:rsid w:val="009C0576"/>
    <w:rsid w:val="009C2DD3"/>
    <w:rsid w:val="009C3001"/>
    <w:rsid w:val="009C36C7"/>
    <w:rsid w:val="009C3795"/>
    <w:rsid w:val="009C5100"/>
    <w:rsid w:val="009D03A7"/>
    <w:rsid w:val="009D05A1"/>
    <w:rsid w:val="009D06A5"/>
    <w:rsid w:val="009D1727"/>
    <w:rsid w:val="009D1D99"/>
    <w:rsid w:val="009D336B"/>
    <w:rsid w:val="009D36C2"/>
    <w:rsid w:val="009D50E7"/>
    <w:rsid w:val="009D54F6"/>
    <w:rsid w:val="009E0240"/>
    <w:rsid w:val="009E055B"/>
    <w:rsid w:val="009E1166"/>
    <w:rsid w:val="009E1B90"/>
    <w:rsid w:val="009E1C72"/>
    <w:rsid w:val="009E33CB"/>
    <w:rsid w:val="009E53C4"/>
    <w:rsid w:val="009E5D6D"/>
    <w:rsid w:val="009E656B"/>
    <w:rsid w:val="009E6F4B"/>
    <w:rsid w:val="009E75D5"/>
    <w:rsid w:val="009F0F8F"/>
    <w:rsid w:val="009F1154"/>
    <w:rsid w:val="009F1738"/>
    <w:rsid w:val="009F1768"/>
    <w:rsid w:val="009F2880"/>
    <w:rsid w:val="009F43D6"/>
    <w:rsid w:val="009F46B5"/>
    <w:rsid w:val="009F51E8"/>
    <w:rsid w:val="009F526A"/>
    <w:rsid w:val="009F61AF"/>
    <w:rsid w:val="009F698D"/>
    <w:rsid w:val="009F6B15"/>
    <w:rsid w:val="009F6F95"/>
    <w:rsid w:val="009F710C"/>
    <w:rsid w:val="00A00BC6"/>
    <w:rsid w:val="00A01041"/>
    <w:rsid w:val="00A02C65"/>
    <w:rsid w:val="00A03504"/>
    <w:rsid w:val="00A03652"/>
    <w:rsid w:val="00A04E44"/>
    <w:rsid w:val="00A04E80"/>
    <w:rsid w:val="00A057D2"/>
    <w:rsid w:val="00A05F9B"/>
    <w:rsid w:val="00A06C09"/>
    <w:rsid w:val="00A06D0F"/>
    <w:rsid w:val="00A1216F"/>
    <w:rsid w:val="00A1282D"/>
    <w:rsid w:val="00A15E24"/>
    <w:rsid w:val="00A164A2"/>
    <w:rsid w:val="00A166F4"/>
    <w:rsid w:val="00A17C16"/>
    <w:rsid w:val="00A22A52"/>
    <w:rsid w:val="00A22BA6"/>
    <w:rsid w:val="00A23688"/>
    <w:rsid w:val="00A241EA"/>
    <w:rsid w:val="00A249F2"/>
    <w:rsid w:val="00A26171"/>
    <w:rsid w:val="00A272AA"/>
    <w:rsid w:val="00A30E98"/>
    <w:rsid w:val="00A30FBE"/>
    <w:rsid w:val="00A310FF"/>
    <w:rsid w:val="00A31107"/>
    <w:rsid w:val="00A31EAC"/>
    <w:rsid w:val="00A32543"/>
    <w:rsid w:val="00A32697"/>
    <w:rsid w:val="00A32E24"/>
    <w:rsid w:val="00A35377"/>
    <w:rsid w:val="00A36DE4"/>
    <w:rsid w:val="00A374BA"/>
    <w:rsid w:val="00A40048"/>
    <w:rsid w:val="00A40DA4"/>
    <w:rsid w:val="00A41BFD"/>
    <w:rsid w:val="00A41C10"/>
    <w:rsid w:val="00A41E0A"/>
    <w:rsid w:val="00A421B3"/>
    <w:rsid w:val="00A4336F"/>
    <w:rsid w:val="00A441D7"/>
    <w:rsid w:val="00A447B1"/>
    <w:rsid w:val="00A44FBE"/>
    <w:rsid w:val="00A45E63"/>
    <w:rsid w:val="00A4603B"/>
    <w:rsid w:val="00A46B1C"/>
    <w:rsid w:val="00A47648"/>
    <w:rsid w:val="00A504EE"/>
    <w:rsid w:val="00A5263E"/>
    <w:rsid w:val="00A535E6"/>
    <w:rsid w:val="00A54087"/>
    <w:rsid w:val="00A543D4"/>
    <w:rsid w:val="00A5588A"/>
    <w:rsid w:val="00A56924"/>
    <w:rsid w:val="00A56B72"/>
    <w:rsid w:val="00A56FC9"/>
    <w:rsid w:val="00A605BB"/>
    <w:rsid w:val="00A620E9"/>
    <w:rsid w:val="00A6370D"/>
    <w:rsid w:val="00A640EA"/>
    <w:rsid w:val="00A64428"/>
    <w:rsid w:val="00A65A44"/>
    <w:rsid w:val="00A668FF"/>
    <w:rsid w:val="00A6694B"/>
    <w:rsid w:val="00A6757F"/>
    <w:rsid w:val="00A704F1"/>
    <w:rsid w:val="00A7058D"/>
    <w:rsid w:val="00A72561"/>
    <w:rsid w:val="00A735E1"/>
    <w:rsid w:val="00A75078"/>
    <w:rsid w:val="00A750B9"/>
    <w:rsid w:val="00A7522C"/>
    <w:rsid w:val="00A7658C"/>
    <w:rsid w:val="00A76F96"/>
    <w:rsid w:val="00A81141"/>
    <w:rsid w:val="00A8130D"/>
    <w:rsid w:val="00A81B1A"/>
    <w:rsid w:val="00A827C3"/>
    <w:rsid w:val="00A8304E"/>
    <w:rsid w:val="00A84979"/>
    <w:rsid w:val="00A862F1"/>
    <w:rsid w:val="00A86944"/>
    <w:rsid w:val="00A86B6F"/>
    <w:rsid w:val="00A86CD1"/>
    <w:rsid w:val="00A91037"/>
    <w:rsid w:val="00A926B6"/>
    <w:rsid w:val="00A928A7"/>
    <w:rsid w:val="00A92967"/>
    <w:rsid w:val="00A940E4"/>
    <w:rsid w:val="00A9445F"/>
    <w:rsid w:val="00A94878"/>
    <w:rsid w:val="00A95B7F"/>
    <w:rsid w:val="00A96823"/>
    <w:rsid w:val="00AA14B9"/>
    <w:rsid w:val="00AA16AD"/>
    <w:rsid w:val="00AA1B46"/>
    <w:rsid w:val="00AA1CF5"/>
    <w:rsid w:val="00AA3A91"/>
    <w:rsid w:val="00AA44D8"/>
    <w:rsid w:val="00AA49B4"/>
    <w:rsid w:val="00AA4C0E"/>
    <w:rsid w:val="00AA547B"/>
    <w:rsid w:val="00AA67B4"/>
    <w:rsid w:val="00AA6F75"/>
    <w:rsid w:val="00AA70CA"/>
    <w:rsid w:val="00AA72F6"/>
    <w:rsid w:val="00AA75EC"/>
    <w:rsid w:val="00AA7DF1"/>
    <w:rsid w:val="00AB0A0E"/>
    <w:rsid w:val="00AB1767"/>
    <w:rsid w:val="00AB1C22"/>
    <w:rsid w:val="00AB24C1"/>
    <w:rsid w:val="00AB265B"/>
    <w:rsid w:val="00AB27E7"/>
    <w:rsid w:val="00AB2DEC"/>
    <w:rsid w:val="00AB53C9"/>
    <w:rsid w:val="00AB546C"/>
    <w:rsid w:val="00AB5B81"/>
    <w:rsid w:val="00AB7448"/>
    <w:rsid w:val="00AC01D8"/>
    <w:rsid w:val="00AC0D05"/>
    <w:rsid w:val="00AC2B31"/>
    <w:rsid w:val="00AC5A09"/>
    <w:rsid w:val="00AC5AE0"/>
    <w:rsid w:val="00AC5C9B"/>
    <w:rsid w:val="00AC660B"/>
    <w:rsid w:val="00AD0843"/>
    <w:rsid w:val="00AD2697"/>
    <w:rsid w:val="00AD2C28"/>
    <w:rsid w:val="00AD3199"/>
    <w:rsid w:val="00AD3792"/>
    <w:rsid w:val="00AD3EC5"/>
    <w:rsid w:val="00AD3F8C"/>
    <w:rsid w:val="00AD4CB0"/>
    <w:rsid w:val="00AD5D44"/>
    <w:rsid w:val="00AD732F"/>
    <w:rsid w:val="00AD7602"/>
    <w:rsid w:val="00AD78F3"/>
    <w:rsid w:val="00AE09C8"/>
    <w:rsid w:val="00AE0D38"/>
    <w:rsid w:val="00AE1447"/>
    <w:rsid w:val="00AE1D75"/>
    <w:rsid w:val="00AE27BC"/>
    <w:rsid w:val="00AE2A60"/>
    <w:rsid w:val="00AE2E46"/>
    <w:rsid w:val="00AE3B5D"/>
    <w:rsid w:val="00AE3B5F"/>
    <w:rsid w:val="00AE47E7"/>
    <w:rsid w:val="00AE6BAE"/>
    <w:rsid w:val="00AE70A1"/>
    <w:rsid w:val="00AE73E6"/>
    <w:rsid w:val="00AE7F86"/>
    <w:rsid w:val="00AE7FDC"/>
    <w:rsid w:val="00AF0647"/>
    <w:rsid w:val="00AF0A95"/>
    <w:rsid w:val="00AF4555"/>
    <w:rsid w:val="00AF47E1"/>
    <w:rsid w:val="00AF7719"/>
    <w:rsid w:val="00AF7B80"/>
    <w:rsid w:val="00AF7D32"/>
    <w:rsid w:val="00AF7DDF"/>
    <w:rsid w:val="00AF7EA6"/>
    <w:rsid w:val="00B0020C"/>
    <w:rsid w:val="00B01B53"/>
    <w:rsid w:val="00B0344D"/>
    <w:rsid w:val="00B06010"/>
    <w:rsid w:val="00B07A86"/>
    <w:rsid w:val="00B11DDD"/>
    <w:rsid w:val="00B14F11"/>
    <w:rsid w:val="00B14F4F"/>
    <w:rsid w:val="00B15CCA"/>
    <w:rsid w:val="00B15F79"/>
    <w:rsid w:val="00B178C0"/>
    <w:rsid w:val="00B17F7D"/>
    <w:rsid w:val="00B20764"/>
    <w:rsid w:val="00B2087D"/>
    <w:rsid w:val="00B2100B"/>
    <w:rsid w:val="00B21567"/>
    <w:rsid w:val="00B2219D"/>
    <w:rsid w:val="00B234E2"/>
    <w:rsid w:val="00B25963"/>
    <w:rsid w:val="00B2658F"/>
    <w:rsid w:val="00B266DE"/>
    <w:rsid w:val="00B27B14"/>
    <w:rsid w:val="00B30D6A"/>
    <w:rsid w:val="00B34368"/>
    <w:rsid w:val="00B34389"/>
    <w:rsid w:val="00B34A4F"/>
    <w:rsid w:val="00B354DE"/>
    <w:rsid w:val="00B35683"/>
    <w:rsid w:val="00B36A0F"/>
    <w:rsid w:val="00B36ABC"/>
    <w:rsid w:val="00B4226B"/>
    <w:rsid w:val="00B430F2"/>
    <w:rsid w:val="00B43D6F"/>
    <w:rsid w:val="00B45804"/>
    <w:rsid w:val="00B461A2"/>
    <w:rsid w:val="00B467FC"/>
    <w:rsid w:val="00B47182"/>
    <w:rsid w:val="00B47AE5"/>
    <w:rsid w:val="00B51037"/>
    <w:rsid w:val="00B5279A"/>
    <w:rsid w:val="00B52AE4"/>
    <w:rsid w:val="00B52D1E"/>
    <w:rsid w:val="00B5320E"/>
    <w:rsid w:val="00B53341"/>
    <w:rsid w:val="00B5344D"/>
    <w:rsid w:val="00B53794"/>
    <w:rsid w:val="00B53C7F"/>
    <w:rsid w:val="00B55C77"/>
    <w:rsid w:val="00B5695E"/>
    <w:rsid w:val="00B56ABF"/>
    <w:rsid w:val="00B572B0"/>
    <w:rsid w:val="00B57446"/>
    <w:rsid w:val="00B607BF"/>
    <w:rsid w:val="00B61C07"/>
    <w:rsid w:val="00B62E2B"/>
    <w:rsid w:val="00B64E2F"/>
    <w:rsid w:val="00B66EAB"/>
    <w:rsid w:val="00B6766D"/>
    <w:rsid w:val="00B67B97"/>
    <w:rsid w:val="00B70C8E"/>
    <w:rsid w:val="00B70F9A"/>
    <w:rsid w:val="00B711FC"/>
    <w:rsid w:val="00B716F4"/>
    <w:rsid w:val="00B7187F"/>
    <w:rsid w:val="00B71D4A"/>
    <w:rsid w:val="00B72834"/>
    <w:rsid w:val="00B74450"/>
    <w:rsid w:val="00B75270"/>
    <w:rsid w:val="00B775CF"/>
    <w:rsid w:val="00B77A00"/>
    <w:rsid w:val="00B80155"/>
    <w:rsid w:val="00B805F6"/>
    <w:rsid w:val="00B80F86"/>
    <w:rsid w:val="00B81985"/>
    <w:rsid w:val="00B82051"/>
    <w:rsid w:val="00B845EF"/>
    <w:rsid w:val="00B84B19"/>
    <w:rsid w:val="00B8549D"/>
    <w:rsid w:val="00B85C7C"/>
    <w:rsid w:val="00B86157"/>
    <w:rsid w:val="00B8615B"/>
    <w:rsid w:val="00B87D62"/>
    <w:rsid w:val="00B90EC3"/>
    <w:rsid w:val="00B9113E"/>
    <w:rsid w:val="00B91EB0"/>
    <w:rsid w:val="00B92DF9"/>
    <w:rsid w:val="00B93284"/>
    <w:rsid w:val="00B93B04"/>
    <w:rsid w:val="00B93B36"/>
    <w:rsid w:val="00B93B98"/>
    <w:rsid w:val="00B949D6"/>
    <w:rsid w:val="00B950DD"/>
    <w:rsid w:val="00B95881"/>
    <w:rsid w:val="00BA117B"/>
    <w:rsid w:val="00BA173B"/>
    <w:rsid w:val="00BA1F4A"/>
    <w:rsid w:val="00BA2C88"/>
    <w:rsid w:val="00BA3A64"/>
    <w:rsid w:val="00BA3D0E"/>
    <w:rsid w:val="00BA48A9"/>
    <w:rsid w:val="00BA4E3D"/>
    <w:rsid w:val="00BA615A"/>
    <w:rsid w:val="00BA7329"/>
    <w:rsid w:val="00BB0E99"/>
    <w:rsid w:val="00BB15DC"/>
    <w:rsid w:val="00BB2B00"/>
    <w:rsid w:val="00BB4BFB"/>
    <w:rsid w:val="00BB5C37"/>
    <w:rsid w:val="00BB67A5"/>
    <w:rsid w:val="00BB6AF7"/>
    <w:rsid w:val="00BB6CD3"/>
    <w:rsid w:val="00BB7346"/>
    <w:rsid w:val="00BB7433"/>
    <w:rsid w:val="00BC0F0B"/>
    <w:rsid w:val="00BC1CA0"/>
    <w:rsid w:val="00BC24CE"/>
    <w:rsid w:val="00BC2627"/>
    <w:rsid w:val="00BC2FD6"/>
    <w:rsid w:val="00BC3332"/>
    <w:rsid w:val="00BC374F"/>
    <w:rsid w:val="00BC4021"/>
    <w:rsid w:val="00BC4AB6"/>
    <w:rsid w:val="00BC5861"/>
    <w:rsid w:val="00BC5BF1"/>
    <w:rsid w:val="00BC5F0A"/>
    <w:rsid w:val="00BC687A"/>
    <w:rsid w:val="00BC7B0D"/>
    <w:rsid w:val="00BC7D84"/>
    <w:rsid w:val="00BC7E15"/>
    <w:rsid w:val="00BD0430"/>
    <w:rsid w:val="00BD2D01"/>
    <w:rsid w:val="00BD3FE2"/>
    <w:rsid w:val="00BD488F"/>
    <w:rsid w:val="00BD4D5D"/>
    <w:rsid w:val="00BD5B1C"/>
    <w:rsid w:val="00BD5B53"/>
    <w:rsid w:val="00BD6307"/>
    <w:rsid w:val="00BD739E"/>
    <w:rsid w:val="00BD7776"/>
    <w:rsid w:val="00BE09A6"/>
    <w:rsid w:val="00BE10FA"/>
    <w:rsid w:val="00BE2729"/>
    <w:rsid w:val="00BE2F2E"/>
    <w:rsid w:val="00BE2F66"/>
    <w:rsid w:val="00BE2F71"/>
    <w:rsid w:val="00BE3246"/>
    <w:rsid w:val="00BE40AE"/>
    <w:rsid w:val="00BE4CFA"/>
    <w:rsid w:val="00BE64E8"/>
    <w:rsid w:val="00BE662B"/>
    <w:rsid w:val="00BE69EE"/>
    <w:rsid w:val="00BF06EF"/>
    <w:rsid w:val="00BF11F1"/>
    <w:rsid w:val="00BF2BF1"/>
    <w:rsid w:val="00BF39C6"/>
    <w:rsid w:val="00BF40F8"/>
    <w:rsid w:val="00BF4394"/>
    <w:rsid w:val="00BF6445"/>
    <w:rsid w:val="00BF7602"/>
    <w:rsid w:val="00C0093B"/>
    <w:rsid w:val="00C00B89"/>
    <w:rsid w:val="00C00DF3"/>
    <w:rsid w:val="00C01E34"/>
    <w:rsid w:val="00C0265E"/>
    <w:rsid w:val="00C02DF1"/>
    <w:rsid w:val="00C0520F"/>
    <w:rsid w:val="00C06264"/>
    <w:rsid w:val="00C06522"/>
    <w:rsid w:val="00C06571"/>
    <w:rsid w:val="00C071B8"/>
    <w:rsid w:val="00C078B5"/>
    <w:rsid w:val="00C107CC"/>
    <w:rsid w:val="00C11820"/>
    <w:rsid w:val="00C11EE0"/>
    <w:rsid w:val="00C11FA8"/>
    <w:rsid w:val="00C1223C"/>
    <w:rsid w:val="00C1309E"/>
    <w:rsid w:val="00C13311"/>
    <w:rsid w:val="00C1360E"/>
    <w:rsid w:val="00C13B7F"/>
    <w:rsid w:val="00C1506D"/>
    <w:rsid w:val="00C15D8C"/>
    <w:rsid w:val="00C1650F"/>
    <w:rsid w:val="00C17073"/>
    <w:rsid w:val="00C17211"/>
    <w:rsid w:val="00C20022"/>
    <w:rsid w:val="00C20830"/>
    <w:rsid w:val="00C213AC"/>
    <w:rsid w:val="00C21775"/>
    <w:rsid w:val="00C23DF5"/>
    <w:rsid w:val="00C266DF"/>
    <w:rsid w:val="00C274A4"/>
    <w:rsid w:val="00C30AC1"/>
    <w:rsid w:val="00C321FD"/>
    <w:rsid w:val="00C33234"/>
    <w:rsid w:val="00C339DE"/>
    <w:rsid w:val="00C34BCA"/>
    <w:rsid w:val="00C35186"/>
    <w:rsid w:val="00C36078"/>
    <w:rsid w:val="00C37665"/>
    <w:rsid w:val="00C40B84"/>
    <w:rsid w:val="00C41D92"/>
    <w:rsid w:val="00C41E88"/>
    <w:rsid w:val="00C4368F"/>
    <w:rsid w:val="00C442E5"/>
    <w:rsid w:val="00C4456E"/>
    <w:rsid w:val="00C44815"/>
    <w:rsid w:val="00C44EA4"/>
    <w:rsid w:val="00C44F94"/>
    <w:rsid w:val="00C501EB"/>
    <w:rsid w:val="00C509B2"/>
    <w:rsid w:val="00C52117"/>
    <w:rsid w:val="00C53D4D"/>
    <w:rsid w:val="00C5414D"/>
    <w:rsid w:val="00C560A5"/>
    <w:rsid w:val="00C57632"/>
    <w:rsid w:val="00C57674"/>
    <w:rsid w:val="00C57718"/>
    <w:rsid w:val="00C60057"/>
    <w:rsid w:val="00C61C55"/>
    <w:rsid w:val="00C623D0"/>
    <w:rsid w:val="00C62873"/>
    <w:rsid w:val="00C63B3D"/>
    <w:rsid w:val="00C63E35"/>
    <w:rsid w:val="00C64107"/>
    <w:rsid w:val="00C65814"/>
    <w:rsid w:val="00C65D3C"/>
    <w:rsid w:val="00C6778B"/>
    <w:rsid w:val="00C67AF4"/>
    <w:rsid w:val="00C70148"/>
    <w:rsid w:val="00C704DA"/>
    <w:rsid w:val="00C71404"/>
    <w:rsid w:val="00C7198F"/>
    <w:rsid w:val="00C73799"/>
    <w:rsid w:val="00C766D6"/>
    <w:rsid w:val="00C80994"/>
    <w:rsid w:val="00C819B8"/>
    <w:rsid w:val="00C81C79"/>
    <w:rsid w:val="00C8410C"/>
    <w:rsid w:val="00C84AFE"/>
    <w:rsid w:val="00C86872"/>
    <w:rsid w:val="00C86ABF"/>
    <w:rsid w:val="00C86E56"/>
    <w:rsid w:val="00C87D8A"/>
    <w:rsid w:val="00C9021D"/>
    <w:rsid w:val="00C902AE"/>
    <w:rsid w:val="00C90711"/>
    <w:rsid w:val="00C91664"/>
    <w:rsid w:val="00C93C8A"/>
    <w:rsid w:val="00C95BEF"/>
    <w:rsid w:val="00C95F66"/>
    <w:rsid w:val="00C96B96"/>
    <w:rsid w:val="00C97938"/>
    <w:rsid w:val="00CA125D"/>
    <w:rsid w:val="00CA1277"/>
    <w:rsid w:val="00CA1749"/>
    <w:rsid w:val="00CA3CF3"/>
    <w:rsid w:val="00CA4B4E"/>
    <w:rsid w:val="00CA5004"/>
    <w:rsid w:val="00CA6685"/>
    <w:rsid w:val="00CA70BE"/>
    <w:rsid w:val="00CB06C1"/>
    <w:rsid w:val="00CB1BCE"/>
    <w:rsid w:val="00CB1C7F"/>
    <w:rsid w:val="00CB204B"/>
    <w:rsid w:val="00CB5322"/>
    <w:rsid w:val="00CB568C"/>
    <w:rsid w:val="00CB7142"/>
    <w:rsid w:val="00CB7189"/>
    <w:rsid w:val="00CC09C2"/>
    <w:rsid w:val="00CC1A09"/>
    <w:rsid w:val="00CC20C2"/>
    <w:rsid w:val="00CC2154"/>
    <w:rsid w:val="00CC4FF9"/>
    <w:rsid w:val="00CC57B5"/>
    <w:rsid w:val="00CC59D6"/>
    <w:rsid w:val="00CC70D3"/>
    <w:rsid w:val="00CC79E9"/>
    <w:rsid w:val="00CD437B"/>
    <w:rsid w:val="00CD4F12"/>
    <w:rsid w:val="00CD529B"/>
    <w:rsid w:val="00CD5699"/>
    <w:rsid w:val="00CD635C"/>
    <w:rsid w:val="00CD7A87"/>
    <w:rsid w:val="00CE22CD"/>
    <w:rsid w:val="00CE30C9"/>
    <w:rsid w:val="00CE375C"/>
    <w:rsid w:val="00CE3B64"/>
    <w:rsid w:val="00CE3BB4"/>
    <w:rsid w:val="00CE3D9C"/>
    <w:rsid w:val="00CE5358"/>
    <w:rsid w:val="00CE6E47"/>
    <w:rsid w:val="00CE7257"/>
    <w:rsid w:val="00CE7ACC"/>
    <w:rsid w:val="00CF08C9"/>
    <w:rsid w:val="00CF1885"/>
    <w:rsid w:val="00CF2726"/>
    <w:rsid w:val="00CF2C97"/>
    <w:rsid w:val="00CF3EAA"/>
    <w:rsid w:val="00D000C4"/>
    <w:rsid w:val="00D03763"/>
    <w:rsid w:val="00D03CDA"/>
    <w:rsid w:val="00D0424C"/>
    <w:rsid w:val="00D0474D"/>
    <w:rsid w:val="00D05552"/>
    <w:rsid w:val="00D05E0C"/>
    <w:rsid w:val="00D06993"/>
    <w:rsid w:val="00D06BCF"/>
    <w:rsid w:val="00D104F4"/>
    <w:rsid w:val="00D1396A"/>
    <w:rsid w:val="00D142E0"/>
    <w:rsid w:val="00D14553"/>
    <w:rsid w:val="00D14C7C"/>
    <w:rsid w:val="00D1561C"/>
    <w:rsid w:val="00D15745"/>
    <w:rsid w:val="00D15CF7"/>
    <w:rsid w:val="00D1629C"/>
    <w:rsid w:val="00D16B8C"/>
    <w:rsid w:val="00D16E1D"/>
    <w:rsid w:val="00D16EEC"/>
    <w:rsid w:val="00D202EF"/>
    <w:rsid w:val="00D21629"/>
    <w:rsid w:val="00D21F21"/>
    <w:rsid w:val="00D222B3"/>
    <w:rsid w:val="00D22AAD"/>
    <w:rsid w:val="00D238CB"/>
    <w:rsid w:val="00D250C5"/>
    <w:rsid w:val="00D25EB7"/>
    <w:rsid w:val="00D3107F"/>
    <w:rsid w:val="00D32F1D"/>
    <w:rsid w:val="00D3394E"/>
    <w:rsid w:val="00D34303"/>
    <w:rsid w:val="00D34BDA"/>
    <w:rsid w:val="00D34FCC"/>
    <w:rsid w:val="00D35148"/>
    <w:rsid w:val="00D355DD"/>
    <w:rsid w:val="00D36461"/>
    <w:rsid w:val="00D36F07"/>
    <w:rsid w:val="00D414EB"/>
    <w:rsid w:val="00D4159A"/>
    <w:rsid w:val="00D423F6"/>
    <w:rsid w:val="00D42518"/>
    <w:rsid w:val="00D4305A"/>
    <w:rsid w:val="00D44080"/>
    <w:rsid w:val="00D442AC"/>
    <w:rsid w:val="00D4483A"/>
    <w:rsid w:val="00D44F48"/>
    <w:rsid w:val="00D4511A"/>
    <w:rsid w:val="00D46A64"/>
    <w:rsid w:val="00D4744E"/>
    <w:rsid w:val="00D47486"/>
    <w:rsid w:val="00D54247"/>
    <w:rsid w:val="00D54655"/>
    <w:rsid w:val="00D54AB5"/>
    <w:rsid w:val="00D5545E"/>
    <w:rsid w:val="00D57068"/>
    <w:rsid w:val="00D5768B"/>
    <w:rsid w:val="00D576E2"/>
    <w:rsid w:val="00D60B77"/>
    <w:rsid w:val="00D6193A"/>
    <w:rsid w:val="00D61F69"/>
    <w:rsid w:val="00D61F9C"/>
    <w:rsid w:val="00D62AAD"/>
    <w:rsid w:val="00D63200"/>
    <w:rsid w:val="00D63398"/>
    <w:rsid w:val="00D6416C"/>
    <w:rsid w:val="00D641D4"/>
    <w:rsid w:val="00D64A61"/>
    <w:rsid w:val="00D65F81"/>
    <w:rsid w:val="00D66145"/>
    <w:rsid w:val="00D6615F"/>
    <w:rsid w:val="00D67C16"/>
    <w:rsid w:val="00D67E2D"/>
    <w:rsid w:val="00D708C5"/>
    <w:rsid w:val="00D71A97"/>
    <w:rsid w:val="00D72493"/>
    <w:rsid w:val="00D73494"/>
    <w:rsid w:val="00D74881"/>
    <w:rsid w:val="00D7789C"/>
    <w:rsid w:val="00D8091F"/>
    <w:rsid w:val="00D81DFA"/>
    <w:rsid w:val="00D81F83"/>
    <w:rsid w:val="00D81FC2"/>
    <w:rsid w:val="00D86066"/>
    <w:rsid w:val="00D868A9"/>
    <w:rsid w:val="00D87037"/>
    <w:rsid w:val="00D872B2"/>
    <w:rsid w:val="00D87B82"/>
    <w:rsid w:val="00D9067D"/>
    <w:rsid w:val="00D911ED"/>
    <w:rsid w:val="00D91261"/>
    <w:rsid w:val="00D922F8"/>
    <w:rsid w:val="00D92372"/>
    <w:rsid w:val="00D926AC"/>
    <w:rsid w:val="00D92A16"/>
    <w:rsid w:val="00D92ED6"/>
    <w:rsid w:val="00D93023"/>
    <w:rsid w:val="00D94160"/>
    <w:rsid w:val="00D94C02"/>
    <w:rsid w:val="00D95E41"/>
    <w:rsid w:val="00D96A1C"/>
    <w:rsid w:val="00D96CC6"/>
    <w:rsid w:val="00D97AE5"/>
    <w:rsid w:val="00DA0465"/>
    <w:rsid w:val="00DA09A3"/>
    <w:rsid w:val="00DA0E4F"/>
    <w:rsid w:val="00DA1DDA"/>
    <w:rsid w:val="00DA25C3"/>
    <w:rsid w:val="00DA46AC"/>
    <w:rsid w:val="00DA553E"/>
    <w:rsid w:val="00DA5925"/>
    <w:rsid w:val="00DA6F93"/>
    <w:rsid w:val="00DA7005"/>
    <w:rsid w:val="00DA7BC5"/>
    <w:rsid w:val="00DB15C8"/>
    <w:rsid w:val="00DB2287"/>
    <w:rsid w:val="00DB3039"/>
    <w:rsid w:val="00DB3282"/>
    <w:rsid w:val="00DB32D0"/>
    <w:rsid w:val="00DB360B"/>
    <w:rsid w:val="00DB4258"/>
    <w:rsid w:val="00DB5980"/>
    <w:rsid w:val="00DB79CE"/>
    <w:rsid w:val="00DC18DE"/>
    <w:rsid w:val="00DC29E6"/>
    <w:rsid w:val="00DC3950"/>
    <w:rsid w:val="00DC3B98"/>
    <w:rsid w:val="00DC4209"/>
    <w:rsid w:val="00DC54E0"/>
    <w:rsid w:val="00DC5586"/>
    <w:rsid w:val="00DD0E48"/>
    <w:rsid w:val="00DD11A7"/>
    <w:rsid w:val="00DD12DD"/>
    <w:rsid w:val="00DD2190"/>
    <w:rsid w:val="00DD22DA"/>
    <w:rsid w:val="00DD31DE"/>
    <w:rsid w:val="00DD4136"/>
    <w:rsid w:val="00DD4191"/>
    <w:rsid w:val="00DD5090"/>
    <w:rsid w:val="00DD6EF9"/>
    <w:rsid w:val="00DD78E8"/>
    <w:rsid w:val="00DE0ADC"/>
    <w:rsid w:val="00DE13C2"/>
    <w:rsid w:val="00DE15B6"/>
    <w:rsid w:val="00DE2125"/>
    <w:rsid w:val="00DE38A2"/>
    <w:rsid w:val="00DE3A23"/>
    <w:rsid w:val="00DE414B"/>
    <w:rsid w:val="00DE49E1"/>
    <w:rsid w:val="00DE4A0D"/>
    <w:rsid w:val="00DF16EE"/>
    <w:rsid w:val="00DF1F2C"/>
    <w:rsid w:val="00DF2943"/>
    <w:rsid w:val="00DF2AC4"/>
    <w:rsid w:val="00DF3324"/>
    <w:rsid w:val="00DF346D"/>
    <w:rsid w:val="00DF4AF7"/>
    <w:rsid w:val="00DF5E1B"/>
    <w:rsid w:val="00DF606B"/>
    <w:rsid w:val="00DF60F5"/>
    <w:rsid w:val="00DF7937"/>
    <w:rsid w:val="00E008A5"/>
    <w:rsid w:val="00E00D0B"/>
    <w:rsid w:val="00E010A9"/>
    <w:rsid w:val="00E01179"/>
    <w:rsid w:val="00E01968"/>
    <w:rsid w:val="00E03236"/>
    <w:rsid w:val="00E039B7"/>
    <w:rsid w:val="00E0653F"/>
    <w:rsid w:val="00E0670F"/>
    <w:rsid w:val="00E073FF"/>
    <w:rsid w:val="00E07BC7"/>
    <w:rsid w:val="00E11C2C"/>
    <w:rsid w:val="00E11DE8"/>
    <w:rsid w:val="00E12EBF"/>
    <w:rsid w:val="00E14302"/>
    <w:rsid w:val="00E15701"/>
    <w:rsid w:val="00E157AB"/>
    <w:rsid w:val="00E159C8"/>
    <w:rsid w:val="00E160F4"/>
    <w:rsid w:val="00E1641A"/>
    <w:rsid w:val="00E16832"/>
    <w:rsid w:val="00E16B1F"/>
    <w:rsid w:val="00E16BAF"/>
    <w:rsid w:val="00E17834"/>
    <w:rsid w:val="00E17CE6"/>
    <w:rsid w:val="00E2157F"/>
    <w:rsid w:val="00E218FC"/>
    <w:rsid w:val="00E21DBB"/>
    <w:rsid w:val="00E227B2"/>
    <w:rsid w:val="00E228B8"/>
    <w:rsid w:val="00E23235"/>
    <w:rsid w:val="00E240AE"/>
    <w:rsid w:val="00E24346"/>
    <w:rsid w:val="00E24C94"/>
    <w:rsid w:val="00E2589A"/>
    <w:rsid w:val="00E25E15"/>
    <w:rsid w:val="00E2695E"/>
    <w:rsid w:val="00E26F64"/>
    <w:rsid w:val="00E279B7"/>
    <w:rsid w:val="00E3038B"/>
    <w:rsid w:val="00E31B2F"/>
    <w:rsid w:val="00E31F0F"/>
    <w:rsid w:val="00E3294E"/>
    <w:rsid w:val="00E34CE6"/>
    <w:rsid w:val="00E36554"/>
    <w:rsid w:val="00E3738D"/>
    <w:rsid w:val="00E37C05"/>
    <w:rsid w:val="00E37D1E"/>
    <w:rsid w:val="00E40394"/>
    <w:rsid w:val="00E40B88"/>
    <w:rsid w:val="00E40BA8"/>
    <w:rsid w:val="00E42369"/>
    <w:rsid w:val="00E42E8C"/>
    <w:rsid w:val="00E4359B"/>
    <w:rsid w:val="00E436F1"/>
    <w:rsid w:val="00E43FE8"/>
    <w:rsid w:val="00E44548"/>
    <w:rsid w:val="00E45B45"/>
    <w:rsid w:val="00E45D05"/>
    <w:rsid w:val="00E475A6"/>
    <w:rsid w:val="00E500E0"/>
    <w:rsid w:val="00E50C7A"/>
    <w:rsid w:val="00E5159E"/>
    <w:rsid w:val="00E51C27"/>
    <w:rsid w:val="00E52182"/>
    <w:rsid w:val="00E52EA2"/>
    <w:rsid w:val="00E53450"/>
    <w:rsid w:val="00E54071"/>
    <w:rsid w:val="00E5485C"/>
    <w:rsid w:val="00E55635"/>
    <w:rsid w:val="00E55655"/>
    <w:rsid w:val="00E56598"/>
    <w:rsid w:val="00E5705D"/>
    <w:rsid w:val="00E64648"/>
    <w:rsid w:val="00E65187"/>
    <w:rsid w:val="00E66763"/>
    <w:rsid w:val="00E66AD8"/>
    <w:rsid w:val="00E66EBC"/>
    <w:rsid w:val="00E67005"/>
    <w:rsid w:val="00E673D5"/>
    <w:rsid w:val="00E67952"/>
    <w:rsid w:val="00E705D0"/>
    <w:rsid w:val="00E713AF"/>
    <w:rsid w:val="00E716D6"/>
    <w:rsid w:val="00E72006"/>
    <w:rsid w:val="00E72E3A"/>
    <w:rsid w:val="00E73316"/>
    <w:rsid w:val="00E73EC9"/>
    <w:rsid w:val="00E74CCE"/>
    <w:rsid w:val="00E76BB0"/>
    <w:rsid w:val="00E76EEB"/>
    <w:rsid w:val="00E77918"/>
    <w:rsid w:val="00E77F57"/>
    <w:rsid w:val="00E817E8"/>
    <w:rsid w:val="00E81CF8"/>
    <w:rsid w:val="00E8299B"/>
    <w:rsid w:val="00E8514A"/>
    <w:rsid w:val="00E86655"/>
    <w:rsid w:val="00E87583"/>
    <w:rsid w:val="00E87D02"/>
    <w:rsid w:val="00E90953"/>
    <w:rsid w:val="00E90FEC"/>
    <w:rsid w:val="00E91D8D"/>
    <w:rsid w:val="00E91FF3"/>
    <w:rsid w:val="00E9389F"/>
    <w:rsid w:val="00E97DD5"/>
    <w:rsid w:val="00EA2E91"/>
    <w:rsid w:val="00EA43F7"/>
    <w:rsid w:val="00EA54A0"/>
    <w:rsid w:val="00EA6FA3"/>
    <w:rsid w:val="00EB03DD"/>
    <w:rsid w:val="00EB1296"/>
    <w:rsid w:val="00EB2B40"/>
    <w:rsid w:val="00EB4163"/>
    <w:rsid w:val="00EB4EF5"/>
    <w:rsid w:val="00EB5FCA"/>
    <w:rsid w:val="00EB618D"/>
    <w:rsid w:val="00EB72C7"/>
    <w:rsid w:val="00EC046D"/>
    <w:rsid w:val="00EC0F3C"/>
    <w:rsid w:val="00EC37E8"/>
    <w:rsid w:val="00EC4FE2"/>
    <w:rsid w:val="00EC53A3"/>
    <w:rsid w:val="00EC636E"/>
    <w:rsid w:val="00EC6A16"/>
    <w:rsid w:val="00EC759F"/>
    <w:rsid w:val="00ED0089"/>
    <w:rsid w:val="00ED047F"/>
    <w:rsid w:val="00ED0765"/>
    <w:rsid w:val="00ED1126"/>
    <w:rsid w:val="00ED11A9"/>
    <w:rsid w:val="00ED1BC2"/>
    <w:rsid w:val="00ED2E1C"/>
    <w:rsid w:val="00ED4268"/>
    <w:rsid w:val="00ED46C3"/>
    <w:rsid w:val="00ED527B"/>
    <w:rsid w:val="00ED5348"/>
    <w:rsid w:val="00ED54BB"/>
    <w:rsid w:val="00ED5644"/>
    <w:rsid w:val="00ED5C4E"/>
    <w:rsid w:val="00ED77C3"/>
    <w:rsid w:val="00EE00FC"/>
    <w:rsid w:val="00EE0184"/>
    <w:rsid w:val="00EE14A9"/>
    <w:rsid w:val="00EE2BAD"/>
    <w:rsid w:val="00EE39CC"/>
    <w:rsid w:val="00EE3BD3"/>
    <w:rsid w:val="00EE480A"/>
    <w:rsid w:val="00EE5C5A"/>
    <w:rsid w:val="00EE5F0F"/>
    <w:rsid w:val="00EE5F1B"/>
    <w:rsid w:val="00EE619D"/>
    <w:rsid w:val="00EE6CC0"/>
    <w:rsid w:val="00EE6E38"/>
    <w:rsid w:val="00EE76B0"/>
    <w:rsid w:val="00EE7BC2"/>
    <w:rsid w:val="00EE7FC6"/>
    <w:rsid w:val="00EF1F68"/>
    <w:rsid w:val="00EF3115"/>
    <w:rsid w:val="00EF53B6"/>
    <w:rsid w:val="00EF542C"/>
    <w:rsid w:val="00EF5C51"/>
    <w:rsid w:val="00EF5E7A"/>
    <w:rsid w:val="00EF63CF"/>
    <w:rsid w:val="00EF749F"/>
    <w:rsid w:val="00EF74AD"/>
    <w:rsid w:val="00EF7E9D"/>
    <w:rsid w:val="00F0045F"/>
    <w:rsid w:val="00F005E1"/>
    <w:rsid w:val="00F0148D"/>
    <w:rsid w:val="00F0159D"/>
    <w:rsid w:val="00F02511"/>
    <w:rsid w:val="00F05874"/>
    <w:rsid w:val="00F05F8B"/>
    <w:rsid w:val="00F06053"/>
    <w:rsid w:val="00F074C3"/>
    <w:rsid w:val="00F079E3"/>
    <w:rsid w:val="00F1042A"/>
    <w:rsid w:val="00F10ED8"/>
    <w:rsid w:val="00F10F38"/>
    <w:rsid w:val="00F10FA6"/>
    <w:rsid w:val="00F12A9E"/>
    <w:rsid w:val="00F16B50"/>
    <w:rsid w:val="00F2002B"/>
    <w:rsid w:val="00F20A87"/>
    <w:rsid w:val="00F23148"/>
    <w:rsid w:val="00F235A7"/>
    <w:rsid w:val="00F2395C"/>
    <w:rsid w:val="00F2398E"/>
    <w:rsid w:val="00F2486F"/>
    <w:rsid w:val="00F24E0C"/>
    <w:rsid w:val="00F2510C"/>
    <w:rsid w:val="00F254B6"/>
    <w:rsid w:val="00F25D87"/>
    <w:rsid w:val="00F26BF6"/>
    <w:rsid w:val="00F27945"/>
    <w:rsid w:val="00F27F13"/>
    <w:rsid w:val="00F27FE1"/>
    <w:rsid w:val="00F30010"/>
    <w:rsid w:val="00F3060D"/>
    <w:rsid w:val="00F30F89"/>
    <w:rsid w:val="00F31EEB"/>
    <w:rsid w:val="00F33749"/>
    <w:rsid w:val="00F33B2A"/>
    <w:rsid w:val="00F33F28"/>
    <w:rsid w:val="00F34A03"/>
    <w:rsid w:val="00F357AB"/>
    <w:rsid w:val="00F36057"/>
    <w:rsid w:val="00F3773D"/>
    <w:rsid w:val="00F37BF2"/>
    <w:rsid w:val="00F37F58"/>
    <w:rsid w:val="00F404A3"/>
    <w:rsid w:val="00F40B63"/>
    <w:rsid w:val="00F40F99"/>
    <w:rsid w:val="00F41ADC"/>
    <w:rsid w:val="00F41D05"/>
    <w:rsid w:val="00F42D25"/>
    <w:rsid w:val="00F43032"/>
    <w:rsid w:val="00F44A5D"/>
    <w:rsid w:val="00F44C3C"/>
    <w:rsid w:val="00F44E5F"/>
    <w:rsid w:val="00F450F4"/>
    <w:rsid w:val="00F4550C"/>
    <w:rsid w:val="00F464AE"/>
    <w:rsid w:val="00F4743D"/>
    <w:rsid w:val="00F50859"/>
    <w:rsid w:val="00F516F0"/>
    <w:rsid w:val="00F51CC3"/>
    <w:rsid w:val="00F531BB"/>
    <w:rsid w:val="00F539A0"/>
    <w:rsid w:val="00F53C79"/>
    <w:rsid w:val="00F5403E"/>
    <w:rsid w:val="00F550F6"/>
    <w:rsid w:val="00F56F4B"/>
    <w:rsid w:val="00F57518"/>
    <w:rsid w:val="00F579D1"/>
    <w:rsid w:val="00F6107C"/>
    <w:rsid w:val="00F6195D"/>
    <w:rsid w:val="00F61EDD"/>
    <w:rsid w:val="00F621B9"/>
    <w:rsid w:val="00F622D2"/>
    <w:rsid w:val="00F623AF"/>
    <w:rsid w:val="00F62C2E"/>
    <w:rsid w:val="00F62CF3"/>
    <w:rsid w:val="00F63631"/>
    <w:rsid w:val="00F636AD"/>
    <w:rsid w:val="00F65026"/>
    <w:rsid w:val="00F66756"/>
    <w:rsid w:val="00F66A64"/>
    <w:rsid w:val="00F7005B"/>
    <w:rsid w:val="00F710F0"/>
    <w:rsid w:val="00F71D52"/>
    <w:rsid w:val="00F72C8F"/>
    <w:rsid w:val="00F72D24"/>
    <w:rsid w:val="00F72DDB"/>
    <w:rsid w:val="00F73ECD"/>
    <w:rsid w:val="00F74134"/>
    <w:rsid w:val="00F74C7A"/>
    <w:rsid w:val="00F7601C"/>
    <w:rsid w:val="00F77433"/>
    <w:rsid w:val="00F804CB"/>
    <w:rsid w:val="00F820E7"/>
    <w:rsid w:val="00F8317E"/>
    <w:rsid w:val="00F844C2"/>
    <w:rsid w:val="00F858D9"/>
    <w:rsid w:val="00F8663E"/>
    <w:rsid w:val="00F867C6"/>
    <w:rsid w:val="00F86991"/>
    <w:rsid w:val="00F86EED"/>
    <w:rsid w:val="00F913AD"/>
    <w:rsid w:val="00F917B6"/>
    <w:rsid w:val="00F93441"/>
    <w:rsid w:val="00F93A0F"/>
    <w:rsid w:val="00F95BE6"/>
    <w:rsid w:val="00F97651"/>
    <w:rsid w:val="00FA03A5"/>
    <w:rsid w:val="00FA0C20"/>
    <w:rsid w:val="00FA27AA"/>
    <w:rsid w:val="00FA3444"/>
    <w:rsid w:val="00FA3C5D"/>
    <w:rsid w:val="00FA3C9F"/>
    <w:rsid w:val="00FA46F4"/>
    <w:rsid w:val="00FA4782"/>
    <w:rsid w:val="00FA549B"/>
    <w:rsid w:val="00FA5F64"/>
    <w:rsid w:val="00FA620B"/>
    <w:rsid w:val="00FA6495"/>
    <w:rsid w:val="00FB0AD5"/>
    <w:rsid w:val="00FB4456"/>
    <w:rsid w:val="00FB5BB0"/>
    <w:rsid w:val="00FB5E48"/>
    <w:rsid w:val="00FB603D"/>
    <w:rsid w:val="00FB7360"/>
    <w:rsid w:val="00FB7961"/>
    <w:rsid w:val="00FC0769"/>
    <w:rsid w:val="00FC0B5F"/>
    <w:rsid w:val="00FC104B"/>
    <w:rsid w:val="00FC1AF6"/>
    <w:rsid w:val="00FC26C8"/>
    <w:rsid w:val="00FC5E95"/>
    <w:rsid w:val="00FC6015"/>
    <w:rsid w:val="00FC67ED"/>
    <w:rsid w:val="00FD02C0"/>
    <w:rsid w:val="00FD051F"/>
    <w:rsid w:val="00FD0721"/>
    <w:rsid w:val="00FD0A26"/>
    <w:rsid w:val="00FD0ABE"/>
    <w:rsid w:val="00FD138E"/>
    <w:rsid w:val="00FD17BB"/>
    <w:rsid w:val="00FD193C"/>
    <w:rsid w:val="00FD37C4"/>
    <w:rsid w:val="00FD3EC8"/>
    <w:rsid w:val="00FD5EC1"/>
    <w:rsid w:val="00FD667F"/>
    <w:rsid w:val="00FD6832"/>
    <w:rsid w:val="00FE0B89"/>
    <w:rsid w:val="00FE15F9"/>
    <w:rsid w:val="00FE2499"/>
    <w:rsid w:val="00FE3594"/>
    <w:rsid w:val="00FE3A71"/>
    <w:rsid w:val="00FE4A36"/>
    <w:rsid w:val="00FE4EC4"/>
    <w:rsid w:val="00FE4FEA"/>
    <w:rsid w:val="00FE565D"/>
    <w:rsid w:val="00FE5DCF"/>
    <w:rsid w:val="00FE61E2"/>
    <w:rsid w:val="00FE6C0F"/>
    <w:rsid w:val="00FE6E39"/>
    <w:rsid w:val="00FE7435"/>
    <w:rsid w:val="00FF0B31"/>
    <w:rsid w:val="00FF0E29"/>
    <w:rsid w:val="00FF3872"/>
    <w:rsid w:val="00FF441A"/>
    <w:rsid w:val="00FF4531"/>
    <w:rsid w:val="00FF5352"/>
    <w:rsid w:val="00FF67AF"/>
    <w:rsid w:val="00FF68E9"/>
    <w:rsid w:val="00FF6EC5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8EED"/>
  <w15:docId w15:val="{FEDDC76D-15E8-4772-ADB6-36B39E89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HEA Grapalat" w:eastAsiaTheme="minorHAnsi" w:hAnsi="GHEA Grapalat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9D"/>
    <w:pPr>
      <w:spacing w:after="0" w:line="240" w:lineRule="auto"/>
    </w:pPr>
    <w:rPr>
      <w:rFonts w:ascii="Times LatArm" w:eastAsia="Times New Roman" w:hAnsi="Times LatArm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F99"/>
    <w:pPr>
      <w:keepNext/>
      <w:spacing w:line="360" w:lineRule="auto"/>
      <w:jc w:val="both"/>
      <w:outlineLvl w:val="0"/>
    </w:pPr>
    <w:rPr>
      <w:rFonts w:ascii="Times Armenian" w:hAnsi="Times Armenian"/>
      <w:b/>
      <w:color w:val="000000"/>
      <w:sz w:val="26"/>
      <w:szCs w:val="26"/>
      <w:u w:val="single"/>
      <w:lang w:val="hy-AM"/>
    </w:rPr>
  </w:style>
  <w:style w:type="paragraph" w:styleId="Heading2">
    <w:name w:val="heading 2"/>
    <w:basedOn w:val="Normal"/>
    <w:next w:val="Normal"/>
    <w:link w:val="Heading2Char"/>
    <w:qFormat/>
    <w:rsid w:val="00F40F99"/>
    <w:pPr>
      <w:keepNext/>
      <w:spacing w:line="360" w:lineRule="auto"/>
      <w:ind w:firstLine="540"/>
      <w:jc w:val="right"/>
      <w:outlineLvl w:val="1"/>
    </w:pPr>
    <w:rPr>
      <w:rFonts w:ascii="Times Armenian" w:hAnsi="Times Armenian" w:cs="Arial"/>
      <w:i/>
      <w:iCs/>
      <w:color w:val="000000"/>
      <w:szCs w:val="20"/>
      <w:lang w:val="hy-AM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0B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F40F99"/>
    <w:pPr>
      <w:keepNext/>
      <w:spacing w:line="360" w:lineRule="auto"/>
      <w:ind w:left="1701"/>
      <w:jc w:val="center"/>
      <w:outlineLvl w:val="6"/>
    </w:pPr>
    <w:rPr>
      <w:rFonts w:ascii="Arial Armenian" w:hAnsi="Arial Armenian"/>
      <w:b/>
      <w:spacing w:val="40"/>
      <w:sz w:val="22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rsid w:val="00EE619D"/>
  </w:style>
  <w:style w:type="paragraph" w:styleId="ListParagraph">
    <w:name w:val="List Paragraph"/>
    <w:basedOn w:val="Normal"/>
    <w:uiPriority w:val="34"/>
    <w:qFormat/>
    <w:rsid w:val="00EE619D"/>
    <w:pPr>
      <w:ind w:left="720"/>
      <w:contextualSpacing/>
    </w:pPr>
  </w:style>
  <w:style w:type="table" w:styleId="TableGrid">
    <w:name w:val="Table Grid"/>
    <w:basedOn w:val="TableNormal"/>
    <w:uiPriority w:val="39"/>
    <w:rsid w:val="00EE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E619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619D"/>
    <w:rPr>
      <w:rFonts w:ascii="Times LatArm" w:eastAsia="Times New Roman" w:hAnsi="Times LatArm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E619D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F40F99"/>
    <w:rPr>
      <w:rFonts w:ascii="Times Armenian" w:eastAsia="Times New Roman" w:hAnsi="Times Armenian" w:cs="Times New Roman"/>
      <w:b/>
      <w:color w:val="000000"/>
      <w:sz w:val="26"/>
      <w:szCs w:val="26"/>
      <w:u w:val="single"/>
      <w:lang w:val="hy-AM"/>
    </w:rPr>
  </w:style>
  <w:style w:type="character" w:customStyle="1" w:styleId="Heading2Char">
    <w:name w:val="Heading 2 Char"/>
    <w:basedOn w:val="DefaultParagraphFont"/>
    <w:link w:val="Heading2"/>
    <w:rsid w:val="00F40F99"/>
    <w:rPr>
      <w:rFonts w:ascii="Times Armenian" w:eastAsia="Times New Roman" w:hAnsi="Times Armenian" w:cs="Arial"/>
      <w:i/>
      <w:iCs/>
      <w:color w:val="000000"/>
      <w:sz w:val="24"/>
      <w:szCs w:val="20"/>
      <w:lang w:val="hy-AM"/>
    </w:rPr>
  </w:style>
  <w:style w:type="character" w:customStyle="1" w:styleId="Heading7Char">
    <w:name w:val="Heading 7 Char"/>
    <w:basedOn w:val="DefaultParagraphFont"/>
    <w:link w:val="Heading7"/>
    <w:rsid w:val="00F40F99"/>
    <w:rPr>
      <w:rFonts w:ascii="Arial Armenian" w:eastAsia="Times New Roman" w:hAnsi="Arial Armenian" w:cs="Times New Roman"/>
      <w:b/>
      <w:spacing w:val="40"/>
      <w:szCs w:val="23"/>
    </w:rPr>
  </w:style>
  <w:style w:type="character" w:customStyle="1" w:styleId="FootnoteTextChar2">
    <w:name w:val="Footnote Text Char2"/>
    <w:rsid w:val="00F40F99"/>
    <w:rPr>
      <w:rFonts w:ascii="Times Armenian" w:hAnsi="Times Armenian"/>
      <w:lang w:val="en-US" w:eastAsia="en-US" w:bidi="ar-SA"/>
    </w:rPr>
  </w:style>
  <w:style w:type="character" w:styleId="Hyperlink">
    <w:name w:val="Hyperlink"/>
    <w:uiPriority w:val="99"/>
    <w:rsid w:val="00F40F99"/>
    <w:rPr>
      <w:color w:val="0000FF"/>
      <w:u w:val="single"/>
    </w:rPr>
  </w:style>
  <w:style w:type="paragraph" w:styleId="Header">
    <w:name w:val="header"/>
    <w:aliases w:val="hd"/>
    <w:basedOn w:val="Normal"/>
    <w:link w:val="HeaderChar"/>
    <w:uiPriority w:val="99"/>
    <w:unhideWhenUsed/>
    <w:rsid w:val="00F40F9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F40F99"/>
    <w:rPr>
      <w:rFonts w:ascii="Times LatArm" w:eastAsia="Times New Roman" w:hAnsi="Times LatArm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0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99"/>
    <w:rPr>
      <w:rFonts w:ascii="Times LatArm" w:eastAsia="Times New Roman" w:hAnsi="Times LatArm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0F99"/>
  </w:style>
  <w:style w:type="paragraph" w:styleId="BodyText">
    <w:name w:val="Body Text"/>
    <w:basedOn w:val="Normal"/>
    <w:link w:val="BodyTextChar"/>
    <w:uiPriority w:val="99"/>
    <w:unhideWhenUsed/>
    <w:rsid w:val="00F40F99"/>
    <w:pPr>
      <w:spacing w:after="120" w:line="276" w:lineRule="auto"/>
    </w:pPr>
    <w:rPr>
      <w:rFonts w:ascii="GHEA Grapalat" w:eastAsia="Calibri" w:hAnsi="GHEA Grapalat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40F99"/>
    <w:rPr>
      <w:rFonts w:eastAsia="Calibri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00B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rmstat.am/file/article/sv_10_19a_142.pdf" TargetMode="External"/><Relationship Id="rId2" Type="http://schemas.openxmlformats.org/officeDocument/2006/relationships/hyperlink" Target="https://www.armstat.am/file/doc/99516743.pdf" TargetMode="External"/><Relationship Id="rId1" Type="http://schemas.openxmlformats.org/officeDocument/2006/relationships/hyperlink" Target="https://www.yerevan.am/am/quarterly-statistics/" TargetMode="External"/><Relationship Id="rId4" Type="http://schemas.openxmlformats.org/officeDocument/2006/relationships/hyperlink" Target="http://www.competition.am/index.php?page=&amp;menu=174&amp;newsID=1547&amp;ln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74830-162D-44F5-B9EB-D4DD1170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26</Pages>
  <Words>9146</Words>
  <Characters>52135</Characters>
  <Application>Microsoft Office Word</Application>
  <DocSecurity>0</DocSecurity>
  <Lines>434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Սուսաննա Քարտաշյան</cp:lastModifiedBy>
  <cp:revision>11</cp:revision>
  <dcterms:created xsi:type="dcterms:W3CDTF">2020-01-09T11:53:00Z</dcterms:created>
  <dcterms:modified xsi:type="dcterms:W3CDTF">2024-02-02T13:41:00Z</dcterms:modified>
</cp:coreProperties>
</file>