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31453" w14:textId="77777777" w:rsidR="003D1442" w:rsidRPr="00565F75" w:rsidRDefault="009C5100" w:rsidP="00C00B89">
      <w:pPr>
        <w:autoSpaceDE w:val="0"/>
        <w:autoSpaceDN w:val="0"/>
        <w:adjustRightInd w:val="0"/>
        <w:spacing w:after="120" w:line="360" w:lineRule="auto"/>
        <w:jc w:val="right"/>
        <w:rPr>
          <w:rFonts w:ascii="Garamond" w:hAnsi="Garamond" w:cs="Sylfaen"/>
          <w:b/>
          <w:color w:val="1F497D" w:themeColor="text2"/>
          <w:spacing w:val="20"/>
          <w:w w:val="110"/>
          <w:szCs w:val="22"/>
        </w:rPr>
      </w:pPr>
      <w:r>
        <w:rPr>
          <w:rFonts w:ascii="Garamond" w:hAnsi="Garamond" w:cs="Sylfaen"/>
          <w:b/>
          <w:color w:val="1F497D" w:themeColor="text2"/>
          <w:spacing w:val="20"/>
          <w:w w:val="110"/>
          <w:szCs w:val="22"/>
        </w:rPr>
        <w:t>T</w:t>
      </w:r>
      <w:r w:rsidR="00C00B89" w:rsidRPr="00565F75">
        <w:rPr>
          <w:rFonts w:ascii="Garamond" w:hAnsi="Garamond" w:cs="Sylfaen"/>
          <w:b/>
          <w:color w:val="1F497D" w:themeColor="text2"/>
          <w:spacing w:val="20"/>
          <w:w w:val="110"/>
          <w:szCs w:val="22"/>
        </w:rPr>
        <w:t>HE CENTRAL BANK OF THE REPUBLIC OF ARMENIA</w:t>
      </w:r>
    </w:p>
    <w:p w14:paraId="69ED719A" w14:textId="77777777" w:rsidR="00AE73E6" w:rsidRDefault="00C00B89" w:rsidP="00C00B89">
      <w:pPr>
        <w:autoSpaceDE w:val="0"/>
        <w:autoSpaceDN w:val="0"/>
        <w:adjustRightInd w:val="0"/>
        <w:spacing w:after="120" w:line="360" w:lineRule="auto"/>
        <w:jc w:val="right"/>
        <w:rPr>
          <w:rFonts w:ascii="Garamond" w:hAnsi="Garamond" w:cs="Sylfaen"/>
          <w:b/>
          <w:i/>
          <w:color w:val="002060"/>
          <w:spacing w:val="4"/>
          <w:w w:val="110"/>
          <w:szCs w:val="22"/>
        </w:rPr>
      </w:pPr>
      <w:r w:rsidRPr="00565F75">
        <w:rPr>
          <w:rFonts w:ascii="Garamond" w:hAnsi="Garamond" w:cs="Sylfaen"/>
          <w:b/>
          <w:i/>
          <w:color w:val="002060"/>
          <w:spacing w:val="4"/>
          <w:w w:val="110"/>
          <w:szCs w:val="22"/>
        </w:rPr>
        <w:t xml:space="preserve">Approved under the Central Bank Board </w:t>
      </w:r>
    </w:p>
    <w:p w14:paraId="4753672D" w14:textId="77777777" w:rsidR="00C00B89" w:rsidRPr="00565F75" w:rsidRDefault="00C00B89" w:rsidP="00C00B89">
      <w:pPr>
        <w:autoSpaceDE w:val="0"/>
        <w:autoSpaceDN w:val="0"/>
        <w:adjustRightInd w:val="0"/>
        <w:spacing w:after="120" w:line="360" w:lineRule="auto"/>
        <w:jc w:val="right"/>
        <w:rPr>
          <w:rFonts w:ascii="Garamond" w:hAnsi="Garamond"/>
          <w:b/>
          <w:color w:val="0070C0"/>
          <w:szCs w:val="22"/>
        </w:rPr>
      </w:pPr>
      <w:r w:rsidRPr="00565F75">
        <w:rPr>
          <w:rFonts w:ascii="Garamond" w:hAnsi="Garamond" w:cs="Sylfaen"/>
          <w:b/>
          <w:i/>
          <w:color w:val="002060"/>
          <w:spacing w:val="4"/>
          <w:w w:val="110"/>
          <w:szCs w:val="22"/>
        </w:rPr>
        <w:t xml:space="preserve">Resolution No. </w:t>
      </w:r>
      <w:r w:rsidR="005E6832">
        <w:rPr>
          <w:rFonts w:ascii="Garamond" w:hAnsi="Garamond" w:cs="Sylfaen"/>
          <w:b/>
          <w:i/>
          <w:color w:val="002060"/>
          <w:spacing w:val="4"/>
          <w:w w:val="110"/>
          <w:szCs w:val="22"/>
        </w:rPr>
        <w:t>46</w:t>
      </w:r>
      <w:r w:rsidRPr="00565F75">
        <w:rPr>
          <w:rFonts w:ascii="Garamond" w:hAnsi="Garamond" w:cs="Sylfaen"/>
          <w:b/>
          <w:i/>
          <w:color w:val="002060"/>
          <w:spacing w:val="4"/>
          <w:w w:val="110"/>
          <w:szCs w:val="22"/>
        </w:rPr>
        <w:t xml:space="preserve">A, dated </w:t>
      </w:r>
      <w:r w:rsidR="005E6832">
        <w:rPr>
          <w:rFonts w:ascii="Garamond" w:hAnsi="Garamond" w:cs="Sylfaen"/>
          <w:b/>
          <w:i/>
          <w:color w:val="002060"/>
          <w:spacing w:val="4"/>
          <w:w w:val="110"/>
          <w:szCs w:val="22"/>
        </w:rPr>
        <w:t>March</w:t>
      </w:r>
      <w:r w:rsidRPr="00565F75">
        <w:rPr>
          <w:rFonts w:ascii="Garamond" w:hAnsi="Garamond" w:cs="Sylfaen"/>
          <w:b/>
          <w:i/>
          <w:color w:val="002060"/>
          <w:spacing w:val="4"/>
          <w:w w:val="110"/>
          <w:szCs w:val="22"/>
        </w:rPr>
        <w:t xml:space="preserve"> </w:t>
      </w:r>
      <w:r w:rsidR="005E6832">
        <w:rPr>
          <w:rFonts w:ascii="Garamond" w:hAnsi="Garamond" w:cs="Sylfaen"/>
          <w:b/>
          <w:i/>
          <w:color w:val="002060"/>
          <w:spacing w:val="4"/>
          <w:w w:val="110"/>
          <w:szCs w:val="22"/>
        </w:rPr>
        <w:t>31</w:t>
      </w:r>
      <w:r w:rsidRPr="00565F75">
        <w:rPr>
          <w:rFonts w:ascii="Garamond" w:hAnsi="Garamond" w:cs="Sylfaen"/>
          <w:b/>
          <w:i/>
          <w:color w:val="002060"/>
          <w:spacing w:val="4"/>
          <w:w w:val="110"/>
          <w:szCs w:val="22"/>
        </w:rPr>
        <w:t>, 20</w:t>
      </w:r>
      <w:r w:rsidR="005E6832">
        <w:rPr>
          <w:rFonts w:ascii="Garamond" w:hAnsi="Garamond" w:cs="Sylfaen"/>
          <w:b/>
          <w:i/>
          <w:color w:val="002060"/>
          <w:spacing w:val="4"/>
          <w:w w:val="110"/>
          <w:szCs w:val="22"/>
        </w:rPr>
        <w:t>20</w:t>
      </w:r>
    </w:p>
    <w:p w14:paraId="672A6659" w14:textId="77777777" w:rsidR="00C00B89" w:rsidRPr="00565F75" w:rsidRDefault="00C00B89" w:rsidP="00EE619D">
      <w:pPr>
        <w:autoSpaceDE w:val="0"/>
        <w:autoSpaceDN w:val="0"/>
        <w:adjustRightInd w:val="0"/>
        <w:spacing w:after="120" w:line="360" w:lineRule="auto"/>
        <w:jc w:val="both"/>
        <w:rPr>
          <w:rFonts w:ascii="Garamond" w:hAnsi="Garamond"/>
          <w:b/>
          <w:color w:val="0070C0"/>
          <w:szCs w:val="22"/>
        </w:rPr>
      </w:pPr>
    </w:p>
    <w:p w14:paraId="6C8226A2" w14:textId="77777777" w:rsidR="00C00B89" w:rsidRPr="00565F75" w:rsidRDefault="00C00B89" w:rsidP="00C00B89">
      <w:pPr>
        <w:autoSpaceDE w:val="0"/>
        <w:autoSpaceDN w:val="0"/>
        <w:adjustRightInd w:val="0"/>
        <w:spacing w:after="120" w:line="360" w:lineRule="auto"/>
        <w:jc w:val="right"/>
        <w:rPr>
          <w:rFonts w:ascii="Garamond" w:hAnsi="Garamond"/>
          <w:b/>
          <w:color w:val="1F497D" w:themeColor="text2"/>
          <w:spacing w:val="40"/>
          <w:w w:val="110"/>
          <w:szCs w:val="22"/>
        </w:rPr>
      </w:pPr>
      <w:r w:rsidRPr="00565F75">
        <w:rPr>
          <w:rFonts w:ascii="Garamond" w:hAnsi="Garamond"/>
          <w:b/>
          <w:color w:val="1F497D" w:themeColor="text2"/>
          <w:spacing w:val="40"/>
          <w:w w:val="110"/>
          <w:szCs w:val="22"/>
        </w:rPr>
        <w:t>Inflation Report</w:t>
      </w:r>
    </w:p>
    <w:p w14:paraId="0A37501D" w14:textId="77777777" w:rsidR="00C00B89" w:rsidRPr="00565F75" w:rsidRDefault="00C00B89" w:rsidP="00EE619D">
      <w:pPr>
        <w:autoSpaceDE w:val="0"/>
        <w:autoSpaceDN w:val="0"/>
        <w:adjustRightInd w:val="0"/>
        <w:spacing w:after="120" w:line="360" w:lineRule="auto"/>
        <w:jc w:val="both"/>
        <w:rPr>
          <w:rFonts w:ascii="Garamond" w:hAnsi="Garamond"/>
          <w:b/>
          <w:color w:val="1F497D" w:themeColor="text2"/>
          <w:spacing w:val="40"/>
          <w:w w:val="110"/>
          <w:szCs w:val="22"/>
        </w:rPr>
      </w:pPr>
    </w:p>
    <w:p w14:paraId="57405983" w14:textId="77777777" w:rsidR="00C00B89" w:rsidRPr="00565F75" w:rsidRDefault="00C00B89" w:rsidP="00C00B89">
      <w:pPr>
        <w:autoSpaceDE w:val="0"/>
        <w:autoSpaceDN w:val="0"/>
        <w:adjustRightInd w:val="0"/>
        <w:spacing w:after="120" w:line="360" w:lineRule="auto"/>
        <w:jc w:val="right"/>
        <w:rPr>
          <w:rFonts w:ascii="Garamond" w:hAnsi="Garamond"/>
          <w:b/>
          <w:color w:val="1F497D" w:themeColor="text2"/>
          <w:szCs w:val="22"/>
        </w:rPr>
      </w:pPr>
      <w:r w:rsidRPr="00565F75">
        <w:rPr>
          <w:rFonts w:ascii="Garamond" w:hAnsi="Garamond"/>
          <w:b/>
          <w:color w:val="1F497D" w:themeColor="text2"/>
          <w:szCs w:val="22"/>
        </w:rPr>
        <w:t>Monetary Policy Program, Q</w:t>
      </w:r>
      <w:r w:rsidR="005E6832">
        <w:rPr>
          <w:rFonts w:ascii="Garamond" w:hAnsi="Garamond"/>
          <w:b/>
          <w:color w:val="1F497D" w:themeColor="text2"/>
          <w:szCs w:val="22"/>
        </w:rPr>
        <w:t>1</w:t>
      </w:r>
      <w:r w:rsidRPr="00565F75">
        <w:rPr>
          <w:rFonts w:ascii="Garamond" w:hAnsi="Garamond"/>
          <w:b/>
          <w:color w:val="1F497D" w:themeColor="text2"/>
          <w:szCs w:val="22"/>
        </w:rPr>
        <w:t>, 20</w:t>
      </w:r>
      <w:r w:rsidR="005E6832">
        <w:rPr>
          <w:rFonts w:ascii="Garamond" w:hAnsi="Garamond"/>
          <w:b/>
          <w:color w:val="1F497D" w:themeColor="text2"/>
          <w:szCs w:val="22"/>
        </w:rPr>
        <w:t>20</w:t>
      </w:r>
    </w:p>
    <w:p w14:paraId="5DAB6C7B" w14:textId="77777777" w:rsidR="00C00B89" w:rsidRPr="00565F75" w:rsidRDefault="00C00B89" w:rsidP="00C00B89">
      <w:pPr>
        <w:autoSpaceDE w:val="0"/>
        <w:autoSpaceDN w:val="0"/>
        <w:adjustRightInd w:val="0"/>
        <w:spacing w:after="120" w:line="360" w:lineRule="auto"/>
        <w:jc w:val="right"/>
        <w:rPr>
          <w:rFonts w:ascii="Garamond" w:hAnsi="Garamond" w:cs="Sylfaen"/>
          <w:b/>
          <w:color w:val="1F497D" w:themeColor="text2"/>
          <w:szCs w:val="22"/>
        </w:rPr>
      </w:pPr>
      <w:r w:rsidRPr="00565F75">
        <w:rPr>
          <w:rFonts w:ascii="Wingdings 2" w:eastAsia="Wingdings 2" w:hAnsi="Wingdings 2" w:cs="Wingdings 2"/>
          <w:b/>
          <w:color w:val="1F497D" w:themeColor="text2"/>
          <w:szCs w:val="22"/>
          <w:lang w:val="hy-AM"/>
        </w:rPr>
        <w:t></w:t>
      </w:r>
    </w:p>
    <w:p w14:paraId="42333EE0" w14:textId="77777777" w:rsidR="00C00B89" w:rsidRPr="00565F75" w:rsidRDefault="00C00B89" w:rsidP="00C00B89">
      <w:pPr>
        <w:autoSpaceDE w:val="0"/>
        <w:autoSpaceDN w:val="0"/>
        <w:adjustRightInd w:val="0"/>
        <w:spacing w:after="120" w:line="360" w:lineRule="auto"/>
        <w:jc w:val="right"/>
        <w:rPr>
          <w:rFonts w:ascii="Garamond" w:hAnsi="Garamond"/>
          <w:b/>
          <w:color w:val="0070C0"/>
          <w:szCs w:val="22"/>
        </w:rPr>
      </w:pPr>
      <w:r w:rsidRPr="00565F75">
        <w:rPr>
          <w:rFonts w:ascii="Garamond" w:hAnsi="Garamond"/>
          <w:b/>
          <w:color w:val="1F497D" w:themeColor="text2"/>
          <w:szCs w:val="22"/>
        </w:rPr>
        <w:t>Status Report on Implementation of the Monetary Policy Program, Q</w:t>
      </w:r>
      <w:r w:rsidR="005E6832">
        <w:rPr>
          <w:rFonts w:ascii="Garamond" w:hAnsi="Garamond"/>
          <w:b/>
          <w:color w:val="1F497D" w:themeColor="text2"/>
          <w:szCs w:val="22"/>
        </w:rPr>
        <w:t>4</w:t>
      </w:r>
      <w:r w:rsidRPr="00565F75">
        <w:rPr>
          <w:rFonts w:ascii="Garamond" w:hAnsi="Garamond"/>
          <w:b/>
          <w:color w:val="1F497D" w:themeColor="text2"/>
          <w:szCs w:val="22"/>
        </w:rPr>
        <w:t>, 201</w:t>
      </w:r>
      <w:r w:rsidR="003B11A6">
        <w:rPr>
          <w:rFonts w:ascii="Garamond" w:hAnsi="Garamond"/>
          <w:b/>
          <w:color w:val="1F497D" w:themeColor="text2"/>
          <w:szCs w:val="22"/>
        </w:rPr>
        <w:t>9</w:t>
      </w:r>
    </w:p>
    <w:p w14:paraId="02EB378F" w14:textId="77777777" w:rsidR="00C00B89" w:rsidRPr="00EE5F0F" w:rsidRDefault="00C00B89" w:rsidP="00EE619D">
      <w:pPr>
        <w:autoSpaceDE w:val="0"/>
        <w:autoSpaceDN w:val="0"/>
        <w:adjustRightInd w:val="0"/>
        <w:spacing w:after="120" w:line="360" w:lineRule="auto"/>
        <w:jc w:val="both"/>
        <w:rPr>
          <w:rFonts w:ascii="Garamond" w:hAnsi="Garamond"/>
          <w:b/>
          <w:color w:val="0070C0"/>
          <w:sz w:val="22"/>
          <w:szCs w:val="22"/>
        </w:rPr>
      </w:pPr>
    </w:p>
    <w:p w14:paraId="2CD162E4" w14:textId="77777777" w:rsidR="00C00B89" w:rsidRPr="00EE5F0F" w:rsidRDefault="00C00B89" w:rsidP="00565F75">
      <w:pPr>
        <w:autoSpaceDE w:val="0"/>
        <w:autoSpaceDN w:val="0"/>
        <w:adjustRightInd w:val="0"/>
        <w:spacing w:after="120" w:line="280" w:lineRule="atLeast"/>
        <w:jc w:val="center"/>
        <w:rPr>
          <w:rFonts w:ascii="Garamond" w:hAnsi="Garamond" w:cs="Sylfaen"/>
          <w:i/>
          <w:sz w:val="22"/>
          <w:szCs w:val="22"/>
          <w:lang w:val="hy-AM"/>
        </w:rPr>
      </w:pP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inflation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targeting</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strategy</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Central Bank of Armenia </w:t>
      </w:r>
      <w:proofErr w:type="spellStart"/>
      <w:r w:rsidRPr="00EE5F0F">
        <w:rPr>
          <w:rFonts w:ascii="Garamond" w:hAnsi="Garamond" w:cs="Sylfaen"/>
          <w:i/>
          <w:sz w:val="22"/>
          <w:szCs w:val="22"/>
          <w:lang w:val="hy-AM"/>
        </w:rPr>
        <w:t>highlights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importance</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communicating</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Bank </w:t>
      </w:r>
      <w:proofErr w:type="spellStart"/>
      <w:r w:rsidRPr="00EE5F0F">
        <w:rPr>
          <w:rFonts w:ascii="Garamond" w:hAnsi="Garamond" w:cs="Sylfaen"/>
          <w:i/>
          <w:sz w:val="22"/>
          <w:szCs w:val="22"/>
          <w:lang w:val="hy-AM"/>
        </w:rPr>
        <w:t>to</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general</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public</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by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publishing</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inter</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alia</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quarterly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inflation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reports</w:t>
      </w:r>
      <w:proofErr w:type="spellEnd"/>
      <w:r w:rsidRPr="00EE5F0F">
        <w:rPr>
          <w:rFonts w:ascii="Garamond" w:hAnsi="Garamond" w:cs="Sylfaen"/>
          <w:i/>
          <w:sz w:val="22"/>
          <w:szCs w:val="22"/>
          <w:lang w:val="hy-AM"/>
        </w:rPr>
        <w:t>.</w:t>
      </w:r>
    </w:p>
    <w:p w14:paraId="34387FCF" w14:textId="77777777" w:rsidR="00C00B89" w:rsidRPr="00EE5F0F" w:rsidRDefault="00C00B89" w:rsidP="00565F75">
      <w:pPr>
        <w:autoSpaceDE w:val="0"/>
        <w:autoSpaceDN w:val="0"/>
        <w:adjustRightInd w:val="0"/>
        <w:spacing w:after="120" w:line="280" w:lineRule="atLeast"/>
        <w:jc w:val="center"/>
        <w:rPr>
          <w:rFonts w:ascii="Garamond" w:hAnsi="Garamond" w:cs="Sylfaen"/>
          <w:i/>
          <w:sz w:val="22"/>
          <w:szCs w:val="22"/>
          <w:lang w:val="hy-AM"/>
        </w:rPr>
      </w:pP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first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section</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inflation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report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includes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Monetary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Policy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Program</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that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provides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main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directions</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monetary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policy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forecast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horizon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well</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forecasts</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inflation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and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other</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macroeconomic</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indicators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These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forecasts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are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based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Bank’s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assessment</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current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situation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and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future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assumptions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by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Bank, </w:t>
      </w:r>
      <w:proofErr w:type="spellStart"/>
      <w:r w:rsidRPr="00EE5F0F">
        <w:rPr>
          <w:rFonts w:ascii="Garamond" w:hAnsi="Garamond" w:cs="Sylfaen"/>
          <w:i/>
          <w:sz w:val="22"/>
          <w:szCs w:val="22"/>
          <w:lang w:val="hy-AM"/>
        </w:rPr>
        <w:t>which</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also</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include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impact</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Bank </w:t>
      </w:r>
      <w:proofErr w:type="spellStart"/>
      <w:r w:rsidRPr="00EE5F0F">
        <w:rPr>
          <w:rFonts w:ascii="Garamond" w:hAnsi="Garamond" w:cs="Sylfaen"/>
          <w:i/>
          <w:sz w:val="22"/>
          <w:szCs w:val="22"/>
          <w:lang w:val="hy-AM"/>
        </w:rPr>
        <w:t>operations</w:t>
      </w:r>
      <w:proofErr w:type="spellEnd"/>
      <w:r w:rsidRPr="00EE5F0F">
        <w:rPr>
          <w:rFonts w:ascii="Garamond" w:hAnsi="Garamond" w:cs="Sylfaen"/>
          <w:i/>
          <w:sz w:val="22"/>
          <w:szCs w:val="22"/>
          <w:lang w:val="hy-AM"/>
        </w:rPr>
        <w:t>.</w:t>
      </w:r>
    </w:p>
    <w:p w14:paraId="78C21A6D" w14:textId="77777777" w:rsidR="00C00B89" w:rsidRPr="00EE5F0F" w:rsidRDefault="00C00B89" w:rsidP="00565F75">
      <w:pPr>
        <w:autoSpaceDE w:val="0"/>
        <w:autoSpaceDN w:val="0"/>
        <w:adjustRightInd w:val="0"/>
        <w:spacing w:after="120" w:line="280" w:lineRule="atLeast"/>
        <w:jc w:val="center"/>
        <w:rPr>
          <w:rFonts w:ascii="Garamond" w:hAnsi="Garamond" w:cs="Sylfaen"/>
          <w:i/>
          <w:sz w:val="22"/>
          <w:szCs w:val="22"/>
          <w:lang w:val="hy-AM"/>
        </w:rPr>
      </w:pP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second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section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includes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status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report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implementation</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monetary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policy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program</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previous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quarter</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which</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presents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results</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monetary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policy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implementation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and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covers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actual</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developments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domestic</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economy</w:t>
      </w:r>
      <w:proofErr w:type="spellEnd"/>
      <w:r w:rsidRPr="00EE5F0F">
        <w:rPr>
          <w:rFonts w:ascii="Garamond" w:hAnsi="Garamond" w:cs="Sylfaen"/>
          <w:i/>
          <w:sz w:val="22"/>
          <w:szCs w:val="22"/>
          <w:lang w:val="hy-AM"/>
        </w:rPr>
        <w:t>.</w:t>
      </w:r>
    </w:p>
    <w:p w14:paraId="1ECFCF0C" w14:textId="77777777" w:rsidR="00C00B89" w:rsidRPr="00EE5F0F" w:rsidRDefault="00C00B89" w:rsidP="00565F75">
      <w:pPr>
        <w:autoSpaceDE w:val="0"/>
        <w:autoSpaceDN w:val="0"/>
        <w:adjustRightInd w:val="0"/>
        <w:spacing w:after="120" w:line="280" w:lineRule="atLeast"/>
        <w:jc w:val="center"/>
        <w:rPr>
          <w:rFonts w:ascii="Garamond" w:hAnsi="Garamond" w:cs="Sylfaen"/>
          <w:i/>
          <w:sz w:val="22"/>
          <w:szCs w:val="22"/>
          <w:lang w:val="hy-AM"/>
        </w:rPr>
      </w:pPr>
      <w:proofErr w:type="spellStart"/>
      <w:r w:rsidRPr="00EE5F0F">
        <w:rPr>
          <w:rFonts w:ascii="Garamond" w:hAnsi="Garamond" w:cs="Sylfaen"/>
          <w:i/>
          <w:sz w:val="22"/>
          <w:szCs w:val="22"/>
          <w:lang w:val="hy-AM"/>
        </w:rPr>
        <w:t>Publishing</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inflation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forecast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and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assumptions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underlying</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makes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monetary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policy</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Bank </w:t>
      </w:r>
      <w:proofErr w:type="spellStart"/>
      <w:r w:rsidRPr="00EE5F0F">
        <w:rPr>
          <w:rFonts w:ascii="Garamond" w:hAnsi="Garamond" w:cs="Sylfaen"/>
          <w:i/>
          <w:sz w:val="22"/>
          <w:szCs w:val="22"/>
          <w:lang w:val="hy-AM"/>
        </w:rPr>
        <w:t>more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transparent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understandable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and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predictable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which</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considerably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increases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public</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confidence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Bank.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Bank </w:t>
      </w:r>
      <w:proofErr w:type="spellStart"/>
      <w:r w:rsidRPr="00EE5F0F">
        <w:rPr>
          <w:rFonts w:ascii="Garamond" w:hAnsi="Garamond" w:cs="Sylfaen"/>
          <w:i/>
          <w:sz w:val="22"/>
          <w:szCs w:val="22"/>
          <w:lang w:val="hy-AM"/>
        </w:rPr>
        <w:t>believes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that</w:t>
      </w:r>
      <w:proofErr w:type="spellEnd"/>
      <w:r w:rsidRPr="00EE5F0F">
        <w:rPr>
          <w:rFonts w:ascii="Garamond" w:hAnsi="Garamond" w:cs="Sylfaen"/>
          <w:i/>
          <w:sz w:val="22"/>
          <w:szCs w:val="22"/>
          <w:lang w:val="hy-AM"/>
        </w:rPr>
        <w:t xml:space="preserve"> a </w:t>
      </w:r>
      <w:proofErr w:type="spellStart"/>
      <w:r w:rsidRPr="00EE5F0F">
        <w:rPr>
          <w:rFonts w:ascii="Garamond" w:hAnsi="Garamond" w:cs="Sylfaen"/>
          <w:i/>
          <w:sz w:val="22"/>
          <w:szCs w:val="22"/>
          <w:lang w:val="hy-AM"/>
        </w:rPr>
        <w:t>clear</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and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trusted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monetary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policy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positively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affects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anchoring</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inflation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expectations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and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maintaining</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financial</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stability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terms</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cost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reduction</w:t>
      </w:r>
      <w:proofErr w:type="spellEnd"/>
      <w:r w:rsidRPr="00EE5F0F">
        <w:rPr>
          <w:rFonts w:ascii="Garamond" w:hAnsi="Garamond" w:cs="Sylfaen"/>
          <w:i/>
          <w:sz w:val="22"/>
          <w:szCs w:val="22"/>
          <w:lang w:val="hy-AM"/>
        </w:rPr>
        <w:t>.</w:t>
      </w:r>
    </w:p>
    <w:p w14:paraId="4870BA09" w14:textId="77777777" w:rsidR="00C00B89" w:rsidRPr="00EE5F0F" w:rsidRDefault="00C00B89" w:rsidP="00565F75">
      <w:pPr>
        <w:autoSpaceDE w:val="0"/>
        <w:autoSpaceDN w:val="0"/>
        <w:adjustRightInd w:val="0"/>
        <w:spacing w:after="120" w:line="280" w:lineRule="atLeast"/>
        <w:jc w:val="center"/>
        <w:rPr>
          <w:rFonts w:ascii="Garamond" w:hAnsi="Garamond" w:cs="Sylfaen"/>
          <w:i/>
          <w:sz w:val="22"/>
          <w:szCs w:val="22"/>
          <w:lang w:val="hy-AM"/>
        </w:rPr>
      </w:pPr>
      <w:proofErr w:type="spellStart"/>
      <w:r w:rsidRPr="00EE5F0F">
        <w:rPr>
          <w:rFonts w:ascii="Garamond" w:hAnsi="Garamond" w:cs="Sylfaen"/>
          <w:i/>
          <w:sz w:val="22"/>
          <w:szCs w:val="22"/>
          <w:lang w:val="hy-AM"/>
        </w:rPr>
        <w:t>According</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to</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rule</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monetary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policy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policy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aimed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minimizing</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deviations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between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4% </w:t>
      </w:r>
      <w:proofErr w:type="spellStart"/>
      <w:r w:rsidRPr="00EE5F0F">
        <w:rPr>
          <w:rFonts w:ascii="Garamond" w:hAnsi="Garamond" w:cs="Sylfaen"/>
          <w:i/>
          <w:sz w:val="22"/>
          <w:szCs w:val="22"/>
          <w:lang w:val="hy-AM"/>
        </w:rPr>
        <w:t>target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and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inflation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forecasts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path</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to</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inflation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rate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shaped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as</w:t>
      </w:r>
      <w:proofErr w:type="spellEnd"/>
      <w:r w:rsidRPr="00EE5F0F">
        <w:rPr>
          <w:rFonts w:ascii="Garamond" w:hAnsi="Garamond" w:cs="Sylfaen"/>
          <w:i/>
          <w:sz w:val="22"/>
          <w:szCs w:val="22"/>
          <w:lang w:val="hy-AM"/>
        </w:rPr>
        <w:t xml:space="preserve"> a </w:t>
      </w:r>
      <w:proofErr w:type="spellStart"/>
      <w:r w:rsidRPr="00EE5F0F">
        <w:rPr>
          <w:rFonts w:ascii="Garamond" w:hAnsi="Garamond" w:cs="Sylfaen"/>
          <w:i/>
          <w:sz w:val="22"/>
          <w:szCs w:val="22"/>
          <w:lang w:val="hy-AM"/>
        </w:rPr>
        <w:t>result</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projected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policy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directions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published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as</w:t>
      </w:r>
      <w:proofErr w:type="spellEnd"/>
      <w:r w:rsidRPr="00EE5F0F">
        <w:rPr>
          <w:rFonts w:ascii="Garamond" w:hAnsi="Garamond" w:cs="Sylfaen"/>
          <w:i/>
          <w:sz w:val="22"/>
          <w:szCs w:val="22"/>
          <w:lang w:val="hy-AM"/>
        </w:rPr>
        <w:t xml:space="preserve"> a </w:t>
      </w:r>
      <w:proofErr w:type="spellStart"/>
      <w:r w:rsidRPr="00EE5F0F">
        <w:rPr>
          <w:rFonts w:ascii="Garamond" w:hAnsi="Garamond" w:cs="Sylfaen"/>
          <w:i/>
          <w:sz w:val="22"/>
          <w:szCs w:val="22"/>
          <w:lang w:val="hy-AM"/>
        </w:rPr>
        <w:t>forecast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probability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distribution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chart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for</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12-quarter </w:t>
      </w:r>
      <w:proofErr w:type="spellStart"/>
      <w:r w:rsidRPr="00EE5F0F">
        <w:rPr>
          <w:rFonts w:ascii="Garamond" w:hAnsi="Garamond" w:cs="Sylfaen"/>
          <w:i/>
          <w:sz w:val="22"/>
          <w:szCs w:val="22"/>
          <w:lang w:val="hy-AM"/>
        </w:rPr>
        <w:t>time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horizon</w:t>
      </w:r>
      <w:proofErr w:type="spellEnd"/>
      <w:r w:rsidRPr="00EE5F0F">
        <w:rPr>
          <w:rFonts w:ascii="Garamond" w:hAnsi="Garamond" w:cs="Sylfaen"/>
          <w:i/>
          <w:sz w:val="22"/>
          <w:szCs w:val="22"/>
          <w:lang w:val="hy-AM"/>
        </w:rPr>
        <w:t>.</w:t>
      </w:r>
    </w:p>
    <w:p w14:paraId="47C79EDC" w14:textId="77777777" w:rsidR="00C00B89" w:rsidRPr="00EE5F0F" w:rsidRDefault="00C00B89" w:rsidP="00565F75">
      <w:pPr>
        <w:autoSpaceDE w:val="0"/>
        <w:autoSpaceDN w:val="0"/>
        <w:adjustRightInd w:val="0"/>
        <w:spacing w:after="120" w:line="280" w:lineRule="atLeast"/>
        <w:jc w:val="center"/>
        <w:rPr>
          <w:rFonts w:ascii="Garamond" w:hAnsi="Garamond" w:cs="Sylfaen"/>
          <w:i/>
          <w:sz w:val="22"/>
          <w:szCs w:val="22"/>
          <w:lang w:val="hy-AM"/>
        </w:rPr>
      </w:pPr>
      <w:proofErr w:type="spellStart"/>
      <w:r w:rsidRPr="00EE5F0F">
        <w:rPr>
          <w:rFonts w:ascii="Garamond" w:hAnsi="Garamond" w:cs="Sylfaen"/>
          <w:i/>
          <w:sz w:val="22"/>
          <w:szCs w:val="22"/>
          <w:lang w:val="hy-AM"/>
        </w:rPr>
        <w:t>Projections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this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report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are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based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actual</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information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available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by</w:t>
      </w:r>
      <w:proofErr w:type="spellEnd"/>
      <w:r w:rsidRPr="00EE5F0F">
        <w:rPr>
          <w:rFonts w:ascii="Garamond" w:hAnsi="Garamond" w:cs="Sylfaen"/>
          <w:i/>
          <w:sz w:val="22"/>
          <w:szCs w:val="22"/>
          <w:lang w:val="hy-AM"/>
        </w:rPr>
        <w:t xml:space="preserve"> </w:t>
      </w:r>
      <w:r w:rsidR="005E6832">
        <w:rPr>
          <w:rFonts w:ascii="Garamond" w:hAnsi="Garamond" w:cs="Sylfaen"/>
          <w:i/>
          <w:sz w:val="22"/>
          <w:szCs w:val="22"/>
        </w:rPr>
        <w:t>March</w:t>
      </w:r>
      <w:r w:rsidRPr="00EE5F0F">
        <w:rPr>
          <w:rFonts w:ascii="Garamond" w:hAnsi="Garamond" w:cs="Sylfaen"/>
          <w:i/>
          <w:sz w:val="22"/>
          <w:szCs w:val="22"/>
          <w:lang w:val="hy-AM"/>
        </w:rPr>
        <w:t xml:space="preserve"> 1</w:t>
      </w:r>
      <w:r w:rsidR="005E6832">
        <w:rPr>
          <w:rFonts w:ascii="Garamond" w:hAnsi="Garamond" w:cs="Sylfaen"/>
          <w:i/>
          <w:sz w:val="22"/>
          <w:szCs w:val="22"/>
        </w:rPr>
        <w:t>7</w:t>
      </w:r>
      <w:r w:rsidRPr="00EE5F0F">
        <w:rPr>
          <w:rFonts w:ascii="Garamond" w:hAnsi="Garamond" w:cs="Sylfaen"/>
          <w:i/>
          <w:sz w:val="22"/>
          <w:szCs w:val="22"/>
          <w:lang w:val="hy-AM"/>
        </w:rPr>
        <w:t>, 20</w:t>
      </w:r>
      <w:r w:rsidR="005E6832">
        <w:rPr>
          <w:rFonts w:ascii="Garamond" w:hAnsi="Garamond" w:cs="Sylfaen"/>
          <w:i/>
          <w:sz w:val="22"/>
          <w:szCs w:val="22"/>
        </w:rPr>
        <w:t>20</w:t>
      </w:r>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day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which</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refinancing</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rate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was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set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results</w:t>
      </w:r>
      <w:proofErr w:type="spellEnd"/>
      <w:r w:rsidRPr="00EE5F0F">
        <w:rPr>
          <w:rFonts w:ascii="Garamond" w:hAnsi="Garamond" w:cs="Sylfaen"/>
          <w:i/>
          <w:sz w:val="22"/>
          <w:szCs w:val="22"/>
          <w:lang w:val="hy-AM"/>
        </w:rPr>
        <w:t xml:space="preserve"> of a </w:t>
      </w:r>
      <w:proofErr w:type="spellStart"/>
      <w:r w:rsidRPr="00EE5F0F">
        <w:rPr>
          <w:rFonts w:ascii="Garamond" w:hAnsi="Garamond" w:cs="Sylfaen"/>
          <w:i/>
          <w:sz w:val="22"/>
          <w:szCs w:val="22"/>
          <w:lang w:val="hy-AM"/>
        </w:rPr>
        <w:t>survey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conducted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by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Bank </w:t>
      </w:r>
      <w:proofErr w:type="spellStart"/>
      <w:r w:rsidRPr="00EE5F0F">
        <w:rPr>
          <w:rFonts w:ascii="Garamond" w:hAnsi="Garamond" w:cs="Sylfaen"/>
          <w:i/>
          <w:sz w:val="22"/>
          <w:szCs w:val="22"/>
          <w:lang w:val="hy-AM"/>
        </w:rPr>
        <w:t>and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judgment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made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pursuant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to</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information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future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developments</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macroeconomic</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environment</w:t>
      </w:r>
      <w:proofErr w:type="spellEnd"/>
      <w:r w:rsidRPr="00EE5F0F">
        <w:rPr>
          <w:rFonts w:ascii="Garamond" w:hAnsi="Garamond" w:cs="Sylfaen"/>
          <w:i/>
          <w:sz w:val="22"/>
          <w:szCs w:val="22"/>
          <w:lang w:val="hy-AM"/>
        </w:rPr>
        <w:t>.</w:t>
      </w:r>
    </w:p>
    <w:p w14:paraId="1BE22E8C" w14:textId="77777777" w:rsidR="00C00B89" w:rsidRPr="00EE5F0F" w:rsidRDefault="00C00B89" w:rsidP="00565F75">
      <w:pPr>
        <w:autoSpaceDE w:val="0"/>
        <w:autoSpaceDN w:val="0"/>
        <w:adjustRightInd w:val="0"/>
        <w:spacing w:after="120" w:line="360" w:lineRule="auto"/>
        <w:jc w:val="center"/>
        <w:rPr>
          <w:rFonts w:ascii="Garamond" w:hAnsi="Garamond"/>
          <w:b/>
          <w:color w:val="0070C0"/>
          <w:sz w:val="22"/>
          <w:szCs w:val="22"/>
        </w:rPr>
      </w:pPr>
      <w:proofErr w:type="spellStart"/>
      <w:r w:rsidRPr="00EE5F0F">
        <w:rPr>
          <w:rFonts w:ascii="Garamond" w:hAnsi="Garamond" w:cs="Sylfaen"/>
          <w:i/>
          <w:sz w:val="22"/>
          <w:szCs w:val="22"/>
          <w:lang w:val="hy-AM"/>
        </w:rPr>
        <w:t>All</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inflation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reports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which</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have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been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published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to</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date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are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available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Bank’s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website</w:t>
      </w:r>
      <w:proofErr w:type="spellEnd"/>
      <w:r w:rsidRPr="00EE5F0F">
        <w:rPr>
          <w:rFonts w:ascii="Garamond" w:hAnsi="Garamond" w:cs="Sylfaen"/>
          <w:i/>
          <w:sz w:val="22"/>
          <w:szCs w:val="22"/>
          <w:lang w:val="hy-AM"/>
        </w:rPr>
        <w:t xml:space="preserve"> </w:t>
      </w:r>
      <w:r w:rsidR="003B11A6">
        <w:rPr>
          <w:rFonts w:ascii="Garamond" w:hAnsi="Garamond" w:cs="Sylfaen"/>
          <w:i/>
          <w:sz w:val="22"/>
          <w:szCs w:val="22"/>
        </w:rPr>
        <w:t xml:space="preserve">(www.cba.am) </w:t>
      </w:r>
      <w:proofErr w:type="spellStart"/>
      <w:r w:rsidRPr="00EE5F0F">
        <w:rPr>
          <w:rFonts w:ascii="Garamond" w:hAnsi="Garamond" w:cs="Sylfaen"/>
          <w:i/>
          <w:sz w:val="22"/>
          <w:szCs w:val="22"/>
          <w:lang w:val="hy-AM"/>
        </w:rPr>
        <w:t>which</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also</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contains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all</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press-releases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and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other</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monetary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policy-related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publications</w:t>
      </w:r>
      <w:proofErr w:type="spellEnd"/>
      <w:r w:rsidRPr="00EE5F0F">
        <w:rPr>
          <w:rFonts w:ascii="Garamond" w:hAnsi="Garamond" w:cs="Sylfaen"/>
          <w:i/>
          <w:sz w:val="22"/>
          <w:szCs w:val="22"/>
          <w:lang w:val="hy-AM"/>
        </w:rPr>
        <w:t>.</w:t>
      </w:r>
    </w:p>
    <w:p w14:paraId="6A05A809" w14:textId="77777777" w:rsidR="00C00B89" w:rsidRDefault="00C00B89" w:rsidP="00EE619D">
      <w:pPr>
        <w:autoSpaceDE w:val="0"/>
        <w:autoSpaceDN w:val="0"/>
        <w:adjustRightInd w:val="0"/>
        <w:spacing w:after="120" w:line="360" w:lineRule="auto"/>
        <w:jc w:val="both"/>
        <w:rPr>
          <w:rFonts w:ascii="Garamond" w:hAnsi="Garamond"/>
          <w:b/>
          <w:color w:val="0070C0"/>
          <w:sz w:val="22"/>
          <w:szCs w:val="22"/>
        </w:rPr>
      </w:pPr>
    </w:p>
    <w:p w14:paraId="5A39BBE3" w14:textId="77777777" w:rsidR="006629EC" w:rsidRDefault="006629EC" w:rsidP="00EE619D">
      <w:pPr>
        <w:autoSpaceDE w:val="0"/>
        <w:autoSpaceDN w:val="0"/>
        <w:adjustRightInd w:val="0"/>
        <w:spacing w:after="120" w:line="360" w:lineRule="auto"/>
        <w:jc w:val="both"/>
        <w:rPr>
          <w:rFonts w:ascii="Garamond" w:hAnsi="Garamond"/>
          <w:b/>
          <w:color w:val="0070C0"/>
          <w:sz w:val="22"/>
          <w:szCs w:val="22"/>
        </w:rPr>
      </w:pPr>
    </w:p>
    <w:p w14:paraId="41C8F396" w14:textId="77777777" w:rsidR="006629EC" w:rsidRPr="00EE5F0F" w:rsidRDefault="006629EC" w:rsidP="00EE619D">
      <w:pPr>
        <w:autoSpaceDE w:val="0"/>
        <w:autoSpaceDN w:val="0"/>
        <w:adjustRightInd w:val="0"/>
        <w:spacing w:after="120" w:line="360" w:lineRule="auto"/>
        <w:jc w:val="both"/>
        <w:rPr>
          <w:rFonts w:ascii="Garamond" w:hAnsi="Garamond"/>
          <w:b/>
          <w:color w:val="0070C0"/>
          <w:sz w:val="22"/>
          <w:szCs w:val="22"/>
        </w:rPr>
      </w:pPr>
    </w:p>
    <w:tbl>
      <w:tblPr>
        <w:tblW w:w="6345" w:type="dxa"/>
        <w:tblBorders>
          <w:top w:val="nil"/>
          <w:left w:val="nil"/>
          <w:bottom w:val="nil"/>
          <w:right w:val="nil"/>
          <w:insideH w:val="single" w:sz="18" w:space="0" w:color="FFFFFF"/>
          <w:insideV w:val="single" w:sz="18" w:space="0" w:color="FFFFFF"/>
        </w:tblBorders>
        <w:tblLook w:val="00A0" w:firstRow="1" w:lastRow="0" w:firstColumn="1" w:lastColumn="0" w:noHBand="0" w:noVBand="0"/>
      </w:tblPr>
      <w:tblGrid>
        <w:gridCol w:w="6345"/>
      </w:tblGrid>
      <w:tr w:rsidR="007B1D1B" w:rsidRPr="00565F75" w14:paraId="22E0FC93" w14:textId="77777777" w:rsidTr="00525AE5">
        <w:tc>
          <w:tcPr>
            <w:tcW w:w="6345" w:type="dxa"/>
            <w:shd w:val="clear" w:color="auto" w:fill="D9D9D9"/>
          </w:tcPr>
          <w:p w14:paraId="6C6BDF47" w14:textId="77777777" w:rsidR="007B1D1B" w:rsidRPr="00565F75" w:rsidRDefault="00246D70" w:rsidP="00525AE5">
            <w:pPr>
              <w:pStyle w:val="Heading1"/>
              <w:spacing w:before="60" w:after="60" w:line="240" w:lineRule="atLeast"/>
              <w:jc w:val="center"/>
              <w:rPr>
                <w:rFonts w:ascii="Garamond" w:hAnsi="Garamond"/>
                <w:bCs/>
                <w:color w:val="auto"/>
                <w:spacing w:val="40"/>
                <w:w w:val="150"/>
                <w:kern w:val="22"/>
                <w:sz w:val="20"/>
                <w:szCs w:val="20"/>
                <w:u w:val="none"/>
              </w:rPr>
            </w:pPr>
            <w:r>
              <w:rPr>
                <w:rFonts w:ascii="Garamond" w:hAnsi="Garamond"/>
                <w:bCs/>
                <w:color w:val="1F497D" w:themeColor="text2"/>
                <w:spacing w:val="40"/>
                <w:w w:val="150"/>
                <w:kern w:val="22"/>
                <w:sz w:val="20"/>
                <w:szCs w:val="20"/>
                <w:u w:val="none"/>
                <w:lang w:val="en-US"/>
              </w:rPr>
              <w:t xml:space="preserve">Table </w:t>
            </w:r>
            <w:r w:rsidR="007B1D1B" w:rsidRPr="00565F75">
              <w:rPr>
                <w:rFonts w:ascii="Garamond" w:hAnsi="Garamond"/>
                <w:bCs/>
                <w:color w:val="1F497D" w:themeColor="text2"/>
                <w:spacing w:val="40"/>
                <w:w w:val="150"/>
                <w:kern w:val="22"/>
                <w:sz w:val="20"/>
                <w:szCs w:val="20"/>
                <w:u w:val="none"/>
                <w:lang w:val="en-US"/>
              </w:rPr>
              <w:t>of Contents</w:t>
            </w:r>
          </w:p>
        </w:tc>
      </w:tr>
    </w:tbl>
    <w:tbl>
      <w:tblPr>
        <w:tblpPr w:leftFromText="180" w:rightFromText="180" w:vertAnchor="text" w:tblpY="1"/>
        <w:tblOverlap w:val="never"/>
        <w:tblW w:w="6537" w:type="dxa"/>
        <w:tblBorders>
          <w:top w:val="nil"/>
          <w:left w:val="nil"/>
          <w:bottom w:val="nil"/>
          <w:right w:val="nil"/>
          <w:insideH w:val="single" w:sz="18" w:space="0" w:color="FFFFFF"/>
          <w:insideV w:val="single" w:sz="18" w:space="0" w:color="FFFFFF"/>
        </w:tblBorders>
        <w:tblLook w:val="00A0" w:firstRow="1" w:lastRow="0" w:firstColumn="1" w:lastColumn="0" w:noHBand="0" w:noVBand="0"/>
      </w:tblPr>
      <w:tblGrid>
        <w:gridCol w:w="6055"/>
        <w:gridCol w:w="482"/>
      </w:tblGrid>
      <w:tr w:rsidR="007B1D1B" w:rsidRPr="00565F75" w14:paraId="55E5BA53" w14:textId="77777777" w:rsidTr="00246D70">
        <w:trPr>
          <w:trHeight w:val="287"/>
        </w:trPr>
        <w:tc>
          <w:tcPr>
            <w:tcW w:w="6055" w:type="dxa"/>
            <w:shd w:val="pct20" w:color="000000" w:fill="FFFFFF"/>
          </w:tcPr>
          <w:p w14:paraId="2A9FAF83" w14:textId="77777777" w:rsidR="007B1D1B" w:rsidRPr="00565F75" w:rsidRDefault="007B1D1B" w:rsidP="005E6832">
            <w:pPr>
              <w:spacing w:before="50" w:after="50"/>
              <w:ind w:left="284" w:right="-113" w:hanging="284"/>
              <w:rPr>
                <w:rFonts w:ascii="Garamond" w:hAnsi="Garamond"/>
                <w:b/>
                <w:color w:val="1F497D" w:themeColor="text2"/>
                <w:sz w:val="20"/>
                <w:szCs w:val="20"/>
              </w:rPr>
            </w:pPr>
            <w:r w:rsidRPr="00565F75">
              <w:rPr>
                <w:rFonts w:ascii="Garamond" w:hAnsi="Garamond"/>
                <w:b/>
                <w:color w:val="1F497D" w:themeColor="text2"/>
                <w:sz w:val="20"/>
                <w:szCs w:val="20"/>
              </w:rPr>
              <w:t>1. Executive summary</w:t>
            </w:r>
            <w:r w:rsidRPr="00565F75">
              <w:rPr>
                <w:rFonts w:ascii="Garamond" w:hAnsi="Garamond"/>
                <w:bCs/>
                <w:color w:val="1F497D" w:themeColor="text2"/>
                <w:sz w:val="20"/>
                <w:szCs w:val="20"/>
              </w:rPr>
              <w:t>...............................................................................</w:t>
            </w:r>
          </w:p>
        </w:tc>
        <w:tc>
          <w:tcPr>
            <w:tcW w:w="482" w:type="dxa"/>
            <w:shd w:val="pct20" w:color="000000" w:fill="FFFFFF"/>
            <w:vAlign w:val="bottom"/>
          </w:tcPr>
          <w:p w14:paraId="72A3D3EC" w14:textId="77777777" w:rsidR="007B1D1B" w:rsidRPr="00565F75" w:rsidRDefault="007B1D1B" w:rsidP="005E6832">
            <w:pPr>
              <w:spacing w:before="50" w:after="50"/>
              <w:jc w:val="right"/>
              <w:rPr>
                <w:rFonts w:ascii="Garamond" w:hAnsi="Garamond"/>
                <w:b/>
                <w:bCs/>
                <w:color w:val="1F497D" w:themeColor="text2"/>
                <w:sz w:val="20"/>
                <w:szCs w:val="20"/>
              </w:rPr>
            </w:pPr>
          </w:p>
        </w:tc>
      </w:tr>
      <w:tr w:rsidR="007B1D1B" w:rsidRPr="00565F75" w14:paraId="252FF539" w14:textId="77777777" w:rsidTr="00246D70">
        <w:trPr>
          <w:trHeight w:val="287"/>
        </w:trPr>
        <w:tc>
          <w:tcPr>
            <w:tcW w:w="6055" w:type="dxa"/>
            <w:shd w:val="pct5" w:color="000000" w:fill="FFFFFF"/>
          </w:tcPr>
          <w:p w14:paraId="1D5108D2" w14:textId="77777777" w:rsidR="007B1D1B" w:rsidRPr="00565F75" w:rsidRDefault="007B1D1B" w:rsidP="005E6832">
            <w:pPr>
              <w:spacing w:before="50" w:after="50"/>
              <w:ind w:right="-151"/>
              <w:rPr>
                <w:rFonts w:ascii="Garamond" w:hAnsi="Garamond"/>
                <w:b/>
                <w:color w:val="1F497D" w:themeColor="text2"/>
                <w:sz w:val="20"/>
                <w:szCs w:val="20"/>
              </w:rPr>
            </w:pPr>
            <w:r w:rsidRPr="00565F75">
              <w:rPr>
                <w:rFonts w:ascii="Garamond" w:hAnsi="Garamond" w:cs="Sylfaen"/>
                <w:b/>
                <w:color w:val="1F497D" w:themeColor="text2"/>
                <w:sz w:val="20"/>
                <w:szCs w:val="20"/>
              </w:rPr>
              <w:t>2. Forecast, forecast changes and risks</w:t>
            </w:r>
            <w:r w:rsidRPr="00565F75">
              <w:rPr>
                <w:rFonts w:ascii="Garamond" w:hAnsi="Garamond" w:cs="Sylfaen"/>
                <w:color w:val="1F497D" w:themeColor="text2"/>
                <w:sz w:val="20"/>
                <w:szCs w:val="20"/>
              </w:rPr>
              <w:t>..................................................</w:t>
            </w:r>
          </w:p>
        </w:tc>
        <w:tc>
          <w:tcPr>
            <w:tcW w:w="482" w:type="dxa"/>
            <w:shd w:val="pct5" w:color="000000" w:fill="FFFFFF"/>
            <w:vAlign w:val="bottom"/>
          </w:tcPr>
          <w:p w14:paraId="0D0B940D" w14:textId="77777777" w:rsidR="007B1D1B" w:rsidRPr="00565F75" w:rsidRDefault="007B1D1B" w:rsidP="005E6832">
            <w:pPr>
              <w:spacing w:before="50" w:after="50"/>
              <w:ind w:hanging="284"/>
              <w:jc w:val="right"/>
              <w:rPr>
                <w:rFonts w:ascii="Garamond" w:hAnsi="Garamond"/>
                <w:b/>
                <w:bCs/>
                <w:color w:val="1F497D" w:themeColor="text2"/>
                <w:sz w:val="20"/>
                <w:szCs w:val="20"/>
              </w:rPr>
            </w:pPr>
          </w:p>
        </w:tc>
      </w:tr>
      <w:tr w:rsidR="005E6832" w:rsidRPr="00565F75" w14:paraId="7F411BC4" w14:textId="77777777" w:rsidTr="00246D70">
        <w:trPr>
          <w:trHeight w:val="287"/>
        </w:trPr>
        <w:tc>
          <w:tcPr>
            <w:tcW w:w="6055" w:type="dxa"/>
            <w:shd w:val="pct20" w:color="000000" w:fill="FFFFFF"/>
          </w:tcPr>
          <w:p w14:paraId="46E08945" w14:textId="77777777" w:rsidR="005E6832" w:rsidRPr="003D300F" w:rsidRDefault="005E6832" w:rsidP="005E6832">
            <w:pPr>
              <w:pStyle w:val="Heading5"/>
              <w:spacing w:before="50" w:after="50"/>
              <w:ind w:left="1204" w:right="-113" w:hanging="920"/>
              <w:rPr>
                <w:rFonts w:ascii="Garamond" w:hAnsi="Garamond" w:cs="Sylfaen"/>
                <w:i/>
                <w:color w:val="1F497D" w:themeColor="text2"/>
                <w:sz w:val="20"/>
                <w:szCs w:val="20"/>
              </w:rPr>
            </w:pPr>
            <w:r w:rsidRPr="00565F75">
              <w:rPr>
                <w:rFonts w:ascii="Garamond" w:hAnsi="Garamond" w:cs="Sylfaen"/>
                <w:i/>
                <w:color w:val="1F497D" w:themeColor="text2"/>
                <w:sz w:val="20"/>
                <w:szCs w:val="20"/>
              </w:rPr>
              <w:t xml:space="preserve">Box </w:t>
            </w:r>
            <w:r>
              <w:rPr>
                <w:rFonts w:ascii="Garamond" w:hAnsi="Garamond" w:cs="Sylfaen"/>
                <w:i/>
                <w:color w:val="1F497D" w:themeColor="text2"/>
                <w:sz w:val="20"/>
                <w:szCs w:val="20"/>
              </w:rPr>
              <w:t xml:space="preserve">1: </w:t>
            </w:r>
            <w:r w:rsidRPr="005E6832">
              <w:rPr>
                <w:rFonts w:ascii="Garamond" w:hAnsi="Garamond" w:cs="Sylfaen"/>
                <w:i/>
                <w:color w:val="1F497D" w:themeColor="text2"/>
                <w:sz w:val="20"/>
                <w:szCs w:val="20"/>
              </w:rPr>
              <w:t>The impact of coronavirus on the world economy</w:t>
            </w:r>
            <w:r>
              <w:rPr>
                <w:rFonts w:ascii="Garamond" w:hAnsi="Garamond" w:cs="Sylfaen"/>
                <w:i/>
                <w:color w:val="1F497D" w:themeColor="text2"/>
                <w:sz w:val="20"/>
                <w:szCs w:val="20"/>
              </w:rPr>
              <w:t xml:space="preserve"> </w:t>
            </w:r>
            <w:r w:rsidRPr="00565F75">
              <w:rPr>
                <w:rFonts w:ascii="Garamond" w:hAnsi="Garamond" w:cs="Sylfaen"/>
                <w:color w:val="1F497D" w:themeColor="text2"/>
                <w:sz w:val="20"/>
                <w:szCs w:val="20"/>
              </w:rPr>
              <w:t>..............................</w:t>
            </w:r>
          </w:p>
        </w:tc>
        <w:tc>
          <w:tcPr>
            <w:tcW w:w="482" w:type="dxa"/>
            <w:shd w:val="pct20" w:color="000000" w:fill="FFFFFF"/>
            <w:vAlign w:val="bottom"/>
          </w:tcPr>
          <w:p w14:paraId="0E27B00A" w14:textId="77777777" w:rsidR="005E6832" w:rsidRPr="00565F75" w:rsidRDefault="005E6832" w:rsidP="005E6832">
            <w:pPr>
              <w:spacing w:before="50" w:after="50"/>
              <w:ind w:hanging="284"/>
              <w:jc w:val="right"/>
              <w:rPr>
                <w:rFonts w:ascii="Garamond" w:hAnsi="Garamond"/>
                <w:b/>
                <w:bCs/>
                <w:color w:val="1F497D" w:themeColor="text2"/>
                <w:sz w:val="20"/>
                <w:szCs w:val="20"/>
              </w:rPr>
            </w:pPr>
          </w:p>
        </w:tc>
      </w:tr>
      <w:tr w:rsidR="005E6832" w:rsidRPr="00565F75" w14:paraId="71150472" w14:textId="77777777" w:rsidTr="00246D70">
        <w:trPr>
          <w:trHeight w:val="287"/>
        </w:trPr>
        <w:tc>
          <w:tcPr>
            <w:tcW w:w="6055" w:type="dxa"/>
            <w:shd w:val="pct5" w:color="000000" w:fill="FFFFFF"/>
          </w:tcPr>
          <w:p w14:paraId="20F99A6C" w14:textId="77777777" w:rsidR="005E6832" w:rsidRPr="00565F75" w:rsidRDefault="005E6832" w:rsidP="005E6832">
            <w:pPr>
              <w:spacing w:before="50" w:after="50"/>
              <w:ind w:right="-151"/>
              <w:rPr>
                <w:rFonts w:ascii="Garamond" w:hAnsi="Garamond" w:cs="Sylfaen"/>
                <w:b/>
                <w:color w:val="1F497D" w:themeColor="text2"/>
                <w:sz w:val="20"/>
                <w:szCs w:val="20"/>
              </w:rPr>
            </w:pPr>
            <w:r w:rsidRPr="00565F75">
              <w:rPr>
                <w:rFonts w:ascii="Garamond" w:hAnsi="Garamond" w:cs="Sylfaen"/>
                <w:b/>
                <w:i/>
                <w:color w:val="1F497D" w:themeColor="text2"/>
                <w:sz w:val="20"/>
                <w:szCs w:val="20"/>
              </w:rPr>
              <w:t>2.1. External environment</w:t>
            </w:r>
            <w:r w:rsidRPr="00565F75">
              <w:rPr>
                <w:rFonts w:ascii="Garamond" w:hAnsi="Garamond"/>
                <w:bCs/>
                <w:color w:val="1F497D" w:themeColor="text2"/>
                <w:sz w:val="20"/>
                <w:szCs w:val="20"/>
              </w:rPr>
              <w:t>......................................................................</w:t>
            </w:r>
          </w:p>
        </w:tc>
        <w:tc>
          <w:tcPr>
            <w:tcW w:w="482" w:type="dxa"/>
            <w:shd w:val="pct5" w:color="000000" w:fill="FFFFFF"/>
            <w:vAlign w:val="bottom"/>
          </w:tcPr>
          <w:p w14:paraId="60061E4C" w14:textId="77777777" w:rsidR="005E6832" w:rsidRPr="00565F75" w:rsidRDefault="005E6832" w:rsidP="005E6832">
            <w:pPr>
              <w:spacing w:before="50" w:after="50"/>
              <w:ind w:hanging="284"/>
              <w:jc w:val="right"/>
              <w:rPr>
                <w:rFonts w:ascii="Garamond" w:hAnsi="Garamond"/>
                <w:b/>
                <w:bCs/>
                <w:color w:val="1F497D" w:themeColor="text2"/>
                <w:sz w:val="20"/>
                <w:szCs w:val="20"/>
              </w:rPr>
            </w:pPr>
          </w:p>
        </w:tc>
      </w:tr>
      <w:tr w:rsidR="007B1D1B" w:rsidRPr="00565F75" w14:paraId="7F4CACED" w14:textId="77777777" w:rsidTr="00246D70">
        <w:trPr>
          <w:trHeight w:val="276"/>
        </w:trPr>
        <w:tc>
          <w:tcPr>
            <w:tcW w:w="6055" w:type="dxa"/>
            <w:shd w:val="pct20" w:color="000000" w:fill="FFFFFF"/>
          </w:tcPr>
          <w:p w14:paraId="30D355D3" w14:textId="77777777" w:rsidR="007B1D1B" w:rsidRPr="00565F75" w:rsidRDefault="007B1D1B" w:rsidP="005E6832">
            <w:pPr>
              <w:spacing w:before="50" w:after="50"/>
              <w:ind w:left="431" w:right="-113" w:hanging="318"/>
              <w:rPr>
                <w:rFonts w:ascii="Garamond" w:hAnsi="Garamond"/>
                <w:color w:val="1F497D" w:themeColor="text2"/>
                <w:sz w:val="20"/>
                <w:szCs w:val="20"/>
              </w:rPr>
            </w:pPr>
            <w:r w:rsidRPr="00565F75">
              <w:rPr>
                <w:rFonts w:ascii="Garamond" w:hAnsi="Garamond" w:cs="Sylfaen"/>
                <w:b/>
                <w:i/>
                <w:color w:val="1F497D" w:themeColor="text2"/>
                <w:sz w:val="20"/>
                <w:szCs w:val="20"/>
              </w:rPr>
              <w:t>2.2. Forecasts</w:t>
            </w:r>
            <w:r w:rsidRPr="00565F75">
              <w:rPr>
                <w:rFonts w:ascii="Garamond" w:hAnsi="Garamond"/>
                <w:bCs/>
                <w:color w:val="1F497D" w:themeColor="text2"/>
                <w:sz w:val="20"/>
                <w:szCs w:val="20"/>
              </w:rPr>
              <w:t>..........................................................................................</w:t>
            </w:r>
          </w:p>
        </w:tc>
        <w:tc>
          <w:tcPr>
            <w:tcW w:w="482" w:type="dxa"/>
            <w:shd w:val="pct20" w:color="000000" w:fill="FFFFFF"/>
            <w:vAlign w:val="bottom"/>
          </w:tcPr>
          <w:p w14:paraId="44EAFD9C" w14:textId="77777777" w:rsidR="007B1D1B" w:rsidRPr="00565F75" w:rsidRDefault="007B1D1B" w:rsidP="005E6832">
            <w:pPr>
              <w:spacing w:before="50" w:after="50"/>
              <w:ind w:hanging="284"/>
              <w:jc w:val="right"/>
              <w:rPr>
                <w:rFonts w:ascii="Garamond" w:hAnsi="Garamond"/>
                <w:b/>
                <w:bCs/>
                <w:color w:val="1F497D" w:themeColor="text2"/>
                <w:sz w:val="20"/>
                <w:szCs w:val="20"/>
              </w:rPr>
            </w:pPr>
          </w:p>
        </w:tc>
      </w:tr>
      <w:tr w:rsidR="005E6832" w:rsidRPr="00565F75" w14:paraId="16139882" w14:textId="77777777" w:rsidTr="00246D70">
        <w:trPr>
          <w:trHeight w:val="287"/>
        </w:trPr>
        <w:tc>
          <w:tcPr>
            <w:tcW w:w="6055" w:type="dxa"/>
            <w:shd w:val="pct20" w:color="000000" w:fill="FFFFFF"/>
          </w:tcPr>
          <w:p w14:paraId="5B89092B" w14:textId="77777777" w:rsidR="005E6832" w:rsidRPr="00565F75" w:rsidRDefault="005E6832" w:rsidP="005E6832">
            <w:pPr>
              <w:spacing w:before="50" w:after="50"/>
              <w:ind w:left="431" w:right="-113" w:hanging="318"/>
              <w:rPr>
                <w:rFonts w:ascii="Garamond" w:hAnsi="Garamond" w:cs="Sylfaen"/>
                <w:b/>
                <w:i/>
                <w:color w:val="1F497D" w:themeColor="text2"/>
                <w:sz w:val="20"/>
                <w:szCs w:val="20"/>
              </w:rPr>
            </w:pPr>
            <w:r w:rsidRPr="00565F75">
              <w:rPr>
                <w:rFonts w:ascii="Garamond" w:hAnsi="Garamond" w:cs="Sylfaen"/>
                <w:i/>
                <w:color w:val="1F497D" w:themeColor="text2"/>
                <w:sz w:val="20"/>
                <w:szCs w:val="20"/>
              </w:rPr>
              <w:t xml:space="preserve">Box </w:t>
            </w:r>
            <w:r>
              <w:rPr>
                <w:rFonts w:ascii="Garamond" w:hAnsi="Garamond" w:cs="Sylfaen"/>
                <w:i/>
                <w:color w:val="1F497D" w:themeColor="text2"/>
                <w:sz w:val="20"/>
                <w:szCs w:val="20"/>
              </w:rPr>
              <w:t xml:space="preserve">2: </w:t>
            </w:r>
            <w:r w:rsidRPr="005E6832">
              <w:rPr>
                <w:rFonts w:ascii="Garamond" w:hAnsi="Garamond" w:cs="Sylfaen"/>
                <w:i/>
                <w:color w:val="1F497D" w:themeColor="text2"/>
                <w:sz w:val="20"/>
                <w:szCs w:val="20"/>
              </w:rPr>
              <w:t xml:space="preserve">The impact of coronavirus on the </w:t>
            </w:r>
            <w:r>
              <w:rPr>
                <w:rFonts w:ascii="Garamond" w:hAnsi="Garamond" w:cs="Sylfaen"/>
                <w:i/>
                <w:color w:val="1F497D" w:themeColor="text2"/>
                <w:sz w:val="20"/>
                <w:szCs w:val="20"/>
              </w:rPr>
              <w:t xml:space="preserve">Armenian </w:t>
            </w:r>
            <w:r w:rsidRPr="005E6832">
              <w:rPr>
                <w:rFonts w:ascii="Garamond" w:hAnsi="Garamond" w:cs="Sylfaen"/>
                <w:i/>
                <w:color w:val="1F497D" w:themeColor="text2"/>
                <w:sz w:val="20"/>
                <w:szCs w:val="20"/>
              </w:rPr>
              <w:t>economy</w:t>
            </w:r>
            <w:r>
              <w:rPr>
                <w:rFonts w:ascii="Garamond" w:hAnsi="Garamond" w:cs="Sylfaen"/>
                <w:i/>
                <w:color w:val="1F497D" w:themeColor="text2"/>
                <w:sz w:val="20"/>
                <w:szCs w:val="20"/>
              </w:rPr>
              <w:t xml:space="preserve"> </w:t>
            </w:r>
            <w:r w:rsidRPr="00565F75">
              <w:rPr>
                <w:rFonts w:ascii="Garamond" w:hAnsi="Garamond" w:cs="Sylfaen"/>
                <w:color w:val="1F497D" w:themeColor="text2"/>
                <w:sz w:val="20"/>
                <w:szCs w:val="20"/>
              </w:rPr>
              <w:t>..............................</w:t>
            </w:r>
          </w:p>
        </w:tc>
        <w:tc>
          <w:tcPr>
            <w:tcW w:w="482" w:type="dxa"/>
            <w:shd w:val="pct20" w:color="000000" w:fill="FFFFFF"/>
            <w:vAlign w:val="bottom"/>
          </w:tcPr>
          <w:p w14:paraId="4B94D5A5" w14:textId="77777777" w:rsidR="005E6832" w:rsidRPr="00565F75" w:rsidRDefault="005E6832" w:rsidP="005E6832">
            <w:pPr>
              <w:spacing w:before="50" w:after="50"/>
              <w:ind w:hanging="284"/>
              <w:jc w:val="right"/>
              <w:rPr>
                <w:rFonts w:ascii="Garamond" w:hAnsi="Garamond"/>
                <w:b/>
                <w:bCs/>
                <w:color w:val="1F497D" w:themeColor="text2"/>
                <w:sz w:val="20"/>
                <w:szCs w:val="20"/>
              </w:rPr>
            </w:pPr>
          </w:p>
        </w:tc>
      </w:tr>
      <w:tr w:rsidR="007B1D1B" w:rsidRPr="00565F75" w14:paraId="6FE36D9A" w14:textId="77777777" w:rsidTr="00246D70">
        <w:trPr>
          <w:trHeight w:val="287"/>
        </w:trPr>
        <w:tc>
          <w:tcPr>
            <w:tcW w:w="6055" w:type="dxa"/>
            <w:shd w:val="pct5" w:color="000000" w:fill="FFFFFF"/>
          </w:tcPr>
          <w:p w14:paraId="2DF8CEC5" w14:textId="77777777" w:rsidR="007B1D1B" w:rsidRPr="00565F75" w:rsidRDefault="007B1D1B" w:rsidP="005E6832">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2.2.1. Inflation and monetary policy</w:t>
            </w:r>
            <w:r w:rsidRPr="00565F75">
              <w:rPr>
                <w:rFonts w:ascii="Garamond" w:hAnsi="Garamond"/>
                <w:bCs/>
                <w:color w:val="1F497D" w:themeColor="text2"/>
                <w:sz w:val="20"/>
                <w:szCs w:val="20"/>
              </w:rPr>
              <w:t>.....................................................</w:t>
            </w:r>
          </w:p>
        </w:tc>
        <w:tc>
          <w:tcPr>
            <w:tcW w:w="482" w:type="dxa"/>
            <w:shd w:val="pct5" w:color="000000" w:fill="FFFFFF"/>
            <w:vAlign w:val="bottom"/>
          </w:tcPr>
          <w:p w14:paraId="3DEEC669" w14:textId="77777777" w:rsidR="007B1D1B" w:rsidRPr="00565F75" w:rsidRDefault="007B1D1B" w:rsidP="005E6832">
            <w:pPr>
              <w:spacing w:before="50" w:after="50"/>
              <w:ind w:hanging="284"/>
              <w:jc w:val="right"/>
              <w:rPr>
                <w:rFonts w:ascii="Garamond" w:hAnsi="Garamond"/>
                <w:b/>
                <w:bCs/>
                <w:color w:val="1F497D" w:themeColor="text2"/>
                <w:sz w:val="20"/>
                <w:szCs w:val="20"/>
              </w:rPr>
            </w:pPr>
          </w:p>
        </w:tc>
      </w:tr>
      <w:tr w:rsidR="005E6832" w:rsidRPr="00565F75" w14:paraId="45EBF906" w14:textId="77777777" w:rsidTr="00246D70">
        <w:trPr>
          <w:trHeight w:val="287"/>
        </w:trPr>
        <w:tc>
          <w:tcPr>
            <w:tcW w:w="6055" w:type="dxa"/>
            <w:shd w:val="pct5" w:color="000000" w:fill="FFFFFF"/>
          </w:tcPr>
          <w:p w14:paraId="49710B2A" w14:textId="77777777" w:rsidR="005E6832" w:rsidRPr="00565F75" w:rsidRDefault="00AD6A9D" w:rsidP="00AD6A9D">
            <w:pPr>
              <w:spacing w:before="50" w:after="50"/>
              <w:ind w:left="431" w:right="-113" w:hanging="147"/>
              <w:rPr>
                <w:rFonts w:ascii="Garamond" w:hAnsi="Garamond" w:cs="Sylfaen"/>
                <w:i/>
                <w:color w:val="1F497D" w:themeColor="text2"/>
                <w:sz w:val="20"/>
                <w:szCs w:val="20"/>
              </w:rPr>
            </w:pPr>
            <w:r>
              <w:rPr>
                <w:rFonts w:ascii="Garamond" w:hAnsi="Garamond" w:cs="Sylfaen"/>
                <w:i/>
                <w:color w:val="1F497D" w:themeColor="text2"/>
                <w:sz w:val="20"/>
                <w:szCs w:val="20"/>
              </w:rPr>
              <w:t>Box</w:t>
            </w:r>
            <w:r w:rsidRPr="00AD6A9D">
              <w:rPr>
                <w:rFonts w:ascii="Garamond" w:hAnsi="Garamond" w:cs="Sylfaen"/>
                <w:i/>
                <w:color w:val="1F497D" w:themeColor="text2"/>
                <w:sz w:val="20"/>
                <w:szCs w:val="20"/>
              </w:rPr>
              <w:t xml:space="preserve"> 3</w:t>
            </w:r>
            <w:r>
              <w:rPr>
                <w:rFonts w:ascii="Garamond" w:hAnsi="Garamond" w:cs="Sylfaen"/>
                <w:i/>
                <w:color w:val="1F497D" w:themeColor="text2"/>
                <w:sz w:val="20"/>
                <w:szCs w:val="20"/>
              </w:rPr>
              <w:t>:</w:t>
            </w:r>
            <w:r w:rsidRPr="00AD6A9D">
              <w:rPr>
                <w:rFonts w:ascii="Garamond" w:hAnsi="Garamond" w:cs="Sylfaen"/>
                <w:i/>
                <w:color w:val="1F497D" w:themeColor="text2"/>
                <w:sz w:val="20"/>
                <w:szCs w:val="20"/>
              </w:rPr>
              <w:t xml:space="preserve"> Health shock modeling </w:t>
            </w:r>
            <w:r w:rsidR="00246D70">
              <w:rPr>
                <w:rFonts w:ascii="Garamond" w:hAnsi="Garamond" w:cs="Sylfaen"/>
                <w:i/>
                <w:color w:val="1F497D" w:themeColor="text2"/>
                <w:sz w:val="20"/>
                <w:szCs w:val="20"/>
              </w:rPr>
              <w:t>with</w:t>
            </w:r>
            <w:r>
              <w:rPr>
                <w:rFonts w:ascii="Garamond" w:hAnsi="Garamond" w:cs="Sylfaen"/>
                <w:i/>
                <w:color w:val="1F497D" w:themeColor="text2"/>
                <w:sz w:val="20"/>
                <w:szCs w:val="20"/>
              </w:rPr>
              <w:t xml:space="preserve">in the </w:t>
            </w:r>
            <w:r w:rsidRPr="00AD6A9D">
              <w:rPr>
                <w:rFonts w:ascii="Garamond" w:hAnsi="Garamond" w:cs="Sylfaen"/>
                <w:i/>
                <w:color w:val="1F497D" w:themeColor="text2"/>
                <w:sz w:val="20"/>
                <w:szCs w:val="20"/>
              </w:rPr>
              <w:t xml:space="preserve">New Keynesian </w:t>
            </w:r>
            <w:r>
              <w:rPr>
                <w:rFonts w:ascii="Garamond" w:hAnsi="Garamond" w:cs="Sylfaen"/>
                <w:i/>
                <w:color w:val="1F497D" w:themeColor="text2"/>
                <w:sz w:val="20"/>
                <w:szCs w:val="20"/>
              </w:rPr>
              <w:t xml:space="preserve">framework </w:t>
            </w:r>
          </w:p>
        </w:tc>
        <w:tc>
          <w:tcPr>
            <w:tcW w:w="482" w:type="dxa"/>
            <w:shd w:val="pct5" w:color="000000" w:fill="FFFFFF"/>
            <w:vAlign w:val="bottom"/>
          </w:tcPr>
          <w:p w14:paraId="3656B9AB" w14:textId="77777777" w:rsidR="005E6832" w:rsidRPr="00565F75" w:rsidRDefault="005E6832" w:rsidP="005E6832">
            <w:pPr>
              <w:spacing w:before="50" w:after="50"/>
              <w:ind w:hanging="284"/>
              <w:jc w:val="right"/>
              <w:rPr>
                <w:rFonts w:ascii="Garamond" w:hAnsi="Garamond"/>
                <w:b/>
                <w:bCs/>
                <w:color w:val="1F497D" w:themeColor="text2"/>
                <w:sz w:val="20"/>
                <w:szCs w:val="20"/>
              </w:rPr>
            </w:pPr>
          </w:p>
        </w:tc>
      </w:tr>
      <w:tr w:rsidR="007B1D1B" w:rsidRPr="00565F75" w14:paraId="23F134F3" w14:textId="77777777" w:rsidTr="00246D70">
        <w:trPr>
          <w:trHeight w:val="287"/>
        </w:trPr>
        <w:tc>
          <w:tcPr>
            <w:tcW w:w="6055" w:type="dxa"/>
            <w:shd w:val="pct20" w:color="000000" w:fill="FFFFFF"/>
          </w:tcPr>
          <w:p w14:paraId="1EF6CB0B" w14:textId="77777777" w:rsidR="007B1D1B" w:rsidRPr="00565F75" w:rsidRDefault="007B1D1B" w:rsidP="005E6832">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2.2.2. Economic activity</w:t>
            </w:r>
            <w:r w:rsidRPr="00565F75">
              <w:rPr>
                <w:rFonts w:ascii="Garamond" w:hAnsi="Garamond"/>
                <w:bCs/>
                <w:color w:val="1F497D" w:themeColor="text2"/>
                <w:sz w:val="20"/>
                <w:szCs w:val="20"/>
              </w:rPr>
              <w:t>........................................................................</w:t>
            </w:r>
          </w:p>
        </w:tc>
        <w:tc>
          <w:tcPr>
            <w:tcW w:w="482" w:type="dxa"/>
            <w:shd w:val="pct20" w:color="000000" w:fill="FFFFFF"/>
            <w:vAlign w:val="bottom"/>
          </w:tcPr>
          <w:p w14:paraId="45FB0818" w14:textId="77777777" w:rsidR="007B1D1B" w:rsidRPr="00565F75" w:rsidRDefault="007B1D1B" w:rsidP="005E6832">
            <w:pPr>
              <w:spacing w:before="50" w:after="50"/>
              <w:ind w:hanging="284"/>
              <w:jc w:val="right"/>
              <w:rPr>
                <w:rFonts w:ascii="Garamond" w:hAnsi="Garamond"/>
                <w:b/>
                <w:bCs/>
                <w:color w:val="1F497D" w:themeColor="text2"/>
                <w:sz w:val="20"/>
                <w:szCs w:val="20"/>
              </w:rPr>
            </w:pPr>
          </w:p>
        </w:tc>
      </w:tr>
      <w:tr w:rsidR="007B1D1B" w:rsidRPr="00565F75" w14:paraId="68B8EA97" w14:textId="77777777" w:rsidTr="00246D70">
        <w:trPr>
          <w:trHeight w:val="287"/>
        </w:trPr>
        <w:tc>
          <w:tcPr>
            <w:tcW w:w="6055" w:type="dxa"/>
            <w:shd w:val="pct5" w:color="000000" w:fill="FFFFFF"/>
          </w:tcPr>
          <w:p w14:paraId="20F3FE14" w14:textId="77777777" w:rsidR="007B1D1B" w:rsidRPr="00565F75" w:rsidRDefault="00CE6E47" w:rsidP="005E6832">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2.2.3. Comparison with the previous forecast</w:t>
            </w:r>
            <w:r w:rsidRPr="00565F75">
              <w:rPr>
                <w:rFonts w:ascii="Garamond" w:hAnsi="Garamond"/>
                <w:bCs/>
                <w:color w:val="1F497D" w:themeColor="text2"/>
                <w:sz w:val="20"/>
                <w:szCs w:val="20"/>
              </w:rPr>
              <w:t>.......................................</w:t>
            </w:r>
          </w:p>
        </w:tc>
        <w:tc>
          <w:tcPr>
            <w:tcW w:w="482" w:type="dxa"/>
            <w:shd w:val="pct5" w:color="000000" w:fill="FFFFFF"/>
            <w:vAlign w:val="bottom"/>
          </w:tcPr>
          <w:p w14:paraId="049F31CB" w14:textId="77777777" w:rsidR="007B1D1B" w:rsidRPr="00565F75" w:rsidRDefault="007B1D1B" w:rsidP="005E6832">
            <w:pPr>
              <w:spacing w:before="50" w:after="50"/>
              <w:ind w:hanging="284"/>
              <w:jc w:val="right"/>
              <w:rPr>
                <w:rFonts w:ascii="Garamond" w:hAnsi="Garamond"/>
                <w:b/>
                <w:bCs/>
                <w:color w:val="1F497D" w:themeColor="text2"/>
                <w:sz w:val="20"/>
                <w:szCs w:val="20"/>
              </w:rPr>
            </w:pPr>
          </w:p>
        </w:tc>
      </w:tr>
      <w:tr w:rsidR="007B1D1B" w:rsidRPr="00565F75" w14:paraId="5C43448C" w14:textId="77777777" w:rsidTr="00246D70">
        <w:trPr>
          <w:trHeight w:val="276"/>
        </w:trPr>
        <w:tc>
          <w:tcPr>
            <w:tcW w:w="6055" w:type="dxa"/>
            <w:shd w:val="pct20" w:color="000000" w:fill="FFFFFF"/>
          </w:tcPr>
          <w:p w14:paraId="7194166E" w14:textId="77777777" w:rsidR="007B1D1B" w:rsidRPr="00565F75" w:rsidRDefault="00CE6E47" w:rsidP="005E6832">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2.2.4. Main assumptions and risks</w:t>
            </w:r>
            <w:r w:rsidRPr="00565F75">
              <w:rPr>
                <w:rFonts w:ascii="Garamond" w:hAnsi="Garamond"/>
                <w:bCs/>
                <w:color w:val="1F497D" w:themeColor="text2"/>
                <w:sz w:val="20"/>
                <w:szCs w:val="20"/>
              </w:rPr>
              <w:t>........................................................</w:t>
            </w:r>
          </w:p>
        </w:tc>
        <w:tc>
          <w:tcPr>
            <w:tcW w:w="482" w:type="dxa"/>
            <w:shd w:val="pct20" w:color="000000" w:fill="FFFFFF"/>
            <w:vAlign w:val="bottom"/>
          </w:tcPr>
          <w:p w14:paraId="53128261" w14:textId="77777777" w:rsidR="007B1D1B" w:rsidRPr="00565F75" w:rsidRDefault="007B1D1B" w:rsidP="005E6832">
            <w:pPr>
              <w:spacing w:before="50" w:after="50"/>
              <w:ind w:hanging="284"/>
              <w:jc w:val="right"/>
              <w:rPr>
                <w:rFonts w:ascii="Garamond" w:hAnsi="Garamond"/>
                <w:b/>
                <w:bCs/>
                <w:color w:val="1F497D" w:themeColor="text2"/>
                <w:sz w:val="20"/>
                <w:szCs w:val="20"/>
              </w:rPr>
            </w:pPr>
          </w:p>
        </w:tc>
      </w:tr>
      <w:tr w:rsidR="007B1D1B" w:rsidRPr="00565F75" w14:paraId="60F28835" w14:textId="77777777" w:rsidTr="00246D70">
        <w:trPr>
          <w:trHeight w:val="489"/>
        </w:trPr>
        <w:tc>
          <w:tcPr>
            <w:tcW w:w="6055" w:type="dxa"/>
            <w:shd w:val="pct20" w:color="000000" w:fill="FFFFFF"/>
          </w:tcPr>
          <w:p w14:paraId="1C7BC48A" w14:textId="77777777" w:rsidR="007B1D1B" w:rsidRPr="003D300F" w:rsidRDefault="00CE6E47" w:rsidP="00AD6A9D">
            <w:pPr>
              <w:pStyle w:val="Heading5"/>
              <w:spacing w:before="50" w:after="50"/>
              <w:ind w:left="1204" w:right="-113" w:hanging="920"/>
              <w:rPr>
                <w:rFonts w:ascii="Garamond" w:hAnsi="Garamond" w:cs="Sylfaen"/>
                <w:i/>
                <w:color w:val="1F497D" w:themeColor="text2"/>
                <w:sz w:val="20"/>
                <w:szCs w:val="20"/>
              </w:rPr>
            </w:pPr>
            <w:r w:rsidRPr="00565F75">
              <w:rPr>
                <w:rFonts w:ascii="Garamond" w:hAnsi="Garamond" w:cs="Sylfaen"/>
                <w:i/>
                <w:color w:val="1F497D" w:themeColor="text2"/>
                <w:sz w:val="20"/>
                <w:szCs w:val="20"/>
              </w:rPr>
              <w:t xml:space="preserve">Box </w:t>
            </w:r>
            <w:r w:rsidR="00AD6A9D">
              <w:rPr>
                <w:rFonts w:ascii="Garamond" w:hAnsi="Garamond" w:cs="Sylfaen"/>
                <w:i/>
                <w:color w:val="1F497D" w:themeColor="text2"/>
                <w:sz w:val="20"/>
                <w:szCs w:val="20"/>
              </w:rPr>
              <w:t>4</w:t>
            </w:r>
            <w:r w:rsidRPr="00565F75">
              <w:rPr>
                <w:rFonts w:ascii="Garamond" w:hAnsi="Garamond" w:cs="Sylfaen"/>
                <w:i/>
                <w:color w:val="1F497D" w:themeColor="text2"/>
                <w:sz w:val="20"/>
                <w:szCs w:val="20"/>
              </w:rPr>
              <w:t>: The results of survey on the expecta</w:t>
            </w:r>
            <w:r w:rsidR="003D300F">
              <w:rPr>
                <w:rFonts w:ascii="Garamond" w:hAnsi="Garamond" w:cs="Sylfaen"/>
                <w:i/>
                <w:color w:val="1F497D" w:themeColor="text2"/>
                <w:sz w:val="20"/>
                <w:szCs w:val="20"/>
              </w:rPr>
              <w:t xml:space="preserve">tions by the households and the </w:t>
            </w:r>
            <w:r w:rsidRPr="00565F75">
              <w:rPr>
                <w:rFonts w:ascii="Garamond" w:hAnsi="Garamond" w:cs="Sylfaen"/>
                <w:i/>
                <w:color w:val="1F497D" w:themeColor="text2"/>
                <w:sz w:val="20"/>
                <w:szCs w:val="20"/>
              </w:rPr>
              <w:t>financial system</w:t>
            </w:r>
            <w:r w:rsidR="00E91FF3">
              <w:rPr>
                <w:rFonts w:ascii="Garamond" w:hAnsi="Garamond" w:cs="Sylfaen"/>
                <w:color w:val="1F497D" w:themeColor="text2"/>
                <w:sz w:val="20"/>
                <w:szCs w:val="20"/>
              </w:rPr>
              <w:t>…</w:t>
            </w:r>
            <w:r w:rsidRPr="00565F75">
              <w:rPr>
                <w:rFonts w:ascii="Garamond" w:hAnsi="Garamond" w:cs="Sylfaen"/>
                <w:color w:val="1F497D" w:themeColor="text2"/>
                <w:sz w:val="20"/>
                <w:szCs w:val="20"/>
              </w:rPr>
              <w:t>..................................................</w:t>
            </w:r>
          </w:p>
        </w:tc>
        <w:tc>
          <w:tcPr>
            <w:tcW w:w="482" w:type="dxa"/>
            <w:shd w:val="pct20" w:color="000000" w:fill="FFFFFF"/>
            <w:vAlign w:val="bottom"/>
          </w:tcPr>
          <w:p w14:paraId="62486C05" w14:textId="77777777" w:rsidR="007B1D1B" w:rsidRPr="00565F75" w:rsidRDefault="007B1D1B" w:rsidP="005E6832">
            <w:pPr>
              <w:spacing w:before="50" w:after="50"/>
              <w:ind w:hanging="284"/>
              <w:jc w:val="right"/>
              <w:rPr>
                <w:rFonts w:ascii="Garamond" w:hAnsi="Garamond"/>
                <w:b/>
                <w:bCs/>
                <w:color w:val="1F497D" w:themeColor="text2"/>
                <w:sz w:val="20"/>
                <w:szCs w:val="20"/>
              </w:rPr>
            </w:pPr>
          </w:p>
        </w:tc>
      </w:tr>
      <w:tr w:rsidR="00D868A9" w:rsidRPr="00565F75" w14:paraId="7B0705A2" w14:textId="77777777" w:rsidTr="00246D70">
        <w:trPr>
          <w:trHeight w:val="287"/>
        </w:trPr>
        <w:tc>
          <w:tcPr>
            <w:tcW w:w="6055" w:type="dxa"/>
            <w:shd w:val="pct20" w:color="000000" w:fill="FFFFFF"/>
          </w:tcPr>
          <w:p w14:paraId="1C60351C" w14:textId="77777777" w:rsidR="00D868A9" w:rsidRPr="00565F75" w:rsidRDefault="00AD6A9D" w:rsidP="00AD6A9D">
            <w:pPr>
              <w:pStyle w:val="Heading5"/>
              <w:spacing w:before="50" w:after="50"/>
              <w:ind w:left="1204" w:right="-113" w:hanging="920"/>
              <w:rPr>
                <w:rFonts w:ascii="Garamond" w:hAnsi="Garamond" w:cs="Sylfaen"/>
                <w:i/>
                <w:color w:val="1F497D" w:themeColor="text2"/>
                <w:sz w:val="20"/>
                <w:szCs w:val="20"/>
              </w:rPr>
            </w:pPr>
            <w:r w:rsidRPr="00565F75">
              <w:rPr>
                <w:rFonts w:ascii="Garamond" w:hAnsi="Garamond"/>
                <w:b/>
                <w:color w:val="1F497D" w:themeColor="text2"/>
                <w:sz w:val="20"/>
                <w:szCs w:val="20"/>
              </w:rPr>
              <w:t>3. Actual developments in Q</w:t>
            </w:r>
            <w:r>
              <w:rPr>
                <w:rFonts w:ascii="Garamond" w:hAnsi="Garamond"/>
                <w:b/>
                <w:color w:val="1F497D" w:themeColor="text2"/>
                <w:sz w:val="20"/>
                <w:szCs w:val="20"/>
              </w:rPr>
              <w:t>3</w:t>
            </w:r>
            <w:r w:rsidRPr="00565F75">
              <w:rPr>
                <w:rFonts w:ascii="Garamond" w:hAnsi="Garamond"/>
                <w:b/>
                <w:color w:val="1F497D" w:themeColor="text2"/>
                <w:sz w:val="20"/>
                <w:szCs w:val="20"/>
              </w:rPr>
              <w:t>, 201</w:t>
            </w:r>
            <w:r>
              <w:rPr>
                <w:rFonts w:ascii="Garamond" w:hAnsi="Garamond"/>
                <w:b/>
                <w:color w:val="1F497D" w:themeColor="text2"/>
                <w:sz w:val="20"/>
                <w:szCs w:val="20"/>
              </w:rPr>
              <w:t>9</w:t>
            </w:r>
            <w:r w:rsidRPr="00565F75">
              <w:rPr>
                <w:rFonts w:ascii="Garamond" w:hAnsi="Garamond"/>
                <w:bCs/>
                <w:color w:val="1F497D" w:themeColor="text2"/>
                <w:sz w:val="20"/>
                <w:szCs w:val="20"/>
              </w:rPr>
              <w:t>........................................................</w:t>
            </w:r>
          </w:p>
        </w:tc>
        <w:tc>
          <w:tcPr>
            <w:tcW w:w="482" w:type="dxa"/>
            <w:shd w:val="pct20" w:color="000000" w:fill="FFFFFF"/>
            <w:vAlign w:val="bottom"/>
          </w:tcPr>
          <w:p w14:paraId="4101652C" w14:textId="77777777" w:rsidR="00D868A9" w:rsidRPr="00565F75" w:rsidRDefault="00D868A9" w:rsidP="005E6832">
            <w:pPr>
              <w:spacing w:before="50" w:after="50"/>
              <w:ind w:hanging="284"/>
              <w:jc w:val="right"/>
              <w:rPr>
                <w:rFonts w:ascii="Garamond" w:hAnsi="Garamond"/>
                <w:b/>
                <w:bCs/>
                <w:color w:val="1F497D" w:themeColor="text2"/>
                <w:sz w:val="20"/>
                <w:szCs w:val="20"/>
              </w:rPr>
            </w:pPr>
          </w:p>
        </w:tc>
      </w:tr>
      <w:tr w:rsidR="00D868A9" w:rsidRPr="00565F75" w14:paraId="2CCC5CD8" w14:textId="77777777" w:rsidTr="00246D70">
        <w:trPr>
          <w:trHeight w:val="287"/>
        </w:trPr>
        <w:tc>
          <w:tcPr>
            <w:tcW w:w="6055" w:type="dxa"/>
            <w:shd w:val="pct20" w:color="000000" w:fill="FFFFFF"/>
          </w:tcPr>
          <w:p w14:paraId="455C8685" w14:textId="77777777" w:rsidR="00D868A9" w:rsidRDefault="00AD6A9D" w:rsidP="005E6832">
            <w:pPr>
              <w:pStyle w:val="Heading5"/>
              <w:spacing w:before="50" w:after="50"/>
              <w:ind w:left="1204" w:right="-113" w:hanging="920"/>
              <w:rPr>
                <w:rFonts w:ascii="Garamond" w:hAnsi="Garamond" w:cs="Sylfaen"/>
                <w:i/>
                <w:color w:val="1F497D" w:themeColor="text2"/>
                <w:sz w:val="20"/>
                <w:szCs w:val="20"/>
              </w:rPr>
            </w:pPr>
            <w:r w:rsidRPr="00565F75">
              <w:rPr>
                <w:rFonts w:ascii="Garamond" w:hAnsi="Garamond" w:cs="Sylfaen"/>
                <w:b/>
                <w:i/>
                <w:color w:val="1F497D" w:themeColor="text2"/>
                <w:sz w:val="20"/>
                <w:szCs w:val="20"/>
              </w:rPr>
              <w:t>3.1. Inflation</w:t>
            </w:r>
            <w:r w:rsidRPr="00565F75">
              <w:rPr>
                <w:rFonts w:ascii="Garamond" w:hAnsi="Garamond"/>
                <w:bCs/>
                <w:color w:val="1F497D" w:themeColor="text2"/>
                <w:sz w:val="20"/>
                <w:szCs w:val="20"/>
              </w:rPr>
              <w:t>..........................................................................................</w:t>
            </w:r>
          </w:p>
        </w:tc>
        <w:tc>
          <w:tcPr>
            <w:tcW w:w="482" w:type="dxa"/>
            <w:shd w:val="pct20" w:color="000000" w:fill="FFFFFF"/>
            <w:vAlign w:val="bottom"/>
          </w:tcPr>
          <w:p w14:paraId="4B99056E" w14:textId="77777777" w:rsidR="00D868A9" w:rsidRPr="00565F75" w:rsidRDefault="00D868A9" w:rsidP="005E6832">
            <w:pPr>
              <w:spacing w:before="50" w:after="50"/>
              <w:ind w:hanging="284"/>
              <w:jc w:val="right"/>
              <w:rPr>
                <w:rFonts w:ascii="Garamond" w:hAnsi="Garamond"/>
                <w:b/>
                <w:bCs/>
                <w:color w:val="1F497D" w:themeColor="text2"/>
                <w:sz w:val="20"/>
                <w:szCs w:val="20"/>
              </w:rPr>
            </w:pPr>
          </w:p>
        </w:tc>
      </w:tr>
      <w:tr w:rsidR="00E91FF3" w:rsidRPr="00565F75" w14:paraId="39C56511" w14:textId="77777777" w:rsidTr="00246D70">
        <w:trPr>
          <w:trHeight w:val="287"/>
        </w:trPr>
        <w:tc>
          <w:tcPr>
            <w:tcW w:w="6055" w:type="dxa"/>
            <w:shd w:val="pct20" w:color="000000" w:fill="FFFFFF"/>
          </w:tcPr>
          <w:p w14:paraId="08C2C48B" w14:textId="77777777" w:rsidR="00E91FF3" w:rsidRPr="00565F75" w:rsidRDefault="00AD6A9D" w:rsidP="005E6832">
            <w:pPr>
              <w:pStyle w:val="Heading5"/>
              <w:spacing w:before="50" w:after="50"/>
              <w:ind w:left="1204" w:right="-113" w:hanging="920"/>
              <w:rPr>
                <w:rFonts w:ascii="Garamond" w:hAnsi="Garamond" w:cs="Sylfaen"/>
                <w:i/>
                <w:color w:val="1F497D" w:themeColor="text2"/>
                <w:sz w:val="20"/>
                <w:szCs w:val="20"/>
              </w:rPr>
            </w:pPr>
            <w:r w:rsidRPr="00565F75">
              <w:rPr>
                <w:rFonts w:ascii="Garamond" w:hAnsi="Garamond" w:cs="Sylfaen"/>
                <w:i/>
                <w:color w:val="1F497D" w:themeColor="text2"/>
                <w:sz w:val="20"/>
                <w:szCs w:val="20"/>
              </w:rPr>
              <w:t>3.1.1. Fulfilment of the inflation target</w:t>
            </w:r>
            <w:r w:rsidRPr="00565F75">
              <w:rPr>
                <w:rFonts w:ascii="Garamond" w:hAnsi="Garamond"/>
                <w:bCs/>
                <w:color w:val="1F497D" w:themeColor="text2"/>
                <w:sz w:val="20"/>
                <w:szCs w:val="20"/>
              </w:rPr>
              <w:t>.................................................</w:t>
            </w:r>
          </w:p>
        </w:tc>
        <w:tc>
          <w:tcPr>
            <w:tcW w:w="482" w:type="dxa"/>
            <w:shd w:val="pct20" w:color="000000" w:fill="FFFFFF"/>
            <w:vAlign w:val="bottom"/>
          </w:tcPr>
          <w:p w14:paraId="1299C43A" w14:textId="77777777" w:rsidR="00E91FF3" w:rsidRPr="00565F75" w:rsidRDefault="00E91FF3" w:rsidP="005E6832">
            <w:pPr>
              <w:spacing w:before="50" w:after="50"/>
              <w:ind w:hanging="284"/>
              <w:jc w:val="right"/>
              <w:rPr>
                <w:rFonts w:ascii="Garamond" w:hAnsi="Garamond"/>
                <w:b/>
                <w:bCs/>
                <w:color w:val="1F497D" w:themeColor="text2"/>
                <w:sz w:val="20"/>
                <w:szCs w:val="20"/>
              </w:rPr>
            </w:pPr>
          </w:p>
        </w:tc>
      </w:tr>
      <w:tr w:rsidR="007B1D1B" w:rsidRPr="00565F75" w14:paraId="6712AD2D" w14:textId="77777777" w:rsidTr="00246D70">
        <w:trPr>
          <w:trHeight w:val="276"/>
        </w:trPr>
        <w:tc>
          <w:tcPr>
            <w:tcW w:w="6055" w:type="dxa"/>
            <w:shd w:val="pct5" w:color="000000" w:fill="FFFFFF"/>
          </w:tcPr>
          <w:p w14:paraId="29411A16" w14:textId="77777777" w:rsidR="007B1D1B" w:rsidRPr="00565F75" w:rsidRDefault="00CE6E47" w:rsidP="00AD6A9D">
            <w:pPr>
              <w:spacing w:before="50" w:after="50"/>
              <w:ind w:left="284" w:right="-113" w:hanging="284"/>
              <w:rPr>
                <w:rFonts w:ascii="Garamond" w:hAnsi="Garamond"/>
                <w:b/>
                <w:color w:val="1F497D" w:themeColor="text2"/>
                <w:sz w:val="20"/>
                <w:szCs w:val="20"/>
              </w:rPr>
            </w:pPr>
            <w:r>
              <w:rPr>
                <w:rFonts w:ascii="Garamond" w:hAnsi="Garamond"/>
                <w:b/>
                <w:color w:val="1F497D" w:themeColor="text2"/>
                <w:sz w:val="20"/>
                <w:szCs w:val="20"/>
              </w:rPr>
              <w:t xml:space="preserve">   </w:t>
            </w:r>
            <w:r w:rsidR="00AD6A9D">
              <w:rPr>
                <w:rFonts w:ascii="Garamond" w:hAnsi="Garamond"/>
                <w:b/>
                <w:color w:val="1F497D" w:themeColor="text2"/>
                <w:sz w:val="20"/>
                <w:szCs w:val="20"/>
              </w:rPr>
              <w:t xml:space="preserve">  </w:t>
            </w:r>
            <w:r w:rsidR="00AD6A9D" w:rsidRPr="00565F75">
              <w:rPr>
                <w:rFonts w:ascii="Garamond" w:hAnsi="Garamond" w:cs="Sylfaen"/>
                <w:i/>
                <w:color w:val="1F497D" w:themeColor="text2"/>
                <w:sz w:val="20"/>
                <w:szCs w:val="20"/>
              </w:rPr>
              <w:t>3.1.2. Prices</w:t>
            </w:r>
            <w:r w:rsidR="00AD6A9D" w:rsidRPr="00565F75">
              <w:rPr>
                <w:rFonts w:ascii="Garamond" w:hAnsi="Garamond"/>
                <w:bCs/>
                <w:color w:val="1F497D" w:themeColor="text2"/>
                <w:sz w:val="20"/>
                <w:szCs w:val="20"/>
              </w:rPr>
              <w:t>.........................................................................................</w:t>
            </w:r>
          </w:p>
        </w:tc>
        <w:tc>
          <w:tcPr>
            <w:tcW w:w="482" w:type="dxa"/>
            <w:shd w:val="pct5" w:color="000000" w:fill="FFFFFF"/>
            <w:vAlign w:val="bottom"/>
          </w:tcPr>
          <w:p w14:paraId="4DDBEF00" w14:textId="77777777" w:rsidR="007B1D1B" w:rsidRPr="00565F75" w:rsidRDefault="007B1D1B" w:rsidP="005E6832">
            <w:pPr>
              <w:spacing w:before="50" w:after="50"/>
              <w:ind w:hanging="284"/>
              <w:jc w:val="right"/>
              <w:rPr>
                <w:rFonts w:ascii="Garamond" w:hAnsi="Garamond"/>
                <w:b/>
                <w:bCs/>
                <w:color w:val="1F497D" w:themeColor="text2"/>
                <w:sz w:val="20"/>
                <w:szCs w:val="20"/>
              </w:rPr>
            </w:pPr>
          </w:p>
        </w:tc>
      </w:tr>
      <w:tr w:rsidR="003D300F" w:rsidRPr="00565F75" w14:paraId="751A65CB" w14:textId="77777777" w:rsidTr="00246D70">
        <w:trPr>
          <w:trHeight w:val="287"/>
        </w:trPr>
        <w:tc>
          <w:tcPr>
            <w:tcW w:w="6055" w:type="dxa"/>
            <w:shd w:val="clear" w:color="auto" w:fill="CCCCCC"/>
          </w:tcPr>
          <w:p w14:paraId="38856637" w14:textId="77777777" w:rsidR="003D300F" w:rsidRPr="00565F75" w:rsidRDefault="00AD6A9D" w:rsidP="005E6832">
            <w:pPr>
              <w:spacing w:before="50" w:after="50"/>
              <w:ind w:left="431" w:right="-113" w:hanging="318"/>
              <w:rPr>
                <w:rFonts w:ascii="Garamond" w:hAnsi="Garamond"/>
                <w:color w:val="1F497D" w:themeColor="text2"/>
                <w:sz w:val="20"/>
                <w:szCs w:val="20"/>
              </w:rPr>
            </w:pPr>
            <w:r w:rsidRPr="00565F75">
              <w:rPr>
                <w:rFonts w:ascii="Garamond" w:hAnsi="Garamond" w:cs="Sylfaen"/>
                <w:b/>
                <w:i/>
                <w:color w:val="1F497D" w:themeColor="text2"/>
                <w:sz w:val="20"/>
                <w:szCs w:val="20"/>
              </w:rPr>
              <w:t>3.2. Economic developments</w:t>
            </w:r>
            <w:r w:rsidRPr="00565F75">
              <w:rPr>
                <w:rFonts w:ascii="Garamond" w:hAnsi="Garamond"/>
                <w:bCs/>
                <w:color w:val="1F497D" w:themeColor="text2"/>
                <w:sz w:val="20"/>
                <w:szCs w:val="20"/>
              </w:rPr>
              <w:t>.................................................................</w:t>
            </w:r>
          </w:p>
        </w:tc>
        <w:tc>
          <w:tcPr>
            <w:tcW w:w="482" w:type="dxa"/>
            <w:shd w:val="pct20" w:color="000000" w:fill="FFFFFF"/>
            <w:vAlign w:val="bottom"/>
          </w:tcPr>
          <w:p w14:paraId="3461D779" w14:textId="77777777" w:rsidR="003D300F" w:rsidRPr="00565F75" w:rsidRDefault="003D300F" w:rsidP="005E6832">
            <w:pPr>
              <w:spacing w:before="50" w:after="50"/>
              <w:ind w:hanging="284"/>
              <w:jc w:val="right"/>
              <w:rPr>
                <w:rFonts w:ascii="Garamond" w:hAnsi="Garamond"/>
                <w:b/>
                <w:bCs/>
                <w:color w:val="1F497D" w:themeColor="text2"/>
                <w:sz w:val="20"/>
                <w:szCs w:val="20"/>
              </w:rPr>
            </w:pPr>
          </w:p>
        </w:tc>
      </w:tr>
      <w:tr w:rsidR="00AD6A9D" w:rsidRPr="00565F75" w14:paraId="5883316A" w14:textId="77777777" w:rsidTr="00246D70">
        <w:trPr>
          <w:trHeight w:val="287"/>
        </w:trPr>
        <w:tc>
          <w:tcPr>
            <w:tcW w:w="6055" w:type="dxa"/>
            <w:shd w:val="pct5" w:color="000000" w:fill="FFFFFF"/>
          </w:tcPr>
          <w:p w14:paraId="5EBC318E" w14:textId="77777777" w:rsidR="00AD6A9D" w:rsidRPr="00565F75" w:rsidRDefault="00AD6A9D" w:rsidP="00AD6A9D">
            <w:pPr>
              <w:spacing w:before="50" w:after="50"/>
              <w:ind w:left="431" w:right="-113" w:hanging="318"/>
              <w:rPr>
                <w:rFonts w:ascii="Garamond" w:hAnsi="Garamond"/>
                <w:color w:val="1F497D" w:themeColor="text2"/>
                <w:sz w:val="20"/>
                <w:szCs w:val="20"/>
              </w:rPr>
            </w:pPr>
            <w:r>
              <w:rPr>
                <w:rFonts w:ascii="Garamond" w:hAnsi="Garamond" w:cs="Sylfaen"/>
                <w:bCs/>
                <w:i/>
                <w:color w:val="1F497D" w:themeColor="text2"/>
                <w:sz w:val="20"/>
                <w:szCs w:val="20"/>
              </w:rPr>
              <w:t xml:space="preserve">   </w:t>
            </w:r>
            <w:r w:rsidRPr="00565F75">
              <w:rPr>
                <w:rFonts w:ascii="Garamond" w:hAnsi="Garamond" w:cs="Sylfaen"/>
                <w:i/>
                <w:color w:val="1F497D" w:themeColor="text2"/>
                <w:sz w:val="20"/>
                <w:szCs w:val="20"/>
              </w:rPr>
              <w:t>3.2.1. Economy position</w:t>
            </w:r>
            <w:r w:rsidRPr="00565F75">
              <w:rPr>
                <w:rFonts w:ascii="Garamond" w:hAnsi="Garamond"/>
                <w:bCs/>
                <w:color w:val="1F497D" w:themeColor="text2"/>
                <w:sz w:val="20"/>
                <w:szCs w:val="20"/>
              </w:rPr>
              <w:t>........................................................................</w:t>
            </w:r>
          </w:p>
        </w:tc>
        <w:tc>
          <w:tcPr>
            <w:tcW w:w="482" w:type="dxa"/>
            <w:shd w:val="pct5" w:color="000000" w:fill="FFFFFF"/>
            <w:vAlign w:val="bottom"/>
          </w:tcPr>
          <w:p w14:paraId="3CF2D8B6" w14:textId="77777777" w:rsidR="00AD6A9D" w:rsidRPr="00565F75" w:rsidRDefault="00AD6A9D" w:rsidP="00AD6A9D">
            <w:pPr>
              <w:spacing w:before="50" w:after="50"/>
              <w:ind w:hanging="284"/>
              <w:jc w:val="right"/>
              <w:rPr>
                <w:rFonts w:ascii="Garamond" w:hAnsi="Garamond"/>
                <w:b/>
                <w:bCs/>
                <w:color w:val="1F497D" w:themeColor="text2"/>
                <w:sz w:val="20"/>
                <w:szCs w:val="20"/>
              </w:rPr>
            </w:pPr>
          </w:p>
        </w:tc>
      </w:tr>
      <w:tr w:rsidR="00AD6A9D" w:rsidRPr="00565F75" w14:paraId="2AD732AC" w14:textId="77777777" w:rsidTr="00246D70">
        <w:trPr>
          <w:trHeight w:val="287"/>
        </w:trPr>
        <w:tc>
          <w:tcPr>
            <w:tcW w:w="6055" w:type="dxa"/>
            <w:shd w:val="clear" w:color="auto" w:fill="CCCCCC"/>
          </w:tcPr>
          <w:p w14:paraId="645D4635" w14:textId="77777777" w:rsidR="00AD6A9D" w:rsidRPr="00565F75" w:rsidRDefault="00AD6A9D" w:rsidP="00AD6A9D">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 xml:space="preserve">3.2.2. The expenditures aspect of the economy </w:t>
            </w:r>
            <w:r w:rsidRPr="00565F75">
              <w:rPr>
                <w:rFonts w:ascii="Garamond" w:hAnsi="Garamond"/>
                <w:bCs/>
                <w:color w:val="1F497D" w:themeColor="text2"/>
                <w:sz w:val="20"/>
                <w:szCs w:val="20"/>
              </w:rPr>
              <w:t>..................................</w:t>
            </w:r>
            <w:r>
              <w:rPr>
                <w:rFonts w:ascii="Garamond" w:hAnsi="Garamond"/>
                <w:bCs/>
                <w:color w:val="1F497D" w:themeColor="text2"/>
                <w:sz w:val="20"/>
                <w:szCs w:val="20"/>
              </w:rPr>
              <w:t>...........</w:t>
            </w:r>
            <w:r w:rsidRPr="00565F75">
              <w:rPr>
                <w:rFonts w:ascii="Garamond" w:hAnsi="Garamond"/>
                <w:bCs/>
                <w:color w:val="1F497D" w:themeColor="text2"/>
                <w:sz w:val="20"/>
                <w:szCs w:val="20"/>
              </w:rPr>
              <w:t>.</w:t>
            </w:r>
          </w:p>
        </w:tc>
        <w:tc>
          <w:tcPr>
            <w:tcW w:w="482" w:type="dxa"/>
            <w:shd w:val="pct20" w:color="000000" w:fill="FFFFFF"/>
            <w:vAlign w:val="bottom"/>
          </w:tcPr>
          <w:p w14:paraId="0FB78278" w14:textId="77777777" w:rsidR="00AD6A9D" w:rsidRPr="00565F75" w:rsidRDefault="00AD6A9D" w:rsidP="00AD6A9D">
            <w:pPr>
              <w:spacing w:before="50" w:after="50"/>
              <w:ind w:hanging="284"/>
              <w:jc w:val="right"/>
              <w:rPr>
                <w:rFonts w:ascii="Garamond" w:hAnsi="Garamond"/>
                <w:b/>
                <w:bCs/>
                <w:color w:val="1F497D" w:themeColor="text2"/>
                <w:sz w:val="20"/>
                <w:szCs w:val="20"/>
              </w:rPr>
            </w:pPr>
          </w:p>
        </w:tc>
      </w:tr>
      <w:tr w:rsidR="00AD6A9D" w:rsidRPr="00565F75" w14:paraId="34C7C324" w14:textId="77777777" w:rsidTr="00246D70">
        <w:trPr>
          <w:trHeight w:val="287"/>
        </w:trPr>
        <w:tc>
          <w:tcPr>
            <w:tcW w:w="6055" w:type="dxa"/>
            <w:shd w:val="pct20" w:color="000000" w:fill="FFFFFF"/>
          </w:tcPr>
          <w:p w14:paraId="1134CA55" w14:textId="77777777" w:rsidR="00AD6A9D" w:rsidRPr="00565F75" w:rsidRDefault="00AD6A9D" w:rsidP="00AD6A9D">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3.2.3. The production aspect of the economy</w:t>
            </w:r>
            <w:r w:rsidRPr="00565F75">
              <w:rPr>
                <w:rFonts w:ascii="Garamond" w:hAnsi="Garamond"/>
                <w:bCs/>
                <w:color w:val="1F497D" w:themeColor="text2"/>
                <w:sz w:val="20"/>
                <w:szCs w:val="20"/>
              </w:rPr>
              <w:t>.......................................</w:t>
            </w:r>
          </w:p>
        </w:tc>
        <w:tc>
          <w:tcPr>
            <w:tcW w:w="482" w:type="dxa"/>
            <w:shd w:val="pct20" w:color="000000" w:fill="FFFFFF"/>
            <w:vAlign w:val="bottom"/>
          </w:tcPr>
          <w:p w14:paraId="1FC39945" w14:textId="77777777" w:rsidR="00AD6A9D" w:rsidRPr="00565F75" w:rsidRDefault="00AD6A9D" w:rsidP="00AD6A9D">
            <w:pPr>
              <w:spacing w:before="50" w:after="50"/>
              <w:ind w:hanging="284"/>
              <w:jc w:val="right"/>
              <w:rPr>
                <w:rFonts w:ascii="Garamond" w:hAnsi="Garamond"/>
                <w:b/>
                <w:bCs/>
                <w:color w:val="1F497D" w:themeColor="text2"/>
                <w:sz w:val="20"/>
                <w:szCs w:val="20"/>
              </w:rPr>
            </w:pPr>
          </w:p>
        </w:tc>
      </w:tr>
      <w:tr w:rsidR="00AD6A9D" w:rsidRPr="00565F75" w14:paraId="5A7D8BA5" w14:textId="77777777" w:rsidTr="00246D70">
        <w:trPr>
          <w:trHeight w:val="287"/>
        </w:trPr>
        <w:tc>
          <w:tcPr>
            <w:tcW w:w="6055" w:type="dxa"/>
            <w:shd w:val="pct5" w:color="000000" w:fill="FFFFFF"/>
          </w:tcPr>
          <w:p w14:paraId="16712C79" w14:textId="77777777" w:rsidR="00AD6A9D" w:rsidRPr="00565F75" w:rsidRDefault="00AD6A9D" w:rsidP="00AD6A9D">
            <w:pPr>
              <w:spacing w:before="50" w:after="50"/>
              <w:ind w:left="431" w:right="-113" w:hanging="318"/>
              <w:rPr>
                <w:rFonts w:ascii="Garamond" w:hAnsi="Garamond"/>
                <w:color w:val="1F497D" w:themeColor="text2"/>
                <w:sz w:val="20"/>
                <w:szCs w:val="20"/>
              </w:rPr>
            </w:pPr>
            <w:r w:rsidRPr="00565F75">
              <w:rPr>
                <w:rFonts w:ascii="Garamond" w:hAnsi="Garamond" w:cs="Sylfaen"/>
                <w:i/>
                <w:color w:val="1F497D" w:themeColor="text2"/>
                <w:sz w:val="20"/>
                <w:szCs w:val="20"/>
              </w:rPr>
              <w:t>3.2.4. Labor market</w:t>
            </w:r>
            <w:r w:rsidRPr="00565F75">
              <w:rPr>
                <w:rFonts w:ascii="Garamond" w:hAnsi="Garamond"/>
                <w:bCs/>
                <w:color w:val="1F497D" w:themeColor="text2"/>
                <w:sz w:val="20"/>
                <w:szCs w:val="20"/>
              </w:rPr>
              <w:t>…..........................................................................</w:t>
            </w:r>
          </w:p>
        </w:tc>
        <w:tc>
          <w:tcPr>
            <w:tcW w:w="482" w:type="dxa"/>
            <w:shd w:val="pct5" w:color="000000" w:fill="FFFFFF"/>
            <w:vAlign w:val="bottom"/>
          </w:tcPr>
          <w:p w14:paraId="0562CB0E" w14:textId="77777777" w:rsidR="00AD6A9D" w:rsidRPr="00565F75" w:rsidRDefault="00AD6A9D" w:rsidP="00AD6A9D">
            <w:pPr>
              <w:spacing w:before="50" w:after="50"/>
              <w:ind w:hanging="284"/>
              <w:jc w:val="right"/>
              <w:rPr>
                <w:rFonts w:ascii="Garamond" w:hAnsi="Garamond"/>
                <w:b/>
                <w:bCs/>
                <w:color w:val="1F497D" w:themeColor="text2"/>
                <w:sz w:val="20"/>
                <w:szCs w:val="20"/>
              </w:rPr>
            </w:pPr>
          </w:p>
        </w:tc>
      </w:tr>
      <w:tr w:rsidR="00AD6A9D" w:rsidRPr="00565F75" w14:paraId="493A2A5B" w14:textId="77777777" w:rsidTr="00246D70">
        <w:trPr>
          <w:trHeight w:val="276"/>
        </w:trPr>
        <w:tc>
          <w:tcPr>
            <w:tcW w:w="6055" w:type="dxa"/>
            <w:shd w:val="pct5" w:color="000000" w:fill="FFFFFF"/>
          </w:tcPr>
          <w:p w14:paraId="78DD0878" w14:textId="77777777" w:rsidR="00AD6A9D" w:rsidRPr="00565F75" w:rsidRDefault="00AD6A9D" w:rsidP="00AD6A9D">
            <w:pPr>
              <w:spacing w:before="50" w:after="50"/>
              <w:ind w:left="431" w:right="-113" w:hanging="147"/>
              <w:rPr>
                <w:rFonts w:ascii="Garamond" w:hAnsi="Garamond"/>
                <w:color w:val="1F497D" w:themeColor="text2"/>
                <w:sz w:val="20"/>
                <w:szCs w:val="20"/>
              </w:rPr>
            </w:pPr>
            <w:r w:rsidRPr="00565F75">
              <w:rPr>
                <w:rFonts w:ascii="Garamond" w:hAnsi="Garamond" w:cs="Sylfaen"/>
                <w:b/>
                <w:i/>
                <w:color w:val="1F497D" w:themeColor="text2"/>
                <w:sz w:val="20"/>
                <w:szCs w:val="20"/>
              </w:rPr>
              <w:t>3.3. Financial market developments</w:t>
            </w:r>
            <w:r w:rsidRPr="00565F75">
              <w:rPr>
                <w:rFonts w:ascii="Garamond" w:hAnsi="Garamond"/>
                <w:bCs/>
                <w:color w:val="1F497D" w:themeColor="text2"/>
                <w:sz w:val="20"/>
                <w:szCs w:val="20"/>
              </w:rPr>
              <w:t>.....................................................</w:t>
            </w:r>
          </w:p>
        </w:tc>
        <w:tc>
          <w:tcPr>
            <w:tcW w:w="482" w:type="dxa"/>
            <w:shd w:val="pct5" w:color="000000" w:fill="FFFFFF"/>
            <w:vAlign w:val="bottom"/>
          </w:tcPr>
          <w:p w14:paraId="34CE0A41" w14:textId="77777777" w:rsidR="00AD6A9D" w:rsidRPr="00565F75" w:rsidRDefault="00AD6A9D" w:rsidP="00AD6A9D">
            <w:pPr>
              <w:spacing w:before="50" w:after="50"/>
              <w:ind w:hanging="284"/>
              <w:jc w:val="right"/>
              <w:rPr>
                <w:rFonts w:ascii="Garamond" w:hAnsi="Garamond"/>
                <w:b/>
                <w:bCs/>
                <w:color w:val="1F497D" w:themeColor="text2"/>
                <w:sz w:val="20"/>
                <w:szCs w:val="20"/>
              </w:rPr>
            </w:pPr>
          </w:p>
        </w:tc>
      </w:tr>
      <w:tr w:rsidR="00AD6A9D" w:rsidRPr="00565F75" w14:paraId="401DFDC4" w14:textId="77777777" w:rsidTr="00246D70">
        <w:trPr>
          <w:trHeight w:val="287"/>
        </w:trPr>
        <w:tc>
          <w:tcPr>
            <w:tcW w:w="6055" w:type="dxa"/>
            <w:shd w:val="pct20" w:color="000000" w:fill="FFFFFF"/>
          </w:tcPr>
          <w:p w14:paraId="39D5CC8B" w14:textId="77777777" w:rsidR="00AD6A9D" w:rsidRPr="00565F75" w:rsidRDefault="00AD6A9D" w:rsidP="00AD6A9D">
            <w:pPr>
              <w:spacing w:before="50" w:after="50"/>
              <w:ind w:left="431" w:right="-113" w:hanging="147"/>
              <w:rPr>
                <w:rFonts w:ascii="Garamond" w:hAnsi="Garamond"/>
                <w:color w:val="1F497D" w:themeColor="text2"/>
                <w:sz w:val="20"/>
                <w:szCs w:val="20"/>
              </w:rPr>
            </w:pPr>
            <w:r>
              <w:rPr>
                <w:rFonts w:ascii="Garamond" w:hAnsi="Garamond" w:cs="Sylfaen"/>
                <w:b/>
                <w:color w:val="1F497D" w:themeColor="text2"/>
                <w:sz w:val="20"/>
                <w:szCs w:val="20"/>
              </w:rPr>
              <w:t>4. Summing-up</w:t>
            </w:r>
          </w:p>
        </w:tc>
        <w:tc>
          <w:tcPr>
            <w:tcW w:w="482" w:type="dxa"/>
            <w:shd w:val="pct20" w:color="000000" w:fill="FFFFFF"/>
            <w:vAlign w:val="bottom"/>
          </w:tcPr>
          <w:p w14:paraId="62EBF3C5" w14:textId="77777777" w:rsidR="00AD6A9D" w:rsidRPr="00565F75" w:rsidRDefault="00AD6A9D" w:rsidP="00AD6A9D">
            <w:pPr>
              <w:spacing w:before="50" w:after="50"/>
              <w:ind w:hanging="284"/>
              <w:jc w:val="right"/>
              <w:rPr>
                <w:rFonts w:ascii="Garamond" w:hAnsi="Garamond"/>
                <w:b/>
                <w:bCs/>
                <w:color w:val="1F497D" w:themeColor="text2"/>
                <w:sz w:val="20"/>
                <w:szCs w:val="20"/>
              </w:rPr>
            </w:pPr>
          </w:p>
        </w:tc>
      </w:tr>
      <w:tr w:rsidR="00AD6A9D" w:rsidRPr="00565F75" w14:paraId="01B45EBD" w14:textId="77777777" w:rsidTr="00246D70">
        <w:trPr>
          <w:trHeight w:val="287"/>
        </w:trPr>
        <w:tc>
          <w:tcPr>
            <w:tcW w:w="6055" w:type="dxa"/>
            <w:shd w:val="pct5" w:color="000000" w:fill="FFFFFF"/>
          </w:tcPr>
          <w:p w14:paraId="003C50D2" w14:textId="77777777" w:rsidR="00AD6A9D" w:rsidRPr="00565F75" w:rsidRDefault="00AD6A9D" w:rsidP="00AD6A9D">
            <w:pPr>
              <w:spacing w:before="50" w:after="50"/>
              <w:ind w:right="-113"/>
              <w:rPr>
                <w:rFonts w:ascii="Garamond" w:hAnsi="Garamond"/>
                <w:b/>
                <w:color w:val="1F497D" w:themeColor="text2"/>
                <w:sz w:val="20"/>
                <w:szCs w:val="20"/>
              </w:rPr>
            </w:pPr>
            <w:r>
              <w:rPr>
                <w:rFonts w:ascii="Garamond" w:hAnsi="Garamond"/>
                <w:b/>
                <w:color w:val="1F497D" w:themeColor="text2"/>
                <w:sz w:val="20"/>
                <w:szCs w:val="20"/>
              </w:rPr>
              <w:t xml:space="preserve">    </w:t>
            </w:r>
            <w:r w:rsidRPr="00565F75">
              <w:rPr>
                <w:rFonts w:ascii="Garamond" w:hAnsi="Garamond"/>
                <w:b/>
                <w:color w:val="1F497D" w:themeColor="text2"/>
                <w:sz w:val="20"/>
                <w:szCs w:val="20"/>
              </w:rPr>
              <w:t>Annex</w:t>
            </w:r>
          </w:p>
        </w:tc>
        <w:tc>
          <w:tcPr>
            <w:tcW w:w="482" w:type="dxa"/>
            <w:shd w:val="pct5" w:color="000000" w:fill="FFFFFF"/>
            <w:vAlign w:val="bottom"/>
          </w:tcPr>
          <w:p w14:paraId="6D98A12B" w14:textId="77777777" w:rsidR="00AD6A9D" w:rsidRPr="00565F75" w:rsidRDefault="00AD6A9D" w:rsidP="00AD6A9D">
            <w:pPr>
              <w:spacing w:before="50" w:after="50"/>
              <w:ind w:hanging="284"/>
              <w:jc w:val="right"/>
              <w:rPr>
                <w:rFonts w:ascii="Garamond" w:hAnsi="Garamond"/>
                <w:b/>
                <w:bCs/>
                <w:color w:val="1F497D" w:themeColor="text2"/>
                <w:sz w:val="20"/>
                <w:szCs w:val="20"/>
              </w:rPr>
            </w:pPr>
          </w:p>
        </w:tc>
      </w:tr>
      <w:tr w:rsidR="00AD6A9D" w:rsidRPr="00565F75" w14:paraId="37519EE0" w14:textId="77777777" w:rsidTr="00246D70">
        <w:trPr>
          <w:trHeight w:val="287"/>
        </w:trPr>
        <w:tc>
          <w:tcPr>
            <w:tcW w:w="6055" w:type="dxa"/>
            <w:shd w:val="pct20" w:color="000000" w:fill="FFFFFF"/>
          </w:tcPr>
          <w:p w14:paraId="32F9F395" w14:textId="77777777" w:rsidR="00AD6A9D" w:rsidRPr="00565F75" w:rsidRDefault="00AD6A9D" w:rsidP="00AD6A9D">
            <w:pPr>
              <w:spacing w:before="50" w:after="50"/>
              <w:ind w:left="284" w:right="-113" w:hanging="142"/>
              <w:rPr>
                <w:rFonts w:ascii="Garamond" w:hAnsi="Garamond"/>
                <w:b/>
                <w:i/>
                <w:color w:val="1F497D" w:themeColor="text2"/>
                <w:sz w:val="20"/>
                <w:szCs w:val="20"/>
              </w:rPr>
            </w:pPr>
            <w:r w:rsidRPr="00565F75">
              <w:rPr>
                <w:rFonts w:ascii="Garamond" w:hAnsi="Garamond"/>
                <w:b/>
                <w:i/>
                <w:color w:val="1F497D" w:themeColor="text2"/>
                <w:sz w:val="20"/>
                <w:szCs w:val="20"/>
              </w:rPr>
              <w:t>Minutes</w:t>
            </w:r>
            <w:r w:rsidRPr="00565F75">
              <w:rPr>
                <w:rFonts w:ascii="Garamond" w:hAnsi="Garamond"/>
                <w:bCs/>
                <w:i/>
                <w:color w:val="1F497D" w:themeColor="text2"/>
                <w:sz w:val="20"/>
                <w:szCs w:val="20"/>
              </w:rPr>
              <w:t>...................................................................................................</w:t>
            </w:r>
          </w:p>
        </w:tc>
        <w:tc>
          <w:tcPr>
            <w:tcW w:w="482" w:type="dxa"/>
            <w:shd w:val="pct20" w:color="000000" w:fill="FFFFFF"/>
            <w:vAlign w:val="bottom"/>
          </w:tcPr>
          <w:p w14:paraId="2946DB82" w14:textId="77777777" w:rsidR="00AD6A9D" w:rsidRPr="00565F75" w:rsidRDefault="00AD6A9D" w:rsidP="00AD6A9D">
            <w:pPr>
              <w:spacing w:before="50" w:after="50"/>
              <w:ind w:hanging="284"/>
              <w:jc w:val="right"/>
              <w:rPr>
                <w:rFonts w:ascii="Garamond" w:hAnsi="Garamond"/>
                <w:b/>
                <w:bCs/>
                <w:color w:val="1F497D" w:themeColor="text2"/>
                <w:sz w:val="20"/>
                <w:szCs w:val="20"/>
              </w:rPr>
            </w:pPr>
          </w:p>
        </w:tc>
      </w:tr>
      <w:tr w:rsidR="00AD6A9D" w:rsidRPr="00565F75" w14:paraId="29D5B5BB" w14:textId="77777777" w:rsidTr="00246D70">
        <w:trPr>
          <w:trHeight w:val="287"/>
        </w:trPr>
        <w:tc>
          <w:tcPr>
            <w:tcW w:w="6055" w:type="dxa"/>
            <w:shd w:val="pct20" w:color="000000" w:fill="FFFFFF"/>
          </w:tcPr>
          <w:p w14:paraId="26D8A227" w14:textId="77777777" w:rsidR="00AD6A9D" w:rsidRPr="00565F75" w:rsidRDefault="00AD6A9D" w:rsidP="00AD6A9D">
            <w:pPr>
              <w:spacing w:before="50" w:after="50"/>
              <w:ind w:left="284" w:right="-113" w:hanging="142"/>
              <w:rPr>
                <w:rFonts w:ascii="Garamond" w:hAnsi="Garamond"/>
                <w:b/>
                <w:i/>
                <w:color w:val="1F497D" w:themeColor="text2"/>
                <w:sz w:val="20"/>
                <w:szCs w:val="20"/>
              </w:rPr>
            </w:pPr>
            <w:r w:rsidRPr="00565F75">
              <w:rPr>
                <w:rFonts w:ascii="Garamond" w:hAnsi="Garamond"/>
                <w:b/>
                <w:i/>
                <w:color w:val="1F497D" w:themeColor="text2"/>
                <w:sz w:val="20"/>
                <w:szCs w:val="20"/>
              </w:rPr>
              <w:t>The CBA Board Decision on interest rates</w:t>
            </w:r>
            <w:r w:rsidRPr="00565F75">
              <w:rPr>
                <w:rFonts w:ascii="Garamond" w:hAnsi="Garamond"/>
                <w:bCs/>
                <w:i/>
                <w:color w:val="1F497D" w:themeColor="text2"/>
                <w:sz w:val="20"/>
                <w:szCs w:val="20"/>
              </w:rPr>
              <w:t>.......................................</w:t>
            </w:r>
          </w:p>
        </w:tc>
        <w:tc>
          <w:tcPr>
            <w:tcW w:w="482" w:type="dxa"/>
            <w:shd w:val="pct20" w:color="000000" w:fill="FFFFFF"/>
            <w:vAlign w:val="bottom"/>
          </w:tcPr>
          <w:p w14:paraId="5997CC1D" w14:textId="77777777" w:rsidR="00AD6A9D" w:rsidRPr="00565F75" w:rsidRDefault="00AD6A9D" w:rsidP="00AD6A9D">
            <w:pPr>
              <w:spacing w:before="50" w:after="50"/>
              <w:ind w:hanging="284"/>
              <w:jc w:val="right"/>
              <w:rPr>
                <w:rFonts w:ascii="Garamond" w:hAnsi="Garamond"/>
                <w:b/>
                <w:bCs/>
                <w:color w:val="1F497D" w:themeColor="text2"/>
                <w:sz w:val="20"/>
                <w:szCs w:val="20"/>
              </w:rPr>
            </w:pPr>
          </w:p>
        </w:tc>
      </w:tr>
      <w:tr w:rsidR="00AD6A9D" w:rsidRPr="00565F75" w14:paraId="4402793A" w14:textId="77777777" w:rsidTr="00246D70">
        <w:trPr>
          <w:trHeight w:val="287"/>
        </w:trPr>
        <w:tc>
          <w:tcPr>
            <w:tcW w:w="6055" w:type="dxa"/>
            <w:shd w:val="pct20" w:color="000000" w:fill="FFFFFF"/>
          </w:tcPr>
          <w:p w14:paraId="6FDC822A" w14:textId="77777777" w:rsidR="00AD6A9D" w:rsidRPr="00565F75" w:rsidRDefault="00AD6A9D" w:rsidP="00AD6A9D">
            <w:pPr>
              <w:spacing w:before="50" w:after="50"/>
              <w:ind w:left="284" w:right="-113" w:hanging="142"/>
              <w:rPr>
                <w:rFonts w:ascii="Garamond" w:hAnsi="Garamond"/>
                <w:b/>
                <w:i/>
                <w:color w:val="1F497D" w:themeColor="text2"/>
                <w:sz w:val="20"/>
                <w:szCs w:val="20"/>
              </w:rPr>
            </w:pPr>
            <w:r w:rsidRPr="00565F75">
              <w:rPr>
                <w:rFonts w:ascii="Garamond" w:hAnsi="Garamond"/>
                <w:b/>
                <w:i/>
                <w:color w:val="1F497D" w:themeColor="text2"/>
                <w:sz w:val="20"/>
                <w:szCs w:val="20"/>
              </w:rPr>
              <w:t>Press release</w:t>
            </w:r>
            <w:r w:rsidRPr="00565F75">
              <w:rPr>
                <w:rFonts w:ascii="Garamond" w:hAnsi="Garamond"/>
                <w:bCs/>
                <w:i/>
                <w:color w:val="1F497D" w:themeColor="text2"/>
                <w:sz w:val="20"/>
                <w:szCs w:val="20"/>
              </w:rPr>
              <w:t>..........................................................................................</w:t>
            </w:r>
          </w:p>
        </w:tc>
        <w:tc>
          <w:tcPr>
            <w:tcW w:w="482" w:type="dxa"/>
            <w:shd w:val="pct20" w:color="000000" w:fill="FFFFFF"/>
            <w:vAlign w:val="bottom"/>
          </w:tcPr>
          <w:p w14:paraId="110FFD37" w14:textId="77777777" w:rsidR="00AD6A9D" w:rsidRPr="00565F75" w:rsidRDefault="00AD6A9D" w:rsidP="00AD6A9D">
            <w:pPr>
              <w:spacing w:before="50" w:after="50"/>
              <w:ind w:hanging="284"/>
              <w:jc w:val="right"/>
              <w:rPr>
                <w:rFonts w:ascii="Garamond" w:hAnsi="Garamond"/>
                <w:b/>
                <w:bCs/>
                <w:color w:val="1F497D" w:themeColor="text2"/>
                <w:sz w:val="20"/>
                <w:szCs w:val="20"/>
              </w:rPr>
            </w:pPr>
          </w:p>
        </w:tc>
      </w:tr>
      <w:tr w:rsidR="00AD6A9D" w:rsidRPr="00565F75" w14:paraId="5A90D335" w14:textId="77777777" w:rsidTr="00246D70">
        <w:trPr>
          <w:trHeight w:val="276"/>
        </w:trPr>
        <w:tc>
          <w:tcPr>
            <w:tcW w:w="6055" w:type="dxa"/>
            <w:shd w:val="pct5" w:color="000000" w:fill="FFFFFF"/>
          </w:tcPr>
          <w:p w14:paraId="369E926A" w14:textId="77777777" w:rsidR="00AD6A9D" w:rsidRPr="00565F75" w:rsidRDefault="00AD6A9D" w:rsidP="00AD6A9D">
            <w:pPr>
              <w:spacing w:before="50" w:after="50"/>
              <w:ind w:left="284" w:right="-113" w:hanging="142"/>
              <w:rPr>
                <w:rFonts w:ascii="Garamond" w:hAnsi="Garamond"/>
                <w:b/>
                <w:i/>
                <w:color w:val="1F497D" w:themeColor="text2"/>
                <w:sz w:val="20"/>
                <w:szCs w:val="20"/>
              </w:rPr>
            </w:pPr>
            <w:r w:rsidRPr="00565F75">
              <w:rPr>
                <w:rFonts w:ascii="Garamond" w:hAnsi="Garamond"/>
                <w:b/>
                <w:i/>
                <w:color w:val="1F497D" w:themeColor="text2"/>
                <w:sz w:val="20"/>
                <w:szCs w:val="20"/>
              </w:rPr>
              <w:t>Main macroeconomic indicators</w:t>
            </w:r>
            <w:r w:rsidRPr="00565F75">
              <w:rPr>
                <w:rFonts w:ascii="Garamond" w:hAnsi="Garamond"/>
                <w:bCs/>
                <w:i/>
                <w:color w:val="1F497D" w:themeColor="text2"/>
                <w:sz w:val="20"/>
                <w:szCs w:val="20"/>
              </w:rPr>
              <w:t>..........................................................</w:t>
            </w:r>
          </w:p>
        </w:tc>
        <w:tc>
          <w:tcPr>
            <w:tcW w:w="482" w:type="dxa"/>
            <w:shd w:val="pct5" w:color="000000" w:fill="FFFFFF"/>
            <w:vAlign w:val="bottom"/>
          </w:tcPr>
          <w:p w14:paraId="6B699379" w14:textId="77777777" w:rsidR="00AD6A9D" w:rsidRPr="00565F75" w:rsidRDefault="00AD6A9D" w:rsidP="00AD6A9D">
            <w:pPr>
              <w:spacing w:before="50" w:after="50"/>
              <w:ind w:hanging="284"/>
              <w:jc w:val="right"/>
              <w:rPr>
                <w:rFonts w:ascii="Garamond" w:hAnsi="Garamond"/>
                <w:b/>
                <w:bCs/>
                <w:color w:val="1F497D" w:themeColor="text2"/>
                <w:sz w:val="20"/>
                <w:szCs w:val="20"/>
              </w:rPr>
            </w:pPr>
          </w:p>
        </w:tc>
      </w:tr>
      <w:tr w:rsidR="00AD6A9D" w:rsidRPr="00565F75" w14:paraId="4869C249" w14:textId="77777777" w:rsidTr="00246D70">
        <w:trPr>
          <w:trHeight w:val="287"/>
        </w:trPr>
        <w:tc>
          <w:tcPr>
            <w:tcW w:w="6055" w:type="dxa"/>
            <w:shd w:val="pct20" w:color="000000" w:fill="FFFFFF"/>
          </w:tcPr>
          <w:p w14:paraId="5791C6C9" w14:textId="77777777" w:rsidR="00AD6A9D" w:rsidRPr="00565F75" w:rsidRDefault="00AD6A9D" w:rsidP="00AD6A9D">
            <w:pPr>
              <w:spacing w:before="50" w:after="50"/>
              <w:ind w:left="284" w:right="-113" w:hanging="142"/>
              <w:rPr>
                <w:rFonts w:ascii="Garamond" w:hAnsi="Garamond"/>
                <w:b/>
                <w:i/>
                <w:color w:val="1F497D" w:themeColor="text2"/>
                <w:sz w:val="20"/>
                <w:szCs w:val="20"/>
              </w:rPr>
            </w:pPr>
            <w:r w:rsidRPr="00565F75">
              <w:rPr>
                <w:rFonts w:ascii="Garamond" w:hAnsi="Garamond"/>
                <w:b/>
                <w:i/>
                <w:color w:val="1F497D" w:themeColor="text2"/>
                <w:sz w:val="20"/>
                <w:szCs w:val="20"/>
              </w:rPr>
              <w:t>Charts</w:t>
            </w:r>
            <w:r w:rsidRPr="00565F75">
              <w:rPr>
                <w:rFonts w:ascii="Garamond" w:hAnsi="Garamond"/>
                <w:bCs/>
                <w:i/>
                <w:color w:val="1F497D" w:themeColor="text2"/>
                <w:sz w:val="20"/>
                <w:szCs w:val="20"/>
              </w:rPr>
              <w:t>.....................................................................................................</w:t>
            </w:r>
          </w:p>
        </w:tc>
        <w:tc>
          <w:tcPr>
            <w:tcW w:w="482" w:type="dxa"/>
            <w:shd w:val="pct20" w:color="000000" w:fill="FFFFFF"/>
            <w:vAlign w:val="bottom"/>
          </w:tcPr>
          <w:p w14:paraId="3FE9F23F" w14:textId="77777777" w:rsidR="00AD6A9D" w:rsidRPr="00565F75" w:rsidRDefault="00AD6A9D" w:rsidP="00AD6A9D">
            <w:pPr>
              <w:spacing w:before="50" w:after="50"/>
              <w:ind w:hanging="284"/>
              <w:jc w:val="right"/>
              <w:rPr>
                <w:rFonts w:ascii="Garamond" w:hAnsi="Garamond"/>
                <w:b/>
                <w:bCs/>
                <w:color w:val="1F497D" w:themeColor="text2"/>
                <w:sz w:val="20"/>
                <w:szCs w:val="20"/>
              </w:rPr>
            </w:pPr>
          </w:p>
        </w:tc>
      </w:tr>
      <w:tr w:rsidR="00AD6A9D" w:rsidRPr="00565F75" w14:paraId="7A6312E7" w14:textId="77777777" w:rsidTr="00246D70">
        <w:trPr>
          <w:trHeight w:val="287"/>
        </w:trPr>
        <w:tc>
          <w:tcPr>
            <w:tcW w:w="6055" w:type="dxa"/>
            <w:shd w:val="pct5" w:color="000000" w:fill="FFFFFF"/>
          </w:tcPr>
          <w:p w14:paraId="0F5D9FF9" w14:textId="77777777" w:rsidR="00AD6A9D" w:rsidRPr="00565F75" w:rsidRDefault="00AD6A9D" w:rsidP="00AD6A9D">
            <w:pPr>
              <w:spacing w:before="50" w:after="50"/>
              <w:ind w:left="284" w:right="-113" w:hanging="142"/>
              <w:rPr>
                <w:rFonts w:ascii="Garamond" w:hAnsi="Garamond"/>
                <w:b/>
                <w:i/>
                <w:color w:val="1F497D" w:themeColor="text2"/>
                <w:sz w:val="20"/>
                <w:szCs w:val="20"/>
              </w:rPr>
            </w:pPr>
            <w:r>
              <w:rPr>
                <w:rFonts w:ascii="Garamond" w:hAnsi="Garamond"/>
                <w:b/>
                <w:i/>
                <w:color w:val="1F497D" w:themeColor="text2"/>
                <w:sz w:val="20"/>
                <w:szCs w:val="20"/>
              </w:rPr>
              <w:t>Tables</w:t>
            </w:r>
            <w:r w:rsidRPr="00565F75">
              <w:rPr>
                <w:rFonts w:ascii="Garamond" w:hAnsi="Garamond"/>
                <w:bCs/>
                <w:i/>
                <w:color w:val="1F497D" w:themeColor="text2"/>
                <w:sz w:val="20"/>
                <w:szCs w:val="20"/>
              </w:rPr>
              <w:t>.....................................................................................................</w:t>
            </w:r>
          </w:p>
        </w:tc>
        <w:tc>
          <w:tcPr>
            <w:tcW w:w="482" w:type="dxa"/>
            <w:shd w:val="pct5" w:color="000000" w:fill="FFFFFF"/>
            <w:vAlign w:val="bottom"/>
          </w:tcPr>
          <w:p w14:paraId="1F72F646" w14:textId="77777777" w:rsidR="00AD6A9D" w:rsidRPr="00565F75" w:rsidRDefault="00AD6A9D" w:rsidP="00AD6A9D">
            <w:pPr>
              <w:spacing w:before="50" w:after="50"/>
              <w:ind w:hanging="284"/>
              <w:jc w:val="right"/>
              <w:rPr>
                <w:rFonts w:ascii="Garamond" w:hAnsi="Garamond"/>
                <w:b/>
                <w:bCs/>
                <w:color w:val="1F497D" w:themeColor="text2"/>
                <w:sz w:val="20"/>
                <w:szCs w:val="20"/>
              </w:rPr>
            </w:pPr>
          </w:p>
        </w:tc>
      </w:tr>
      <w:tr w:rsidR="00AD6A9D" w:rsidRPr="00565F75" w14:paraId="08CE6F91" w14:textId="77777777" w:rsidTr="00246D70">
        <w:trPr>
          <w:trHeight w:val="287"/>
        </w:trPr>
        <w:tc>
          <w:tcPr>
            <w:tcW w:w="6055" w:type="dxa"/>
            <w:shd w:val="pct20" w:color="000000" w:fill="FFFFFF"/>
          </w:tcPr>
          <w:p w14:paraId="61CDCEAD" w14:textId="77777777" w:rsidR="00AD6A9D" w:rsidRPr="00565F75" w:rsidRDefault="00AD6A9D" w:rsidP="00246D70">
            <w:pPr>
              <w:tabs>
                <w:tab w:val="left" w:pos="2292"/>
              </w:tabs>
              <w:spacing w:before="50" w:after="50"/>
              <w:ind w:left="284" w:right="-113" w:hanging="142"/>
              <w:rPr>
                <w:rFonts w:ascii="Garamond" w:hAnsi="Garamond"/>
                <w:b/>
                <w:i/>
                <w:color w:val="1F497D" w:themeColor="text2"/>
                <w:sz w:val="20"/>
                <w:szCs w:val="20"/>
              </w:rPr>
            </w:pPr>
          </w:p>
        </w:tc>
        <w:tc>
          <w:tcPr>
            <w:tcW w:w="482" w:type="dxa"/>
            <w:shd w:val="pct20" w:color="000000" w:fill="FFFFFF"/>
            <w:vAlign w:val="bottom"/>
          </w:tcPr>
          <w:p w14:paraId="6BB9E253" w14:textId="77777777" w:rsidR="00AD6A9D" w:rsidRPr="00565F75" w:rsidRDefault="00AD6A9D" w:rsidP="00AD6A9D">
            <w:pPr>
              <w:spacing w:before="50" w:after="50"/>
              <w:ind w:hanging="284"/>
              <w:jc w:val="right"/>
              <w:rPr>
                <w:rFonts w:ascii="Garamond" w:hAnsi="Garamond"/>
                <w:b/>
                <w:bCs/>
                <w:color w:val="1F497D" w:themeColor="text2"/>
                <w:sz w:val="20"/>
                <w:szCs w:val="20"/>
              </w:rPr>
            </w:pPr>
          </w:p>
        </w:tc>
      </w:tr>
      <w:tr w:rsidR="00AD6A9D" w:rsidRPr="00565F75" w14:paraId="23DE523C" w14:textId="77777777" w:rsidTr="00246D70">
        <w:trPr>
          <w:trHeight w:val="287"/>
        </w:trPr>
        <w:tc>
          <w:tcPr>
            <w:tcW w:w="6055" w:type="dxa"/>
            <w:shd w:val="pct5" w:color="000000" w:fill="FFFFFF"/>
          </w:tcPr>
          <w:p w14:paraId="52E56223" w14:textId="77777777" w:rsidR="00AD6A9D" w:rsidRPr="00565F75" w:rsidRDefault="00AD6A9D" w:rsidP="00AD6A9D">
            <w:pPr>
              <w:spacing w:before="50" w:after="50"/>
              <w:ind w:left="284" w:right="-113" w:hanging="142"/>
              <w:rPr>
                <w:rFonts w:ascii="Garamond" w:hAnsi="Garamond"/>
                <w:b/>
                <w:i/>
                <w:color w:val="1F497D" w:themeColor="text2"/>
                <w:sz w:val="20"/>
                <w:szCs w:val="20"/>
              </w:rPr>
            </w:pPr>
          </w:p>
        </w:tc>
        <w:tc>
          <w:tcPr>
            <w:tcW w:w="482" w:type="dxa"/>
            <w:shd w:val="pct5" w:color="000000" w:fill="FFFFFF"/>
            <w:vAlign w:val="bottom"/>
          </w:tcPr>
          <w:p w14:paraId="07547A01" w14:textId="77777777" w:rsidR="00AD6A9D" w:rsidRPr="00565F75" w:rsidRDefault="00AD6A9D" w:rsidP="00AD6A9D">
            <w:pPr>
              <w:spacing w:before="50" w:after="50"/>
              <w:ind w:hanging="284"/>
              <w:jc w:val="right"/>
              <w:rPr>
                <w:rFonts w:ascii="Garamond" w:hAnsi="Garamond"/>
                <w:b/>
                <w:bCs/>
                <w:color w:val="1F497D" w:themeColor="text2"/>
                <w:sz w:val="20"/>
                <w:szCs w:val="20"/>
              </w:rPr>
            </w:pPr>
          </w:p>
        </w:tc>
      </w:tr>
      <w:tr w:rsidR="00AD6A9D" w:rsidRPr="00565F75" w14:paraId="5043CB0F" w14:textId="77777777" w:rsidTr="00246D70">
        <w:trPr>
          <w:trHeight w:val="244"/>
        </w:trPr>
        <w:tc>
          <w:tcPr>
            <w:tcW w:w="6055" w:type="dxa"/>
            <w:shd w:val="pct20" w:color="000000" w:fill="FFFFFF"/>
          </w:tcPr>
          <w:p w14:paraId="07459315" w14:textId="77777777" w:rsidR="00AD6A9D" w:rsidRPr="00565F75" w:rsidRDefault="00AD6A9D" w:rsidP="00AD6A9D">
            <w:pPr>
              <w:spacing w:before="50" w:after="50"/>
              <w:ind w:left="284" w:right="-113" w:hanging="142"/>
              <w:rPr>
                <w:rFonts w:ascii="Garamond" w:hAnsi="Garamond"/>
                <w:b/>
                <w:i/>
                <w:color w:val="1F497D" w:themeColor="text2"/>
                <w:sz w:val="20"/>
                <w:szCs w:val="20"/>
              </w:rPr>
            </w:pPr>
          </w:p>
        </w:tc>
        <w:tc>
          <w:tcPr>
            <w:tcW w:w="482" w:type="dxa"/>
            <w:shd w:val="pct20" w:color="000000" w:fill="FFFFFF"/>
            <w:vAlign w:val="bottom"/>
          </w:tcPr>
          <w:p w14:paraId="6537F28F" w14:textId="77777777" w:rsidR="00AD6A9D" w:rsidRPr="00565F75" w:rsidRDefault="00AD6A9D" w:rsidP="00AD6A9D">
            <w:pPr>
              <w:spacing w:before="50" w:after="50"/>
              <w:ind w:hanging="284"/>
              <w:jc w:val="right"/>
              <w:rPr>
                <w:rFonts w:ascii="Garamond" w:hAnsi="Garamond"/>
                <w:b/>
                <w:bCs/>
                <w:color w:val="1F497D" w:themeColor="text2"/>
                <w:sz w:val="20"/>
                <w:szCs w:val="20"/>
              </w:rPr>
            </w:pPr>
          </w:p>
        </w:tc>
      </w:tr>
    </w:tbl>
    <w:p w14:paraId="6DFB9E20" w14:textId="77777777" w:rsidR="005E6832" w:rsidRDefault="005E6832" w:rsidP="00EE619D">
      <w:pPr>
        <w:autoSpaceDE w:val="0"/>
        <w:autoSpaceDN w:val="0"/>
        <w:adjustRightInd w:val="0"/>
        <w:spacing w:after="120" w:line="360" w:lineRule="auto"/>
        <w:jc w:val="both"/>
        <w:rPr>
          <w:rFonts w:ascii="Garamond" w:hAnsi="Garamond"/>
          <w:b/>
          <w:color w:val="0070C0"/>
          <w:sz w:val="22"/>
          <w:szCs w:val="22"/>
        </w:rPr>
      </w:pPr>
    </w:p>
    <w:p w14:paraId="70DF9E56" w14:textId="77777777" w:rsidR="00246D70" w:rsidRDefault="00246D70" w:rsidP="00EE619D">
      <w:pPr>
        <w:autoSpaceDE w:val="0"/>
        <w:autoSpaceDN w:val="0"/>
        <w:adjustRightInd w:val="0"/>
        <w:spacing w:after="120" w:line="360" w:lineRule="auto"/>
        <w:jc w:val="both"/>
        <w:rPr>
          <w:rFonts w:ascii="Garamond" w:hAnsi="Garamond"/>
          <w:b/>
          <w:color w:val="0070C0"/>
          <w:sz w:val="22"/>
          <w:szCs w:val="22"/>
        </w:rPr>
      </w:pPr>
    </w:p>
    <w:p w14:paraId="5DD3368C" w14:textId="77777777" w:rsidR="007B1D1B" w:rsidRPr="00EE5F0F" w:rsidRDefault="00246D70" w:rsidP="00EE619D">
      <w:pPr>
        <w:autoSpaceDE w:val="0"/>
        <w:autoSpaceDN w:val="0"/>
        <w:adjustRightInd w:val="0"/>
        <w:spacing w:after="120" w:line="360" w:lineRule="auto"/>
        <w:jc w:val="both"/>
        <w:rPr>
          <w:rFonts w:ascii="Garamond" w:hAnsi="Garamond"/>
          <w:b/>
          <w:color w:val="0070C0"/>
          <w:sz w:val="22"/>
          <w:szCs w:val="22"/>
        </w:rPr>
      </w:pPr>
      <w:r>
        <w:rPr>
          <w:rFonts w:ascii="Garamond" w:hAnsi="Garamond"/>
          <w:b/>
          <w:color w:val="0070C0"/>
          <w:sz w:val="22"/>
          <w:szCs w:val="22"/>
        </w:rPr>
        <w:t>NOTICE</w:t>
      </w:r>
    </w:p>
    <w:p w14:paraId="762853C7" w14:textId="7F35FD0F" w:rsidR="005F748E" w:rsidRDefault="7DAFDB36" w:rsidP="7DAFDB36">
      <w:pPr>
        <w:autoSpaceDE w:val="0"/>
        <w:autoSpaceDN w:val="0"/>
        <w:adjustRightInd w:val="0"/>
        <w:spacing w:after="120" w:line="360" w:lineRule="auto"/>
        <w:jc w:val="both"/>
        <w:rPr>
          <w:rFonts w:ascii="Garamond" w:hAnsi="Garamond"/>
          <w:b/>
          <w:bCs/>
          <w:sz w:val="22"/>
          <w:szCs w:val="22"/>
        </w:rPr>
      </w:pPr>
      <w:r w:rsidRPr="7DAFDB36">
        <w:rPr>
          <w:rFonts w:ascii="Garamond" w:hAnsi="Garamond"/>
          <w:b/>
          <w:bCs/>
          <w:sz w:val="22"/>
          <w:szCs w:val="22"/>
        </w:rPr>
        <w:t xml:space="preserve">The forecasts for this report were based on the actual information </w:t>
      </w:r>
      <w:proofErr w:type="spellStart"/>
      <w:r w:rsidRPr="7DAFDB36">
        <w:rPr>
          <w:rFonts w:ascii="Garamond" w:hAnsi="Garamond" w:cs="Sylfaen"/>
          <w:b/>
          <w:bCs/>
          <w:sz w:val="22"/>
          <w:szCs w:val="22"/>
          <w:lang w:val="hy-AM"/>
        </w:rPr>
        <w:t>available</w:t>
      </w:r>
      <w:proofErr w:type="spellEnd"/>
      <w:r w:rsidRPr="7DAFDB36">
        <w:rPr>
          <w:rFonts w:ascii="Garamond" w:hAnsi="Garamond" w:cs="Sylfaen"/>
          <w:b/>
          <w:bCs/>
          <w:sz w:val="22"/>
          <w:szCs w:val="22"/>
          <w:lang w:val="hy-AM"/>
        </w:rPr>
        <w:t xml:space="preserve"> </w:t>
      </w:r>
      <w:proofErr w:type="spellStart"/>
      <w:r w:rsidRPr="7DAFDB36">
        <w:rPr>
          <w:rFonts w:ascii="Garamond" w:hAnsi="Garamond" w:cs="Sylfaen"/>
          <w:b/>
          <w:bCs/>
          <w:sz w:val="22"/>
          <w:szCs w:val="22"/>
          <w:lang w:val="hy-AM"/>
        </w:rPr>
        <w:t>by</w:t>
      </w:r>
      <w:proofErr w:type="spellEnd"/>
      <w:r w:rsidRPr="7DAFDB36">
        <w:rPr>
          <w:rFonts w:ascii="Garamond" w:hAnsi="Garamond" w:cs="Sylfaen"/>
          <w:b/>
          <w:bCs/>
          <w:sz w:val="22"/>
          <w:szCs w:val="22"/>
          <w:lang w:val="hy-AM"/>
        </w:rPr>
        <w:t xml:space="preserve"> </w:t>
      </w:r>
      <w:r w:rsidRPr="7DAFDB36">
        <w:rPr>
          <w:rFonts w:ascii="Garamond" w:hAnsi="Garamond" w:cs="Sylfaen"/>
          <w:b/>
          <w:bCs/>
          <w:sz w:val="22"/>
          <w:szCs w:val="22"/>
        </w:rPr>
        <w:t>March</w:t>
      </w:r>
      <w:r w:rsidRPr="7DAFDB36">
        <w:rPr>
          <w:rFonts w:ascii="Garamond" w:hAnsi="Garamond" w:cs="Sylfaen"/>
          <w:b/>
          <w:bCs/>
          <w:sz w:val="22"/>
          <w:szCs w:val="22"/>
          <w:lang w:val="hy-AM"/>
        </w:rPr>
        <w:t xml:space="preserve"> 1</w:t>
      </w:r>
      <w:r w:rsidRPr="7DAFDB36">
        <w:rPr>
          <w:rFonts w:ascii="Garamond" w:hAnsi="Garamond" w:cs="Sylfaen"/>
          <w:b/>
          <w:bCs/>
          <w:sz w:val="22"/>
          <w:szCs w:val="22"/>
        </w:rPr>
        <w:t>7</w:t>
      </w:r>
      <w:r w:rsidRPr="7DAFDB36">
        <w:rPr>
          <w:rFonts w:ascii="Garamond" w:hAnsi="Garamond" w:cs="Sylfaen"/>
          <w:b/>
          <w:bCs/>
          <w:sz w:val="22"/>
          <w:szCs w:val="22"/>
          <w:lang w:val="hy-AM"/>
        </w:rPr>
        <w:t>, 20</w:t>
      </w:r>
      <w:r w:rsidRPr="7DAFDB36">
        <w:rPr>
          <w:rFonts w:ascii="Garamond" w:hAnsi="Garamond" w:cs="Sylfaen"/>
          <w:b/>
          <w:bCs/>
          <w:sz w:val="22"/>
          <w:szCs w:val="22"/>
        </w:rPr>
        <w:t>20</w:t>
      </w:r>
      <w:r w:rsidRPr="7DAFDB36">
        <w:rPr>
          <w:rFonts w:ascii="Garamond" w:hAnsi="Garamond" w:cs="Sylfaen"/>
          <w:b/>
          <w:bCs/>
          <w:sz w:val="22"/>
          <w:szCs w:val="22"/>
          <w:lang w:val="hy-AM"/>
        </w:rPr>
        <w:t xml:space="preserve">, </w:t>
      </w:r>
      <w:proofErr w:type="spellStart"/>
      <w:proofErr w:type="gramStart"/>
      <w:r w:rsidRPr="7DAFDB36">
        <w:rPr>
          <w:rFonts w:ascii="Garamond" w:hAnsi="Garamond" w:cs="Sylfaen"/>
          <w:b/>
          <w:bCs/>
          <w:sz w:val="22"/>
          <w:szCs w:val="22"/>
          <w:lang w:val="hy-AM"/>
        </w:rPr>
        <w:t>i.e</w:t>
      </w:r>
      <w:proofErr w:type="spellEnd"/>
      <w:r w:rsidRPr="7DAFDB36">
        <w:rPr>
          <w:rFonts w:ascii="Garamond" w:hAnsi="Garamond" w:cs="Sylfaen"/>
          <w:b/>
          <w:bCs/>
          <w:sz w:val="22"/>
          <w:szCs w:val="22"/>
          <w:lang w:val="hy-AM"/>
        </w:rPr>
        <w:t>.</w:t>
      </w:r>
      <w:proofErr w:type="gramEnd"/>
      <w:r w:rsidRPr="7DAFDB36">
        <w:rPr>
          <w:rFonts w:ascii="Garamond" w:hAnsi="Garamond" w:cs="Sylfaen"/>
          <w:b/>
          <w:bCs/>
          <w:sz w:val="22"/>
          <w:szCs w:val="22"/>
          <w:lang w:val="hy-AM"/>
        </w:rPr>
        <w:t xml:space="preserve"> </w:t>
      </w:r>
      <w:proofErr w:type="spellStart"/>
      <w:r w:rsidRPr="7DAFDB36">
        <w:rPr>
          <w:rFonts w:ascii="Garamond" w:hAnsi="Garamond" w:cs="Sylfaen"/>
          <w:b/>
          <w:bCs/>
          <w:sz w:val="22"/>
          <w:szCs w:val="22"/>
          <w:lang w:val="hy-AM"/>
        </w:rPr>
        <w:t>the</w:t>
      </w:r>
      <w:proofErr w:type="spellEnd"/>
      <w:r w:rsidRPr="7DAFDB36">
        <w:rPr>
          <w:rFonts w:ascii="Garamond" w:hAnsi="Garamond" w:cs="Sylfaen"/>
          <w:b/>
          <w:bCs/>
          <w:sz w:val="22"/>
          <w:szCs w:val="22"/>
          <w:lang w:val="hy-AM"/>
        </w:rPr>
        <w:t xml:space="preserve"> </w:t>
      </w:r>
      <w:proofErr w:type="spellStart"/>
      <w:r w:rsidRPr="7DAFDB36">
        <w:rPr>
          <w:rFonts w:ascii="Garamond" w:hAnsi="Garamond" w:cs="Sylfaen"/>
          <w:b/>
          <w:bCs/>
          <w:sz w:val="22"/>
          <w:szCs w:val="22"/>
          <w:lang w:val="hy-AM"/>
        </w:rPr>
        <w:t>day</w:t>
      </w:r>
      <w:proofErr w:type="spellEnd"/>
      <w:r w:rsidRPr="7DAFDB36">
        <w:rPr>
          <w:rFonts w:ascii="Garamond" w:hAnsi="Garamond" w:cs="Sylfaen"/>
          <w:b/>
          <w:bCs/>
          <w:sz w:val="22"/>
          <w:szCs w:val="22"/>
          <w:lang w:val="hy-AM"/>
        </w:rPr>
        <w:t xml:space="preserve"> </w:t>
      </w:r>
      <w:proofErr w:type="spellStart"/>
      <w:r w:rsidRPr="7DAFDB36">
        <w:rPr>
          <w:rFonts w:ascii="Garamond" w:hAnsi="Garamond" w:cs="Sylfaen"/>
          <w:b/>
          <w:bCs/>
          <w:sz w:val="22"/>
          <w:szCs w:val="22"/>
          <w:lang w:val="hy-AM"/>
        </w:rPr>
        <w:t>on</w:t>
      </w:r>
      <w:proofErr w:type="spellEnd"/>
      <w:r w:rsidRPr="7DAFDB36">
        <w:rPr>
          <w:rFonts w:ascii="Garamond" w:hAnsi="Garamond" w:cs="Sylfaen"/>
          <w:b/>
          <w:bCs/>
          <w:sz w:val="22"/>
          <w:szCs w:val="22"/>
          <w:lang w:val="hy-AM"/>
        </w:rPr>
        <w:t xml:space="preserve"> </w:t>
      </w:r>
      <w:proofErr w:type="spellStart"/>
      <w:r w:rsidRPr="7DAFDB36">
        <w:rPr>
          <w:rFonts w:ascii="Garamond" w:hAnsi="Garamond" w:cs="Sylfaen"/>
          <w:b/>
          <w:bCs/>
          <w:sz w:val="22"/>
          <w:szCs w:val="22"/>
          <w:lang w:val="hy-AM"/>
        </w:rPr>
        <w:t>which</w:t>
      </w:r>
      <w:proofErr w:type="spellEnd"/>
      <w:r w:rsidRPr="7DAFDB36">
        <w:rPr>
          <w:rFonts w:ascii="Garamond" w:hAnsi="Garamond" w:cs="Sylfaen"/>
          <w:b/>
          <w:bCs/>
          <w:sz w:val="22"/>
          <w:szCs w:val="22"/>
          <w:lang w:val="hy-AM"/>
        </w:rPr>
        <w:t xml:space="preserve"> </w:t>
      </w:r>
      <w:proofErr w:type="spellStart"/>
      <w:r w:rsidRPr="7DAFDB36">
        <w:rPr>
          <w:rFonts w:ascii="Garamond" w:hAnsi="Garamond" w:cs="Sylfaen"/>
          <w:b/>
          <w:bCs/>
          <w:sz w:val="22"/>
          <w:szCs w:val="22"/>
          <w:lang w:val="hy-AM"/>
        </w:rPr>
        <w:t>the</w:t>
      </w:r>
      <w:proofErr w:type="spellEnd"/>
      <w:r w:rsidRPr="7DAFDB36">
        <w:rPr>
          <w:rFonts w:ascii="Garamond" w:hAnsi="Garamond" w:cs="Sylfaen"/>
          <w:b/>
          <w:bCs/>
          <w:sz w:val="22"/>
          <w:szCs w:val="22"/>
          <w:lang w:val="hy-AM"/>
        </w:rPr>
        <w:t xml:space="preserve"> </w:t>
      </w:r>
      <w:proofErr w:type="spellStart"/>
      <w:r w:rsidRPr="7DAFDB36">
        <w:rPr>
          <w:rFonts w:ascii="Garamond" w:hAnsi="Garamond" w:cs="Sylfaen"/>
          <w:b/>
          <w:bCs/>
          <w:sz w:val="22"/>
          <w:szCs w:val="22"/>
          <w:lang w:val="hy-AM"/>
        </w:rPr>
        <w:t>refinancing</w:t>
      </w:r>
      <w:proofErr w:type="spellEnd"/>
      <w:r w:rsidRPr="7DAFDB36">
        <w:rPr>
          <w:rFonts w:ascii="Garamond" w:hAnsi="Garamond" w:cs="Sylfaen"/>
          <w:b/>
          <w:bCs/>
          <w:sz w:val="22"/>
          <w:szCs w:val="22"/>
          <w:lang w:val="hy-AM"/>
        </w:rPr>
        <w:t xml:space="preserve"> </w:t>
      </w:r>
      <w:proofErr w:type="spellStart"/>
      <w:r w:rsidRPr="7DAFDB36">
        <w:rPr>
          <w:rFonts w:ascii="Garamond" w:hAnsi="Garamond" w:cs="Sylfaen"/>
          <w:b/>
          <w:bCs/>
          <w:sz w:val="22"/>
          <w:szCs w:val="22"/>
          <w:lang w:val="hy-AM"/>
        </w:rPr>
        <w:t>rate</w:t>
      </w:r>
      <w:proofErr w:type="spellEnd"/>
      <w:r w:rsidRPr="7DAFDB36">
        <w:rPr>
          <w:rFonts w:ascii="Garamond" w:hAnsi="Garamond" w:cs="Sylfaen"/>
          <w:b/>
          <w:bCs/>
          <w:sz w:val="22"/>
          <w:szCs w:val="22"/>
          <w:lang w:val="hy-AM"/>
        </w:rPr>
        <w:t xml:space="preserve"> </w:t>
      </w:r>
      <w:proofErr w:type="spellStart"/>
      <w:r w:rsidRPr="7DAFDB36">
        <w:rPr>
          <w:rFonts w:ascii="Garamond" w:hAnsi="Garamond" w:cs="Sylfaen"/>
          <w:b/>
          <w:bCs/>
          <w:sz w:val="22"/>
          <w:szCs w:val="22"/>
          <w:lang w:val="hy-AM"/>
        </w:rPr>
        <w:t>was</w:t>
      </w:r>
      <w:proofErr w:type="spellEnd"/>
      <w:r w:rsidRPr="7DAFDB36">
        <w:rPr>
          <w:rFonts w:ascii="Garamond" w:hAnsi="Garamond" w:cs="Sylfaen"/>
          <w:b/>
          <w:bCs/>
          <w:sz w:val="22"/>
          <w:szCs w:val="22"/>
          <w:lang w:val="hy-AM"/>
        </w:rPr>
        <w:t xml:space="preserve"> </w:t>
      </w:r>
      <w:proofErr w:type="spellStart"/>
      <w:r w:rsidRPr="7DAFDB36">
        <w:rPr>
          <w:rFonts w:ascii="Garamond" w:hAnsi="Garamond" w:cs="Sylfaen"/>
          <w:b/>
          <w:bCs/>
          <w:sz w:val="22"/>
          <w:szCs w:val="22"/>
          <w:lang w:val="hy-AM"/>
        </w:rPr>
        <w:t>set</w:t>
      </w:r>
      <w:proofErr w:type="spellEnd"/>
      <w:r w:rsidRPr="7DAFDB36">
        <w:rPr>
          <w:rFonts w:ascii="Garamond" w:hAnsi="Garamond"/>
          <w:b/>
          <w:bCs/>
          <w:sz w:val="22"/>
          <w:szCs w:val="22"/>
        </w:rPr>
        <w:t>. For the time being, the world wades through an extreme uncertainty in an effort to sustain healthcare and economic systems, in which case any prediction, even a quantitative assessment of the current situation, is highly tentative. The situation is changing daily, and the Central Bank of Armenia admits that a large amount of new information emerged at the time this report was released has not been factored in the forecasts published. We believe, however, that the Inflation Report is being published not only to make the forecasts accurate, but to ensure monetary policy decisions transparency, and also to present the Central Bank’s professional judgment in the time of unprecedented economic uncertainties. The baseline scenario in the report is conventional in terms of figures and indicators and would thus serve mainly as a guide. As the situation may unfold differently, the Central Bank, in a real-time regime, is set to develop alternative scenarios and will react to any developments in the situation to ensure price stability.</w:t>
      </w:r>
    </w:p>
    <w:p w14:paraId="44E871BC" w14:textId="77777777" w:rsidR="0033671C" w:rsidRPr="00246D70" w:rsidRDefault="0033671C" w:rsidP="00EE619D">
      <w:pPr>
        <w:autoSpaceDE w:val="0"/>
        <w:autoSpaceDN w:val="0"/>
        <w:adjustRightInd w:val="0"/>
        <w:spacing w:after="120" w:line="360" w:lineRule="auto"/>
        <w:jc w:val="both"/>
        <w:rPr>
          <w:rFonts w:ascii="Garamond" w:hAnsi="Garamond"/>
          <w:b/>
          <w:sz w:val="22"/>
          <w:szCs w:val="22"/>
        </w:rPr>
      </w:pPr>
    </w:p>
    <w:p w14:paraId="0E9B782D" w14:textId="77777777" w:rsidR="00497EA1" w:rsidRDefault="00EE619D" w:rsidP="00EE619D">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1. EXECUTIVE SUMMARY</w:t>
      </w:r>
    </w:p>
    <w:p w14:paraId="451E758D" w14:textId="77777777" w:rsidR="00A86B6F" w:rsidRDefault="0033671C" w:rsidP="008B447A">
      <w:pPr>
        <w:autoSpaceDE w:val="0"/>
        <w:autoSpaceDN w:val="0"/>
        <w:adjustRightInd w:val="0"/>
        <w:spacing w:after="120" w:line="360" w:lineRule="auto"/>
        <w:jc w:val="both"/>
        <w:rPr>
          <w:rFonts w:ascii="Garamond" w:hAnsi="Garamond"/>
          <w:sz w:val="22"/>
          <w:szCs w:val="22"/>
        </w:rPr>
      </w:pPr>
      <w:r w:rsidRPr="0033671C">
        <w:rPr>
          <w:rFonts w:ascii="Garamond" w:hAnsi="Garamond"/>
          <w:b/>
          <w:sz w:val="22"/>
          <w:szCs w:val="22"/>
        </w:rPr>
        <w:t>The</w:t>
      </w:r>
      <w:r>
        <w:rPr>
          <w:rFonts w:ascii="Garamond" w:hAnsi="Garamond"/>
          <w:b/>
          <w:sz w:val="22"/>
          <w:szCs w:val="22"/>
        </w:rPr>
        <w:t xml:space="preserve"> outbreak of </w:t>
      </w:r>
      <w:r w:rsidRPr="0033671C">
        <w:rPr>
          <w:rFonts w:ascii="Garamond" w:hAnsi="Garamond"/>
          <w:b/>
          <w:sz w:val="22"/>
          <w:szCs w:val="22"/>
        </w:rPr>
        <w:t xml:space="preserve">COVID-19 </w:t>
      </w:r>
      <w:r w:rsidR="00BE1636">
        <w:rPr>
          <w:rFonts w:ascii="Garamond" w:hAnsi="Garamond"/>
          <w:b/>
          <w:sz w:val="22"/>
          <w:szCs w:val="22"/>
        </w:rPr>
        <w:t xml:space="preserve">in China, the resultant </w:t>
      </w:r>
      <w:r w:rsidRPr="0033671C">
        <w:rPr>
          <w:rFonts w:ascii="Garamond" w:hAnsi="Garamond"/>
          <w:b/>
          <w:sz w:val="22"/>
          <w:szCs w:val="22"/>
        </w:rPr>
        <w:t>coronavirus pandemic</w:t>
      </w:r>
      <w:r w:rsidR="00BE1636">
        <w:rPr>
          <w:rFonts w:ascii="Garamond" w:hAnsi="Garamond"/>
          <w:b/>
          <w:sz w:val="22"/>
          <w:szCs w:val="22"/>
        </w:rPr>
        <w:t xml:space="preserve"> </w:t>
      </w:r>
      <w:r w:rsidRPr="0033671C">
        <w:rPr>
          <w:rFonts w:ascii="Garamond" w:hAnsi="Garamond"/>
          <w:b/>
          <w:sz w:val="22"/>
          <w:szCs w:val="22"/>
        </w:rPr>
        <w:t xml:space="preserve">spreading </w:t>
      </w:r>
      <w:r w:rsidR="00BE1636">
        <w:rPr>
          <w:rFonts w:ascii="Garamond" w:hAnsi="Garamond"/>
          <w:b/>
          <w:sz w:val="22"/>
          <w:szCs w:val="22"/>
        </w:rPr>
        <w:t>rapidly</w:t>
      </w:r>
      <w:r w:rsidR="00BE1636" w:rsidRPr="0033671C">
        <w:rPr>
          <w:rFonts w:ascii="Garamond" w:hAnsi="Garamond"/>
          <w:b/>
          <w:sz w:val="22"/>
          <w:szCs w:val="22"/>
        </w:rPr>
        <w:t xml:space="preserve"> </w:t>
      </w:r>
      <w:r w:rsidRPr="0033671C">
        <w:rPr>
          <w:rFonts w:ascii="Garamond" w:hAnsi="Garamond"/>
          <w:b/>
          <w:sz w:val="22"/>
          <w:szCs w:val="22"/>
        </w:rPr>
        <w:t>around the world</w:t>
      </w:r>
      <w:r w:rsidR="00BE1636">
        <w:rPr>
          <w:rFonts w:ascii="Garamond" w:hAnsi="Garamond"/>
          <w:b/>
          <w:sz w:val="22"/>
          <w:szCs w:val="22"/>
        </w:rPr>
        <w:t xml:space="preserve"> and the measures taken to fight it </w:t>
      </w:r>
      <w:r w:rsidRPr="0033671C">
        <w:rPr>
          <w:rFonts w:ascii="Garamond" w:hAnsi="Garamond"/>
          <w:b/>
          <w:sz w:val="22"/>
          <w:szCs w:val="22"/>
        </w:rPr>
        <w:t>h</w:t>
      </w:r>
      <w:r w:rsidR="0035192C">
        <w:rPr>
          <w:rFonts w:ascii="Garamond" w:hAnsi="Garamond"/>
          <w:b/>
          <w:sz w:val="22"/>
          <w:szCs w:val="22"/>
        </w:rPr>
        <w:t xml:space="preserve">ave </w:t>
      </w:r>
      <w:r w:rsidR="00BE1636">
        <w:rPr>
          <w:rFonts w:ascii="Garamond" w:hAnsi="Garamond"/>
          <w:b/>
          <w:sz w:val="22"/>
          <w:szCs w:val="22"/>
        </w:rPr>
        <w:t>s</w:t>
      </w:r>
      <w:r w:rsidRPr="0033671C">
        <w:rPr>
          <w:rFonts w:ascii="Garamond" w:hAnsi="Garamond"/>
          <w:b/>
          <w:sz w:val="22"/>
          <w:szCs w:val="22"/>
        </w:rPr>
        <w:t>ignificant</w:t>
      </w:r>
      <w:r w:rsidR="00BE1636">
        <w:rPr>
          <w:rFonts w:ascii="Garamond" w:hAnsi="Garamond"/>
          <w:b/>
          <w:sz w:val="22"/>
          <w:szCs w:val="22"/>
        </w:rPr>
        <w:t xml:space="preserve">ly affected </w:t>
      </w:r>
      <w:r w:rsidRPr="0033671C">
        <w:rPr>
          <w:rFonts w:ascii="Garamond" w:hAnsi="Garamond"/>
          <w:b/>
          <w:sz w:val="22"/>
          <w:szCs w:val="22"/>
        </w:rPr>
        <w:t xml:space="preserve">the </w:t>
      </w:r>
      <w:r w:rsidR="0035192C" w:rsidRPr="0033671C">
        <w:rPr>
          <w:rFonts w:ascii="Garamond" w:hAnsi="Garamond"/>
          <w:b/>
          <w:sz w:val="22"/>
          <w:szCs w:val="22"/>
        </w:rPr>
        <w:t>mac</w:t>
      </w:r>
      <w:r w:rsidR="0035192C">
        <w:rPr>
          <w:rFonts w:ascii="Garamond" w:hAnsi="Garamond"/>
          <w:b/>
          <w:sz w:val="22"/>
          <w:szCs w:val="22"/>
        </w:rPr>
        <w:t xml:space="preserve">roeconomic and financial market </w:t>
      </w:r>
      <w:r w:rsidR="0035192C" w:rsidRPr="0033671C">
        <w:rPr>
          <w:rFonts w:ascii="Garamond" w:hAnsi="Garamond"/>
          <w:b/>
          <w:sz w:val="22"/>
          <w:szCs w:val="22"/>
        </w:rPr>
        <w:t>development</w:t>
      </w:r>
      <w:r w:rsidR="0035192C">
        <w:rPr>
          <w:rFonts w:ascii="Garamond" w:hAnsi="Garamond"/>
          <w:b/>
          <w:sz w:val="22"/>
          <w:szCs w:val="22"/>
        </w:rPr>
        <w:t xml:space="preserve">s </w:t>
      </w:r>
      <w:r w:rsidRPr="0033671C">
        <w:rPr>
          <w:rFonts w:ascii="Garamond" w:hAnsi="Garamond"/>
          <w:b/>
          <w:sz w:val="22"/>
          <w:szCs w:val="22"/>
        </w:rPr>
        <w:t>both global</w:t>
      </w:r>
      <w:r w:rsidR="0035192C">
        <w:rPr>
          <w:rFonts w:ascii="Garamond" w:hAnsi="Garamond"/>
          <w:b/>
          <w:sz w:val="22"/>
          <w:szCs w:val="22"/>
        </w:rPr>
        <w:t xml:space="preserve">ly </w:t>
      </w:r>
      <w:r w:rsidRPr="0033671C">
        <w:rPr>
          <w:rFonts w:ascii="Garamond" w:hAnsi="Garamond"/>
          <w:b/>
          <w:sz w:val="22"/>
          <w:szCs w:val="22"/>
        </w:rPr>
        <w:t xml:space="preserve">and </w:t>
      </w:r>
      <w:r w:rsidR="0035192C">
        <w:rPr>
          <w:rFonts w:ascii="Garamond" w:hAnsi="Garamond"/>
          <w:b/>
          <w:sz w:val="22"/>
          <w:szCs w:val="22"/>
        </w:rPr>
        <w:t xml:space="preserve">in </w:t>
      </w:r>
      <w:r w:rsidRPr="0033671C">
        <w:rPr>
          <w:rFonts w:ascii="Garamond" w:hAnsi="Garamond"/>
          <w:b/>
          <w:sz w:val="22"/>
          <w:szCs w:val="22"/>
        </w:rPr>
        <w:t xml:space="preserve">Armenia. The forecasts and program directions </w:t>
      </w:r>
      <w:r w:rsidR="0035192C">
        <w:rPr>
          <w:rFonts w:ascii="Garamond" w:hAnsi="Garamond"/>
          <w:b/>
          <w:sz w:val="22"/>
          <w:szCs w:val="22"/>
        </w:rPr>
        <w:t>for the</w:t>
      </w:r>
      <w:r w:rsidRPr="0033671C">
        <w:rPr>
          <w:rFonts w:ascii="Garamond" w:hAnsi="Garamond"/>
          <w:b/>
          <w:sz w:val="22"/>
          <w:szCs w:val="22"/>
        </w:rPr>
        <w:t xml:space="preserve"> first quarter</w:t>
      </w:r>
      <w:r w:rsidR="0035192C">
        <w:rPr>
          <w:rFonts w:ascii="Garamond" w:hAnsi="Garamond"/>
          <w:b/>
          <w:sz w:val="22"/>
          <w:szCs w:val="22"/>
        </w:rPr>
        <w:t xml:space="preserve"> 2020 were</w:t>
      </w:r>
      <w:r w:rsidRPr="0033671C">
        <w:rPr>
          <w:rFonts w:ascii="Garamond" w:hAnsi="Garamond"/>
          <w:b/>
          <w:sz w:val="22"/>
          <w:szCs w:val="22"/>
        </w:rPr>
        <w:t xml:space="preserve">, </w:t>
      </w:r>
      <w:r w:rsidR="0035192C">
        <w:rPr>
          <w:rFonts w:ascii="Garamond" w:hAnsi="Garamond"/>
          <w:b/>
          <w:sz w:val="22"/>
          <w:szCs w:val="22"/>
        </w:rPr>
        <w:t xml:space="preserve">therefore, carried out </w:t>
      </w:r>
      <w:r w:rsidRPr="0033671C">
        <w:rPr>
          <w:rFonts w:ascii="Garamond" w:hAnsi="Garamond"/>
          <w:b/>
          <w:sz w:val="22"/>
          <w:szCs w:val="22"/>
        </w:rPr>
        <w:t xml:space="preserve">in </w:t>
      </w:r>
      <w:r w:rsidR="0035192C">
        <w:rPr>
          <w:rFonts w:ascii="Garamond" w:hAnsi="Garamond"/>
          <w:b/>
          <w:sz w:val="22"/>
          <w:szCs w:val="22"/>
        </w:rPr>
        <w:t xml:space="preserve">the time of </w:t>
      </w:r>
      <w:r w:rsidR="0035192C" w:rsidRPr="0033671C">
        <w:rPr>
          <w:rFonts w:ascii="Garamond" w:hAnsi="Garamond"/>
          <w:b/>
          <w:sz w:val="22"/>
          <w:szCs w:val="22"/>
        </w:rPr>
        <w:t>uncertainty</w:t>
      </w:r>
      <w:r w:rsidR="004B2192">
        <w:rPr>
          <w:rFonts w:ascii="Garamond" w:hAnsi="Garamond"/>
          <w:b/>
          <w:sz w:val="22"/>
          <w:szCs w:val="22"/>
        </w:rPr>
        <w:t xml:space="preserve"> -</w:t>
      </w:r>
      <w:r w:rsidR="0035192C">
        <w:rPr>
          <w:rFonts w:ascii="Garamond" w:hAnsi="Garamond"/>
          <w:b/>
          <w:sz w:val="22"/>
          <w:szCs w:val="22"/>
        </w:rPr>
        <w:t xml:space="preserve"> even greater </w:t>
      </w:r>
      <w:r w:rsidR="008B447A">
        <w:rPr>
          <w:rFonts w:ascii="Garamond" w:hAnsi="Garamond"/>
          <w:b/>
          <w:sz w:val="22"/>
          <w:szCs w:val="22"/>
        </w:rPr>
        <w:t>in terms of quality and quantity</w:t>
      </w:r>
      <w:r w:rsidR="004B2192">
        <w:rPr>
          <w:rFonts w:ascii="Garamond" w:hAnsi="Garamond"/>
          <w:b/>
          <w:sz w:val="22"/>
          <w:szCs w:val="22"/>
        </w:rPr>
        <w:t xml:space="preserve"> -</w:t>
      </w:r>
      <w:r w:rsidR="008B447A">
        <w:rPr>
          <w:rFonts w:ascii="Garamond" w:hAnsi="Garamond"/>
          <w:b/>
          <w:sz w:val="22"/>
          <w:szCs w:val="22"/>
        </w:rPr>
        <w:t xml:space="preserve"> in </w:t>
      </w:r>
      <w:r w:rsidRPr="0033671C">
        <w:rPr>
          <w:rFonts w:ascii="Garamond" w:hAnsi="Garamond"/>
          <w:b/>
          <w:sz w:val="22"/>
          <w:szCs w:val="22"/>
        </w:rPr>
        <w:t>contrast to the previous quarters</w:t>
      </w:r>
      <w:r w:rsidR="00A86B6F">
        <w:rPr>
          <w:rFonts w:ascii="Garamond" w:hAnsi="Garamond"/>
          <w:b/>
          <w:sz w:val="22"/>
          <w:szCs w:val="22"/>
        </w:rPr>
        <w:t xml:space="preserve">. </w:t>
      </w:r>
    </w:p>
    <w:p w14:paraId="6E148CE0" w14:textId="77777777" w:rsidR="000726B1" w:rsidRDefault="008B447A"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T</w:t>
      </w:r>
      <w:r w:rsidRPr="008B447A">
        <w:rPr>
          <w:rFonts w:ascii="Garamond" w:hAnsi="Garamond"/>
          <w:sz w:val="22"/>
          <w:szCs w:val="22"/>
        </w:rPr>
        <w:t xml:space="preserve">he Armenian economy and </w:t>
      </w:r>
      <w:r>
        <w:rPr>
          <w:rFonts w:ascii="Garamond" w:hAnsi="Garamond"/>
          <w:sz w:val="22"/>
          <w:szCs w:val="22"/>
        </w:rPr>
        <w:t xml:space="preserve">global economy continue </w:t>
      </w:r>
      <w:r w:rsidR="002246AB">
        <w:rPr>
          <w:rFonts w:ascii="Garamond" w:hAnsi="Garamond"/>
          <w:sz w:val="22"/>
          <w:szCs w:val="22"/>
        </w:rPr>
        <w:t>to be affected by</w:t>
      </w:r>
      <w:r>
        <w:rPr>
          <w:rFonts w:ascii="Garamond" w:hAnsi="Garamond"/>
          <w:sz w:val="22"/>
          <w:szCs w:val="22"/>
        </w:rPr>
        <w:t xml:space="preserve"> the </w:t>
      </w:r>
      <w:r w:rsidRPr="008B447A">
        <w:rPr>
          <w:rFonts w:ascii="Garamond" w:hAnsi="Garamond"/>
          <w:sz w:val="22"/>
          <w:szCs w:val="22"/>
        </w:rPr>
        <w:t xml:space="preserve">shock, but </w:t>
      </w:r>
      <w:r>
        <w:rPr>
          <w:rFonts w:ascii="Garamond" w:hAnsi="Garamond"/>
          <w:sz w:val="22"/>
          <w:szCs w:val="22"/>
        </w:rPr>
        <w:t>the</w:t>
      </w:r>
      <w:r w:rsidRPr="008B447A">
        <w:rPr>
          <w:rFonts w:ascii="Garamond" w:hAnsi="Garamond"/>
          <w:sz w:val="22"/>
          <w:szCs w:val="22"/>
        </w:rPr>
        <w:t xml:space="preserve"> statistic</w:t>
      </w:r>
      <w:r w:rsidR="002246AB">
        <w:rPr>
          <w:rFonts w:ascii="Garamond" w:hAnsi="Garamond"/>
          <w:sz w:val="22"/>
          <w:szCs w:val="22"/>
        </w:rPr>
        <w:t>al</w:t>
      </w:r>
      <w:r w:rsidRPr="008B447A">
        <w:rPr>
          <w:rFonts w:ascii="Garamond" w:hAnsi="Garamond"/>
          <w:sz w:val="22"/>
          <w:szCs w:val="22"/>
        </w:rPr>
        <w:t xml:space="preserve"> </w:t>
      </w:r>
      <w:r w:rsidR="002246AB">
        <w:rPr>
          <w:rFonts w:ascii="Garamond" w:hAnsi="Garamond"/>
          <w:sz w:val="22"/>
          <w:szCs w:val="22"/>
        </w:rPr>
        <w:t xml:space="preserve">data </w:t>
      </w:r>
      <w:r>
        <w:rPr>
          <w:rFonts w:ascii="Garamond" w:hAnsi="Garamond"/>
          <w:sz w:val="22"/>
          <w:szCs w:val="22"/>
        </w:rPr>
        <w:t xml:space="preserve">we have </w:t>
      </w:r>
      <w:r w:rsidR="002246AB">
        <w:rPr>
          <w:rFonts w:ascii="Garamond" w:hAnsi="Garamond"/>
          <w:sz w:val="22"/>
          <w:szCs w:val="22"/>
        </w:rPr>
        <w:t>do not</w:t>
      </w:r>
      <w:r w:rsidRPr="008B447A">
        <w:rPr>
          <w:rFonts w:ascii="Garamond" w:hAnsi="Garamond"/>
          <w:sz w:val="22"/>
          <w:szCs w:val="22"/>
        </w:rPr>
        <w:t xml:space="preserve"> </w:t>
      </w:r>
      <w:r w:rsidR="002246AB">
        <w:rPr>
          <w:rFonts w:ascii="Garamond" w:hAnsi="Garamond"/>
          <w:sz w:val="22"/>
          <w:szCs w:val="22"/>
        </w:rPr>
        <w:t xml:space="preserve">so far enable </w:t>
      </w:r>
      <w:r w:rsidRPr="008B447A">
        <w:rPr>
          <w:rFonts w:ascii="Garamond" w:hAnsi="Garamond"/>
          <w:sz w:val="22"/>
          <w:szCs w:val="22"/>
        </w:rPr>
        <w:t xml:space="preserve">to </w:t>
      </w:r>
      <w:r w:rsidR="002246AB">
        <w:rPr>
          <w:rFonts w:ascii="Garamond" w:hAnsi="Garamond"/>
          <w:sz w:val="22"/>
          <w:szCs w:val="22"/>
        </w:rPr>
        <w:t xml:space="preserve">make the smallest </w:t>
      </w:r>
      <w:proofErr w:type="gramStart"/>
      <w:r w:rsidR="002246AB">
        <w:rPr>
          <w:rFonts w:ascii="Garamond" w:hAnsi="Garamond"/>
          <w:sz w:val="22"/>
          <w:szCs w:val="22"/>
        </w:rPr>
        <w:t>amount</w:t>
      </w:r>
      <w:proofErr w:type="gramEnd"/>
      <w:r w:rsidRPr="008B447A">
        <w:rPr>
          <w:rFonts w:ascii="Garamond" w:hAnsi="Garamond"/>
          <w:sz w:val="22"/>
          <w:szCs w:val="22"/>
        </w:rPr>
        <w:t xml:space="preserve"> </w:t>
      </w:r>
      <w:r w:rsidR="002246AB">
        <w:rPr>
          <w:rFonts w:ascii="Garamond" w:hAnsi="Garamond"/>
          <w:sz w:val="22"/>
          <w:szCs w:val="22"/>
        </w:rPr>
        <w:t xml:space="preserve">of </w:t>
      </w:r>
      <w:r w:rsidRPr="008B447A">
        <w:rPr>
          <w:rFonts w:ascii="Garamond" w:hAnsi="Garamond"/>
          <w:sz w:val="22"/>
          <w:szCs w:val="22"/>
        </w:rPr>
        <w:t xml:space="preserve">preliminary estimates of the economic impact of the shock, at least on </w:t>
      </w:r>
      <w:r w:rsidR="002246AB">
        <w:rPr>
          <w:rFonts w:ascii="Garamond" w:hAnsi="Garamond"/>
          <w:sz w:val="22"/>
          <w:szCs w:val="22"/>
        </w:rPr>
        <w:t xml:space="preserve">the example of other countries. </w:t>
      </w:r>
      <w:r w:rsidRPr="008B447A">
        <w:rPr>
          <w:rFonts w:ascii="Garamond" w:hAnsi="Garamond"/>
          <w:sz w:val="22"/>
          <w:szCs w:val="22"/>
        </w:rPr>
        <w:t xml:space="preserve">That is why the current forecasts in Armenia and around the world </w:t>
      </w:r>
      <w:r w:rsidR="002246AB">
        <w:rPr>
          <w:rFonts w:ascii="Garamond" w:hAnsi="Garamond"/>
          <w:sz w:val="22"/>
          <w:szCs w:val="22"/>
        </w:rPr>
        <w:t xml:space="preserve">will, </w:t>
      </w:r>
      <w:r w:rsidRPr="008B447A">
        <w:rPr>
          <w:rFonts w:ascii="Garamond" w:hAnsi="Garamond"/>
          <w:sz w:val="22"/>
          <w:szCs w:val="22"/>
        </w:rPr>
        <w:t>after the publication of the data for the first quarter</w:t>
      </w:r>
      <w:r w:rsidR="002246AB">
        <w:rPr>
          <w:rFonts w:ascii="Garamond" w:hAnsi="Garamond"/>
          <w:sz w:val="22"/>
          <w:szCs w:val="22"/>
        </w:rPr>
        <w:t>,</w:t>
      </w:r>
      <w:r w:rsidRPr="008B447A">
        <w:rPr>
          <w:rFonts w:ascii="Garamond" w:hAnsi="Garamond"/>
          <w:sz w:val="22"/>
          <w:szCs w:val="22"/>
        </w:rPr>
        <w:t xml:space="preserve"> most likely be subject to significant adjustments. Under the </w:t>
      </w:r>
      <w:proofErr w:type="gramStart"/>
      <w:r w:rsidRPr="008B447A">
        <w:rPr>
          <w:rFonts w:ascii="Garamond" w:hAnsi="Garamond"/>
          <w:sz w:val="22"/>
          <w:szCs w:val="22"/>
        </w:rPr>
        <w:t>forecasts</w:t>
      </w:r>
      <w:proofErr w:type="gramEnd"/>
      <w:r w:rsidRPr="008B447A">
        <w:rPr>
          <w:rFonts w:ascii="Garamond" w:hAnsi="Garamond"/>
          <w:sz w:val="22"/>
          <w:szCs w:val="22"/>
        </w:rPr>
        <w:t xml:space="preserve">, </w:t>
      </w:r>
      <w:r w:rsidR="000726B1">
        <w:rPr>
          <w:rFonts w:ascii="Garamond" w:hAnsi="Garamond"/>
          <w:sz w:val="22"/>
          <w:szCs w:val="22"/>
        </w:rPr>
        <w:t>increased vagueness</w:t>
      </w:r>
      <w:r w:rsidR="002246AB">
        <w:rPr>
          <w:rFonts w:ascii="Garamond" w:hAnsi="Garamond"/>
          <w:sz w:val="22"/>
          <w:szCs w:val="22"/>
        </w:rPr>
        <w:t xml:space="preserve"> </w:t>
      </w:r>
      <w:r w:rsidR="000726B1">
        <w:rPr>
          <w:rFonts w:ascii="Garamond" w:hAnsi="Garamond"/>
          <w:sz w:val="22"/>
          <w:szCs w:val="22"/>
        </w:rPr>
        <w:t xml:space="preserve">is </w:t>
      </w:r>
      <w:r w:rsidRPr="008B447A">
        <w:rPr>
          <w:rFonts w:ascii="Garamond" w:hAnsi="Garamond"/>
          <w:sz w:val="22"/>
          <w:szCs w:val="22"/>
        </w:rPr>
        <w:t>reflect</w:t>
      </w:r>
      <w:r w:rsidR="000726B1">
        <w:rPr>
          <w:rFonts w:ascii="Garamond" w:hAnsi="Garamond"/>
          <w:sz w:val="22"/>
          <w:szCs w:val="22"/>
        </w:rPr>
        <w:t xml:space="preserve">ing </w:t>
      </w:r>
      <w:r w:rsidR="002246AB">
        <w:rPr>
          <w:rFonts w:ascii="Garamond" w:hAnsi="Garamond"/>
          <w:sz w:val="22"/>
          <w:szCs w:val="22"/>
        </w:rPr>
        <w:t xml:space="preserve">even </w:t>
      </w:r>
      <w:r w:rsidRPr="008B447A">
        <w:rPr>
          <w:rFonts w:ascii="Garamond" w:hAnsi="Garamond"/>
          <w:sz w:val="22"/>
          <w:szCs w:val="22"/>
        </w:rPr>
        <w:t xml:space="preserve">a </w:t>
      </w:r>
      <w:r w:rsidR="002246AB">
        <w:rPr>
          <w:rFonts w:ascii="Garamond" w:hAnsi="Garamond"/>
          <w:sz w:val="22"/>
          <w:szCs w:val="22"/>
        </w:rPr>
        <w:t xml:space="preserve">wider </w:t>
      </w:r>
      <w:r w:rsidRPr="008B447A">
        <w:rPr>
          <w:rFonts w:ascii="Garamond" w:hAnsi="Garamond"/>
          <w:sz w:val="22"/>
          <w:szCs w:val="22"/>
        </w:rPr>
        <w:t xml:space="preserve">range of uncertainty </w:t>
      </w:r>
      <w:r w:rsidR="002246AB">
        <w:rPr>
          <w:rFonts w:ascii="Garamond" w:hAnsi="Garamond"/>
          <w:sz w:val="22"/>
          <w:szCs w:val="22"/>
        </w:rPr>
        <w:t>over i</w:t>
      </w:r>
      <w:r w:rsidRPr="008B447A">
        <w:rPr>
          <w:rFonts w:ascii="Garamond" w:hAnsi="Garamond"/>
          <w:sz w:val="22"/>
          <w:szCs w:val="22"/>
        </w:rPr>
        <w:t>nflation and other key macro-</w:t>
      </w:r>
      <w:r w:rsidR="002246AB">
        <w:rPr>
          <w:rFonts w:ascii="Garamond" w:hAnsi="Garamond"/>
          <w:sz w:val="22"/>
          <w:szCs w:val="22"/>
        </w:rPr>
        <w:t>indicators</w:t>
      </w:r>
      <w:r w:rsidRPr="008B447A">
        <w:rPr>
          <w:rFonts w:ascii="Garamond" w:hAnsi="Garamond"/>
          <w:sz w:val="22"/>
          <w:szCs w:val="22"/>
        </w:rPr>
        <w:t>.</w:t>
      </w:r>
      <w:r w:rsidR="002246AB">
        <w:rPr>
          <w:rFonts w:ascii="Garamond" w:hAnsi="Garamond"/>
          <w:sz w:val="22"/>
          <w:szCs w:val="22"/>
        </w:rPr>
        <w:t xml:space="preserve"> </w:t>
      </w:r>
    </w:p>
    <w:p w14:paraId="415818F5" w14:textId="77777777" w:rsidR="000726B1" w:rsidRPr="000726B1" w:rsidRDefault="00005CCB" w:rsidP="00EE619D">
      <w:pPr>
        <w:autoSpaceDE w:val="0"/>
        <w:autoSpaceDN w:val="0"/>
        <w:adjustRightInd w:val="0"/>
        <w:spacing w:after="120" w:line="360" w:lineRule="auto"/>
        <w:jc w:val="both"/>
        <w:rPr>
          <w:rFonts w:ascii="Garamond" w:hAnsi="Garamond"/>
          <w:b/>
          <w:sz w:val="22"/>
          <w:szCs w:val="22"/>
        </w:rPr>
      </w:pPr>
      <w:r>
        <w:rPr>
          <w:rFonts w:ascii="Garamond" w:hAnsi="Garamond"/>
          <w:b/>
          <w:sz w:val="22"/>
          <w:szCs w:val="22"/>
        </w:rPr>
        <w:t>A</w:t>
      </w:r>
      <w:r w:rsidRPr="000726B1">
        <w:rPr>
          <w:rFonts w:ascii="Garamond" w:hAnsi="Garamond"/>
          <w:b/>
          <w:sz w:val="22"/>
          <w:szCs w:val="22"/>
        </w:rPr>
        <w:t>ccording to the basic scenario</w:t>
      </w:r>
      <w:r>
        <w:rPr>
          <w:rFonts w:ascii="Garamond" w:hAnsi="Garamond"/>
          <w:b/>
          <w:sz w:val="22"/>
          <w:szCs w:val="22"/>
        </w:rPr>
        <w:t xml:space="preserve">, the </w:t>
      </w:r>
      <w:r w:rsidRPr="000726B1">
        <w:rPr>
          <w:rFonts w:ascii="Garamond" w:hAnsi="Garamond"/>
          <w:b/>
          <w:sz w:val="22"/>
          <w:szCs w:val="22"/>
        </w:rPr>
        <w:t>inflation</w:t>
      </w:r>
      <w:r>
        <w:rPr>
          <w:rFonts w:ascii="Garamond" w:hAnsi="Garamond"/>
          <w:b/>
          <w:sz w:val="22"/>
          <w:szCs w:val="22"/>
        </w:rPr>
        <w:t xml:space="preserve"> </w:t>
      </w:r>
      <w:r w:rsidRPr="000726B1">
        <w:rPr>
          <w:rFonts w:ascii="Garamond" w:hAnsi="Garamond"/>
          <w:b/>
          <w:sz w:val="22"/>
          <w:szCs w:val="22"/>
        </w:rPr>
        <w:t xml:space="preserve">environment </w:t>
      </w:r>
      <w:r>
        <w:rPr>
          <w:rFonts w:ascii="Garamond" w:hAnsi="Garamond"/>
          <w:b/>
          <w:sz w:val="22"/>
          <w:szCs w:val="22"/>
        </w:rPr>
        <w:t xml:space="preserve">remained low over </w:t>
      </w:r>
      <w:r w:rsidR="000726B1" w:rsidRPr="000726B1">
        <w:rPr>
          <w:rFonts w:ascii="Garamond" w:hAnsi="Garamond"/>
          <w:b/>
          <w:sz w:val="22"/>
          <w:szCs w:val="22"/>
        </w:rPr>
        <w:t xml:space="preserve">the first quarter of </w:t>
      </w:r>
      <w:r>
        <w:rPr>
          <w:rFonts w:ascii="Garamond" w:hAnsi="Garamond"/>
          <w:b/>
          <w:sz w:val="22"/>
          <w:szCs w:val="22"/>
        </w:rPr>
        <w:t>2020</w:t>
      </w:r>
      <w:r w:rsidR="000726B1" w:rsidRPr="000726B1">
        <w:rPr>
          <w:rFonts w:ascii="Garamond" w:hAnsi="Garamond"/>
          <w:b/>
          <w:sz w:val="22"/>
          <w:szCs w:val="22"/>
        </w:rPr>
        <w:t xml:space="preserve">, </w:t>
      </w:r>
      <w:r>
        <w:rPr>
          <w:rFonts w:ascii="Garamond" w:hAnsi="Garamond"/>
          <w:b/>
          <w:sz w:val="22"/>
          <w:szCs w:val="22"/>
        </w:rPr>
        <w:t xml:space="preserve">and </w:t>
      </w:r>
      <w:r w:rsidR="000726B1" w:rsidRPr="000726B1">
        <w:rPr>
          <w:rFonts w:ascii="Garamond" w:hAnsi="Garamond"/>
          <w:b/>
          <w:sz w:val="22"/>
          <w:szCs w:val="22"/>
        </w:rPr>
        <w:t>the Central Bank continued pursu</w:t>
      </w:r>
      <w:r>
        <w:rPr>
          <w:rFonts w:ascii="Garamond" w:hAnsi="Garamond"/>
          <w:b/>
          <w:sz w:val="22"/>
          <w:szCs w:val="22"/>
        </w:rPr>
        <w:t xml:space="preserve">ing </w:t>
      </w:r>
      <w:r w:rsidR="000726B1" w:rsidRPr="000726B1">
        <w:rPr>
          <w:rFonts w:ascii="Garamond" w:hAnsi="Garamond"/>
          <w:b/>
          <w:sz w:val="22"/>
          <w:szCs w:val="22"/>
        </w:rPr>
        <w:t>a stimulati</w:t>
      </w:r>
      <w:r>
        <w:rPr>
          <w:rFonts w:ascii="Garamond" w:hAnsi="Garamond"/>
          <w:b/>
          <w:sz w:val="22"/>
          <w:szCs w:val="22"/>
        </w:rPr>
        <w:t xml:space="preserve">ve </w:t>
      </w:r>
      <w:r w:rsidR="000726B1" w:rsidRPr="000726B1">
        <w:rPr>
          <w:rFonts w:ascii="Garamond" w:hAnsi="Garamond"/>
          <w:b/>
          <w:sz w:val="22"/>
          <w:szCs w:val="22"/>
        </w:rPr>
        <w:t>monetary policy</w:t>
      </w:r>
      <w:r>
        <w:rPr>
          <w:rFonts w:ascii="Garamond" w:hAnsi="Garamond"/>
          <w:b/>
          <w:sz w:val="22"/>
          <w:szCs w:val="22"/>
        </w:rPr>
        <w:t>.</w:t>
      </w:r>
    </w:p>
    <w:p w14:paraId="7481A8BB" w14:textId="77777777" w:rsidR="00005CCB" w:rsidRDefault="00961EA7"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lastRenderedPageBreak/>
        <w:t xml:space="preserve">In view of </w:t>
      </w:r>
      <w:r w:rsidRPr="00961EA7">
        <w:rPr>
          <w:rFonts w:ascii="Garamond" w:hAnsi="Garamond"/>
          <w:sz w:val="22"/>
          <w:szCs w:val="22"/>
        </w:rPr>
        <w:t>the current monetary policy and expected economic developments</w:t>
      </w:r>
      <w:r w:rsidR="001165F7">
        <w:rPr>
          <w:rFonts w:ascii="Garamond" w:hAnsi="Garamond"/>
          <w:sz w:val="22"/>
          <w:szCs w:val="22"/>
        </w:rPr>
        <w:t>,</w:t>
      </w:r>
      <w:r w:rsidRPr="00961EA7">
        <w:rPr>
          <w:rFonts w:ascii="Garamond" w:hAnsi="Garamond"/>
          <w:sz w:val="22"/>
          <w:szCs w:val="22"/>
        </w:rPr>
        <w:t xml:space="preserve"> the 12-month inflation will </w:t>
      </w:r>
      <w:r>
        <w:rPr>
          <w:rFonts w:ascii="Garamond" w:hAnsi="Garamond"/>
          <w:sz w:val="22"/>
          <w:szCs w:val="22"/>
        </w:rPr>
        <w:t xml:space="preserve">be running </w:t>
      </w:r>
      <w:r w:rsidR="00005CCB">
        <w:rPr>
          <w:rFonts w:ascii="Garamond" w:hAnsi="Garamond"/>
          <w:sz w:val="22"/>
          <w:szCs w:val="22"/>
        </w:rPr>
        <w:t xml:space="preserve">low </w:t>
      </w:r>
      <w:r>
        <w:rPr>
          <w:rFonts w:ascii="Garamond" w:hAnsi="Garamond"/>
          <w:sz w:val="22"/>
          <w:szCs w:val="22"/>
        </w:rPr>
        <w:t>for a while</w:t>
      </w:r>
      <w:r w:rsidR="00005CCB">
        <w:rPr>
          <w:rFonts w:ascii="Garamond" w:hAnsi="Garamond"/>
          <w:sz w:val="22"/>
          <w:szCs w:val="22"/>
        </w:rPr>
        <w:t>. T</w:t>
      </w:r>
      <w:r w:rsidR="00005CCB" w:rsidRPr="00632799">
        <w:rPr>
          <w:rFonts w:ascii="Garamond" w:hAnsi="Garamond"/>
          <w:sz w:val="22"/>
          <w:szCs w:val="22"/>
        </w:rPr>
        <w:t xml:space="preserve">he inflation will </w:t>
      </w:r>
      <w:r w:rsidR="00005CCB">
        <w:rPr>
          <w:rFonts w:ascii="Garamond" w:hAnsi="Garamond"/>
          <w:sz w:val="22"/>
          <w:szCs w:val="22"/>
        </w:rPr>
        <w:t xml:space="preserve">recover gradually in the medium term and </w:t>
      </w:r>
      <w:r w:rsidR="00005CCB" w:rsidRPr="00632799">
        <w:rPr>
          <w:rFonts w:ascii="Garamond" w:hAnsi="Garamond"/>
          <w:sz w:val="22"/>
          <w:szCs w:val="22"/>
        </w:rPr>
        <w:t xml:space="preserve">stabilize around </w:t>
      </w:r>
      <w:r w:rsidR="00005CCB">
        <w:rPr>
          <w:rFonts w:ascii="Garamond" w:hAnsi="Garamond"/>
          <w:sz w:val="22"/>
          <w:szCs w:val="22"/>
        </w:rPr>
        <w:t>the target at the end of the forecast horizon</w:t>
      </w:r>
      <w:r w:rsidR="00005CCB" w:rsidRPr="00632799">
        <w:rPr>
          <w:rFonts w:ascii="Garamond" w:hAnsi="Garamond"/>
          <w:sz w:val="22"/>
          <w:szCs w:val="22"/>
        </w:rPr>
        <w:t>.</w:t>
      </w:r>
      <w:r>
        <w:rPr>
          <w:rFonts w:ascii="Garamond" w:hAnsi="Garamond"/>
          <w:sz w:val="22"/>
          <w:szCs w:val="22"/>
        </w:rPr>
        <w:t xml:space="preserve"> </w:t>
      </w:r>
    </w:p>
    <w:p w14:paraId="1FAA6914" w14:textId="77777777" w:rsidR="00005CCB" w:rsidRDefault="00005CCB"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H</w:t>
      </w:r>
      <w:r w:rsidRPr="00005CCB">
        <w:rPr>
          <w:rFonts w:ascii="Garamond" w:hAnsi="Garamond"/>
          <w:sz w:val="22"/>
          <w:szCs w:val="22"/>
        </w:rPr>
        <w:t>ealth</w:t>
      </w:r>
      <w:r>
        <w:rPr>
          <w:rFonts w:ascii="Garamond" w:hAnsi="Garamond"/>
          <w:sz w:val="22"/>
          <w:szCs w:val="22"/>
        </w:rPr>
        <w:t xml:space="preserve">care-related matters </w:t>
      </w:r>
      <w:r w:rsidRPr="00005CCB">
        <w:rPr>
          <w:rFonts w:ascii="Garamond" w:hAnsi="Garamond"/>
          <w:sz w:val="22"/>
          <w:szCs w:val="22"/>
        </w:rPr>
        <w:t xml:space="preserve">will </w:t>
      </w:r>
      <w:r>
        <w:rPr>
          <w:rFonts w:ascii="Garamond" w:hAnsi="Garamond"/>
          <w:sz w:val="22"/>
          <w:szCs w:val="22"/>
        </w:rPr>
        <w:t xml:space="preserve">cause </w:t>
      </w:r>
      <w:r w:rsidRPr="00005CCB">
        <w:rPr>
          <w:rFonts w:ascii="Garamond" w:hAnsi="Garamond"/>
          <w:sz w:val="22"/>
          <w:szCs w:val="22"/>
        </w:rPr>
        <w:t>decreas</w:t>
      </w:r>
      <w:r>
        <w:rPr>
          <w:rFonts w:ascii="Garamond" w:hAnsi="Garamond"/>
          <w:sz w:val="22"/>
          <w:szCs w:val="22"/>
        </w:rPr>
        <w:t xml:space="preserve">es </w:t>
      </w:r>
      <w:r w:rsidRPr="00005CCB">
        <w:rPr>
          <w:rFonts w:ascii="Garamond" w:hAnsi="Garamond"/>
          <w:sz w:val="22"/>
          <w:szCs w:val="22"/>
        </w:rPr>
        <w:t xml:space="preserve">in supply and demand in the economy, the impact of which on inflation is quite uncertain, mainly being assessed </w:t>
      </w:r>
      <w:r>
        <w:rPr>
          <w:rFonts w:ascii="Garamond" w:hAnsi="Garamond"/>
          <w:sz w:val="22"/>
          <w:szCs w:val="22"/>
        </w:rPr>
        <w:t>as near-to-</w:t>
      </w:r>
      <w:r w:rsidRPr="00005CCB">
        <w:rPr>
          <w:rFonts w:ascii="Garamond" w:hAnsi="Garamond"/>
          <w:sz w:val="22"/>
          <w:szCs w:val="22"/>
        </w:rPr>
        <w:t>neutral.</w:t>
      </w:r>
      <w:r w:rsidR="000C04EC">
        <w:rPr>
          <w:rFonts w:ascii="Garamond" w:hAnsi="Garamond"/>
          <w:sz w:val="22"/>
          <w:szCs w:val="22"/>
        </w:rPr>
        <w:t xml:space="preserve"> </w:t>
      </w:r>
      <w:r w:rsidR="000C04EC" w:rsidRPr="000C04EC">
        <w:rPr>
          <w:rFonts w:ascii="Garamond" w:hAnsi="Garamond"/>
          <w:sz w:val="22"/>
          <w:szCs w:val="22"/>
        </w:rPr>
        <w:t xml:space="preserve">At the same time, </w:t>
      </w:r>
      <w:r w:rsidR="000C04EC">
        <w:rPr>
          <w:rFonts w:ascii="Garamond" w:hAnsi="Garamond"/>
          <w:sz w:val="22"/>
          <w:szCs w:val="22"/>
        </w:rPr>
        <w:t xml:space="preserve">thanks to </w:t>
      </w:r>
      <w:r w:rsidR="000C04EC" w:rsidRPr="000C04EC">
        <w:rPr>
          <w:rFonts w:ascii="Garamond" w:hAnsi="Garamond"/>
          <w:sz w:val="22"/>
          <w:szCs w:val="22"/>
        </w:rPr>
        <w:t>low</w:t>
      </w:r>
      <w:r w:rsidR="000C04EC">
        <w:rPr>
          <w:rFonts w:ascii="Garamond" w:hAnsi="Garamond"/>
          <w:sz w:val="22"/>
          <w:szCs w:val="22"/>
        </w:rPr>
        <w:t>-</w:t>
      </w:r>
      <w:r w:rsidR="000C04EC" w:rsidRPr="000C04EC">
        <w:rPr>
          <w:rFonts w:ascii="Garamond" w:hAnsi="Garamond"/>
          <w:sz w:val="22"/>
          <w:szCs w:val="22"/>
        </w:rPr>
        <w:t>inflation</w:t>
      </w:r>
      <w:r w:rsidR="000C04EC">
        <w:rPr>
          <w:rFonts w:ascii="Garamond" w:hAnsi="Garamond"/>
          <w:sz w:val="22"/>
          <w:szCs w:val="22"/>
        </w:rPr>
        <w:t xml:space="preserve">-steered </w:t>
      </w:r>
      <w:r w:rsidR="000C04EC" w:rsidRPr="000C04EC">
        <w:rPr>
          <w:rFonts w:ascii="Garamond" w:hAnsi="Garamond"/>
          <w:sz w:val="22"/>
          <w:szCs w:val="22"/>
        </w:rPr>
        <w:t xml:space="preserve">policy </w:t>
      </w:r>
      <w:r w:rsidR="000C04EC">
        <w:rPr>
          <w:rFonts w:ascii="Garamond" w:hAnsi="Garamond"/>
          <w:sz w:val="22"/>
          <w:szCs w:val="22"/>
        </w:rPr>
        <w:t xml:space="preserve">conducted </w:t>
      </w:r>
      <w:r w:rsidR="000C04EC" w:rsidRPr="000C04EC">
        <w:rPr>
          <w:rFonts w:ascii="Garamond" w:hAnsi="Garamond"/>
          <w:sz w:val="22"/>
          <w:szCs w:val="22"/>
        </w:rPr>
        <w:t>in recent years</w:t>
      </w:r>
      <w:r w:rsidR="000C04EC">
        <w:rPr>
          <w:rFonts w:ascii="Garamond" w:hAnsi="Garamond"/>
          <w:sz w:val="22"/>
          <w:szCs w:val="22"/>
        </w:rPr>
        <w:t xml:space="preserve">, </w:t>
      </w:r>
      <w:r w:rsidR="000C04EC" w:rsidRPr="000C04EC">
        <w:rPr>
          <w:rFonts w:ascii="Garamond" w:hAnsi="Garamond"/>
          <w:sz w:val="22"/>
          <w:szCs w:val="22"/>
        </w:rPr>
        <w:t>inflationary expectations in th</w:t>
      </w:r>
      <w:r w:rsidR="000C04EC">
        <w:rPr>
          <w:rFonts w:ascii="Garamond" w:hAnsi="Garamond"/>
          <w:sz w:val="22"/>
          <w:szCs w:val="22"/>
        </w:rPr>
        <w:t>e Armenian economy are now</w:t>
      </w:r>
      <w:r w:rsidR="000C04EC" w:rsidRPr="000C04EC">
        <w:rPr>
          <w:rFonts w:ascii="Garamond" w:hAnsi="Garamond"/>
          <w:sz w:val="22"/>
          <w:szCs w:val="22"/>
        </w:rPr>
        <w:t xml:space="preserve"> assessed as </w:t>
      </w:r>
      <w:r w:rsidR="000C04EC">
        <w:rPr>
          <w:rFonts w:ascii="Garamond" w:hAnsi="Garamond"/>
          <w:sz w:val="22"/>
          <w:szCs w:val="22"/>
        </w:rPr>
        <w:t xml:space="preserve">rather </w:t>
      </w:r>
      <w:r w:rsidR="000C04EC" w:rsidRPr="000C04EC">
        <w:rPr>
          <w:rFonts w:ascii="Garamond" w:hAnsi="Garamond"/>
          <w:sz w:val="22"/>
          <w:szCs w:val="22"/>
        </w:rPr>
        <w:t xml:space="preserve">anchored, which </w:t>
      </w:r>
      <w:r w:rsidR="000C04EC">
        <w:rPr>
          <w:rFonts w:ascii="Garamond" w:hAnsi="Garamond"/>
          <w:sz w:val="22"/>
          <w:szCs w:val="22"/>
        </w:rPr>
        <w:t>serves well f</w:t>
      </w:r>
      <w:r w:rsidR="000C04EC" w:rsidRPr="000C04EC">
        <w:rPr>
          <w:rFonts w:ascii="Garamond" w:hAnsi="Garamond"/>
          <w:sz w:val="22"/>
          <w:szCs w:val="22"/>
        </w:rPr>
        <w:t>or maintaining price stability in the current situation.</w:t>
      </w:r>
    </w:p>
    <w:p w14:paraId="261F0EDE" w14:textId="77777777" w:rsidR="00514F2A" w:rsidRPr="00514F2A" w:rsidRDefault="00514F2A" w:rsidP="00EE619D">
      <w:pPr>
        <w:autoSpaceDE w:val="0"/>
        <w:autoSpaceDN w:val="0"/>
        <w:adjustRightInd w:val="0"/>
        <w:spacing w:after="120" w:line="360" w:lineRule="auto"/>
        <w:jc w:val="both"/>
        <w:rPr>
          <w:rFonts w:ascii="Garamond" w:hAnsi="Garamond"/>
          <w:sz w:val="22"/>
          <w:szCs w:val="22"/>
        </w:rPr>
      </w:pPr>
      <w:r w:rsidRPr="00514F2A">
        <w:rPr>
          <w:rFonts w:ascii="Garamond" w:hAnsi="Garamond"/>
          <w:sz w:val="22"/>
          <w:szCs w:val="22"/>
        </w:rPr>
        <w:t xml:space="preserve">In </w:t>
      </w:r>
      <w:r>
        <w:rPr>
          <w:rFonts w:ascii="Garamond" w:hAnsi="Garamond"/>
          <w:sz w:val="22"/>
          <w:szCs w:val="22"/>
        </w:rPr>
        <w:t xml:space="preserve">response to the </w:t>
      </w:r>
      <w:r w:rsidRPr="00514F2A">
        <w:rPr>
          <w:rFonts w:ascii="Garamond" w:hAnsi="Garamond"/>
          <w:sz w:val="22"/>
          <w:szCs w:val="22"/>
        </w:rPr>
        <w:t>current</w:t>
      </w:r>
      <w:r>
        <w:rPr>
          <w:rFonts w:ascii="Garamond" w:hAnsi="Garamond"/>
          <w:sz w:val="22"/>
          <w:szCs w:val="22"/>
        </w:rPr>
        <w:t>ly</w:t>
      </w:r>
      <w:r w:rsidRPr="00514F2A">
        <w:rPr>
          <w:rFonts w:ascii="Garamond" w:hAnsi="Garamond"/>
          <w:sz w:val="22"/>
          <w:szCs w:val="22"/>
        </w:rPr>
        <w:t xml:space="preserve"> low inflation, </w:t>
      </w:r>
      <w:r>
        <w:rPr>
          <w:rFonts w:ascii="Garamond" w:hAnsi="Garamond"/>
          <w:sz w:val="22"/>
          <w:szCs w:val="22"/>
        </w:rPr>
        <w:t xml:space="preserve">anticipated </w:t>
      </w:r>
      <w:r w:rsidRPr="00514F2A">
        <w:rPr>
          <w:rFonts w:ascii="Garamond" w:hAnsi="Garamond"/>
          <w:sz w:val="22"/>
          <w:szCs w:val="22"/>
        </w:rPr>
        <w:t xml:space="preserve">deflationary effects of the global economy and </w:t>
      </w:r>
      <w:r>
        <w:rPr>
          <w:rFonts w:ascii="Garamond" w:hAnsi="Garamond"/>
          <w:sz w:val="22"/>
          <w:szCs w:val="22"/>
        </w:rPr>
        <w:t xml:space="preserve">growing </w:t>
      </w:r>
      <w:r w:rsidRPr="00514F2A">
        <w:rPr>
          <w:rFonts w:ascii="Garamond" w:hAnsi="Garamond"/>
          <w:sz w:val="22"/>
          <w:szCs w:val="22"/>
        </w:rPr>
        <w:t>uncertaint</w:t>
      </w:r>
      <w:r>
        <w:rPr>
          <w:rFonts w:ascii="Garamond" w:hAnsi="Garamond"/>
          <w:sz w:val="22"/>
          <w:szCs w:val="22"/>
        </w:rPr>
        <w:t>ies</w:t>
      </w:r>
      <w:r w:rsidRPr="00514F2A">
        <w:rPr>
          <w:rFonts w:ascii="Garamond" w:hAnsi="Garamond"/>
          <w:sz w:val="22"/>
          <w:szCs w:val="22"/>
        </w:rPr>
        <w:t xml:space="preserve">, </w:t>
      </w:r>
      <w:r w:rsidRPr="00514F2A">
        <w:rPr>
          <w:rFonts w:ascii="Garamond" w:hAnsi="Garamond"/>
          <w:b/>
          <w:sz w:val="22"/>
          <w:szCs w:val="22"/>
        </w:rPr>
        <w:t>the Central Bank Board decided to add to the monetary stimulus by cutting the refinancing rate by 0.25 pp. Meanwhile, risk</w:t>
      </w:r>
      <w:r w:rsidR="00777E7B">
        <w:rPr>
          <w:rFonts w:ascii="Garamond" w:hAnsi="Garamond"/>
          <w:b/>
          <w:sz w:val="22"/>
          <w:szCs w:val="22"/>
        </w:rPr>
        <w:t>s</w:t>
      </w:r>
      <w:r w:rsidRPr="00514F2A">
        <w:rPr>
          <w:rFonts w:ascii="Garamond" w:hAnsi="Garamond"/>
          <w:b/>
          <w:sz w:val="22"/>
          <w:szCs w:val="22"/>
        </w:rPr>
        <w:t xml:space="preserve"> </w:t>
      </w:r>
      <w:r>
        <w:rPr>
          <w:rFonts w:ascii="Garamond" w:hAnsi="Garamond"/>
          <w:b/>
          <w:sz w:val="22"/>
          <w:szCs w:val="22"/>
        </w:rPr>
        <w:t>w</w:t>
      </w:r>
      <w:r w:rsidR="00777E7B">
        <w:rPr>
          <w:rFonts w:ascii="Garamond" w:hAnsi="Garamond"/>
          <w:b/>
          <w:sz w:val="22"/>
          <w:szCs w:val="22"/>
        </w:rPr>
        <w:t>ere</w:t>
      </w:r>
      <w:r>
        <w:rPr>
          <w:rFonts w:ascii="Garamond" w:hAnsi="Garamond"/>
          <w:b/>
          <w:sz w:val="22"/>
          <w:szCs w:val="22"/>
        </w:rPr>
        <w:t xml:space="preserve"> </w:t>
      </w:r>
      <w:r w:rsidRPr="00514F2A">
        <w:rPr>
          <w:rFonts w:ascii="Garamond" w:hAnsi="Garamond"/>
          <w:b/>
          <w:sz w:val="22"/>
          <w:szCs w:val="22"/>
        </w:rPr>
        <w:t>increasing</w:t>
      </w:r>
      <w:r>
        <w:rPr>
          <w:rFonts w:ascii="Garamond" w:hAnsi="Garamond"/>
          <w:b/>
          <w:sz w:val="22"/>
          <w:szCs w:val="22"/>
        </w:rPr>
        <w:t xml:space="preserve">ly observable </w:t>
      </w:r>
      <w:r w:rsidRPr="00514F2A">
        <w:rPr>
          <w:rFonts w:ascii="Garamond" w:hAnsi="Garamond"/>
          <w:b/>
          <w:sz w:val="22"/>
          <w:szCs w:val="22"/>
        </w:rPr>
        <w:t xml:space="preserve">in all developing countries </w:t>
      </w:r>
      <w:r>
        <w:rPr>
          <w:rFonts w:ascii="Garamond" w:hAnsi="Garamond"/>
          <w:b/>
          <w:sz w:val="22"/>
          <w:szCs w:val="22"/>
        </w:rPr>
        <w:t xml:space="preserve">in </w:t>
      </w:r>
      <w:r w:rsidRPr="00514F2A">
        <w:rPr>
          <w:rFonts w:ascii="Garamond" w:hAnsi="Garamond"/>
          <w:b/>
          <w:sz w:val="22"/>
          <w:szCs w:val="22"/>
        </w:rPr>
        <w:t>the past month, which, all else being equal, makes the monetary stance more expansionary.</w:t>
      </w:r>
      <w:r>
        <w:rPr>
          <w:rFonts w:ascii="Garamond" w:hAnsi="Garamond"/>
          <w:b/>
          <w:sz w:val="22"/>
          <w:szCs w:val="22"/>
        </w:rPr>
        <w:t xml:space="preserve"> </w:t>
      </w:r>
      <w:r w:rsidR="003D40E5">
        <w:rPr>
          <w:rFonts w:ascii="Garamond" w:hAnsi="Garamond"/>
          <w:sz w:val="22"/>
          <w:szCs w:val="22"/>
        </w:rPr>
        <w:t>The Board believes that i</w:t>
      </w:r>
      <w:r w:rsidRPr="00514F2A">
        <w:rPr>
          <w:rFonts w:ascii="Garamond" w:hAnsi="Garamond"/>
          <w:sz w:val="22"/>
          <w:szCs w:val="22"/>
        </w:rPr>
        <w:t>mplement</w:t>
      </w:r>
      <w:r w:rsidR="003D40E5">
        <w:rPr>
          <w:rFonts w:ascii="Garamond" w:hAnsi="Garamond"/>
          <w:sz w:val="22"/>
          <w:szCs w:val="22"/>
        </w:rPr>
        <w:t xml:space="preserve">ing possibly a more </w:t>
      </w:r>
      <w:r w:rsidR="003D40E5" w:rsidRPr="00514F2A">
        <w:rPr>
          <w:rFonts w:ascii="Garamond" w:hAnsi="Garamond"/>
          <w:sz w:val="22"/>
          <w:szCs w:val="22"/>
        </w:rPr>
        <w:t>transparent and predictable</w:t>
      </w:r>
      <w:r w:rsidR="003D40E5">
        <w:rPr>
          <w:rFonts w:ascii="Garamond" w:hAnsi="Garamond"/>
          <w:sz w:val="22"/>
          <w:szCs w:val="22"/>
        </w:rPr>
        <w:t xml:space="preserve"> </w:t>
      </w:r>
      <w:r w:rsidR="003D40E5" w:rsidRPr="00514F2A">
        <w:rPr>
          <w:rFonts w:ascii="Garamond" w:hAnsi="Garamond"/>
          <w:sz w:val="22"/>
          <w:szCs w:val="22"/>
        </w:rPr>
        <w:t>monetary policy</w:t>
      </w:r>
      <w:r w:rsidR="003D40E5">
        <w:rPr>
          <w:rFonts w:ascii="Garamond" w:hAnsi="Garamond"/>
          <w:sz w:val="22"/>
          <w:szCs w:val="22"/>
        </w:rPr>
        <w:t xml:space="preserve"> is important in </w:t>
      </w:r>
      <w:r w:rsidR="003D40E5" w:rsidRPr="00514F2A">
        <w:rPr>
          <w:rFonts w:ascii="Garamond" w:hAnsi="Garamond"/>
          <w:sz w:val="22"/>
          <w:szCs w:val="22"/>
        </w:rPr>
        <w:t>view of anchoring inflationary expectations</w:t>
      </w:r>
      <w:r w:rsidR="003D40E5">
        <w:rPr>
          <w:rFonts w:ascii="Garamond" w:hAnsi="Garamond"/>
          <w:sz w:val="22"/>
          <w:szCs w:val="22"/>
        </w:rPr>
        <w:t>.</w:t>
      </w:r>
    </w:p>
    <w:p w14:paraId="727A87A7" w14:textId="77777777" w:rsidR="00005CCB" w:rsidRPr="003D40E5" w:rsidRDefault="003D40E5" w:rsidP="00EE619D">
      <w:pPr>
        <w:autoSpaceDE w:val="0"/>
        <w:autoSpaceDN w:val="0"/>
        <w:adjustRightInd w:val="0"/>
        <w:spacing w:after="120" w:line="360" w:lineRule="auto"/>
        <w:jc w:val="both"/>
        <w:rPr>
          <w:rFonts w:ascii="Garamond" w:hAnsi="Garamond"/>
          <w:b/>
          <w:sz w:val="22"/>
          <w:szCs w:val="22"/>
        </w:rPr>
      </w:pPr>
      <w:r>
        <w:rPr>
          <w:rFonts w:ascii="Garamond" w:hAnsi="Garamond"/>
          <w:b/>
          <w:sz w:val="22"/>
          <w:szCs w:val="22"/>
        </w:rPr>
        <w:t xml:space="preserve">On the back of </w:t>
      </w:r>
      <w:r w:rsidRPr="003D40E5">
        <w:rPr>
          <w:rFonts w:ascii="Garamond" w:hAnsi="Garamond"/>
          <w:b/>
          <w:sz w:val="22"/>
          <w:szCs w:val="22"/>
        </w:rPr>
        <w:t xml:space="preserve">the coronavirus pandemic and </w:t>
      </w:r>
      <w:r>
        <w:rPr>
          <w:rFonts w:ascii="Garamond" w:hAnsi="Garamond"/>
          <w:b/>
          <w:sz w:val="22"/>
          <w:szCs w:val="22"/>
        </w:rPr>
        <w:t>anti-epidemic measures, Armenia’</w:t>
      </w:r>
      <w:r w:rsidRPr="003D40E5">
        <w:rPr>
          <w:rFonts w:ascii="Garamond" w:hAnsi="Garamond"/>
          <w:b/>
          <w:sz w:val="22"/>
          <w:szCs w:val="22"/>
        </w:rPr>
        <w:t xml:space="preserve">s economic growth will decrease </w:t>
      </w:r>
      <w:r>
        <w:rPr>
          <w:rFonts w:ascii="Garamond" w:hAnsi="Garamond"/>
          <w:b/>
          <w:sz w:val="22"/>
          <w:szCs w:val="22"/>
        </w:rPr>
        <w:t>considerably</w:t>
      </w:r>
      <w:r w:rsidRPr="003D40E5">
        <w:rPr>
          <w:rFonts w:ascii="Garamond" w:hAnsi="Garamond"/>
          <w:b/>
          <w:sz w:val="22"/>
          <w:szCs w:val="22"/>
        </w:rPr>
        <w:t xml:space="preserve"> in 2020 </w:t>
      </w:r>
      <w:r>
        <w:rPr>
          <w:rFonts w:ascii="Garamond" w:hAnsi="Garamond"/>
          <w:b/>
          <w:sz w:val="22"/>
          <w:szCs w:val="22"/>
        </w:rPr>
        <w:t>but</w:t>
      </w:r>
      <w:r w:rsidRPr="003D40E5">
        <w:rPr>
          <w:rFonts w:ascii="Garamond" w:hAnsi="Garamond"/>
          <w:b/>
          <w:sz w:val="22"/>
          <w:szCs w:val="22"/>
        </w:rPr>
        <w:t xml:space="preserve"> will return to </w:t>
      </w:r>
      <w:r>
        <w:rPr>
          <w:rFonts w:ascii="Garamond" w:hAnsi="Garamond"/>
          <w:b/>
          <w:sz w:val="22"/>
          <w:szCs w:val="22"/>
        </w:rPr>
        <w:t xml:space="preserve">the </w:t>
      </w:r>
      <w:r w:rsidRPr="003D40E5">
        <w:rPr>
          <w:rFonts w:ascii="Garamond" w:hAnsi="Garamond"/>
          <w:b/>
          <w:sz w:val="22"/>
          <w:szCs w:val="22"/>
        </w:rPr>
        <w:t xml:space="preserve">potential </w:t>
      </w:r>
      <w:r>
        <w:rPr>
          <w:rFonts w:ascii="Garamond" w:hAnsi="Garamond"/>
          <w:b/>
          <w:sz w:val="22"/>
          <w:szCs w:val="22"/>
        </w:rPr>
        <w:t>level in</w:t>
      </w:r>
      <w:r w:rsidRPr="003D40E5">
        <w:rPr>
          <w:rFonts w:ascii="Garamond" w:hAnsi="Garamond"/>
          <w:b/>
          <w:sz w:val="22"/>
          <w:szCs w:val="22"/>
        </w:rPr>
        <w:t xml:space="preserve"> the forecast horizon, a</w:t>
      </w:r>
      <w:r>
        <w:rPr>
          <w:rFonts w:ascii="Garamond" w:hAnsi="Garamond"/>
          <w:b/>
          <w:sz w:val="22"/>
          <w:szCs w:val="22"/>
        </w:rPr>
        <w:t xml:space="preserve">s </w:t>
      </w:r>
      <w:r w:rsidRPr="003D40E5">
        <w:rPr>
          <w:rFonts w:ascii="Garamond" w:hAnsi="Garamond"/>
          <w:b/>
          <w:sz w:val="22"/>
          <w:szCs w:val="22"/>
        </w:rPr>
        <w:t>uncertainties</w:t>
      </w:r>
      <w:r>
        <w:rPr>
          <w:rFonts w:ascii="Garamond" w:hAnsi="Garamond"/>
          <w:b/>
          <w:sz w:val="22"/>
          <w:szCs w:val="22"/>
        </w:rPr>
        <w:t xml:space="preserve"> retreat</w:t>
      </w:r>
      <w:r w:rsidRPr="003D40E5">
        <w:rPr>
          <w:rFonts w:ascii="Garamond" w:hAnsi="Garamond"/>
          <w:b/>
          <w:sz w:val="22"/>
          <w:szCs w:val="22"/>
        </w:rPr>
        <w:t>.</w:t>
      </w:r>
    </w:p>
    <w:p w14:paraId="507550F0" w14:textId="77777777" w:rsidR="00005CCB" w:rsidRDefault="003D40E5" w:rsidP="00EE619D">
      <w:pPr>
        <w:autoSpaceDE w:val="0"/>
        <w:autoSpaceDN w:val="0"/>
        <w:adjustRightInd w:val="0"/>
        <w:spacing w:after="120" w:line="360" w:lineRule="auto"/>
        <w:jc w:val="both"/>
        <w:rPr>
          <w:rFonts w:ascii="Garamond" w:hAnsi="Garamond"/>
          <w:sz w:val="22"/>
          <w:szCs w:val="22"/>
        </w:rPr>
      </w:pPr>
      <w:r w:rsidRPr="003D40E5">
        <w:rPr>
          <w:rFonts w:ascii="Garamond" w:hAnsi="Garamond"/>
          <w:sz w:val="22"/>
          <w:szCs w:val="22"/>
        </w:rPr>
        <w:t>To neutralize negative effects of the new</w:t>
      </w:r>
      <w:r w:rsidR="007E6B23">
        <w:rPr>
          <w:rFonts w:ascii="Garamond" w:hAnsi="Garamond"/>
          <w:sz w:val="22"/>
          <w:szCs w:val="22"/>
        </w:rPr>
        <w:t xml:space="preserve"> </w:t>
      </w:r>
      <w:r>
        <w:rPr>
          <w:rFonts w:ascii="Garamond" w:hAnsi="Garamond"/>
          <w:sz w:val="22"/>
          <w:szCs w:val="22"/>
        </w:rPr>
        <w:t>type</w:t>
      </w:r>
      <w:r w:rsidRPr="003D40E5">
        <w:rPr>
          <w:rFonts w:ascii="Garamond" w:hAnsi="Garamond"/>
          <w:sz w:val="22"/>
          <w:szCs w:val="22"/>
        </w:rPr>
        <w:t xml:space="preserve"> coronavirus on the Armenian economy, the Armenian government </w:t>
      </w:r>
      <w:r w:rsidR="007E6B23">
        <w:rPr>
          <w:rFonts w:ascii="Garamond" w:hAnsi="Garamond"/>
          <w:sz w:val="22"/>
          <w:szCs w:val="22"/>
        </w:rPr>
        <w:t xml:space="preserve">works on </w:t>
      </w:r>
      <w:r w:rsidRPr="003D40E5">
        <w:rPr>
          <w:rFonts w:ascii="Garamond" w:hAnsi="Garamond"/>
          <w:sz w:val="22"/>
          <w:szCs w:val="22"/>
        </w:rPr>
        <w:t>developing fiscal incentives. Ex</w:t>
      </w:r>
      <w:r w:rsidR="007E6B23">
        <w:rPr>
          <w:rFonts w:ascii="Garamond" w:hAnsi="Garamond"/>
          <w:sz w:val="22"/>
          <w:szCs w:val="22"/>
        </w:rPr>
        <w:t xml:space="preserve">tra spending </w:t>
      </w:r>
      <w:r w:rsidRPr="003D40E5">
        <w:rPr>
          <w:rFonts w:ascii="Garamond" w:hAnsi="Garamond"/>
          <w:sz w:val="22"/>
          <w:szCs w:val="22"/>
        </w:rPr>
        <w:t xml:space="preserve">of about </w:t>
      </w:r>
      <w:r w:rsidR="007E6B23">
        <w:rPr>
          <w:rFonts w:ascii="Garamond" w:hAnsi="Garamond"/>
          <w:sz w:val="22"/>
          <w:szCs w:val="22"/>
        </w:rPr>
        <w:t xml:space="preserve">AMD </w:t>
      </w:r>
      <w:r w:rsidRPr="003D40E5">
        <w:rPr>
          <w:rFonts w:ascii="Garamond" w:hAnsi="Garamond"/>
          <w:sz w:val="22"/>
          <w:szCs w:val="22"/>
        </w:rPr>
        <w:t xml:space="preserve">150.0 billion </w:t>
      </w:r>
      <w:r w:rsidR="007E6B23">
        <w:rPr>
          <w:rFonts w:ascii="Garamond" w:hAnsi="Garamond"/>
          <w:sz w:val="22"/>
          <w:szCs w:val="22"/>
        </w:rPr>
        <w:t xml:space="preserve">is </w:t>
      </w:r>
      <w:r w:rsidRPr="003D40E5">
        <w:rPr>
          <w:rFonts w:ascii="Garamond" w:hAnsi="Garamond"/>
          <w:sz w:val="22"/>
          <w:szCs w:val="22"/>
        </w:rPr>
        <w:t>envisaged, which, ho</w:t>
      </w:r>
      <w:r w:rsidR="007E6B23">
        <w:rPr>
          <w:rFonts w:ascii="Garamond" w:hAnsi="Garamond"/>
          <w:sz w:val="22"/>
          <w:szCs w:val="22"/>
        </w:rPr>
        <w:t>wever, is not included in this P</w:t>
      </w:r>
      <w:r w:rsidRPr="003D40E5">
        <w:rPr>
          <w:rFonts w:ascii="Garamond" w:hAnsi="Garamond"/>
          <w:sz w:val="22"/>
          <w:szCs w:val="22"/>
        </w:rPr>
        <w:t>rogram</w:t>
      </w:r>
      <w:r w:rsidR="007E6B23">
        <w:rPr>
          <w:rFonts w:ascii="Garamond" w:hAnsi="Garamond"/>
          <w:sz w:val="22"/>
          <w:szCs w:val="22"/>
        </w:rPr>
        <w:t>:</w:t>
      </w:r>
      <w:r w:rsidRPr="003D40E5">
        <w:rPr>
          <w:rFonts w:ascii="Garamond" w:hAnsi="Garamond"/>
          <w:sz w:val="22"/>
          <w:szCs w:val="22"/>
        </w:rPr>
        <w:t xml:space="preserve"> </w:t>
      </w:r>
      <w:r w:rsidR="007E6B23">
        <w:rPr>
          <w:rFonts w:ascii="Garamond" w:hAnsi="Garamond"/>
          <w:sz w:val="22"/>
          <w:szCs w:val="22"/>
        </w:rPr>
        <w:t xml:space="preserve">the </w:t>
      </w:r>
      <w:r w:rsidR="007E6B23" w:rsidRPr="003D40E5">
        <w:rPr>
          <w:rFonts w:ascii="Garamond" w:hAnsi="Garamond"/>
          <w:sz w:val="22"/>
          <w:szCs w:val="22"/>
        </w:rPr>
        <w:t>expenditure</w:t>
      </w:r>
      <w:r w:rsidR="007E6B23">
        <w:rPr>
          <w:rFonts w:ascii="Garamond" w:hAnsi="Garamond"/>
          <w:sz w:val="22"/>
          <w:szCs w:val="22"/>
        </w:rPr>
        <w:t xml:space="preserve"> </w:t>
      </w:r>
      <w:r w:rsidRPr="003D40E5">
        <w:rPr>
          <w:rFonts w:ascii="Garamond" w:hAnsi="Garamond"/>
          <w:sz w:val="22"/>
          <w:szCs w:val="22"/>
        </w:rPr>
        <w:t xml:space="preserve">directions </w:t>
      </w:r>
      <w:r w:rsidR="007E6B23">
        <w:rPr>
          <w:rFonts w:ascii="Garamond" w:hAnsi="Garamond"/>
          <w:sz w:val="22"/>
          <w:szCs w:val="22"/>
        </w:rPr>
        <w:t>and plans are still in the pipeline</w:t>
      </w:r>
      <w:r w:rsidRPr="003D40E5">
        <w:rPr>
          <w:rFonts w:ascii="Garamond" w:hAnsi="Garamond"/>
          <w:sz w:val="22"/>
          <w:szCs w:val="22"/>
        </w:rPr>
        <w:t>, so assess</w:t>
      </w:r>
      <w:r w:rsidR="007E6B23">
        <w:rPr>
          <w:rFonts w:ascii="Garamond" w:hAnsi="Garamond"/>
          <w:sz w:val="22"/>
          <w:szCs w:val="22"/>
        </w:rPr>
        <w:t>ing</w:t>
      </w:r>
      <w:r w:rsidRPr="003D40E5">
        <w:rPr>
          <w:rFonts w:ascii="Garamond" w:hAnsi="Garamond"/>
          <w:sz w:val="22"/>
          <w:szCs w:val="22"/>
        </w:rPr>
        <w:t xml:space="preserve"> </w:t>
      </w:r>
      <w:r w:rsidR="007E6B23">
        <w:rPr>
          <w:rFonts w:ascii="Garamond" w:hAnsi="Garamond"/>
          <w:sz w:val="22"/>
          <w:szCs w:val="22"/>
        </w:rPr>
        <w:t xml:space="preserve">the </w:t>
      </w:r>
      <w:r w:rsidRPr="003D40E5">
        <w:rPr>
          <w:rFonts w:ascii="Garamond" w:hAnsi="Garamond"/>
          <w:sz w:val="22"/>
          <w:szCs w:val="22"/>
        </w:rPr>
        <w:t xml:space="preserve">possible course of </w:t>
      </w:r>
      <w:r w:rsidR="007E6B23">
        <w:rPr>
          <w:rFonts w:ascii="Garamond" w:hAnsi="Garamond"/>
          <w:sz w:val="22"/>
          <w:szCs w:val="22"/>
        </w:rPr>
        <w:t xml:space="preserve">expenditures </w:t>
      </w:r>
      <w:r w:rsidRPr="003D40E5">
        <w:rPr>
          <w:rFonts w:ascii="Garamond" w:hAnsi="Garamond"/>
          <w:sz w:val="22"/>
          <w:szCs w:val="22"/>
        </w:rPr>
        <w:t xml:space="preserve">and </w:t>
      </w:r>
      <w:r w:rsidR="007E6B23">
        <w:rPr>
          <w:rFonts w:ascii="Garamond" w:hAnsi="Garamond"/>
          <w:sz w:val="22"/>
          <w:szCs w:val="22"/>
        </w:rPr>
        <w:t xml:space="preserve">measuring </w:t>
      </w:r>
      <w:r w:rsidRPr="003D40E5">
        <w:rPr>
          <w:rFonts w:ascii="Garamond" w:hAnsi="Garamond"/>
          <w:sz w:val="22"/>
          <w:szCs w:val="22"/>
        </w:rPr>
        <w:t>the</w:t>
      </w:r>
      <w:r w:rsidR="007E6B23">
        <w:rPr>
          <w:rFonts w:ascii="Garamond" w:hAnsi="Garamond"/>
          <w:sz w:val="22"/>
          <w:szCs w:val="22"/>
        </w:rPr>
        <w:t>ir</w:t>
      </w:r>
      <w:r w:rsidRPr="003D40E5">
        <w:rPr>
          <w:rFonts w:ascii="Garamond" w:hAnsi="Garamond"/>
          <w:sz w:val="22"/>
          <w:szCs w:val="22"/>
        </w:rPr>
        <w:t xml:space="preserve"> impact on aggregate demand</w:t>
      </w:r>
      <w:r w:rsidR="007E6B23">
        <w:rPr>
          <w:rFonts w:ascii="Garamond" w:hAnsi="Garamond"/>
          <w:sz w:val="22"/>
          <w:szCs w:val="22"/>
        </w:rPr>
        <w:t xml:space="preserve"> is </w:t>
      </w:r>
      <w:r w:rsidR="007E6B23" w:rsidRPr="003D40E5">
        <w:rPr>
          <w:rFonts w:ascii="Garamond" w:hAnsi="Garamond"/>
          <w:sz w:val="22"/>
          <w:szCs w:val="22"/>
        </w:rPr>
        <w:t>difficult</w:t>
      </w:r>
      <w:r w:rsidR="007E6B23">
        <w:rPr>
          <w:rFonts w:ascii="Garamond" w:hAnsi="Garamond"/>
          <w:sz w:val="22"/>
          <w:szCs w:val="22"/>
        </w:rPr>
        <w:t xml:space="preserve"> </w:t>
      </w:r>
      <w:r w:rsidR="007E6B23" w:rsidRPr="003D40E5">
        <w:rPr>
          <w:rFonts w:ascii="Garamond" w:hAnsi="Garamond"/>
          <w:sz w:val="22"/>
          <w:szCs w:val="22"/>
        </w:rPr>
        <w:t>at the moment</w:t>
      </w:r>
      <w:r w:rsidR="007E6B23">
        <w:rPr>
          <w:rFonts w:ascii="Garamond" w:hAnsi="Garamond"/>
          <w:sz w:val="22"/>
          <w:szCs w:val="22"/>
        </w:rPr>
        <w:t>.</w:t>
      </w:r>
    </w:p>
    <w:p w14:paraId="0BC003BE" w14:textId="553A2D4C" w:rsidR="007E6B23" w:rsidRDefault="7DAFDB36" w:rsidP="7DAFDB36">
      <w:pPr>
        <w:autoSpaceDE w:val="0"/>
        <w:autoSpaceDN w:val="0"/>
        <w:adjustRightInd w:val="0"/>
        <w:spacing w:after="120" w:line="360" w:lineRule="auto"/>
        <w:jc w:val="both"/>
        <w:rPr>
          <w:rFonts w:ascii="Garamond" w:hAnsi="Garamond"/>
          <w:b/>
          <w:bCs/>
          <w:sz w:val="22"/>
          <w:szCs w:val="22"/>
        </w:rPr>
      </w:pPr>
      <w:r w:rsidRPr="7DAFDB36">
        <w:rPr>
          <w:rFonts w:ascii="Garamond" w:hAnsi="Garamond"/>
          <w:b/>
          <w:bCs/>
          <w:sz w:val="22"/>
          <w:szCs w:val="22"/>
        </w:rPr>
        <w:t xml:space="preserve">In the forecast horizon, risks to the inflation path and economic growth are generally high and tend to either direction, depending on the length of the epidemic situation and the pace of anti-epidemic measures </w:t>
      </w:r>
      <w:r w:rsidRPr="7DAFDB36">
        <w:rPr>
          <w:rFonts w:ascii="Garamond" w:hAnsi="Garamond"/>
          <w:sz w:val="22"/>
          <w:szCs w:val="22"/>
        </w:rPr>
        <w:t>(see subsection 2.2.4 “Main assumptions and risks”). To assess the risks, the Central Bank is developing and considering different alternative scenarios and is ready to respond, while fulfilling the goal of price stability in the Republic of Armenia.</w:t>
      </w:r>
    </w:p>
    <w:p w14:paraId="144A5D23" w14:textId="77777777" w:rsidR="007E6B23" w:rsidRDefault="007E6B23" w:rsidP="00EE619D">
      <w:pPr>
        <w:autoSpaceDE w:val="0"/>
        <w:autoSpaceDN w:val="0"/>
        <w:adjustRightInd w:val="0"/>
        <w:spacing w:after="120" w:line="360" w:lineRule="auto"/>
        <w:jc w:val="both"/>
        <w:rPr>
          <w:rFonts w:ascii="Garamond" w:hAnsi="Garamond"/>
          <w:b/>
          <w:sz w:val="22"/>
          <w:szCs w:val="22"/>
        </w:rPr>
      </w:pPr>
    </w:p>
    <w:p w14:paraId="637F6B8F" w14:textId="77777777" w:rsidR="00EE619D" w:rsidRPr="00EE5F0F" w:rsidRDefault="00EE619D" w:rsidP="00EE619D">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2. FORECAST, FORECAST CHANGES AND RISKS</w:t>
      </w:r>
    </w:p>
    <w:p w14:paraId="378A8E7D" w14:textId="77777777" w:rsidR="00FF3B70" w:rsidRDefault="00FF3B70" w:rsidP="00EE619D">
      <w:pPr>
        <w:autoSpaceDE w:val="0"/>
        <w:autoSpaceDN w:val="0"/>
        <w:adjustRightInd w:val="0"/>
        <w:spacing w:after="120" w:line="360" w:lineRule="auto"/>
        <w:jc w:val="both"/>
        <w:rPr>
          <w:rFonts w:ascii="Garamond" w:hAnsi="Garamond"/>
          <w:b/>
          <w:color w:val="0070C0"/>
          <w:sz w:val="22"/>
          <w:szCs w:val="22"/>
        </w:rPr>
      </w:pPr>
      <w:r w:rsidRPr="00FF3B70">
        <w:rPr>
          <w:rFonts w:ascii="Garamond" w:hAnsi="Garamond" w:cs="Sylfaen"/>
          <w:i/>
          <w:color w:val="1F497D" w:themeColor="text2"/>
          <w:sz w:val="20"/>
          <w:szCs w:val="20"/>
          <w:highlight w:val="yellow"/>
        </w:rPr>
        <w:t>Box 1: The impact of coronavirus on the world economy</w:t>
      </w:r>
    </w:p>
    <w:p w14:paraId="738610EB" w14:textId="77777777" w:rsidR="00FF3B70" w:rsidRDefault="00FF3B70" w:rsidP="00EE619D">
      <w:pPr>
        <w:autoSpaceDE w:val="0"/>
        <w:autoSpaceDN w:val="0"/>
        <w:adjustRightInd w:val="0"/>
        <w:spacing w:after="120" w:line="360" w:lineRule="auto"/>
        <w:jc w:val="both"/>
        <w:rPr>
          <w:rFonts w:ascii="Garamond" w:hAnsi="Garamond"/>
          <w:b/>
          <w:color w:val="0070C0"/>
          <w:sz w:val="22"/>
          <w:szCs w:val="22"/>
        </w:rPr>
      </w:pPr>
    </w:p>
    <w:p w14:paraId="637805D2" w14:textId="77777777" w:rsidR="00FF3B70" w:rsidRDefault="00FF3B70" w:rsidP="00EE619D">
      <w:pPr>
        <w:autoSpaceDE w:val="0"/>
        <w:autoSpaceDN w:val="0"/>
        <w:adjustRightInd w:val="0"/>
        <w:spacing w:after="120" w:line="360" w:lineRule="auto"/>
        <w:jc w:val="both"/>
        <w:rPr>
          <w:rFonts w:ascii="Garamond" w:hAnsi="Garamond"/>
          <w:b/>
          <w:color w:val="0070C0"/>
          <w:sz w:val="22"/>
          <w:szCs w:val="22"/>
        </w:rPr>
      </w:pPr>
    </w:p>
    <w:p w14:paraId="4207F184" w14:textId="77777777" w:rsidR="00EE619D" w:rsidRPr="00EE5F0F" w:rsidRDefault="00EE619D" w:rsidP="00EE619D">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lastRenderedPageBreak/>
        <w:t>2.1. External environment</w:t>
      </w:r>
    </w:p>
    <w:p w14:paraId="1647795B" w14:textId="77777777" w:rsidR="003417FE" w:rsidRDefault="005B6EBC" w:rsidP="00BB6B16">
      <w:pPr>
        <w:autoSpaceDE w:val="0"/>
        <w:autoSpaceDN w:val="0"/>
        <w:adjustRightInd w:val="0"/>
        <w:spacing w:after="120" w:line="360" w:lineRule="auto"/>
        <w:jc w:val="both"/>
        <w:rPr>
          <w:rFonts w:ascii="Garamond" w:hAnsi="Garamond"/>
          <w:sz w:val="22"/>
          <w:szCs w:val="22"/>
        </w:rPr>
      </w:pPr>
      <w:r>
        <w:rPr>
          <w:rFonts w:ascii="Garamond" w:hAnsi="Garamond"/>
          <w:b/>
          <w:sz w:val="22"/>
          <w:szCs w:val="22"/>
        </w:rPr>
        <w:t xml:space="preserve">Shortly after </w:t>
      </w:r>
      <w:r w:rsidRPr="005B6EBC">
        <w:rPr>
          <w:rFonts w:ascii="Garamond" w:hAnsi="Garamond"/>
          <w:b/>
          <w:sz w:val="22"/>
          <w:szCs w:val="22"/>
        </w:rPr>
        <w:t>uncertaint</w:t>
      </w:r>
      <w:r>
        <w:rPr>
          <w:rFonts w:ascii="Garamond" w:hAnsi="Garamond"/>
          <w:b/>
          <w:sz w:val="22"/>
          <w:szCs w:val="22"/>
        </w:rPr>
        <w:t xml:space="preserve">ies </w:t>
      </w:r>
      <w:r w:rsidR="00777E7B">
        <w:rPr>
          <w:rFonts w:ascii="Garamond" w:hAnsi="Garamond"/>
          <w:b/>
          <w:sz w:val="22"/>
          <w:szCs w:val="22"/>
        </w:rPr>
        <w:t>about the</w:t>
      </w:r>
      <w:r>
        <w:rPr>
          <w:rFonts w:ascii="Garamond" w:hAnsi="Garamond"/>
          <w:b/>
          <w:sz w:val="22"/>
          <w:szCs w:val="22"/>
        </w:rPr>
        <w:t xml:space="preserve"> global economy, hit by trade wars, were about to end, the world </w:t>
      </w:r>
      <w:r w:rsidR="004946F9">
        <w:rPr>
          <w:rFonts w:ascii="Garamond" w:hAnsi="Garamond"/>
          <w:b/>
          <w:sz w:val="22"/>
          <w:szCs w:val="22"/>
        </w:rPr>
        <w:t>started</w:t>
      </w:r>
      <w:r w:rsidRPr="005B6EBC">
        <w:rPr>
          <w:rFonts w:ascii="Garamond" w:hAnsi="Garamond"/>
          <w:b/>
          <w:sz w:val="22"/>
          <w:szCs w:val="22"/>
        </w:rPr>
        <w:t xml:space="preserve"> bear</w:t>
      </w:r>
      <w:r>
        <w:rPr>
          <w:rFonts w:ascii="Garamond" w:hAnsi="Garamond"/>
          <w:b/>
          <w:sz w:val="22"/>
          <w:szCs w:val="22"/>
        </w:rPr>
        <w:t>ing</w:t>
      </w:r>
      <w:r w:rsidRPr="005B6EBC">
        <w:rPr>
          <w:rFonts w:ascii="Garamond" w:hAnsi="Garamond"/>
          <w:b/>
          <w:sz w:val="22"/>
          <w:szCs w:val="22"/>
        </w:rPr>
        <w:t xml:space="preserve"> the brunt of the spread of a new type coronavirus </w:t>
      </w:r>
      <w:r w:rsidR="004946F9">
        <w:rPr>
          <w:rFonts w:ascii="Garamond" w:hAnsi="Garamond"/>
          <w:b/>
          <w:sz w:val="22"/>
          <w:szCs w:val="22"/>
        </w:rPr>
        <w:t>in early 2020</w:t>
      </w:r>
      <w:r w:rsidRPr="005B6EBC">
        <w:rPr>
          <w:rFonts w:ascii="Garamond" w:hAnsi="Garamond"/>
          <w:b/>
          <w:sz w:val="22"/>
          <w:szCs w:val="22"/>
        </w:rPr>
        <w:t xml:space="preserve">. </w:t>
      </w:r>
      <w:r w:rsidR="004946F9">
        <w:rPr>
          <w:rFonts w:ascii="Garamond" w:hAnsi="Garamond"/>
          <w:b/>
          <w:sz w:val="22"/>
          <w:szCs w:val="22"/>
        </w:rPr>
        <w:t xml:space="preserve">Nonetheless, </w:t>
      </w:r>
      <w:r w:rsidR="00A50541">
        <w:rPr>
          <w:rFonts w:ascii="Garamond" w:hAnsi="Garamond"/>
          <w:b/>
          <w:sz w:val="22"/>
          <w:szCs w:val="22"/>
        </w:rPr>
        <w:t xml:space="preserve">with </w:t>
      </w:r>
      <w:r w:rsidRPr="005B6EBC">
        <w:rPr>
          <w:rFonts w:ascii="Garamond" w:hAnsi="Garamond"/>
          <w:b/>
          <w:sz w:val="22"/>
          <w:szCs w:val="22"/>
        </w:rPr>
        <w:t>current economic climate</w:t>
      </w:r>
      <w:r w:rsidR="004946F9">
        <w:rPr>
          <w:rFonts w:ascii="Garamond" w:hAnsi="Garamond"/>
          <w:b/>
          <w:sz w:val="22"/>
          <w:szCs w:val="22"/>
        </w:rPr>
        <w:t xml:space="preserve"> and </w:t>
      </w:r>
      <w:r w:rsidR="00A50541">
        <w:rPr>
          <w:rFonts w:ascii="Garamond" w:hAnsi="Garamond"/>
          <w:b/>
          <w:sz w:val="22"/>
          <w:szCs w:val="22"/>
        </w:rPr>
        <w:t xml:space="preserve">in the </w:t>
      </w:r>
      <w:proofErr w:type="gramStart"/>
      <w:r w:rsidR="00A50541">
        <w:rPr>
          <w:rFonts w:ascii="Garamond" w:hAnsi="Garamond"/>
          <w:b/>
          <w:sz w:val="22"/>
          <w:szCs w:val="22"/>
        </w:rPr>
        <w:t>event</w:t>
      </w:r>
      <w:proofErr w:type="gramEnd"/>
      <w:r w:rsidR="00A50541">
        <w:rPr>
          <w:rFonts w:ascii="Garamond" w:hAnsi="Garamond"/>
          <w:b/>
          <w:sz w:val="22"/>
          <w:szCs w:val="22"/>
        </w:rPr>
        <w:t xml:space="preserve"> </w:t>
      </w:r>
      <w:r w:rsidRPr="005B6EBC">
        <w:rPr>
          <w:rFonts w:ascii="Garamond" w:hAnsi="Garamond"/>
          <w:b/>
          <w:sz w:val="22"/>
          <w:szCs w:val="22"/>
        </w:rPr>
        <w:t>uncertaint</w:t>
      </w:r>
      <w:r w:rsidR="00A50541">
        <w:rPr>
          <w:rFonts w:ascii="Garamond" w:hAnsi="Garamond"/>
          <w:b/>
          <w:sz w:val="22"/>
          <w:szCs w:val="22"/>
        </w:rPr>
        <w:t xml:space="preserve">ies grow, </w:t>
      </w:r>
      <w:r w:rsidRPr="005B6EBC">
        <w:rPr>
          <w:rFonts w:ascii="Garamond" w:hAnsi="Garamond"/>
          <w:b/>
          <w:sz w:val="22"/>
          <w:szCs w:val="22"/>
        </w:rPr>
        <w:t>the</w:t>
      </w:r>
      <w:r w:rsidR="00A50541">
        <w:rPr>
          <w:rFonts w:ascii="Garamond" w:hAnsi="Garamond"/>
          <w:b/>
          <w:sz w:val="22"/>
          <w:szCs w:val="22"/>
        </w:rPr>
        <w:t xml:space="preserve">re is prediction that the </w:t>
      </w:r>
      <w:r w:rsidRPr="005B6EBC">
        <w:rPr>
          <w:rFonts w:ascii="Garamond" w:hAnsi="Garamond"/>
          <w:b/>
          <w:sz w:val="22"/>
          <w:szCs w:val="22"/>
        </w:rPr>
        <w:t xml:space="preserve">slowdown in the world economy will continue </w:t>
      </w:r>
      <w:r w:rsidR="00A50541">
        <w:rPr>
          <w:rFonts w:ascii="Garamond" w:hAnsi="Garamond"/>
          <w:b/>
          <w:sz w:val="22"/>
          <w:szCs w:val="22"/>
        </w:rPr>
        <w:t>up until the end of the first half of 2020. Following t</w:t>
      </w:r>
      <w:r w:rsidR="00A50541" w:rsidRPr="005B6EBC">
        <w:rPr>
          <w:rFonts w:ascii="Garamond" w:hAnsi="Garamond"/>
          <w:b/>
          <w:sz w:val="22"/>
          <w:szCs w:val="22"/>
        </w:rPr>
        <w:t>he slowdown</w:t>
      </w:r>
      <w:r w:rsidR="00A50541">
        <w:rPr>
          <w:rFonts w:ascii="Garamond" w:hAnsi="Garamond"/>
          <w:b/>
          <w:sz w:val="22"/>
          <w:szCs w:val="22"/>
        </w:rPr>
        <w:t xml:space="preserve"> </w:t>
      </w:r>
      <w:r w:rsidR="00A50541" w:rsidRPr="005B6EBC">
        <w:rPr>
          <w:rFonts w:ascii="Garamond" w:hAnsi="Garamond"/>
          <w:b/>
          <w:sz w:val="22"/>
          <w:szCs w:val="22"/>
        </w:rPr>
        <w:t>at the beginning of the year</w:t>
      </w:r>
      <w:r w:rsidR="00A50541">
        <w:rPr>
          <w:rFonts w:ascii="Garamond" w:hAnsi="Garamond"/>
          <w:b/>
          <w:sz w:val="22"/>
          <w:szCs w:val="22"/>
        </w:rPr>
        <w:t>, t</w:t>
      </w:r>
      <w:r w:rsidR="00A50541" w:rsidRPr="005B6EBC">
        <w:rPr>
          <w:rFonts w:ascii="Garamond" w:hAnsi="Garamond"/>
          <w:b/>
          <w:sz w:val="22"/>
          <w:szCs w:val="22"/>
        </w:rPr>
        <w:t>he world economy</w:t>
      </w:r>
      <w:r w:rsidR="00A50541">
        <w:rPr>
          <w:rFonts w:ascii="Garamond" w:hAnsi="Garamond"/>
          <w:b/>
          <w:sz w:val="22"/>
          <w:szCs w:val="22"/>
        </w:rPr>
        <w:t xml:space="preserve"> is expected to somewhat accelerate over </w:t>
      </w:r>
      <w:r w:rsidRPr="005B6EBC">
        <w:rPr>
          <w:rFonts w:ascii="Garamond" w:hAnsi="Garamond"/>
          <w:b/>
          <w:sz w:val="22"/>
          <w:szCs w:val="22"/>
        </w:rPr>
        <w:t>the second half of the year.</w:t>
      </w:r>
      <w:r w:rsidR="00A50541">
        <w:rPr>
          <w:rFonts w:ascii="Garamond" w:hAnsi="Garamond"/>
          <w:b/>
          <w:sz w:val="22"/>
          <w:szCs w:val="22"/>
        </w:rPr>
        <w:t xml:space="preserve"> </w:t>
      </w:r>
      <w:r w:rsidR="00D92A16">
        <w:rPr>
          <w:rFonts w:ascii="Garamond" w:hAnsi="Garamond"/>
          <w:b/>
          <w:sz w:val="22"/>
          <w:szCs w:val="22"/>
        </w:rPr>
        <w:t>I</w:t>
      </w:r>
      <w:r w:rsidR="00EE39CC">
        <w:rPr>
          <w:rFonts w:ascii="Garamond" w:hAnsi="Garamond"/>
          <w:b/>
          <w:sz w:val="22"/>
          <w:szCs w:val="22"/>
        </w:rPr>
        <w:t xml:space="preserve">n particular, </w:t>
      </w:r>
      <w:r w:rsidR="00BB6B16">
        <w:rPr>
          <w:rFonts w:ascii="Garamond" w:hAnsi="Garamond"/>
          <w:b/>
          <w:sz w:val="22"/>
          <w:szCs w:val="22"/>
        </w:rPr>
        <w:t xml:space="preserve">according to the baseline scenario, </w:t>
      </w:r>
      <w:r w:rsidR="00EE39CC">
        <w:rPr>
          <w:rFonts w:ascii="Garamond" w:hAnsi="Garamond"/>
          <w:b/>
          <w:sz w:val="22"/>
          <w:szCs w:val="22"/>
        </w:rPr>
        <w:t>e</w:t>
      </w:r>
      <w:r w:rsidR="0007024C">
        <w:rPr>
          <w:rFonts w:ascii="Garamond" w:hAnsi="Garamond"/>
          <w:b/>
          <w:sz w:val="22"/>
          <w:szCs w:val="22"/>
        </w:rPr>
        <w:t xml:space="preserve">conomic growth </w:t>
      </w:r>
      <w:r w:rsidR="00BB6B16">
        <w:rPr>
          <w:rFonts w:ascii="Garamond" w:hAnsi="Garamond"/>
          <w:b/>
          <w:sz w:val="22"/>
          <w:szCs w:val="22"/>
        </w:rPr>
        <w:t xml:space="preserve">will slow </w:t>
      </w:r>
      <w:r w:rsidR="00EB72C7">
        <w:rPr>
          <w:rFonts w:ascii="Garamond" w:hAnsi="Garamond"/>
          <w:b/>
          <w:sz w:val="22"/>
          <w:szCs w:val="22"/>
        </w:rPr>
        <w:t>i</w:t>
      </w:r>
      <w:r w:rsidR="0007024C">
        <w:rPr>
          <w:rFonts w:ascii="Garamond" w:hAnsi="Garamond"/>
          <w:b/>
          <w:sz w:val="22"/>
          <w:szCs w:val="22"/>
        </w:rPr>
        <w:t xml:space="preserve">n the </w:t>
      </w:r>
      <w:r w:rsidR="00BC3332">
        <w:rPr>
          <w:rFonts w:ascii="Garamond" w:hAnsi="Garamond"/>
          <w:b/>
          <w:sz w:val="22"/>
          <w:szCs w:val="22"/>
        </w:rPr>
        <w:t>United States</w:t>
      </w:r>
      <w:r w:rsidR="00BB6B16">
        <w:rPr>
          <w:rFonts w:ascii="Garamond" w:hAnsi="Garamond"/>
          <w:b/>
          <w:sz w:val="22"/>
          <w:szCs w:val="22"/>
        </w:rPr>
        <w:t>, Eurozone</w:t>
      </w:r>
      <w:r w:rsidR="005C04B1">
        <w:rPr>
          <w:rFonts w:ascii="Garamond" w:hAnsi="Garamond"/>
          <w:b/>
          <w:sz w:val="22"/>
          <w:szCs w:val="22"/>
        </w:rPr>
        <w:t xml:space="preserve"> </w:t>
      </w:r>
      <w:r w:rsidR="00992FC8">
        <w:rPr>
          <w:rFonts w:ascii="Garamond" w:hAnsi="Garamond"/>
          <w:b/>
          <w:sz w:val="22"/>
          <w:szCs w:val="22"/>
        </w:rPr>
        <w:t xml:space="preserve">and </w:t>
      </w:r>
      <w:r w:rsidR="00842D91">
        <w:rPr>
          <w:rFonts w:ascii="Garamond" w:hAnsi="Garamond"/>
          <w:b/>
          <w:sz w:val="22"/>
          <w:szCs w:val="22"/>
        </w:rPr>
        <w:t>Russia</w:t>
      </w:r>
      <w:r w:rsidR="00220A90">
        <w:rPr>
          <w:rFonts w:ascii="Garamond" w:hAnsi="Garamond"/>
          <w:b/>
          <w:sz w:val="22"/>
          <w:szCs w:val="22"/>
        </w:rPr>
        <w:t xml:space="preserve"> </w:t>
      </w:r>
      <w:r w:rsidR="000768E8">
        <w:rPr>
          <w:rFonts w:ascii="Garamond" w:hAnsi="Garamond"/>
          <w:b/>
          <w:sz w:val="22"/>
          <w:szCs w:val="22"/>
        </w:rPr>
        <w:t>-</w:t>
      </w:r>
      <w:r w:rsidR="00992FC8">
        <w:rPr>
          <w:rFonts w:ascii="Garamond" w:hAnsi="Garamond"/>
          <w:b/>
          <w:sz w:val="22"/>
          <w:szCs w:val="22"/>
        </w:rPr>
        <w:t xml:space="preserve"> main</w:t>
      </w:r>
      <w:r w:rsidR="00992FC8" w:rsidRPr="00EE5F0F">
        <w:rPr>
          <w:rFonts w:ascii="Garamond" w:hAnsi="Garamond"/>
          <w:b/>
          <w:sz w:val="22"/>
          <w:szCs w:val="22"/>
        </w:rPr>
        <w:t xml:space="preserve"> trade partners to Armenia</w:t>
      </w:r>
      <w:r w:rsidR="000768E8">
        <w:rPr>
          <w:rFonts w:ascii="Garamond" w:hAnsi="Garamond"/>
          <w:b/>
          <w:sz w:val="22"/>
          <w:szCs w:val="22"/>
        </w:rPr>
        <w:t xml:space="preserve"> - in the first half of 2020 and will bounce back in the second</w:t>
      </w:r>
      <w:r w:rsidR="00842D91" w:rsidRPr="00842D91">
        <w:rPr>
          <w:rFonts w:ascii="Garamond" w:hAnsi="Garamond"/>
          <w:b/>
          <w:sz w:val="22"/>
          <w:szCs w:val="22"/>
        </w:rPr>
        <w:t>.</w:t>
      </w:r>
      <w:r w:rsidR="00E76EEB" w:rsidRPr="00EE5F0F">
        <w:rPr>
          <w:rFonts w:ascii="Garamond" w:hAnsi="Garamond"/>
          <w:b/>
          <w:sz w:val="22"/>
          <w:szCs w:val="22"/>
        </w:rPr>
        <w:t xml:space="preserve"> </w:t>
      </w:r>
    </w:p>
    <w:p w14:paraId="5F8641E9" w14:textId="77777777" w:rsidR="00D25EB7" w:rsidRDefault="00EE619D" w:rsidP="00063526">
      <w:pPr>
        <w:autoSpaceDE w:val="0"/>
        <w:autoSpaceDN w:val="0"/>
        <w:adjustRightInd w:val="0"/>
        <w:spacing w:after="120" w:line="360" w:lineRule="auto"/>
        <w:jc w:val="both"/>
        <w:rPr>
          <w:rFonts w:ascii="Garamond" w:hAnsi="Garamond"/>
          <w:sz w:val="22"/>
          <w:szCs w:val="22"/>
        </w:rPr>
      </w:pPr>
      <w:r w:rsidRPr="000A5746">
        <w:rPr>
          <w:rFonts w:ascii="Garamond" w:hAnsi="Garamond"/>
          <w:b/>
          <w:sz w:val="22"/>
          <w:szCs w:val="22"/>
        </w:rPr>
        <w:t xml:space="preserve">Economic developments </w:t>
      </w:r>
      <w:r w:rsidR="00F50859" w:rsidRPr="000A5746">
        <w:rPr>
          <w:rFonts w:ascii="Garamond" w:hAnsi="Garamond"/>
          <w:b/>
          <w:sz w:val="22"/>
          <w:szCs w:val="22"/>
        </w:rPr>
        <w:t>in the</w:t>
      </w:r>
      <w:r w:rsidR="00F50859">
        <w:rPr>
          <w:rFonts w:ascii="Garamond" w:hAnsi="Garamond"/>
          <w:b/>
          <w:sz w:val="22"/>
          <w:szCs w:val="22"/>
        </w:rPr>
        <w:t xml:space="preserve"> United States</w:t>
      </w:r>
      <w:r w:rsidRPr="00EE5F0F">
        <w:rPr>
          <w:rFonts w:ascii="Garamond" w:hAnsi="Garamond"/>
          <w:b/>
          <w:sz w:val="22"/>
          <w:szCs w:val="22"/>
        </w:rPr>
        <w:t>:</w:t>
      </w:r>
      <w:r w:rsidRPr="00EE5F0F">
        <w:rPr>
          <w:rFonts w:ascii="Garamond" w:hAnsi="Garamond"/>
          <w:sz w:val="22"/>
          <w:szCs w:val="22"/>
        </w:rPr>
        <w:t xml:space="preserve"> </w:t>
      </w:r>
      <w:r w:rsidRPr="008D163A">
        <w:rPr>
          <w:rFonts w:ascii="Garamond" w:hAnsi="Garamond"/>
          <w:sz w:val="22"/>
          <w:szCs w:val="22"/>
        </w:rPr>
        <w:t>According</w:t>
      </w:r>
      <w:r w:rsidRPr="00EE5F0F">
        <w:rPr>
          <w:rFonts w:ascii="Garamond" w:hAnsi="Garamond"/>
          <w:sz w:val="22"/>
          <w:szCs w:val="22"/>
        </w:rPr>
        <w:t xml:space="preserve"> to </w:t>
      </w:r>
      <w:r w:rsidR="00F50859">
        <w:rPr>
          <w:rFonts w:ascii="Garamond" w:hAnsi="Garamond"/>
          <w:sz w:val="22"/>
          <w:szCs w:val="22"/>
        </w:rPr>
        <w:t xml:space="preserve">the </w:t>
      </w:r>
      <w:r w:rsidR="000A5746">
        <w:rPr>
          <w:rFonts w:ascii="Garamond" w:hAnsi="Garamond"/>
          <w:sz w:val="22"/>
          <w:szCs w:val="22"/>
        </w:rPr>
        <w:t>U.</w:t>
      </w:r>
      <w:r w:rsidR="0066474B" w:rsidRPr="00EE5F0F">
        <w:rPr>
          <w:rFonts w:ascii="Garamond" w:hAnsi="Garamond"/>
          <w:sz w:val="22"/>
          <w:szCs w:val="22"/>
        </w:rPr>
        <w:t xml:space="preserve">S. </w:t>
      </w:r>
      <w:r w:rsidR="0066474B">
        <w:rPr>
          <w:rFonts w:ascii="Garamond" w:hAnsi="Garamond"/>
          <w:sz w:val="22"/>
          <w:szCs w:val="22"/>
        </w:rPr>
        <w:t>Bureau of Economic Analysis</w:t>
      </w:r>
      <w:r w:rsidR="000A5746">
        <w:rPr>
          <w:rFonts w:ascii="Garamond" w:hAnsi="Garamond"/>
          <w:sz w:val="22"/>
          <w:szCs w:val="22"/>
        </w:rPr>
        <w:t xml:space="preserve"> estimate</w:t>
      </w:r>
      <w:r w:rsidRPr="00EE5F0F">
        <w:rPr>
          <w:rFonts w:ascii="Garamond" w:hAnsi="Garamond"/>
          <w:sz w:val="22"/>
          <w:szCs w:val="22"/>
        </w:rPr>
        <w:t xml:space="preserve">, economic growth in the </w:t>
      </w:r>
      <w:r w:rsidR="0066474B">
        <w:rPr>
          <w:rFonts w:ascii="Garamond" w:hAnsi="Garamond"/>
          <w:sz w:val="22"/>
          <w:szCs w:val="22"/>
        </w:rPr>
        <w:t xml:space="preserve">USA </w:t>
      </w:r>
      <w:r w:rsidR="00506EA5" w:rsidRPr="00EE5F0F">
        <w:rPr>
          <w:rFonts w:ascii="Garamond" w:hAnsi="Garamond"/>
          <w:sz w:val="22"/>
          <w:szCs w:val="22"/>
        </w:rPr>
        <w:t>in the</w:t>
      </w:r>
      <w:r w:rsidR="00151ED8">
        <w:rPr>
          <w:rFonts w:ascii="Garamond" w:hAnsi="Garamond"/>
          <w:sz w:val="22"/>
          <w:szCs w:val="22"/>
        </w:rPr>
        <w:t xml:space="preserve"> </w:t>
      </w:r>
      <w:r w:rsidR="00C47A5E">
        <w:rPr>
          <w:rFonts w:ascii="Garamond" w:hAnsi="Garamond"/>
          <w:sz w:val="22"/>
          <w:szCs w:val="22"/>
        </w:rPr>
        <w:t>fourth</w:t>
      </w:r>
      <w:r w:rsidR="0066474B">
        <w:rPr>
          <w:rFonts w:ascii="Garamond" w:hAnsi="Garamond"/>
          <w:sz w:val="22"/>
          <w:szCs w:val="22"/>
        </w:rPr>
        <w:t xml:space="preserve"> q</w:t>
      </w:r>
      <w:r w:rsidRPr="00EE5F0F">
        <w:rPr>
          <w:rFonts w:ascii="Garamond" w:hAnsi="Garamond"/>
          <w:sz w:val="22"/>
          <w:szCs w:val="22"/>
        </w:rPr>
        <w:t>uarter of 201</w:t>
      </w:r>
      <w:r w:rsidR="0066474B">
        <w:rPr>
          <w:rFonts w:ascii="Garamond" w:hAnsi="Garamond"/>
          <w:sz w:val="22"/>
          <w:szCs w:val="22"/>
        </w:rPr>
        <w:t>9</w:t>
      </w:r>
      <w:r w:rsidRPr="00EE5F0F">
        <w:rPr>
          <w:rFonts w:ascii="Garamond" w:hAnsi="Garamond"/>
          <w:sz w:val="22"/>
          <w:szCs w:val="22"/>
        </w:rPr>
        <w:t xml:space="preserve"> was </w:t>
      </w:r>
      <w:r w:rsidR="00D34BDA">
        <w:rPr>
          <w:rFonts w:ascii="Garamond" w:hAnsi="Garamond"/>
          <w:sz w:val="22"/>
          <w:szCs w:val="22"/>
        </w:rPr>
        <w:t>2</w:t>
      </w:r>
      <w:r w:rsidRPr="00EE5F0F">
        <w:rPr>
          <w:rFonts w:ascii="Garamond" w:hAnsi="Garamond"/>
          <w:sz w:val="22"/>
          <w:szCs w:val="22"/>
        </w:rPr>
        <w:t>.</w:t>
      </w:r>
      <w:r w:rsidR="00C47A5E">
        <w:rPr>
          <w:rFonts w:ascii="Garamond" w:hAnsi="Garamond"/>
          <w:sz w:val="22"/>
          <w:szCs w:val="22"/>
        </w:rPr>
        <w:t>3</w:t>
      </w:r>
      <w:r w:rsidRPr="00EE5F0F">
        <w:rPr>
          <w:rFonts w:ascii="Garamond" w:hAnsi="Garamond"/>
          <w:sz w:val="22"/>
          <w:szCs w:val="22"/>
        </w:rPr>
        <w:t>% y/y</w:t>
      </w:r>
      <w:r w:rsidR="00506EA5" w:rsidRPr="00EE5F0F">
        <w:rPr>
          <w:rFonts w:ascii="Garamond" w:hAnsi="Garamond"/>
          <w:sz w:val="22"/>
          <w:szCs w:val="22"/>
        </w:rPr>
        <w:t xml:space="preserve">, </w:t>
      </w:r>
      <w:r w:rsidR="00C47A5E">
        <w:rPr>
          <w:rFonts w:ascii="Garamond" w:hAnsi="Garamond"/>
          <w:sz w:val="22"/>
          <w:szCs w:val="22"/>
        </w:rPr>
        <w:t xml:space="preserve">driven </w:t>
      </w:r>
      <w:r w:rsidR="008D163A">
        <w:rPr>
          <w:rFonts w:ascii="Garamond" w:hAnsi="Garamond"/>
          <w:sz w:val="22"/>
          <w:szCs w:val="22"/>
        </w:rPr>
        <w:t xml:space="preserve">mainly </w:t>
      </w:r>
      <w:r w:rsidR="00C47A5E">
        <w:rPr>
          <w:rFonts w:ascii="Garamond" w:hAnsi="Garamond"/>
          <w:sz w:val="22"/>
          <w:szCs w:val="22"/>
        </w:rPr>
        <w:t>by continued positive pr</w:t>
      </w:r>
      <w:r w:rsidR="008D163A" w:rsidRPr="008D163A">
        <w:rPr>
          <w:rFonts w:ascii="Garamond" w:hAnsi="Garamond"/>
          <w:sz w:val="22"/>
          <w:szCs w:val="22"/>
        </w:rPr>
        <w:t>ivate consumption</w:t>
      </w:r>
      <w:r w:rsidR="008D163A">
        <w:rPr>
          <w:rFonts w:ascii="Garamond" w:hAnsi="Garamond"/>
          <w:sz w:val="22"/>
          <w:szCs w:val="22"/>
        </w:rPr>
        <w:t xml:space="preserve">. The 2019 </w:t>
      </w:r>
      <w:r w:rsidRPr="00EE5F0F">
        <w:rPr>
          <w:rFonts w:ascii="Garamond" w:hAnsi="Garamond"/>
          <w:sz w:val="22"/>
          <w:szCs w:val="22"/>
        </w:rPr>
        <w:t xml:space="preserve">economic growth </w:t>
      </w:r>
      <w:r w:rsidR="00C47A5E">
        <w:rPr>
          <w:rFonts w:ascii="Garamond" w:hAnsi="Garamond"/>
          <w:sz w:val="22"/>
          <w:szCs w:val="22"/>
        </w:rPr>
        <w:t>was</w:t>
      </w:r>
      <w:r w:rsidR="008D163A">
        <w:rPr>
          <w:rFonts w:ascii="Garamond" w:hAnsi="Garamond"/>
          <w:sz w:val="22"/>
          <w:szCs w:val="22"/>
        </w:rPr>
        <w:t xml:space="preserve"> an estimated </w:t>
      </w:r>
      <w:r w:rsidRPr="00EE5F0F">
        <w:rPr>
          <w:rFonts w:ascii="Garamond" w:hAnsi="Garamond"/>
          <w:sz w:val="22"/>
          <w:szCs w:val="22"/>
        </w:rPr>
        <w:t>2.</w:t>
      </w:r>
      <w:r w:rsidR="00157030">
        <w:rPr>
          <w:rFonts w:ascii="Garamond" w:hAnsi="Garamond"/>
          <w:sz w:val="22"/>
          <w:szCs w:val="22"/>
        </w:rPr>
        <w:t>3</w:t>
      </w:r>
      <w:r w:rsidRPr="00EE5F0F">
        <w:rPr>
          <w:rFonts w:ascii="Garamond" w:hAnsi="Garamond"/>
          <w:sz w:val="22"/>
          <w:szCs w:val="22"/>
        </w:rPr>
        <w:t>%</w:t>
      </w:r>
      <w:r w:rsidR="00C47A5E">
        <w:rPr>
          <w:rFonts w:ascii="Garamond" w:hAnsi="Garamond"/>
          <w:sz w:val="22"/>
          <w:szCs w:val="22"/>
        </w:rPr>
        <w:t xml:space="preserve">, </w:t>
      </w:r>
      <w:r w:rsidR="00C47A5E" w:rsidRPr="00C47A5E">
        <w:rPr>
          <w:rFonts w:ascii="Garamond" w:hAnsi="Garamond"/>
          <w:sz w:val="22"/>
          <w:szCs w:val="22"/>
        </w:rPr>
        <w:t xml:space="preserve">which is the lowest in </w:t>
      </w:r>
      <w:r w:rsidR="00C47A5E">
        <w:rPr>
          <w:rFonts w:ascii="Garamond" w:hAnsi="Garamond"/>
          <w:sz w:val="22"/>
          <w:szCs w:val="22"/>
        </w:rPr>
        <w:t xml:space="preserve">the past </w:t>
      </w:r>
      <w:r w:rsidR="00C47A5E" w:rsidRPr="00C47A5E">
        <w:rPr>
          <w:rFonts w:ascii="Garamond" w:hAnsi="Garamond"/>
          <w:sz w:val="22"/>
          <w:szCs w:val="22"/>
        </w:rPr>
        <w:t>three years</w:t>
      </w:r>
      <w:r w:rsidR="00C47A5E">
        <w:rPr>
          <w:rFonts w:ascii="Garamond" w:hAnsi="Garamond"/>
          <w:sz w:val="22"/>
          <w:szCs w:val="22"/>
        </w:rPr>
        <w:t>.</w:t>
      </w:r>
      <w:r w:rsidR="00986952" w:rsidRPr="00986952">
        <w:t xml:space="preserve"> </w:t>
      </w:r>
      <w:r w:rsidR="00986952">
        <w:rPr>
          <w:rFonts w:ascii="Garamond" w:hAnsi="Garamond"/>
          <w:sz w:val="22"/>
          <w:szCs w:val="22"/>
        </w:rPr>
        <w:t>The u</w:t>
      </w:r>
      <w:r w:rsidR="00986952" w:rsidRPr="00986952">
        <w:rPr>
          <w:rFonts w:ascii="Garamond" w:hAnsi="Garamond"/>
          <w:sz w:val="22"/>
          <w:szCs w:val="22"/>
        </w:rPr>
        <w:t xml:space="preserve">nemployment rate in the </w:t>
      </w:r>
      <w:r w:rsidR="0047796D">
        <w:rPr>
          <w:rFonts w:ascii="Garamond" w:hAnsi="Garamond"/>
          <w:sz w:val="22"/>
          <w:szCs w:val="22"/>
        </w:rPr>
        <w:t>fourth</w:t>
      </w:r>
      <w:r w:rsidR="008D163A">
        <w:rPr>
          <w:rFonts w:ascii="Garamond" w:hAnsi="Garamond"/>
          <w:sz w:val="22"/>
          <w:szCs w:val="22"/>
        </w:rPr>
        <w:t xml:space="preserve"> </w:t>
      </w:r>
      <w:r w:rsidR="00986952" w:rsidRPr="00986952">
        <w:rPr>
          <w:rFonts w:ascii="Garamond" w:hAnsi="Garamond"/>
          <w:sz w:val="22"/>
          <w:szCs w:val="22"/>
        </w:rPr>
        <w:t xml:space="preserve">quarter </w:t>
      </w:r>
      <w:r w:rsidR="00157030">
        <w:rPr>
          <w:rFonts w:ascii="Garamond" w:hAnsi="Garamond"/>
          <w:sz w:val="22"/>
          <w:szCs w:val="22"/>
        </w:rPr>
        <w:t xml:space="preserve">of 2019 </w:t>
      </w:r>
      <w:r w:rsidR="008D163A">
        <w:rPr>
          <w:rFonts w:ascii="Garamond" w:hAnsi="Garamond"/>
          <w:sz w:val="22"/>
          <w:szCs w:val="22"/>
        </w:rPr>
        <w:t>s</w:t>
      </w:r>
      <w:r w:rsidR="0047796D">
        <w:rPr>
          <w:rFonts w:ascii="Garamond" w:hAnsi="Garamond"/>
          <w:sz w:val="22"/>
          <w:szCs w:val="22"/>
        </w:rPr>
        <w:t xml:space="preserve">lightly </w:t>
      </w:r>
      <w:r w:rsidR="008D163A">
        <w:rPr>
          <w:rFonts w:ascii="Garamond" w:hAnsi="Garamond"/>
          <w:sz w:val="22"/>
          <w:szCs w:val="22"/>
        </w:rPr>
        <w:t>d</w:t>
      </w:r>
      <w:r w:rsidR="0047796D">
        <w:rPr>
          <w:rFonts w:ascii="Garamond" w:hAnsi="Garamond"/>
          <w:sz w:val="22"/>
          <w:szCs w:val="22"/>
        </w:rPr>
        <w:t xml:space="preserve">ropped </w:t>
      </w:r>
      <w:r w:rsidR="008D163A">
        <w:rPr>
          <w:rFonts w:ascii="Garamond" w:hAnsi="Garamond"/>
          <w:sz w:val="22"/>
          <w:szCs w:val="22"/>
        </w:rPr>
        <w:t xml:space="preserve">to </w:t>
      </w:r>
      <w:r w:rsidR="00986952" w:rsidRPr="00986952">
        <w:rPr>
          <w:rFonts w:ascii="Garamond" w:hAnsi="Garamond"/>
          <w:sz w:val="22"/>
          <w:szCs w:val="22"/>
        </w:rPr>
        <w:t>3.</w:t>
      </w:r>
      <w:r w:rsidR="0047796D">
        <w:rPr>
          <w:rFonts w:ascii="Garamond" w:hAnsi="Garamond"/>
          <w:sz w:val="22"/>
          <w:szCs w:val="22"/>
        </w:rPr>
        <w:t>5</w:t>
      </w:r>
      <w:r w:rsidR="00986952" w:rsidRPr="00986952">
        <w:rPr>
          <w:rFonts w:ascii="Garamond" w:hAnsi="Garamond"/>
          <w:sz w:val="22"/>
          <w:szCs w:val="22"/>
        </w:rPr>
        <w:t>%.</w:t>
      </w:r>
      <w:r w:rsidR="00692000">
        <w:rPr>
          <w:rFonts w:ascii="Garamond" w:hAnsi="Garamond"/>
          <w:sz w:val="22"/>
          <w:szCs w:val="22"/>
        </w:rPr>
        <w:t xml:space="preserve"> As th</w:t>
      </w:r>
      <w:r w:rsidR="00692000" w:rsidRPr="0047796D">
        <w:rPr>
          <w:rFonts w:ascii="Garamond" w:hAnsi="Garamond"/>
          <w:sz w:val="22"/>
          <w:szCs w:val="22"/>
        </w:rPr>
        <w:t>e world economy</w:t>
      </w:r>
      <w:r w:rsidR="00692000">
        <w:rPr>
          <w:rFonts w:ascii="Garamond" w:hAnsi="Garamond"/>
          <w:sz w:val="22"/>
          <w:szCs w:val="22"/>
        </w:rPr>
        <w:t xml:space="preserve"> slows down, t</w:t>
      </w:r>
      <w:r w:rsidR="00986952" w:rsidRPr="00986952">
        <w:rPr>
          <w:rFonts w:ascii="Garamond" w:hAnsi="Garamond"/>
          <w:sz w:val="22"/>
          <w:szCs w:val="22"/>
        </w:rPr>
        <w:t xml:space="preserve">he </w:t>
      </w:r>
      <w:r w:rsidR="00692000">
        <w:rPr>
          <w:rFonts w:ascii="Garamond" w:hAnsi="Garamond"/>
          <w:sz w:val="22"/>
          <w:szCs w:val="22"/>
        </w:rPr>
        <w:t xml:space="preserve">US </w:t>
      </w:r>
      <w:r w:rsidR="00986952" w:rsidRPr="00986952">
        <w:rPr>
          <w:rFonts w:ascii="Garamond" w:hAnsi="Garamond"/>
          <w:sz w:val="22"/>
          <w:szCs w:val="22"/>
        </w:rPr>
        <w:t xml:space="preserve">economic growth </w:t>
      </w:r>
      <w:r w:rsidR="00136E89">
        <w:rPr>
          <w:rFonts w:ascii="Garamond" w:hAnsi="Garamond"/>
          <w:sz w:val="22"/>
          <w:szCs w:val="22"/>
        </w:rPr>
        <w:t xml:space="preserve">rate </w:t>
      </w:r>
      <w:r w:rsidR="00986952">
        <w:rPr>
          <w:rFonts w:ascii="Garamond" w:hAnsi="Garamond"/>
          <w:sz w:val="22"/>
          <w:szCs w:val="22"/>
        </w:rPr>
        <w:t xml:space="preserve">is predicted to </w:t>
      </w:r>
      <w:r w:rsidR="00136E89">
        <w:rPr>
          <w:rFonts w:ascii="Garamond" w:hAnsi="Garamond"/>
          <w:sz w:val="22"/>
          <w:szCs w:val="22"/>
        </w:rPr>
        <w:t xml:space="preserve">decelerate </w:t>
      </w:r>
      <w:r w:rsidR="004A01CF">
        <w:rPr>
          <w:rFonts w:ascii="Garamond" w:hAnsi="Garamond"/>
          <w:sz w:val="22"/>
          <w:szCs w:val="22"/>
        </w:rPr>
        <w:t>in 2020</w:t>
      </w:r>
      <w:r w:rsidR="00692000">
        <w:rPr>
          <w:rFonts w:ascii="Garamond" w:hAnsi="Garamond"/>
          <w:sz w:val="22"/>
          <w:szCs w:val="22"/>
        </w:rPr>
        <w:t xml:space="preserve">: the </w:t>
      </w:r>
      <w:r w:rsidR="00692000" w:rsidRPr="00692000">
        <w:rPr>
          <w:rFonts w:ascii="Garamond" w:hAnsi="Garamond"/>
          <w:sz w:val="22"/>
          <w:szCs w:val="22"/>
        </w:rPr>
        <w:t xml:space="preserve">growth </w:t>
      </w:r>
      <w:r w:rsidR="00692000">
        <w:rPr>
          <w:rFonts w:ascii="Garamond" w:hAnsi="Garamond"/>
          <w:sz w:val="22"/>
          <w:szCs w:val="22"/>
        </w:rPr>
        <w:t>for</w:t>
      </w:r>
      <w:r w:rsidR="00692000" w:rsidRPr="00692000">
        <w:rPr>
          <w:rFonts w:ascii="Garamond" w:hAnsi="Garamond"/>
          <w:sz w:val="22"/>
          <w:szCs w:val="22"/>
        </w:rPr>
        <w:t xml:space="preserve"> 2020 is estimated at 0.5%, but the forecast risks </w:t>
      </w:r>
      <w:r w:rsidR="00692000">
        <w:rPr>
          <w:rFonts w:ascii="Garamond" w:hAnsi="Garamond"/>
          <w:sz w:val="22"/>
          <w:szCs w:val="22"/>
        </w:rPr>
        <w:t xml:space="preserve">are trended downward </w:t>
      </w:r>
      <w:r w:rsidR="00692000" w:rsidRPr="00692000">
        <w:rPr>
          <w:rFonts w:ascii="Garamond" w:hAnsi="Garamond"/>
          <w:sz w:val="22"/>
          <w:szCs w:val="22"/>
        </w:rPr>
        <w:t>due to the possible deeper impact of the coronavirus on the US economy.</w:t>
      </w:r>
    </w:p>
    <w:p w14:paraId="4E85CE02" w14:textId="77777777" w:rsidR="00C57718" w:rsidRDefault="00474E70" w:rsidP="00063526">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In </w:t>
      </w:r>
      <w:r w:rsidR="00D801F3">
        <w:rPr>
          <w:rFonts w:ascii="Garamond" w:hAnsi="Garamond"/>
          <w:sz w:val="22"/>
          <w:szCs w:val="22"/>
        </w:rPr>
        <w:t xml:space="preserve">the USA in </w:t>
      </w:r>
      <w:r>
        <w:rPr>
          <w:rFonts w:ascii="Garamond" w:hAnsi="Garamond"/>
          <w:sz w:val="22"/>
          <w:szCs w:val="22"/>
        </w:rPr>
        <w:t xml:space="preserve">the </w:t>
      </w:r>
      <w:r w:rsidR="00692000">
        <w:rPr>
          <w:rFonts w:ascii="Garamond" w:hAnsi="Garamond"/>
          <w:sz w:val="22"/>
          <w:szCs w:val="22"/>
        </w:rPr>
        <w:t>fourth</w:t>
      </w:r>
      <w:r w:rsidRPr="00457C7F">
        <w:rPr>
          <w:rFonts w:ascii="Garamond" w:hAnsi="Garamond"/>
          <w:sz w:val="22"/>
          <w:szCs w:val="22"/>
        </w:rPr>
        <w:t xml:space="preserve"> quarter of 2019</w:t>
      </w:r>
      <w:r>
        <w:rPr>
          <w:rFonts w:ascii="Garamond" w:hAnsi="Garamond"/>
          <w:sz w:val="22"/>
          <w:szCs w:val="22"/>
        </w:rPr>
        <w:t>, t</w:t>
      </w:r>
      <w:r w:rsidR="00457C7F">
        <w:rPr>
          <w:rFonts w:ascii="Garamond" w:hAnsi="Garamond"/>
          <w:sz w:val="22"/>
          <w:szCs w:val="22"/>
        </w:rPr>
        <w:t>he qua</w:t>
      </w:r>
      <w:r w:rsidR="00457C7F" w:rsidRPr="00457C7F">
        <w:rPr>
          <w:rFonts w:ascii="Garamond" w:hAnsi="Garamond"/>
          <w:sz w:val="22"/>
          <w:szCs w:val="22"/>
        </w:rPr>
        <w:t xml:space="preserve">rterly </w:t>
      </w:r>
      <w:r w:rsidR="006B7A31">
        <w:rPr>
          <w:rFonts w:ascii="Garamond" w:hAnsi="Garamond" w:cs="Arial"/>
          <w:color w:val="222222"/>
          <w:sz w:val="22"/>
          <w:szCs w:val="22"/>
          <w:shd w:val="clear" w:color="auto" w:fill="FFFFFF"/>
        </w:rPr>
        <w:t>p</w:t>
      </w:r>
      <w:r w:rsidR="00457C7F" w:rsidRPr="00457C7F">
        <w:rPr>
          <w:rFonts w:ascii="Garamond" w:hAnsi="Garamond" w:cs="Arial"/>
          <w:color w:val="222222"/>
          <w:sz w:val="22"/>
          <w:szCs w:val="22"/>
          <w:shd w:val="clear" w:color="auto" w:fill="FFFFFF"/>
        </w:rPr>
        <w:t xml:space="preserve">ersonal consumption expenditure </w:t>
      </w:r>
      <w:r w:rsidR="006B7A31">
        <w:rPr>
          <w:rFonts w:ascii="Garamond" w:hAnsi="Garamond" w:cs="Arial"/>
          <w:color w:val="222222"/>
          <w:sz w:val="22"/>
          <w:szCs w:val="22"/>
          <w:shd w:val="clear" w:color="auto" w:fill="FFFFFF"/>
        </w:rPr>
        <w:t>price index</w:t>
      </w:r>
      <w:r w:rsidR="00D801F3">
        <w:rPr>
          <w:rStyle w:val="FootnoteReference"/>
          <w:rFonts w:ascii="Garamond" w:hAnsi="Garamond" w:cs="Arial"/>
          <w:color w:val="222222"/>
          <w:sz w:val="22"/>
          <w:szCs w:val="22"/>
          <w:shd w:val="clear" w:color="auto" w:fill="FFFFFF"/>
        </w:rPr>
        <w:footnoteReference w:customMarkFollows="1" w:id="1"/>
        <w:t>10</w:t>
      </w:r>
      <w:r w:rsidR="006B7A31">
        <w:rPr>
          <w:rFonts w:ascii="Garamond" w:hAnsi="Garamond" w:cs="Arial"/>
          <w:color w:val="222222"/>
          <w:sz w:val="22"/>
          <w:szCs w:val="22"/>
          <w:shd w:val="clear" w:color="auto" w:fill="FFFFFF"/>
        </w:rPr>
        <w:t xml:space="preserve"> </w:t>
      </w:r>
      <w:r w:rsidR="006E061A">
        <w:rPr>
          <w:rFonts w:ascii="Garamond" w:hAnsi="Garamond" w:cs="Arial"/>
          <w:color w:val="222222"/>
          <w:sz w:val="22"/>
          <w:szCs w:val="22"/>
          <w:shd w:val="clear" w:color="auto" w:fill="FFFFFF"/>
        </w:rPr>
        <w:t>averaged</w:t>
      </w:r>
      <w:r w:rsidR="009852BA">
        <w:rPr>
          <w:rFonts w:ascii="Garamond" w:hAnsi="Garamond" w:cs="Arial"/>
          <w:color w:val="222222"/>
          <w:sz w:val="22"/>
          <w:szCs w:val="22"/>
          <w:shd w:val="clear" w:color="auto" w:fill="FFFFFF"/>
        </w:rPr>
        <w:t xml:space="preserve"> </w:t>
      </w:r>
      <w:r w:rsidR="006B7A31">
        <w:rPr>
          <w:rFonts w:ascii="Garamond" w:hAnsi="Garamond"/>
          <w:sz w:val="22"/>
          <w:szCs w:val="22"/>
        </w:rPr>
        <w:t>1.</w:t>
      </w:r>
      <w:r w:rsidR="00D801F3">
        <w:rPr>
          <w:rFonts w:ascii="Garamond" w:hAnsi="Garamond"/>
          <w:sz w:val="22"/>
          <w:szCs w:val="22"/>
        </w:rPr>
        <w:t>3</w:t>
      </w:r>
      <w:r w:rsidR="006B7A31">
        <w:rPr>
          <w:rFonts w:ascii="Garamond" w:hAnsi="Garamond"/>
          <w:sz w:val="22"/>
          <w:szCs w:val="22"/>
        </w:rPr>
        <w:t>%</w:t>
      </w:r>
      <w:r w:rsidR="009852BA">
        <w:rPr>
          <w:rFonts w:ascii="Garamond" w:hAnsi="Garamond"/>
          <w:sz w:val="22"/>
          <w:szCs w:val="22"/>
        </w:rPr>
        <w:t xml:space="preserve">, persisting </w:t>
      </w:r>
      <w:r w:rsidR="00422E27">
        <w:rPr>
          <w:rFonts w:ascii="Garamond" w:hAnsi="Garamond"/>
          <w:sz w:val="22"/>
          <w:szCs w:val="22"/>
        </w:rPr>
        <w:t xml:space="preserve">below </w:t>
      </w:r>
      <w:r w:rsidR="00A92967" w:rsidRPr="00A92967">
        <w:rPr>
          <w:rFonts w:ascii="Garamond" w:hAnsi="Garamond"/>
          <w:sz w:val="22"/>
          <w:szCs w:val="22"/>
        </w:rPr>
        <w:t xml:space="preserve">the </w:t>
      </w:r>
      <w:r w:rsidR="00AE70A1" w:rsidRPr="00186500">
        <w:rPr>
          <w:rFonts w:ascii="Garamond" w:hAnsi="Garamond"/>
          <w:sz w:val="22"/>
          <w:szCs w:val="22"/>
        </w:rPr>
        <w:t>US Fed</w:t>
      </w:r>
      <w:r w:rsidR="00A92967">
        <w:rPr>
          <w:rFonts w:ascii="Garamond" w:hAnsi="Garamond"/>
          <w:sz w:val="22"/>
          <w:szCs w:val="22"/>
        </w:rPr>
        <w:t>’s medium-term target.</w:t>
      </w:r>
      <w:r w:rsidR="00457C7F">
        <w:rPr>
          <w:rFonts w:ascii="Garamond" w:hAnsi="Garamond"/>
          <w:sz w:val="22"/>
          <w:szCs w:val="22"/>
        </w:rPr>
        <w:t xml:space="preserve"> </w:t>
      </w:r>
      <w:r w:rsidR="00FA4782">
        <w:rPr>
          <w:rFonts w:ascii="Garamond" w:hAnsi="Garamond"/>
          <w:sz w:val="22"/>
          <w:szCs w:val="22"/>
        </w:rPr>
        <w:t xml:space="preserve">Given </w:t>
      </w:r>
      <w:r w:rsidR="006E061A">
        <w:rPr>
          <w:rFonts w:ascii="Garamond" w:hAnsi="Garamond"/>
          <w:sz w:val="22"/>
          <w:szCs w:val="22"/>
        </w:rPr>
        <w:t xml:space="preserve">current growth developments and fewer </w:t>
      </w:r>
      <w:r w:rsidR="0001231A">
        <w:rPr>
          <w:rFonts w:ascii="Garamond" w:hAnsi="Garamond"/>
          <w:sz w:val="22"/>
          <w:szCs w:val="22"/>
        </w:rPr>
        <w:t xml:space="preserve">uncertainties </w:t>
      </w:r>
      <w:r w:rsidR="006E061A">
        <w:rPr>
          <w:rFonts w:ascii="Garamond" w:hAnsi="Garamond"/>
          <w:sz w:val="22"/>
          <w:szCs w:val="22"/>
        </w:rPr>
        <w:t>over t</w:t>
      </w:r>
      <w:r w:rsidR="0001231A">
        <w:rPr>
          <w:rFonts w:ascii="Garamond" w:hAnsi="Garamond"/>
          <w:sz w:val="22"/>
          <w:szCs w:val="22"/>
        </w:rPr>
        <w:t>rade war</w:t>
      </w:r>
      <w:r w:rsidR="00FA4782">
        <w:rPr>
          <w:rFonts w:ascii="Garamond" w:hAnsi="Garamond"/>
          <w:sz w:val="22"/>
          <w:szCs w:val="22"/>
        </w:rPr>
        <w:t>s</w:t>
      </w:r>
      <w:r w:rsidR="0001231A">
        <w:rPr>
          <w:rFonts w:ascii="Garamond" w:hAnsi="Garamond"/>
          <w:sz w:val="22"/>
          <w:szCs w:val="22"/>
        </w:rPr>
        <w:t xml:space="preserve">, </w:t>
      </w:r>
      <w:r w:rsidR="00A92967">
        <w:rPr>
          <w:rFonts w:ascii="Garamond" w:hAnsi="Garamond"/>
          <w:sz w:val="22"/>
          <w:szCs w:val="22"/>
        </w:rPr>
        <w:t>the Fed</w:t>
      </w:r>
      <w:r w:rsidR="006E061A">
        <w:rPr>
          <w:rFonts w:ascii="Garamond" w:hAnsi="Garamond"/>
          <w:sz w:val="22"/>
          <w:szCs w:val="22"/>
        </w:rPr>
        <w:t xml:space="preserve"> kept the policy rate in a 1</w:t>
      </w:r>
      <w:r w:rsidR="006E061A" w:rsidRPr="00EE5F0F">
        <w:rPr>
          <w:rFonts w:ascii="Garamond" w:hAnsi="Garamond"/>
          <w:sz w:val="22"/>
          <w:szCs w:val="22"/>
        </w:rPr>
        <w:t>.</w:t>
      </w:r>
      <w:r w:rsidR="006E061A">
        <w:rPr>
          <w:rFonts w:ascii="Garamond" w:hAnsi="Garamond"/>
          <w:sz w:val="22"/>
          <w:szCs w:val="22"/>
        </w:rPr>
        <w:t>50-1</w:t>
      </w:r>
      <w:r w:rsidR="006E061A" w:rsidRPr="00EE5F0F">
        <w:rPr>
          <w:rFonts w:ascii="Garamond" w:hAnsi="Garamond"/>
          <w:sz w:val="22"/>
          <w:szCs w:val="22"/>
        </w:rPr>
        <w:t>.</w:t>
      </w:r>
      <w:r w:rsidR="006E061A">
        <w:rPr>
          <w:rFonts w:ascii="Garamond" w:hAnsi="Garamond"/>
          <w:sz w:val="22"/>
          <w:szCs w:val="22"/>
        </w:rPr>
        <w:t>75</w:t>
      </w:r>
      <w:r w:rsidR="006E061A" w:rsidRPr="00EE5F0F">
        <w:rPr>
          <w:rFonts w:ascii="Garamond" w:hAnsi="Garamond"/>
          <w:sz w:val="22"/>
          <w:szCs w:val="22"/>
        </w:rPr>
        <w:t>%</w:t>
      </w:r>
      <w:r w:rsidR="006E061A">
        <w:rPr>
          <w:rFonts w:ascii="Garamond" w:hAnsi="Garamond"/>
          <w:sz w:val="22"/>
          <w:szCs w:val="22"/>
        </w:rPr>
        <w:t xml:space="preserve"> range up until January</w:t>
      </w:r>
      <w:r w:rsidR="003D5EB3">
        <w:rPr>
          <w:rFonts w:ascii="Garamond" w:hAnsi="Garamond"/>
          <w:sz w:val="22"/>
          <w:szCs w:val="22"/>
        </w:rPr>
        <w:t xml:space="preserve"> 2020 (inclusive), after the October 2019 cut</w:t>
      </w:r>
      <w:r w:rsidR="00A92967" w:rsidRPr="00EE5F0F">
        <w:rPr>
          <w:rFonts w:ascii="Garamond" w:hAnsi="Garamond"/>
          <w:sz w:val="22"/>
          <w:szCs w:val="22"/>
        </w:rPr>
        <w:t>.</w:t>
      </w:r>
      <w:r w:rsidR="00344F63">
        <w:rPr>
          <w:rFonts w:ascii="Garamond" w:hAnsi="Garamond"/>
          <w:sz w:val="22"/>
          <w:szCs w:val="22"/>
        </w:rPr>
        <w:t xml:space="preserve"> </w:t>
      </w:r>
      <w:r w:rsidR="003D5EB3">
        <w:rPr>
          <w:rFonts w:ascii="Garamond" w:hAnsi="Garamond"/>
          <w:sz w:val="22"/>
          <w:szCs w:val="22"/>
        </w:rPr>
        <w:t>At extra meetings</w:t>
      </w:r>
      <w:r w:rsidR="003D5EB3" w:rsidRPr="003D5EB3">
        <w:rPr>
          <w:rFonts w:ascii="Garamond" w:hAnsi="Garamond"/>
          <w:sz w:val="22"/>
          <w:szCs w:val="22"/>
        </w:rPr>
        <w:t xml:space="preserve"> </w:t>
      </w:r>
      <w:r w:rsidR="003D5EB3">
        <w:rPr>
          <w:rFonts w:ascii="Garamond" w:hAnsi="Garamond"/>
          <w:sz w:val="22"/>
          <w:szCs w:val="22"/>
        </w:rPr>
        <w:t>convened i</w:t>
      </w:r>
      <w:r w:rsidR="003D5EB3" w:rsidRPr="003D5EB3">
        <w:rPr>
          <w:rFonts w:ascii="Garamond" w:hAnsi="Garamond"/>
          <w:sz w:val="22"/>
          <w:szCs w:val="22"/>
        </w:rPr>
        <w:t xml:space="preserve">n March, the US Fed reacted to the volatility of financial markets and increased uncertainty by reducing the policy rate </w:t>
      </w:r>
      <w:r w:rsidR="003D5EB3">
        <w:rPr>
          <w:rFonts w:ascii="Garamond" w:hAnsi="Garamond"/>
          <w:sz w:val="22"/>
          <w:szCs w:val="22"/>
        </w:rPr>
        <w:t xml:space="preserve">first </w:t>
      </w:r>
      <w:r w:rsidR="003D5EB3" w:rsidRPr="003D5EB3">
        <w:rPr>
          <w:rFonts w:ascii="Garamond" w:hAnsi="Garamond"/>
          <w:sz w:val="22"/>
          <w:szCs w:val="22"/>
        </w:rPr>
        <w:t>by 0.5 p</w:t>
      </w:r>
      <w:r w:rsidR="003D5EB3">
        <w:rPr>
          <w:rFonts w:ascii="Garamond" w:hAnsi="Garamond"/>
          <w:sz w:val="22"/>
          <w:szCs w:val="22"/>
        </w:rPr>
        <w:t>p and</w:t>
      </w:r>
      <w:r w:rsidR="003D5EB3" w:rsidRPr="003D5EB3">
        <w:rPr>
          <w:rFonts w:ascii="Garamond" w:hAnsi="Garamond"/>
          <w:sz w:val="22"/>
          <w:szCs w:val="22"/>
        </w:rPr>
        <w:t xml:space="preserve"> then by 1.0 p</w:t>
      </w:r>
      <w:r w:rsidR="003D5EB3">
        <w:rPr>
          <w:rFonts w:ascii="Garamond" w:hAnsi="Garamond"/>
          <w:sz w:val="22"/>
          <w:szCs w:val="22"/>
        </w:rPr>
        <w:t>p</w:t>
      </w:r>
      <w:r w:rsidR="003D5EB3" w:rsidRPr="003D5EB3">
        <w:rPr>
          <w:rFonts w:ascii="Garamond" w:hAnsi="Garamond"/>
          <w:sz w:val="22"/>
          <w:szCs w:val="22"/>
        </w:rPr>
        <w:t>, set</w:t>
      </w:r>
      <w:r w:rsidR="003D5EB3">
        <w:rPr>
          <w:rFonts w:ascii="Garamond" w:hAnsi="Garamond"/>
          <w:sz w:val="22"/>
          <w:szCs w:val="22"/>
        </w:rPr>
        <w:t>ting</w:t>
      </w:r>
      <w:r w:rsidR="003D5EB3" w:rsidRPr="003D5EB3">
        <w:rPr>
          <w:rFonts w:ascii="Garamond" w:hAnsi="Garamond"/>
          <w:sz w:val="22"/>
          <w:szCs w:val="22"/>
        </w:rPr>
        <w:t xml:space="preserve"> it in the range of 0</w:t>
      </w:r>
      <w:r w:rsidR="003D5EB3">
        <w:rPr>
          <w:rFonts w:ascii="Garamond" w:hAnsi="Garamond"/>
          <w:sz w:val="22"/>
          <w:szCs w:val="22"/>
        </w:rPr>
        <w:t>.</w:t>
      </w:r>
      <w:r w:rsidR="003D5EB3" w:rsidRPr="003D5EB3">
        <w:rPr>
          <w:rFonts w:ascii="Garamond" w:hAnsi="Garamond"/>
          <w:sz w:val="22"/>
          <w:szCs w:val="22"/>
        </w:rPr>
        <w:t>0-0</w:t>
      </w:r>
      <w:r w:rsidR="003D5EB3">
        <w:rPr>
          <w:rFonts w:ascii="Garamond" w:hAnsi="Garamond"/>
          <w:sz w:val="22"/>
          <w:szCs w:val="22"/>
        </w:rPr>
        <w:t>.</w:t>
      </w:r>
      <w:r w:rsidR="003D5EB3" w:rsidRPr="003D5EB3">
        <w:rPr>
          <w:rFonts w:ascii="Garamond" w:hAnsi="Garamond"/>
          <w:sz w:val="22"/>
          <w:szCs w:val="22"/>
        </w:rPr>
        <w:t xml:space="preserve">25%, </w:t>
      </w:r>
      <w:r w:rsidR="00B77086">
        <w:rPr>
          <w:rFonts w:ascii="Garamond" w:hAnsi="Garamond"/>
          <w:sz w:val="22"/>
          <w:szCs w:val="22"/>
        </w:rPr>
        <w:t xml:space="preserve">and announced </w:t>
      </w:r>
      <w:r w:rsidR="008776F8">
        <w:rPr>
          <w:rFonts w:ascii="Garamond" w:hAnsi="Garamond"/>
          <w:sz w:val="22"/>
          <w:szCs w:val="22"/>
        </w:rPr>
        <w:t xml:space="preserve">the </w:t>
      </w:r>
      <w:r w:rsidR="00B77086">
        <w:rPr>
          <w:rFonts w:ascii="Garamond" w:hAnsi="Garamond"/>
          <w:sz w:val="22"/>
          <w:szCs w:val="22"/>
        </w:rPr>
        <w:t>resum</w:t>
      </w:r>
      <w:r w:rsidR="008776F8">
        <w:rPr>
          <w:rFonts w:ascii="Garamond" w:hAnsi="Garamond"/>
          <w:sz w:val="22"/>
          <w:szCs w:val="22"/>
        </w:rPr>
        <w:t xml:space="preserve">ing of </w:t>
      </w:r>
      <w:r w:rsidR="00B77086">
        <w:rPr>
          <w:rFonts w:ascii="Garamond" w:hAnsi="Garamond"/>
          <w:sz w:val="22"/>
          <w:szCs w:val="22"/>
        </w:rPr>
        <w:t>a USD</w:t>
      </w:r>
      <w:r w:rsidR="003D5EB3" w:rsidRPr="003D5EB3">
        <w:rPr>
          <w:rFonts w:ascii="Garamond" w:hAnsi="Garamond"/>
          <w:sz w:val="22"/>
          <w:szCs w:val="22"/>
        </w:rPr>
        <w:t xml:space="preserve"> 700 billion</w:t>
      </w:r>
      <w:r w:rsidR="00B77086">
        <w:rPr>
          <w:rFonts w:ascii="Garamond" w:hAnsi="Garamond"/>
          <w:sz w:val="22"/>
          <w:szCs w:val="22"/>
        </w:rPr>
        <w:t>-worth</w:t>
      </w:r>
      <w:r w:rsidR="003D5EB3" w:rsidRPr="003D5EB3">
        <w:rPr>
          <w:rFonts w:ascii="Garamond" w:hAnsi="Garamond"/>
          <w:sz w:val="22"/>
          <w:szCs w:val="22"/>
        </w:rPr>
        <w:t xml:space="preserve"> quantitative e</w:t>
      </w:r>
      <w:r w:rsidR="00B77086">
        <w:rPr>
          <w:rFonts w:ascii="Garamond" w:hAnsi="Garamond"/>
          <w:sz w:val="22"/>
          <w:szCs w:val="22"/>
        </w:rPr>
        <w:t xml:space="preserve">asing </w:t>
      </w:r>
      <w:r w:rsidR="008776F8">
        <w:rPr>
          <w:rFonts w:ascii="Garamond" w:hAnsi="Garamond"/>
          <w:sz w:val="22"/>
          <w:szCs w:val="22"/>
        </w:rPr>
        <w:t>program. The policy rate</w:t>
      </w:r>
      <w:r w:rsidR="003D5EB3" w:rsidRPr="003D5EB3">
        <w:rPr>
          <w:rFonts w:ascii="Garamond" w:hAnsi="Garamond"/>
          <w:sz w:val="22"/>
          <w:szCs w:val="22"/>
        </w:rPr>
        <w:t xml:space="preserve"> </w:t>
      </w:r>
      <w:r w:rsidR="008776F8">
        <w:rPr>
          <w:rFonts w:ascii="Garamond" w:hAnsi="Garamond"/>
          <w:sz w:val="22"/>
          <w:szCs w:val="22"/>
        </w:rPr>
        <w:t xml:space="preserve">cut </w:t>
      </w:r>
      <w:r w:rsidR="003D5EB3" w:rsidRPr="003D5EB3">
        <w:rPr>
          <w:rFonts w:ascii="Garamond" w:hAnsi="Garamond"/>
          <w:sz w:val="22"/>
          <w:szCs w:val="22"/>
        </w:rPr>
        <w:t xml:space="preserve">was aimed </w:t>
      </w:r>
      <w:r w:rsidR="008776F8">
        <w:rPr>
          <w:rFonts w:ascii="Garamond" w:hAnsi="Garamond"/>
          <w:sz w:val="22"/>
          <w:szCs w:val="22"/>
        </w:rPr>
        <w:t xml:space="preserve">to meet </w:t>
      </w:r>
      <w:r w:rsidR="003D5EB3" w:rsidRPr="003D5EB3">
        <w:rPr>
          <w:rFonts w:ascii="Garamond" w:hAnsi="Garamond"/>
          <w:sz w:val="22"/>
          <w:szCs w:val="22"/>
        </w:rPr>
        <w:t xml:space="preserve">high demand for liquidity by financial markets </w:t>
      </w:r>
      <w:r w:rsidR="008776F8">
        <w:rPr>
          <w:rFonts w:ascii="Garamond" w:hAnsi="Garamond"/>
          <w:sz w:val="22"/>
          <w:szCs w:val="22"/>
        </w:rPr>
        <w:t xml:space="preserve">amid increasing </w:t>
      </w:r>
      <w:r w:rsidR="003D5EB3" w:rsidRPr="003D5EB3">
        <w:rPr>
          <w:rFonts w:ascii="Garamond" w:hAnsi="Garamond"/>
          <w:sz w:val="22"/>
          <w:szCs w:val="22"/>
        </w:rPr>
        <w:t>economic uncertaint</w:t>
      </w:r>
      <w:r w:rsidR="008776F8">
        <w:rPr>
          <w:rFonts w:ascii="Garamond" w:hAnsi="Garamond"/>
          <w:sz w:val="22"/>
          <w:szCs w:val="22"/>
        </w:rPr>
        <w:t>ies</w:t>
      </w:r>
      <w:r w:rsidR="003D5EB3" w:rsidRPr="003D5EB3">
        <w:rPr>
          <w:rFonts w:ascii="Garamond" w:hAnsi="Garamond"/>
          <w:sz w:val="22"/>
          <w:szCs w:val="22"/>
        </w:rPr>
        <w:t xml:space="preserve">. Although </w:t>
      </w:r>
      <w:r w:rsidR="008776F8" w:rsidRPr="003D5EB3">
        <w:rPr>
          <w:rFonts w:ascii="Garamond" w:hAnsi="Garamond"/>
          <w:sz w:val="22"/>
          <w:szCs w:val="22"/>
        </w:rPr>
        <w:t xml:space="preserve">inflation </w:t>
      </w:r>
      <w:r w:rsidR="008776F8">
        <w:rPr>
          <w:rFonts w:ascii="Garamond" w:hAnsi="Garamond"/>
          <w:sz w:val="22"/>
          <w:szCs w:val="22"/>
        </w:rPr>
        <w:t xml:space="preserve">on </w:t>
      </w:r>
      <w:r w:rsidR="003D5EB3" w:rsidRPr="003D5EB3">
        <w:rPr>
          <w:rFonts w:ascii="Garamond" w:hAnsi="Garamond"/>
          <w:sz w:val="22"/>
          <w:szCs w:val="22"/>
        </w:rPr>
        <w:t xml:space="preserve">personal consumption </w:t>
      </w:r>
      <w:r w:rsidR="008776F8">
        <w:rPr>
          <w:rFonts w:ascii="Garamond" w:hAnsi="Garamond"/>
          <w:sz w:val="22"/>
          <w:szCs w:val="22"/>
        </w:rPr>
        <w:t xml:space="preserve">accelerated to </w:t>
      </w:r>
      <w:r w:rsidR="003D5EB3" w:rsidRPr="003D5EB3">
        <w:rPr>
          <w:rFonts w:ascii="Garamond" w:hAnsi="Garamond"/>
          <w:sz w:val="22"/>
          <w:szCs w:val="22"/>
        </w:rPr>
        <w:t xml:space="preserve">1.7% in January due to </w:t>
      </w:r>
      <w:r w:rsidR="008776F8">
        <w:rPr>
          <w:rFonts w:ascii="Garamond" w:hAnsi="Garamond"/>
          <w:sz w:val="22"/>
          <w:szCs w:val="22"/>
        </w:rPr>
        <w:t xml:space="preserve">the month’s increase in </w:t>
      </w:r>
      <w:r w:rsidR="003D5EB3" w:rsidRPr="003D5EB3">
        <w:rPr>
          <w:rFonts w:ascii="Garamond" w:hAnsi="Garamond"/>
          <w:sz w:val="22"/>
          <w:szCs w:val="22"/>
        </w:rPr>
        <w:t xml:space="preserve">oil prices, </w:t>
      </w:r>
      <w:r w:rsidR="008776F8">
        <w:rPr>
          <w:rFonts w:ascii="Garamond" w:hAnsi="Garamond"/>
          <w:sz w:val="22"/>
          <w:szCs w:val="22"/>
        </w:rPr>
        <w:t xml:space="preserve">the </w:t>
      </w:r>
      <w:r w:rsidR="003D5EB3" w:rsidRPr="003D5EB3">
        <w:rPr>
          <w:rFonts w:ascii="Garamond" w:hAnsi="Garamond"/>
          <w:sz w:val="22"/>
          <w:szCs w:val="22"/>
        </w:rPr>
        <w:t xml:space="preserve">inflation </w:t>
      </w:r>
      <w:r w:rsidR="008776F8">
        <w:rPr>
          <w:rFonts w:ascii="Garamond" w:hAnsi="Garamond"/>
          <w:sz w:val="22"/>
          <w:szCs w:val="22"/>
        </w:rPr>
        <w:t xml:space="preserve">rate </w:t>
      </w:r>
      <w:r w:rsidR="003D5EB3" w:rsidRPr="003D5EB3">
        <w:rPr>
          <w:rFonts w:ascii="Garamond" w:hAnsi="Garamond"/>
          <w:sz w:val="22"/>
          <w:szCs w:val="22"/>
        </w:rPr>
        <w:t xml:space="preserve">is expected to slow </w:t>
      </w:r>
      <w:r w:rsidR="008776F8">
        <w:rPr>
          <w:rFonts w:ascii="Garamond" w:hAnsi="Garamond"/>
          <w:sz w:val="22"/>
          <w:szCs w:val="22"/>
        </w:rPr>
        <w:t xml:space="preserve">on </w:t>
      </w:r>
      <w:r w:rsidR="008776F8" w:rsidRPr="008776F8">
        <w:rPr>
          <w:rFonts w:ascii="Garamond" w:hAnsi="Garamond"/>
          <w:sz w:val="22"/>
          <w:szCs w:val="22"/>
        </w:rPr>
        <w:t xml:space="preserve">a </w:t>
      </w:r>
      <w:r w:rsidR="008776F8">
        <w:rPr>
          <w:rFonts w:ascii="Garamond" w:hAnsi="Garamond"/>
          <w:sz w:val="22"/>
          <w:szCs w:val="22"/>
        </w:rPr>
        <w:t xml:space="preserve">back of falling </w:t>
      </w:r>
      <w:r w:rsidR="008776F8" w:rsidRPr="008776F8">
        <w:rPr>
          <w:rFonts w:ascii="Garamond" w:hAnsi="Garamond"/>
          <w:sz w:val="22"/>
          <w:szCs w:val="22"/>
        </w:rPr>
        <w:t>commodity prices</w:t>
      </w:r>
      <w:r w:rsidR="008776F8">
        <w:rPr>
          <w:rFonts w:ascii="Garamond" w:hAnsi="Garamond"/>
          <w:sz w:val="22"/>
          <w:szCs w:val="22"/>
        </w:rPr>
        <w:t xml:space="preserve"> and slowing</w:t>
      </w:r>
      <w:r w:rsidR="008776F8" w:rsidRPr="008776F8">
        <w:rPr>
          <w:rFonts w:ascii="Garamond" w:hAnsi="Garamond"/>
          <w:sz w:val="22"/>
          <w:szCs w:val="22"/>
        </w:rPr>
        <w:t xml:space="preserve"> demand </w:t>
      </w:r>
      <w:r w:rsidR="008776F8">
        <w:rPr>
          <w:rFonts w:ascii="Garamond" w:hAnsi="Garamond"/>
          <w:sz w:val="22"/>
          <w:szCs w:val="22"/>
        </w:rPr>
        <w:t xml:space="preserve">because of </w:t>
      </w:r>
      <w:r w:rsidR="003D5EB3" w:rsidRPr="003D5EB3">
        <w:rPr>
          <w:rFonts w:ascii="Garamond" w:hAnsi="Garamond"/>
          <w:sz w:val="22"/>
          <w:szCs w:val="22"/>
        </w:rPr>
        <w:t>the spread of coronavirus</w:t>
      </w:r>
      <w:r w:rsidR="008776F8">
        <w:rPr>
          <w:rFonts w:ascii="Garamond" w:hAnsi="Garamond"/>
          <w:sz w:val="22"/>
          <w:szCs w:val="22"/>
        </w:rPr>
        <w:t>.</w:t>
      </w:r>
      <w:r w:rsidR="003D5EB3" w:rsidRPr="003D5EB3">
        <w:rPr>
          <w:rFonts w:ascii="Garamond" w:hAnsi="Garamond"/>
          <w:sz w:val="22"/>
          <w:szCs w:val="22"/>
        </w:rPr>
        <w:t xml:space="preserve"> </w:t>
      </w:r>
      <w:r w:rsidR="00285FAD">
        <w:rPr>
          <w:rFonts w:ascii="Garamond" w:hAnsi="Garamond"/>
          <w:sz w:val="22"/>
          <w:szCs w:val="22"/>
        </w:rPr>
        <w:t xml:space="preserve">Given </w:t>
      </w:r>
      <w:r w:rsidR="003D5EB3" w:rsidRPr="003D5EB3">
        <w:rPr>
          <w:rFonts w:ascii="Garamond" w:hAnsi="Garamond"/>
          <w:sz w:val="22"/>
          <w:szCs w:val="22"/>
        </w:rPr>
        <w:t>such developments in the economy and prices, it is expected that the US Federal Reserve will continue pursu</w:t>
      </w:r>
      <w:r w:rsidR="00285FAD">
        <w:rPr>
          <w:rFonts w:ascii="Garamond" w:hAnsi="Garamond"/>
          <w:sz w:val="22"/>
          <w:szCs w:val="22"/>
        </w:rPr>
        <w:t xml:space="preserve">ing </w:t>
      </w:r>
      <w:r w:rsidR="003D5EB3" w:rsidRPr="003D5EB3">
        <w:rPr>
          <w:rFonts w:ascii="Garamond" w:hAnsi="Garamond"/>
          <w:sz w:val="22"/>
          <w:szCs w:val="22"/>
        </w:rPr>
        <w:t xml:space="preserve">a </w:t>
      </w:r>
      <w:r w:rsidR="00285FAD">
        <w:rPr>
          <w:rFonts w:ascii="Garamond" w:hAnsi="Garamond"/>
          <w:sz w:val="22"/>
          <w:szCs w:val="22"/>
        </w:rPr>
        <w:t xml:space="preserve">low interest rate </w:t>
      </w:r>
      <w:r w:rsidR="003D5EB3" w:rsidRPr="003D5EB3">
        <w:rPr>
          <w:rFonts w:ascii="Garamond" w:hAnsi="Garamond"/>
          <w:sz w:val="22"/>
          <w:szCs w:val="22"/>
        </w:rPr>
        <w:t>policy.</w:t>
      </w:r>
    </w:p>
    <w:p w14:paraId="65C41A66" w14:textId="77777777" w:rsidR="00EE619D" w:rsidRDefault="00B47AE5"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 xml:space="preserve">Economic developments </w:t>
      </w:r>
      <w:r w:rsidR="00063526">
        <w:rPr>
          <w:rFonts w:ascii="Garamond" w:hAnsi="Garamond"/>
          <w:b/>
          <w:sz w:val="22"/>
          <w:szCs w:val="22"/>
        </w:rPr>
        <w:t xml:space="preserve">in </w:t>
      </w:r>
      <w:r>
        <w:rPr>
          <w:rFonts w:ascii="Garamond" w:hAnsi="Garamond"/>
          <w:b/>
          <w:sz w:val="22"/>
          <w:szCs w:val="22"/>
        </w:rPr>
        <w:t>the Eurozone:</w:t>
      </w:r>
      <w:r w:rsidRPr="00EE5F0F">
        <w:rPr>
          <w:rFonts w:ascii="Garamond" w:hAnsi="Garamond"/>
          <w:sz w:val="22"/>
          <w:szCs w:val="22"/>
        </w:rPr>
        <w:t xml:space="preserve"> </w:t>
      </w:r>
      <w:r w:rsidR="00EE619D" w:rsidRPr="00EE5F0F">
        <w:rPr>
          <w:rFonts w:ascii="Garamond" w:hAnsi="Garamond"/>
          <w:sz w:val="22"/>
          <w:szCs w:val="22"/>
        </w:rPr>
        <w:t xml:space="preserve">According to preliminary estimates by the Eurostat, economic growth </w:t>
      </w:r>
      <w:r w:rsidR="009738BB">
        <w:rPr>
          <w:rFonts w:ascii="Garamond" w:hAnsi="Garamond"/>
          <w:sz w:val="22"/>
          <w:szCs w:val="22"/>
        </w:rPr>
        <w:t xml:space="preserve">in </w:t>
      </w:r>
      <w:r w:rsidR="00EE619D" w:rsidRPr="009738BB">
        <w:rPr>
          <w:rFonts w:ascii="Garamond" w:hAnsi="Garamond"/>
          <w:sz w:val="22"/>
          <w:szCs w:val="22"/>
        </w:rPr>
        <w:t>the</w:t>
      </w:r>
      <w:r w:rsidR="00EE619D" w:rsidRPr="009738BB">
        <w:rPr>
          <w:rFonts w:ascii="Garamond" w:hAnsi="Garamond"/>
          <w:sz w:val="22"/>
          <w:szCs w:val="22"/>
          <w:lang w:val="hy-AM"/>
        </w:rPr>
        <w:t xml:space="preserve"> </w:t>
      </w:r>
      <w:r w:rsidR="00EE619D" w:rsidRPr="009738BB">
        <w:rPr>
          <w:rFonts w:ascii="Garamond" w:hAnsi="Garamond"/>
          <w:sz w:val="22"/>
          <w:szCs w:val="22"/>
        </w:rPr>
        <w:t>Eurozone</w:t>
      </w:r>
      <w:r w:rsidR="00EE619D" w:rsidRPr="00EE5F0F">
        <w:rPr>
          <w:rFonts w:ascii="Garamond" w:hAnsi="Garamond"/>
          <w:b/>
          <w:sz w:val="22"/>
          <w:szCs w:val="22"/>
          <w:lang w:val="hy-AM"/>
        </w:rPr>
        <w:t xml:space="preserve"> </w:t>
      </w:r>
      <w:r w:rsidR="00EE619D" w:rsidRPr="00EE5F0F">
        <w:rPr>
          <w:rFonts w:ascii="Garamond" w:hAnsi="Garamond"/>
          <w:sz w:val="22"/>
          <w:szCs w:val="22"/>
        </w:rPr>
        <w:t xml:space="preserve">in the </w:t>
      </w:r>
      <w:r w:rsidR="00AC3D68">
        <w:rPr>
          <w:rFonts w:ascii="Garamond" w:hAnsi="Garamond"/>
          <w:sz w:val="22"/>
          <w:szCs w:val="22"/>
        </w:rPr>
        <w:t>fourth</w:t>
      </w:r>
      <w:r w:rsidR="009738BB">
        <w:rPr>
          <w:rFonts w:ascii="Garamond" w:hAnsi="Garamond"/>
          <w:sz w:val="22"/>
          <w:szCs w:val="22"/>
        </w:rPr>
        <w:t xml:space="preserve"> </w:t>
      </w:r>
      <w:r w:rsidR="00525AE5" w:rsidRPr="00EE5F0F">
        <w:rPr>
          <w:rFonts w:ascii="Garamond" w:hAnsi="Garamond"/>
          <w:sz w:val="22"/>
          <w:szCs w:val="22"/>
        </w:rPr>
        <w:t>quarter of 201</w:t>
      </w:r>
      <w:r w:rsidR="009738BB">
        <w:rPr>
          <w:rFonts w:ascii="Garamond" w:hAnsi="Garamond"/>
          <w:sz w:val="22"/>
          <w:szCs w:val="22"/>
        </w:rPr>
        <w:t>9</w:t>
      </w:r>
      <w:r w:rsidR="00EE619D" w:rsidRPr="00EE5F0F">
        <w:rPr>
          <w:rFonts w:ascii="Garamond" w:hAnsi="Garamond"/>
          <w:sz w:val="22"/>
          <w:szCs w:val="22"/>
          <w:lang w:val="hy-AM"/>
        </w:rPr>
        <w:t xml:space="preserve"> </w:t>
      </w:r>
      <w:r w:rsidR="00087327">
        <w:rPr>
          <w:rFonts w:ascii="Garamond" w:hAnsi="Garamond"/>
          <w:sz w:val="22"/>
          <w:szCs w:val="22"/>
        </w:rPr>
        <w:t xml:space="preserve">was </w:t>
      </w:r>
      <w:r w:rsidR="008157D0">
        <w:rPr>
          <w:rFonts w:ascii="Garamond" w:hAnsi="Garamond"/>
          <w:sz w:val="22"/>
          <w:szCs w:val="22"/>
        </w:rPr>
        <w:t>1</w:t>
      </w:r>
      <w:r w:rsidR="00EE619D" w:rsidRPr="00EE5F0F">
        <w:rPr>
          <w:rFonts w:ascii="Garamond" w:hAnsi="Garamond"/>
          <w:sz w:val="22"/>
          <w:szCs w:val="22"/>
        </w:rPr>
        <w:t>.</w:t>
      </w:r>
      <w:r w:rsidR="00AC3D68">
        <w:rPr>
          <w:rFonts w:ascii="Garamond" w:hAnsi="Garamond"/>
          <w:sz w:val="22"/>
          <w:szCs w:val="22"/>
        </w:rPr>
        <w:t>0</w:t>
      </w:r>
      <w:r w:rsidR="00EE619D" w:rsidRPr="00EE5F0F">
        <w:rPr>
          <w:rFonts w:ascii="Garamond" w:hAnsi="Garamond"/>
          <w:sz w:val="22"/>
          <w:szCs w:val="22"/>
        </w:rPr>
        <w:t>% y/y</w:t>
      </w:r>
      <w:r w:rsidR="008157D0">
        <w:rPr>
          <w:rFonts w:ascii="Garamond" w:hAnsi="Garamond"/>
          <w:sz w:val="22"/>
          <w:szCs w:val="22"/>
        </w:rPr>
        <w:t xml:space="preserve">, </w:t>
      </w:r>
      <w:r w:rsidR="00087327">
        <w:rPr>
          <w:rFonts w:ascii="Garamond" w:hAnsi="Garamond"/>
          <w:sz w:val="22"/>
          <w:szCs w:val="22"/>
        </w:rPr>
        <w:t xml:space="preserve">with </w:t>
      </w:r>
      <w:r w:rsidR="00063526">
        <w:rPr>
          <w:rFonts w:ascii="Garamond" w:hAnsi="Garamond"/>
          <w:sz w:val="22"/>
          <w:szCs w:val="22"/>
        </w:rPr>
        <w:t xml:space="preserve">a growth indicator </w:t>
      </w:r>
      <w:r w:rsidR="00087327">
        <w:rPr>
          <w:rFonts w:ascii="Garamond" w:hAnsi="Garamond"/>
          <w:sz w:val="22"/>
          <w:szCs w:val="22"/>
        </w:rPr>
        <w:t>of 1.</w:t>
      </w:r>
      <w:r w:rsidR="00AC3D68">
        <w:rPr>
          <w:rFonts w:ascii="Garamond" w:hAnsi="Garamond"/>
          <w:sz w:val="22"/>
          <w:szCs w:val="22"/>
        </w:rPr>
        <w:t>2</w:t>
      </w:r>
      <w:r w:rsidR="00087327">
        <w:rPr>
          <w:rFonts w:ascii="Garamond" w:hAnsi="Garamond"/>
          <w:sz w:val="22"/>
          <w:szCs w:val="22"/>
        </w:rPr>
        <w:t xml:space="preserve">% estimated for </w:t>
      </w:r>
      <w:r w:rsidR="001A1385">
        <w:rPr>
          <w:rFonts w:ascii="Garamond" w:hAnsi="Garamond"/>
          <w:sz w:val="22"/>
          <w:szCs w:val="22"/>
        </w:rPr>
        <w:t>2019</w:t>
      </w:r>
      <w:r w:rsidR="00087327">
        <w:rPr>
          <w:rFonts w:ascii="Garamond" w:hAnsi="Garamond"/>
          <w:sz w:val="22"/>
          <w:szCs w:val="22"/>
        </w:rPr>
        <w:t xml:space="preserve">. </w:t>
      </w:r>
      <w:r w:rsidR="00F2395C" w:rsidRPr="00F2395C">
        <w:rPr>
          <w:rFonts w:ascii="Garamond" w:hAnsi="Garamond"/>
          <w:sz w:val="22"/>
          <w:szCs w:val="22"/>
        </w:rPr>
        <w:t>The slow</w:t>
      </w:r>
      <w:r w:rsidR="00F2395C">
        <w:rPr>
          <w:rFonts w:ascii="Garamond" w:hAnsi="Garamond"/>
          <w:sz w:val="22"/>
          <w:szCs w:val="22"/>
        </w:rPr>
        <w:t>ing of the growth in the E</w:t>
      </w:r>
      <w:r w:rsidR="00F2395C" w:rsidRPr="00F2395C">
        <w:rPr>
          <w:rFonts w:ascii="Garamond" w:hAnsi="Garamond"/>
          <w:sz w:val="22"/>
          <w:szCs w:val="22"/>
        </w:rPr>
        <w:t>urozone</w:t>
      </w:r>
      <w:r w:rsidR="00F2395C">
        <w:rPr>
          <w:rFonts w:ascii="Garamond" w:hAnsi="Garamond"/>
          <w:sz w:val="22"/>
          <w:szCs w:val="22"/>
        </w:rPr>
        <w:t xml:space="preserve"> </w:t>
      </w:r>
      <w:r w:rsidR="00B1516E">
        <w:rPr>
          <w:rFonts w:ascii="Garamond" w:hAnsi="Garamond"/>
          <w:sz w:val="22"/>
          <w:szCs w:val="22"/>
        </w:rPr>
        <w:t xml:space="preserve">resulted from </w:t>
      </w:r>
      <w:r w:rsidR="00AC3D68">
        <w:rPr>
          <w:rFonts w:ascii="Garamond" w:hAnsi="Garamond"/>
          <w:sz w:val="22"/>
          <w:szCs w:val="22"/>
        </w:rPr>
        <w:t>a s</w:t>
      </w:r>
      <w:r w:rsidR="00AC3D68" w:rsidRPr="00AC3D68">
        <w:rPr>
          <w:rFonts w:ascii="Garamond" w:hAnsi="Garamond"/>
          <w:sz w:val="22"/>
          <w:szCs w:val="22"/>
        </w:rPr>
        <w:t>low</w:t>
      </w:r>
      <w:r w:rsidR="00AC3D68">
        <w:rPr>
          <w:rFonts w:ascii="Garamond" w:hAnsi="Garamond"/>
          <w:sz w:val="22"/>
          <w:szCs w:val="22"/>
        </w:rPr>
        <w:t>down of</w:t>
      </w:r>
      <w:r w:rsidR="00AC3D68" w:rsidRPr="00AC3D68">
        <w:rPr>
          <w:rFonts w:ascii="Garamond" w:hAnsi="Garamond"/>
          <w:sz w:val="22"/>
          <w:szCs w:val="22"/>
        </w:rPr>
        <w:t xml:space="preserve"> economic </w:t>
      </w:r>
      <w:r w:rsidR="00AC3D68" w:rsidRPr="00AC3D68">
        <w:rPr>
          <w:rFonts w:ascii="Garamond" w:hAnsi="Garamond"/>
          <w:sz w:val="22"/>
          <w:szCs w:val="22"/>
        </w:rPr>
        <w:lastRenderedPageBreak/>
        <w:t>growth in France and Italy</w:t>
      </w:r>
      <w:r w:rsidR="00AC3D68">
        <w:rPr>
          <w:rFonts w:ascii="Garamond" w:hAnsi="Garamond"/>
          <w:sz w:val="22"/>
          <w:szCs w:val="22"/>
        </w:rPr>
        <w:t xml:space="preserve"> - two principal member states - amidst a sluggish external demand. </w:t>
      </w:r>
      <w:r w:rsidR="00331451" w:rsidRPr="00845DD1">
        <w:rPr>
          <w:rFonts w:ascii="Garamond" w:hAnsi="Garamond"/>
          <w:sz w:val="22"/>
          <w:szCs w:val="22"/>
        </w:rPr>
        <w:t xml:space="preserve">The unemployment rate in the Eurozone </w:t>
      </w:r>
      <w:r w:rsidR="00331451">
        <w:rPr>
          <w:rFonts w:ascii="Garamond" w:hAnsi="Garamond"/>
          <w:sz w:val="22"/>
          <w:szCs w:val="22"/>
        </w:rPr>
        <w:t>slightly declined to 7.4</w:t>
      </w:r>
      <w:r w:rsidR="00331451" w:rsidRPr="00845DD1">
        <w:rPr>
          <w:rFonts w:ascii="Garamond" w:hAnsi="Garamond"/>
          <w:sz w:val="22"/>
          <w:szCs w:val="22"/>
        </w:rPr>
        <w:t>%.</w:t>
      </w:r>
      <w:r w:rsidR="00331451">
        <w:rPr>
          <w:rFonts w:ascii="Garamond" w:hAnsi="Garamond"/>
          <w:sz w:val="22"/>
          <w:szCs w:val="22"/>
        </w:rPr>
        <w:t xml:space="preserve"> </w:t>
      </w:r>
      <w:r w:rsidR="003C556A">
        <w:rPr>
          <w:rFonts w:ascii="Garamond" w:hAnsi="Garamond"/>
          <w:sz w:val="22"/>
          <w:szCs w:val="22"/>
        </w:rPr>
        <w:t xml:space="preserve">In </w:t>
      </w:r>
      <w:r w:rsidR="003C556A" w:rsidRPr="003C556A">
        <w:rPr>
          <w:rFonts w:ascii="Garamond" w:hAnsi="Garamond"/>
          <w:sz w:val="22"/>
          <w:szCs w:val="22"/>
        </w:rPr>
        <w:t xml:space="preserve">2020 </w:t>
      </w:r>
      <w:r w:rsidR="003C556A">
        <w:rPr>
          <w:rFonts w:ascii="Garamond" w:hAnsi="Garamond"/>
          <w:sz w:val="22"/>
          <w:szCs w:val="22"/>
        </w:rPr>
        <w:t>the E</w:t>
      </w:r>
      <w:r w:rsidR="003C556A" w:rsidRPr="003C556A">
        <w:rPr>
          <w:rFonts w:ascii="Garamond" w:hAnsi="Garamond"/>
          <w:sz w:val="22"/>
          <w:szCs w:val="22"/>
        </w:rPr>
        <w:t>urozone economy is expected to slow down</w:t>
      </w:r>
      <w:r w:rsidR="003C556A">
        <w:rPr>
          <w:rFonts w:ascii="Garamond" w:hAnsi="Garamond"/>
          <w:sz w:val="22"/>
          <w:szCs w:val="22"/>
        </w:rPr>
        <w:t>: it is an</w:t>
      </w:r>
      <w:r w:rsidR="003C556A" w:rsidRPr="003C556A">
        <w:rPr>
          <w:rFonts w:ascii="Garamond" w:hAnsi="Garamond"/>
          <w:sz w:val="22"/>
          <w:szCs w:val="22"/>
        </w:rPr>
        <w:t xml:space="preserve"> estimated 0.1%. The decline in the economy will be </w:t>
      </w:r>
      <w:r w:rsidR="003C556A">
        <w:rPr>
          <w:rFonts w:ascii="Garamond" w:hAnsi="Garamond"/>
          <w:sz w:val="22"/>
          <w:szCs w:val="22"/>
        </w:rPr>
        <w:t xml:space="preserve">more pronounced </w:t>
      </w:r>
      <w:r w:rsidR="003C556A" w:rsidRPr="003C556A">
        <w:rPr>
          <w:rFonts w:ascii="Garamond" w:hAnsi="Garamond"/>
          <w:sz w:val="22"/>
          <w:szCs w:val="22"/>
        </w:rPr>
        <w:t xml:space="preserve">in the second quarter, </w:t>
      </w:r>
      <w:r w:rsidR="003C556A">
        <w:rPr>
          <w:rFonts w:ascii="Garamond" w:hAnsi="Garamond"/>
          <w:sz w:val="22"/>
          <w:szCs w:val="22"/>
        </w:rPr>
        <w:t>but</w:t>
      </w:r>
      <w:r w:rsidR="003C556A" w:rsidRPr="003C556A">
        <w:rPr>
          <w:rFonts w:ascii="Garamond" w:hAnsi="Garamond"/>
          <w:sz w:val="22"/>
          <w:szCs w:val="22"/>
        </w:rPr>
        <w:t xml:space="preserve"> will recover a little at the end of the year. However, individual member states </w:t>
      </w:r>
      <w:r w:rsidR="003C556A">
        <w:rPr>
          <w:rFonts w:ascii="Garamond" w:hAnsi="Garamond"/>
          <w:sz w:val="22"/>
          <w:szCs w:val="22"/>
        </w:rPr>
        <w:t xml:space="preserve">in the Eurozone face </w:t>
      </w:r>
      <w:r w:rsidR="003C556A" w:rsidRPr="003C556A">
        <w:rPr>
          <w:rFonts w:ascii="Garamond" w:hAnsi="Garamond"/>
          <w:sz w:val="22"/>
          <w:szCs w:val="22"/>
        </w:rPr>
        <w:t xml:space="preserve">a risk of a further </w:t>
      </w:r>
      <w:r w:rsidR="003C556A">
        <w:rPr>
          <w:rFonts w:ascii="Garamond" w:hAnsi="Garamond"/>
          <w:sz w:val="22"/>
          <w:szCs w:val="22"/>
        </w:rPr>
        <w:t xml:space="preserve">economic </w:t>
      </w:r>
      <w:r w:rsidR="003C556A" w:rsidRPr="003C556A">
        <w:rPr>
          <w:rFonts w:ascii="Garamond" w:hAnsi="Garamond"/>
          <w:sz w:val="22"/>
          <w:szCs w:val="22"/>
        </w:rPr>
        <w:t>decline</w:t>
      </w:r>
      <w:r w:rsidR="003C556A">
        <w:rPr>
          <w:rFonts w:ascii="Garamond" w:hAnsi="Garamond"/>
          <w:sz w:val="22"/>
          <w:szCs w:val="22"/>
        </w:rPr>
        <w:t xml:space="preserve"> d</w:t>
      </w:r>
      <w:r w:rsidR="003C556A" w:rsidRPr="003C556A">
        <w:rPr>
          <w:rFonts w:ascii="Garamond" w:hAnsi="Garamond"/>
          <w:sz w:val="22"/>
          <w:szCs w:val="22"/>
        </w:rPr>
        <w:t>ue to current health</w:t>
      </w:r>
      <w:r w:rsidR="003C556A">
        <w:rPr>
          <w:rFonts w:ascii="Garamond" w:hAnsi="Garamond"/>
          <w:sz w:val="22"/>
          <w:szCs w:val="22"/>
        </w:rPr>
        <w:t>care</w:t>
      </w:r>
      <w:r w:rsidR="003C556A" w:rsidRPr="003C556A">
        <w:rPr>
          <w:rFonts w:ascii="Garamond" w:hAnsi="Garamond"/>
          <w:sz w:val="22"/>
          <w:szCs w:val="22"/>
        </w:rPr>
        <w:t xml:space="preserve"> problems.</w:t>
      </w:r>
      <w:r w:rsidR="00F2395C">
        <w:rPr>
          <w:rFonts w:ascii="Garamond" w:hAnsi="Garamond"/>
          <w:sz w:val="22"/>
          <w:szCs w:val="22"/>
        </w:rPr>
        <w:t xml:space="preserve"> </w:t>
      </w:r>
    </w:p>
    <w:p w14:paraId="7FBC2A90" w14:textId="77777777" w:rsidR="00845DD1" w:rsidRPr="00EE5F0F" w:rsidRDefault="00845DD1"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In the E</w:t>
      </w:r>
      <w:r w:rsidRPr="00845DD1">
        <w:rPr>
          <w:rFonts w:ascii="Garamond" w:hAnsi="Garamond"/>
          <w:sz w:val="22"/>
          <w:szCs w:val="22"/>
        </w:rPr>
        <w:t>urozone</w:t>
      </w:r>
      <w:r>
        <w:rPr>
          <w:rFonts w:ascii="Garamond" w:hAnsi="Garamond"/>
          <w:sz w:val="22"/>
          <w:szCs w:val="22"/>
        </w:rPr>
        <w:t xml:space="preserve"> i</w:t>
      </w:r>
      <w:r w:rsidRPr="00845DD1">
        <w:rPr>
          <w:rFonts w:ascii="Garamond" w:hAnsi="Garamond"/>
          <w:sz w:val="22"/>
          <w:szCs w:val="22"/>
        </w:rPr>
        <w:t xml:space="preserve">n the </w:t>
      </w:r>
      <w:r w:rsidR="0067068D">
        <w:rPr>
          <w:rFonts w:ascii="Garamond" w:hAnsi="Garamond"/>
          <w:sz w:val="22"/>
          <w:szCs w:val="22"/>
        </w:rPr>
        <w:t>fourth</w:t>
      </w:r>
      <w:r w:rsidRPr="00845DD1">
        <w:rPr>
          <w:rFonts w:ascii="Garamond" w:hAnsi="Garamond"/>
          <w:sz w:val="22"/>
          <w:szCs w:val="22"/>
        </w:rPr>
        <w:t xml:space="preserve"> quarter </w:t>
      </w:r>
      <w:r>
        <w:rPr>
          <w:rFonts w:ascii="Garamond" w:hAnsi="Garamond"/>
          <w:sz w:val="22"/>
          <w:szCs w:val="22"/>
        </w:rPr>
        <w:t>of 2019</w:t>
      </w:r>
      <w:r w:rsidR="00622BFF">
        <w:rPr>
          <w:rFonts w:ascii="Garamond" w:hAnsi="Garamond"/>
          <w:sz w:val="22"/>
          <w:szCs w:val="22"/>
        </w:rPr>
        <w:t>,</w:t>
      </w:r>
      <w:r>
        <w:rPr>
          <w:rFonts w:ascii="Garamond" w:hAnsi="Garamond"/>
          <w:sz w:val="22"/>
          <w:szCs w:val="22"/>
        </w:rPr>
        <w:t xml:space="preserve"> </w:t>
      </w:r>
      <w:r w:rsidRPr="00845DD1">
        <w:rPr>
          <w:rFonts w:ascii="Garamond" w:hAnsi="Garamond"/>
          <w:sz w:val="22"/>
          <w:szCs w:val="22"/>
        </w:rPr>
        <w:t xml:space="preserve">the average quarterly inflation </w:t>
      </w:r>
      <w:r w:rsidR="002875AC">
        <w:rPr>
          <w:rFonts w:ascii="Garamond" w:hAnsi="Garamond"/>
          <w:sz w:val="22"/>
          <w:szCs w:val="22"/>
        </w:rPr>
        <w:t xml:space="preserve">decelerated to </w:t>
      </w:r>
      <w:r w:rsidR="0067068D">
        <w:rPr>
          <w:rFonts w:ascii="Garamond" w:hAnsi="Garamond"/>
          <w:sz w:val="22"/>
          <w:szCs w:val="22"/>
        </w:rPr>
        <w:t>1.0</w:t>
      </w:r>
      <w:r w:rsidRPr="00845DD1">
        <w:rPr>
          <w:rFonts w:ascii="Garamond" w:hAnsi="Garamond"/>
          <w:sz w:val="22"/>
          <w:szCs w:val="22"/>
        </w:rPr>
        <w:t>%</w:t>
      </w:r>
      <w:r w:rsidR="00253F77">
        <w:rPr>
          <w:rFonts w:ascii="Garamond" w:hAnsi="Garamond"/>
          <w:sz w:val="22"/>
          <w:szCs w:val="22"/>
        </w:rPr>
        <w:t xml:space="preserve">, </w:t>
      </w:r>
      <w:r w:rsidR="004F46B3">
        <w:rPr>
          <w:rFonts w:ascii="Garamond" w:hAnsi="Garamond"/>
          <w:sz w:val="22"/>
          <w:szCs w:val="22"/>
        </w:rPr>
        <w:t>running</w:t>
      </w:r>
      <w:r w:rsidR="00253F77">
        <w:rPr>
          <w:rFonts w:ascii="Garamond" w:hAnsi="Garamond"/>
          <w:sz w:val="22"/>
          <w:szCs w:val="22"/>
        </w:rPr>
        <w:t xml:space="preserve"> </w:t>
      </w:r>
      <w:r w:rsidRPr="00845DD1">
        <w:rPr>
          <w:rFonts w:ascii="Garamond" w:hAnsi="Garamond"/>
          <w:sz w:val="22"/>
          <w:szCs w:val="22"/>
        </w:rPr>
        <w:t>below the E</w:t>
      </w:r>
      <w:r w:rsidR="004D0503">
        <w:rPr>
          <w:rFonts w:ascii="Garamond" w:hAnsi="Garamond"/>
          <w:sz w:val="22"/>
          <w:szCs w:val="22"/>
        </w:rPr>
        <w:t xml:space="preserve">uropean </w:t>
      </w:r>
      <w:r w:rsidRPr="00845DD1">
        <w:rPr>
          <w:rFonts w:ascii="Garamond" w:hAnsi="Garamond"/>
          <w:sz w:val="22"/>
          <w:szCs w:val="22"/>
        </w:rPr>
        <w:t>C</w:t>
      </w:r>
      <w:r w:rsidR="004D0503">
        <w:rPr>
          <w:rFonts w:ascii="Garamond" w:hAnsi="Garamond"/>
          <w:sz w:val="22"/>
          <w:szCs w:val="22"/>
        </w:rPr>
        <w:t xml:space="preserve">entral </w:t>
      </w:r>
      <w:r w:rsidRPr="00845DD1">
        <w:rPr>
          <w:rFonts w:ascii="Garamond" w:hAnsi="Garamond"/>
          <w:sz w:val="22"/>
          <w:szCs w:val="22"/>
        </w:rPr>
        <w:t>B</w:t>
      </w:r>
      <w:r w:rsidR="004D0503">
        <w:rPr>
          <w:rFonts w:ascii="Garamond" w:hAnsi="Garamond"/>
          <w:sz w:val="22"/>
          <w:szCs w:val="22"/>
        </w:rPr>
        <w:t>ank</w:t>
      </w:r>
      <w:r>
        <w:rPr>
          <w:rFonts w:ascii="Garamond" w:hAnsi="Garamond"/>
          <w:sz w:val="22"/>
          <w:szCs w:val="22"/>
        </w:rPr>
        <w:t>’s</w:t>
      </w:r>
      <w:r w:rsidRPr="00845DD1">
        <w:rPr>
          <w:rFonts w:ascii="Garamond" w:hAnsi="Garamond"/>
          <w:sz w:val="22"/>
          <w:szCs w:val="22"/>
        </w:rPr>
        <w:t xml:space="preserve"> target. The low inflation </w:t>
      </w:r>
      <w:r>
        <w:rPr>
          <w:rFonts w:ascii="Garamond" w:hAnsi="Garamond"/>
          <w:sz w:val="22"/>
          <w:szCs w:val="22"/>
        </w:rPr>
        <w:t xml:space="preserve">owed primarily to </w:t>
      </w:r>
      <w:r w:rsidR="0067068D">
        <w:rPr>
          <w:rFonts w:ascii="Garamond" w:hAnsi="Garamond"/>
          <w:sz w:val="22"/>
          <w:szCs w:val="22"/>
        </w:rPr>
        <w:t>low</w:t>
      </w:r>
      <w:r w:rsidR="002875AC">
        <w:rPr>
          <w:rFonts w:ascii="Garamond" w:hAnsi="Garamond"/>
          <w:sz w:val="22"/>
          <w:szCs w:val="22"/>
        </w:rPr>
        <w:t xml:space="preserve"> energy </w:t>
      </w:r>
      <w:r w:rsidRPr="00845DD1">
        <w:rPr>
          <w:rFonts w:ascii="Garamond" w:hAnsi="Garamond"/>
          <w:sz w:val="22"/>
          <w:szCs w:val="22"/>
        </w:rPr>
        <w:t>prices</w:t>
      </w:r>
      <w:r w:rsidR="0067068D">
        <w:rPr>
          <w:rFonts w:ascii="Garamond" w:hAnsi="Garamond"/>
          <w:sz w:val="22"/>
          <w:szCs w:val="22"/>
        </w:rPr>
        <w:t xml:space="preserve">; in the fourth quarter, </w:t>
      </w:r>
      <w:r>
        <w:rPr>
          <w:rFonts w:ascii="Garamond" w:hAnsi="Garamond"/>
          <w:sz w:val="22"/>
          <w:szCs w:val="22"/>
        </w:rPr>
        <w:t>core</w:t>
      </w:r>
      <w:r w:rsidRPr="00845DD1">
        <w:rPr>
          <w:rFonts w:ascii="Garamond" w:hAnsi="Garamond"/>
          <w:sz w:val="22"/>
          <w:szCs w:val="22"/>
        </w:rPr>
        <w:t xml:space="preserve"> inflation </w:t>
      </w:r>
      <w:r w:rsidR="002875AC">
        <w:rPr>
          <w:rFonts w:ascii="Garamond" w:hAnsi="Garamond"/>
          <w:sz w:val="22"/>
          <w:szCs w:val="22"/>
        </w:rPr>
        <w:t>averaged 1.0%</w:t>
      </w:r>
      <w:r w:rsidR="0067068D">
        <w:rPr>
          <w:rFonts w:ascii="Garamond" w:hAnsi="Garamond"/>
          <w:sz w:val="22"/>
          <w:szCs w:val="22"/>
        </w:rPr>
        <w:t>.</w:t>
      </w:r>
      <w:r w:rsidR="002875AC">
        <w:rPr>
          <w:rFonts w:ascii="Garamond" w:hAnsi="Garamond"/>
          <w:sz w:val="22"/>
          <w:szCs w:val="22"/>
        </w:rPr>
        <w:t xml:space="preserve"> </w:t>
      </w:r>
      <w:r w:rsidR="00EF38ED">
        <w:rPr>
          <w:rFonts w:ascii="Garamond" w:hAnsi="Garamond"/>
          <w:sz w:val="22"/>
          <w:szCs w:val="22"/>
        </w:rPr>
        <w:t xml:space="preserve">In anticipation of </w:t>
      </w:r>
      <w:r w:rsidR="002875AC" w:rsidRPr="002875AC">
        <w:rPr>
          <w:rFonts w:ascii="Garamond" w:hAnsi="Garamond"/>
          <w:sz w:val="22"/>
          <w:szCs w:val="22"/>
        </w:rPr>
        <w:t>low inflation and weak economic growth</w:t>
      </w:r>
      <w:r w:rsidR="002875AC">
        <w:rPr>
          <w:rFonts w:ascii="Garamond" w:hAnsi="Garamond"/>
          <w:sz w:val="22"/>
          <w:szCs w:val="22"/>
        </w:rPr>
        <w:t>,</w:t>
      </w:r>
      <w:r w:rsidR="002875AC" w:rsidRPr="002875AC">
        <w:rPr>
          <w:rFonts w:ascii="Garamond" w:hAnsi="Garamond"/>
          <w:sz w:val="22"/>
          <w:szCs w:val="22"/>
        </w:rPr>
        <w:t xml:space="preserve"> </w:t>
      </w:r>
      <w:r w:rsidR="002875AC">
        <w:rPr>
          <w:rFonts w:ascii="Garamond" w:hAnsi="Garamond"/>
          <w:sz w:val="22"/>
          <w:szCs w:val="22"/>
        </w:rPr>
        <w:t xml:space="preserve">the ECB </w:t>
      </w:r>
      <w:r w:rsidR="00184714" w:rsidRPr="00184714">
        <w:rPr>
          <w:rFonts w:ascii="Garamond" w:hAnsi="Garamond"/>
          <w:sz w:val="22"/>
          <w:szCs w:val="22"/>
        </w:rPr>
        <w:t xml:space="preserve">announced that </w:t>
      </w:r>
      <w:r w:rsidR="00184714">
        <w:rPr>
          <w:rFonts w:ascii="Garamond" w:hAnsi="Garamond"/>
          <w:sz w:val="22"/>
          <w:szCs w:val="22"/>
        </w:rPr>
        <w:t xml:space="preserve">it </w:t>
      </w:r>
      <w:r w:rsidR="00184714" w:rsidRPr="00184714">
        <w:rPr>
          <w:rFonts w:ascii="Garamond" w:hAnsi="Garamond"/>
          <w:sz w:val="22"/>
          <w:szCs w:val="22"/>
        </w:rPr>
        <w:t>w</w:t>
      </w:r>
      <w:r w:rsidR="002875AC">
        <w:rPr>
          <w:rFonts w:ascii="Garamond" w:hAnsi="Garamond"/>
          <w:sz w:val="22"/>
          <w:szCs w:val="22"/>
        </w:rPr>
        <w:t>ould</w:t>
      </w:r>
      <w:r w:rsidR="00184714" w:rsidRPr="00184714">
        <w:rPr>
          <w:rFonts w:ascii="Garamond" w:hAnsi="Garamond"/>
          <w:sz w:val="22"/>
          <w:szCs w:val="22"/>
        </w:rPr>
        <w:t xml:space="preserve"> </w:t>
      </w:r>
      <w:r w:rsidR="002875AC">
        <w:rPr>
          <w:rFonts w:ascii="Garamond" w:hAnsi="Garamond"/>
          <w:sz w:val="22"/>
          <w:szCs w:val="22"/>
        </w:rPr>
        <w:t xml:space="preserve">further </w:t>
      </w:r>
      <w:r w:rsidR="00184714" w:rsidRPr="00184714">
        <w:rPr>
          <w:rFonts w:ascii="Garamond" w:hAnsi="Garamond"/>
          <w:sz w:val="22"/>
          <w:szCs w:val="22"/>
        </w:rPr>
        <w:t>pursu</w:t>
      </w:r>
      <w:r w:rsidR="002875AC">
        <w:rPr>
          <w:rFonts w:ascii="Garamond" w:hAnsi="Garamond"/>
          <w:sz w:val="22"/>
          <w:szCs w:val="22"/>
        </w:rPr>
        <w:t xml:space="preserve">e </w:t>
      </w:r>
      <w:r w:rsidR="00184714" w:rsidRPr="00184714">
        <w:rPr>
          <w:rFonts w:ascii="Garamond" w:hAnsi="Garamond"/>
          <w:sz w:val="22"/>
          <w:szCs w:val="22"/>
        </w:rPr>
        <w:t xml:space="preserve">a </w:t>
      </w:r>
      <w:r w:rsidR="00EF38ED">
        <w:rPr>
          <w:rFonts w:ascii="Garamond" w:hAnsi="Garamond"/>
          <w:sz w:val="22"/>
          <w:szCs w:val="22"/>
        </w:rPr>
        <w:t>low</w:t>
      </w:r>
      <w:r w:rsidR="002875AC">
        <w:rPr>
          <w:rFonts w:ascii="Garamond" w:hAnsi="Garamond"/>
          <w:sz w:val="22"/>
          <w:szCs w:val="22"/>
        </w:rPr>
        <w:t xml:space="preserve"> i</w:t>
      </w:r>
      <w:r w:rsidR="00184714" w:rsidRPr="00184714">
        <w:rPr>
          <w:rFonts w:ascii="Garamond" w:hAnsi="Garamond"/>
          <w:sz w:val="22"/>
          <w:szCs w:val="22"/>
        </w:rPr>
        <w:t xml:space="preserve">nterest rate policy </w:t>
      </w:r>
      <w:r w:rsidR="002875AC">
        <w:rPr>
          <w:rFonts w:ascii="Garamond" w:hAnsi="Garamond"/>
          <w:sz w:val="22"/>
          <w:szCs w:val="22"/>
        </w:rPr>
        <w:t>and resume</w:t>
      </w:r>
      <w:r w:rsidR="00184714" w:rsidRPr="00184714">
        <w:rPr>
          <w:rFonts w:ascii="Garamond" w:hAnsi="Garamond"/>
          <w:sz w:val="22"/>
          <w:szCs w:val="22"/>
        </w:rPr>
        <w:t>, if ne</w:t>
      </w:r>
      <w:r w:rsidR="002875AC">
        <w:rPr>
          <w:rFonts w:ascii="Garamond" w:hAnsi="Garamond"/>
          <w:sz w:val="22"/>
          <w:szCs w:val="22"/>
        </w:rPr>
        <w:t>ed be</w:t>
      </w:r>
      <w:r w:rsidR="00184714" w:rsidRPr="00184714">
        <w:rPr>
          <w:rFonts w:ascii="Garamond" w:hAnsi="Garamond"/>
          <w:sz w:val="22"/>
          <w:szCs w:val="22"/>
        </w:rPr>
        <w:t xml:space="preserve">, </w:t>
      </w:r>
      <w:r w:rsidR="002875AC">
        <w:rPr>
          <w:rFonts w:ascii="Garamond" w:hAnsi="Garamond"/>
          <w:sz w:val="22"/>
          <w:szCs w:val="22"/>
        </w:rPr>
        <w:t>t</w:t>
      </w:r>
      <w:r w:rsidR="00184714">
        <w:rPr>
          <w:rFonts w:ascii="Garamond" w:hAnsi="Garamond"/>
          <w:sz w:val="22"/>
          <w:szCs w:val="22"/>
        </w:rPr>
        <w:t xml:space="preserve">he program of </w:t>
      </w:r>
      <w:r w:rsidR="00184714" w:rsidRPr="00184714">
        <w:rPr>
          <w:rFonts w:ascii="Garamond" w:hAnsi="Garamond"/>
          <w:sz w:val="22"/>
          <w:szCs w:val="22"/>
        </w:rPr>
        <w:t>quantitative easing</w:t>
      </w:r>
      <w:r w:rsidR="00184714">
        <w:rPr>
          <w:rFonts w:ascii="Garamond" w:hAnsi="Garamond"/>
          <w:sz w:val="22"/>
          <w:szCs w:val="22"/>
        </w:rPr>
        <w:t xml:space="preserve"> through purchases of assets</w:t>
      </w:r>
      <w:r w:rsidR="00184714" w:rsidRPr="00184714">
        <w:rPr>
          <w:rFonts w:ascii="Garamond" w:hAnsi="Garamond"/>
          <w:sz w:val="22"/>
          <w:szCs w:val="22"/>
        </w:rPr>
        <w:t>.</w:t>
      </w:r>
    </w:p>
    <w:p w14:paraId="2AD6716B" w14:textId="61CCAAEB" w:rsidR="00B266DE" w:rsidRDefault="75F56C7D" w:rsidP="00EE619D">
      <w:pPr>
        <w:autoSpaceDE w:val="0"/>
        <w:autoSpaceDN w:val="0"/>
        <w:adjustRightInd w:val="0"/>
        <w:spacing w:after="120" w:line="360" w:lineRule="auto"/>
        <w:jc w:val="both"/>
        <w:rPr>
          <w:rFonts w:ascii="Garamond" w:hAnsi="Garamond"/>
          <w:sz w:val="22"/>
          <w:szCs w:val="22"/>
        </w:rPr>
      </w:pPr>
      <w:r w:rsidRPr="75F56C7D">
        <w:rPr>
          <w:rFonts w:ascii="Garamond" w:hAnsi="Garamond"/>
          <w:b/>
          <w:bCs/>
          <w:sz w:val="22"/>
          <w:szCs w:val="22"/>
        </w:rPr>
        <w:t xml:space="preserve">Economic developments in Russia: </w:t>
      </w:r>
      <w:r w:rsidRPr="75F56C7D">
        <w:rPr>
          <w:rFonts w:ascii="Garamond" w:hAnsi="Garamond"/>
          <w:sz w:val="22"/>
          <w:szCs w:val="22"/>
        </w:rPr>
        <w:t xml:space="preserve">According to the Central Bank of Armenia estimates, Russia’s economic growth in the fourth quarter of 2019 was 2.0% y/y. The 2019 economic growth was an estimated 1.3%, with decline mostly attributable to weak external demand. Unemployment in Russia in the fourth quarter rose slightly to 4.6%. Russia's economic growth in 2020 is expected to be zero due to the global health and economic crisis, as well as low oil prices. The risks associated with economic growth are on a downside path. </w:t>
      </w:r>
    </w:p>
    <w:p w14:paraId="5CF4AE5B" w14:textId="77777777" w:rsidR="00D25EB7" w:rsidRDefault="00B266DE" w:rsidP="004365CE">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In the </w:t>
      </w:r>
      <w:r w:rsidR="00B25A4E">
        <w:rPr>
          <w:rFonts w:ascii="Garamond" w:hAnsi="Garamond"/>
          <w:sz w:val="22"/>
          <w:szCs w:val="22"/>
        </w:rPr>
        <w:t>fourth</w:t>
      </w:r>
      <w:r>
        <w:rPr>
          <w:rFonts w:ascii="Garamond" w:hAnsi="Garamond"/>
          <w:sz w:val="22"/>
          <w:szCs w:val="22"/>
        </w:rPr>
        <w:t xml:space="preserve"> quarter of 2019</w:t>
      </w:r>
      <w:r w:rsidRPr="00B266DE">
        <w:rPr>
          <w:rFonts w:ascii="Garamond" w:hAnsi="Garamond"/>
          <w:sz w:val="22"/>
          <w:szCs w:val="22"/>
        </w:rPr>
        <w:t xml:space="preserve"> the average </w:t>
      </w:r>
      <w:r w:rsidR="000A06E8">
        <w:rPr>
          <w:rFonts w:ascii="Garamond" w:hAnsi="Garamond"/>
          <w:sz w:val="22"/>
          <w:szCs w:val="22"/>
        </w:rPr>
        <w:t xml:space="preserve">quarterly inflation in Russia </w:t>
      </w:r>
      <w:r w:rsidR="009E53C4">
        <w:rPr>
          <w:rFonts w:ascii="Garamond" w:hAnsi="Garamond"/>
          <w:sz w:val="22"/>
          <w:szCs w:val="22"/>
        </w:rPr>
        <w:t xml:space="preserve">slowed to </w:t>
      </w:r>
      <w:r w:rsidR="00B25A4E">
        <w:rPr>
          <w:rFonts w:ascii="Garamond" w:hAnsi="Garamond"/>
          <w:sz w:val="22"/>
          <w:szCs w:val="22"/>
        </w:rPr>
        <w:t>3</w:t>
      </w:r>
      <w:r w:rsidRPr="00B266DE">
        <w:rPr>
          <w:rFonts w:ascii="Garamond" w:hAnsi="Garamond"/>
          <w:sz w:val="22"/>
          <w:szCs w:val="22"/>
        </w:rPr>
        <w:t>.</w:t>
      </w:r>
      <w:r w:rsidR="00B25A4E">
        <w:rPr>
          <w:rFonts w:ascii="Garamond" w:hAnsi="Garamond"/>
          <w:sz w:val="22"/>
          <w:szCs w:val="22"/>
        </w:rPr>
        <w:t>4</w:t>
      </w:r>
      <w:r w:rsidRPr="00B266DE">
        <w:rPr>
          <w:rFonts w:ascii="Garamond" w:hAnsi="Garamond"/>
          <w:sz w:val="22"/>
          <w:szCs w:val="22"/>
        </w:rPr>
        <w:t>%</w:t>
      </w:r>
      <w:r w:rsidR="000A06E8">
        <w:rPr>
          <w:rFonts w:ascii="Garamond" w:hAnsi="Garamond"/>
          <w:sz w:val="22"/>
          <w:szCs w:val="22"/>
        </w:rPr>
        <w:t xml:space="preserve"> from </w:t>
      </w:r>
      <w:r>
        <w:rPr>
          <w:rFonts w:ascii="Garamond" w:hAnsi="Garamond"/>
          <w:sz w:val="22"/>
          <w:szCs w:val="22"/>
        </w:rPr>
        <w:t xml:space="preserve">that of </w:t>
      </w:r>
      <w:r w:rsidR="009E53C4">
        <w:rPr>
          <w:rFonts w:ascii="Garamond" w:hAnsi="Garamond"/>
          <w:sz w:val="22"/>
          <w:szCs w:val="22"/>
        </w:rPr>
        <w:t>4</w:t>
      </w:r>
      <w:r>
        <w:rPr>
          <w:rFonts w:ascii="Garamond" w:hAnsi="Garamond"/>
          <w:sz w:val="22"/>
          <w:szCs w:val="22"/>
        </w:rPr>
        <w:t>.</w:t>
      </w:r>
      <w:r w:rsidR="00B25A4E">
        <w:rPr>
          <w:rFonts w:ascii="Garamond" w:hAnsi="Garamond"/>
          <w:sz w:val="22"/>
          <w:szCs w:val="22"/>
        </w:rPr>
        <w:t>3</w:t>
      </w:r>
      <w:r>
        <w:rPr>
          <w:rFonts w:ascii="Garamond" w:hAnsi="Garamond"/>
          <w:sz w:val="22"/>
          <w:szCs w:val="22"/>
        </w:rPr>
        <w:t xml:space="preserve">% reported in </w:t>
      </w:r>
      <w:r w:rsidRPr="00B266DE">
        <w:rPr>
          <w:rFonts w:ascii="Garamond" w:hAnsi="Garamond"/>
          <w:sz w:val="22"/>
          <w:szCs w:val="22"/>
        </w:rPr>
        <w:t>the</w:t>
      </w:r>
      <w:r>
        <w:rPr>
          <w:rFonts w:ascii="Garamond" w:hAnsi="Garamond"/>
          <w:sz w:val="22"/>
          <w:szCs w:val="22"/>
        </w:rPr>
        <w:t xml:space="preserve"> </w:t>
      </w:r>
      <w:r w:rsidRPr="00B266DE">
        <w:rPr>
          <w:rFonts w:ascii="Garamond" w:hAnsi="Garamond"/>
          <w:sz w:val="22"/>
          <w:szCs w:val="22"/>
        </w:rPr>
        <w:t>previous quarter</w:t>
      </w:r>
      <w:r>
        <w:rPr>
          <w:rFonts w:ascii="Garamond" w:hAnsi="Garamond"/>
          <w:sz w:val="22"/>
          <w:szCs w:val="22"/>
        </w:rPr>
        <w:t xml:space="preserve">, </w:t>
      </w:r>
      <w:r w:rsidR="00EC4FC1">
        <w:rPr>
          <w:rFonts w:ascii="Garamond" w:hAnsi="Garamond"/>
          <w:sz w:val="22"/>
          <w:szCs w:val="22"/>
        </w:rPr>
        <w:t>running below the</w:t>
      </w:r>
      <w:r w:rsidRPr="00B266DE">
        <w:rPr>
          <w:rFonts w:ascii="Garamond" w:hAnsi="Garamond"/>
          <w:sz w:val="22"/>
          <w:szCs w:val="22"/>
        </w:rPr>
        <w:t xml:space="preserve"> target</w:t>
      </w:r>
      <w:r w:rsidR="009E53C4">
        <w:rPr>
          <w:rFonts w:ascii="Garamond" w:hAnsi="Garamond"/>
          <w:sz w:val="22"/>
          <w:szCs w:val="22"/>
        </w:rPr>
        <w:t xml:space="preserve"> value of 4%</w:t>
      </w:r>
      <w:r w:rsidRPr="00B266DE">
        <w:rPr>
          <w:rFonts w:ascii="Garamond" w:hAnsi="Garamond"/>
          <w:sz w:val="22"/>
          <w:szCs w:val="22"/>
        </w:rPr>
        <w:t xml:space="preserve">. </w:t>
      </w:r>
      <w:r w:rsidR="00EC4FC1">
        <w:rPr>
          <w:rFonts w:ascii="Garamond" w:hAnsi="Garamond"/>
          <w:sz w:val="22"/>
          <w:szCs w:val="22"/>
        </w:rPr>
        <w:t>Further o</w:t>
      </w:r>
      <w:r w:rsidR="009E53C4">
        <w:rPr>
          <w:rFonts w:ascii="Garamond" w:hAnsi="Garamond"/>
          <w:sz w:val="22"/>
          <w:szCs w:val="22"/>
        </w:rPr>
        <w:t xml:space="preserve">n a declining path, inflation in </w:t>
      </w:r>
      <w:r w:rsidR="00EC4FC1">
        <w:rPr>
          <w:rFonts w:ascii="Garamond" w:hAnsi="Garamond"/>
          <w:sz w:val="22"/>
          <w:szCs w:val="22"/>
        </w:rPr>
        <w:t>January</w:t>
      </w:r>
      <w:r w:rsidR="009E53C4">
        <w:rPr>
          <w:rFonts w:ascii="Garamond" w:hAnsi="Garamond"/>
          <w:sz w:val="22"/>
          <w:szCs w:val="22"/>
        </w:rPr>
        <w:t xml:space="preserve"> even subdued to </w:t>
      </w:r>
      <w:r w:rsidR="00EC4FC1">
        <w:rPr>
          <w:rFonts w:ascii="Garamond" w:hAnsi="Garamond"/>
          <w:sz w:val="22"/>
          <w:szCs w:val="22"/>
        </w:rPr>
        <w:t>2</w:t>
      </w:r>
      <w:r w:rsidR="009E53C4">
        <w:rPr>
          <w:rFonts w:ascii="Garamond" w:hAnsi="Garamond"/>
          <w:sz w:val="22"/>
          <w:szCs w:val="22"/>
        </w:rPr>
        <w:t>.</w:t>
      </w:r>
      <w:r w:rsidR="00EC4FC1">
        <w:rPr>
          <w:rFonts w:ascii="Garamond" w:hAnsi="Garamond"/>
          <w:sz w:val="22"/>
          <w:szCs w:val="22"/>
        </w:rPr>
        <w:t>4</w:t>
      </w:r>
      <w:r w:rsidR="009E53C4">
        <w:rPr>
          <w:rFonts w:ascii="Garamond" w:hAnsi="Garamond"/>
          <w:sz w:val="22"/>
          <w:szCs w:val="22"/>
        </w:rPr>
        <w:t>, a level below the target</w:t>
      </w:r>
      <w:r w:rsidR="00390EB4">
        <w:rPr>
          <w:rFonts w:ascii="Garamond" w:hAnsi="Garamond"/>
          <w:sz w:val="22"/>
          <w:szCs w:val="22"/>
        </w:rPr>
        <w:t>, thanks to l</w:t>
      </w:r>
      <w:r w:rsidR="00390EB4" w:rsidRPr="00390EB4">
        <w:rPr>
          <w:rFonts w:ascii="Garamond" w:hAnsi="Garamond"/>
          <w:sz w:val="22"/>
          <w:szCs w:val="22"/>
        </w:rPr>
        <w:t xml:space="preserve">ow </w:t>
      </w:r>
      <w:r w:rsidR="0068714E">
        <w:rPr>
          <w:rFonts w:ascii="Garamond" w:hAnsi="Garamond"/>
          <w:sz w:val="22"/>
          <w:szCs w:val="22"/>
        </w:rPr>
        <w:t xml:space="preserve">price inflation on </w:t>
      </w:r>
      <w:r w:rsidR="00EC4FC1">
        <w:rPr>
          <w:rFonts w:ascii="Garamond" w:hAnsi="Garamond"/>
          <w:sz w:val="22"/>
          <w:szCs w:val="22"/>
        </w:rPr>
        <w:t xml:space="preserve">services </w:t>
      </w:r>
      <w:r w:rsidR="00390EB4" w:rsidRPr="00390EB4">
        <w:rPr>
          <w:rFonts w:ascii="Garamond" w:hAnsi="Garamond"/>
          <w:sz w:val="22"/>
          <w:szCs w:val="22"/>
        </w:rPr>
        <w:t>and food pr</w:t>
      </w:r>
      <w:r w:rsidR="0068714E">
        <w:rPr>
          <w:rFonts w:ascii="Garamond" w:hAnsi="Garamond"/>
          <w:sz w:val="22"/>
          <w:szCs w:val="22"/>
        </w:rPr>
        <w:t>oducts</w:t>
      </w:r>
      <w:r w:rsidR="00EC4FC1">
        <w:rPr>
          <w:rFonts w:ascii="Garamond" w:hAnsi="Garamond"/>
          <w:sz w:val="22"/>
          <w:szCs w:val="22"/>
        </w:rPr>
        <w:t xml:space="preserve"> and owing to a baseline impact of inflation that had expanded after a </w:t>
      </w:r>
      <w:r w:rsidR="00EC4FC1" w:rsidRPr="00EC4FC1">
        <w:rPr>
          <w:rFonts w:ascii="Garamond" w:hAnsi="Garamond"/>
          <w:sz w:val="22"/>
          <w:szCs w:val="22"/>
        </w:rPr>
        <w:t xml:space="preserve">VAT </w:t>
      </w:r>
      <w:r w:rsidR="00EC4FC1">
        <w:rPr>
          <w:rFonts w:ascii="Garamond" w:hAnsi="Garamond"/>
          <w:sz w:val="22"/>
          <w:szCs w:val="22"/>
        </w:rPr>
        <w:t xml:space="preserve">increase </w:t>
      </w:r>
      <w:r w:rsidR="00EC4FC1" w:rsidRPr="00EC4FC1">
        <w:rPr>
          <w:rFonts w:ascii="Garamond" w:hAnsi="Garamond"/>
          <w:sz w:val="22"/>
          <w:szCs w:val="22"/>
        </w:rPr>
        <w:t xml:space="preserve">in January </w:t>
      </w:r>
      <w:r w:rsidR="00EC4FC1">
        <w:rPr>
          <w:rFonts w:ascii="Garamond" w:hAnsi="Garamond"/>
          <w:sz w:val="22"/>
          <w:szCs w:val="22"/>
        </w:rPr>
        <w:t>2019.</w:t>
      </w:r>
      <w:r w:rsidR="00D94FCB">
        <w:rPr>
          <w:rFonts w:ascii="Garamond" w:hAnsi="Garamond"/>
          <w:sz w:val="22"/>
          <w:szCs w:val="22"/>
        </w:rPr>
        <w:t xml:space="preserve"> </w:t>
      </w:r>
      <w:r w:rsidR="00F41D05">
        <w:rPr>
          <w:rFonts w:ascii="Garamond" w:hAnsi="Garamond"/>
          <w:sz w:val="22"/>
          <w:szCs w:val="22"/>
        </w:rPr>
        <w:t>With i</w:t>
      </w:r>
      <w:r w:rsidRPr="00B266DE">
        <w:rPr>
          <w:rFonts w:ascii="Garamond" w:hAnsi="Garamond"/>
          <w:sz w:val="22"/>
          <w:szCs w:val="22"/>
        </w:rPr>
        <w:t xml:space="preserve">nflation </w:t>
      </w:r>
      <w:r w:rsidR="008103B1">
        <w:rPr>
          <w:rFonts w:ascii="Garamond" w:hAnsi="Garamond"/>
          <w:sz w:val="22"/>
          <w:szCs w:val="22"/>
        </w:rPr>
        <w:t>dec</w:t>
      </w:r>
      <w:r w:rsidR="0068714E">
        <w:rPr>
          <w:rFonts w:ascii="Garamond" w:hAnsi="Garamond"/>
          <w:sz w:val="22"/>
          <w:szCs w:val="22"/>
        </w:rPr>
        <w:t>elerating</w:t>
      </w:r>
      <w:r w:rsidRPr="00B266DE">
        <w:rPr>
          <w:rFonts w:ascii="Garamond" w:hAnsi="Garamond"/>
          <w:sz w:val="22"/>
          <w:szCs w:val="22"/>
        </w:rPr>
        <w:t xml:space="preserve">, </w:t>
      </w:r>
      <w:r w:rsidR="008103B1" w:rsidRPr="00B266DE">
        <w:rPr>
          <w:rFonts w:ascii="Garamond" w:hAnsi="Garamond"/>
          <w:sz w:val="22"/>
          <w:szCs w:val="22"/>
        </w:rPr>
        <w:t xml:space="preserve">the </w:t>
      </w:r>
      <w:r w:rsidR="008103B1">
        <w:rPr>
          <w:rFonts w:ascii="Garamond" w:hAnsi="Garamond"/>
          <w:sz w:val="22"/>
          <w:szCs w:val="22"/>
        </w:rPr>
        <w:t xml:space="preserve">Bank of </w:t>
      </w:r>
      <w:r w:rsidR="008103B1" w:rsidRPr="00B266DE">
        <w:rPr>
          <w:rFonts w:ascii="Garamond" w:hAnsi="Garamond"/>
          <w:sz w:val="22"/>
          <w:szCs w:val="22"/>
        </w:rPr>
        <w:t>Russia</w:t>
      </w:r>
      <w:r w:rsidR="008103B1">
        <w:rPr>
          <w:rFonts w:ascii="Garamond" w:hAnsi="Garamond"/>
          <w:sz w:val="22"/>
          <w:szCs w:val="22"/>
        </w:rPr>
        <w:t xml:space="preserve"> cut the policy rate </w:t>
      </w:r>
      <w:r w:rsidR="0012445D">
        <w:rPr>
          <w:rFonts w:ascii="Garamond" w:hAnsi="Garamond"/>
          <w:sz w:val="22"/>
          <w:szCs w:val="22"/>
        </w:rPr>
        <w:t xml:space="preserve">in the </w:t>
      </w:r>
      <w:r w:rsidR="00D94FCB">
        <w:rPr>
          <w:rFonts w:ascii="Garamond" w:hAnsi="Garamond"/>
          <w:sz w:val="22"/>
          <w:szCs w:val="22"/>
        </w:rPr>
        <w:t>fourth</w:t>
      </w:r>
      <w:r w:rsidR="0068714E">
        <w:rPr>
          <w:rFonts w:ascii="Garamond" w:hAnsi="Garamond"/>
          <w:sz w:val="22"/>
          <w:szCs w:val="22"/>
        </w:rPr>
        <w:t xml:space="preserve"> </w:t>
      </w:r>
      <w:r w:rsidR="0012445D">
        <w:rPr>
          <w:rFonts w:ascii="Garamond" w:hAnsi="Garamond"/>
          <w:sz w:val="22"/>
          <w:szCs w:val="22"/>
        </w:rPr>
        <w:t xml:space="preserve">quarter of 2019 </w:t>
      </w:r>
      <w:r w:rsidR="00D94FCB">
        <w:rPr>
          <w:rFonts w:ascii="Garamond" w:hAnsi="Garamond"/>
          <w:sz w:val="22"/>
          <w:szCs w:val="22"/>
        </w:rPr>
        <w:t>by 0.7</w:t>
      </w:r>
      <w:r w:rsidR="008103B1">
        <w:rPr>
          <w:rFonts w:ascii="Garamond" w:hAnsi="Garamond"/>
          <w:sz w:val="22"/>
          <w:szCs w:val="22"/>
        </w:rPr>
        <w:t>5</w:t>
      </w:r>
      <w:r w:rsidR="00D94FCB">
        <w:rPr>
          <w:rFonts w:ascii="Garamond" w:hAnsi="Garamond"/>
          <w:sz w:val="22"/>
          <w:szCs w:val="22"/>
        </w:rPr>
        <w:t xml:space="preserve"> pp (another </w:t>
      </w:r>
      <w:r w:rsidR="0068714E">
        <w:rPr>
          <w:rFonts w:ascii="Garamond" w:hAnsi="Garamond"/>
          <w:sz w:val="22"/>
          <w:szCs w:val="22"/>
        </w:rPr>
        <w:t xml:space="preserve">0.5 pp </w:t>
      </w:r>
      <w:r w:rsidR="00D94FCB">
        <w:rPr>
          <w:rFonts w:ascii="Garamond" w:hAnsi="Garamond"/>
          <w:sz w:val="22"/>
          <w:szCs w:val="22"/>
        </w:rPr>
        <w:t xml:space="preserve">was lowered </w:t>
      </w:r>
      <w:r w:rsidR="0068714E">
        <w:rPr>
          <w:rFonts w:ascii="Garamond" w:hAnsi="Garamond"/>
          <w:sz w:val="22"/>
          <w:szCs w:val="22"/>
        </w:rPr>
        <w:t xml:space="preserve">in </w:t>
      </w:r>
      <w:r w:rsidR="00D94FCB">
        <w:rPr>
          <w:rFonts w:ascii="Garamond" w:hAnsi="Garamond"/>
          <w:sz w:val="22"/>
          <w:szCs w:val="22"/>
        </w:rPr>
        <w:t>February 2020</w:t>
      </w:r>
      <w:r w:rsidR="0068714E">
        <w:rPr>
          <w:rFonts w:ascii="Garamond" w:hAnsi="Garamond"/>
          <w:sz w:val="22"/>
          <w:szCs w:val="22"/>
        </w:rPr>
        <w:t xml:space="preserve">) </w:t>
      </w:r>
      <w:r w:rsidR="008103B1">
        <w:rPr>
          <w:rFonts w:ascii="Garamond" w:hAnsi="Garamond"/>
          <w:sz w:val="22"/>
          <w:szCs w:val="22"/>
        </w:rPr>
        <w:t xml:space="preserve">to </w:t>
      </w:r>
      <w:r w:rsidR="0068714E">
        <w:rPr>
          <w:rFonts w:ascii="Garamond" w:hAnsi="Garamond"/>
          <w:sz w:val="22"/>
          <w:szCs w:val="22"/>
        </w:rPr>
        <w:t>6</w:t>
      </w:r>
      <w:r w:rsidR="008103B1">
        <w:rPr>
          <w:rFonts w:ascii="Garamond" w:hAnsi="Garamond"/>
          <w:sz w:val="22"/>
          <w:szCs w:val="22"/>
        </w:rPr>
        <w:t>.</w:t>
      </w:r>
      <w:r w:rsidR="00D94FCB">
        <w:rPr>
          <w:rFonts w:ascii="Garamond" w:hAnsi="Garamond"/>
          <w:sz w:val="22"/>
          <w:szCs w:val="22"/>
        </w:rPr>
        <w:t>0</w:t>
      </w:r>
      <w:r w:rsidR="008103B1">
        <w:rPr>
          <w:rFonts w:ascii="Garamond" w:hAnsi="Garamond"/>
          <w:sz w:val="22"/>
          <w:szCs w:val="22"/>
        </w:rPr>
        <w:t>%</w:t>
      </w:r>
      <w:r w:rsidR="008103B1" w:rsidRPr="008103B1">
        <w:rPr>
          <w:rFonts w:ascii="Garamond" w:hAnsi="Garamond"/>
          <w:sz w:val="22"/>
          <w:szCs w:val="22"/>
        </w:rPr>
        <w:t xml:space="preserve">. </w:t>
      </w:r>
      <w:r w:rsidR="00D94FCB">
        <w:rPr>
          <w:rFonts w:ascii="Garamond" w:hAnsi="Garamond"/>
          <w:sz w:val="22"/>
          <w:szCs w:val="22"/>
        </w:rPr>
        <w:t xml:space="preserve">As </w:t>
      </w:r>
      <w:r w:rsidR="008103B1" w:rsidRPr="008103B1">
        <w:rPr>
          <w:rFonts w:ascii="Garamond" w:hAnsi="Garamond"/>
          <w:sz w:val="22"/>
          <w:szCs w:val="22"/>
        </w:rPr>
        <w:t>inflation expectations</w:t>
      </w:r>
      <w:r w:rsidR="00415095">
        <w:rPr>
          <w:rFonts w:ascii="Garamond" w:hAnsi="Garamond"/>
          <w:sz w:val="22"/>
          <w:szCs w:val="22"/>
        </w:rPr>
        <w:t xml:space="preserve"> </w:t>
      </w:r>
      <w:r w:rsidR="00D94FCB">
        <w:rPr>
          <w:rFonts w:ascii="Garamond" w:hAnsi="Garamond"/>
          <w:sz w:val="22"/>
          <w:szCs w:val="22"/>
        </w:rPr>
        <w:t>prove volatile,</w:t>
      </w:r>
      <w:r w:rsidR="0068714E">
        <w:rPr>
          <w:rFonts w:ascii="Garamond" w:hAnsi="Garamond"/>
          <w:sz w:val="22"/>
          <w:szCs w:val="22"/>
        </w:rPr>
        <w:t xml:space="preserve"> actual inflation trends downward</w:t>
      </w:r>
      <w:r w:rsidR="008103B1" w:rsidRPr="008103B1">
        <w:rPr>
          <w:rFonts w:ascii="Garamond" w:hAnsi="Garamond"/>
          <w:sz w:val="22"/>
          <w:szCs w:val="22"/>
        </w:rPr>
        <w:t xml:space="preserve">, </w:t>
      </w:r>
      <w:r w:rsidR="00D94FCB">
        <w:rPr>
          <w:rFonts w:ascii="Garamond" w:hAnsi="Garamond"/>
          <w:sz w:val="22"/>
          <w:szCs w:val="22"/>
        </w:rPr>
        <w:t xml:space="preserve">and there are more </w:t>
      </w:r>
      <w:r w:rsidR="00D94FCB" w:rsidRPr="00D94FCB">
        <w:rPr>
          <w:rFonts w:ascii="Garamond" w:hAnsi="Garamond"/>
          <w:sz w:val="22"/>
          <w:szCs w:val="22"/>
        </w:rPr>
        <w:t>risks to the global economy</w:t>
      </w:r>
      <w:r w:rsidR="00D94FCB">
        <w:rPr>
          <w:rFonts w:ascii="Garamond" w:hAnsi="Garamond"/>
          <w:sz w:val="22"/>
          <w:szCs w:val="22"/>
        </w:rPr>
        <w:t>,</w:t>
      </w:r>
      <w:r w:rsidR="00D94FCB" w:rsidRPr="00D94FCB">
        <w:rPr>
          <w:rFonts w:ascii="Garamond" w:hAnsi="Garamond"/>
          <w:sz w:val="22"/>
          <w:szCs w:val="22"/>
        </w:rPr>
        <w:t xml:space="preserve"> </w:t>
      </w:r>
      <w:r w:rsidR="00D94FCB">
        <w:rPr>
          <w:rFonts w:ascii="Garamond" w:hAnsi="Garamond"/>
          <w:sz w:val="22"/>
          <w:szCs w:val="22"/>
        </w:rPr>
        <w:t>the Bank of Russia i</w:t>
      </w:r>
      <w:r w:rsidR="008103B1" w:rsidRPr="008103B1">
        <w:rPr>
          <w:rFonts w:ascii="Garamond" w:hAnsi="Garamond"/>
          <w:sz w:val="22"/>
          <w:szCs w:val="22"/>
        </w:rPr>
        <w:t xml:space="preserve">s expected to continue </w:t>
      </w:r>
      <w:r w:rsidR="0068714E">
        <w:rPr>
          <w:rFonts w:ascii="Garamond" w:hAnsi="Garamond"/>
          <w:sz w:val="22"/>
          <w:szCs w:val="22"/>
        </w:rPr>
        <w:t xml:space="preserve">easing the </w:t>
      </w:r>
      <w:r w:rsidR="00415095">
        <w:rPr>
          <w:rFonts w:ascii="Garamond" w:hAnsi="Garamond"/>
          <w:sz w:val="22"/>
          <w:szCs w:val="22"/>
        </w:rPr>
        <w:t xml:space="preserve">monetary </w:t>
      </w:r>
      <w:r w:rsidR="0068714E">
        <w:rPr>
          <w:rFonts w:ascii="Garamond" w:hAnsi="Garamond"/>
          <w:sz w:val="22"/>
          <w:szCs w:val="22"/>
        </w:rPr>
        <w:t>conditions</w:t>
      </w:r>
      <w:r w:rsidR="00D94FCB">
        <w:rPr>
          <w:rStyle w:val="FootnoteReference"/>
          <w:rFonts w:ascii="Garamond" w:hAnsi="Garamond"/>
          <w:sz w:val="22"/>
          <w:szCs w:val="22"/>
        </w:rPr>
        <w:footnoteReference w:customMarkFollows="1" w:id="2"/>
        <w:t>11</w:t>
      </w:r>
      <w:r w:rsidR="00D25EB7">
        <w:rPr>
          <w:rFonts w:ascii="Garamond" w:hAnsi="Garamond"/>
          <w:sz w:val="22"/>
          <w:szCs w:val="22"/>
        </w:rPr>
        <w:t>.</w:t>
      </w:r>
    </w:p>
    <w:p w14:paraId="12607F08" w14:textId="77777777" w:rsidR="000774D3" w:rsidRDefault="00D47486" w:rsidP="004365CE">
      <w:pPr>
        <w:autoSpaceDE w:val="0"/>
        <w:autoSpaceDN w:val="0"/>
        <w:adjustRightInd w:val="0"/>
        <w:spacing w:after="120" w:line="360" w:lineRule="auto"/>
        <w:jc w:val="both"/>
        <w:rPr>
          <w:rFonts w:ascii="Garamond" w:hAnsi="Garamond"/>
          <w:sz w:val="22"/>
          <w:szCs w:val="22"/>
        </w:rPr>
      </w:pPr>
      <w:r>
        <w:rPr>
          <w:rFonts w:ascii="Garamond" w:hAnsi="Garamond"/>
          <w:b/>
          <w:sz w:val="22"/>
          <w:szCs w:val="22"/>
        </w:rPr>
        <w:t>D</w:t>
      </w:r>
      <w:r w:rsidR="00EE619D" w:rsidRPr="00EE5F0F">
        <w:rPr>
          <w:rFonts w:ascii="Garamond" w:hAnsi="Garamond"/>
          <w:b/>
          <w:sz w:val="22"/>
          <w:szCs w:val="22"/>
        </w:rPr>
        <w:t xml:space="preserve">evelopments in </w:t>
      </w:r>
      <w:r>
        <w:rPr>
          <w:rFonts w:ascii="Garamond" w:hAnsi="Garamond"/>
          <w:b/>
          <w:sz w:val="22"/>
          <w:szCs w:val="22"/>
        </w:rPr>
        <w:t>world commodity and food product markets</w:t>
      </w:r>
      <w:r w:rsidR="00EE619D" w:rsidRPr="00EE5F0F">
        <w:rPr>
          <w:rFonts w:ascii="Garamond" w:hAnsi="Garamond"/>
          <w:b/>
          <w:sz w:val="22"/>
          <w:szCs w:val="22"/>
        </w:rPr>
        <w:t>:</w:t>
      </w:r>
      <w:r w:rsidR="00EE619D" w:rsidRPr="00EE5F0F">
        <w:rPr>
          <w:rFonts w:ascii="Garamond" w:hAnsi="Garamond"/>
          <w:sz w:val="22"/>
          <w:szCs w:val="22"/>
        </w:rPr>
        <w:t xml:space="preserve"> </w:t>
      </w:r>
      <w:r w:rsidR="00416169">
        <w:rPr>
          <w:rFonts w:ascii="Garamond" w:hAnsi="Garamond"/>
          <w:sz w:val="22"/>
          <w:szCs w:val="22"/>
        </w:rPr>
        <w:t xml:space="preserve">In the </w:t>
      </w:r>
      <w:r w:rsidR="004B5C96">
        <w:rPr>
          <w:rFonts w:ascii="Garamond" w:hAnsi="Garamond"/>
          <w:sz w:val="22"/>
          <w:szCs w:val="22"/>
        </w:rPr>
        <w:t>fourth</w:t>
      </w:r>
      <w:r w:rsidR="00416169">
        <w:rPr>
          <w:rFonts w:ascii="Garamond" w:hAnsi="Garamond"/>
          <w:sz w:val="22"/>
          <w:szCs w:val="22"/>
        </w:rPr>
        <w:t xml:space="preserve"> quarter of 2019</w:t>
      </w:r>
      <w:r w:rsidR="004B5C96">
        <w:rPr>
          <w:rFonts w:ascii="Garamond" w:hAnsi="Garamond"/>
          <w:sz w:val="22"/>
          <w:szCs w:val="22"/>
        </w:rPr>
        <w:t>,</w:t>
      </w:r>
      <w:r w:rsidR="004365CE">
        <w:rPr>
          <w:rFonts w:ascii="Garamond" w:hAnsi="Garamond"/>
          <w:sz w:val="22"/>
          <w:szCs w:val="22"/>
        </w:rPr>
        <w:t xml:space="preserve"> </w:t>
      </w:r>
      <w:r w:rsidR="004B5C96">
        <w:rPr>
          <w:rFonts w:ascii="Garamond" w:hAnsi="Garamond"/>
          <w:sz w:val="22"/>
          <w:szCs w:val="22"/>
        </w:rPr>
        <w:t xml:space="preserve">basic </w:t>
      </w:r>
      <w:r w:rsidR="004365CE">
        <w:rPr>
          <w:rFonts w:ascii="Garamond" w:hAnsi="Garamond"/>
          <w:sz w:val="22"/>
          <w:szCs w:val="22"/>
        </w:rPr>
        <w:t xml:space="preserve">commodity and food product markets </w:t>
      </w:r>
      <w:r w:rsidR="004B5C96">
        <w:rPr>
          <w:rFonts w:ascii="Garamond" w:hAnsi="Garamond"/>
          <w:sz w:val="22"/>
          <w:szCs w:val="22"/>
        </w:rPr>
        <w:t xml:space="preserve">further saw </w:t>
      </w:r>
      <w:r w:rsidR="004365CE">
        <w:rPr>
          <w:rFonts w:ascii="Garamond" w:hAnsi="Garamond"/>
          <w:sz w:val="22"/>
          <w:szCs w:val="22"/>
        </w:rPr>
        <w:t xml:space="preserve">a </w:t>
      </w:r>
      <w:r w:rsidR="004B5C96">
        <w:rPr>
          <w:rFonts w:ascii="Garamond" w:hAnsi="Garamond"/>
          <w:sz w:val="22"/>
          <w:szCs w:val="22"/>
        </w:rPr>
        <w:t>low-</w:t>
      </w:r>
      <w:r w:rsidR="004365CE" w:rsidRPr="004365CE">
        <w:rPr>
          <w:rFonts w:ascii="Garamond" w:hAnsi="Garamond"/>
          <w:sz w:val="22"/>
          <w:szCs w:val="22"/>
        </w:rPr>
        <w:t>price environment</w:t>
      </w:r>
      <w:r w:rsidR="004365CE">
        <w:rPr>
          <w:rFonts w:ascii="Garamond" w:hAnsi="Garamond"/>
          <w:sz w:val="22"/>
          <w:szCs w:val="22"/>
        </w:rPr>
        <w:t xml:space="preserve"> d</w:t>
      </w:r>
      <w:r w:rsidR="004365CE" w:rsidRPr="004365CE">
        <w:rPr>
          <w:rFonts w:ascii="Garamond" w:hAnsi="Garamond"/>
          <w:sz w:val="22"/>
          <w:szCs w:val="22"/>
        </w:rPr>
        <w:t xml:space="preserve">ue to </w:t>
      </w:r>
      <w:r w:rsidR="004365CE">
        <w:rPr>
          <w:rFonts w:ascii="Garamond" w:hAnsi="Garamond"/>
          <w:sz w:val="22"/>
          <w:szCs w:val="22"/>
        </w:rPr>
        <w:t>a sluggish g</w:t>
      </w:r>
      <w:r w:rsidR="004365CE" w:rsidRPr="004365CE">
        <w:rPr>
          <w:rFonts w:ascii="Garamond" w:hAnsi="Garamond"/>
          <w:sz w:val="22"/>
          <w:szCs w:val="22"/>
        </w:rPr>
        <w:t>lobal demand and trade tensions</w:t>
      </w:r>
      <w:r w:rsidR="00415095">
        <w:rPr>
          <w:rFonts w:ascii="Garamond" w:hAnsi="Garamond"/>
          <w:sz w:val="22"/>
          <w:szCs w:val="22"/>
        </w:rPr>
        <w:t>.</w:t>
      </w:r>
      <w:r w:rsidR="003B4B24" w:rsidRPr="00EE5F0F">
        <w:rPr>
          <w:rFonts w:ascii="Garamond" w:hAnsi="Garamond"/>
          <w:sz w:val="22"/>
          <w:szCs w:val="22"/>
        </w:rPr>
        <w:t xml:space="preserve"> </w:t>
      </w:r>
    </w:p>
    <w:p w14:paraId="55D21862" w14:textId="77777777" w:rsidR="0046096C" w:rsidRDefault="004E64F3"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Demand in the copper market slackened amid uncertainties over trade wars led to a 0.4% price growth q/q i</w:t>
      </w:r>
      <w:r w:rsidR="00660AE6">
        <w:rPr>
          <w:rFonts w:ascii="Garamond" w:hAnsi="Garamond"/>
          <w:sz w:val="22"/>
          <w:szCs w:val="22"/>
        </w:rPr>
        <w:t>n</w:t>
      </w:r>
      <w:r w:rsidR="000774D3">
        <w:rPr>
          <w:rFonts w:ascii="Garamond" w:hAnsi="Garamond"/>
          <w:sz w:val="22"/>
          <w:szCs w:val="22"/>
        </w:rPr>
        <w:t xml:space="preserve"> the </w:t>
      </w:r>
      <w:r>
        <w:rPr>
          <w:rFonts w:ascii="Garamond" w:hAnsi="Garamond"/>
          <w:sz w:val="22"/>
          <w:szCs w:val="22"/>
        </w:rPr>
        <w:t>fourth</w:t>
      </w:r>
      <w:r w:rsidR="000774D3">
        <w:rPr>
          <w:rFonts w:ascii="Garamond" w:hAnsi="Garamond"/>
          <w:sz w:val="22"/>
          <w:szCs w:val="22"/>
        </w:rPr>
        <w:t xml:space="preserve"> quarter of 2019</w:t>
      </w:r>
      <w:r w:rsidR="00C27D9B">
        <w:rPr>
          <w:rFonts w:ascii="Garamond" w:hAnsi="Garamond"/>
          <w:sz w:val="22"/>
          <w:szCs w:val="22"/>
        </w:rPr>
        <w:t>.</w:t>
      </w:r>
      <w:r w:rsidR="00096C1A">
        <w:rPr>
          <w:rFonts w:ascii="Garamond" w:hAnsi="Garamond"/>
          <w:sz w:val="22"/>
          <w:szCs w:val="22"/>
        </w:rPr>
        <w:t xml:space="preserve"> </w:t>
      </w:r>
      <w:r w:rsidR="00C27D9B" w:rsidRPr="00C27D9B">
        <w:rPr>
          <w:rFonts w:ascii="Garamond" w:hAnsi="Garamond"/>
          <w:sz w:val="22"/>
          <w:szCs w:val="22"/>
        </w:rPr>
        <w:t>Compared to the previous quarter, international oil prices rose</w:t>
      </w:r>
      <w:r w:rsidR="00C27D9B">
        <w:rPr>
          <w:rFonts w:ascii="Garamond" w:hAnsi="Garamond"/>
          <w:sz w:val="22"/>
          <w:szCs w:val="22"/>
        </w:rPr>
        <w:t xml:space="preserve"> this quarter </w:t>
      </w:r>
      <w:r w:rsidR="00C27D9B" w:rsidRPr="00C27D9B">
        <w:rPr>
          <w:rFonts w:ascii="Garamond" w:hAnsi="Garamond"/>
          <w:sz w:val="22"/>
          <w:szCs w:val="22"/>
        </w:rPr>
        <w:t>by 1.2%</w:t>
      </w:r>
      <w:r w:rsidR="00C27D9B">
        <w:rPr>
          <w:rFonts w:ascii="Garamond" w:hAnsi="Garamond"/>
          <w:sz w:val="22"/>
          <w:szCs w:val="22"/>
        </w:rPr>
        <w:t xml:space="preserve"> q/q</w:t>
      </w:r>
      <w:r w:rsidR="002B7CEC">
        <w:rPr>
          <w:rFonts w:ascii="Garamond" w:hAnsi="Garamond"/>
          <w:sz w:val="22"/>
          <w:szCs w:val="22"/>
        </w:rPr>
        <w:t>. S</w:t>
      </w:r>
      <w:r w:rsidR="00C27D9B" w:rsidRPr="00C27D9B">
        <w:rPr>
          <w:rFonts w:ascii="Garamond" w:hAnsi="Garamond"/>
          <w:sz w:val="22"/>
          <w:szCs w:val="22"/>
        </w:rPr>
        <w:t>light</w:t>
      </w:r>
      <w:r w:rsidR="002B7CEC">
        <w:rPr>
          <w:rFonts w:ascii="Garamond" w:hAnsi="Garamond"/>
          <w:sz w:val="22"/>
          <w:szCs w:val="22"/>
        </w:rPr>
        <w:t xml:space="preserve">ly recovered </w:t>
      </w:r>
      <w:r w:rsidR="00C27D9B" w:rsidRPr="00C27D9B">
        <w:rPr>
          <w:rFonts w:ascii="Garamond" w:hAnsi="Garamond"/>
          <w:sz w:val="22"/>
          <w:szCs w:val="22"/>
        </w:rPr>
        <w:t xml:space="preserve">commodity prices </w:t>
      </w:r>
      <w:r w:rsidR="002B7CEC">
        <w:rPr>
          <w:rFonts w:ascii="Garamond" w:hAnsi="Garamond"/>
          <w:sz w:val="22"/>
          <w:szCs w:val="22"/>
        </w:rPr>
        <w:t xml:space="preserve">owed to </w:t>
      </w:r>
      <w:r w:rsidR="00C27D9B" w:rsidRPr="00C27D9B">
        <w:rPr>
          <w:rFonts w:ascii="Garamond" w:hAnsi="Garamond"/>
          <w:sz w:val="22"/>
          <w:szCs w:val="22"/>
        </w:rPr>
        <w:t xml:space="preserve">the </w:t>
      </w:r>
      <w:r w:rsidR="002B7CEC">
        <w:rPr>
          <w:rFonts w:ascii="Garamond" w:hAnsi="Garamond"/>
          <w:sz w:val="22"/>
          <w:szCs w:val="22"/>
        </w:rPr>
        <w:t xml:space="preserve">diminishing </w:t>
      </w:r>
      <w:r w:rsidR="00C27D9B" w:rsidRPr="00C27D9B">
        <w:rPr>
          <w:rFonts w:ascii="Garamond" w:hAnsi="Garamond"/>
          <w:sz w:val="22"/>
          <w:szCs w:val="22"/>
        </w:rPr>
        <w:t xml:space="preserve">US-China trade tensions. </w:t>
      </w:r>
      <w:r w:rsidR="002B7CEC">
        <w:rPr>
          <w:rFonts w:ascii="Garamond" w:hAnsi="Garamond"/>
          <w:sz w:val="22"/>
          <w:szCs w:val="22"/>
        </w:rPr>
        <w:t>In 2020 i</w:t>
      </w:r>
      <w:r w:rsidR="00C27D9B" w:rsidRPr="00C27D9B">
        <w:rPr>
          <w:rFonts w:ascii="Garamond" w:hAnsi="Garamond"/>
          <w:sz w:val="22"/>
          <w:szCs w:val="22"/>
        </w:rPr>
        <w:t xml:space="preserve">nternational prices </w:t>
      </w:r>
      <w:r w:rsidR="002B7CEC">
        <w:rPr>
          <w:rFonts w:ascii="Garamond" w:hAnsi="Garamond"/>
          <w:sz w:val="22"/>
          <w:szCs w:val="22"/>
        </w:rPr>
        <w:t xml:space="preserve">of </w:t>
      </w:r>
      <w:r w:rsidR="00C27D9B" w:rsidRPr="00C27D9B">
        <w:rPr>
          <w:rFonts w:ascii="Garamond" w:hAnsi="Garamond"/>
          <w:sz w:val="22"/>
          <w:szCs w:val="22"/>
        </w:rPr>
        <w:t xml:space="preserve">raw materials, particularly copper and oil, will fall sharply </w:t>
      </w:r>
      <w:r w:rsidR="002B7CEC">
        <w:rPr>
          <w:rFonts w:ascii="Garamond" w:hAnsi="Garamond"/>
          <w:sz w:val="22"/>
          <w:szCs w:val="22"/>
        </w:rPr>
        <w:t xml:space="preserve">on the back of </w:t>
      </w:r>
      <w:r w:rsidR="00C27D9B" w:rsidRPr="00C27D9B">
        <w:rPr>
          <w:rFonts w:ascii="Garamond" w:hAnsi="Garamond"/>
          <w:sz w:val="22"/>
          <w:szCs w:val="22"/>
        </w:rPr>
        <w:t xml:space="preserve">weakening </w:t>
      </w:r>
      <w:r w:rsidR="00C27D9B" w:rsidRPr="00C27D9B">
        <w:rPr>
          <w:rFonts w:ascii="Garamond" w:hAnsi="Garamond"/>
          <w:sz w:val="22"/>
          <w:szCs w:val="22"/>
        </w:rPr>
        <w:lastRenderedPageBreak/>
        <w:t xml:space="preserve">world economy </w:t>
      </w:r>
      <w:r w:rsidR="002B7CEC">
        <w:rPr>
          <w:rFonts w:ascii="Garamond" w:hAnsi="Garamond"/>
          <w:sz w:val="22"/>
          <w:szCs w:val="22"/>
        </w:rPr>
        <w:t>due to the</w:t>
      </w:r>
      <w:r w:rsidR="00C27D9B" w:rsidRPr="00C27D9B">
        <w:rPr>
          <w:rFonts w:ascii="Garamond" w:hAnsi="Garamond"/>
          <w:sz w:val="22"/>
          <w:szCs w:val="22"/>
        </w:rPr>
        <w:t xml:space="preserve"> coron</w:t>
      </w:r>
      <w:r w:rsidR="002B7CEC">
        <w:rPr>
          <w:rFonts w:ascii="Garamond" w:hAnsi="Garamond"/>
          <w:sz w:val="22"/>
          <w:szCs w:val="22"/>
        </w:rPr>
        <w:t>avirus. At</w:t>
      </w:r>
      <w:r w:rsidR="00C27D9B" w:rsidRPr="00C27D9B">
        <w:rPr>
          <w:rFonts w:ascii="Garamond" w:hAnsi="Garamond"/>
          <w:sz w:val="22"/>
          <w:szCs w:val="22"/>
        </w:rPr>
        <w:t xml:space="preserve"> the</w:t>
      </w:r>
      <w:r w:rsidR="002B7CEC">
        <w:rPr>
          <w:rFonts w:ascii="Garamond" w:hAnsi="Garamond"/>
          <w:sz w:val="22"/>
          <w:szCs w:val="22"/>
        </w:rPr>
        <w:t>ir</w:t>
      </w:r>
      <w:r w:rsidR="00C27D9B" w:rsidRPr="00C27D9B">
        <w:rPr>
          <w:rFonts w:ascii="Garamond" w:hAnsi="Garamond"/>
          <w:sz w:val="22"/>
          <w:szCs w:val="22"/>
        </w:rPr>
        <w:t xml:space="preserve"> March meeting, OPEC+ member states</w:t>
      </w:r>
      <w:r w:rsidR="002B7CEC">
        <w:rPr>
          <w:rFonts w:ascii="Garamond" w:hAnsi="Garamond"/>
          <w:sz w:val="22"/>
          <w:szCs w:val="22"/>
        </w:rPr>
        <w:t xml:space="preserve"> could not reach an agreement on</w:t>
      </w:r>
      <w:r w:rsidR="00C27D9B" w:rsidRPr="00C27D9B">
        <w:rPr>
          <w:rFonts w:ascii="Garamond" w:hAnsi="Garamond"/>
          <w:sz w:val="22"/>
          <w:szCs w:val="22"/>
        </w:rPr>
        <w:t xml:space="preserve"> reduc</w:t>
      </w:r>
      <w:r w:rsidR="002B7CEC">
        <w:rPr>
          <w:rFonts w:ascii="Garamond" w:hAnsi="Garamond"/>
          <w:sz w:val="22"/>
          <w:szCs w:val="22"/>
        </w:rPr>
        <w:t>ing</w:t>
      </w:r>
      <w:r w:rsidR="00C27D9B" w:rsidRPr="00C27D9B">
        <w:rPr>
          <w:rFonts w:ascii="Garamond" w:hAnsi="Garamond"/>
          <w:sz w:val="22"/>
          <w:szCs w:val="22"/>
        </w:rPr>
        <w:t xml:space="preserve"> oil production, </w:t>
      </w:r>
      <w:r w:rsidR="002B7CEC">
        <w:rPr>
          <w:rFonts w:ascii="Garamond" w:hAnsi="Garamond"/>
          <w:sz w:val="22"/>
          <w:szCs w:val="22"/>
        </w:rPr>
        <w:t xml:space="preserve">which facilitated the shaping of </w:t>
      </w:r>
      <w:r w:rsidR="00C27D9B" w:rsidRPr="00C27D9B">
        <w:rPr>
          <w:rFonts w:ascii="Garamond" w:hAnsi="Garamond"/>
          <w:sz w:val="22"/>
          <w:szCs w:val="22"/>
        </w:rPr>
        <w:t xml:space="preserve">even lower levels of </w:t>
      </w:r>
      <w:r w:rsidR="00002BFC">
        <w:rPr>
          <w:rFonts w:ascii="Garamond" w:hAnsi="Garamond"/>
          <w:sz w:val="22"/>
          <w:szCs w:val="22"/>
        </w:rPr>
        <w:t>o</w:t>
      </w:r>
      <w:r w:rsidR="00C27D9B" w:rsidRPr="00C27D9B">
        <w:rPr>
          <w:rFonts w:ascii="Garamond" w:hAnsi="Garamond"/>
          <w:sz w:val="22"/>
          <w:szCs w:val="22"/>
        </w:rPr>
        <w:t>il prices.</w:t>
      </w:r>
      <w:r w:rsidR="002B7CEC">
        <w:rPr>
          <w:rFonts w:ascii="Garamond" w:hAnsi="Garamond"/>
          <w:sz w:val="22"/>
          <w:szCs w:val="22"/>
        </w:rPr>
        <w:t xml:space="preserve"> </w:t>
      </w:r>
    </w:p>
    <w:p w14:paraId="24B1D662" w14:textId="77777777" w:rsidR="00EE619D" w:rsidRPr="00EE5F0F" w:rsidRDefault="002F643B" w:rsidP="00E3294E">
      <w:pPr>
        <w:autoSpaceDE w:val="0"/>
        <w:autoSpaceDN w:val="0"/>
        <w:adjustRightInd w:val="0"/>
        <w:spacing w:after="120" w:line="360" w:lineRule="auto"/>
        <w:jc w:val="both"/>
        <w:rPr>
          <w:rFonts w:ascii="Garamond" w:hAnsi="Garamond"/>
          <w:b/>
          <w:color w:val="0070C0"/>
          <w:sz w:val="22"/>
          <w:szCs w:val="22"/>
        </w:rPr>
      </w:pPr>
      <w:r w:rsidRPr="002F643B">
        <w:rPr>
          <w:rFonts w:ascii="Garamond" w:hAnsi="Garamond"/>
          <w:sz w:val="22"/>
          <w:szCs w:val="22"/>
        </w:rPr>
        <w:t>In food product</w:t>
      </w:r>
      <w:r w:rsidR="00FE5DCF">
        <w:rPr>
          <w:rFonts w:ascii="Garamond" w:hAnsi="Garamond"/>
          <w:sz w:val="22"/>
          <w:szCs w:val="22"/>
        </w:rPr>
        <w:t xml:space="preserve"> market</w:t>
      </w:r>
      <w:r w:rsidRPr="002F643B">
        <w:rPr>
          <w:rFonts w:ascii="Garamond" w:hAnsi="Garamond"/>
          <w:sz w:val="22"/>
          <w:szCs w:val="22"/>
        </w:rPr>
        <w:t xml:space="preserve">s in the </w:t>
      </w:r>
      <w:r w:rsidR="00002BFC">
        <w:rPr>
          <w:rFonts w:ascii="Garamond" w:hAnsi="Garamond"/>
          <w:sz w:val="22"/>
          <w:szCs w:val="22"/>
        </w:rPr>
        <w:t>fourth</w:t>
      </w:r>
      <w:r w:rsidRPr="002F643B">
        <w:rPr>
          <w:rFonts w:ascii="Garamond" w:hAnsi="Garamond"/>
          <w:sz w:val="22"/>
          <w:szCs w:val="22"/>
        </w:rPr>
        <w:t xml:space="preserve"> quarter</w:t>
      </w:r>
      <w:r>
        <w:rPr>
          <w:rFonts w:ascii="Garamond" w:hAnsi="Garamond"/>
          <w:sz w:val="22"/>
          <w:szCs w:val="22"/>
        </w:rPr>
        <w:t xml:space="preserve"> of 201</w:t>
      </w:r>
      <w:r w:rsidR="00CB1C7F">
        <w:rPr>
          <w:rFonts w:ascii="Garamond" w:hAnsi="Garamond"/>
          <w:sz w:val="22"/>
          <w:szCs w:val="22"/>
        </w:rPr>
        <w:t>9</w:t>
      </w:r>
      <w:r>
        <w:rPr>
          <w:rFonts w:ascii="Garamond" w:hAnsi="Garamond"/>
          <w:sz w:val="22"/>
          <w:szCs w:val="22"/>
        </w:rPr>
        <w:t xml:space="preserve">, </w:t>
      </w:r>
      <w:r w:rsidR="006526F1">
        <w:rPr>
          <w:rFonts w:ascii="Garamond" w:hAnsi="Garamond"/>
          <w:sz w:val="22"/>
          <w:szCs w:val="22"/>
        </w:rPr>
        <w:t xml:space="preserve">relative to the previous quarter, </w:t>
      </w:r>
      <w:r w:rsidR="00002BFC">
        <w:rPr>
          <w:rFonts w:ascii="Garamond" w:hAnsi="Garamond"/>
          <w:sz w:val="22"/>
          <w:szCs w:val="22"/>
        </w:rPr>
        <w:t>almost all groups reported price increases largely</w:t>
      </w:r>
      <w:r w:rsidR="00002BFC" w:rsidRPr="00002BFC">
        <w:rPr>
          <w:rFonts w:ascii="Garamond" w:hAnsi="Garamond"/>
          <w:sz w:val="22"/>
          <w:szCs w:val="22"/>
        </w:rPr>
        <w:t xml:space="preserve"> due to reduced production volumes. In the short term, i</w:t>
      </w:r>
      <w:r w:rsidR="00002BFC">
        <w:rPr>
          <w:rFonts w:ascii="Garamond" w:hAnsi="Garamond"/>
          <w:sz w:val="22"/>
          <w:szCs w:val="22"/>
        </w:rPr>
        <w:t xml:space="preserve">f </w:t>
      </w:r>
      <w:r w:rsidR="00002BFC" w:rsidRPr="00002BFC">
        <w:rPr>
          <w:rFonts w:ascii="Garamond" w:hAnsi="Garamond"/>
          <w:sz w:val="22"/>
          <w:szCs w:val="22"/>
        </w:rPr>
        <w:t>uncertaint</w:t>
      </w:r>
      <w:r w:rsidR="00002BFC">
        <w:rPr>
          <w:rFonts w:ascii="Garamond" w:hAnsi="Garamond"/>
          <w:sz w:val="22"/>
          <w:szCs w:val="22"/>
        </w:rPr>
        <w:t>ies</w:t>
      </w:r>
      <w:r w:rsidR="00002BFC" w:rsidRPr="00002BFC">
        <w:rPr>
          <w:rFonts w:ascii="Garamond" w:hAnsi="Garamond"/>
          <w:sz w:val="22"/>
          <w:szCs w:val="22"/>
        </w:rPr>
        <w:t xml:space="preserve"> in the global economy</w:t>
      </w:r>
      <w:r w:rsidR="00002BFC">
        <w:rPr>
          <w:rFonts w:ascii="Garamond" w:hAnsi="Garamond"/>
          <w:sz w:val="22"/>
          <w:szCs w:val="22"/>
        </w:rPr>
        <w:t xml:space="preserve"> persist</w:t>
      </w:r>
      <w:r w:rsidR="00002BFC" w:rsidRPr="00002BFC">
        <w:rPr>
          <w:rFonts w:ascii="Garamond" w:hAnsi="Garamond"/>
          <w:sz w:val="22"/>
          <w:szCs w:val="22"/>
        </w:rPr>
        <w:t xml:space="preserve">, a weak inflationary environment </w:t>
      </w:r>
      <w:r w:rsidR="00002BFC">
        <w:rPr>
          <w:rFonts w:ascii="Garamond" w:hAnsi="Garamond"/>
          <w:sz w:val="22"/>
          <w:szCs w:val="22"/>
        </w:rPr>
        <w:t xml:space="preserve">in basic </w:t>
      </w:r>
      <w:r w:rsidR="00002BFC" w:rsidRPr="00002BFC">
        <w:rPr>
          <w:rFonts w:ascii="Garamond" w:hAnsi="Garamond"/>
          <w:sz w:val="22"/>
          <w:szCs w:val="22"/>
        </w:rPr>
        <w:t>food product groups</w:t>
      </w:r>
      <w:r w:rsidR="00002BFC">
        <w:rPr>
          <w:rFonts w:ascii="Garamond" w:hAnsi="Garamond"/>
          <w:sz w:val="22"/>
          <w:szCs w:val="22"/>
        </w:rPr>
        <w:t xml:space="preserve"> </w:t>
      </w:r>
      <w:r w:rsidR="00002BFC" w:rsidRPr="00002BFC">
        <w:rPr>
          <w:rFonts w:ascii="Garamond" w:hAnsi="Garamond"/>
          <w:sz w:val="22"/>
          <w:szCs w:val="22"/>
        </w:rPr>
        <w:t xml:space="preserve">will be </w:t>
      </w:r>
      <w:r w:rsidR="00002BFC">
        <w:rPr>
          <w:rFonts w:ascii="Garamond" w:hAnsi="Garamond"/>
          <w:sz w:val="22"/>
          <w:szCs w:val="22"/>
        </w:rPr>
        <w:t>observable.</w:t>
      </w:r>
      <w:r w:rsidR="00C7198F">
        <w:rPr>
          <w:rFonts w:ascii="Garamond" w:hAnsi="Garamond"/>
          <w:sz w:val="22"/>
          <w:szCs w:val="22"/>
        </w:rPr>
        <w:t xml:space="preserve"> </w:t>
      </w:r>
    </w:p>
    <w:p w14:paraId="463F29E8" w14:textId="77777777" w:rsidR="00276564" w:rsidRPr="00EE5F0F" w:rsidRDefault="00276564" w:rsidP="00EE619D">
      <w:pPr>
        <w:autoSpaceDE w:val="0"/>
        <w:autoSpaceDN w:val="0"/>
        <w:adjustRightInd w:val="0"/>
        <w:spacing w:after="120" w:line="360" w:lineRule="auto"/>
        <w:jc w:val="both"/>
        <w:rPr>
          <w:rFonts w:ascii="Garamond" w:hAnsi="Garamond"/>
          <w:b/>
          <w:bCs/>
          <w:iCs/>
          <w:color w:val="0070C0"/>
          <w:sz w:val="22"/>
          <w:szCs w:val="22"/>
        </w:rPr>
      </w:pPr>
    </w:p>
    <w:p w14:paraId="5C344943" w14:textId="77777777" w:rsidR="00EE619D"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bCs/>
          <w:iCs/>
          <w:color w:val="0070C0"/>
          <w:sz w:val="22"/>
          <w:szCs w:val="22"/>
        </w:rPr>
        <w:t>2.2. Forecasts</w:t>
      </w:r>
      <w:r w:rsidRPr="00EE5F0F">
        <w:rPr>
          <w:rFonts w:ascii="Garamond" w:hAnsi="Garamond"/>
          <w:sz w:val="22"/>
          <w:szCs w:val="22"/>
        </w:rPr>
        <w:t xml:space="preserve"> </w:t>
      </w:r>
    </w:p>
    <w:p w14:paraId="060D9262" w14:textId="77777777" w:rsidR="00135A70" w:rsidRDefault="00135A70" w:rsidP="00135A70">
      <w:pPr>
        <w:autoSpaceDE w:val="0"/>
        <w:autoSpaceDN w:val="0"/>
        <w:adjustRightInd w:val="0"/>
        <w:spacing w:after="120" w:line="360" w:lineRule="auto"/>
        <w:jc w:val="both"/>
        <w:rPr>
          <w:rFonts w:ascii="Garamond" w:hAnsi="Garamond"/>
          <w:b/>
          <w:color w:val="0070C0"/>
          <w:sz w:val="22"/>
          <w:szCs w:val="22"/>
        </w:rPr>
      </w:pPr>
      <w:r w:rsidRPr="00FF3B70">
        <w:rPr>
          <w:rFonts w:ascii="Garamond" w:hAnsi="Garamond" w:cs="Sylfaen"/>
          <w:i/>
          <w:color w:val="1F497D" w:themeColor="text2"/>
          <w:sz w:val="20"/>
          <w:szCs w:val="20"/>
          <w:highlight w:val="yellow"/>
        </w:rPr>
        <w:t xml:space="preserve">Box </w:t>
      </w:r>
      <w:r>
        <w:rPr>
          <w:rFonts w:ascii="Garamond" w:hAnsi="Garamond" w:cs="Sylfaen"/>
          <w:i/>
          <w:color w:val="1F497D" w:themeColor="text2"/>
          <w:sz w:val="20"/>
          <w:szCs w:val="20"/>
          <w:highlight w:val="yellow"/>
        </w:rPr>
        <w:t>2</w:t>
      </w:r>
      <w:r w:rsidRPr="00FF3B70">
        <w:rPr>
          <w:rFonts w:ascii="Garamond" w:hAnsi="Garamond" w:cs="Sylfaen"/>
          <w:i/>
          <w:color w:val="1F497D" w:themeColor="text2"/>
          <w:sz w:val="20"/>
          <w:szCs w:val="20"/>
          <w:highlight w:val="yellow"/>
        </w:rPr>
        <w:t xml:space="preserve">: The impact of coronavirus on the </w:t>
      </w:r>
      <w:r>
        <w:rPr>
          <w:rFonts w:ascii="Garamond" w:hAnsi="Garamond" w:cs="Sylfaen"/>
          <w:i/>
          <w:color w:val="1F497D" w:themeColor="text2"/>
          <w:sz w:val="20"/>
          <w:szCs w:val="20"/>
          <w:highlight w:val="yellow"/>
        </w:rPr>
        <w:t xml:space="preserve">Armenian </w:t>
      </w:r>
      <w:r w:rsidRPr="00FF3B70">
        <w:rPr>
          <w:rFonts w:ascii="Garamond" w:hAnsi="Garamond" w:cs="Sylfaen"/>
          <w:i/>
          <w:color w:val="1F497D" w:themeColor="text2"/>
          <w:sz w:val="20"/>
          <w:szCs w:val="20"/>
          <w:highlight w:val="yellow"/>
        </w:rPr>
        <w:t>economy</w:t>
      </w:r>
    </w:p>
    <w:p w14:paraId="3B7B4B86" w14:textId="77777777" w:rsidR="00135A70" w:rsidRDefault="00135A70" w:rsidP="00EE619D">
      <w:pPr>
        <w:autoSpaceDE w:val="0"/>
        <w:autoSpaceDN w:val="0"/>
        <w:adjustRightInd w:val="0"/>
        <w:spacing w:after="120" w:line="360" w:lineRule="auto"/>
        <w:jc w:val="both"/>
        <w:rPr>
          <w:rFonts w:ascii="Garamond" w:hAnsi="Garamond"/>
          <w:b/>
          <w:bCs/>
          <w:iCs/>
          <w:color w:val="0070C0"/>
          <w:sz w:val="22"/>
          <w:szCs w:val="22"/>
        </w:rPr>
      </w:pPr>
    </w:p>
    <w:p w14:paraId="5D1321DF" w14:textId="77777777" w:rsidR="00EE619D" w:rsidRPr="00EB142E" w:rsidRDefault="519311B5" w:rsidP="519311B5">
      <w:pPr>
        <w:autoSpaceDE w:val="0"/>
        <w:autoSpaceDN w:val="0"/>
        <w:adjustRightInd w:val="0"/>
        <w:spacing w:after="120" w:line="360" w:lineRule="auto"/>
        <w:jc w:val="both"/>
        <w:rPr>
          <w:rFonts w:ascii="Garamond" w:hAnsi="Garamond"/>
          <w:color w:val="984806" w:themeColor="accent6" w:themeShade="80"/>
          <w:sz w:val="22"/>
          <w:szCs w:val="22"/>
        </w:rPr>
      </w:pPr>
      <w:r w:rsidRPr="00EB142E">
        <w:rPr>
          <w:rFonts w:ascii="Garamond" w:hAnsi="Garamond"/>
          <w:b/>
          <w:bCs/>
          <w:color w:val="984806" w:themeColor="accent6" w:themeShade="80"/>
          <w:sz w:val="22"/>
          <w:szCs w:val="22"/>
        </w:rPr>
        <w:t>2.2.1. Inflation and monetary policy</w:t>
      </w:r>
      <w:r w:rsidRPr="00EB142E">
        <w:rPr>
          <w:rFonts w:ascii="Garamond" w:hAnsi="Garamond"/>
          <w:color w:val="984806" w:themeColor="accent6" w:themeShade="80"/>
          <w:sz w:val="22"/>
          <w:szCs w:val="22"/>
        </w:rPr>
        <w:t xml:space="preserve"> </w:t>
      </w:r>
    </w:p>
    <w:p w14:paraId="61FFEC1F" w14:textId="3AA190A1" w:rsidR="003A7D97" w:rsidRPr="00EB142E" w:rsidRDefault="519311B5" w:rsidP="519311B5">
      <w:pPr>
        <w:autoSpaceDE w:val="0"/>
        <w:autoSpaceDN w:val="0"/>
        <w:adjustRightInd w:val="0"/>
        <w:spacing w:after="120" w:line="360" w:lineRule="auto"/>
        <w:jc w:val="both"/>
        <w:rPr>
          <w:rFonts w:ascii="Garamond" w:hAnsi="Garamond"/>
          <w:b/>
          <w:bCs/>
          <w:color w:val="984806" w:themeColor="accent6" w:themeShade="80"/>
          <w:sz w:val="22"/>
          <w:szCs w:val="22"/>
        </w:rPr>
      </w:pPr>
      <w:r w:rsidRPr="00EB142E">
        <w:rPr>
          <w:rFonts w:ascii="Garamond" w:hAnsi="Garamond"/>
          <w:b/>
          <w:bCs/>
          <w:color w:val="984806" w:themeColor="accent6" w:themeShade="80"/>
          <w:sz w:val="22"/>
          <w:szCs w:val="22"/>
        </w:rPr>
        <w:t>Inflation remained low during this quarter. The expectation is that the coronavirus effect will push down global economic growth rates markedly, causing deflationary pressures on the Armenian economy through shrinking external demand and falling commodity prices. At the same time, the real sector of the Armenian economy will obviously incur short-term negative effects as well. The Central Bank considers that the toolkit of the monetary policy is not effective for responding to the current crisis, as the primary shock is health-related. In order to minimize the potential damage to the economy in this time of uncertainty, developing an anti-crisis policy using appropriate tools that target most vulnerable sectors of the economy and less protected segments of society will be needed. Also, in order for the Government to take measures at maximum efficiency, maintaining an overall macroeconomic stability, including price stability, is, more than ever, crucial. So, in view of a long-term price stability objective, considering how the current inflation will behave and economic uncertainty unfold, the Central Bank has decided to cut the policy rate by 0.25 pp. As a result, the inflation will remain low in the upcoming months, reaching 1.9% by the end of 2020, and will gradually approach the target in the medium-term perspective.</w:t>
      </w:r>
    </w:p>
    <w:p w14:paraId="77F19BC7" w14:textId="638A4F3D" w:rsidR="00BA25FB" w:rsidRPr="00EB142E" w:rsidRDefault="519311B5" w:rsidP="519311B5">
      <w:pPr>
        <w:autoSpaceDE w:val="0"/>
        <w:autoSpaceDN w:val="0"/>
        <w:adjustRightInd w:val="0"/>
        <w:spacing w:after="120" w:line="360" w:lineRule="auto"/>
        <w:jc w:val="both"/>
        <w:rPr>
          <w:rFonts w:ascii="Garamond" w:hAnsi="Garamond"/>
          <w:color w:val="984806" w:themeColor="accent6" w:themeShade="80"/>
          <w:sz w:val="22"/>
          <w:szCs w:val="22"/>
        </w:rPr>
      </w:pPr>
      <w:r w:rsidRPr="00EB142E">
        <w:rPr>
          <w:rFonts w:ascii="Garamond" w:hAnsi="Garamond"/>
          <w:color w:val="984806" w:themeColor="accent6" w:themeShade="80"/>
          <w:sz w:val="22"/>
          <w:szCs w:val="22"/>
        </w:rPr>
        <w:t xml:space="preserve">It is estimated that the impact of the spread of coronavirus on the real sector of the Armenian economy will be observable starting the second quarter, which will be reflected both in reduced aggregate demand and aggregate supply. As a result of these developments, the change in the GDP gap will not change notably and the gap will linger in the negative territory. On the other hand, expansionary monetary conditions and the budgetary stimulus are expected to facilitate the closing of the GDP gap gradually, from the second half of the year, and in light of the aforementioned developments the gap will turn positive next year, contributing to the gradual recovery of inflation. In the medium term, the impact of fiscal policy is predicted to be neutral, and the GDP gap will gradually come up to zero. Under the above-described outlook of fiscal and monetary </w:t>
      </w:r>
      <w:r w:rsidRPr="00EB142E">
        <w:rPr>
          <w:rFonts w:ascii="Garamond" w:hAnsi="Garamond"/>
          <w:color w:val="984806" w:themeColor="accent6" w:themeShade="80"/>
          <w:sz w:val="22"/>
          <w:szCs w:val="22"/>
        </w:rPr>
        <w:lastRenderedPageBreak/>
        <w:t>policies, the inflation will begin to rebound, after running low, in the coming quarters. Thanks to a consistent policy by the Central Bank, short-term inflation expectations of the public are estimated virtually intact on the back of current inflation and, particularly, core inflation developments, and remain anchored even if the currency market saw certain patterns of depreciation lately.</w:t>
      </w:r>
    </w:p>
    <w:p w14:paraId="3887B179" w14:textId="77777777" w:rsidR="00BA25FB" w:rsidRPr="00EB142E" w:rsidRDefault="519311B5" w:rsidP="519311B5">
      <w:pPr>
        <w:autoSpaceDE w:val="0"/>
        <w:autoSpaceDN w:val="0"/>
        <w:adjustRightInd w:val="0"/>
        <w:spacing w:after="120" w:line="360" w:lineRule="auto"/>
        <w:jc w:val="both"/>
        <w:rPr>
          <w:rFonts w:ascii="Garamond" w:hAnsi="Garamond"/>
          <w:b/>
          <w:bCs/>
          <w:color w:val="984806" w:themeColor="accent6" w:themeShade="80"/>
          <w:sz w:val="22"/>
          <w:szCs w:val="22"/>
        </w:rPr>
      </w:pPr>
      <w:r w:rsidRPr="00EB142E">
        <w:rPr>
          <w:rFonts w:ascii="Garamond" w:hAnsi="Garamond"/>
          <w:b/>
          <w:bCs/>
          <w:color w:val="984806" w:themeColor="accent6" w:themeShade="80"/>
          <w:sz w:val="22"/>
          <w:szCs w:val="22"/>
        </w:rPr>
        <w:t xml:space="preserve">As a result, the Central Bank Board decided to cut the policy rate by 0.25 pp to bolster the monetary stimulus. Note that all developing countries have seen increased risks in the course of the last month, which, all else being equal, makes the monetary stance more expansionary. In anticipation of macroeconomic developments and uncertainties, the Central Bank continues to develop various scenarios and is determined to react to the risks if they materialize, while fulfilling the price stability objective. </w:t>
      </w:r>
    </w:p>
    <w:p w14:paraId="78DC3CA2" w14:textId="77777777" w:rsidR="00C93533" w:rsidRPr="00BA25FB" w:rsidRDefault="00C93533" w:rsidP="00EE619D">
      <w:pPr>
        <w:autoSpaceDE w:val="0"/>
        <w:autoSpaceDN w:val="0"/>
        <w:adjustRightInd w:val="0"/>
        <w:spacing w:after="120" w:line="360" w:lineRule="auto"/>
        <w:jc w:val="both"/>
        <w:rPr>
          <w:rFonts w:ascii="Garamond" w:hAnsi="Garamond"/>
          <w:b/>
          <w:sz w:val="22"/>
          <w:szCs w:val="22"/>
        </w:rPr>
      </w:pPr>
      <w:r w:rsidRPr="00C93533">
        <w:rPr>
          <w:rFonts w:ascii="Garamond" w:hAnsi="Garamond"/>
          <w:b/>
          <w:sz w:val="22"/>
          <w:szCs w:val="22"/>
          <w:highlight w:val="yellow"/>
        </w:rPr>
        <w:t>Table 1:</w:t>
      </w:r>
    </w:p>
    <w:p w14:paraId="415D8C1A" w14:textId="77777777" w:rsidR="00BA25FB" w:rsidRDefault="00C93533" w:rsidP="00EE619D">
      <w:pPr>
        <w:autoSpaceDE w:val="0"/>
        <w:autoSpaceDN w:val="0"/>
        <w:adjustRightInd w:val="0"/>
        <w:spacing w:after="120" w:line="360" w:lineRule="auto"/>
        <w:jc w:val="both"/>
        <w:rPr>
          <w:rFonts w:ascii="Garamond" w:hAnsi="Garamond"/>
          <w:sz w:val="22"/>
          <w:szCs w:val="22"/>
        </w:rPr>
      </w:pPr>
      <w:r w:rsidRPr="00C93533">
        <w:rPr>
          <w:rFonts w:ascii="Garamond" w:hAnsi="Garamond" w:cs="Sylfaen"/>
          <w:i/>
          <w:color w:val="1F497D" w:themeColor="text2"/>
          <w:sz w:val="20"/>
          <w:szCs w:val="20"/>
          <w:highlight w:val="yellow"/>
        </w:rPr>
        <w:t>Box 3: Health shock modeling within the New Keynesian framework</w:t>
      </w:r>
    </w:p>
    <w:p w14:paraId="3A0FF5F2" w14:textId="77777777" w:rsidR="00BA25FB" w:rsidRDefault="00BA25FB" w:rsidP="00EE619D">
      <w:pPr>
        <w:autoSpaceDE w:val="0"/>
        <w:autoSpaceDN w:val="0"/>
        <w:adjustRightInd w:val="0"/>
        <w:spacing w:after="120" w:line="360" w:lineRule="auto"/>
        <w:jc w:val="both"/>
        <w:rPr>
          <w:rFonts w:ascii="Garamond" w:hAnsi="Garamond"/>
          <w:sz w:val="22"/>
          <w:szCs w:val="22"/>
        </w:rPr>
      </w:pPr>
    </w:p>
    <w:p w14:paraId="2E446AB9" w14:textId="77777777" w:rsidR="00EE619D" w:rsidRPr="00EE5F0F" w:rsidRDefault="00EE619D" w:rsidP="00EE619D">
      <w:pPr>
        <w:autoSpaceDE w:val="0"/>
        <w:autoSpaceDN w:val="0"/>
        <w:adjustRightInd w:val="0"/>
        <w:spacing w:after="120" w:line="360" w:lineRule="auto"/>
        <w:jc w:val="both"/>
        <w:rPr>
          <w:rFonts w:ascii="Garamond" w:hAnsi="Garamond"/>
          <w:b/>
          <w:bCs/>
          <w:iCs/>
          <w:color w:val="0070C0"/>
          <w:sz w:val="22"/>
          <w:szCs w:val="22"/>
        </w:rPr>
      </w:pPr>
      <w:r w:rsidRPr="00EE5F0F">
        <w:rPr>
          <w:rFonts w:ascii="Garamond" w:hAnsi="Garamond"/>
          <w:b/>
          <w:bCs/>
          <w:iCs/>
          <w:color w:val="0070C0"/>
          <w:sz w:val="22"/>
          <w:szCs w:val="22"/>
        </w:rPr>
        <w:t>2.2.2. Economic activity</w:t>
      </w:r>
      <w:r w:rsidR="003E001A">
        <w:rPr>
          <w:rStyle w:val="FootnoteReference"/>
          <w:rFonts w:ascii="Garamond" w:hAnsi="Garamond"/>
          <w:b/>
          <w:bCs/>
          <w:iCs/>
          <w:color w:val="0070C0"/>
          <w:sz w:val="22"/>
          <w:szCs w:val="22"/>
        </w:rPr>
        <w:footnoteReference w:customMarkFollows="1" w:id="3"/>
        <w:t>12</w:t>
      </w:r>
    </w:p>
    <w:tbl>
      <w:tblPr>
        <w:tblStyle w:val="TableGrid"/>
        <w:tblW w:w="0" w:type="auto"/>
        <w:tblLook w:val="04A0" w:firstRow="1" w:lastRow="0" w:firstColumn="1" w:lastColumn="0" w:noHBand="0" w:noVBand="1"/>
      </w:tblPr>
      <w:tblGrid>
        <w:gridCol w:w="9060"/>
      </w:tblGrid>
      <w:tr w:rsidR="00015175" w14:paraId="00140F3B" w14:textId="77777777" w:rsidTr="00572CB5">
        <w:trPr>
          <w:trHeight w:val="290"/>
        </w:trPr>
        <w:tc>
          <w:tcPr>
            <w:tcW w:w="9060" w:type="dxa"/>
          </w:tcPr>
          <w:p w14:paraId="4485D411" w14:textId="77777777" w:rsidR="00015175" w:rsidRPr="00015175" w:rsidRDefault="00015175" w:rsidP="00572CB5">
            <w:pPr>
              <w:autoSpaceDE w:val="0"/>
              <w:autoSpaceDN w:val="0"/>
              <w:adjustRightInd w:val="0"/>
              <w:spacing w:after="120" w:line="360" w:lineRule="auto"/>
              <w:jc w:val="both"/>
              <w:rPr>
                <w:rFonts w:asciiTheme="minorHAnsi" w:hAnsiTheme="minorHAnsi" w:cstheme="minorHAnsi"/>
                <w:b/>
                <w:sz w:val="20"/>
                <w:szCs w:val="20"/>
              </w:rPr>
            </w:pPr>
            <w:r w:rsidRPr="00F3628C">
              <w:rPr>
                <w:rFonts w:asciiTheme="minorHAnsi" w:hAnsiTheme="minorHAnsi" w:cstheme="minorHAnsi"/>
                <w:b/>
                <w:sz w:val="20"/>
                <w:szCs w:val="20"/>
                <w:highlight w:val="yellow"/>
              </w:rPr>
              <w:t>Footnote 13</w:t>
            </w:r>
            <w:r w:rsidRPr="00015175">
              <w:rPr>
                <w:rFonts w:asciiTheme="minorHAnsi" w:hAnsiTheme="minorHAnsi" w:cstheme="minorHAnsi"/>
                <w:b/>
                <w:sz w:val="20"/>
                <w:szCs w:val="20"/>
              </w:rPr>
              <w:t xml:space="preserve"> </w:t>
            </w:r>
            <w:r w:rsidRPr="00015175">
              <w:rPr>
                <w:rFonts w:asciiTheme="minorHAnsi" w:hAnsiTheme="minorHAnsi" w:cstheme="minorHAnsi"/>
                <w:sz w:val="18"/>
                <w:szCs w:val="18"/>
              </w:rPr>
              <w:t>The change in tangible working capital inventories is not included in demand</w:t>
            </w:r>
            <w:r>
              <w:rPr>
                <w:rFonts w:asciiTheme="minorHAnsi" w:hAnsiTheme="minorHAnsi" w:cstheme="minorHAnsi"/>
                <w:sz w:val="18"/>
                <w:szCs w:val="18"/>
              </w:rPr>
              <w:t xml:space="preserve">; </w:t>
            </w:r>
            <w:r w:rsidR="00E3749B">
              <w:rPr>
                <w:rFonts w:asciiTheme="minorHAnsi" w:hAnsiTheme="minorHAnsi" w:cstheme="minorHAnsi"/>
                <w:sz w:val="18"/>
                <w:szCs w:val="18"/>
              </w:rPr>
              <w:t xml:space="preserve">it is considered by </w:t>
            </w:r>
            <w:r>
              <w:rPr>
                <w:rFonts w:asciiTheme="minorHAnsi" w:hAnsiTheme="minorHAnsi" w:cstheme="minorHAnsi"/>
                <w:sz w:val="18"/>
                <w:szCs w:val="18"/>
              </w:rPr>
              <w:t xml:space="preserve">the RA </w:t>
            </w:r>
            <w:r w:rsidRPr="00015175">
              <w:rPr>
                <w:rFonts w:asciiTheme="minorHAnsi" w:hAnsiTheme="minorHAnsi" w:cstheme="minorHAnsi"/>
                <w:sz w:val="18"/>
                <w:szCs w:val="18"/>
              </w:rPr>
              <w:t xml:space="preserve">Statistics Committee </w:t>
            </w:r>
            <w:r w:rsidR="00E3749B">
              <w:rPr>
                <w:rFonts w:asciiTheme="minorHAnsi" w:hAnsiTheme="minorHAnsi" w:cstheme="minorHAnsi"/>
                <w:sz w:val="18"/>
                <w:szCs w:val="18"/>
              </w:rPr>
              <w:t xml:space="preserve">as </w:t>
            </w:r>
            <w:r w:rsidRPr="00015175">
              <w:rPr>
                <w:rFonts w:asciiTheme="minorHAnsi" w:hAnsiTheme="minorHAnsi" w:cstheme="minorHAnsi"/>
                <w:sz w:val="18"/>
                <w:szCs w:val="18"/>
              </w:rPr>
              <w:t xml:space="preserve">a balancing item and does not show the true level of </w:t>
            </w:r>
            <w:r w:rsidR="00E3749B">
              <w:rPr>
                <w:rFonts w:asciiTheme="minorHAnsi" w:hAnsiTheme="minorHAnsi" w:cstheme="minorHAnsi"/>
                <w:sz w:val="18"/>
                <w:szCs w:val="18"/>
              </w:rPr>
              <w:t>investments,</w:t>
            </w:r>
            <w:r w:rsidRPr="00015175">
              <w:rPr>
                <w:rFonts w:asciiTheme="minorHAnsi" w:hAnsiTheme="minorHAnsi" w:cstheme="minorHAnsi"/>
                <w:sz w:val="18"/>
                <w:szCs w:val="18"/>
              </w:rPr>
              <w:t xml:space="preserve"> so </w:t>
            </w:r>
            <w:r w:rsidR="00572CB5" w:rsidRPr="00015175">
              <w:rPr>
                <w:rFonts w:asciiTheme="minorHAnsi" w:hAnsiTheme="minorHAnsi" w:cstheme="minorHAnsi"/>
                <w:sz w:val="18"/>
                <w:szCs w:val="18"/>
              </w:rPr>
              <w:t>supply and demand</w:t>
            </w:r>
            <w:r w:rsidR="00572CB5">
              <w:rPr>
                <w:rFonts w:asciiTheme="minorHAnsi" w:hAnsiTheme="minorHAnsi" w:cstheme="minorHAnsi"/>
                <w:sz w:val="18"/>
                <w:szCs w:val="18"/>
              </w:rPr>
              <w:t>-side</w:t>
            </w:r>
            <w:r w:rsidR="00572CB5" w:rsidRPr="00015175">
              <w:rPr>
                <w:rFonts w:asciiTheme="minorHAnsi" w:hAnsiTheme="minorHAnsi" w:cstheme="minorHAnsi"/>
                <w:sz w:val="18"/>
                <w:szCs w:val="18"/>
              </w:rPr>
              <w:t xml:space="preserve"> </w:t>
            </w:r>
            <w:r w:rsidR="00572CB5">
              <w:rPr>
                <w:rFonts w:asciiTheme="minorHAnsi" w:hAnsiTheme="minorHAnsi" w:cstheme="minorHAnsi"/>
                <w:sz w:val="18"/>
                <w:szCs w:val="18"/>
              </w:rPr>
              <w:t xml:space="preserve">calculated </w:t>
            </w:r>
            <w:r w:rsidRPr="00015175">
              <w:rPr>
                <w:rFonts w:asciiTheme="minorHAnsi" w:hAnsiTheme="minorHAnsi" w:cstheme="minorHAnsi"/>
                <w:sz w:val="18"/>
                <w:szCs w:val="18"/>
              </w:rPr>
              <w:t xml:space="preserve">economic growths may vary from each other. </w:t>
            </w:r>
            <w:r w:rsidR="00E3749B">
              <w:rPr>
                <w:rFonts w:asciiTheme="minorHAnsi" w:hAnsiTheme="minorHAnsi" w:cstheme="minorHAnsi"/>
                <w:sz w:val="18"/>
                <w:szCs w:val="18"/>
              </w:rPr>
              <w:t xml:space="preserve">See </w:t>
            </w:r>
            <w:hyperlink r:id="rId8" w:history="1">
              <w:r w:rsidR="00E3749B" w:rsidRPr="005E510E">
                <w:rPr>
                  <w:rFonts w:ascii="GHEA Grapalat" w:hAnsi="GHEA Grapalat"/>
                  <w:i/>
                  <w:sz w:val="16"/>
                  <w:szCs w:val="16"/>
                  <w:lang w:val="hy-AM"/>
                </w:rPr>
                <w:t>https://www.armstat.am/file/article/sv_04_19a_112.pdf</w:t>
              </w:r>
            </w:hyperlink>
            <w:r w:rsidR="00E3749B">
              <w:rPr>
                <w:rFonts w:ascii="GHEA Grapalat" w:hAnsi="GHEA Grapalat"/>
                <w:i/>
                <w:sz w:val="16"/>
                <w:szCs w:val="16"/>
                <w:lang w:val="hy-AM"/>
              </w:rPr>
              <w:t>.</w:t>
            </w:r>
          </w:p>
        </w:tc>
      </w:tr>
    </w:tbl>
    <w:p w14:paraId="5630AD66" w14:textId="77777777" w:rsidR="00015175" w:rsidRDefault="00015175" w:rsidP="00EE619D">
      <w:pPr>
        <w:autoSpaceDE w:val="0"/>
        <w:autoSpaceDN w:val="0"/>
        <w:adjustRightInd w:val="0"/>
        <w:spacing w:after="120" w:line="360" w:lineRule="auto"/>
        <w:jc w:val="both"/>
        <w:rPr>
          <w:rFonts w:ascii="Garamond" w:hAnsi="Garamond"/>
          <w:b/>
          <w:sz w:val="22"/>
          <w:szCs w:val="22"/>
        </w:rPr>
      </w:pPr>
    </w:p>
    <w:p w14:paraId="7269F3D3" w14:textId="5C54325F" w:rsidR="009D32F7" w:rsidRDefault="54AE272E" w:rsidP="00EE619D">
      <w:pPr>
        <w:autoSpaceDE w:val="0"/>
        <w:autoSpaceDN w:val="0"/>
        <w:adjustRightInd w:val="0"/>
        <w:spacing w:after="120" w:line="360" w:lineRule="auto"/>
        <w:jc w:val="both"/>
        <w:rPr>
          <w:rFonts w:ascii="Garamond" w:hAnsi="Garamond"/>
          <w:sz w:val="22"/>
          <w:szCs w:val="22"/>
        </w:rPr>
      </w:pPr>
      <w:r w:rsidRPr="54AE272E">
        <w:rPr>
          <w:rFonts w:ascii="Garamond" w:hAnsi="Garamond"/>
          <w:b/>
          <w:bCs/>
          <w:sz w:val="22"/>
          <w:szCs w:val="22"/>
        </w:rPr>
        <w:t>Aggregate demand:</w:t>
      </w:r>
      <w:r w:rsidRPr="54AE272E">
        <w:rPr>
          <w:rFonts w:ascii="Garamond" w:hAnsi="Garamond"/>
          <w:sz w:val="22"/>
          <w:szCs w:val="22"/>
        </w:rPr>
        <w:t xml:space="preserve"> Year 2019 stood out for a strong domestic demand and, especially, vigorous private spending, and the trend was observable in early 2020, too. In the face of high consumer confidence, domestic demand was primarily financed by loan resources. The prediction, however, is that anti-epidemic measures, coupled with restrictions in movement and even more uncertainty, would force consumers to choose to reduce demand and go instead for precautionary savings. At the same time, the structure of consumption may change and the demand for nondurable goods will increase. Also, aggregate accumulation of fixed private assets will decrease but, according to estimates, the impact on both consumption and investment will be short-lived, and the economy will gradually return to normal starting from the second half of the year. In 2020 private consumption is expected to grow by 0.5% and gross private fixed asset accumulation, by 0.1%, as a result private </w:t>
      </w:r>
      <w:proofErr w:type="spellStart"/>
      <w:proofErr w:type="gramStart"/>
      <w:r w:rsidRPr="54AE272E">
        <w:rPr>
          <w:rFonts w:ascii="Garamond" w:hAnsi="Garamond"/>
          <w:sz w:val="22"/>
          <w:szCs w:val="22"/>
        </w:rPr>
        <w:t>spending,will</w:t>
      </w:r>
      <w:proofErr w:type="spellEnd"/>
      <w:proofErr w:type="gramEnd"/>
      <w:r w:rsidRPr="54AE272E">
        <w:rPr>
          <w:rFonts w:ascii="Garamond" w:hAnsi="Garamond"/>
          <w:sz w:val="22"/>
          <w:szCs w:val="22"/>
        </w:rPr>
        <w:t xml:space="preserve"> </w:t>
      </w:r>
      <w:proofErr w:type="spellStart"/>
      <w:r w:rsidRPr="54AE272E">
        <w:rPr>
          <w:rFonts w:ascii="Garamond" w:hAnsi="Garamond"/>
          <w:sz w:val="22"/>
          <w:szCs w:val="22"/>
        </w:rPr>
        <w:t>increaseby</w:t>
      </w:r>
      <w:proofErr w:type="spellEnd"/>
      <w:r w:rsidRPr="54AE272E">
        <w:rPr>
          <w:rFonts w:ascii="Garamond" w:hAnsi="Garamond"/>
          <w:sz w:val="22"/>
          <w:szCs w:val="22"/>
        </w:rPr>
        <w:t xml:space="preserve"> 0.3%.</w:t>
      </w:r>
    </w:p>
    <w:p w14:paraId="05C26A78" w14:textId="251D4320" w:rsidR="006556E9" w:rsidRDefault="54AE272E" w:rsidP="00EE619D">
      <w:pPr>
        <w:autoSpaceDE w:val="0"/>
        <w:autoSpaceDN w:val="0"/>
        <w:adjustRightInd w:val="0"/>
        <w:spacing w:after="120" w:line="360" w:lineRule="auto"/>
        <w:jc w:val="both"/>
        <w:rPr>
          <w:rFonts w:ascii="Garamond" w:hAnsi="Garamond"/>
          <w:sz w:val="22"/>
          <w:szCs w:val="22"/>
        </w:rPr>
      </w:pPr>
      <w:r w:rsidRPr="54AE272E">
        <w:rPr>
          <w:rFonts w:ascii="Garamond" w:hAnsi="Garamond"/>
          <w:sz w:val="22"/>
          <w:szCs w:val="22"/>
        </w:rPr>
        <w:t xml:space="preserve">In the face of </w:t>
      </w:r>
      <w:proofErr w:type="gramStart"/>
      <w:r w:rsidRPr="54AE272E">
        <w:rPr>
          <w:rFonts w:ascii="Garamond" w:hAnsi="Garamond"/>
          <w:sz w:val="22"/>
          <w:szCs w:val="22"/>
        </w:rPr>
        <w:t>above mentioned</w:t>
      </w:r>
      <w:proofErr w:type="gramEnd"/>
      <w:r w:rsidRPr="54AE272E">
        <w:rPr>
          <w:rFonts w:ascii="Garamond" w:hAnsi="Garamond"/>
          <w:sz w:val="22"/>
          <w:szCs w:val="22"/>
        </w:rPr>
        <w:t xml:space="preserve"> developments, both aggregate supply and demand will decline at the same time. The slowing will somehow be mitigated through influence of an expansionary monetary policy and </w:t>
      </w:r>
      <w:r w:rsidRPr="54AE272E">
        <w:rPr>
          <w:rFonts w:ascii="Garamond" w:hAnsi="Garamond"/>
          <w:sz w:val="22"/>
          <w:szCs w:val="22"/>
        </w:rPr>
        <w:lastRenderedPageBreak/>
        <w:t>expected stimulus of the budget. As a result, in the short term, weak deflationary pressures from the real sector are likely, which will eliminate at the end of the forecast horizon.</w:t>
      </w:r>
    </w:p>
    <w:p w14:paraId="18E6F434" w14:textId="77777777" w:rsidR="00D34B9A"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 xml:space="preserve">External demand: </w:t>
      </w:r>
      <w:r w:rsidR="006556E9" w:rsidRPr="006556E9">
        <w:rPr>
          <w:rFonts w:ascii="Garamond" w:hAnsi="Garamond"/>
          <w:sz w:val="22"/>
          <w:szCs w:val="22"/>
        </w:rPr>
        <w:t>Ac</w:t>
      </w:r>
      <w:r w:rsidR="006556E9">
        <w:rPr>
          <w:rFonts w:ascii="Garamond" w:hAnsi="Garamond"/>
          <w:sz w:val="22"/>
          <w:szCs w:val="22"/>
        </w:rPr>
        <w:t xml:space="preserve">cording to the </w:t>
      </w:r>
      <w:r w:rsidR="00AD7602">
        <w:rPr>
          <w:rFonts w:ascii="Garamond" w:hAnsi="Garamond"/>
          <w:sz w:val="22"/>
          <w:szCs w:val="22"/>
        </w:rPr>
        <w:t xml:space="preserve">2019 results, net export’s </w:t>
      </w:r>
      <w:r w:rsidR="00FD0A26" w:rsidRPr="00FD0A26">
        <w:rPr>
          <w:rFonts w:ascii="Garamond" w:hAnsi="Garamond"/>
          <w:sz w:val="22"/>
          <w:szCs w:val="22"/>
        </w:rPr>
        <w:t>contribut</w:t>
      </w:r>
      <w:r w:rsidR="004A5B16">
        <w:rPr>
          <w:rFonts w:ascii="Garamond" w:hAnsi="Garamond"/>
          <w:sz w:val="22"/>
          <w:szCs w:val="22"/>
        </w:rPr>
        <w:t xml:space="preserve">ion </w:t>
      </w:r>
      <w:r w:rsidR="00DE13C2">
        <w:rPr>
          <w:rFonts w:ascii="Garamond" w:hAnsi="Garamond"/>
          <w:sz w:val="22"/>
          <w:szCs w:val="22"/>
        </w:rPr>
        <w:t xml:space="preserve">to real GDP </w:t>
      </w:r>
      <w:r w:rsidR="00AD7602">
        <w:rPr>
          <w:rFonts w:ascii="Garamond" w:hAnsi="Garamond"/>
          <w:sz w:val="22"/>
          <w:szCs w:val="22"/>
        </w:rPr>
        <w:t xml:space="preserve">is estimated </w:t>
      </w:r>
      <w:r w:rsidR="006556E9">
        <w:rPr>
          <w:rFonts w:ascii="Garamond" w:hAnsi="Garamond"/>
          <w:sz w:val="22"/>
          <w:szCs w:val="22"/>
        </w:rPr>
        <w:t>somewhat negative</w:t>
      </w:r>
      <w:r w:rsidR="00AD7602">
        <w:rPr>
          <w:rFonts w:ascii="Garamond" w:hAnsi="Garamond"/>
          <w:sz w:val="22"/>
          <w:szCs w:val="22"/>
        </w:rPr>
        <w:t xml:space="preserve">. In </w:t>
      </w:r>
      <w:r w:rsidR="000E1009">
        <w:rPr>
          <w:rFonts w:ascii="Garamond" w:hAnsi="Garamond"/>
          <w:sz w:val="22"/>
          <w:szCs w:val="22"/>
        </w:rPr>
        <w:t>2019</w:t>
      </w:r>
      <w:r w:rsidR="00AD7602">
        <w:rPr>
          <w:rFonts w:ascii="Garamond" w:hAnsi="Garamond"/>
          <w:sz w:val="22"/>
          <w:szCs w:val="22"/>
        </w:rPr>
        <w:t xml:space="preserve"> t</w:t>
      </w:r>
      <w:r w:rsidR="00AD7602" w:rsidRPr="00EE5F0F">
        <w:rPr>
          <w:rFonts w:ascii="Garamond" w:hAnsi="Garamond"/>
          <w:sz w:val="22"/>
          <w:szCs w:val="22"/>
        </w:rPr>
        <w:t xml:space="preserve">he real growth of </w:t>
      </w:r>
      <w:r w:rsidR="00AD7602">
        <w:rPr>
          <w:rFonts w:ascii="Garamond" w:hAnsi="Garamond"/>
          <w:sz w:val="22"/>
          <w:szCs w:val="22"/>
        </w:rPr>
        <w:t>export</w:t>
      </w:r>
      <w:r w:rsidR="00AD7602" w:rsidRPr="00EE5F0F">
        <w:rPr>
          <w:rFonts w:ascii="Garamond" w:hAnsi="Garamond"/>
          <w:sz w:val="22"/>
          <w:szCs w:val="22"/>
        </w:rPr>
        <w:t xml:space="preserve"> of goods and services</w:t>
      </w:r>
      <w:r w:rsidR="00AD7602">
        <w:rPr>
          <w:rFonts w:ascii="Garamond" w:hAnsi="Garamond"/>
          <w:sz w:val="22"/>
          <w:szCs w:val="22"/>
        </w:rPr>
        <w:t xml:space="preserve"> </w:t>
      </w:r>
      <w:r w:rsidR="00B21D19">
        <w:rPr>
          <w:rFonts w:ascii="Garamond" w:hAnsi="Garamond"/>
          <w:sz w:val="22"/>
          <w:szCs w:val="22"/>
        </w:rPr>
        <w:t xml:space="preserve">was 10.3% and the </w:t>
      </w:r>
      <w:r w:rsidR="00B21D19" w:rsidRPr="00EE5F0F">
        <w:rPr>
          <w:rFonts w:ascii="Garamond" w:hAnsi="Garamond"/>
          <w:sz w:val="22"/>
          <w:szCs w:val="22"/>
        </w:rPr>
        <w:t xml:space="preserve">real growth of </w:t>
      </w:r>
      <w:r w:rsidR="00B21D19">
        <w:rPr>
          <w:rFonts w:ascii="Garamond" w:hAnsi="Garamond"/>
          <w:sz w:val="22"/>
          <w:szCs w:val="22"/>
        </w:rPr>
        <w:t>import</w:t>
      </w:r>
      <w:r w:rsidR="00B21D19" w:rsidRPr="00EE5F0F">
        <w:rPr>
          <w:rFonts w:ascii="Garamond" w:hAnsi="Garamond"/>
          <w:sz w:val="22"/>
          <w:szCs w:val="22"/>
        </w:rPr>
        <w:t xml:space="preserve"> of goods and services</w:t>
      </w:r>
      <w:r w:rsidR="00B21D19">
        <w:rPr>
          <w:rFonts w:ascii="Garamond" w:hAnsi="Garamond"/>
          <w:sz w:val="22"/>
          <w:szCs w:val="22"/>
        </w:rPr>
        <w:t>, 9.1%</w:t>
      </w:r>
      <w:r w:rsidR="000E1009">
        <w:rPr>
          <w:rFonts w:ascii="Garamond" w:hAnsi="Garamond"/>
          <w:sz w:val="22"/>
          <w:szCs w:val="22"/>
        </w:rPr>
        <w:t xml:space="preserve">. </w:t>
      </w:r>
      <w:r w:rsidR="00B21D19">
        <w:rPr>
          <w:rFonts w:ascii="Garamond" w:hAnsi="Garamond"/>
          <w:sz w:val="22"/>
          <w:szCs w:val="22"/>
        </w:rPr>
        <w:t xml:space="preserve">In 2019 the growth rates of net inflow of </w:t>
      </w:r>
      <w:r w:rsidR="00B21D19" w:rsidRPr="006A3761">
        <w:rPr>
          <w:rFonts w:ascii="Garamond" w:hAnsi="Garamond"/>
          <w:sz w:val="22"/>
          <w:szCs w:val="22"/>
        </w:rPr>
        <w:t xml:space="preserve">remittances </w:t>
      </w:r>
      <w:r w:rsidR="00B21D19">
        <w:rPr>
          <w:rFonts w:ascii="Garamond" w:hAnsi="Garamond"/>
          <w:sz w:val="22"/>
          <w:szCs w:val="22"/>
        </w:rPr>
        <w:t xml:space="preserve">are estimated </w:t>
      </w:r>
      <w:r w:rsidR="00B21D19" w:rsidRPr="006A3761">
        <w:rPr>
          <w:rFonts w:ascii="Garamond" w:hAnsi="Garamond"/>
          <w:sz w:val="22"/>
          <w:szCs w:val="22"/>
        </w:rPr>
        <w:t xml:space="preserve">in the range of </w:t>
      </w:r>
      <w:r w:rsidR="00B21D19">
        <w:rPr>
          <w:rFonts w:ascii="Garamond" w:hAnsi="Garamond"/>
          <w:sz w:val="22"/>
          <w:szCs w:val="22"/>
        </w:rPr>
        <w:t>0</w:t>
      </w:r>
      <w:r w:rsidR="00B21D19" w:rsidRPr="006A3761">
        <w:rPr>
          <w:rFonts w:ascii="Garamond" w:hAnsi="Garamond"/>
          <w:sz w:val="22"/>
          <w:szCs w:val="22"/>
        </w:rPr>
        <w:t>.0-</w:t>
      </w:r>
      <w:r w:rsidR="00B21D19">
        <w:rPr>
          <w:rFonts w:ascii="Garamond" w:hAnsi="Garamond"/>
          <w:sz w:val="22"/>
          <w:szCs w:val="22"/>
        </w:rPr>
        <w:t>2</w:t>
      </w:r>
      <w:r w:rsidR="00B21D19" w:rsidRPr="006A3761">
        <w:rPr>
          <w:rFonts w:ascii="Garamond" w:hAnsi="Garamond"/>
          <w:sz w:val="22"/>
          <w:szCs w:val="22"/>
        </w:rPr>
        <w:t>.0%</w:t>
      </w:r>
      <w:r w:rsidR="00B21D19">
        <w:rPr>
          <w:rFonts w:ascii="Garamond" w:hAnsi="Garamond"/>
          <w:sz w:val="22"/>
          <w:szCs w:val="22"/>
        </w:rPr>
        <w:t>.</w:t>
      </w:r>
      <w:r w:rsidR="00D34B9A" w:rsidRPr="00D34B9A">
        <w:rPr>
          <w:rFonts w:ascii="Garamond" w:hAnsi="Garamond"/>
          <w:sz w:val="22"/>
          <w:szCs w:val="22"/>
        </w:rPr>
        <w:t xml:space="preserve"> </w:t>
      </w:r>
    </w:p>
    <w:p w14:paraId="055318E6" w14:textId="6EA4E994" w:rsidR="00B21D19" w:rsidRDefault="7AC81DC5" w:rsidP="00D34B9A">
      <w:pPr>
        <w:autoSpaceDE w:val="0"/>
        <w:autoSpaceDN w:val="0"/>
        <w:adjustRightInd w:val="0"/>
        <w:spacing w:after="120" w:line="360" w:lineRule="auto"/>
        <w:jc w:val="both"/>
        <w:rPr>
          <w:rFonts w:ascii="Garamond" w:hAnsi="Garamond"/>
          <w:sz w:val="22"/>
          <w:szCs w:val="22"/>
        </w:rPr>
      </w:pPr>
      <w:r w:rsidRPr="7AC81DC5">
        <w:rPr>
          <w:rFonts w:ascii="Garamond" w:hAnsi="Garamond"/>
          <w:sz w:val="22"/>
          <w:szCs w:val="22"/>
        </w:rPr>
        <w:t>As a result, the current account deficit-to-GDP ratio is estimated around 9.7</w:t>
      </w:r>
      <w:proofErr w:type="gramStart"/>
      <w:r w:rsidRPr="7AC81DC5">
        <w:rPr>
          <w:rFonts w:ascii="Garamond" w:hAnsi="Garamond"/>
          <w:sz w:val="22"/>
          <w:szCs w:val="22"/>
        </w:rPr>
        <w:t>%  in</w:t>
      </w:r>
      <w:proofErr w:type="gramEnd"/>
      <w:r w:rsidRPr="7AC81DC5">
        <w:rPr>
          <w:rFonts w:ascii="Garamond" w:hAnsi="Garamond"/>
          <w:sz w:val="22"/>
          <w:szCs w:val="22"/>
        </w:rPr>
        <w:t xml:space="preserve"> 2019.</w:t>
      </w:r>
    </w:p>
    <w:p w14:paraId="2F851870" w14:textId="77777777" w:rsidR="009833C3" w:rsidRDefault="009833C3" w:rsidP="00D34B9A">
      <w:pPr>
        <w:autoSpaceDE w:val="0"/>
        <w:autoSpaceDN w:val="0"/>
        <w:adjustRightInd w:val="0"/>
        <w:spacing w:after="120" w:line="360" w:lineRule="auto"/>
        <w:jc w:val="both"/>
        <w:rPr>
          <w:rFonts w:ascii="Garamond" w:hAnsi="Garamond"/>
          <w:sz w:val="22"/>
          <w:szCs w:val="22"/>
        </w:rPr>
      </w:pPr>
      <w:r>
        <w:rPr>
          <w:rFonts w:ascii="Garamond" w:hAnsi="Garamond"/>
          <w:sz w:val="22"/>
          <w:szCs w:val="22"/>
        </w:rPr>
        <w:t>T</w:t>
      </w:r>
      <w:r w:rsidRPr="009833C3">
        <w:rPr>
          <w:rFonts w:ascii="Garamond" w:hAnsi="Garamond"/>
          <w:sz w:val="22"/>
          <w:szCs w:val="22"/>
        </w:rPr>
        <w:t>he forecasts for 2020</w:t>
      </w:r>
      <w:r>
        <w:rPr>
          <w:rFonts w:ascii="Garamond" w:hAnsi="Garamond"/>
          <w:sz w:val="22"/>
          <w:szCs w:val="22"/>
        </w:rPr>
        <w:t xml:space="preserve"> have seen substantial changes </w:t>
      </w:r>
      <w:r w:rsidRPr="009833C3">
        <w:rPr>
          <w:rFonts w:ascii="Garamond" w:hAnsi="Garamond"/>
          <w:sz w:val="22"/>
          <w:szCs w:val="22"/>
        </w:rPr>
        <w:t xml:space="preserve">due to </w:t>
      </w:r>
      <w:r w:rsidR="00BA1C1E">
        <w:rPr>
          <w:rFonts w:ascii="Garamond" w:hAnsi="Garamond"/>
          <w:sz w:val="22"/>
          <w:szCs w:val="22"/>
        </w:rPr>
        <w:t xml:space="preserve">recently predicted </w:t>
      </w:r>
      <w:r w:rsidRPr="009833C3">
        <w:rPr>
          <w:rFonts w:ascii="Garamond" w:hAnsi="Garamond"/>
          <w:sz w:val="22"/>
          <w:szCs w:val="22"/>
        </w:rPr>
        <w:t>declin</w:t>
      </w:r>
      <w:r w:rsidR="00BA1C1E">
        <w:rPr>
          <w:rFonts w:ascii="Garamond" w:hAnsi="Garamond"/>
          <w:sz w:val="22"/>
          <w:szCs w:val="22"/>
        </w:rPr>
        <w:t>e in</w:t>
      </w:r>
      <w:r w:rsidRPr="009833C3">
        <w:rPr>
          <w:rFonts w:ascii="Garamond" w:hAnsi="Garamond"/>
          <w:sz w:val="22"/>
          <w:szCs w:val="22"/>
        </w:rPr>
        <w:t xml:space="preserve"> global demand, as well as </w:t>
      </w:r>
      <w:r w:rsidR="00BA1C1E">
        <w:rPr>
          <w:rFonts w:ascii="Garamond" w:hAnsi="Garamond"/>
          <w:sz w:val="22"/>
          <w:szCs w:val="22"/>
        </w:rPr>
        <w:t xml:space="preserve">the </w:t>
      </w:r>
      <w:r w:rsidRPr="009833C3">
        <w:rPr>
          <w:rFonts w:ascii="Garamond" w:hAnsi="Garamond"/>
          <w:sz w:val="22"/>
          <w:szCs w:val="22"/>
        </w:rPr>
        <w:t xml:space="preserve">developments </w:t>
      </w:r>
      <w:r w:rsidR="00BA1C1E" w:rsidRPr="009833C3">
        <w:rPr>
          <w:rFonts w:ascii="Garamond" w:hAnsi="Garamond"/>
          <w:sz w:val="22"/>
          <w:szCs w:val="22"/>
        </w:rPr>
        <w:t xml:space="preserve">expected </w:t>
      </w:r>
      <w:r w:rsidRPr="009833C3">
        <w:rPr>
          <w:rFonts w:ascii="Garamond" w:hAnsi="Garamond"/>
          <w:sz w:val="22"/>
          <w:szCs w:val="22"/>
        </w:rPr>
        <w:t xml:space="preserve">in the domestic economy. Thus, </w:t>
      </w:r>
      <w:r w:rsidR="00BA1C1E">
        <w:rPr>
          <w:rFonts w:ascii="Garamond" w:hAnsi="Garamond"/>
          <w:sz w:val="22"/>
          <w:szCs w:val="22"/>
        </w:rPr>
        <w:t xml:space="preserve">the decrease in </w:t>
      </w:r>
      <w:r w:rsidRPr="009833C3">
        <w:rPr>
          <w:rFonts w:ascii="Garamond" w:hAnsi="Garamond"/>
          <w:sz w:val="22"/>
          <w:szCs w:val="22"/>
        </w:rPr>
        <w:t>real export of goods and services</w:t>
      </w:r>
      <w:r w:rsidR="00BA1C1E">
        <w:rPr>
          <w:rFonts w:ascii="Garamond" w:hAnsi="Garamond"/>
          <w:sz w:val="22"/>
          <w:szCs w:val="22"/>
        </w:rPr>
        <w:t xml:space="preserve"> is forecast in the range of </w:t>
      </w:r>
      <w:r w:rsidRPr="009833C3">
        <w:rPr>
          <w:rFonts w:ascii="Garamond" w:hAnsi="Garamond"/>
          <w:sz w:val="22"/>
          <w:szCs w:val="22"/>
        </w:rPr>
        <w:t>5.0-7.0%. Th</w:t>
      </w:r>
      <w:r w:rsidR="00BA1C1E">
        <w:rPr>
          <w:rFonts w:ascii="Garamond" w:hAnsi="Garamond"/>
          <w:sz w:val="22"/>
          <w:szCs w:val="22"/>
        </w:rPr>
        <w:t>is</w:t>
      </w:r>
      <w:r w:rsidRPr="009833C3">
        <w:rPr>
          <w:rFonts w:ascii="Garamond" w:hAnsi="Garamond"/>
          <w:sz w:val="22"/>
          <w:szCs w:val="22"/>
        </w:rPr>
        <w:t xml:space="preserve">, </w:t>
      </w:r>
      <w:r w:rsidR="00BA1C1E">
        <w:rPr>
          <w:rFonts w:ascii="Garamond" w:hAnsi="Garamond"/>
          <w:sz w:val="22"/>
          <w:szCs w:val="22"/>
        </w:rPr>
        <w:t>coupled with t</w:t>
      </w:r>
      <w:r w:rsidRPr="009833C3">
        <w:rPr>
          <w:rFonts w:ascii="Garamond" w:hAnsi="Garamond"/>
          <w:sz w:val="22"/>
          <w:szCs w:val="22"/>
        </w:rPr>
        <w:t xml:space="preserve">he slowdown in global demand, will be </w:t>
      </w:r>
      <w:r w:rsidR="00BA1C1E">
        <w:rPr>
          <w:rFonts w:ascii="Garamond" w:hAnsi="Garamond"/>
          <w:sz w:val="22"/>
          <w:szCs w:val="22"/>
        </w:rPr>
        <w:t>attributable to</w:t>
      </w:r>
      <w:r w:rsidRPr="009833C3">
        <w:rPr>
          <w:rFonts w:ascii="Garamond" w:hAnsi="Garamond"/>
          <w:sz w:val="22"/>
          <w:szCs w:val="22"/>
        </w:rPr>
        <w:t xml:space="preserve"> the preventive measures </w:t>
      </w:r>
      <w:r w:rsidR="00BA1C1E">
        <w:rPr>
          <w:rFonts w:ascii="Garamond" w:hAnsi="Garamond"/>
          <w:sz w:val="22"/>
          <w:szCs w:val="22"/>
        </w:rPr>
        <w:t>p</w:t>
      </w:r>
      <w:r w:rsidRPr="009833C3">
        <w:rPr>
          <w:rFonts w:ascii="Garamond" w:hAnsi="Garamond"/>
          <w:sz w:val="22"/>
          <w:szCs w:val="22"/>
        </w:rPr>
        <w:t>artner countries</w:t>
      </w:r>
      <w:r w:rsidR="00BA1C1E">
        <w:rPr>
          <w:rFonts w:ascii="Garamond" w:hAnsi="Garamond"/>
          <w:sz w:val="22"/>
          <w:szCs w:val="22"/>
        </w:rPr>
        <w:t xml:space="preserve"> are taking</w:t>
      </w:r>
      <w:r w:rsidRPr="009833C3">
        <w:rPr>
          <w:rFonts w:ascii="Garamond" w:hAnsi="Garamond"/>
          <w:sz w:val="22"/>
          <w:szCs w:val="22"/>
        </w:rPr>
        <w:t>. The volume</w:t>
      </w:r>
      <w:r w:rsidR="00BA1C1E">
        <w:rPr>
          <w:rFonts w:ascii="Garamond" w:hAnsi="Garamond"/>
          <w:sz w:val="22"/>
          <w:szCs w:val="22"/>
        </w:rPr>
        <w:t>s</w:t>
      </w:r>
      <w:r w:rsidRPr="009833C3">
        <w:rPr>
          <w:rFonts w:ascii="Garamond" w:hAnsi="Garamond"/>
          <w:sz w:val="22"/>
          <w:szCs w:val="22"/>
        </w:rPr>
        <w:t xml:space="preserve"> of international tourism will </w:t>
      </w:r>
      <w:r w:rsidR="00BA1C1E">
        <w:rPr>
          <w:rFonts w:ascii="Garamond" w:hAnsi="Garamond"/>
          <w:sz w:val="22"/>
          <w:szCs w:val="22"/>
        </w:rPr>
        <w:t xml:space="preserve">shrink </w:t>
      </w:r>
      <w:r w:rsidRPr="009833C3">
        <w:rPr>
          <w:rFonts w:ascii="Garamond" w:hAnsi="Garamond"/>
          <w:sz w:val="22"/>
          <w:szCs w:val="22"/>
        </w:rPr>
        <w:t>significantly.</w:t>
      </w:r>
    </w:p>
    <w:p w14:paraId="16E22F18" w14:textId="77777777" w:rsidR="00B21D19" w:rsidRDefault="00BA1C1E"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T</w:t>
      </w:r>
      <w:r w:rsidRPr="00BA1C1E">
        <w:rPr>
          <w:rFonts w:ascii="Garamond" w:hAnsi="Garamond"/>
          <w:sz w:val="22"/>
          <w:szCs w:val="22"/>
        </w:rPr>
        <w:t>he real import of goods and services will also decrease</w:t>
      </w:r>
      <w:r>
        <w:rPr>
          <w:rFonts w:ascii="Garamond" w:hAnsi="Garamond"/>
          <w:sz w:val="22"/>
          <w:szCs w:val="22"/>
        </w:rPr>
        <w:t xml:space="preserve"> amid </w:t>
      </w:r>
      <w:r w:rsidR="006E271C">
        <w:rPr>
          <w:rFonts w:ascii="Garamond" w:hAnsi="Garamond"/>
          <w:sz w:val="22"/>
          <w:szCs w:val="22"/>
        </w:rPr>
        <w:t xml:space="preserve">a </w:t>
      </w:r>
      <w:r w:rsidRPr="00BA1C1E">
        <w:rPr>
          <w:rFonts w:ascii="Garamond" w:hAnsi="Garamond"/>
          <w:sz w:val="22"/>
          <w:szCs w:val="22"/>
        </w:rPr>
        <w:t xml:space="preserve">weak domestic demand, </w:t>
      </w:r>
      <w:r>
        <w:rPr>
          <w:rFonts w:ascii="Garamond" w:hAnsi="Garamond"/>
          <w:sz w:val="22"/>
          <w:szCs w:val="22"/>
        </w:rPr>
        <w:t xml:space="preserve">shaping </w:t>
      </w:r>
      <w:r w:rsidRPr="00BA1C1E">
        <w:rPr>
          <w:rFonts w:ascii="Garamond" w:hAnsi="Garamond"/>
          <w:sz w:val="22"/>
          <w:szCs w:val="22"/>
        </w:rPr>
        <w:t>in the range of 9.0-11.0%.</w:t>
      </w:r>
      <w:r w:rsidR="006E271C">
        <w:rPr>
          <w:rFonts w:ascii="Garamond" w:hAnsi="Garamond"/>
          <w:sz w:val="22"/>
          <w:szCs w:val="22"/>
        </w:rPr>
        <w:t xml:space="preserve"> </w:t>
      </w:r>
    </w:p>
    <w:p w14:paraId="6BCD2E69" w14:textId="263B6503" w:rsidR="006E271C" w:rsidRDefault="0478D0CA" w:rsidP="00EE619D">
      <w:pPr>
        <w:autoSpaceDE w:val="0"/>
        <w:autoSpaceDN w:val="0"/>
        <w:adjustRightInd w:val="0"/>
        <w:spacing w:after="120" w:line="360" w:lineRule="auto"/>
        <w:jc w:val="both"/>
        <w:rPr>
          <w:rFonts w:ascii="Garamond" w:hAnsi="Garamond"/>
          <w:sz w:val="22"/>
          <w:szCs w:val="22"/>
        </w:rPr>
      </w:pPr>
      <w:r w:rsidRPr="0478D0CA">
        <w:rPr>
          <w:rFonts w:ascii="Garamond" w:hAnsi="Garamond"/>
          <w:sz w:val="22"/>
          <w:szCs w:val="22"/>
        </w:rPr>
        <w:t xml:space="preserve"> Remittances of individuals will reduce significantly as the sharp decline in oil prices has decelerated Russia’s economic growth and led to the ruble depreciation. Moreover, temporary migration restrictions Russia imposes at the moment may lead to considerable narrowing of remittances of individuals; the decrease in private transfers is anticipated in the range of 16.0-19.0%.</w:t>
      </w:r>
    </w:p>
    <w:p w14:paraId="618D9B1D" w14:textId="77777777" w:rsidR="0068360F" w:rsidRDefault="0068360F"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On the back of such forecasts, the 2020 </w:t>
      </w:r>
      <w:r w:rsidR="00C33234" w:rsidRPr="00EE5F0F">
        <w:rPr>
          <w:rFonts w:ascii="Garamond" w:hAnsi="Garamond"/>
          <w:sz w:val="22"/>
          <w:szCs w:val="22"/>
        </w:rPr>
        <w:t>curr</w:t>
      </w:r>
      <w:r w:rsidR="00C33234">
        <w:rPr>
          <w:rFonts w:ascii="Garamond" w:hAnsi="Garamond"/>
          <w:sz w:val="22"/>
          <w:szCs w:val="22"/>
        </w:rPr>
        <w:t>ent account deficit-to-GDP ratio</w:t>
      </w:r>
      <w:r w:rsidR="006A3761" w:rsidRPr="006A3761">
        <w:rPr>
          <w:rFonts w:ascii="Garamond" w:hAnsi="Garamond"/>
          <w:sz w:val="22"/>
          <w:szCs w:val="22"/>
        </w:rPr>
        <w:t xml:space="preserve"> will </w:t>
      </w:r>
      <w:r>
        <w:rPr>
          <w:rFonts w:ascii="Garamond" w:hAnsi="Garamond"/>
          <w:sz w:val="22"/>
          <w:szCs w:val="22"/>
        </w:rPr>
        <w:t>be within 7.0-9</w:t>
      </w:r>
      <w:r w:rsidRPr="006A3761">
        <w:rPr>
          <w:rFonts w:ascii="Garamond" w:hAnsi="Garamond"/>
          <w:sz w:val="22"/>
          <w:szCs w:val="22"/>
        </w:rPr>
        <w:t>.0%</w:t>
      </w:r>
      <w:r>
        <w:rPr>
          <w:rFonts w:ascii="Garamond" w:hAnsi="Garamond"/>
          <w:sz w:val="22"/>
          <w:szCs w:val="22"/>
        </w:rPr>
        <w:t xml:space="preserve">. </w:t>
      </w:r>
    </w:p>
    <w:p w14:paraId="1230CAD8" w14:textId="77777777" w:rsidR="00167660" w:rsidRPr="00EE5F0F" w:rsidRDefault="004F233A"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In the medium run, </w:t>
      </w:r>
      <w:r w:rsidR="0068360F">
        <w:rPr>
          <w:rFonts w:ascii="Garamond" w:hAnsi="Garamond"/>
          <w:sz w:val="22"/>
          <w:szCs w:val="22"/>
        </w:rPr>
        <w:t xml:space="preserve">as equilibrium of the economy restores, </w:t>
      </w:r>
      <w:r w:rsidR="00C02DF1" w:rsidRPr="00EE5F0F">
        <w:rPr>
          <w:rFonts w:ascii="Garamond" w:hAnsi="Garamond"/>
          <w:sz w:val="22"/>
          <w:szCs w:val="22"/>
        </w:rPr>
        <w:t>the curr</w:t>
      </w:r>
      <w:r w:rsidR="00C02DF1">
        <w:rPr>
          <w:rFonts w:ascii="Garamond" w:hAnsi="Garamond"/>
          <w:sz w:val="22"/>
          <w:szCs w:val="22"/>
        </w:rPr>
        <w:t>ent account deficit-to-GDP ratio</w:t>
      </w:r>
      <w:r w:rsidRPr="004F233A">
        <w:rPr>
          <w:rFonts w:ascii="Garamond" w:hAnsi="Garamond"/>
          <w:sz w:val="22"/>
          <w:szCs w:val="22"/>
        </w:rPr>
        <w:t xml:space="preserve"> </w:t>
      </w:r>
      <w:r>
        <w:rPr>
          <w:rFonts w:ascii="Garamond" w:hAnsi="Garamond"/>
          <w:sz w:val="22"/>
          <w:szCs w:val="22"/>
        </w:rPr>
        <w:t xml:space="preserve">will </w:t>
      </w:r>
      <w:r w:rsidR="0068360F">
        <w:rPr>
          <w:rFonts w:ascii="Garamond" w:hAnsi="Garamond"/>
          <w:sz w:val="22"/>
          <w:szCs w:val="22"/>
        </w:rPr>
        <w:t xml:space="preserve">gradually </w:t>
      </w:r>
      <w:r w:rsidR="001257C7">
        <w:rPr>
          <w:rFonts w:ascii="Garamond" w:hAnsi="Garamond"/>
          <w:sz w:val="22"/>
          <w:szCs w:val="22"/>
        </w:rPr>
        <w:t>stabilize within 3</w:t>
      </w:r>
      <w:r w:rsidR="001257C7" w:rsidRPr="00EE5F0F">
        <w:rPr>
          <w:rFonts w:ascii="Garamond" w:hAnsi="Garamond"/>
          <w:sz w:val="22"/>
          <w:szCs w:val="22"/>
        </w:rPr>
        <w:t>.0-</w:t>
      </w:r>
      <w:r w:rsidR="001257C7">
        <w:rPr>
          <w:rFonts w:ascii="Garamond" w:hAnsi="Garamond"/>
          <w:sz w:val="22"/>
          <w:szCs w:val="22"/>
        </w:rPr>
        <w:t>5</w:t>
      </w:r>
      <w:r w:rsidR="001257C7" w:rsidRPr="00EE5F0F">
        <w:rPr>
          <w:rFonts w:ascii="Garamond" w:hAnsi="Garamond"/>
          <w:sz w:val="22"/>
          <w:szCs w:val="22"/>
        </w:rPr>
        <w:t>.0%</w:t>
      </w:r>
      <w:r>
        <w:rPr>
          <w:rFonts w:ascii="Garamond" w:hAnsi="Garamond"/>
          <w:sz w:val="22"/>
          <w:szCs w:val="22"/>
        </w:rPr>
        <w:t>.</w:t>
      </w:r>
    </w:p>
    <w:p w14:paraId="61829076" w14:textId="77777777" w:rsidR="00827564" w:rsidRDefault="00827564" w:rsidP="00572A12">
      <w:pPr>
        <w:autoSpaceDE w:val="0"/>
        <w:autoSpaceDN w:val="0"/>
        <w:adjustRightInd w:val="0"/>
        <w:spacing w:after="120" w:line="360" w:lineRule="auto"/>
        <w:jc w:val="both"/>
        <w:rPr>
          <w:rFonts w:ascii="Garamond" w:hAnsi="Garamond"/>
          <w:b/>
          <w:sz w:val="22"/>
          <w:szCs w:val="22"/>
        </w:rPr>
      </w:pPr>
    </w:p>
    <w:p w14:paraId="2604572C" w14:textId="77777777" w:rsidR="00827564" w:rsidRDefault="00827564" w:rsidP="00572A12">
      <w:pPr>
        <w:autoSpaceDE w:val="0"/>
        <w:autoSpaceDN w:val="0"/>
        <w:adjustRightInd w:val="0"/>
        <w:spacing w:after="120" w:line="360" w:lineRule="auto"/>
        <w:jc w:val="both"/>
        <w:rPr>
          <w:rFonts w:ascii="Garamond" w:hAnsi="Garamond"/>
          <w:b/>
          <w:sz w:val="22"/>
          <w:szCs w:val="22"/>
        </w:rPr>
      </w:pPr>
      <w:r>
        <w:rPr>
          <w:rFonts w:ascii="Garamond" w:hAnsi="Garamond"/>
          <w:b/>
          <w:sz w:val="22"/>
          <w:szCs w:val="22"/>
        </w:rPr>
        <w:t>Fiscal policy</w:t>
      </w:r>
    </w:p>
    <w:p w14:paraId="51A7CF61" w14:textId="77777777" w:rsidR="00D25EB7" w:rsidRDefault="00974358" w:rsidP="00572A12">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The </w:t>
      </w:r>
      <w:r w:rsidRPr="00D60B77">
        <w:rPr>
          <w:rFonts w:ascii="Garamond" w:hAnsi="Garamond"/>
          <w:b/>
          <w:sz w:val="22"/>
          <w:szCs w:val="22"/>
        </w:rPr>
        <w:t>fiscal policy’s impact</w:t>
      </w:r>
      <w:r>
        <w:rPr>
          <w:rFonts w:ascii="Garamond" w:hAnsi="Garamond"/>
          <w:sz w:val="22"/>
          <w:szCs w:val="22"/>
        </w:rPr>
        <w:t xml:space="preserve"> on aggregate demand </w:t>
      </w:r>
      <w:r w:rsidR="002B2D99">
        <w:rPr>
          <w:rFonts w:ascii="Garamond" w:hAnsi="Garamond"/>
          <w:sz w:val="22"/>
          <w:szCs w:val="22"/>
        </w:rPr>
        <w:t>for</w:t>
      </w:r>
      <w:r w:rsidR="004059B4">
        <w:rPr>
          <w:rFonts w:ascii="Garamond" w:hAnsi="Garamond"/>
          <w:sz w:val="22"/>
          <w:szCs w:val="22"/>
        </w:rPr>
        <w:t xml:space="preserve"> 20</w:t>
      </w:r>
      <w:r w:rsidR="002B2D99">
        <w:rPr>
          <w:rFonts w:ascii="Garamond" w:hAnsi="Garamond"/>
          <w:sz w:val="22"/>
          <w:szCs w:val="22"/>
        </w:rPr>
        <w:t>20</w:t>
      </w:r>
      <w:r>
        <w:rPr>
          <w:rFonts w:ascii="Garamond" w:hAnsi="Garamond"/>
          <w:sz w:val="22"/>
          <w:szCs w:val="22"/>
        </w:rPr>
        <w:t xml:space="preserve"> </w:t>
      </w:r>
      <w:r w:rsidR="004059B4">
        <w:rPr>
          <w:rFonts w:ascii="Garamond" w:hAnsi="Garamond"/>
          <w:sz w:val="22"/>
          <w:szCs w:val="22"/>
        </w:rPr>
        <w:t xml:space="preserve">was </w:t>
      </w:r>
      <w:r>
        <w:rPr>
          <w:rFonts w:ascii="Garamond" w:hAnsi="Garamond"/>
          <w:sz w:val="22"/>
          <w:szCs w:val="22"/>
        </w:rPr>
        <w:t xml:space="preserve">estimated </w:t>
      </w:r>
      <w:r w:rsidR="002B2D99">
        <w:rPr>
          <w:rFonts w:ascii="Garamond" w:hAnsi="Garamond"/>
          <w:sz w:val="22"/>
          <w:szCs w:val="22"/>
        </w:rPr>
        <w:t>using the figures set out in RA Law on “State Budget 2020”, taking into account actual developments and the relevant Central Bank estimates.</w:t>
      </w:r>
    </w:p>
    <w:p w14:paraId="3AE87B80" w14:textId="77777777" w:rsidR="00AF40DE" w:rsidRDefault="00417893" w:rsidP="00572A12">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In view of </w:t>
      </w:r>
      <w:r w:rsidR="00AF40DE" w:rsidRPr="00AF40DE">
        <w:rPr>
          <w:rFonts w:ascii="Garamond" w:hAnsi="Garamond"/>
          <w:sz w:val="22"/>
          <w:szCs w:val="22"/>
        </w:rPr>
        <w:t xml:space="preserve">the spread of </w:t>
      </w:r>
      <w:r>
        <w:rPr>
          <w:rFonts w:ascii="Garamond" w:hAnsi="Garamond"/>
          <w:sz w:val="22"/>
          <w:szCs w:val="22"/>
        </w:rPr>
        <w:t xml:space="preserve">new </w:t>
      </w:r>
      <w:r w:rsidR="00AF40DE" w:rsidRPr="00AF40DE">
        <w:rPr>
          <w:rFonts w:ascii="Garamond" w:hAnsi="Garamond"/>
          <w:sz w:val="22"/>
          <w:szCs w:val="22"/>
        </w:rPr>
        <w:t xml:space="preserve">coronavirus disease </w:t>
      </w:r>
      <w:r>
        <w:rPr>
          <w:rFonts w:ascii="Garamond" w:hAnsi="Garamond"/>
          <w:sz w:val="22"/>
          <w:szCs w:val="22"/>
        </w:rPr>
        <w:t xml:space="preserve">in the world and </w:t>
      </w:r>
      <w:r w:rsidR="00AF40DE" w:rsidRPr="00AF40DE">
        <w:rPr>
          <w:rFonts w:ascii="Garamond" w:hAnsi="Garamond"/>
          <w:sz w:val="22"/>
          <w:szCs w:val="22"/>
        </w:rPr>
        <w:t xml:space="preserve">Armenia, </w:t>
      </w:r>
      <w:r>
        <w:rPr>
          <w:rFonts w:ascii="Garamond" w:hAnsi="Garamond"/>
          <w:sz w:val="22"/>
          <w:szCs w:val="22"/>
        </w:rPr>
        <w:t xml:space="preserve">and </w:t>
      </w:r>
      <w:r w:rsidR="00AF40DE" w:rsidRPr="00AF40DE">
        <w:rPr>
          <w:rFonts w:ascii="Garamond" w:hAnsi="Garamond"/>
          <w:sz w:val="22"/>
          <w:szCs w:val="22"/>
        </w:rPr>
        <w:t xml:space="preserve">its </w:t>
      </w:r>
      <w:r>
        <w:rPr>
          <w:rFonts w:ascii="Garamond" w:hAnsi="Garamond"/>
          <w:sz w:val="22"/>
          <w:szCs w:val="22"/>
        </w:rPr>
        <w:t xml:space="preserve">imminent </w:t>
      </w:r>
      <w:r w:rsidR="00AF40DE" w:rsidRPr="00AF40DE">
        <w:rPr>
          <w:rFonts w:ascii="Garamond" w:hAnsi="Garamond"/>
          <w:sz w:val="22"/>
          <w:szCs w:val="22"/>
        </w:rPr>
        <w:t xml:space="preserve">impact on the </w:t>
      </w:r>
      <w:r>
        <w:rPr>
          <w:rFonts w:ascii="Garamond" w:hAnsi="Garamond"/>
          <w:sz w:val="22"/>
          <w:szCs w:val="22"/>
        </w:rPr>
        <w:t xml:space="preserve">global and domestic </w:t>
      </w:r>
      <w:r w:rsidR="00AF40DE" w:rsidRPr="00AF40DE">
        <w:rPr>
          <w:rFonts w:ascii="Garamond" w:hAnsi="Garamond"/>
          <w:sz w:val="22"/>
          <w:szCs w:val="22"/>
        </w:rPr>
        <w:t>econom</w:t>
      </w:r>
      <w:r>
        <w:rPr>
          <w:rFonts w:ascii="Garamond" w:hAnsi="Garamond"/>
          <w:sz w:val="22"/>
          <w:szCs w:val="22"/>
        </w:rPr>
        <w:t xml:space="preserve">ies, </w:t>
      </w:r>
      <w:r w:rsidR="008363B0">
        <w:rPr>
          <w:rFonts w:ascii="Garamond" w:hAnsi="Garamond"/>
          <w:sz w:val="22"/>
          <w:szCs w:val="22"/>
        </w:rPr>
        <w:t xml:space="preserve">and </w:t>
      </w:r>
      <w:r>
        <w:rPr>
          <w:rFonts w:ascii="Garamond" w:hAnsi="Garamond"/>
          <w:sz w:val="22"/>
          <w:szCs w:val="22"/>
        </w:rPr>
        <w:t xml:space="preserve">given uncertainties about </w:t>
      </w:r>
      <w:r w:rsidR="00AF40DE" w:rsidRPr="00AF40DE">
        <w:rPr>
          <w:rFonts w:ascii="Garamond" w:hAnsi="Garamond"/>
          <w:sz w:val="22"/>
          <w:szCs w:val="22"/>
        </w:rPr>
        <w:t>structural chang</w:t>
      </w:r>
      <w:r>
        <w:rPr>
          <w:rFonts w:ascii="Garamond" w:hAnsi="Garamond"/>
          <w:sz w:val="22"/>
          <w:szCs w:val="22"/>
        </w:rPr>
        <w:t>es in Armenia, the Central Bank’</w:t>
      </w:r>
      <w:r w:rsidR="00AF40DE" w:rsidRPr="00AF40DE">
        <w:rPr>
          <w:rFonts w:ascii="Garamond" w:hAnsi="Garamond"/>
          <w:sz w:val="22"/>
          <w:szCs w:val="22"/>
        </w:rPr>
        <w:t xml:space="preserve">s </w:t>
      </w:r>
      <w:r>
        <w:rPr>
          <w:rFonts w:ascii="Garamond" w:hAnsi="Garamond"/>
          <w:sz w:val="22"/>
          <w:szCs w:val="22"/>
        </w:rPr>
        <w:t xml:space="preserve">estimate </w:t>
      </w:r>
      <w:r w:rsidR="00AF40DE" w:rsidRPr="00AF40DE">
        <w:rPr>
          <w:rFonts w:ascii="Garamond" w:hAnsi="Garamond"/>
          <w:sz w:val="22"/>
          <w:szCs w:val="22"/>
        </w:rPr>
        <w:t>of taxes is conservative</w:t>
      </w:r>
      <w:r w:rsidR="008363B0">
        <w:rPr>
          <w:rFonts w:ascii="Garamond" w:hAnsi="Garamond"/>
          <w:sz w:val="22"/>
          <w:szCs w:val="22"/>
        </w:rPr>
        <w:t>,</w:t>
      </w:r>
      <w:r>
        <w:rPr>
          <w:rFonts w:ascii="Garamond" w:hAnsi="Garamond"/>
          <w:sz w:val="22"/>
          <w:szCs w:val="22"/>
        </w:rPr>
        <w:t xml:space="preserve"> which means that the </w:t>
      </w:r>
      <w:r w:rsidR="00AF40DE" w:rsidRPr="00AF40DE">
        <w:rPr>
          <w:rFonts w:ascii="Garamond" w:hAnsi="Garamond"/>
          <w:sz w:val="22"/>
          <w:szCs w:val="22"/>
        </w:rPr>
        <w:t>tax</w:t>
      </w:r>
      <w:r w:rsidR="008363B0">
        <w:rPr>
          <w:rFonts w:ascii="Garamond" w:hAnsi="Garamond"/>
          <w:sz w:val="22"/>
          <w:szCs w:val="22"/>
        </w:rPr>
        <w:t>es</w:t>
      </w:r>
      <w:r>
        <w:rPr>
          <w:rFonts w:ascii="Garamond" w:hAnsi="Garamond"/>
          <w:sz w:val="22"/>
          <w:szCs w:val="22"/>
        </w:rPr>
        <w:t>-to-</w:t>
      </w:r>
      <w:r w:rsidR="00AF40DE" w:rsidRPr="00AF40DE">
        <w:rPr>
          <w:rFonts w:ascii="Garamond" w:hAnsi="Garamond"/>
          <w:sz w:val="22"/>
          <w:szCs w:val="22"/>
        </w:rPr>
        <w:t xml:space="preserve">GDP </w:t>
      </w:r>
      <w:r>
        <w:rPr>
          <w:rFonts w:ascii="Garamond" w:hAnsi="Garamond"/>
          <w:sz w:val="22"/>
          <w:szCs w:val="22"/>
        </w:rPr>
        <w:t>ratio</w:t>
      </w:r>
      <w:r w:rsidR="008363B0">
        <w:rPr>
          <w:rStyle w:val="FootnoteReference"/>
          <w:rFonts w:ascii="Garamond" w:hAnsi="Garamond"/>
          <w:sz w:val="22"/>
          <w:szCs w:val="22"/>
        </w:rPr>
        <w:footnoteReference w:customMarkFollows="1" w:id="4"/>
        <w:t>14</w:t>
      </w:r>
      <w:r>
        <w:rPr>
          <w:rFonts w:ascii="Garamond" w:hAnsi="Garamond"/>
          <w:sz w:val="22"/>
          <w:szCs w:val="22"/>
        </w:rPr>
        <w:t xml:space="preserve"> will </w:t>
      </w:r>
      <w:r w:rsidR="008363B0">
        <w:rPr>
          <w:rFonts w:ascii="Garamond" w:hAnsi="Garamond"/>
          <w:sz w:val="22"/>
          <w:szCs w:val="22"/>
        </w:rPr>
        <w:t>remain at the previous year’s level. T</w:t>
      </w:r>
      <w:r w:rsidR="00AF40DE" w:rsidRPr="00AF40DE">
        <w:rPr>
          <w:rFonts w:ascii="Garamond" w:hAnsi="Garamond"/>
          <w:sz w:val="22"/>
          <w:szCs w:val="22"/>
        </w:rPr>
        <w:t>he Central Bank</w:t>
      </w:r>
      <w:r w:rsidR="008363B0">
        <w:rPr>
          <w:rFonts w:ascii="Garamond" w:hAnsi="Garamond"/>
          <w:sz w:val="22"/>
          <w:szCs w:val="22"/>
        </w:rPr>
        <w:t xml:space="preserve"> anticipates a lower </w:t>
      </w:r>
      <w:r w:rsidR="008363B0" w:rsidRPr="00AF40DE">
        <w:rPr>
          <w:rFonts w:ascii="Garamond" w:hAnsi="Garamond"/>
          <w:sz w:val="22"/>
          <w:szCs w:val="22"/>
        </w:rPr>
        <w:t xml:space="preserve">nominal GDP </w:t>
      </w:r>
      <w:r w:rsidR="008363B0">
        <w:rPr>
          <w:rFonts w:ascii="Garamond" w:hAnsi="Garamond"/>
          <w:sz w:val="22"/>
          <w:szCs w:val="22"/>
        </w:rPr>
        <w:t xml:space="preserve">relative to what was provided for in </w:t>
      </w:r>
      <w:r w:rsidR="008363B0">
        <w:rPr>
          <w:rFonts w:ascii="Garamond" w:hAnsi="Garamond"/>
          <w:sz w:val="22"/>
          <w:szCs w:val="22"/>
        </w:rPr>
        <w:lastRenderedPageBreak/>
        <w:t xml:space="preserve">the budget law and </w:t>
      </w:r>
      <w:r w:rsidR="00AF40DE" w:rsidRPr="00AF40DE">
        <w:rPr>
          <w:rFonts w:ascii="Garamond" w:hAnsi="Garamond"/>
          <w:sz w:val="22"/>
          <w:szCs w:val="22"/>
        </w:rPr>
        <w:t xml:space="preserve">previous </w:t>
      </w:r>
      <w:r w:rsidR="008363B0">
        <w:rPr>
          <w:rFonts w:ascii="Garamond" w:hAnsi="Garamond"/>
          <w:sz w:val="22"/>
          <w:szCs w:val="22"/>
        </w:rPr>
        <w:t xml:space="preserve">estimate </w:t>
      </w:r>
      <w:r w:rsidR="00AF40DE" w:rsidRPr="00AF40DE">
        <w:rPr>
          <w:rFonts w:ascii="Garamond" w:hAnsi="Garamond"/>
          <w:sz w:val="22"/>
          <w:szCs w:val="22"/>
        </w:rPr>
        <w:t xml:space="preserve">of the Central Bank, in which </w:t>
      </w:r>
      <w:r w:rsidR="008363B0">
        <w:rPr>
          <w:rFonts w:ascii="Garamond" w:hAnsi="Garamond"/>
          <w:sz w:val="22"/>
          <w:szCs w:val="22"/>
        </w:rPr>
        <w:t>event th</w:t>
      </w:r>
      <w:r w:rsidR="00AF40DE" w:rsidRPr="00AF40DE">
        <w:rPr>
          <w:rFonts w:ascii="Garamond" w:hAnsi="Garamond"/>
          <w:sz w:val="22"/>
          <w:szCs w:val="22"/>
        </w:rPr>
        <w:t>e conservative approach to taxes</w:t>
      </w:r>
      <w:r w:rsidR="008363B0">
        <w:rPr>
          <w:rFonts w:ascii="Garamond" w:hAnsi="Garamond"/>
          <w:sz w:val="22"/>
          <w:szCs w:val="22"/>
        </w:rPr>
        <w:t>-to-</w:t>
      </w:r>
      <w:r w:rsidR="00AF40DE" w:rsidRPr="00AF40DE">
        <w:rPr>
          <w:rFonts w:ascii="Garamond" w:hAnsi="Garamond"/>
          <w:sz w:val="22"/>
          <w:szCs w:val="22"/>
        </w:rPr>
        <w:t xml:space="preserve">GDP </w:t>
      </w:r>
      <w:r w:rsidR="008363B0">
        <w:rPr>
          <w:rFonts w:ascii="Garamond" w:hAnsi="Garamond"/>
          <w:sz w:val="22"/>
          <w:szCs w:val="22"/>
        </w:rPr>
        <w:t xml:space="preserve">ratio </w:t>
      </w:r>
      <w:r w:rsidR="00AF40DE" w:rsidRPr="00AF40DE">
        <w:rPr>
          <w:rFonts w:ascii="Garamond" w:hAnsi="Garamond"/>
          <w:sz w:val="22"/>
          <w:szCs w:val="22"/>
        </w:rPr>
        <w:t xml:space="preserve">implies </w:t>
      </w:r>
      <w:r w:rsidR="00080F40">
        <w:rPr>
          <w:rFonts w:ascii="Garamond" w:hAnsi="Garamond"/>
          <w:sz w:val="22"/>
          <w:szCs w:val="22"/>
        </w:rPr>
        <w:t xml:space="preserve">less tax collection </w:t>
      </w:r>
      <w:r w:rsidR="00AF40DE" w:rsidRPr="00AF40DE">
        <w:rPr>
          <w:rFonts w:ascii="Garamond" w:hAnsi="Garamond"/>
          <w:sz w:val="22"/>
          <w:szCs w:val="22"/>
        </w:rPr>
        <w:t xml:space="preserve">than </w:t>
      </w:r>
      <w:r w:rsidR="00080F40">
        <w:rPr>
          <w:rFonts w:ascii="Garamond" w:hAnsi="Garamond"/>
          <w:sz w:val="22"/>
          <w:szCs w:val="22"/>
        </w:rPr>
        <w:t xml:space="preserve">projected by </w:t>
      </w:r>
      <w:r w:rsidR="00AF40DE" w:rsidRPr="00AF40DE">
        <w:rPr>
          <w:rFonts w:ascii="Garamond" w:hAnsi="Garamond"/>
          <w:sz w:val="22"/>
          <w:szCs w:val="22"/>
        </w:rPr>
        <w:t>the budget.</w:t>
      </w:r>
    </w:p>
    <w:p w14:paraId="7C73A714" w14:textId="77777777" w:rsidR="00080F40" w:rsidRDefault="00080F40" w:rsidP="00080F40">
      <w:pPr>
        <w:autoSpaceDE w:val="0"/>
        <w:autoSpaceDN w:val="0"/>
        <w:adjustRightInd w:val="0"/>
        <w:spacing w:after="120" w:line="360" w:lineRule="auto"/>
        <w:jc w:val="both"/>
        <w:rPr>
          <w:rFonts w:ascii="Garamond" w:hAnsi="Garamond"/>
          <w:sz w:val="22"/>
          <w:szCs w:val="22"/>
        </w:rPr>
      </w:pPr>
      <w:r>
        <w:rPr>
          <w:rFonts w:ascii="Garamond" w:hAnsi="Garamond"/>
          <w:sz w:val="22"/>
          <w:szCs w:val="22"/>
        </w:rPr>
        <w:t>As for public spending</w:t>
      </w:r>
      <w:r w:rsidRPr="00080F40">
        <w:rPr>
          <w:rFonts w:ascii="Garamond" w:hAnsi="Garamond"/>
          <w:sz w:val="22"/>
          <w:szCs w:val="22"/>
        </w:rPr>
        <w:t xml:space="preserve">, </w:t>
      </w:r>
      <w:r>
        <w:rPr>
          <w:rFonts w:ascii="Garamond" w:hAnsi="Garamond"/>
          <w:sz w:val="22"/>
          <w:szCs w:val="22"/>
        </w:rPr>
        <w:t xml:space="preserve">in view of performance of the budget in </w:t>
      </w:r>
      <w:r w:rsidRPr="00080F40">
        <w:rPr>
          <w:rFonts w:ascii="Garamond" w:hAnsi="Garamond"/>
          <w:sz w:val="22"/>
          <w:szCs w:val="22"/>
        </w:rPr>
        <w:t>previous years</w:t>
      </w:r>
      <w:r>
        <w:rPr>
          <w:rFonts w:ascii="Garamond" w:hAnsi="Garamond"/>
          <w:sz w:val="22"/>
          <w:szCs w:val="22"/>
        </w:rPr>
        <w:t xml:space="preserve"> and current performance in the first quarter of 2020, a</w:t>
      </w:r>
      <w:r w:rsidRPr="00080F40">
        <w:rPr>
          <w:rFonts w:ascii="Garamond" w:hAnsi="Garamond"/>
          <w:sz w:val="22"/>
          <w:szCs w:val="22"/>
        </w:rPr>
        <w:t xml:space="preserve">bout 3.5% </w:t>
      </w:r>
      <w:r w:rsidR="00D50F86">
        <w:rPr>
          <w:rFonts w:ascii="Garamond" w:hAnsi="Garamond"/>
          <w:sz w:val="22"/>
          <w:szCs w:val="22"/>
        </w:rPr>
        <w:t xml:space="preserve">of </w:t>
      </w:r>
      <w:r w:rsidRPr="00080F40">
        <w:rPr>
          <w:rFonts w:ascii="Garamond" w:hAnsi="Garamond"/>
          <w:sz w:val="22"/>
          <w:szCs w:val="22"/>
        </w:rPr>
        <w:t>saving</w:t>
      </w:r>
      <w:r w:rsidR="00D50F86">
        <w:rPr>
          <w:rFonts w:ascii="Garamond" w:hAnsi="Garamond"/>
          <w:sz w:val="22"/>
          <w:szCs w:val="22"/>
        </w:rPr>
        <w:t>s</w:t>
      </w:r>
      <w:r w:rsidRPr="00080F40">
        <w:rPr>
          <w:rFonts w:ascii="Garamond" w:hAnsi="Garamond"/>
          <w:sz w:val="22"/>
          <w:szCs w:val="22"/>
        </w:rPr>
        <w:t xml:space="preserve"> </w:t>
      </w:r>
      <w:r>
        <w:rPr>
          <w:rFonts w:ascii="Garamond" w:hAnsi="Garamond"/>
          <w:sz w:val="22"/>
          <w:szCs w:val="22"/>
        </w:rPr>
        <w:t xml:space="preserve">on </w:t>
      </w:r>
      <w:r w:rsidRPr="00080F40">
        <w:rPr>
          <w:rFonts w:ascii="Garamond" w:hAnsi="Garamond"/>
          <w:sz w:val="22"/>
          <w:szCs w:val="22"/>
        </w:rPr>
        <w:t>expenditures (a</w:t>
      </w:r>
      <w:r>
        <w:rPr>
          <w:rFonts w:ascii="Garamond" w:hAnsi="Garamond"/>
          <w:sz w:val="22"/>
          <w:szCs w:val="22"/>
        </w:rPr>
        <w:t>round AMD</w:t>
      </w:r>
      <w:r w:rsidRPr="00080F40">
        <w:rPr>
          <w:rFonts w:ascii="Garamond" w:hAnsi="Garamond"/>
          <w:sz w:val="22"/>
          <w:szCs w:val="22"/>
        </w:rPr>
        <w:t xml:space="preserve"> 65.0 billion)</w:t>
      </w:r>
      <w:r>
        <w:rPr>
          <w:rFonts w:ascii="Garamond" w:hAnsi="Garamond"/>
          <w:sz w:val="22"/>
          <w:szCs w:val="22"/>
        </w:rPr>
        <w:t xml:space="preserve"> is</w:t>
      </w:r>
      <w:r w:rsidRPr="00080F40">
        <w:rPr>
          <w:rFonts w:ascii="Garamond" w:hAnsi="Garamond"/>
          <w:sz w:val="22"/>
          <w:szCs w:val="22"/>
        </w:rPr>
        <w:t xml:space="preserve"> expected </w:t>
      </w:r>
      <w:r w:rsidR="00BE3096">
        <w:rPr>
          <w:rFonts w:ascii="Garamond" w:hAnsi="Garamond"/>
          <w:sz w:val="22"/>
          <w:szCs w:val="22"/>
        </w:rPr>
        <w:t xml:space="preserve">on implementation of </w:t>
      </w:r>
      <w:r w:rsidRPr="00080F40">
        <w:rPr>
          <w:rFonts w:ascii="Garamond" w:hAnsi="Garamond"/>
          <w:sz w:val="22"/>
          <w:szCs w:val="22"/>
        </w:rPr>
        <w:t xml:space="preserve">foreign-funded projects. </w:t>
      </w:r>
      <w:r w:rsidR="00BE3096">
        <w:rPr>
          <w:rFonts w:ascii="Garamond" w:hAnsi="Garamond"/>
          <w:sz w:val="22"/>
          <w:szCs w:val="22"/>
        </w:rPr>
        <w:t xml:space="preserve">In </w:t>
      </w:r>
      <w:r w:rsidRPr="00080F40">
        <w:rPr>
          <w:rFonts w:ascii="Garamond" w:hAnsi="Garamond"/>
          <w:sz w:val="22"/>
          <w:szCs w:val="22"/>
        </w:rPr>
        <w:t xml:space="preserve">2020 </w:t>
      </w:r>
      <w:r w:rsidR="00BE3096">
        <w:rPr>
          <w:rFonts w:ascii="Garamond" w:hAnsi="Garamond"/>
          <w:sz w:val="22"/>
          <w:szCs w:val="22"/>
        </w:rPr>
        <w:t>the e</w:t>
      </w:r>
      <w:r w:rsidRPr="00080F40">
        <w:rPr>
          <w:rFonts w:ascii="Garamond" w:hAnsi="Garamond"/>
          <w:sz w:val="22"/>
          <w:szCs w:val="22"/>
        </w:rPr>
        <w:t>xpenditure</w:t>
      </w:r>
      <w:r w:rsidR="00BE3096">
        <w:rPr>
          <w:rFonts w:ascii="Garamond" w:hAnsi="Garamond"/>
          <w:sz w:val="22"/>
          <w:szCs w:val="22"/>
        </w:rPr>
        <w:t>s-to-</w:t>
      </w:r>
      <w:r w:rsidRPr="00080F40">
        <w:rPr>
          <w:rFonts w:ascii="Garamond" w:hAnsi="Garamond"/>
          <w:sz w:val="22"/>
          <w:szCs w:val="22"/>
        </w:rPr>
        <w:t xml:space="preserve">GDP ratio will be 26.7%, </w:t>
      </w:r>
      <w:r w:rsidR="00BE3096">
        <w:rPr>
          <w:rFonts w:ascii="Garamond" w:hAnsi="Garamond"/>
          <w:sz w:val="22"/>
          <w:szCs w:val="22"/>
        </w:rPr>
        <w:t xml:space="preserve">up by </w:t>
      </w:r>
      <w:r w:rsidRPr="00080F40">
        <w:rPr>
          <w:rFonts w:ascii="Garamond" w:hAnsi="Garamond"/>
          <w:sz w:val="22"/>
          <w:szCs w:val="22"/>
        </w:rPr>
        <w:t>2.0 p</w:t>
      </w:r>
      <w:r w:rsidR="00BE3096">
        <w:rPr>
          <w:rFonts w:ascii="Garamond" w:hAnsi="Garamond"/>
          <w:sz w:val="22"/>
          <w:szCs w:val="22"/>
        </w:rPr>
        <w:t xml:space="preserve">p </w:t>
      </w:r>
      <w:r w:rsidRPr="00080F40">
        <w:rPr>
          <w:rFonts w:ascii="Garamond" w:hAnsi="Garamond"/>
          <w:sz w:val="22"/>
          <w:szCs w:val="22"/>
        </w:rPr>
        <w:t xml:space="preserve">compared to the previous year. </w:t>
      </w:r>
      <w:r w:rsidR="00BE3096">
        <w:rPr>
          <w:rFonts w:ascii="Garamond" w:hAnsi="Garamond"/>
          <w:sz w:val="22"/>
          <w:szCs w:val="22"/>
        </w:rPr>
        <w:t>Note that</w:t>
      </w:r>
      <w:r w:rsidR="00662304">
        <w:rPr>
          <w:rFonts w:ascii="Garamond" w:hAnsi="Garamond"/>
          <w:sz w:val="22"/>
          <w:szCs w:val="22"/>
        </w:rPr>
        <w:t>,</w:t>
      </w:r>
      <w:r w:rsidR="00BE3096">
        <w:rPr>
          <w:rFonts w:ascii="Garamond" w:hAnsi="Garamond"/>
          <w:sz w:val="22"/>
          <w:szCs w:val="22"/>
        </w:rPr>
        <w:t xml:space="preserve"> as</w:t>
      </w:r>
      <w:r w:rsidRPr="00080F40">
        <w:rPr>
          <w:rFonts w:ascii="Garamond" w:hAnsi="Garamond"/>
          <w:sz w:val="22"/>
          <w:szCs w:val="22"/>
        </w:rPr>
        <w:t xml:space="preserve"> of March 17</w:t>
      </w:r>
      <w:r w:rsidR="00BE3096">
        <w:rPr>
          <w:rFonts w:ascii="Garamond" w:hAnsi="Garamond"/>
          <w:sz w:val="22"/>
          <w:szCs w:val="22"/>
        </w:rPr>
        <w:t>th,</w:t>
      </w:r>
      <w:r w:rsidRPr="00080F40">
        <w:rPr>
          <w:rFonts w:ascii="Garamond" w:hAnsi="Garamond"/>
          <w:sz w:val="22"/>
          <w:szCs w:val="22"/>
        </w:rPr>
        <w:t xml:space="preserve"> </w:t>
      </w:r>
      <w:r w:rsidR="0054440B" w:rsidRPr="00080F40">
        <w:rPr>
          <w:rFonts w:ascii="Garamond" w:hAnsi="Garamond"/>
          <w:sz w:val="22"/>
          <w:szCs w:val="22"/>
        </w:rPr>
        <w:t>no changes</w:t>
      </w:r>
      <w:r w:rsidR="0054440B">
        <w:rPr>
          <w:rFonts w:ascii="Garamond" w:hAnsi="Garamond"/>
          <w:sz w:val="22"/>
          <w:szCs w:val="22"/>
        </w:rPr>
        <w:t xml:space="preserve"> </w:t>
      </w:r>
      <w:r w:rsidR="0054440B" w:rsidRPr="00080F40">
        <w:rPr>
          <w:rFonts w:ascii="Garamond" w:hAnsi="Garamond"/>
          <w:sz w:val="22"/>
          <w:szCs w:val="22"/>
        </w:rPr>
        <w:t xml:space="preserve">in connection with </w:t>
      </w:r>
      <w:r w:rsidR="0054440B">
        <w:rPr>
          <w:rFonts w:ascii="Garamond" w:hAnsi="Garamond"/>
          <w:sz w:val="22"/>
          <w:szCs w:val="22"/>
        </w:rPr>
        <w:t xml:space="preserve">the </w:t>
      </w:r>
      <w:r w:rsidR="0054440B" w:rsidRPr="00080F40">
        <w:rPr>
          <w:rFonts w:ascii="Garamond" w:hAnsi="Garamond"/>
          <w:sz w:val="22"/>
          <w:szCs w:val="22"/>
        </w:rPr>
        <w:t>anti-crisis package</w:t>
      </w:r>
      <w:r w:rsidR="0054440B">
        <w:rPr>
          <w:rFonts w:ascii="Garamond" w:hAnsi="Garamond"/>
          <w:sz w:val="22"/>
          <w:szCs w:val="22"/>
        </w:rPr>
        <w:t xml:space="preserve"> </w:t>
      </w:r>
      <w:r w:rsidR="00F605D6">
        <w:rPr>
          <w:rFonts w:ascii="Garamond" w:hAnsi="Garamond"/>
          <w:sz w:val="22"/>
          <w:szCs w:val="22"/>
        </w:rPr>
        <w:t xml:space="preserve">had been </w:t>
      </w:r>
      <w:r w:rsidR="0054440B">
        <w:rPr>
          <w:rFonts w:ascii="Garamond" w:hAnsi="Garamond"/>
          <w:sz w:val="22"/>
          <w:szCs w:val="22"/>
        </w:rPr>
        <w:t xml:space="preserve">made to public </w:t>
      </w:r>
      <w:r w:rsidR="00662304" w:rsidRPr="00080F40">
        <w:rPr>
          <w:rFonts w:ascii="Garamond" w:hAnsi="Garamond"/>
          <w:sz w:val="22"/>
          <w:szCs w:val="22"/>
        </w:rPr>
        <w:t>spending</w:t>
      </w:r>
      <w:r w:rsidR="00F605D6">
        <w:rPr>
          <w:rFonts w:ascii="Garamond" w:hAnsi="Garamond"/>
          <w:sz w:val="22"/>
          <w:szCs w:val="22"/>
        </w:rPr>
        <w:t xml:space="preserve"> under government decrees</w:t>
      </w:r>
      <w:r w:rsidRPr="00080F40">
        <w:rPr>
          <w:rFonts w:ascii="Garamond" w:hAnsi="Garamond"/>
          <w:sz w:val="22"/>
          <w:szCs w:val="22"/>
        </w:rPr>
        <w:t xml:space="preserve">. </w:t>
      </w:r>
      <w:r w:rsidR="00F605D6">
        <w:rPr>
          <w:rFonts w:ascii="Garamond" w:hAnsi="Garamond"/>
          <w:sz w:val="22"/>
          <w:szCs w:val="22"/>
        </w:rPr>
        <w:t xml:space="preserve">And while </w:t>
      </w:r>
      <w:r w:rsidRPr="00080F40">
        <w:rPr>
          <w:rFonts w:ascii="Garamond" w:hAnsi="Garamond"/>
          <w:sz w:val="22"/>
          <w:szCs w:val="22"/>
        </w:rPr>
        <w:t xml:space="preserve">total volume of expenditures and main directions are known, the mechanisms of distribution </w:t>
      </w:r>
      <w:r w:rsidR="00F605D6">
        <w:rPr>
          <w:rFonts w:ascii="Garamond" w:hAnsi="Garamond"/>
          <w:sz w:val="22"/>
          <w:szCs w:val="22"/>
        </w:rPr>
        <w:t xml:space="preserve">of funds </w:t>
      </w:r>
      <w:r w:rsidRPr="00080F40">
        <w:rPr>
          <w:rFonts w:ascii="Garamond" w:hAnsi="Garamond"/>
          <w:sz w:val="22"/>
          <w:szCs w:val="22"/>
        </w:rPr>
        <w:t xml:space="preserve">are not clear yet, </w:t>
      </w:r>
      <w:r w:rsidR="00D9246B">
        <w:rPr>
          <w:rFonts w:ascii="Garamond" w:hAnsi="Garamond"/>
          <w:sz w:val="22"/>
          <w:szCs w:val="22"/>
        </w:rPr>
        <w:t xml:space="preserve">so measuring the </w:t>
      </w:r>
      <w:r w:rsidR="00D9246B" w:rsidRPr="00080F40">
        <w:rPr>
          <w:rFonts w:ascii="Garamond" w:hAnsi="Garamond"/>
          <w:sz w:val="22"/>
          <w:szCs w:val="22"/>
        </w:rPr>
        <w:t xml:space="preserve">effect </w:t>
      </w:r>
      <w:r w:rsidR="00D9246B">
        <w:rPr>
          <w:rFonts w:ascii="Garamond" w:hAnsi="Garamond"/>
          <w:sz w:val="22"/>
          <w:szCs w:val="22"/>
        </w:rPr>
        <w:t xml:space="preserve">of </w:t>
      </w:r>
      <w:r w:rsidR="00D9246B" w:rsidRPr="00080F40">
        <w:rPr>
          <w:rFonts w:ascii="Garamond" w:hAnsi="Garamond"/>
          <w:sz w:val="22"/>
          <w:szCs w:val="22"/>
        </w:rPr>
        <w:t>fiscal policy</w:t>
      </w:r>
      <w:r w:rsidR="00D9246B">
        <w:rPr>
          <w:rFonts w:ascii="Garamond" w:hAnsi="Garamond"/>
          <w:sz w:val="22"/>
          <w:szCs w:val="22"/>
        </w:rPr>
        <w:t xml:space="preserve">’s </w:t>
      </w:r>
      <w:r w:rsidRPr="00080F40">
        <w:rPr>
          <w:rFonts w:ascii="Garamond" w:hAnsi="Garamond"/>
          <w:sz w:val="22"/>
          <w:szCs w:val="22"/>
        </w:rPr>
        <w:t>additional stimul</w:t>
      </w:r>
      <w:r w:rsidR="00D9246B">
        <w:rPr>
          <w:rFonts w:ascii="Garamond" w:hAnsi="Garamond"/>
          <w:sz w:val="22"/>
          <w:szCs w:val="22"/>
        </w:rPr>
        <w:t>us</w:t>
      </w:r>
      <w:r w:rsidRPr="00080F40">
        <w:rPr>
          <w:rFonts w:ascii="Garamond" w:hAnsi="Garamond"/>
          <w:sz w:val="22"/>
          <w:szCs w:val="22"/>
        </w:rPr>
        <w:t xml:space="preserve"> </w:t>
      </w:r>
      <w:r w:rsidR="00D9246B">
        <w:rPr>
          <w:rFonts w:ascii="Garamond" w:hAnsi="Garamond"/>
          <w:sz w:val="22"/>
          <w:szCs w:val="22"/>
        </w:rPr>
        <w:t xml:space="preserve">at the moment is </w:t>
      </w:r>
      <w:r w:rsidR="003811D0">
        <w:rPr>
          <w:rFonts w:ascii="Garamond" w:hAnsi="Garamond"/>
          <w:sz w:val="22"/>
          <w:szCs w:val="22"/>
        </w:rPr>
        <w:t>difficult</w:t>
      </w:r>
      <w:r w:rsidR="00D9246B">
        <w:rPr>
          <w:rFonts w:ascii="Garamond" w:hAnsi="Garamond"/>
          <w:sz w:val="22"/>
          <w:szCs w:val="22"/>
        </w:rPr>
        <w:t>.</w:t>
      </w:r>
    </w:p>
    <w:p w14:paraId="60BCD755" w14:textId="77777777" w:rsidR="00F07157" w:rsidRDefault="00F07157" w:rsidP="00391B6F">
      <w:pPr>
        <w:autoSpaceDE w:val="0"/>
        <w:autoSpaceDN w:val="0"/>
        <w:adjustRightInd w:val="0"/>
        <w:spacing w:after="120" w:line="360" w:lineRule="auto"/>
        <w:jc w:val="both"/>
        <w:rPr>
          <w:rFonts w:ascii="Garamond" w:hAnsi="Garamond"/>
          <w:sz w:val="22"/>
          <w:szCs w:val="22"/>
        </w:rPr>
      </w:pPr>
      <w:r w:rsidRPr="00F07157">
        <w:rPr>
          <w:rFonts w:ascii="Garamond" w:hAnsi="Garamond"/>
          <w:sz w:val="22"/>
          <w:szCs w:val="22"/>
        </w:rPr>
        <w:t xml:space="preserve">As a result, </w:t>
      </w:r>
      <w:r>
        <w:rPr>
          <w:rFonts w:ascii="Garamond" w:hAnsi="Garamond"/>
          <w:sz w:val="22"/>
          <w:szCs w:val="22"/>
        </w:rPr>
        <w:t xml:space="preserve">exclusive of </w:t>
      </w:r>
      <w:r w:rsidRPr="00F07157">
        <w:rPr>
          <w:rFonts w:ascii="Garamond" w:hAnsi="Garamond"/>
          <w:sz w:val="22"/>
          <w:szCs w:val="22"/>
        </w:rPr>
        <w:t xml:space="preserve">the </w:t>
      </w:r>
      <w:r>
        <w:rPr>
          <w:rFonts w:ascii="Garamond" w:hAnsi="Garamond"/>
          <w:sz w:val="22"/>
          <w:szCs w:val="22"/>
        </w:rPr>
        <w:t xml:space="preserve">assistance </w:t>
      </w:r>
      <w:r w:rsidRPr="00F07157">
        <w:rPr>
          <w:rFonts w:ascii="Garamond" w:hAnsi="Garamond"/>
          <w:sz w:val="22"/>
          <w:szCs w:val="22"/>
        </w:rPr>
        <w:t>package, the deficit</w:t>
      </w:r>
      <w:r>
        <w:rPr>
          <w:rFonts w:ascii="Garamond" w:hAnsi="Garamond"/>
          <w:sz w:val="22"/>
          <w:szCs w:val="22"/>
        </w:rPr>
        <w:t>-to-</w:t>
      </w:r>
      <w:r w:rsidRPr="00F07157">
        <w:rPr>
          <w:rFonts w:ascii="Garamond" w:hAnsi="Garamond"/>
          <w:sz w:val="22"/>
          <w:szCs w:val="22"/>
        </w:rPr>
        <w:t xml:space="preserve">GDP </w:t>
      </w:r>
      <w:r>
        <w:rPr>
          <w:rFonts w:ascii="Garamond" w:hAnsi="Garamond"/>
          <w:sz w:val="22"/>
          <w:szCs w:val="22"/>
        </w:rPr>
        <w:t>ratio</w:t>
      </w:r>
      <w:r w:rsidRPr="00F07157">
        <w:rPr>
          <w:rFonts w:ascii="Garamond" w:hAnsi="Garamond"/>
          <w:sz w:val="22"/>
          <w:szCs w:val="22"/>
        </w:rPr>
        <w:t xml:space="preserve"> </w:t>
      </w:r>
      <w:r>
        <w:rPr>
          <w:rFonts w:ascii="Garamond" w:hAnsi="Garamond"/>
          <w:sz w:val="22"/>
          <w:szCs w:val="22"/>
        </w:rPr>
        <w:t>for</w:t>
      </w:r>
      <w:r w:rsidRPr="00F07157">
        <w:rPr>
          <w:rFonts w:ascii="Garamond" w:hAnsi="Garamond"/>
          <w:sz w:val="22"/>
          <w:szCs w:val="22"/>
        </w:rPr>
        <w:t xml:space="preserve"> 2020 is </w:t>
      </w:r>
      <w:r>
        <w:rPr>
          <w:rFonts w:ascii="Garamond" w:hAnsi="Garamond"/>
          <w:sz w:val="22"/>
          <w:szCs w:val="22"/>
        </w:rPr>
        <w:t xml:space="preserve">an estimated </w:t>
      </w:r>
      <w:r w:rsidRPr="00F07157">
        <w:rPr>
          <w:rFonts w:ascii="Garamond" w:hAnsi="Garamond"/>
          <w:sz w:val="22"/>
          <w:szCs w:val="22"/>
        </w:rPr>
        <w:t>3.0%</w:t>
      </w:r>
      <w:r w:rsidR="0021392A">
        <w:rPr>
          <w:rStyle w:val="FootnoteReference"/>
          <w:rFonts w:ascii="Garamond" w:hAnsi="Garamond"/>
          <w:sz w:val="22"/>
          <w:szCs w:val="22"/>
        </w:rPr>
        <w:footnoteReference w:customMarkFollows="1" w:id="5"/>
        <w:t>15</w:t>
      </w:r>
      <w:r>
        <w:rPr>
          <w:rFonts w:ascii="Garamond" w:hAnsi="Garamond"/>
          <w:sz w:val="22"/>
          <w:szCs w:val="22"/>
        </w:rPr>
        <w:t>.</w:t>
      </w:r>
    </w:p>
    <w:p w14:paraId="5F7145DB" w14:textId="77777777" w:rsidR="00B775CF" w:rsidRDefault="0021392A" w:rsidP="00391B6F">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With </w:t>
      </w:r>
      <w:r w:rsidR="00B775CF">
        <w:rPr>
          <w:rFonts w:ascii="Garamond" w:hAnsi="Garamond"/>
          <w:sz w:val="22"/>
          <w:szCs w:val="22"/>
        </w:rPr>
        <w:t xml:space="preserve">the above </w:t>
      </w:r>
      <w:r w:rsidR="00B775CF" w:rsidRPr="00C86ABF">
        <w:rPr>
          <w:rFonts w:ascii="Garamond" w:hAnsi="Garamond"/>
          <w:sz w:val="22"/>
          <w:szCs w:val="22"/>
        </w:rPr>
        <w:t xml:space="preserve">tax and expenditure </w:t>
      </w:r>
      <w:r w:rsidR="00B775CF">
        <w:rPr>
          <w:rFonts w:ascii="Garamond" w:hAnsi="Garamond"/>
          <w:sz w:val="22"/>
          <w:szCs w:val="22"/>
        </w:rPr>
        <w:t>pro</w:t>
      </w:r>
      <w:r>
        <w:rPr>
          <w:rFonts w:ascii="Garamond" w:hAnsi="Garamond"/>
          <w:sz w:val="22"/>
          <w:szCs w:val="22"/>
        </w:rPr>
        <w:t>jections</w:t>
      </w:r>
      <w:r w:rsidR="00B775CF">
        <w:rPr>
          <w:rFonts w:ascii="Garamond" w:hAnsi="Garamond"/>
          <w:sz w:val="22"/>
          <w:szCs w:val="22"/>
        </w:rPr>
        <w:t>,</w:t>
      </w:r>
      <w:r w:rsidR="00B775CF" w:rsidRPr="00C86ABF">
        <w:rPr>
          <w:rFonts w:ascii="Garamond" w:hAnsi="Garamond"/>
          <w:sz w:val="22"/>
          <w:szCs w:val="22"/>
        </w:rPr>
        <w:t xml:space="preserve"> </w:t>
      </w:r>
      <w:r w:rsidR="00B775CF">
        <w:rPr>
          <w:rFonts w:ascii="Garamond" w:hAnsi="Garamond"/>
          <w:sz w:val="22"/>
          <w:szCs w:val="22"/>
        </w:rPr>
        <w:t>net of one-off streams</w:t>
      </w:r>
      <w:r w:rsidR="000A3F4A">
        <w:rPr>
          <w:rFonts w:ascii="Garamond" w:hAnsi="Garamond"/>
          <w:sz w:val="22"/>
          <w:szCs w:val="22"/>
        </w:rPr>
        <w:t xml:space="preserve"> </w:t>
      </w:r>
      <w:r w:rsidR="00F37F58">
        <w:rPr>
          <w:rFonts w:ascii="Garamond" w:hAnsi="Garamond"/>
          <w:sz w:val="22"/>
          <w:szCs w:val="22"/>
        </w:rPr>
        <w:t xml:space="preserve">that do not </w:t>
      </w:r>
      <w:r w:rsidR="000A3F4A">
        <w:rPr>
          <w:rFonts w:ascii="Garamond" w:hAnsi="Garamond"/>
          <w:sz w:val="22"/>
          <w:szCs w:val="22"/>
        </w:rPr>
        <w:t>affect</w:t>
      </w:r>
      <w:r w:rsidR="00F37F58">
        <w:rPr>
          <w:rFonts w:ascii="Garamond" w:hAnsi="Garamond"/>
          <w:sz w:val="22"/>
          <w:szCs w:val="22"/>
        </w:rPr>
        <w:t xml:space="preserve"> </w:t>
      </w:r>
      <w:r w:rsidR="000A3F4A">
        <w:rPr>
          <w:rFonts w:ascii="Garamond" w:hAnsi="Garamond"/>
          <w:sz w:val="22"/>
          <w:szCs w:val="22"/>
        </w:rPr>
        <w:t>the domestic demand</w:t>
      </w:r>
      <w:r w:rsidR="00B775CF">
        <w:rPr>
          <w:rFonts w:ascii="Garamond" w:hAnsi="Garamond"/>
          <w:sz w:val="22"/>
          <w:szCs w:val="22"/>
        </w:rPr>
        <w:t>, the 20</w:t>
      </w:r>
      <w:r>
        <w:rPr>
          <w:rFonts w:ascii="Garamond" w:hAnsi="Garamond"/>
          <w:sz w:val="22"/>
          <w:szCs w:val="22"/>
        </w:rPr>
        <w:t>20</w:t>
      </w:r>
      <w:r w:rsidR="00B775CF">
        <w:rPr>
          <w:rFonts w:ascii="Garamond" w:hAnsi="Garamond"/>
          <w:sz w:val="22"/>
          <w:szCs w:val="22"/>
        </w:rPr>
        <w:t xml:space="preserve"> fiscal policy’s impulse on aggregate </w:t>
      </w:r>
      <w:r w:rsidR="00B775CF" w:rsidRPr="00C86ABF">
        <w:rPr>
          <w:rFonts w:ascii="Garamond" w:hAnsi="Garamond"/>
          <w:sz w:val="22"/>
          <w:szCs w:val="22"/>
        </w:rPr>
        <w:t xml:space="preserve">demand </w:t>
      </w:r>
      <w:r w:rsidR="000A3F4A">
        <w:rPr>
          <w:rFonts w:ascii="Garamond" w:hAnsi="Garamond"/>
          <w:sz w:val="22"/>
          <w:szCs w:val="22"/>
        </w:rPr>
        <w:t xml:space="preserve">is </w:t>
      </w:r>
      <w:r w:rsidR="005B7FC5">
        <w:rPr>
          <w:rFonts w:ascii="Garamond" w:hAnsi="Garamond"/>
          <w:sz w:val="22"/>
          <w:szCs w:val="22"/>
        </w:rPr>
        <w:t xml:space="preserve">an </w:t>
      </w:r>
      <w:r w:rsidR="000A3F4A">
        <w:rPr>
          <w:rFonts w:ascii="Garamond" w:hAnsi="Garamond"/>
          <w:sz w:val="22"/>
          <w:szCs w:val="22"/>
        </w:rPr>
        <w:t xml:space="preserve">estimated </w:t>
      </w:r>
      <w:r>
        <w:rPr>
          <w:rFonts w:ascii="Garamond" w:hAnsi="Garamond"/>
          <w:sz w:val="22"/>
          <w:szCs w:val="22"/>
        </w:rPr>
        <w:t>4</w:t>
      </w:r>
      <w:r w:rsidR="00B775CF">
        <w:rPr>
          <w:rFonts w:ascii="Garamond" w:hAnsi="Garamond"/>
          <w:sz w:val="22"/>
          <w:szCs w:val="22"/>
        </w:rPr>
        <w:t>.</w:t>
      </w:r>
      <w:r>
        <w:rPr>
          <w:rFonts w:ascii="Garamond" w:hAnsi="Garamond"/>
          <w:sz w:val="22"/>
          <w:szCs w:val="22"/>
        </w:rPr>
        <w:t>1</w:t>
      </w:r>
      <w:r w:rsidR="00B775CF">
        <w:rPr>
          <w:rFonts w:ascii="Garamond" w:hAnsi="Garamond"/>
          <w:sz w:val="22"/>
          <w:szCs w:val="22"/>
        </w:rPr>
        <w:t xml:space="preserve"> pp </w:t>
      </w:r>
      <w:r>
        <w:rPr>
          <w:rFonts w:ascii="Garamond" w:hAnsi="Garamond"/>
          <w:sz w:val="22"/>
          <w:szCs w:val="22"/>
        </w:rPr>
        <w:t xml:space="preserve">expansionary </w:t>
      </w:r>
      <w:r w:rsidR="00B775CF">
        <w:rPr>
          <w:rFonts w:ascii="Garamond" w:hAnsi="Garamond"/>
          <w:sz w:val="22"/>
          <w:szCs w:val="22"/>
        </w:rPr>
        <w:t>compared to that of 20</w:t>
      </w:r>
      <w:r>
        <w:rPr>
          <w:rFonts w:ascii="Garamond" w:hAnsi="Garamond"/>
          <w:sz w:val="22"/>
          <w:szCs w:val="22"/>
        </w:rPr>
        <w:t>19</w:t>
      </w:r>
      <w:r w:rsidR="00B775CF" w:rsidRPr="00C86ABF">
        <w:rPr>
          <w:rFonts w:ascii="Garamond" w:hAnsi="Garamond"/>
          <w:sz w:val="22"/>
          <w:szCs w:val="22"/>
        </w:rPr>
        <w:t>.</w:t>
      </w:r>
      <w:r w:rsidR="00B775CF">
        <w:rPr>
          <w:rFonts w:ascii="Garamond" w:hAnsi="Garamond"/>
          <w:b/>
          <w:sz w:val="22"/>
          <w:szCs w:val="22"/>
        </w:rPr>
        <w:t xml:space="preserve"> </w:t>
      </w:r>
      <w:r w:rsidRPr="0021392A">
        <w:rPr>
          <w:rFonts w:ascii="Garamond" w:hAnsi="Garamond"/>
          <w:sz w:val="22"/>
          <w:szCs w:val="22"/>
        </w:rPr>
        <w:t xml:space="preserve">This is </w:t>
      </w:r>
      <w:r w:rsidR="005B7FC5">
        <w:rPr>
          <w:rFonts w:ascii="Garamond" w:hAnsi="Garamond"/>
          <w:sz w:val="22"/>
          <w:szCs w:val="22"/>
        </w:rPr>
        <w:t>attributable to expenditures impulse</w:t>
      </w:r>
      <w:r w:rsidR="00FB2E1E">
        <w:rPr>
          <w:rFonts w:ascii="Garamond" w:hAnsi="Garamond"/>
          <w:sz w:val="22"/>
          <w:szCs w:val="22"/>
        </w:rPr>
        <w:t xml:space="preserve"> which is </w:t>
      </w:r>
      <w:r w:rsidR="005B7FC5">
        <w:rPr>
          <w:rFonts w:ascii="Garamond" w:hAnsi="Garamond"/>
          <w:sz w:val="22"/>
          <w:szCs w:val="22"/>
        </w:rPr>
        <w:t>primarily expansionary</w:t>
      </w:r>
      <w:r w:rsidR="00052BDE">
        <w:rPr>
          <w:rFonts w:ascii="Garamond" w:hAnsi="Garamond"/>
          <w:sz w:val="22"/>
          <w:szCs w:val="22"/>
        </w:rPr>
        <w:t>,</w:t>
      </w:r>
      <w:r w:rsidR="005B7FC5">
        <w:rPr>
          <w:rFonts w:ascii="Garamond" w:hAnsi="Garamond"/>
          <w:sz w:val="22"/>
          <w:szCs w:val="22"/>
        </w:rPr>
        <w:t xml:space="preserve"> and </w:t>
      </w:r>
      <w:r w:rsidR="00052BDE">
        <w:rPr>
          <w:rFonts w:ascii="Garamond" w:hAnsi="Garamond"/>
          <w:sz w:val="22"/>
          <w:szCs w:val="22"/>
        </w:rPr>
        <w:t>to revenue impulse</w:t>
      </w:r>
      <w:r w:rsidR="00FB2E1E">
        <w:rPr>
          <w:rFonts w:ascii="Garamond" w:hAnsi="Garamond"/>
          <w:sz w:val="22"/>
          <w:szCs w:val="22"/>
        </w:rPr>
        <w:t xml:space="preserve"> which is </w:t>
      </w:r>
      <w:r w:rsidR="00052BDE">
        <w:rPr>
          <w:rFonts w:ascii="Garamond" w:hAnsi="Garamond"/>
          <w:sz w:val="22"/>
          <w:szCs w:val="22"/>
        </w:rPr>
        <w:t>modestly expansionary</w:t>
      </w:r>
      <w:r w:rsidR="005B7FC5">
        <w:rPr>
          <w:rStyle w:val="FootnoteReference"/>
          <w:rFonts w:ascii="Garamond" w:hAnsi="Garamond"/>
          <w:sz w:val="22"/>
          <w:szCs w:val="22"/>
        </w:rPr>
        <w:footnoteReference w:customMarkFollows="1" w:id="6"/>
        <w:t>16</w:t>
      </w:r>
      <w:r w:rsidR="005B7FC5">
        <w:rPr>
          <w:rFonts w:ascii="Garamond" w:hAnsi="Garamond"/>
          <w:sz w:val="22"/>
          <w:szCs w:val="22"/>
        </w:rPr>
        <w:t>.</w:t>
      </w:r>
    </w:p>
    <w:p w14:paraId="65E3C5E2" w14:textId="4F3FE95C" w:rsidR="00EE619D" w:rsidRPr="00EE5F0F" w:rsidRDefault="00EE619D" w:rsidP="309BEAEF">
      <w:pPr>
        <w:autoSpaceDE w:val="0"/>
        <w:autoSpaceDN w:val="0"/>
        <w:adjustRightInd w:val="0"/>
        <w:spacing w:after="120" w:line="360" w:lineRule="auto"/>
        <w:jc w:val="both"/>
        <w:rPr>
          <w:rFonts w:ascii="Garamond" w:hAnsi="Garamond"/>
          <w:sz w:val="22"/>
          <w:szCs w:val="22"/>
        </w:rPr>
      </w:pPr>
      <w:r w:rsidRPr="791D351F">
        <w:rPr>
          <w:rFonts w:ascii="Garamond" w:hAnsi="Garamond"/>
          <w:b/>
          <w:bCs/>
          <w:sz w:val="22"/>
          <w:szCs w:val="22"/>
        </w:rPr>
        <w:t>Labor market</w:t>
      </w:r>
      <w:r w:rsidR="000E44DA" w:rsidRPr="791D351F">
        <w:rPr>
          <w:rStyle w:val="FootnoteReference"/>
          <w:rFonts w:ascii="Garamond" w:hAnsi="Garamond"/>
          <w:b/>
          <w:bCs/>
          <w:sz w:val="22"/>
          <w:szCs w:val="22"/>
        </w:rPr>
        <w:footnoteReference w:customMarkFollows="1" w:id="7"/>
        <w:t>17</w:t>
      </w:r>
      <w:r w:rsidRPr="791D351F">
        <w:rPr>
          <w:rFonts w:ascii="Garamond" w:hAnsi="Garamond"/>
          <w:b/>
          <w:bCs/>
          <w:sz w:val="22"/>
          <w:szCs w:val="22"/>
        </w:rPr>
        <w:t xml:space="preserve">: </w:t>
      </w:r>
      <w:r w:rsidR="001D4535">
        <w:rPr>
          <w:rFonts w:ascii="Garamond" w:hAnsi="Garamond"/>
          <w:sz w:val="22"/>
          <w:szCs w:val="22"/>
        </w:rPr>
        <w:t>In 20</w:t>
      </w:r>
      <w:r w:rsidR="000E44DA">
        <w:rPr>
          <w:rFonts w:ascii="Garamond" w:hAnsi="Garamond"/>
          <w:sz w:val="22"/>
          <w:szCs w:val="22"/>
        </w:rPr>
        <w:t>20</w:t>
      </w:r>
      <w:r w:rsidR="001D4535">
        <w:rPr>
          <w:rFonts w:ascii="Garamond" w:hAnsi="Garamond"/>
          <w:sz w:val="22"/>
          <w:szCs w:val="22"/>
        </w:rPr>
        <w:t xml:space="preserve"> t</w:t>
      </w:r>
      <w:r w:rsidR="00ED527B">
        <w:rPr>
          <w:rFonts w:ascii="Garamond" w:hAnsi="Garamond"/>
          <w:sz w:val="22"/>
          <w:szCs w:val="22"/>
        </w:rPr>
        <w:t xml:space="preserve">he </w:t>
      </w:r>
      <w:proofErr w:type="spellStart"/>
      <w:r w:rsidR="00ED527B">
        <w:rPr>
          <w:rFonts w:ascii="Garamond" w:hAnsi="Garamond"/>
          <w:sz w:val="22"/>
          <w:szCs w:val="22"/>
        </w:rPr>
        <w:t>slow down</w:t>
      </w:r>
      <w:proofErr w:type="spellEnd"/>
      <w:r w:rsidR="00ED527B">
        <w:rPr>
          <w:rFonts w:ascii="Garamond" w:hAnsi="Garamond"/>
          <w:sz w:val="22"/>
          <w:szCs w:val="22"/>
        </w:rPr>
        <w:t xml:space="preserve"> of the growth rate of </w:t>
      </w:r>
      <w:r w:rsidR="00006209">
        <w:rPr>
          <w:rFonts w:ascii="Garamond" w:hAnsi="Garamond"/>
          <w:sz w:val="22"/>
          <w:szCs w:val="22"/>
        </w:rPr>
        <w:t xml:space="preserve">private sector </w:t>
      </w:r>
      <w:r w:rsidR="00A164A2" w:rsidRPr="00A164A2">
        <w:rPr>
          <w:rFonts w:ascii="Garamond" w:hAnsi="Garamond"/>
          <w:sz w:val="22"/>
          <w:szCs w:val="22"/>
        </w:rPr>
        <w:t>nominal wage</w:t>
      </w:r>
      <w:r w:rsidR="005B16EF">
        <w:rPr>
          <w:rFonts w:ascii="Garamond" w:hAnsi="Garamond"/>
          <w:sz w:val="22"/>
          <w:szCs w:val="22"/>
        </w:rPr>
        <w:t>s</w:t>
      </w:r>
      <w:r w:rsidR="00ED527B">
        <w:rPr>
          <w:rFonts w:ascii="Garamond" w:hAnsi="Garamond"/>
          <w:sz w:val="22"/>
          <w:szCs w:val="22"/>
        </w:rPr>
        <w:t xml:space="preserve"> will </w:t>
      </w:r>
      <w:r w:rsidR="000E44DA">
        <w:rPr>
          <w:rFonts w:ascii="Garamond" w:hAnsi="Garamond"/>
          <w:sz w:val="22"/>
          <w:szCs w:val="22"/>
        </w:rPr>
        <w:t xml:space="preserve">not be notable thanks to </w:t>
      </w:r>
      <w:r w:rsidR="000E44DA" w:rsidRPr="000E44DA">
        <w:rPr>
          <w:rFonts w:ascii="Garamond" w:hAnsi="Garamond"/>
          <w:sz w:val="22"/>
          <w:szCs w:val="22"/>
        </w:rPr>
        <w:t xml:space="preserve">positive effect of the minimum wage </w:t>
      </w:r>
      <w:r w:rsidR="000E44DA">
        <w:rPr>
          <w:rFonts w:ascii="Garamond" w:hAnsi="Garamond"/>
          <w:sz w:val="22"/>
          <w:szCs w:val="22"/>
        </w:rPr>
        <w:t>increase</w:t>
      </w:r>
      <w:r w:rsidR="00873271">
        <w:rPr>
          <w:rFonts w:ascii="Garamond" w:hAnsi="Garamond"/>
          <w:sz w:val="22"/>
          <w:szCs w:val="22"/>
        </w:rPr>
        <w:t xml:space="preserve">. </w:t>
      </w:r>
      <w:r w:rsidR="001D4535" w:rsidRPr="001D4535">
        <w:rPr>
          <w:rFonts w:ascii="Garamond" w:hAnsi="Garamond"/>
          <w:sz w:val="22"/>
          <w:szCs w:val="22"/>
        </w:rPr>
        <w:t xml:space="preserve">Subsequently, </w:t>
      </w:r>
      <w:r w:rsidR="00873271">
        <w:rPr>
          <w:rFonts w:ascii="Garamond" w:hAnsi="Garamond"/>
          <w:sz w:val="22"/>
          <w:szCs w:val="22"/>
        </w:rPr>
        <w:t xml:space="preserve">according to </w:t>
      </w:r>
      <w:r w:rsidR="001D4535" w:rsidRPr="001D4535">
        <w:rPr>
          <w:rFonts w:ascii="Garamond" w:hAnsi="Garamond"/>
          <w:sz w:val="22"/>
          <w:szCs w:val="22"/>
        </w:rPr>
        <w:t>the base</w:t>
      </w:r>
      <w:r w:rsidR="00873271">
        <w:rPr>
          <w:rFonts w:ascii="Garamond" w:hAnsi="Garamond"/>
          <w:sz w:val="22"/>
          <w:szCs w:val="22"/>
        </w:rPr>
        <w:t>line scenario</w:t>
      </w:r>
      <w:r w:rsidR="001D4535" w:rsidRPr="001D4535">
        <w:rPr>
          <w:rFonts w:ascii="Garamond" w:hAnsi="Garamond"/>
          <w:sz w:val="22"/>
          <w:szCs w:val="22"/>
        </w:rPr>
        <w:t xml:space="preserve">, </w:t>
      </w:r>
      <w:r w:rsidR="001D4535">
        <w:rPr>
          <w:rFonts w:ascii="Garamond" w:hAnsi="Garamond"/>
          <w:sz w:val="22"/>
          <w:szCs w:val="22"/>
        </w:rPr>
        <w:t xml:space="preserve">the </w:t>
      </w:r>
      <w:r w:rsidR="001D4535" w:rsidRPr="001D4535">
        <w:rPr>
          <w:rFonts w:ascii="Garamond" w:hAnsi="Garamond"/>
          <w:sz w:val="22"/>
          <w:szCs w:val="22"/>
        </w:rPr>
        <w:t xml:space="preserve">private nominal wage </w:t>
      </w:r>
      <w:proofErr w:type="gramStart"/>
      <w:r w:rsidR="001D4535" w:rsidRPr="001D4535">
        <w:rPr>
          <w:rFonts w:ascii="Garamond" w:hAnsi="Garamond"/>
          <w:sz w:val="22"/>
          <w:szCs w:val="22"/>
        </w:rPr>
        <w:t xml:space="preserve">growth </w:t>
      </w:r>
      <w:r w:rsidR="00873271">
        <w:rPr>
          <w:rFonts w:ascii="Garamond" w:hAnsi="Garamond"/>
          <w:sz w:val="22"/>
          <w:szCs w:val="22"/>
        </w:rPr>
        <w:t xml:space="preserve"> will</w:t>
      </w:r>
      <w:proofErr w:type="gramEnd"/>
      <w:r w:rsidR="00873271">
        <w:rPr>
          <w:rFonts w:ascii="Garamond" w:hAnsi="Garamond"/>
          <w:sz w:val="22"/>
          <w:szCs w:val="22"/>
        </w:rPr>
        <w:t xml:space="preserve"> persist around 7.7% </w:t>
      </w:r>
      <w:r w:rsidR="309BEAEF" w:rsidRPr="309BEAEF">
        <w:rPr>
          <w:rFonts w:ascii="Garamond" w:eastAsia="Garamond" w:hAnsi="Garamond" w:cs="Garamond"/>
          <w:sz w:val="22"/>
          <w:szCs w:val="22"/>
        </w:rPr>
        <w:t>in 2020.</w:t>
      </w:r>
      <w:r w:rsidR="001D4535" w:rsidRPr="001D4535">
        <w:rPr>
          <w:rFonts w:ascii="Garamond" w:hAnsi="Garamond"/>
          <w:sz w:val="22"/>
          <w:szCs w:val="22"/>
        </w:rPr>
        <w:t xml:space="preserve"> I</w:t>
      </w:r>
      <w:r w:rsidR="00873271">
        <w:rPr>
          <w:rFonts w:ascii="Garamond" w:hAnsi="Garamond"/>
          <w:sz w:val="22"/>
          <w:szCs w:val="22"/>
        </w:rPr>
        <w:t>n the mid-term perspective</w:t>
      </w:r>
      <w:r w:rsidR="001D4535" w:rsidRPr="001D4535">
        <w:rPr>
          <w:rFonts w:ascii="Garamond" w:hAnsi="Garamond"/>
          <w:sz w:val="22"/>
          <w:szCs w:val="22"/>
        </w:rPr>
        <w:t xml:space="preserve"> </w:t>
      </w:r>
      <w:r w:rsidR="00873271">
        <w:rPr>
          <w:rFonts w:ascii="Garamond" w:hAnsi="Garamond"/>
          <w:sz w:val="22"/>
          <w:szCs w:val="22"/>
        </w:rPr>
        <w:t>the</w:t>
      </w:r>
      <w:r w:rsidR="001D4535" w:rsidRPr="001D4535">
        <w:rPr>
          <w:rFonts w:ascii="Garamond" w:hAnsi="Garamond"/>
          <w:sz w:val="22"/>
          <w:szCs w:val="22"/>
        </w:rPr>
        <w:t xml:space="preserve"> growth rate </w:t>
      </w:r>
      <w:r w:rsidR="00873271">
        <w:rPr>
          <w:rFonts w:ascii="Garamond" w:hAnsi="Garamond"/>
          <w:sz w:val="22"/>
          <w:szCs w:val="22"/>
        </w:rPr>
        <w:t>will</w:t>
      </w:r>
      <w:r w:rsidR="00ED047F">
        <w:rPr>
          <w:rFonts w:ascii="Garamond" w:hAnsi="Garamond"/>
          <w:sz w:val="22"/>
          <w:szCs w:val="22"/>
        </w:rPr>
        <w:t xml:space="preserve"> </w:t>
      </w:r>
      <w:r w:rsidR="001D4535">
        <w:rPr>
          <w:rFonts w:ascii="Garamond" w:hAnsi="Garamond"/>
          <w:sz w:val="22"/>
          <w:szCs w:val="22"/>
        </w:rPr>
        <w:t xml:space="preserve">pace </w:t>
      </w:r>
      <w:r w:rsidR="00ED047F">
        <w:rPr>
          <w:rFonts w:ascii="Garamond" w:hAnsi="Garamond"/>
          <w:sz w:val="22"/>
          <w:szCs w:val="22"/>
        </w:rPr>
        <w:t xml:space="preserve">in line with its fundamentals, </w:t>
      </w:r>
      <w:proofErr w:type="gramStart"/>
      <w:r w:rsidR="00ED047F">
        <w:rPr>
          <w:rFonts w:ascii="Garamond" w:hAnsi="Garamond"/>
          <w:sz w:val="22"/>
          <w:szCs w:val="22"/>
        </w:rPr>
        <w:t>i.e.</w:t>
      </w:r>
      <w:proofErr w:type="gramEnd"/>
      <w:r w:rsidR="00ED047F">
        <w:rPr>
          <w:rFonts w:ascii="Garamond" w:hAnsi="Garamond"/>
          <w:sz w:val="22"/>
          <w:szCs w:val="22"/>
        </w:rPr>
        <w:t xml:space="preserve"> the </w:t>
      </w:r>
      <w:r w:rsidR="00ED047F" w:rsidRPr="00EE5F0F">
        <w:rPr>
          <w:rFonts w:ascii="Garamond" w:hAnsi="Garamond"/>
          <w:sz w:val="22"/>
          <w:szCs w:val="22"/>
        </w:rPr>
        <w:t>economic growth and inflation developments</w:t>
      </w:r>
      <w:r w:rsidR="001D4535" w:rsidRPr="001D4535">
        <w:rPr>
          <w:rFonts w:ascii="Garamond" w:hAnsi="Garamond"/>
          <w:sz w:val="22"/>
          <w:szCs w:val="22"/>
        </w:rPr>
        <w:t>.</w:t>
      </w:r>
      <w:r w:rsidR="00ED047F">
        <w:rPr>
          <w:rFonts w:ascii="Garamond" w:hAnsi="Garamond"/>
          <w:sz w:val="22"/>
          <w:szCs w:val="22"/>
        </w:rPr>
        <w:t xml:space="preserve"> </w:t>
      </w:r>
      <w:r w:rsidR="00873271" w:rsidRPr="00873271">
        <w:rPr>
          <w:rFonts w:ascii="Garamond" w:hAnsi="Garamond"/>
          <w:sz w:val="22"/>
          <w:szCs w:val="22"/>
        </w:rPr>
        <w:t xml:space="preserve">Thus, in 2021 the nominal </w:t>
      </w:r>
      <w:r w:rsidR="00E81C6A">
        <w:rPr>
          <w:rFonts w:ascii="Garamond" w:hAnsi="Garamond"/>
          <w:sz w:val="22"/>
          <w:szCs w:val="22"/>
        </w:rPr>
        <w:t xml:space="preserve">wage </w:t>
      </w:r>
      <w:r w:rsidR="00873271" w:rsidRPr="00873271">
        <w:rPr>
          <w:rFonts w:ascii="Garamond" w:hAnsi="Garamond"/>
          <w:sz w:val="22"/>
          <w:szCs w:val="22"/>
        </w:rPr>
        <w:t xml:space="preserve">growth </w:t>
      </w:r>
      <w:r w:rsidR="00E81C6A">
        <w:rPr>
          <w:rFonts w:ascii="Garamond" w:hAnsi="Garamond"/>
          <w:sz w:val="22"/>
          <w:szCs w:val="22"/>
        </w:rPr>
        <w:t>in</w:t>
      </w:r>
      <w:r w:rsidR="00873271" w:rsidRPr="00873271">
        <w:rPr>
          <w:rFonts w:ascii="Garamond" w:hAnsi="Garamond"/>
          <w:sz w:val="22"/>
          <w:szCs w:val="22"/>
        </w:rPr>
        <w:t xml:space="preserve"> private sector is </w:t>
      </w:r>
      <w:r w:rsidR="00E81C6A">
        <w:rPr>
          <w:rFonts w:ascii="Garamond" w:hAnsi="Garamond"/>
          <w:sz w:val="22"/>
          <w:szCs w:val="22"/>
        </w:rPr>
        <w:t xml:space="preserve">predicted to be at </w:t>
      </w:r>
      <w:r w:rsidR="00873271" w:rsidRPr="00873271">
        <w:rPr>
          <w:rFonts w:ascii="Garamond" w:hAnsi="Garamond"/>
          <w:sz w:val="22"/>
          <w:szCs w:val="22"/>
        </w:rPr>
        <w:t xml:space="preserve">7.3%, and at the end of the forecast horizon it will stabilize </w:t>
      </w:r>
      <w:r w:rsidR="00E81C6A">
        <w:rPr>
          <w:rFonts w:ascii="Garamond" w:hAnsi="Garamond"/>
          <w:sz w:val="22"/>
          <w:szCs w:val="22"/>
        </w:rPr>
        <w:t xml:space="preserve">around </w:t>
      </w:r>
      <w:r w:rsidR="00873271" w:rsidRPr="00873271">
        <w:rPr>
          <w:rFonts w:ascii="Garamond" w:hAnsi="Garamond"/>
          <w:sz w:val="22"/>
          <w:szCs w:val="22"/>
        </w:rPr>
        <w:t>8.2%.</w:t>
      </w:r>
    </w:p>
    <w:p w14:paraId="0A29F89D" w14:textId="6BC9FAB1" w:rsidR="00D25EB7" w:rsidRDefault="54AE272E" w:rsidP="791D351F">
      <w:pPr>
        <w:autoSpaceDE w:val="0"/>
        <w:autoSpaceDN w:val="0"/>
        <w:adjustRightInd w:val="0"/>
        <w:spacing w:after="120" w:line="360" w:lineRule="auto"/>
        <w:jc w:val="both"/>
        <w:rPr>
          <w:rFonts w:ascii="Garamond" w:hAnsi="Garamond"/>
          <w:sz w:val="22"/>
          <w:szCs w:val="22"/>
        </w:rPr>
      </w:pPr>
      <w:r w:rsidRPr="54AE272E">
        <w:rPr>
          <w:rFonts w:ascii="Garamond" w:eastAsia="Garamond" w:hAnsi="Garamond" w:cs="Garamond"/>
          <w:sz w:val="22"/>
          <w:szCs w:val="22"/>
        </w:rPr>
        <w:t xml:space="preserve"> As a result of anti-epidemic measures the </w:t>
      </w:r>
      <w:proofErr w:type="spellStart"/>
      <w:r w:rsidRPr="54AE272E">
        <w:rPr>
          <w:rFonts w:ascii="Garamond" w:eastAsia="Garamond" w:hAnsi="Garamond" w:cs="Garamond"/>
          <w:sz w:val="22"/>
          <w:szCs w:val="22"/>
        </w:rPr>
        <w:t>slow down</w:t>
      </w:r>
      <w:proofErr w:type="spellEnd"/>
      <w:r w:rsidRPr="54AE272E">
        <w:rPr>
          <w:rFonts w:ascii="Garamond" w:eastAsia="Garamond" w:hAnsi="Garamond" w:cs="Garamond"/>
          <w:sz w:val="22"/>
          <w:szCs w:val="22"/>
        </w:rPr>
        <w:t xml:space="preserve"> of economic growth will be followed by increase in natural rate of </w:t>
      </w:r>
      <w:proofErr w:type="gramStart"/>
      <w:r w:rsidRPr="54AE272E">
        <w:rPr>
          <w:rFonts w:ascii="Garamond" w:eastAsia="Garamond" w:hAnsi="Garamond" w:cs="Garamond"/>
          <w:sz w:val="22"/>
          <w:szCs w:val="22"/>
        </w:rPr>
        <w:t>unemployment ,</w:t>
      </w:r>
      <w:proofErr w:type="gramEnd"/>
      <w:r w:rsidRPr="54AE272E">
        <w:rPr>
          <w:rFonts w:ascii="Garamond" w:eastAsia="Garamond" w:hAnsi="Garamond" w:cs="Garamond"/>
          <w:sz w:val="22"/>
          <w:szCs w:val="22"/>
        </w:rPr>
        <w:t xml:space="preserve"> all else being equal.</w:t>
      </w:r>
      <w:r w:rsidRPr="54AE272E">
        <w:rPr>
          <w:rFonts w:ascii="Garamond" w:hAnsi="Garamond"/>
          <w:sz w:val="22"/>
          <w:szCs w:val="22"/>
        </w:rPr>
        <w:t xml:space="preserve"> Yet the overall impact will depend on the measures the Government takes. The unemployment rate will subdue by about 0.8-1.2 pp annually over medium run, approaching a 17.3% level at the end of the forecast horizon.</w:t>
      </w:r>
    </w:p>
    <w:p w14:paraId="7A3D6265" w14:textId="77777777" w:rsidR="00D25EB7" w:rsidRDefault="007D055F"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In 20</w:t>
      </w:r>
      <w:r w:rsidR="00E81C6A">
        <w:rPr>
          <w:rFonts w:ascii="Garamond" w:hAnsi="Garamond"/>
          <w:sz w:val="22"/>
          <w:szCs w:val="22"/>
        </w:rPr>
        <w:t>20</w:t>
      </w:r>
      <w:r w:rsidR="00FF5352">
        <w:rPr>
          <w:rFonts w:ascii="Garamond" w:hAnsi="Garamond"/>
          <w:sz w:val="22"/>
          <w:szCs w:val="22"/>
        </w:rPr>
        <w:t xml:space="preserve"> t</w:t>
      </w:r>
      <w:r w:rsidR="00383D4D" w:rsidRPr="00EE5F0F">
        <w:rPr>
          <w:rFonts w:ascii="Garamond" w:hAnsi="Garamond"/>
          <w:sz w:val="22"/>
          <w:szCs w:val="22"/>
        </w:rPr>
        <w:t xml:space="preserve">he </w:t>
      </w:r>
      <w:r w:rsidR="00153FFE">
        <w:rPr>
          <w:rFonts w:ascii="Garamond" w:hAnsi="Garamond"/>
          <w:sz w:val="22"/>
          <w:szCs w:val="22"/>
        </w:rPr>
        <w:t xml:space="preserve">growth of </w:t>
      </w:r>
      <w:r w:rsidRPr="00EE5F0F">
        <w:rPr>
          <w:rFonts w:ascii="Garamond" w:hAnsi="Garamond"/>
          <w:sz w:val="22"/>
          <w:szCs w:val="22"/>
        </w:rPr>
        <w:t xml:space="preserve">firms’ unit labor costs will </w:t>
      </w:r>
      <w:r w:rsidR="00E81C6A">
        <w:rPr>
          <w:rFonts w:ascii="Garamond" w:hAnsi="Garamond"/>
          <w:sz w:val="22"/>
          <w:szCs w:val="22"/>
        </w:rPr>
        <w:t>speed up</w:t>
      </w:r>
      <w:r w:rsidR="005D1BA6">
        <w:rPr>
          <w:rFonts w:ascii="Garamond" w:hAnsi="Garamond"/>
          <w:sz w:val="22"/>
          <w:szCs w:val="22"/>
        </w:rPr>
        <w:t>;</w:t>
      </w:r>
      <w:r w:rsidRPr="00EE5F0F">
        <w:rPr>
          <w:rFonts w:ascii="Garamond" w:hAnsi="Garamond"/>
          <w:sz w:val="22"/>
          <w:szCs w:val="22"/>
        </w:rPr>
        <w:t xml:space="preserve"> </w:t>
      </w:r>
      <w:r w:rsidR="00E81C6A" w:rsidRPr="00EE5F0F">
        <w:rPr>
          <w:rFonts w:ascii="Garamond" w:hAnsi="Garamond"/>
          <w:sz w:val="22"/>
          <w:szCs w:val="22"/>
        </w:rPr>
        <w:t xml:space="preserve">at the end of </w:t>
      </w:r>
      <w:r w:rsidR="00E81C6A">
        <w:rPr>
          <w:rFonts w:ascii="Garamond" w:hAnsi="Garamond"/>
          <w:sz w:val="22"/>
          <w:szCs w:val="22"/>
        </w:rPr>
        <w:t xml:space="preserve">the </w:t>
      </w:r>
      <w:r w:rsidR="00E81C6A" w:rsidRPr="00EE5F0F">
        <w:rPr>
          <w:rFonts w:ascii="Garamond" w:hAnsi="Garamond"/>
          <w:sz w:val="22"/>
          <w:szCs w:val="22"/>
        </w:rPr>
        <w:t xml:space="preserve">forecast </w:t>
      </w:r>
      <w:proofErr w:type="gramStart"/>
      <w:r w:rsidR="00E81C6A" w:rsidRPr="00EE5F0F">
        <w:rPr>
          <w:rFonts w:ascii="Garamond" w:hAnsi="Garamond"/>
          <w:sz w:val="22"/>
          <w:szCs w:val="22"/>
        </w:rPr>
        <w:t>horizon</w:t>
      </w:r>
      <w:proofErr w:type="gramEnd"/>
      <w:r w:rsidR="00E81C6A" w:rsidRPr="00EE5F0F">
        <w:rPr>
          <w:rFonts w:ascii="Garamond" w:hAnsi="Garamond"/>
          <w:sz w:val="22"/>
          <w:szCs w:val="22"/>
        </w:rPr>
        <w:t xml:space="preserve"> </w:t>
      </w:r>
      <w:r w:rsidR="005D1BA6">
        <w:rPr>
          <w:rFonts w:ascii="Garamond" w:hAnsi="Garamond"/>
          <w:sz w:val="22"/>
          <w:szCs w:val="22"/>
        </w:rPr>
        <w:t xml:space="preserve">it </w:t>
      </w:r>
      <w:r w:rsidR="00E81C6A" w:rsidRPr="00EE5F0F">
        <w:rPr>
          <w:rFonts w:ascii="Garamond" w:hAnsi="Garamond"/>
          <w:sz w:val="22"/>
          <w:szCs w:val="22"/>
        </w:rPr>
        <w:t xml:space="preserve">will stabilize around </w:t>
      </w:r>
      <w:r w:rsidR="005D1BA6">
        <w:rPr>
          <w:rFonts w:ascii="Garamond" w:hAnsi="Garamond"/>
          <w:sz w:val="22"/>
          <w:szCs w:val="22"/>
        </w:rPr>
        <w:t xml:space="preserve">its fundamental value, </w:t>
      </w:r>
      <w:r w:rsidR="00E81C6A" w:rsidRPr="00EE5F0F">
        <w:rPr>
          <w:rFonts w:ascii="Garamond" w:hAnsi="Garamond"/>
          <w:sz w:val="22"/>
          <w:szCs w:val="22"/>
        </w:rPr>
        <w:t>the 4% inflation target</w:t>
      </w:r>
      <w:r w:rsidR="00E81C6A">
        <w:rPr>
          <w:rFonts w:ascii="Garamond" w:hAnsi="Garamond"/>
          <w:sz w:val="22"/>
          <w:szCs w:val="22"/>
        </w:rPr>
        <w:t>.</w:t>
      </w:r>
    </w:p>
    <w:p w14:paraId="2BA226A1" w14:textId="77777777" w:rsidR="00D25EB7" w:rsidRDefault="00D25EB7" w:rsidP="00EE619D">
      <w:pPr>
        <w:autoSpaceDE w:val="0"/>
        <w:autoSpaceDN w:val="0"/>
        <w:adjustRightInd w:val="0"/>
        <w:spacing w:after="120" w:line="360" w:lineRule="auto"/>
        <w:jc w:val="both"/>
        <w:rPr>
          <w:rFonts w:ascii="Garamond" w:hAnsi="Garamond"/>
          <w:sz w:val="22"/>
          <w:szCs w:val="22"/>
        </w:rPr>
      </w:pPr>
    </w:p>
    <w:p w14:paraId="7DE9FAB1" w14:textId="77777777" w:rsidR="00EE619D" w:rsidRPr="00D25EB7"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bCs/>
          <w:iCs/>
          <w:color w:val="0070C0"/>
          <w:sz w:val="22"/>
          <w:szCs w:val="22"/>
        </w:rPr>
        <w:lastRenderedPageBreak/>
        <w:t>2.2.3. Comparison with the previous forecast</w:t>
      </w:r>
    </w:p>
    <w:p w14:paraId="2D099C17" w14:textId="77777777" w:rsidR="00EE619D" w:rsidRPr="00EE5F0F" w:rsidRDefault="00107E07" w:rsidP="00EE619D">
      <w:pPr>
        <w:autoSpaceDE w:val="0"/>
        <w:autoSpaceDN w:val="0"/>
        <w:adjustRightInd w:val="0"/>
        <w:spacing w:after="120" w:line="360" w:lineRule="auto"/>
        <w:jc w:val="both"/>
        <w:rPr>
          <w:rFonts w:ascii="Garamond" w:hAnsi="Garamond"/>
          <w:b/>
          <w:sz w:val="22"/>
          <w:szCs w:val="22"/>
        </w:rPr>
      </w:pPr>
      <w:r>
        <w:rPr>
          <w:rFonts w:ascii="Garamond" w:hAnsi="Garamond"/>
          <w:b/>
          <w:sz w:val="22"/>
          <w:szCs w:val="22"/>
        </w:rPr>
        <w:t xml:space="preserve">As </w:t>
      </w:r>
      <w:r w:rsidR="005D1BA6">
        <w:rPr>
          <w:rFonts w:ascii="Garamond" w:hAnsi="Garamond"/>
          <w:b/>
          <w:sz w:val="22"/>
          <w:szCs w:val="22"/>
        </w:rPr>
        <w:t xml:space="preserve">global economic downturn is inevitable and the world lives </w:t>
      </w:r>
      <w:r w:rsidR="00A42563">
        <w:rPr>
          <w:rFonts w:ascii="Garamond" w:hAnsi="Garamond"/>
          <w:b/>
          <w:sz w:val="22"/>
          <w:szCs w:val="22"/>
        </w:rPr>
        <w:t xml:space="preserve">in </w:t>
      </w:r>
      <w:r w:rsidR="005D1BA6">
        <w:rPr>
          <w:rFonts w:ascii="Garamond" w:hAnsi="Garamond"/>
          <w:b/>
          <w:sz w:val="22"/>
          <w:szCs w:val="22"/>
        </w:rPr>
        <w:t xml:space="preserve">increasingly uncertain times, the </w:t>
      </w:r>
      <w:r w:rsidR="00A441D7" w:rsidRPr="00FE4FEA">
        <w:rPr>
          <w:rFonts w:ascii="Garamond" w:hAnsi="Garamond"/>
          <w:b/>
          <w:sz w:val="22"/>
          <w:szCs w:val="22"/>
        </w:rPr>
        <w:t>economi</w:t>
      </w:r>
      <w:r w:rsidR="005D1BA6">
        <w:rPr>
          <w:rFonts w:ascii="Garamond" w:hAnsi="Garamond"/>
          <w:b/>
          <w:sz w:val="22"/>
          <w:szCs w:val="22"/>
        </w:rPr>
        <w:t xml:space="preserve">es of partner countries to Armenia will grow at slower pace in </w:t>
      </w:r>
      <w:r w:rsidR="003811D0">
        <w:rPr>
          <w:rFonts w:ascii="Garamond" w:hAnsi="Garamond"/>
          <w:b/>
          <w:sz w:val="22"/>
          <w:szCs w:val="22"/>
        </w:rPr>
        <w:t xml:space="preserve">a </w:t>
      </w:r>
      <w:r w:rsidR="005D1BA6">
        <w:rPr>
          <w:rFonts w:ascii="Garamond" w:hAnsi="Garamond"/>
          <w:b/>
          <w:sz w:val="22"/>
          <w:szCs w:val="22"/>
        </w:rPr>
        <w:t>short and m</w:t>
      </w:r>
      <w:r w:rsidR="003811D0">
        <w:rPr>
          <w:rFonts w:ascii="Garamond" w:hAnsi="Garamond"/>
          <w:b/>
          <w:sz w:val="22"/>
          <w:szCs w:val="22"/>
        </w:rPr>
        <w:t>id-</w:t>
      </w:r>
      <w:r w:rsidR="005D1BA6">
        <w:rPr>
          <w:rFonts w:ascii="Garamond" w:hAnsi="Garamond"/>
          <w:b/>
          <w:sz w:val="22"/>
          <w:szCs w:val="22"/>
        </w:rPr>
        <w:t>term</w:t>
      </w:r>
      <w:r w:rsidR="003811D0">
        <w:rPr>
          <w:rFonts w:ascii="Garamond" w:hAnsi="Garamond"/>
          <w:b/>
          <w:sz w:val="22"/>
          <w:szCs w:val="22"/>
        </w:rPr>
        <w:t xml:space="preserve"> perspective</w:t>
      </w:r>
      <w:r w:rsidRPr="00107E07">
        <w:rPr>
          <w:rFonts w:ascii="Garamond" w:hAnsi="Garamond"/>
          <w:b/>
          <w:sz w:val="22"/>
          <w:szCs w:val="22"/>
        </w:rPr>
        <w:t>.</w:t>
      </w:r>
      <w:r w:rsidR="00B81985">
        <w:rPr>
          <w:rFonts w:ascii="Garamond" w:hAnsi="Garamond"/>
          <w:b/>
          <w:sz w:val="22"/>
          <w:szCs w:val="22"/>
        </w:rPr>
        <w:t xml:space="preserve"> </w:t>
      </w:r>
    </w:p>
    <w:p w14:paraId="4A679C36" w14:textId="77777777" w:rsidR="001454E4" w:rsidRDefault="00107E07"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The </w:t>
      </w:r>
      <w:r w:rsidRPr="00107E07">
        <w:rPr>
          <w:rFonts w:ascii="Garamond" w:hAnsi="Garamond"/>
          <w:sz w:val="22"/>
          <w:szCs w:val="22"/>
        </w:rPr>
        <w:t xml:space="preserve">US </w:t>
      </w:r>
      <w:r w:rsidR="00A42563">
        <w:rPr>
          <w:rFonts w:ascii="Garamond" w:hAnsi="Garamond"/>
          <w:sz w:val="22"/>
          <w:szCs w:val="22"/>
        </w:rPr>
        <w:t>and Eurozone</w:t>
      </w:r>
      <w:r w:rsidR="00A42563" w:rsidRPr="00107E07">
        <w:rPr>
          <w:rFonts w:ascii="Garamond" w:hAnsi="Garamond"/>
          <w:sz w:val="22"/>
          <w:szCs w:val="22"/>
        </w:rPr>
        <w:t xml:space="preserve"> </w:t>
      </w:r>
      <w:r w:rsidRPr="00107E07">
        <w:rPr>
          <w:rFonts w:ascii="Garamond" w:hAnsi="Garamond"/>
          <w:sz w:val="22"/>
          <w:szCs w:val="22"/>
        </w:rPr>
        <w:t xml:space="preserve">economic growth </w:t>
      </w:r>
      <w:r>
        <w:rPr>
          <w:rFonts w:ascii="Garamond" w:hAnsi="Garamond"/>
          <w:sz w:val="22"/>
          <w:szCs w:val="22"/>
        </w:rPr>
        <w:t xml:space="preserve">forecasts </w:t>
      </w:r>
      <w:r w:rsidR="00A42563">
        <w:rPr>
          <w:rFonts w:ascii="Garamond" w:hAnsi="Garamond"/>
          <w:sz w:val="22"/>
          <w:szCs w:val="22"/>
        </w:rPr>
        <w:t xml:space="preserve">for 2020 </w:t>
      </w:r>
      <w:r>
        <w:rPr>
          <w:rFonts w:ascii="Garamond" w:hAnsi="Garamond"/>
          <w:sz w:val="22"/>
          <w:szCs w:val="22"/>
        </w:rPr>
        <w:t xml:space="preserve">were revised </w:t>
      </w:r>
      <w:r w:rsidRPr="00107E07">
        <w:rPr>
          <w:rFonts w:ascii="Garamond" w:hAnsi="Garamond"/>
          <w:sz w:val="22"/>
          <w:szCs w:val="22"/>
        </w:rPr>
        <w:t xml:space="preserve">downward </w:t>
      </w:r>
      <w:r w:rsidR="001F118E">
        <w:rPr>
          <w:rFonts w:ascii="Garamond" w:hAnsi="Garamond"/>
          <w:sz w:val="22"/>
          <w:szCs w:val="22"/>
        </w:rPr>
        <w:t xml:space="preserve">as the </w:t>
      </w:r>
      <w:r w:rsidR="001F118E" w:rsidRPr="00A42563">
        <w:rPr>
          <w:rFonts w:ascii="Garamond" w:hAnsi="Garamond"/>
          <w:sz w:val="22"/>
          <w:szCs w:val="22"/>
        </w:rPr>
        <w:t xml:space="preserve">world </w:t>
      </w:r>
      <w:r w:rsidR="001F118E">
        <w:rPr>
          <w:rFonts w:ascii="Garamond" w:hAnsi="Garamond"/>
          <w:sz w:val="22"/>
          <w:szCs w:val="22"/>
        </w:rPr>
        <w:t xml:space="preserve">economy is experiencing </w:t>
      </w:r>
      <w:r w:rsidR="00A42563" w:rsidRPr="00A42563">
        <w:rPr>
          <w:rFonts w:ascii="Garamond" w:hAnsi="Garamond"/>
          <w:sz w:val="22"/>
          <w:szCs w:val="22"/>
        </w:rPr>
        <w:t xml:space="preserve">negative consequences </w:t>
      </w:r>
      <w:r w:rsidR="001F118E">
        <w:rPr>
          <w:rFonts w:ascii="Garamond" w:hAnsi="Garamond"/>
          <w:sz w:val="22"/>
          <w:szCs w:val="22"/>
        </w:rPr>
        <w:t xml:space="preserve">of the spread of </w:t>
      </w:r>
      <w:r w:rsidR="001F118E" w:rsidRPr="00A42563">
        <w:rPr>
          <w:rFonts w:ascii="Garamond" w:hAnsi="Garamond"/>
          <w:sz w:val="22"/>
          <w:szCs w:val="22"/>
        </w:rPr>
        <w:t xml:space="preserve">the new coronavirus </w:t>
      </w:r>
      <w:r w:rsidR="001F118E">
        <w:rPr>
          <w:rFonts w:ascii="Garamond" w:hAnsi="Garamond"/>
          <w:sz w:val="22"/>
          <w:szCs w:val="22"/>
        </w:rPr>
        <w:t xml:space="preserve">disease, which will yet to be incurred </w:t>
      </w:r>
      <w:r w:rsidR="00A42563" w:rsidRPr="00A42563">
        <w:rPr>
          <w:rFonts w:ascii="Garamond" w:hAnsi="Garamond"/>
          <w:sz w:val="22"/>
          <w:szCs w:val="22"/>
        </w:rPr>
        <w:t>in the future</w:t>
      </w:r>
      <w:r w:rsidR="001F118E">
        <w:rPr>
          <w:rFonts w:ascii="Garamond" w:hAnsi="Garamond"/>
          <w:sz w:val="22"/>
          <w:szCs w:val="22"/>
        </w:rPr>
        <w:t xml:space="preserve">. </w:t>
      </w:r>
    </w:p>
    <w:p w14:paraId="4CFFD3D8" w14:textId="77777777" w:rsidR="00500167" w:rsidRPr="00EE5F0F" w:rsidRDefault="009F1738"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C</w:t>
      </w:r>
      <w:r w:rsidR="00B17F7D">
        <w:rPr>
          <w:rFonts w:ascii="Garamond" w:hAnsi="Garamond"/>
          <w:sz w:val="22"/>
          <w:szCs w:val="22"/>
        </w:rPr>
        <w:t xml:space="preserve">urrent </w:t>
      </w:r>
      <w:r w:rsidR="0097298A">
        <w:rPr>
          <w:rFonts w:ascii="Garamond" w:hAnsi="Garamond"/>
          <w:sz w:val="22"/>
          <w:szCs w:val="22"/>
        </w:rPr>
        <w:t>e</w:t>
      </w:r>
      <w:r w:rsidR="001454E4">
        <w:rPr>
          <w:rFonts w:ascii="Garamond" w:hAnsi="Garamond"/>
          <w:sz w:val="22"/>
          <w:szCs w:val="22"/>
        </w:rPr>
        <w:t xml:space="preserve">conomic growth </w:t>
      </w:r>
      <w:r w:rsidR="001F118E">
        <w:rPr>
          <w:rFonts w:ascii="Garamond" w:hAnsi="Garamond"/>
          <w:sz w:val="22"/>
          <w:szCs w:val="22"/>
        </w:rPr>
        <w:t xml:space="preserve">for </w:t>
      </w:r>
      <w:r w:rsidR="001454E4" w:rsidRPr="001454E4">
        <w:rPr>
          <w:rFonts w:ascii="Garamond" w:hAnsi="Garamond"/>
          <w:sz w:val="22"/>
          <w:szCs w:val="22"/>
        </w:rPr>
        <w:t xml:space="preserve">Russia </w:t>
      </w:r>
      <w:r w:rsidR="001F118E">
        <w:rPr>
          <w:rFonts w:ascii="Garamond" w:hAnsi="Garamond"/>
          <w:sz w:val="22"/>
          <w:szCs w:val="22"/>
        </w:rPr>
        <w:t xml:space="preserve">in the forecast horizon is predicted to run below the </w:t>
      </w:r>
      <w:r w:rsidR="00F30010">
        <w:rPr>
          <w:rFonts w:ascii="Garamond" w:hAnsi="Garamond"/>
          <w:sz w:val="22"/>
          <w:szCs w:val="22"/>
        </w:rPr>
        <w:t xml:space="preserve">previous quarter’s </w:t>
      </w:r>
      <w:r w:rsidR="00B17F7D">
        <w:rPr>
          <w:rFonts w:ascii="Garamond" w:hAnsi="Garamond"/>
          <w:sz w:val="22"/>
          <w:szCs w:val="22"/>
        </w:rPr>
        <w:t>forecasts</w:t>
      </w:r>
      <w:r>
        <w:rPr>
          <w:rFonts w:ascii="Garamond" w:hAnsi="Garamond"/>
          <w:sz w:val="22"/>
          <w:szCs w:val="22"/>
        </w:rPr>
        <w:t xml:space="preserve"> </w:t>
      </w:r>
      <w:r w:rsidR="00BE5BB6">
        <w:rPr>
          <w:rFonts w:ascii="Garamond" w:hAnsi="Garamond"/>
          <w:sz w:val="22"/>
          <w:szCs w:val="22"/>
        </w:rPr>
        <w:t xml:space="preserve">due to adversities triggered by </w:t>
      </w:r>
      <w:r w:rsidR="00BE5BB6" w:rsidRPr="00A42563">
        <w:rPr>
          <w:rFonts w:ascii="Garamond" w:hAnsi="Garamond"/>
          <w:sz w:val="22"/>
          <w:szCs w:val="22"/>
        </w:rPr>
        <w:t>coronavirus</w:t>
      </w:r>
      <w:r w:rsidR="00BE5BB6">
        <w:rPr>
          <w:rFonts w:ascii="Garamond" w:hAnsi="Garamond"/>
          <w:sz w:val="22"/>
          <w:szCs w:val="22"/>
        </w:rPr>
        <w:t xml:space="preserve"> and, as an oil exporter, a slump in oil prices internationally</w:t>
      </w:r>
      <w:r w:rsidR="00B8615B" w:rsidRPr="00B8615B">
        <w:rPr>
          <w:rFonts w:ascii="Garamond" w:hAnsi="Garamond"/>
          <w:sz w:val="22"/>
          <w:szCs w:val="22"/>
        </w:rPr>
        <w:t>.</w:t>
      </w:r>
      <w:r w:rsidR="00B27B14">
        <w:rPr>
          <w:rFonts w:ascii="Garamond" w:hAnsi="Garamond"/>
          <w:sz w:val="22"/>
          <w:szCs w:val="22"/>
        </w:rPr>
        <w:t xml:space="preserve"> </w:t>
      </w:r>
    </w:p>
    <w:p w14:paraId="5E08AF9C" w14:textId="77777777" w:rsidR="003B6FDA" w:rsidRPr="00EE5F0F" w:rsidRDefault="00BE5BB6" w:rsidP="00EE619D">
      <w:pPr>
        <w:autoSpaceDE w:val="0"/>
        <w:autoSpaceDN w:val="0"/>
        <w:adjustRightInd w:val="0"/>
        <w:spacing w:after="120" w:line="360" w:lineRule="auto"/>
        <w:jc w:val="both"/>
        <w:rPr>
          <w:rFonts w:ascii="Garamond" w:hAnsi="Garamond"/>
          <w:b/>
          <w:sz w:val="22"/>
          <w:szCs w:val="22"/>
        </w:rPr>
      </w:pPr>
      <w:r>
        <w:rPr>
          <w:rFonts w:ascii="Garamond" w:hAnsi="Garamond"/>
          <w:b/>
          <w:sz w:val="22"/>
          <w:szCs w:val="22"/>
        </w:rPr>
        <w:t>The world’s c</w:t>
      </w:r>
      <w:r w:rsidR="00520816" w:rsidRPr="00EE5F0F">
        <w:rPr>
          <w:rFonts w:ascii="Garamond" w:hAnsi="Garamond"/>
          <w:b/>
          <w:sz w:val="22"/>
          <w:szCs w:val="22"/>
        </w:rPr>
        <w:t>ommodity markets</w:t>
      </w:r>
      <w:r w:rsidR="000A6AF2">
        <w:rPr>
          <w:rFonts w:ascii="Garamond" w:hAnsi="Garamond"/>
          <w:b/>
          <w:sz w:val="22"/>
          <w:szCs w:val="22"/>
        </w:rPr>
        <w:t xml:space="preserve"> anticipate an </w:t>
      </w:r>
      <w:r w:rsidR="00B8615B">
        <w:rPr>
          <w:rFonts w:ascii="Garamond" w:hAnsi="Garamond"/>
          <w:b/>
          <w:sz w:val="22"/>
          <w:szCs w:val="22"/>
        </w:rPr>
        <w:t xml:space="preserve">even </w:t>
      </w:r>
      <w:r w:rsidR="00562C44">
        <w:rPr>
          <w:rFonts w:ascii="Garamond" w:hAnsi="Garamond"/>
          <w:b/>
          <w:sz w:val="22"/>
          <w:szCs w:val="22"/>
        </w:rPr>
        <w:t xml:space="preserve">weaker </w:t>
      </w:r>
      <w:r w:rsidR="00520816" w:rsidRPr="00EE5F0F">
        <w:rPr>
          <w:rFonts w:ascii="Garamond" w:hAnsi="Garamond"/>
          <w:b/>
          <w:sz w:val="22"/>
          <w:szCs w:val="22"/>
        </w:rPr>
        <w:t>i</w:t>
      </w:r>
      <w:r w:rsidR="003B6FDA" w:rsidRPr="00EE5F0F">
        <w:rPr>
          <w:rFonts w:ascii="Garamond" w:hAnsi="Garamond"/>
          <w:b/>
          <w:sz w:val="22"/>
          <w:szCs w:val="22"/>
        </w:rPr>
        <w:t xml:space="preserve">nflationary </w:t>
      </w:r>
      <w:r w:rsidR="00562C44">
        <w:rPr>
          <w:rFonts w:ascii="Garamond" w:hAnsi="Garamond"/>
          <w:b/>
          <w:sz w:val="22"/>
          <w:szCs w:val="22"/>
        </w:rPr>
        <w:t xml:space="preserve">environment </w:t>
      </w:r>
      <w:r w:rsidR="000A6AF2">
        <w:rPr>
          <w:rFonts w:ascii="Garamond" w:hAnsi="Garamond"/>
          <w:b/>
          <w:sz w:val="22"/>
          <w:szCs w:val="22"/>
        </w:rPr>
        <w:t>relative to t</w:t>
      </w:r>
      <w:r w:rsidR="00562C44">
        <w:rPr>
          <w:rFonts w:ascii="Garamond" w:hAnsi="Garamond"/>
          <w:b/>
          <w:sz w:val="22"/>
          <w:szCs w:val="22"/>
        </w:rPr>
        <w:t xml:space="preserve">he </w:t>
      </w:r>
      <w:r w:rsidR="00520816" w:rsidRPr="00EE5F0F">
        <w:rPr>
          <w:rFonts w:ascii="Garamond" w:hAnsi="Garamond"/>
          <w:b/>
          <w:sz w:val="22"/>
          <w:szCs w:val="22"/>
        </w:rPr>
        <w:t>previous</w:t>
      </w:r>
      <w:r w:rsidR="00562C44">
        <w:rPr>
          <w:rFonts w:ascii="Garamond" w:hAnsi="Garamond"/>
          <w:b/>
          <w:sz w:val="22"/>
          <w:szCs w:val="22"/>
        </w:rPr>
        <w:t xml:space="preserve"> forecast</w:t>
      </w:r>
      <w:r w:rsidR="007F3C29">
        <w:rPr>
          <w:rFonts w:ascii="Garamond" w:hAnsi="Garamond"/>
          <w:b/>
          <w:sz w:val="22"/>
          <w:szCs w:val="22"/>
        </w:rPr>
        <w:t xml:space="preserve">, amid </w:t>
      </w:r>
      <w:r>
        <w:rPr>
          <w:rFonts w:ascii="Garamond" w:hAnsi="Garamond"/>
          <w:b/>
          <w:sz w:val="22"/>
          <w:szCs w:val="22"/>
        </w:rPr>
        <w:t xml:space="preserve">slackening </w:t>
      </w:r>
      <w:r w:rsidR="007F3C29">
        <w:rPr>
          <w:rFonts w:ascii="Garamond" w:hAnsi="Garamond"/>
          <w:b/>
          <w:sz w:val="22"/>
          <w:szCs w:val="22"/>
        </w:rPr>
        <w:t>global demand</w:t>
      </w:r>
      <w:r w:rsidR="000A6AF2">
        <w:rPr>
          <w:rFonts w:ascii="Garamond" w:hAnsi="Garamond"/>
          <w:b/>
          <w:sz w:val="22"/>
          <w:szCs w:val="22"/>
        </w:rPr>
        <w:t xml:space="preserve"> and </w:t>
      </w:r>
      <w:r>
        <w:rPr>
          <w:rFonts w:ascii="Garamond" w:hAnsi="Garamond"/>
          <w:b/>
          <w:sz w:val="22"/>
          <w:szCs w:val="22"/>
        </w:rPr>
        <w:t>growing pessimism over future developments</w:t>
      </w:r>
      <w:r w:rsidR="000A6AF2">
        <w:rPr>
          <w:rFonts w:ascii="Garamond" w:hAnsi="Garamond"/>
          <w:b/>
          <w:sz w:val="22"/>
          <w:szCs w:val="22"/>
        </w:rPr>
        <w:t>.</w:t>
      </w:r>
      <w:r>
        <w:rPr>
          <w:rFonts w:ascii="Garamond" w:hAnsi="Garamond"/>
          <w:b/>
          <w:sz w:val="22"/>
          <w:szCs w:val="22"/>
        </w:rPr>
        <w:t xml:space="preserve"> Whereas i</w:t>
      </w:r>
      <w:r w:rsidRPr="00BE5BB6">
        <w:rPr>
          <w:rFonts w:ascii="Garamond" w:hAnsi="Garamond"/>
          <w:b/>
          <w:sz w:val="22"/>
          <w:szCs w:val="22"/>
        </w:rPr>
        <w:t>n food markets, depending on current price developments</w:t>
      </w:r>
      <w:r>
        <w:rPr>
          <w:rFonts w:ascii="Garamond" w:hAnsi="Garamond"/>
          <w:b/>
          <w:sz w:val="22"/>
          <w:szCs w:val="22"/>
        </w:rPr>
        <w:t xml:space="preserve"> and </w:t>
      </w:r>
      <w:r w:rsidR="00900213">
        <w:rPr>
          <w:rFonts w:ascii="Garamond" w:hAnsi="Garamond"/>
          <w:b/>
          <w:sz w:val="22"/>
          <w:szCs w:val="22"/>
        </w:rPr>
        <w:t xml:space="preserve">certain expectations for supply volumes in individual </w:t>
      </w:r>
      <w:r w:rsidRPr="00BE5BB6">
        <w:rPr>
          <w:rFonts w:ascii="Garamond" w:hAnsi="Garamond"/>
          <w:b/>
          <w:sz w:val="22"/>
          <w:szCs w:val="22"/>
        </w:rPr>
        <w:t xml:space="preserve">commodity groups, prices will </w:t>
      </w:r>
      <w:r w:rsidR="00900213">
        <w:rPr>
          <w:rFonts w:ascii="Garamond" w:hAnsi="Garamond"/>
          <w:b/>
          <w:sz w:val="22"/>
          <w:szCs w:val="22"/>
        </w:rPr>
        <w:t xml:space="preserve">rest on the </w:t>
      </w:r>
      <w:r w:rsidRPr="00BE5BB6">
        <w:rPr>
          <w:rFonts w:ascii="Garamond" w:hAnsi="Garamond"/>
          <w:b/>
          <w:sz w:val="22"/>
          <w:szCs w:val="22"/>
        </w:rPr>
        <w:t xml:space="preserve">levels </w:t>
      </w:r>
      <w:r w:rsidR="00900213" w:rsidRPr="00BE5BB6">
        <w:rPr>
          <w:rFonts w:ascii="Garamond" w:hAnsi="Garamond"/>
          <w:b/>
          <w:sz w:val="22"/>
          <w:szCs w:val="22"/>
        </w:rPr>
        <w:t>higher</w:t>
      </w:r>
      <w:r w:rsidR="00900213">
        <w:rPr>
          <w:rFonts w:ascii="Garamond" w:hAnsi="Garamond"/>
          <w:b/>
          <w:sz w:val="22"/>
          <w:szCs w:val="22"/>
        </w:rPr>
        <w:t xml:space="preserve"> </w:t>
      </w:r>
      <w:r w:rsidRPr="00BE5BB6">
        <w:rPr>
          <w:rFonts w:ascii="Garamond" w:hAnsi="Garamond"/>
          <w:b/>
          <w:sz w:val="22"/>
          <w:szCs w:val="22"/>
        </w:rPr>
        <w:t>than previously predicted.</w:t>
      </w:r>
    </w:p>
    <w:p w14:paraId="5AE0B1C5" w14:textId="77777777" w:rsidR="00500167" w:rsidRPr="00EE5F0F" w:rsidRDefault="003C1254"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I</w:t>
      </w:r>
      <w:r w:rsidR="005A3523" w:rsidRPr="00EE5F0F">
        <w:rPr>
          <w:rFonts w:ascii="Garamond" w:hAnsi="Garamond"/>
          <w:sz w:val="22"/>
          <w:szCs w:val="22"/>
        </w:rPr>
        <w:t xml:space="preserve">n the </w:t>
      </w:r>
      <w:r w:rsidR="000B2CE6" w:rsidRPr="00EE5F0F">
        <w:rPr>
          <w:rFonts w:ascii="Garamond" w:hAnsi="Garamond"/>
          <w:sz w:val="22"/>
          <w:szCs w:val="22"/>
        </w:rPr>
        <w:t xml:space="preserve">world’s </w:t>
      </w:r>
      <w:r w:rsidR="005A3523" w:rsidRPr="00EE5F0F">
        <w:rPr>
          <w:rFonts w:ascii="Garamond" w:hAnsi="Garamond"/>
          <w:sz w:val="22"/>
          <w:szCs w:val="22"/>
        </w:rPr>
        <w:t xml:space="preserve">food </w:t>
      </w:r>
      <w:r w:rsidR="000B2CE6" w:rsidRPr="00EE5F0F">
        <w:rPr>
          <w:rFonts w:ascii="Garamond" w:hAnsi="Garamond"/>
          <w:sz w:val="22"/>
          <w:szCs w:val="22"/>
        </w:rPr>
        <w:t xml:space="preserve">product </w:t>
      </w:r>
      <w:r w:rsidR="005A3523" w:rsidRPr="00EE5F0F">
        <w:rPr>
          <w:rFonts w:ascii="Garamond" w:hAnsi="Garamond"/>
          <w:sz w:val="22"/>
          <w:szCs w:val="22"/>
        </w:rPr>
        <w:t>market</w:t>
      </w:r>
      <w:r w:rsidR="005E7FE5">
        <w:rPr>
          <w:rFonts w:ascii="Garamond" w:hAnsi="Garamond"/>
          <w:sz w:val="22"/>
          <w:szCs w:val="22"/>
        </w:rPr>
        <w:t xml:space="preserve"> </w:t>
      </w:r>
      <w:r w:rsidR="00D94C02">
        <w:rPr>
          <w:rFonts w:ascii="Garamond" w:hAnsi="Garamond"/>
          <w:sz w:val="22"/>
          <w:szCs w:val="22"/>
        </w:rPr>
        <w:t>over a medium run</w:t>
      </w:r>
      <w:r w:rsidR="00B80F86">
        <w:rPr>
          <w:rFonts w:ascii="Garamond" w:hAnsi="Garamond"/>
          <w:sz w:val="22"/>
          <w:szCs w:val="22"/>
        </w:rPr>
        <w:t>,</w:t>
      </w:r>
      <w:r w:rsidR="003E01F9" w:rsidRPr="00EE5F0F">
        <w:rPr>
          <w:rFonts w:ascii="Garamond" w:hAnsi="Garamond"/>
          <w:sz w:val="22"/>
          <w:szCs w:val="22"/>
        </w:rPr>
        <w:t xml:space="preserve"> </w:t>
      </w:r>
      <w:r w:rsidR="005F5D70">
        <w:rPr>
          <w:rFonts w:ascii="Garamond" w:hAnsi="Garamond"/>
          <w:sz w:val="22"/>
          <w:szCs w:val="22"/>
        </w:rPr>
        <w:t xml:space="preserve">inflation is predicted to </w:t>
      </w:r>
      <w:r w:rsidR="000A6AF2">
        <w:rPr>
          <w:rFonts w:ascii="Garamond" w:hAnsi="Garamond"/>
          <w:sz w:val="22"/>
          <w:szCs w:val="22"/>
        </w:rPr>
        <w:t>run</w:t>
      </w:r>
      <w:r w:rsidR="005F5D70">
        <w:rPr>
          <w:rFonts w:ascii="Garamond" w:hAnsi="Garamond"/>
          <w:sz w:val="22"/>
          <w:szCs w:val="22"/>
        </w:rPr>
        <w:t xml:space="preserve"> </w:t>
      </w:r>
      <w:r w:rsidR="000A6AF2">
        <w:rPr>
          <w:rFonts w:ascii="Garamond" w:hAnsi="Garamond"/>
          <w:sz w:val="22"/>
          <w:szCs w:val="22"/>
        </w:rPr>
        <w:t xml:space="preserve">slightly above </w:t>
      </w:r>
      <w:r w:rsidR="00D94C02">
        <w:rPr>
          <w:rFonts w:ascii="Garamond" w:hAnsi="Garamond"/>
          <w:sz w:val="22"/>
          <w:szCs w:val="22"/>
        </w:rPr>
        <w:t xml:space="preserve">the </w:t>
      </w:r>
      <w:r w:rsidR="00735F66">
        <w:rPr>
          <w:rFonts w:ascii="Garamond" w:hAnsi="Garamond"/>
          <w:sz w:val="22"/>
          <w:szCs w:val="22"/>
        </w:rPr>
        <w:t>previous</w:t>
      </w:r>
      <w:r w:rsidR="000A6AF2">
        <w:rPr>
          <w:rFonts w:ascii="Garamond" w:hAnsi="Garamond"/>
          <w:sz w:val="22"/>
          <w:szCs w:val="22"/>
        </w:rPr>
        <w:t xml:space="preserve"> forecast</w:t>
      </w:r>
      <w:r w:rsidR="00900213">
        <w:rPr>
          <w:rFonts w:ascii="Garamond" w:hAnsi="Garamond"/>
          <w:sz w:val="22"/>
          <w:szCs w:val="22"/>
        </w:rPr>
        <w:t xml:space="preserve"> because of e</w:t>
      </w:r>
      <w:r w:rsidR="000A6AF2">
        <w:rPr>
          <w:rFonts w:ascii="Garamond" w:hAnsi="Garamond"/>
          <w:sz w:val="22"/>
          <w:szCs w:val="22"/>
        </w:rPr>
        <w:t xml:space="preserve">xpectation of </w:t>
      </w:r>
      <w:r w:rsidR="00900213">
        <w:rPr>
          <w:rFonts w:ascii="Garamond" w:hAnsi="Garamond"/>
          <w:sz w:val="22"/>
          <w:szCs w:val="22"/>
        </w:rPr>
        <w:t>a smaller supply to be offered in sugar and dairy product markets</w:t>
      </w:r>
      <w:r w:rsidR="000A6AF2" w:rsidRPr="000A6AF2">
        <w:rPr>
          <w:rFonts w:ascii="Garamond" w:hAnsi="Garamond"/>
          <w:sz w:val="22"/>
          <w:szCs w:val="22"/>
        </w:rPr>
        <w:t>.</w:t>
      </w:r>
    </w:p>
    <w:p w14:paraId="2B0934C3" w14:textId="77777777" w:rsidR="004928D0" w:rsidRPr="00EE5F0F" w:rsidRDefault="00BA0C54"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I</w:t>
      </w:r>
      <w:r w:rsidR="006355AE" w:rsidRPr="00EE5F0F">
        <w:rPr>
          <w:rFonts w:ascii="Garamond" w:hAnsi="Garamond"/>
          <w:sz w:val="22"/>
          <w:szCs w:val="22"/>
        </w:rPr>
        <w:t xml:space="preserve">nternational </w:t>
      </w:r>
      <w:r w:rsidR="004928D0" w:rsidRPr="00EE5F0F">
        <w:rPr>
          <w:rFonts w:ascii="Garamond" w:hAnsi="Garamond"/>
          <w:sz w:val="22"/>
          <w:szCs w:val="22"/>
        </w:rPr>
        <w:t>oil price</w:t>
      </w:r>
      <w:r w:rsidR="00556E2F">
        <w:rPr>
          <w:rFonts w:ascii="Garamond" w:hAnsi="Garamond"/>
          <w:sz w:val="22"/>
          <w:szCs w:val="22"/>
        </w:rPr>
        <w:t xml:space="preserve"> forecasts </w:t>
      </w:r>
      <w:r w:rsidR="00556E2F" w:rsidRPr="00556E2F">
        <w:rPr>
          <w:rFonts w:ascii="Garamond" w:hAnsi="Garamond"/>
          <w:sz w:val="22"/>
          <w:szCs w:val="22"/>
        </w:rPr>
        <w:t xml:space="preserve">for the </w:t>
      </w:r>
      <w:r w:rsidR="00556E2F">
        <w:rPr>
          <w:rFonts w:ascii="Garamond" w:hAnsi="Garamond"/>
          <w:sz w:val="22"/>
          <w:szCs w:val="22"/>
        </w:rPr>
        <w:t xml:space="preserve">entire </w:t>
      </w:r>
      <w:r w:rsidR="00556E2F" w:rsidRPr="00556E2F">
        <w:rPr>
          <w:rFonts w:ascii="Garamond" w:hAnsi="Garamond"/>
          <w:sz w:val="22"/>
          <w:szCs w:val="22"/>
        </w:rPr>
        <w:t xml:space="preserve">horizon are </w:t>
      </w:r>
      <w:r>
        <w:rPr>
          <w:rFonts w:ascii="Garamond" w:hAnsi="Garamond"/>
          <w:sz w:val="22"/>
          <w:szCs w:val="22"/>
        </w:rPr>
        <w:t xml:space="preserve">rather downward in comparison with </w:t>
      </w:r>
      <w:r w:rsidR="00556E2F" w:rsidRPr="00556E2F">
        <w:rPr>
          <w:rFonts w:ascii="Garamond" w:hAnsi="Garamond"/>
          <w:sz w:val="22"/>
          <w:szCs w:val="22"/>
        </w:rPr>
        <w:t>previous</w:t>
      </w:r>
      <w:r>
        <w:rPr>
          <w:rFonts w:ascii="Garamond" w:hAnsi="Garamond"/>
          <w:sz w:val="22"/>
          <w:szCs w:val="22"/>
        </w:rPr>
        <w:t xml:space="preserve"> l</w:t>
      </w:r>
      <w:r w:rsidR="00556E2F" w:rsidRPr="00556E2F">
        <w:rPr>
          <w:rFonts w:ascii="Garamond" w:hAnsi="Garamond"/>
          <w:sz w:val="22"/>
          <w:szCs w:val="22"/>
        </w:rPr>
        <w:t>evels</w:t>
      </w:r>
      <w:r>
        <w:rPr>
          <w:rFonts w:ascii="Garamond" w:hAnsi="Garamond"/>
          <w:sz w:val="22"/>
          <w:szCs w:val="22"/>
        </w:rPr>
        <w:t>, which is exp</w:t>
      </w:r>
      <w:r w:rsidR="00556E2F">
        <w:rPr>
          <w:rFonts w:ascii="Garamond" w:hAnsi="Garamond"/>
          <w:sz w:val="22"/>
          <w:szCs w:val="22"/>
        </w:rPr>
        <w:t xml:space="preserve">lained by sluggish global </w:t>
      </w:r>
      <w:r w:rsidR="00556E2F" w:rsidRPr="00D94C02">
        <w:rPr>
          <w:rFonts w:ascii="Garamond" w:hAnsi="Garamond"/>
          <w:sz w:val="22"/>
          <w:szCs w:val="22"/>
        </w:rPr>
        <w:t>demand</w:t>
      </w:r>
      <w:r>
        <w:rPr>
          <w:rFonts w:ascii="Garamond" w:hAnsi="Garamond"/>
          <w:sz w:val="22"/>
          <w:szCs w:val="22"/>
        </w:rPr>
        <w:t xml:space="preserve"> on the one hand and disagreement over reduced extraction of oil by OPEC+ members, on the other</w:t>
      </w:r>
      <w:r w:rsidR="00556E2F">
        <w:rPr>
          <w:rFonts w:ascii="Garamond" w:hAnsi="Garamond"/>
          <w:sz w:val="22"/>
          <w:szCs w:val="22"/>
        </w:rPr>
        <w:t>.</w:t>
      </w:r>
      <w:r w:rsidR="00D94C02">
        <w:rPr>
          <w:rFonts w:ascii="Garamond" w:hAnsi="Garamond"/>
          <w:sz w:val="22"/>
          <w:szCs w:val="22"/>
        </w:rPr>
        <w:t xml:space="preserve"> </w:t>
      </w:r>
    </w:p>
    <w:p w14:paraId="7D510BC2" w14:textId="77777777" w:rsidR="00D25EB7" w:rsidRDefault="00BA0C54"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I</w:t>
      </w:r>
      <w:r w:rsidR="00765248">
        <w:rPr>
          <w:rFonts w:ascii="Garamond" w:hAnsi="Garamond"/>
          <w:sz w:val="22"/>
          <w:szCs w:val="22"/>
        </w:rPr>
        <w:t>n</w:t>
      </w:r>
      <w:r w:rsidR="00785B36" w:rsidRPr="00EE5F0F">
        <w:rPr>
          <w:rFonts w:ascii="Garamond" w:hAnsi="Garamond"/>
          <w:sz w:val="22"/>
          <w:szCs w:val="22"/>
        </w:rPr>
        <w:t xml:space="preserve">ternational </w:t>
      </w:r>
      <w:r w:rsidR="009E6F4B" w:rsidRPr="00EE5F0F">
        <w:rPr>
          <w:rFonts w:ascii="Garamond" w:hAnsi="Garamond"/>
          <w:sz w:val="22"/>
          <w:szCs w:val="22"/>
        </w:rPr>
        <w:t xml:space="preserve">copper prices will </w:t>
      </w:r>
      <w:r w:rsidR="00785B36" w:rsidRPr="00EE5F0F">
        <w:rPr>
          <w:rFonts w:ascii="Garamond" w:hAnsi="Garamond"/>
          <w:sz w:val="22"/>
          <w:szCs w:val="22"/>
        </w:rPr>
        <w:t xml:space="preserve">shape </w:t>
      </w:r>
      <w:r w:rsidR="00CA1277" w:rsidRPr="00EE5F0F">
        <w:rPr>
          <w:rFonts w:ascii="Garamond" w:hAnsi="Garamond"/>
          <w:sz w:val="22"/>
          <w:szCs w:val="22"/>
        </w:rPr>
        <w:t>at level</w:t>
      </w:r>
      <w:r w:rsidR="00556E2F">
        <w:rPr>
          <w:rFonts w:ascii="Garamond" w:hAnsi="Garamond"/>
          <w:sz w:val="22"/>
          <w:szCs w:val="22"/>
        </w:rPr>
        <w:t>s</w:t>
      </w:r>
      <w:r w:rsidR="00CA1277" w:rsidRPr="00EE5F0F">
        <w:rPr>
          <w:rFonts w:ascii="Garamond" w:hAnsi="Garamond"/>
          <w:sz w:val="22"/>
          <w:szCs w:val="22"/>
        </w:rPr>
        <w:t xml:space="preserve"> </w:t>
      </w:r>
      <w:r w:rsidR="00177B04">
        <w:rPr>
          <w:rFonts w:ascii="Garamond" w:hAnsi="Garamond"/>
          <w:sz w:val="22"/>
          <w:szCs w:val="22"/>
        </w:rPr>
        <w:t xml:space="preserve">lower than </w:t>
      </w:r>
      <w:r w:rsidR="00CA1277" w:rsidRPr="00EE5F0F">
        <w:rPr>
          <w:rFonts w:ascii="Garamond" w:hAnsi="Garamond"/>
          <w:sz w:val="22"/>
          <w:szCs w:val="22"/>
        </w:rPr>
        <w:t xml:space="preserve">outlined in the previous forecast, </w:t>
      </w:r>
      <w:r w:rsidR="00143B11">
        <w:rPr>
          <w:rFonts w:ascii="Garamond" w:hAnsi="Garamond"/>
          <w:sz w:val="22"/>
          <w:szCs w:val="22"/>
        </w:rPr>
        <w:t xml:space="preserve">due to </w:t>
      </w:r>
      <w:r>
        <w:rPr>
          <w:rFonts w:ascii="Garamond" w:hAnsi="Garamond"/>
          <w:sz w:val="22"/>
          <w:szCs w:val="22"/>
        </w:rPr>
        <w:t xml:space="preserve">the demand </w:t>
      </w:r>
      <w:r w:rsidR="00143B11">
        <w:rPr>
          <w:rFonts w:ascii="Garamond" w:hAnsi="Garamond"/>
          <w:sz w:val="22"/>
          <w:szCs w:val="22"/>
        </w:rPr>
        <w:t xml:space="preserve">contracted </w:t>
      </w:r>
      <w:r>
        <w:rPr>
          <w:rFonts w:ascii="Garamond" w:hAnsi="Garamond"/>
          <w:sz w:val="22"/>
          <w:szCs w:val="22"/>
        </w:rPr>
        <w:t>amid global economic slowdown</w:t>
      </w:r>
      <w:r w:rsidR="00C06264">
        <w:rPr>
          <w:rFonts w:ascii="Garamond" w:hAnsi="Garamond"/>
          <w:sz w:val="22"/>
          <w:szCs w:val="22"/>
        </w:rPr>
        <w:t>.</w:t>
      </w:r>
    </w:p>
    <w:p w14:paraId="077B56BB" w14:textId="77777777" w:rsidR="00C71404" w:rsidRPr="00D25EB7" w:rsidRDefault="00951D76" w:rsidP="00EE619D">
      <w:pPr>
        <w:autoSpaceDE w:val="0"/>
        <w:autoSpaceDN w:val="0"/>
        <w:adjustRightInd w:val="0"/>
        <w:spacing w:after="120" w:line="360" w:lineRule="auto"/>
        <w:jc w:val="both"/>
        <w:rPr>
          <w:rFonts w:ascii="Garamond" w:hAnsi="Garamond"/>
          <w:sz w:val="22"/>
          <w:szCs w:val="22"/>
        </w:rPr>
      </w:pPr>
      <w:r w:rsidRPr="00951D76">
        <w:rPr>
          <w:rFonts w:ascii="Garamond" w:hAnsi="Garamond"/>
          <w:b/>
          <w:sz w:val="22"/>
          <w:szCs w:val="22"/>
        </w:rPr>
        <w:t>Armenia</w:t>
      </w:r>
      <w:r>
        <w:rPr>
          <w:rFonts w:ascii="Garamond" w:hAnsi="Garamond"/>
          <w:b/>
          <w:sz w:val="22"/>
          <w:szCs w:val="22"/>
        </w:rPr>
        <w:t>’</w:t>
      </w:r>
      <w:r w:rsidRPr="00951D76">
        <w:rPr>
          <w:rFonts w:ascii="Garamond" w:hAnsi="Garamond"/>
          <w:b/>
          <w:sz w:val="22"/>
          <w:szCs w:val="22"/>
        </w:rPr>
        <w:t xml:space="preserve">s economic growth will decrease </w:t>
      </w:r>
      <w:r>
        <w:rPr>
          <w:rFonts w:ascii="Garamond" w:hAnsi="Garamond"/>
          <w:b/>
          <w:sz w:val="22"/>
          <w:szCs w:val="22"/>
        </w:rPr>
        <w:t>considerably</w:t>
      </w:r>
      <w:r w:rsidRPr="00951D76">
        <w:rPr>
          <w:rFonts w:ascii="Garamond" w:hAnsi="Garamond"/>
          <w:b/>
          <w:sz w:val="22"/>
          <w:szCs w:val="22"/>
        </w:rPr>
        <w:t xml:space="preserve"> in 2020</w:t>
      </w:r>
      <w:r>
        <w:rPr>
          <w:rFonts w:ascii="Garamond" w:hAnsi="Garamond"/>
          <w:b/>
          <w:sz w:val="22"/>
          <w:szCs w:val="22"/>
        </w:rPr>
        <w:t xml:space="preserve"> because of </w:t>
      </w:r>
      <w:r w:rsidRPr="00951D76">
        <w:rPr>
          <w:rFonts w:ascii="Garamond" w:hAnsi="Garamond"/>
          <w:b/>
          <w:sz w:val="22"/>
          <w:szCs w:val="22"/>
        </w:rPr>
        <w:t>the coronavirus disease and anti-epidemic measures</w:t>
      </w:r>
      <w:r>
        <w:rPr>
          <w:rFonts w:ascii="Garamond" w:hAnsi="Garamond"/>
          <w:b/>
          <w:sz w:val="22"/>
          <w:szCs w:val="22"/>
        </w:rPr>
        <w:t>,</w:t>
      </w:r>
      <w:r w:rsidRPr="00951D76">
        <w:rPr>
          <w:rFonts w:ascii="Garamond" w:hAnsi="Garamond"/>
          <w:b/>
          <w:sz w:val="22"/>
          <w:szCs w:val="22"/>
        </w:rPr>
        <w:t xml:space="preserve"> but </w:t>
      </w:r>
      <w:r w:rsidR="00A00A2F" w:rsidRPr="00951D76">
        <w:rPr>
          <w:rFonts w:ascii="Garamond" w:hAnsi="Garamond"/>
          <w:b/>
          <w:sz w:val="22"/>
          <w:szCs w:val="22"/>
        </w:rPr>
        <w:t xml:space="preserve">it will return to </w:t>
      </w:r>
      <w:r w:rsidR="00A00A2F">
        <w:rPr>
          <w:rFonts w:ascii="Garamond" w:hAnsi="Garamond"/>
          <w:b/>
          <w:sz w:val="22"/>
          <w:szCs w:val="22"/>
        </w:rPr>
        <w:t xml:space="preserve">its </w:t>
      </w:r>
      <w:r w:rsidR="00A00A2F" w:rsidRPr="00951D76">
        <w:rPr>
          <w:rFonts w:ascii="Garamond" w:hAnsi="Garamond"/>
          <w:b/>
          <w:sz w:val="22"/>
          <w:szCs w:val="22"/>
        </w:rPr>
        <w:t>potential</w:t>
      </w:r>
      <w:r w:rsidR="00A00A2F">
        <w:rPr>
          <w:rFonts w:ascii="Garamond" w:hAnsi="Garamond"/>
          <w:b/>
          <w:sz w:val="22"/>
          <w:szCs w:val="22"/>
        </w:rPr>
        <w:t xml:space="preserve"> level</w:t>
      </w:r>
      <w:r w:rsidR="00A00A2F" w:rsidRPr="00951D76">
        <w:rPr>
          <w:rFonts w:ascii="Garamond" w:hAnsi="Garamond"/>
          <w:b/>
          <w:sz w:val="22"/>
          <w:szCs w:val="22"/>
        </w:rPr>
        <w:t xml:space="preserve"> </w:t>
      </w:r>
      <w:r w:rsidRPr="00951D76">
        <w:rPr>
          <w:rFonts w:ascii="Garamond" w:hAnsi="Garamond"/>
          <w:b/>
          <w:sz w:val="22"/>
          <w:szCs w:val="22"/>
        </w:rPr>
        <w:t xml:space="preserve">in the forecast horizon, </w:t>
      </w:r>
      <w:r w:rsidR="00A00A2F">
        <w:rPr>
          <w:rFonts w:ascii="Garamond" w:hAnsi="Garamond"/>
          <w:b/>
          <w:sz w:val="22"/>
          <w:szCs w:val="22"/>
        </w:rPr>
        <w:t xml:space="preserve">as </w:t>
      </w:r>
      <w:r w:rsidRPr="00951D76">
        <w:rPr>
          <w:rFonts w:ascii="Garamond" w:hAnsi="Garamond"/>
          <w:b/>
          <w:sz w:val="22"/>
          <w:szCs w:val="22"/>
        </w:rPr>
        <w:t>uncertainties</w:t>
      </w:r>
      <w:r w:rsidR="00A00A2F">
        <w:rPr>
          <w:rFonts w:ascii="Garamond" w:hAnsi="Garamond"/>
          <w:b/>
          <w:sz w:val="22"/>
          <w:szCs w:val="22"/>
        </w:rPr>
        <w:t xml:space="preserve"> diminish</w:t>
      </w:r>
      <w:r w:rsidRPr="00951D76">
        <w:rPr>
          <w:rFonts w:ascii="Garamond" w:hAnsi="Garamond"/>
          <w:b/>
          <w:sz w:val="22"/>
          <w:szCs w:val="22"/>
        </w:rPr>
        <w:t>.</w:t>
      </w:r>
    </w:p>
    <w:p w14:paraId="4A0564CA" w14:textId="77777777" w:rsidR="00A00A2F" w:rsidRDefault="00A00A2F"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Y</w:t>
      </w:r>
      <w:r w:rsidRPr="00A00A2F">
        <w:rPr>
          <w:rFonts w:ascii="Garamond" w:hAnsi="Garamond"/>
          <w:sz w:val="22"/>
          <w:szCs w:val="22"/>
        </w:rPr>
        <w:t xml:space="preserve">ear 2020 began with </w:t>
      </w:r>
      <w:r>
        <w:rPr>
          <w:rFonts w:ascii="Garamond" w:hAnsi="Garamond"/>
          <w:sz w:val="22"/>
          <w:szCs w:val="22"/>
        </w:rPr>
        <w:t>strong</w:t>
      </w:r>
      <w:r w:rsidRPr="00A00A2F">
        <w:rPr>
          <w:rFonts w:ascii="Garamond" w:hAnsi="Garamond"/>
          <w:sz w:val="22"/>
          <w:szCs w:val="22"/>
        </w:rPr>
        <w:t xml:space="preserve"> economic activity, as evidenced by </w:t>
      </w:r>
      <w:r>
        <w:rPr>
          <w:rFonts w:ascii="Garamond" w:hAnsi="Garamond"/>
          <w:sz w:val="22"/>
          <w:szCs w:val="22"/>
        </w:rPr>
        <w:t xml:space="preserve">the relevant </w:t>
      </w:r>
      <w:r w:rsidRPr="00A00A2F">
        <w:rPr>
          <w:rFonts w:ascii="Garamond" w:hAnsi="Garamond"/>
          <w:sz w:val="22"/>
          <w:szCs w:val="22"/>
        </w:rPr>
        <w:t>January</w:t>
      </w:r>
      <w:r>
        <w:rPr>
          <w:rFonts w:ascii="Garamond" w:hAnsi="Garamond"/>
          <w:sz w:val="22"/>
          <w:szCs w:val="22"/>
        </w:rPr>
        <w:t xml:space="preserve"> activity indicators – the growth in</w:t>
      </w:r>
      <w:r w:rsidRPr="00A00A2F">
        <w:rPr>
          <w:rFonts w:ascii="Garamond" w:hAnsi="Garamond"/>
          <w:sz w:val="22"/>
          <w:szCs w:val="22"/>
        </w:rPr>
        <w:t xml:space="preserve"> industry, construction, trade and services</w:t>
      </w:r>
      <w:r>
        <w:rPr>
          <w:rFonts w:ascii="Garamond" w:hAnsi="Garamond"/>
          <w:sz w:val="22"/>
          <w:szCs w:val="22"/>
        </w:rPr>
        <w:t xml:space="preserve"> amounted to </w:t>
      </w:r>
      <w:r w:rsidRPr="00A00A2F">
        <w:rPr>
          <w:rFonts w:ascii="Garamond" w:hAnsi="Garamond"/>
          <w:sz w:val="22"/>
          <w:szCs w:val="22"/>
        </w:rPr>
        <w:t>13.4%, 7.7%, 10.3% and 13.2%, respectively.</w:t>
      </w:r>
      <w:r>
        <w:rPr>
          <w:rFonts w:ascii="Garamond" w:hAnsi="Garamond"/>
          <w:sz w:val="22"/>
          <w:szCs w:val="22"/>
        </w:rPr>
        <w:t xml:space="preserve"> </w:t>
      </w:r>
    </w:p>
    <w:p w14:paraId="7D2E93C1" w14:textId="5585AD1F" w:rsidR="00FE5773" w:rsidRDefault="54AE272E" w:rsidP="00EE619D">
      <w:pPr>
        <w:autoSpaceDE w:val="0"/>
        <w:autoSpaceDN w:val="0"/>
        <w:adjustRightInd w:val="0"/>
        <w:spacing w:after="120" w:line="360" w:lineRule="auto"/>
        <w:jc w:val="both"/>
        <w:rPr>
          <w:rFonts w:ascii="Garamond" w:hAnsi="Garamond"/>
          <w:sz w:val="22"/>
          <w:szCs w:val="22"/>
        </w:rPr>
      </w:pPr>
      <w:r w:rsidRPr="54AE272E">
        <w:rPr>
          <w:rFonts w:ascii="Garamond" w:hAnsi="Garamond"/>
          <w:sz w:val="22"/>
          <w:szCs w:val="22"/>
        </w:rPr>
        <w:t xml:space="preserve">The spread of coronavirus and anti-epidemic measures taken to fight it will significantly reduce economic activity in 2020. Its negative impact will mainly materialize during the second quarter of 2020 but, as uncertainties diminish, the economy will gradually return to normal. All sectors of the economy will incur a negative impact, but tourism and leisure-related spheres are more vulnerable. Economic growth in 2020, the </w:t>
      </w:r>
      <w:r w:rsidRPr="54AE272E">
        <w:rPr>
          <w:rFonts w:ascii="Garamond" w:hAnsi="Garamond"/>
          <w:sz w:val="22"/>
          <w:szCs w:val="22"/>
        </w:rPr>
        <w:lastRenderedPageBreak/>
        <w:t xml:space="preserve">Central Bank calculates, will be 0.7%, which is notably lower compared to previous forecasts, but in 2021 it will recover, amounting to 7.2%. </w:t>
      </w:r>
    </w:p>
    <w:p w14:paraId="5726E8FB" w14:textId="410AC67E" w:rsidR="00796A37" w:rsidRDefault="54AE272E" w:rsidP="00EE619D">
      <w:pPr>
        <w:autoSpaceDE w:val="0"/>
        <w:autoSpaceDN w:val="0"/>
        <w:adjustRightInd w:val="0"/>
        <w:spacing w:after="120" w:line="360" w:lineRule="auto"/>
        <w:jc w:val="both"/>
        <w:rPr>
          <w:rFonts w:ascii="Garamond" w:hAnsi="Garamond"/>
          <w:sz w:val="22"/>
          <w:szCs w:val="22"/>
        </w:rPr>
      </w:pPr>
      <w:r w:rsidRPr="54AE272E">
        <w:rPr>
          <w:rFonts w:ascii="Garamond" w:hAnsi="Garamond"/>
          <w:sz w:val="22"/>
          <w:szCs w:val="22"/>
        </w:rPr>
        <w:t xml:space="preserve">Despite </w:t>
      </w:r>
      <w:proofErr w:type="gramStart"/>
      <w:r w:rsidRPr="54AE272E">
        <w:rPr>
          <w:rFonts w:ascii="Garamond" w:hAnsi="Garamond"/>
          <w:sz w:val="22"/>
          <w:szCs w:val="22"/>
        </w:rPr>
        <w:t>the  expected</w:t>
      </w:r>
      <w:proofErr w:type="gramEnd"/>
      <w:r w:rsidRPr="54AE272E">
        <w:rPr>
          <w:rFonts w:ascii="Garamond" w:hAnsi="Garamond"/>
          <w:sz w:val="22"/>
          <w:szCs w:val="22"/>
        </w:rPr>
        <w:t xml:space="preserve"> short-term impact, nevertheless the epidemic remains a major risk factor, and further developments in economic activity as well as the structure and potential of the economy will largely depend on it.</w:t>
      </w:r>
    </w:p>
    <w:p w14:paraId="396404AB" w14:textId="77777777" w:rsidR="0023218F" w:rsidRDefault="00796A37" w:rsidP="0023218F">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In the first half of 2020, </w:t>
      </w:r>
      <w:r w:rsidRPr="00796A37">
        <w:rPr>
          <w:rFonts w:ascii="Garamond" w:hAnsi="Garamond"/>
          <w:sz w:val="22"/>
          <w:szCs w:val="22"/>
        </w:rPr>
        <w:t>the above developments</w:t>
      </w:r>
      <w:r>
        <w:rPr>
          <w:rFonts w:ascii="Garamond" w:hAnsi="Garamond"/>
          <w:sz w:val="22"/>
          <w:szCs w:val="22"/>
        </w:rPr>
        <w:t xml:space="preserve"> will cause </w:t>
      </w:r>
      <w:r w:rsidRPr="00796A37">
        <w:rPr>
          <w:rFonts w:ascii="Garamond" w:hAnsi="Garamond"/>
          <w:sz w:val="22"/>
          <w:szCs w:val="22"/>
        </w:rPr>
        <w:t xml:space="preserve">the GDP gap </w:t>
      </w:r>
      <w:r>
        <w:rPr>
          <w:rFonts w:ascii="Garamond" w:hAnsi="Garamond"/>
          <w:sz w:val="22"/>
          <w:szCs w:val="22"/>
        </w:rPr>
        <w:t>to</w:t>
      </w:r>
      <w:r w:rsidRPr="00796A37">
        <w:rPr>
          <w:rFonts w:ascii="Garamond" w:hAnsi="Garamond"/>
          <w:sz w:val="22"/>
          <w:szCs w:val="22"/>
        </w:rPr>
        <w:t xml:space="preserve"> remain in the negative </w:t>
      </w:r>
      <w:r>
        <w:rPr>
          <w:rFonts w:ascii="Garamond" w:hAnsi="Garamond"/>
          <w:sz w:val="22"/>
          <w:szCs w:val="22"/>
        </w:rPr>
        <w:t>territory</w:t>
      </w:r>
      <w:r w:rsidRPr="00796A37">
        <w:rPr>
          <w:rFonts w:ascii="Garamond" w:hAnsi="Garamond"/>
          <w:sz w:val="22"/>
          <w:szCs w:val="22"/>
        </w:rPr>
        <w:t xml:space="preserve">, which will </w:t>
      </w:r>
      <w:r>
        <w:rPr>
          <w:rFonts w:ascii="Garamond" w:hAnsi="Garamond"/>
          <w:sz w:val="22"/>
          <w:szCs w:val="22"/>
        </w:rPr>
        <w:t xml:space="preserve">however </w:t>
      </w:r>
      <w:r w:rsidRPr="00796A37">
        <w:rPr>
          <w:rFonts w:ascii="Garamond" w:hAnsi="Garamond"/>
          <w:sz w:val="22"/>
          <w:szCs w:val="22"/>
        </w:rPr>
        <w:t xml:space="preserve">be mitigated </w:t>
      </w:r>
      <w:r>
        <w:rPr>
          <w:rFonts w:ascii="Garamond" w:hAnsi="Garamond"/>
          <w:sz w:val="22"/>
          <w:szCs w:val="22"/>
        </w:rPr>
        <w:t xml:space="preserve">through influence of an expansionary </w:t>
      </w:r>
      <w:r w:rsidRPr="00F3628C">
        <w:rPr>
          <w:rFonts w:ascii="Garamond" w:hAnsi="Garamond"/>
          <w:sz w:val="22"/>
          <w:szCs w:val="22"/>
        </w:rPr>
        <w:t>monetary policy</w:t>
      </w:r>
      <w:r>
        <w:rPr>
          <w:rFonts w:ascii="Garamond" w:hAnsi="Garamond"/>
          <w:sz w:val="22"/>
          <w:szCs w:val="22"/>
        </w:rPr>
        <w:t xml:space="preserve"> </w:t>
      </w:r>
      <w:r w:rsidRPr="00F3628C">
        <w:rPr>
          <w:rFonts w:ascii="Garamond" w:hAnsi="Garamond"/>
          <w:sz w:val="22"/>
          <w:szCs w:val="22"/>
        </w:rPr>
        <w:t xml:space="preserve">and expected stimulus </w:t>
      </w:r>
      <w:r>
        <w:rPr>
          <w:rFonts w:ascii="Garamond" w:hAnsi="Garamond"/>
          <w:sz w:val="22"/>
          <w:szCs w:val="22"/>
        </w:rPr>
        <w:t xml:space="preserve">of the </w:t>
      </w:r>
      <w:r w:rsidRPr="00F3628C">
        <w:rPr>
          <w:rFonts w:ascii="Garamond" w:hAnsi="Garamond"/>
          <w:sz w:val="22"/>
          <w:szCs w:val="22"/>
        </w:rPr>
        <w:t>budget.</w:t>
      </w:r>
      <w:r>
        <w:rPr>
          <w:rFonts w:ascii="Garamond" w:hAnsi="Garamond"/>
          <w:sz w:val="22"/>
          <w:szCs w:val="22"/>
        </w:rPr>
        <w:t xml:space="preserve"> </w:t>
      </w:r>
      <w:r w:rsidR="001B67EA">
        <w:rPr>
          <w:rFonts w:ascii="Garamond" w:hAnsi="Garamond"/>
          <w:sz w:val="22"/>
          <w:szCs w:val="22"/>
        </w:rPr>
        <w:t>I</w:t>
      </w:r>
      <w:r w:rsidR="005C4379">
        <w:rPr>
          <w:rFonts w:ascii="Garamond" w:hAnsi="Garamond"/>
          <w:sz w:val="22"/>
          <w:szCs w:val="22"/>
        </w:rPr>
        <w:t>n the forecast horizon</w:t>
      </w:r>
      <w:r w:rsidR="001B67EA">
        <w:rPr>
          <w:rFonts w:ascii="Garamond" w:hAnsi="Garamond"/>
          <w:sz w:val="22"/>
          <w:szCs w:val="22"/>
        </w:rPr>
        <w:t>,</w:t>
      </w:r>
      <w:r w:rsidR="005C4379">
        <w:rPr>
          <w:rFonts w:ascii="Garamond" w:hAnsi="Garamond"/>
          <w:sz w:val="22"/>
          <w:szCs w:val="22"/>
        </w:rPr>
        <w:t xml:space="preserve"> </w:t>
      </w:r>
      <w:r w:rsidR="0023218F">
        <w:rPr>
          <w:rFonts w:ascii="Garamond" w:hAnsi="Garamond"/>
          <w:sz w:val="22"/>
          <w:szCs w:val="22"/>
        </w:rPr>
        <w:t xml:space="preserve">as uncertainties decrease, </w:t>
      </w:r>
      <w:r w:rsidR="005C4379">
        <w:rPr>
          <w:rFonts w:ascii="Garamond" w:hAnsi="Garamond"/>
          <w:sz w:val="22"/>
          <w:szCs w:val="22"/>
        </w:rPr>
        <w:t xml:space="preserve">the economic growth will </w:t>
      </w:r>
      <w:r w:rsidR="00D4744E">
        <w:rPr>
          <w:rFonts w:ascii="Garamond" w:hAnsi="Garamond"/>
          <w:sz w:val="22"/>
          <w:szCs w:val="22"/>
        </w:rPr>
        <w:t xml:space="preserve">come closer to </w:t>
      </w:r>
      <w:r w:rsidR="005C4379">
        <w:rPr>
          <w:rFonts w:ascii="Garamond" w:hAnsi="Garamond"/>
          <w:sz w:val="22"/>
          <w:szCs w:val="22"/>
        </w:rPr>
        <w:t xml:space="preserve">its </w:t>
      </w:r>
      <w:r w:rsidR="00B5695E">
        <w:rPr>
          <w:rFonts w:ascii="Garamond" w:hAnsi="Garamond"/>
          <w:sz w:val="22"/>
          <w:szCs w:val="22"/>
        </w:rPr>
        <w:t xml:space="preserve">mid-term </w:t>
      </w:r>
      <w:r w:rsidR="005C4379">
        <w:rPr>
          <w:rFonts w:ascii="Garamond" w:hAnsi="Garamond"/>
          <w:sz w:val="22"/>
          <w:szCs w:val="22"/>
        </w:rPr>
        <w:t>potential</w:t>
      </w:r>
      <w:r w:rsidR="005C4379" w:rsidRPr="00EE5F0F">
        <w:rPr>
          <w:rFonts w:ascii="Garamond" w:hAnsi="Garamond"/>
          <w:sz w:val="22"/>
          <w:szCs w:val="22"/>
        </w:rPr>
        <w:t>.</w:t>
      </w:r>
    </w:p>
    <w:p w14:paraId="349191D8" w14:textId="77777777" w:rsidR="00F93441" w:rsidRPr="00EE5F0F" w:rsidRDefault="00963BDB" w:rsidP="0023218F">
      <w:pPr>
        <w:autoSpaceDE w:val="0"/>
        <w:autoSpaceDN w:val="0"/>
        <w:adjustRightInd w:val="0"/>
        <w:spacing w:after="120" w:line="360" w:lineRule="auto"/>
        <w:jc w:val="both"/>
        <w:rPr>
          <w:rFonts w:ascii="Garamond" w:hAnsi="Garamond"/>
          <w:b/>
          <w:sz w:val="22"/>
          <w:szCs w:val="22"/>
        </w:rPr>
      </w:pPr>
      <w:r w:rsidRPr="00972A2E">
        <w:rPr>
          <w:rFonts w:ascii="Garamond" w:hAnsi="Garamond"/>
          <w:b/>
          <w:color w:val="C00000"/>
          <w:sz w:val="22"/>
          <w:szCs w:val="22"/>
        </w:rPr>
        <w:t>Table 2:</w:t>
      </w:r>
    </w:p>
    <w:p w14:paraId="7E6D4E7C" w14:textId="77777777" w:rsidR="00BE69EE" w:rsidRPr="00EE5F0F" w:rsidRDefault="00E713AF"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In 20</w:t>
      </w:r>
      <w:r w:rsidR="0023218F">
        <w:rPr>
          <w:rFonts w:ascii="Garamond" w:hAnsi="Garamond"/>
          <w:sz w:val="22"/>
          <w:szCs w:val="22"/>
        </w:rPr>
        <w:t>20</w:t>
      </w:r>
      <w:r w:rsidRPr="00EE5F0F">
        <w:rPr>
          <w:rFonts w:ascii="Garamond" w:hAnsi="Garamond"/>
          <w:sz w:val="22"/>
          <w:szCs w:val="22"/>
        </w:rPr>
        <w:t xml:space="preserve"> the current account deficit-to-GDP ratio will </w:t>
      </w:r>
      <w:r w:rsidR="001B67EA">
        <w:rPr>
          <w:rFonts w:ascii="Garamond" w:hAnsi="Garamond"/>
          <w:sz w:val="22"/>
          <w:szCs w:val="22"/>
        </w:rPr>
        <w:t xml:space="preserve">be </w:t>
      </w:r>
      <w:r w:rsidR="0023218F">
        <w:rPr>
          <w:rFonts w:ascii="Garamond" w:hAnsi="Garamond"/>
          <w:sz w:val="22"/>
          <w:szCs w:val="22"/>
        </w:rPr>
        <w:t>higher compared to</w:t>
      </w:r>
      <w:r w:rsidR="0023218F" w:rsidRPr="0023218F">
        <w:rPr>
          <w:rFonts w:ascii="Garamond" w:hAnsi="Garamond"/>
          <w:sz w:val="22"/>
          <w:szCs w:val="22"/>
        </w:rPr>
        <w:t xml:space="preserve"> the previous forecast due to </w:t>
      </w:r>
      <w:r w:rsidR="0023218F">
        <w:rPr>
          <w:rFonts w:ascii="Garamond" w:hAnsi="Garamond"/>
          <w:sz w:val="22"/>
          <w:szCs w:val="22"/>
        </w:rPr>
        <w:t xml:space="preserve">revisions in regard to </w:t>
      </w:r>
      <w:r w:rsidR="0023218F" w:rsidRPr="0023218F">
        <w:rPr>
          <w:rFonts w:ascii="Garamond" w:hAnsi="Garamond"/>
          <w:sz w:val="22"/>
          <w:szCs w:val="22"/>
        </w:rPr>
        <w:t xml:space="preserve">negative </w:t>
      </w:r>
      <w:r w:rsidR="0023218F">
        <w:rPr>
          <w:rFonts w:ascii="Garamond" w:hAnsi="Garamond"/>
          <w:sz w:val="22"/>
          <w:szCs w:val="22"/>
        </w:rPr>
        <w:t xml:space="preserve">trade </w:t>
      </w:r>
      <w:r w:rsidR="0023218F" w:rsidRPr="0023218F">
        <w:rPr>
          <w:rFonts w:ascii="Garamond" w:hAnsi="Garamond"/>
          <w:sz w:val="22"/>
          <w:szCs w:val="22"/>
        </w:rPr>
        <w:t>balance</w:t>
      </w:r>
      <w:r w:rsidR="0023218F">
        <w:rPr>
          <w:rFonts w:ascii="Garamond" w:hAnsi="Garamond"/>
          <w:sz w:val="22"/>
          <w:szCs w:val="22"/>
        </w:rPr>
        <w:t xml:space="preserve"> </w:t>
      </w:r>
      <w:r w:rsidR="0023218F" w:rsidRPr="0023218F">
        <w:rPr>
          <w:rFonts w:ascii="Garamond" w:hAnsi="Garamond"/>
          <w:sz w:val="22"/>
          <w:szCs w:val="22"/>
        </w:rPr>
        <w:t>and remittances</w:t>
      </w:r>
      <w:r w:rsidR="006C67BA" w:rsidRPr="006C67BA">
        <w:rPr>
          <w:rFonts w:ascii="Garamond" w:hAnsi="Garamond"/>
          <w:sz w:val="22"/>
          <w:szCs w:val="22"/>
        </w:rPr>
        <w:t>.</w:t>
      </w:r>
      <w:r w:rsidR="00F93441">
        <w:rPr>
          <w:rFonts w:ascii="Garamond" w:hAnsi="Garamond"/>
          <w:sz w:val="22"/>
          <w:szCs w:val="22"/>
        </w:rPr>
        <w:t xml:space="preserve"> </w:t>
      </w:r>
    </w:p>
    <w:p w14:paraId="3CD1C5AB" w14:textId="77777777" w:rsidR="00AC5AE0" w:rsidRDefault="0023218F" w:rsidP="00EE619D">
      <w:pPr>
        <w:autoSpaceDE w:val="0"/>
        <w:autoSpaceDN w:val="0"/>
        <w:adjustRightInd w:val="0"/>
        <w:spacing w:after="120" w:line="360" w:lineRule="auto"/>
        <w:jc w:val="both"/>
        <w:rPr>
          <w:rFonts w:ascii="Garamond" w:hAnsi="Garamond"/>
          <w:b/>
          <w:sz w:val="22"/>
          <w:szCs w:val="22"/>
        </w:rPr>
      </w:pPr>
      <w:r w:rsidRPr="0023218F">
        <w:rPr>
          <w:rFonts w:ascii="Garamond" w:hAnsi="Garamond"/>
          <w:sz w:val="22"/>
          <w:szCs w:val="22"/>
        </w:rPr>
        <w:t xml:space="preserve">Compared to the previous forecast, </w:t>
      </w:r>
      <w:r>
        <w:rPr>
          <w:rFonts w:ascii="Garamond" w:hAnsi="Garamond"/>
          <w:sz w:val="22"/>
          <w:szCs w:val="22"/>
        </w:rPr>
        <w:t xml:space="preserve">there will be even higher expansionary impact of </w:t>
      </w:r>
      <w:r w:rsidRPr="0023218F">
        <w:rPr>
          <w:rFonts w:ascii="Garamond" w:hAnsi="Garamond"/>
          <w:sz w:val="22"/>
          <w:szCs w:val="22"/>
        </w:rPr>
        <w:t>4.1 p</w:t>
      </w:r>
      <w:r>
        <w:rPr>
          <w:rFonts w:ascii="Garamond" w:hAnsi="Garamond"/>
          <w:sz w:val="22"/>
          <w:szCs w:val="22"/>
        </w:rPr>
        <w:t xml:space="preserve">p </w:t>
      </w:r>
      <w:r w:rsidRPr="0023218F">
        <w:rPr>
          <w:rFonts w:ascii="Garamond" w:hAnsi="Garamond"/>
          <w:sz w:val="22"/>
          <w:szCs w:val="22"/>
        </w:rPr>
        <w:t>(</w:t>
      </w:r>
      <w:r w:rsidR="00D50F86">
        <w:rPr>
          <w:rFonts w:ascii="Garamond" w:hAnsi="Garamond"/>
          <w:sz w:val="22"/>
          <w:szCs w:val="22"/>
        </w:rPr>
        <w:t xml:space="preserve">some </w:t>
      </w:r>
      <w:r w:rsidR="00D50F86" w:rsidRPr="00080F40">
        <w:rPr>
          <w:rFonts w:ascii="Garamond" w:hAnsi="Garamond"/>
          <w:sz w:val="22"/>
          <w:szCs w:val="22"/>
        </w:rPr>
        <w:t xml:space="preserve">3.5% </w:t>
      </w:r>
      <w:r w:rsidR="00D50F86">
        <w:rPr>
          <w:rFonts w:ascii="Garamond" w:hAnsi="Garamond"/>
          <w:sz w:val="22"/>
          <w:szCs w:val="22"/>
        </w:rPr>
        <w:t xml:space="preserve">of </w:t>
      </w:r>
      <w:r w:rsidR="00D50F86" w:rsidRPr="00080F40">
        <w:rPr>
          <w:rFonts w:ascii="Garamond" w:hAnsi="Garamond"/>
          <w:sz w:val="22"/>
          <w:szCs w:val="22"/>
        </w:rPr>
        <w:t>saving</w:t>
      </w:r>
      <w:r w:rsidR="00D50F86">
        <w:rPr>
          <w:rFonts w:ascii="Garamond" w:hAnsi="Garamond"/>
          <w:sz w:val="22"/>
          <w:szCs w:val="22"/>
        </w:rPr>
        <w:t>s</w:t>
      </w:r>
      <w:r w:rsidR="00D50F86" w:rsidRPr="00080F40">
        <w:rPr>
          <w:rFonts w:ascii="Garamond" w:hAnsi="Garamond"/>
          <w:sz w:val="22"/>
          <w:szCs w:val="22"/>
        </w:rPr>
        <w:t xml:space="preserve"> </w:t>
      </w:r>
      <w:r w:rsidR="00D50F86">
        <w:rPr>
          <w:rFonts w:ascii="Garamond" w:hAnsi="Garamond"/>
          <w:sz w:val="22"/>
          <w:szCs w:val="22"/>
        </w:rPr>
        <w:t xml:space="preserve">on public </w:t>
      </w:r>
      <w:r w:rsidR="00D50F86" w:rsidRPr="00080F40">
        <w:rPr>
          <w:rFonts w:ascii="Garamond" w:hAnsi="Garamond"/>
          <w:sz w:val="22"/>
          <w:szCs w:val="22"/>
        </w:rPr>
        <w:t xml:space="preserve">expenditures </w:t>
      </w:r>
      <w:r w:rsidR="00D50F86">
        <w:rPr>
          <w:rFonts w:ascii="Garamond" w:hAnsi="Garamond"/>
          <w:sz w:val="22"/>
          <w:szCs w:val="22"/>
        </w:rPr>
        <w:t>is</w:t>
      </w:r>
      <w:r w:rsidR="00D50F86" w:rsidRPr="00080F40">
        <w:rPr>
          <w:rFonts w:ascii="Garamond" w:hAnsi="Garamond"/>
          <w:sz w:val="22"/>
          <w:szCs w:val="22"/>
        </w:rPr>
        <w:t xml:space="preserve"> expected</w:t>
      </w:r>
      <w:r w:rsidR="00D50F86">
        <w:rPr>
          <w:rFonts w:ascii="Garamond" w:hAnsi="Garamond"/>
          <w:sz w:val="22"/>
          <w:szCs w:val="22"/>
        </w:rPr>
        <w:t xml:space="preserve">, particularly on implementation of </w:t>
      </w:r>
      <w:r w:rsidR="00D50F86" w:rsidRPr="00080F40">
        <w:rPr>
          <w:rFonts w:ascii="Garamond" w:hAnsi="Garamond"/>
          <w:sz w:val="22"/>
          <w:szCs w:val="22"/>
        </w:rPr>
        <w:t>foreign-funded projects</w:t>
      </w:r>
      <w:r w:rsidR="00D50F86">
        <w:rPr>
          <w:rFonts w:ascii="Garamond" w:hAnsi="Garamond"/>
          <w:sz w:val="22"/>
          <w:szCs w:val="22"/>
        </w:rPr>
        <w:t xml:space="preserve">, while the </w:t>
      </w:r>
      <w:r w:rsidR="00D50F86" w:rsidRPr="0023218F">
        <w:rPr>
          <w:rFonts w:ascii="Garamond" w:hAnsi="Garamond"/>
          <w:sz w:val="22"/>
          <w:szCs w:val="22"/>
        </w:rPr>
        <w:t>taxes</w:t>
      </w:r>
      <w:r w:rsidR="00D50F86">
        <w:rPr>
          <w:rFonts w:ascii="Garamond" w:hAnsi="Garamond"/>
          <w:sz w:val="22"/>
          <w:szCs w:val="22"/>
        </w:rPr>
        <w:t>-to-GDP ratio is likely to remain at the 2019 level).</w:t>
      </w:r>
      <w:r w:rsidR="00501006">
        <w:rPr>
          <w:rFonts w:ascii="Garamond" w:hAnsi="Garamond"/>
          <w:b/>
          <w:sz w:val="22"/>
          <w:szCs w:val="22"/>
        </w:rPr>
        <w:t xml:space="preserve"> </w:t>
      </w:r>
    </w:p>
    <w:p w14:paraId="17C8CC77" w14:textId="77777777" w:rsidR="00E50C7A" w:rsidRDefault="004F11B6"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Current forecasts </w:t>
      </w:r>
      <w:r w:rsidR="00E673D5">
        <w:rPr>
          <w:rFonts w:ascii="Garamond" w:hAnsi="Garamond"/>
          <w:sz w:val="22"/>
          <w:szCs w:val="22"/>
        </w:rPr>
        <w:t>suggest that</w:t>
      </w:r>
      <w:r>
        <w:rPr>
          <w:rFonts w:ascii="Garamond" w:hAnsi="Garamond"/>
          <w:sz w:val="22"/>
          <w:szCs w:val="22"/>
        </w:rPr>
        <w:t xml:space="preserve"> </w:t>
      </w:r>
      <w:r w:rsidR="00D708C5">
        <w:rPr>
          <w:rFonts w:ascii="Garamond" w:hAnsi="Garamond"/>
          <w:sz w:val="22"/>
          <w:szCs w:val="22"/>
        </w:rPr>
        <w:t xml:space="preserve">inflation </w:t>
      </w:r>
      <w:r>
        <w:rPr>
          <w:rFonts w:ascii="Garamond" w:hAnsi="Garamond"/>
          <w:sz w:val="22"/>
          <w:szCs w:val="22"/>
        </w:rPr>
        <w:t xml:space="preserve">in the short run </w:t>
      </w:r>
      <w:r w:rsidR="00C21775" w:rsidRPr="00C21775">
        <w:rPr>
          <w:rFonts w:ascii="Garamond" w:hAnsi="Garamond"/>
          <w:sz w:val="22"/>
          <w:szCs w:val="22"/>
        </w:rPr>
        <w:t xml:space="preserve">will be </w:t>
      </w:r>
      <w:r w:rsidR="00A15E24">
        <w:rPr>
          <w:rFonts w:ascii="Garamond" w:hAnsi="Garamond"/>
          <w:sz w:val="22"/>
          <w:szCs w:val="22"/>
        </w:rPr>
        <w:t xml:space="preserve">below </w:t>
      </w:r>
      <w:r w:rsidR="00D50F86">
        <w:rPr>
          <w:rFonts w:ascii="Garamond" w:hAnsi="Garamond"/>
          <w:sz w:val="22"/>
          <w:szCs w:val="22"/>
        </w:rPr>
        <w:t xml:space="preserve">the </w:t>
      </w:r>
      <w:r w:rsidR="00C21775" w:rsidRPr="00C21775">
        <w:rPr>
          <w:rFonts w:ascii="Garamond" w:hAnsi="Garamond"/>
          <w:sz w:val="22"/>
          <w:szCs w:val="22"/>
        </w:rPr>
        <w:t xml:space="preserve">previous </w:t>
      </w:r>
      <w:r w:rsidR="00D50F86">
        <w:rPr>
          <w:rFonts w:ascii="Garamond" w:hAnsi="Garamond"/>
          <w:sz w:val="22"/>
          <w:szCs w:val="22"/>
        </w:rPr>
        <w:t>forecast</w:t>
      </w:r>
      <w:r w:rsidR="009F46B5">
        <w:rPr>
          <w:rFonts w:ascii="Garamond" w:hAnsi="Garamond"/>
          <w:sz w:val="22"/>
          <w:szCs w:val="22"/>
        </w:rPr>
        <w:t xml:space="preserve">, </w:t>
      </w:r>
      <w:r w:rsidR="00D50F86">
        <w:rPr>
          <w:rFonts w:ascii="Garamond" w:hAnsi="Garamond"/>
          <w:sz w:val="22"/>
          <w:szCs w:val="22"/>
        </w:rPr>
        <w:t xml:space="preserve">since </w:t>
      </w:r>
      <w:r w:rsidR="00F90508">
        <w:rPr>
          <w:rFonts w:ascii="Garamond" w:hAnsi="Garamond"/>
          <w:sz w:val="22"/>
          <w:szCs w:val="22"/>
        </w:rPr>
        <w:t xml:space="preserve">the change in customs duty on a number of </w:t>
      </w:r>
      <w:r w:rsidR="00D50F86" w:rsidRPr="00D50F86">
        <w:rPr>
          <w:rFonts w:ascii="Garamond" w:hAnsi="Garamond"/>
          <w:sz w:val="22"/>
          <w:szCs w:val="22"/>
        </w:rPr>
        <w:t xml:space="preserve">goods, </w:t>
      </w:r>
      <w:r w:rsidR="00F90508">
        <w:rPr>
          <w:rFonts w:ascii="Garamond" w:hAnsi="Garamond"/>
          <w:sz w:val="22"/>
          <w:szCs w:val="22"/>
        </w:rPr>
        <w:t xml:space="preserve">due </w:t>
      </w:r>
      <w:r w:rsidR="00D50F86" w:rsidRPr="00D50F86">
        <w:rPr>
          <w:rFonts w:ascii="Garamond" w:hAnsi="Garamond"/>
          <w:sz w:val="22"/>
          <w:szCs w:val="22"/>
        </w:rPr>
        <w:t>from January 1</w:t>
      </w:r>
      <w:r w:rsidR="00F90508">
        <w:rPr>
          <w:rFonts w:ascii="Garamond" w:hAnsi="Garamond"/>
          <w:sz w:val="22"/>
          <w:szCs w:val="22"/>
        </w:rPr>
        <w:t>st,</w:t>
      </w:r>
      <w:r w:rsidR="00D50F86" w:rsidRPr="00D50F86">
        <w:rPr>
          <w:rFonts w:ascii="Garamond" w:hAnsi="Garamond"/>
          <w:sz w:val="22"/>
          <w:szCs w:val="22"/>
        </w:rPr>
        <w:t xml:space="preserve"> </w:t>
      </w:r>
      <w:r w:rsidR="00F90508">
        <w:rPr>
          <w:rFonts w:ascii="Garamond" w:hAnsi="Garamond"/>
          <w:sz w:val="22"/>
          <w:szCs w:val="22"/>
        </w:rPr>
        <w:t>was put off</w:t>
      </w:r>
      <w:r w:rsidR="00D50F86" w:rsidRPr="00D50F86">
        <w:rPr>
          <w:rFonts w:ascii="Garamond" w:hAnsi="Garamond"/>
          <w:sz w:val="22"/>
          <w:szCs w:val="22"/>
        </w:rPr>
        <w:t xml:space="preserve"> </w:t>
      </w:r>
      <w:r w:rsidR="00F90508">
        <w:rPr>
          <w:rFonts w:ascii="Garamond" w:hAnsi="Garamond"/>
          <w:sz w:val="22"/>
          <w:szCs w:val="22"/>
        </w:rPr>
        <w:t xml:space="preserve">and the </w:t>
      </w:r>
      <w:r w:rsidR="00D50F86" w:rsidRPr="00D50F86">
        <w:rPr>
          <w:rFonts w:ascii="Garamond" w:hAnsi="Garamond"/>
          <w:sz w:val="22"/>
          <w:szCs w:val="22"/>
        </w:rPr>
        <w:t>prices in</w:t>
      </w:r>
      <w:r w:rsidR="00F90508">
        <w:rPr>
          <w:rFonts w:ascii="Garamond" w:hAnsi="Garamond"/>
          <w:sz w:val="22"/>
          <w:szCs w:val="22"/>
        </w:rPr>
        <w:t xml:space="preserve"> product groups</w:t>
      </w:r>
      <w:r w:rsidR="00D50F86" w:rsidRPr="00D50F86">
        <w:rPr>
          <w:rFonts w:ascii="Garamond" w:hAnsi="Garamond"/>
          <w:sz w:val="22"/>
          <w:szCs w:val="22"/>
        </w:rPr>
        <w:t xml:space="preserve"> </w:t>
      </w:r>
      <w:r w:rsidR="00F90508">
        <w:rPr>
          <w:rFonts w:ascii="Garamond" w:hAnsi="Garamond"/>
          <w:sz w:val="22"/>
          <w:szCs w:val="22"/>
        </w:rPr>
        <w:t>“</w:t>
      </w:r>
      <w:r w:rsidR="00D50F86" w:rsidRPr="00D50F86">
        <w:rPr>
          <w:rFonts w:ascii="Garamond" w:hAnsi="Garamond"/>
          <w:sz w:val="22"/>
          <w:szCs w:val="22"/>
        </w:rPr>
        <w:t>Egg</w:t>
      </w:r>
      <w:r w:rsidR="00F90508">
        <w:rPr>
          <w:rFonts w:ascii="Garamond" w:hAnsi="Garamond"/>
          <w:sz w:val="22"/>
          <w:szCs w:val="22"/>
        </w:rPr>
        <w:t>”</w:t>
      </w:r>
      <w:r w:rsidR="00D50F86" w:rsidRPr="00D50F86">
        <w:rPr>
          <w:rFonts w:ascii="Garamond" w:hAnsi="Garamond"/>
          <w:sz w:val="22"/>
          <w:szCs w:val="22"/>
        </w:rPr>
        <w:t xml:space="preserve">, </w:t>
      </w:r>
      <w:r w:rsidR="00F90508">
        <w:rPr>
          <w:rFonts w:ascii="Garamond" w:hAnsi="Garamond"/>
          <w:sz w:val="22"/>
          <w:szCs w:val="22"/>
        </w:rPr>
        <w:t>“</w:t>
      </w:r>
      <w:r w:rsidR="00D50F86" w:rsidRPr="00D50F86">
        <w:rPr>
          <w:rFonts w:ascii="Garamond" w:hAnsi="Garamond"/>
          <w:sz w:val="22"/>
          <w:szCs w:val="22"/>
        </w:rPr>
        <w:t>Meat</w:t>
      </w:r>
      <w:r w:rsidR="00F90508">
        <w:rPr>
          <w:rFonts w:ascii="Garamond" w:hAnsi="Garamond"/>
          <w:sz w:val="22"/>
          <w:szCs w:val="22"/>
        </w:rPr>
        <w:t>”</w:t>
      </w:r>
      <w:r w:rsidR="00D50F86" w:rsidRPr="00D50F86">
        <w:rPr>
          <w:rFonts w:ascii="Garamond" w:hAnsi="Garamond"/>
          <w:sz w:val="22"/>
          <w:szCs w:val="22"/>
        </w:rPr>
        <w:t xml:space="preserve"> and </w:t>
      </w:r>
      <w:r w:rsidR="00F90508">
        <w:rPr>
          <w:rFonts w:ascii="Garamond" w:hAnsi="Garamond"/>
          <w:sz w:val="22"/>
          <w:szCs w:val="22"/>
        </w:rPr>
        <w:t>“</w:t>
      </w:r>
      <w:r w:rsidR="00D50F86" w:rsidRPr="00D50F86">
        <w:rPr>
          <w:rFonts w:ascii="Garamond" w:hAnsi="Garamond"/>
          <w:sz w:val="22"/>
          <w:szCs w:val="22"/>
        </w:rPr>
        <w:t>Fuel</w:t>
      </w:r>
      <w:r w:rsidR="00F90508">
        <w:rPr>
          <w:rFonts w:ascii="Garamond" w:hAnsi="Garamond"/>
          <w:sz w:val="22"/>
          <w:szCs w:val="22"/>
        </w:rPr>
        <w:t>”</w:t>
      </w:r>
      <w:r w:rsidR="00D50F86" w:rsidRPr="00D50F86">
        <w:rPr>
          <w:rFonts w:ascii="Garamond" w:hAnsi="Garamond"/>
          <w:sz w:val="22"/>
          <w:szCs w:val="22"/>
        </w:rPr>
        <w:t xml:space="preserve"> </w:t>
      </w:r>
      <w:r w:rsidR="00F90508">
        <w:rPr>
          <w:rFonts w:ascii="Garamond" w:hAnsi="Garamond"/>
          <w:sz w:val="22"/>
          <w:szCs w:val="22"/>
        </w:rPr>
        <w:t xml:space="preserve">had dropped early in the year. </w:t>
      </w:r>
      <w:r w:rsidR="009F46B5">
        <w:rPr>
          <w:rFonts w:ascii="Garamond" w:hAnsi="Garamond"/>
          <w:sz w:val="22"/>
          <w:szCs w:val="22"/>
        </w:rPr>
        <w:t>T</w:t>
      </w:r>
      <w:r w:rsidR="008C1DD3" w:rsidRPr="008C1DD3">
        <w:rPr>
          <w:rFonts w:ascii="Garamond" w:hAnsi="Garamond"/>
          <w:sz w:val="22"/>
          <w:szCs w:val="22"/>
        </w:rPr>
        <w:t>he</w:t>
      </w:r>
      <w:r w:rsidR="00D708C5">
        <w:rPr>
          <w:rFonts w:ascii="Garamond" w:hAnsi="Garamond"/>
          <w:sz w:val="22"/>
          <w:szCs w:val="22"/>
        </w:rPr>
        <w:t>re is anticipation</w:t>
      </w:r>
      <w:r w:rsidR="009F46B5">
        <w:rPr>
          <w:rFonts w:ascii="Garamond" w:hAnsi="Garamond"/>
          <w:sz w:val="22"/>
          <w:szCs w:val="22"/>
        </w:rPr>
        <w:t>, however,</w:t>
      </w:r>
      <w:r w:rsidR="00D708C5">
        <w:rPr>
          <w:rFonts w:ascii="Garamond" w:hAnsi="Garamond"/>
          <w:sz w:val="22"/>
          <w:szCs w:val="22"/>
        </w:rPr>
        <w:t xml:space="preserve"> that </w:t>
      </w:r>
      <w:r w:rsidR="009F46B5">
        <w:rPr>
          <w:rFonts w:ascii="Garamond" w:hAnsi="Garamond"/>
          <w:sz w:val="22"/>
          <w:szCs w:val="22"/>
        </w:rPr>
        <w:t>th</w:t>
      </w:r>
      <w:r w:rsidR="00F90508">
        <w:rPr>
          <w:rFonts w:ascii="Garamond" w:hAnsi="Garamond"/>
          <w:sz w:val="22"/>
          <w:szCs w:val="22"/>
        </w:rPr>
        <w:t xml:space="preserve">e above fall in egg and meat prices will be </w:t>
      </w:r>
      <w:r w:rsidR="00867895" w:rsidRPr="00867895">
        <w:rPr>
          <w:rFonts w:ascii="Garamond" w:hAnsi="Garamond"/>
          <w:sz w:val="22"/>
          <w:szCs w:val="22"/>
        </w:rPr>
        <w:t xml:space="preserve">temporary </w:t>
      </w:r>
      <w:r w:rsidR="00F90508">
        <w:rPr>
          <w:rFonts w:ascii="Garamond" w:hAnsi="Garamond"/>
          <w:sz w:val="22"/>
          <w:szCs w:val="22"/>
        </w:rPr>
        <w:t xml:space="preserve">and </w:t>
      </w:r>
      <w:r w:rsidR="00867895" w:rsidRPr="00867895">
        <w:rPr>
          <w:rFonts w:ascii="Garamond" w:hAnsi="Garamond"/>
          <w:sz w:val="22"/>
          <w:szCs w:val="22"/>
        </w:rPr>
        <w:t xml:space="preserve">that </w:t>
      </w:r>
      <w:r w:rsidR="00F90508">
        <w:rPr>
          <w:rFonts w:ascii="Garamond" w:hAnsi="Garamond"/>
          <w:sz w:val="22"/>
          <w:szCs w:val="22"/>
        </w:rPr>
        <w:t xml:space="preserve">the </w:t>
      </w:r>
      <w:r w:rsidR="008848BB">
        <w:rPr>
          <w:rFonts w:ascii="Garamond" w:hAnsi="Garamond"/>
          <w:sz w:val="22"/>
          <w:szCs w:val="22"/>
        </w:rPr>
        <w:t>i</w:t>
      </w:r>
      <w:r w:rsidR="00F90508" w:rsidRPr="00F90508">
        <w:rPr>
          <w:rFonts w:ascii="Garamond" w:hAnsi="Garamond"/>
          <w:sz w:val="22"/>
          <w:szCs w:val="22"/>
        </w:rPr>
        <w:t xml:space="preserve">nflation will </w:t>
      </w:r>
      <w:r w:rsidR="008848BB">
        <w:rPr>
          <w:rFonts w:ascii="Garamond" w:hAnsi="Garamond"/>
          <w:sz w:val="22"/>
          <w:szCs w:val="22"/>
        </w:rPr>
        <w:t>rebound at a faster rate and be</w:t>
      </w:r>
      <w:r w:rsidR="008848BB" w:rsidRPr="008848BB">
        <w:rPr>
          <w:rFonts w:ascii="Garamond" w:hAnsi="Garamond"/>
          <w:sz w:val="22"/>
          <w:szCs w:val="22"/>
        </w:rPr>
        <w:t xml:space="preserve"> in line with the previous forecast. On the other hand, it should be noted once again that, </w:t>
      </w:r>
      <w:r w:rsidR="008848BB">
        <w:rPr>
          <w:rFonts w:ascii="Garamond" w:hAnsi="Garamond"/>
          <w:sz w:val="22"/>
          <w:szCs w:val="22"/>
        </w:rPr>
        <w:t xml:space="preserve">because of </w:t>
      </w:r>
      <w:r w:rsidR="008848BB" w:rsidRPr="008848BB">
        <w:rPr>
          <w:rFonts w:ascii="Garamond" w:hAnsi="Garamond"/>
          <w:sz w:val="22"/>
          <w:szCs w:val="22"/>
        </w:rPr>
        <w:t xml:space="preserve">the epidemic situation, the uncertainty over current forecasts has </w:t>
      </w:r>
      <w:r w:rsidR="008848BB">
        <w:rPr>
          <w:rFonts w:ascii="Garamond" w:hAnsi="Garamond"/>
          <w:sz w:val="22"/>
          <w:szCs w:val="22"/>
        </w:rPr>
        <w:t xml:space="preserve">grown </w:t>
      </w:r>
      <w:r w:rsidR="008848BB" w:rsidRPr="008848BB">
        <w:rPr>
          <w:rFonts w:ascii="Garamond" w:hAnsi="Garamond"/>
          <w:sz w:val="22"/>
          <w:szCs w:val="22"/>
        </w:rPr>
        <w:t>sharply</w:t>
      </w:r>
      <w:r w:rsidR="008848BB">
        <w:rPr>
          <w:rFonts w:ascii="Garamond" w:hAnsi="Garamond"/>
          <w:sz w:val="22"/>
          <w:szCs w:val="22"/>
        </w:rPr>
        <w:t xml:space="preserve"> relative to </w:t>
      </w:r>
      <w:r w:rsidR="008848BB" w:rsidRPr="008848BB">
        <w:rPr>
          <w:rFonts w:ascii="Garamond" w:hAnsi="Garamond"/>
          <w:sz w:val="22"/>
          <w:szCs w:val="22"/>
        </w:rPr>
        <w:t>the previous quarter.</w:t>
      </w:r>
      <w:r w:rsidR="008848BB">
        <w:rPr>
          <w:rFonts w:ascii="Garamond" w:hAnsi="Garamond"/>
          <w:sz w:val="22"/>
          <w:szCs w:val="22"/>
        </w:rPr>
        <w:t xml:space="preserve"> </w:t>
      </w:r>
    </w:p>
    <w:p w14:paraId="5C995F05" w14:textId="77777777" w:rsidR="002A0418" w:rsidRPr="00EE5F0F" w:rsidRDefault="00A928A7" w:rsidP="00EE619D">
      <w:pPr>
        <w:autoSpaceDE w:val="0"/>
        <w:autoSpaceDN w:val="0"/>
        <w:adjustRightInd w:val="0"/>
        <w:spacing w:after="120" w:line="360" w:lineRule="auto"/>
        <w:jc w:val="both"/>
        <w:rPr>
          <w:rFonts w:ascii="Garamond" w:hAnsi="Garamond"/>
          <w:sz w:val="22"/>
          <w:szCs w:val="22"/>
        </w:rPr>
      </w:pPr>
      <w:r w:rsidRPr="00A928A7">
        <w:rPr>
          <w:rFonts w:ascii="Garamond" w:hAnsi="Garamond"/>
          <w:b/>
          <w:sz w:val="22"/>
          <w:szCs w:val="22"/>
        </w:rPr>
        <w:t xml:space="preserve">Short-term inflation expectations will </w:t>
      </w:r>
      <w:r>
        <w:rPr>
          <w:rFonts w:ascii="Garamond" w:hAnsi="Garamond"/>
          <w:b/>
          <w:sz w:val="22"/>
          <w:szCs w:val="22"/>
        </w:rPr>
        <w:t xml:space="preserve">linger </w:t>
      </w:r>
      <w:r w:rsidR="00287511">
        <w:rPr>
          <w:rFonts w:ascii="Garamond" w:hAnsi="Garamond"/>
          <w:b/>
          <w:sz w:val="22"/>
          <w:szCs w:val="22"/>
        </w:rPr>
        <w:t>close to the value</w:t>
      </w:r>
      <w:r>
        <w:rPr>
          <w:rFonts w:ascii="Garamond" w:hAnsi="Garamond"/>
          <w:b/>
          <w:sz w:val="22"/>
          <w:szCs w:val="22"/>
        </w:rPr>
        <w:t xml:space="preserve"> </w:t>
      </w:r>
      <w:r w:rsidR="00340D9F">
        <w:rPr>
          <w:rFonts w:ascii="Garamond" w:hAnsi="Garamond"/>
          <w:b/>
          <w:sz w:val="22"/>
          <w:szCs w:val="22"/>
        </w:rPr>
        <w:t xml:space="preserve">of previous </w:t>
      </w:r>
      <w:r w:rsidR="00287511">
        <w:rPr>
          <w:rFonts w:ascii="Garamond" w:hAnsi="Garamond"/>
          <w:b/>
          <w:sz w:val="22"/>
          <w:szCs w:val="22"/>
        </w:rPr>
        <w:t xml:space="preserve">prediction, determined by </w:t>
      </w:r>
      <w:r w:rsidRPr="00A928A7">
        <w:rPr>
          <w:rFonts w:ascii="Garamond" w:hAnsi="Garamond"/>
          <w:b/>
          <w:sz w:val="22"/>
          <w:szCs w:val="22"/>
        </w:rPr>
        <w:t>relative</w:t>
      </w:r>
      <w:r w:rsidR="00B15F79">
        <w:rPr>
          <w:rFonts w:ascii="Garamond" w:hAnsi="Garamond"/>
          <w:b/>
          <w:sz w:val="22"/>
          <w:szCs w:val="22"/>
        </w:rPr>
        <w:t xml:space="preserve">ly steady </w:t>
      </w:r>
      <w:r>
        <w:rPr>
          <w:rFonts w:ascii="Garamond" w:hAnsi="Garamond"/>
          <w:b/>
          <w:sz w:val="22"/>
          <w:szCs w:val="22"/>
        </w:rPr>
        <w:t xml:space="preserve">core </w:t>
      </w:r>
      <w:r w:rsidRPr="00A928A7">
        <w:rPr>
          <w:rFonts w:ascii="Garamond" w:hAnsi="Garamond"/>
          <w:b/>
          <w:sz w:val="22"/>
          <w:szCs w:val="22"/>
        </w:rPr>
        <w:t>inflation rates</w:t>
      </w:r>
      <w:r w:rsidR="00B15F79">
        <w:rPr>
          <w:rFonts w:ascii="Garamond" w:hAnsi="Garamond"/>
          <w:b/>
          <w:sz w:val="22"/>
          <w:szCs w:val="22"/>
        </w:rPr>
        <w:t xml:space="preserve"> at </w:t>
      </w:r>
      <w:r w:rsidR="00287511">
        <w:rPr>
          <w:rFonts w:ascii="Garamond" w:hAnsi="Garamond"/>
          <w:b/>
          <w:sz w:val="22"/>
          <w:szCs w:val="22"/>
        </w:rPr>
        <w:t>the moment</w:t>
      </w:r>
      <w:r w:rsidR="00B15F79">
        <w:rPr>
          <w:rFonts w:ascii="Garamond" w:hAnsi="Garamond"/>
          <w:b/>
          <w:sz w:val="22"/>
          <w:szCs w:val="22"/>
        </w:rPr>
        <w:t xml:space="preserve"> and how slowly it m</w:t>
      </w:r>
      <w:r w:rsidR="00287511">
        <w:rPr>
          <w:rFonts w:ascii="Garamond" w:hAnsi="Garamond"/>
          <w:b/>
          <w:sz w:val="22"/>
          <w:szCs w:val="22"/>
        </w:rPr>
        <w:t>ay</w:t>
      </w:r>
      <w:r w:rsidR="00B15F79">
        <w:rPr>
          <w:rFonts w:ascii="Garamond" w:hAnsi="Garamond"/>
          <w:b/>
          <w:sz w:val="22"/>
          <w:szCs w:val="22"/>
        </w:rPr>
        <w:t xml:space="preserve"> recover later on.</w:t>
      </w:r>
      <w:r w:rsidR="00C34BCA" w:rsidRPr="00EE5F0F">
        <w:rPr>
          <w:rFonts w:ascii="Garamond" w:hAnsi="Garamond"/>
          <w:b/>
          <w:sz w:val="22"/>
          <w:szCs w:val="22"/>
        </w:rPr>
        <w:t xml:space="preserve"> </w:t>
      </w:r>
    </w:p>
    <w:p w14:paraId="17AD93B2" w14:textId="77777777" w:rsidR="00565F75" w:rsidRDefault="00565F75" w:rsidP="00EE619D">
      <w:pPr>
        <w:autoSpaceDE w:val="0"/>
        <w:autoSpaceDN w:val="0"/>
        <w:adjustRightInd w:val="0"/>
        <w:spacing w:after="120" w:line="360" w:lineRule="auto"/>
        <w:jc w:val="both"/>
        <w:rPr>
          <w:rFonts w:ascii="Garamond" w:hAnsi="Garamond"/>
          <w:b/>
          <w:color w:val="0070C0"/>
          <w:sz w:val="22"/>
          <w:szCs w:val="22"/>
        </w:rPr>
      </w:pPr>
    </w:p>
    <w:p w14:paraId="6F59A85B" w14:textId="77777777" w:rsidR="00815906" w:rsidRPr="00EE5F0F" w:rsidRDefault="00815906" w:rsidP="00EE619D">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2.2.4. Main assumptions and risks</w:t>
      </w:r>
    </w:p>
    <w:p w14:paraId="6EDF730F" w14:textId="77777777" w:rsidR="00815906" w:rsidRDefault="00C95BEF"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This section </w:t>
      </w:r>
      <w:r w:rsidR="009A6F46" w:rsidRPr="00EE5F0F">
        <w:rPr>
          <w:rFonts w:ascii="Garamond" w:hAnsi="Garamond"/>
          <w:sz w:val="22"/>
          <w:szCs w:val="22"/>
        </w:rPr>
        <w:t>contains</w:t>
      </w:r>
      <w:r w:rsidRPr="00EE5F0F">
        <w:rPr>
          <w:rFonts w:ascii="Garamond" w:hAnsi="Garamond"/>
          <w:sz w:val="22"/>
          <w:szCs w:val="22"/>
        </w:rPr>
        <w:t xml:space="preserve"> the main assumptions underlying the Monetary</w:t>
      </w:r>
      <w:r w:rsidR="00815906" w:rsidRPr="00EE5F0F">
        <w:rPr>
          <w:rFonts w:ascii="Garamond" w:hAnsi="Garamond"/>
          <w:sz w:val="22"/>
          <w:szCs w:val="22"/>
        </w:rPr>
        <w:t xml:space="preserve"> </w:t>
      </w:r>
      <w:r w:rsidRPr="00EE5F0F">
        <w:rPr>
          <w:rFonts w:ascii="Garamond" w:hAnsi="Garamond"/>
          <w:sz w:val="22"/>
          <w:szCs w:val="22"/>
        </w:rPr>
        <w:t>P</w:t>
      </w:r>
      <w:r w:rsidR="00815906" w:rsidRPr="00EE5F0F">
        <w:rPr>
          <w:rFonts w:ascii="Garamond" w:hAnsi="Garamond"/>
          <w:sz w:val="22"/>
          <w:szCs w:val="22"/>
        </w:rPr>
        <w:t xml:space="preserve">olicy </w:t>
      </w:r>
      <w:r w:rsidRPr="00EE5F0F">
        <w:rPr>
          <w:rFonts w:ascii="Garamond" w:hAnsi="Garamond"/>
          <w:sz w:val="22"/>
          <w:szCs w:val="22"/>
        </w:rPr>
        <w:t xml:space="preserve">Program for the </w:t>
      </w:r>
      <w:r w:rsidR="00750F8C">
        <w:rPr>
          <w:rFonts w:ascii="Garamond" w:hAnsi="Garamond"/>
          <w:sz w:val="22"/>
          <w:szCs w:val="22"/>
        </w:rPr>
        <w:t>f</w:t>
      </w:r>
      <w:r w:rsidR="00287511">
        <w:rPr>
          <w:rFonts w:ascii="Garamond" w:hAnsi="Garamond"/>
          <w:sz w:val="22"/>
          <w:szCs w:val="22"/>
        </w:rPr>
        <w:t xml:space="preserve">irst </w:t>
      </w:r>
      <w:r w:rsidRPr="00EE5F0F">
        <w:rPr>
          <w:rFonts w:ascii="Garamond" w:hAnsi="Garamond"/>
          <w:sz w:val="22"/>
          <w:szCs w:val="22"/>
        </w:rPr>
        <w:t>quarter of 20</w:t>
      </w:r>
      <w:r w:rsidR="00287511">
        <w:rPr>
          <w:rFonts w:ascii="Garamond" w:hAnsi="Garamond"/>
          <w:sz w:val="22"/>
          <w:szCs w:val="22"/>
        </w:rPr>
        <w:t>20</w:t>
      </w:r>
      <w:r w:rsidRPr="00EE5F0F">
        <w:rPr>
          <w:rFonts w:ascii="Garamond" w:hAnsi="Garamond"/>
          <w:sz w:val="22"/>
          <w:szCs w:val="22"/>
        </w:rPr>
        <w:t xml:space="preserve"> and the </w:t>
      </w:r>
      <w:r w:rsidR="00815906" w:rsidRPr="00EE5F0F">
        <w:rPr>
          <w:rFonts w:ascii="Garamond" w:hAnsi="Garamond"/>
          <w:sz w:val="22"/>
          <w:szCs w:val="22"/>
        </w:rPr>
        <w:t xml:space="preserve">risks </w:t>
      </w:r>
      <w:r w:rsidRPr="00EE5F0F">
        <w:rPr>
          <w:rFonts w:ascii="Garamond" w:hAnsi="Garamond"/>
          <w:sz w:val="22"/>
          <w:szCs w:val="22"/>
        </w:rPr>
        <w:t>to implementation of the program</w:t>
      </w:r>
      <w:r w:rsidR="00C90711" w:rsidRPr="00EE5F0F">
        <w:rPr>
          <w:rFonts w:ascii="Garamond" w:hAnsi="Garamond"/>
          <w:sz w:val="22"/>
          <w:szCs w:val="22"/>
        </w:rPr>
        <w:t>, which</w:t>
      </w:r>
      <w:r w:rsidR="00FA0C20" w:rsidRPr="00EE5F0F">
        <w:rPr>
          <w:rFonts w:ascii="Garamond" w:hAnsi="Garamond"/>
          <w:sz w:val="22"/>
          <w:szCs w:val="22"/>
        </w:rPr>
        <w:t xml:space="preserve"> </w:t>
      </w:r>
      <w:r w:rsidR="00815906" w:rsidRPr="00EE5F0F">
        <w:rPr>
          <w:rFonts w:ascii="Garamond" w:hAnsi="Garamond"/>
          <w:sz w:val="22"/>
          <w:szCs w:val="22"/>
        </w:rPr>
        <w:t xml:space="preserve">derive from </w:t>
      </w:r>
      <w:r w:rsidR="00FA0C20" w:rsidRPr="00EE5F0F">
        <w:rPr>
          <w:rFonts w:ascii="Garamond" w:hAnsi="Garamond"/>
          <w:sz w:val="22"/>
          <w:szCs w:val="22"/>
        </w:rPr>
        <w:t xml:space="preserve">the </w:t>
      </w:r>
      <w:r w:rsidR="00815906" w:rsidRPr="00EE5F0F">
        <w:rPr>
          <w:rFonts w:ascii="Garamond" w:hAnsi="Garamond"/>
          <w:sz w:val="22"/>
          <w:szCs w:val="22"/>
        </w:rPr>
        <w:t xml:space="preserve">external sector developments, </w:t>
      </w:r>
      <w:r w:rsidR="00FA0C20" w:rsidRPr="00EE5F0F">
        <w:rPr>
          <w:rFonts w:ascii="Garamond" w:hAnsi="Garamond"/>
          <w:sz w:val="22"/>
          <w:szCs w:val="22"/>
        </w:rPr>
        <w:t xml:space="preserve">the </w:t>
      </w:r>
      <w:r w:rsidR="00815906" w:rsidRPr="00EE5F0F">
        <w:rPr>
          <w:rFonts w:ascii="Garamond" w:hAnsi="Garamond"/>
          <w:sz w:val="22"/>
          <w:szCs w:val="22"/>
        </w:rPr>
        <w:t>fiscal policy</w:t>
      </w:r>
      <w:r w:rsidR="00B15F79">
        <w:rPr>
          <w:rFonts w:ascii="Garamond" w:hAnsi="Garamond"/>
          <w:sz w:val="22"/>
          <w:szCs w:val="22"/>
        </w:rPr>
        <w:t xml:space="preserve"> implementation</w:t>
      </w:r>
      <w:r w:rsidR="00815906" w:rsidRPr="00EE5F0F">
        <w:rPr>
          <w:rFonts w:ascii="Garamond" w:hAnsi="Garamond"/>
          <w:sz w:val="22"/>
          <w:szCs w:val="22"/>
        </w:rPr>
        <w:t xml:space="preserve">, </w:t>
      </w:r>
      <w:r w:rsidR="008904D7">
        <w:rPr>
          <w:rFonts w:ascii="Garamond" w:hAnsi="Garamond"/>
          <w:sz w:val="22"/>
          <w:szCs w:val="22"/>
        </w:rPr>
        <w:t xml:space="preserve">current </w:t>
      </w:r>
      <w:r w:rsidR="00815906" w:rsidRPr="00EE5F0F">
        <w:rPr>
          <w:rFonts w:ascii="Garamond" w:hAnsi="Garamond"/>
          <w:sz w:val="22"/>
          <w:szCs w:val="22"/>
        </w:rPr>
        <w:t xml:space="preserve">trends and short-term forecasts. </w:t>
      </w:r>
    </w:p>
    <w:tbl>
      <w:tblPr>
        <w:tblStyle w:val="TableGrid"/>
        <w:tblW w:w="0" w:type="auto"/>
        <w:tblLook w:val="04A0" w:firstRow="1" w:lastRow="0" w:firstColumn="1" w:lastColumn="0" w:noHBand="0" w:noVBand="1"/>
      </w:tblPr>
      <w:tblGrid>
        <w:gridCol w:w="9350"/>
      </w:tblGrid>
      <w:tr w:rsidR="00467C2C" w:rsidRPr="00EE5F0F" w14:paraId="5CE9417A" w14:textId="77777777" w:rsidTr="00630144">
        <w:trPr>
          <w:trHeight w:val="1070"/>
        </w:trPr>
        <w:tc>
          <w:tcPr>
            <w:tcW w:w="9350" w:type="dxa"/>
          </w:tcPr>
          <w:p w14:paraId="66F46B4E" w14:textId="77777777" w:rsidR="00467C2C" w:rsidRPr="00CF2C97" w:rsidRDefault="00287511" w:rsidP="006966A5">
            <w:pPr>
              <w:autoSpaceDE w:val="0"/>
              <w:autoSpaceDN w:val="0"/>
              <w:adjustRightInd w:val="0"/>
              <w:spacing w:after="120" w:line="360" w:lineRule="auto"/>
              <w:jc w:val="both"/>
              <w:rPr>
                <w:rFonts w:ascii="Garamond" w:hAnsi="Garamond"/>
                <w:b/>
                <w:color w:val="0070C0"/>
                <w:sz w:val="21"/>
                <w:szCs w:val="21"/>
              </w:rPr>
            </w:pPr>
            <w:r>
              <w:rPr>
                <w:rFonts w:ascii="Garamond" w:hAnsi="Garamond"/>
                <w:b/>
                <w:color w:val="0070C0"/>
                <w:sz w:val="21"/>
                <w:szCs w:val="21"/>
              </w:rPr>
              <w:t>Box 4</w:t>
            </w:r>
            <w:r w:rsidR="00467C2C" w:rsidRPr="00CF2C97">
              <w:rPr>
                <w:rFonts w:ascii="Garamond" w:hAnsi="Garamond"/>
                <w:b/>
                <w:color w:val="0070C0"/>
                <w:sz w:val="21"/>
                <w:szCs w:val="21"/>
              </w:rPr>
              <w:t>:</w:t>
            </w:r>
          </w:p>
          <w:p w14:paraId="5E70CE9E" w14:textId="77777777" w:rsidR="00467C2C" w:rsidRPr="00CF2C97" w:rsidRDefault="00467C2C" w:rsidP="006966A5">
            <w:pPr>
              <w:autoSpaceDE w:val="0"/>
              <w:autoSpaceDN w:val="0"/>
              <w:adjustRightInd w:val="0"/>
              <w:spacing w:after="120" w:line="360" w:lineRule="auto"/>
              <w:jc w:val="both"/>
              <w:rPr>
                <w:rFonts w:ascii="Garamond" w:hAnsi="Garamond"/>
                <w:b/>
                <w:color w:val="0070C0"/>
                <w:sz w:val="21"/>
                <w:szCs w:val="21"/>
              </w:rPr>
            </w:pPr>
            <w:r w:rsidRPr="00CF2C97">
              <w:rPr>
                <w:rFonts w:ascii="Garamond" w:hAnsi="Garamond"/>
                <w:b/>
                <w:color w:val="0070C0"/>
                <w:sz w:val="21"/>
                <w:szCs w:val="21"/>
              </w:rPr>
              <w:t>The results of survey on expectations by the households and the financial system</w:t>
            </w:r>
          </w:p>
          <w:p w14:paraId="28AB7235" w14:textId="77777777" w:rsidR="00467C2C" w:rsidRPr="00EE5F0F" w:rsidRDefault="00467C2C" w:rsidP="00630144">
            <w:pPr>
              <w:autoSpaceDE w:val="0"/>
              <w:autoSpaceDN w:val="0"/>
              <w:adjustRightInd w:val="0"/>
              <w:spacing w:after="120" w:line="360" w:lineRule="auto"/>
              <w:jc w:val="both"/>
              <w:rPr>
                <w:rFonts w:ascii="Garamond" w:hAnsi="Garamond"/>
                <w:b/>
                <w:color w:val="0070C0"/>
                <w:sz w:val="22"/>
                <w:szCs w:val="22"/>
              </w:rPr>
            </w:pPr>
            <w:r w:rsidRPr="00CF2C97">
              <w:rPr>
                <w:rFonts w:ascii="Garamond" w:hAnsi="Garamond"/>
                <w:sz w:val="21"/>
                <w:szCs w:val="21"/>
              </w:rPr>
              <w:lastRenderedPageBreak/>
              <w:t xml:space="preserve">The </w:t>
            </w:r>
            <w:r w:rsidR="00287511">
              <w:rPr>
                <w:rFonts w:ascii="Garamond" w:hAnsi="Garamond"/>
                <w:sz w:val="21"/>
                <w:szCs w:val="21"/>
              </w:rPr>
              <w:t xml:space="preserve">fourth </w:t>
            </w:r>
            <w:r w:rsidR="00E45B45">
              <w:rPr>
                <w:rFonts w:ascii="Garamond" w:hAnsi="Garamond"/>
                <w:sz w:val="21"/>
                <w:szCs w:val="21"/>
              </w:rPr>
              <w:t xml:space="preserve">quarter </w:t>
            </w:r>
            <w:r w:rsidR="00F42D25" w:rsidRPr="00CF2C97">
              <w:rPr>
                <w:rFonts w:ascii="Garamond" w:hAnsi="Garamond"/>
                <w:sz w:val="21"/>
                <w:szCs w:val="21"/>
              </w:rPr>
              <w:t>201</w:t>
            </w:r>
            <w:r w:rsidR="00F42D25">
              <w:rPr>
                <w:rFonts w:ascii="Garamond" w:hAnsi="Garamond"/>
                <w:sz w:val="21"/>
                <w:szCs w:val="21"/>
              </w:rPr>
              <w:t xml:space="preserve">9 </w:t>
            </w:r>
            <w:r w:rsidR="00F42D25" w:rsidRPr="00CF2C97">
              <w:rPr>
                <w:rFonts w:ascii="Garamond" w:hAnsi="Garamond"/>
                <w:sz w:val="21"/>
                <w:szCs w:val="21"/>
              </w:rPr>
              <w:t>survey on se</w:t>
            </w:r>
            <w:r w:rsidR="00F42D25">
              <w:rPr>
                <w:rFonts w:ascii="Garamond" w:hAnsi="Garamond"/>
                <w:sz w:val="21"/>
                <w:szCs w:val="21"/>
              </w:rPr>
              <w:t>lected macroeconomic indicators</w:t>
            </w:r>
            <w:r w:rsidR="00F42D25" w:rsidRPr="00CF2C97">
              <w:rPr>
                <w:rFonts w:ascii="Garamond" w:hAnsi="Garamond"/>
                <w:sz w:val="21"/>
                <w:szCs w:val="21"/>
              </w:rPr>
              <w:t xml:space="preserve"> </w:t>
            </w:r>
            <w:r w:rsidR="00287511">
              <w:rPr>
                <w:rFonts w:ascii="Garamond" w:hAnsi="Garamond"/>
                <w:sz w:val="21"/>
                <w:szCs w:val="21"/>
              </w:rPr>
              <w:t>t</w:t>
            </w:r>
            <w:r w:rsidR="008131AC">
              <w:rPr>
                <w:rFonts w:ascii="Garamond" w:hAnsi="Garamond"/>
                <w:sz w:val="21"/>
                <w:szCs w:val="21"/>
              </w:rPr>
              <w:t xml:space="preserve">he Central Bank </w:t>
            </w:r>
            <w:r w:rsidR="00287511">
              <w:rPr>
                <w:rFonts w:ascii="Garamond" w:hAnsi="Garamond"/>
                <w:sz w:val="21"/>
                <w:szCs w:val="21"/>
              </w:rPr>
              <w:t xml:space="preserve">conducted through </w:t>
            </w:r>
            <w:r w:rsidR="00F42D25" w:rsidRPr="00CF2C97">
              <w:rPr>
                <w:rFonts w:ascii="Garamond" w:hAnsi="Garamond"/>
                <w:sz w:val="21"/>
                <w:szCs w:val="21"/>
              </w:rPr>
              <w:t xml:space="preserve">inquiries among households </w:t>
            </w:r>
            <w:r w:rsidR="00287511" w:rsidRPr="00630144">
              <w:rPr>
                <w:rFonts w:ascii="Garamond" w:hAnsi="Garamond"/>
                <w:sz w:val="21"/>
                <w:szCs w:val="21"/>
              </w:rPr>
              <w:t xml:space="preserve">suggest </w:t>
            </w:r>
            <w:r w:rsidR="00F42D25" w:rsidRPr="00630144">
              <w:rPr>
                <w:rFonts w:ascii="Garamond" w:hAnsi="Garamond"/>
                <w:sz w:val="21"/>
                <w:szCs w:val="21"/>
              </w:rPr>
              <w:t xml:space="preserve">that </w:t>
            </w:r>
            <w:r w:rsidR="00630144">
              <w:rPr>
                <w:rFonts w:ascii="Garamond" w:hAnsi="Garamond"/>
                <w:sz w:val="21"/>
                <w:szCs w:val="21"/>
              </w:rPr>
              <w:t xml:space="preserve">in the reporting quarter </w:t>
            </w:r>
            <w:r w:rsidRPr="00630144">
              <w:rPr>
                <w:rFonts w:ascii="Garamond" w:hAnsi="Garamond"/>
                <w:sz w:val="21"/>
                <w:szCs w:val="21"/>
              </w:rPr>
              <w:t>inflation</w:t>
            </w:r>
            <w:r w:rsidRPr="00CF2C97">
              <w:rPr>
                <w:rFonts w:ascii="Garamond" w:hAnsi="Garamond"/>
                <w:sz w:val="21"/>
                <w:szCs w:val="21"/>
              </w:rPr>
              <w:t xml:space="preserve"> expectations </w:t>
            </w:r>
            <w:r w:rsidR="00630144">
              <w:rPr>
                <w:rFonts w:ascii="Garamond" w:hAnsi="Garamond"/>
                <w:sz w:val="21"/>
                <w:szCs w:val="21"/>
              </w:rPr>
              <w:t xml:space="preserve">remained much the same compared </w:t>
            </w:r>
            <w:r w:rsidR="00E45B45">
              <w:rPr>
                <w:rFonts w:ascii="Garamond" w:hAnsi="Garamond"/>
                <w:sz w:val="21"/>
                <w:szCs w:val="21"/>
              </w:rPr>
              <w:t>to the previous quarter.</w:t>
            </w:r>
            <w:r w:rsidRPr="00CF2C97">
              <w:rPr>
                <w:rFonts w:ascii="Garamond" w:hAnsi="Garamond"/>
                <w:sz w:val="21"/>
                <w:szCs w:val="21"/>
              </w:rPr>
              <w:t xml:space="preserve"> </w:t>
            </w:r>
            <w:r w:rsidR="0038793E">
              <w:rPr>
                <w:rFonts w:ascii="Garamond" w:hAnsi="Garamond"/>
                <w:sz w:val="21"/>
                <w:szCs w:val="21"/>
              </w:rPr>
              <w:t xml:space="preserve">Specifically, </w:t>
            </w:r>
            <w:r w:rsidR="006573EF" w:rsidRPr="00CF2C97">
              <w:rPr>
                <w:rFonts w:ascii="Garamond" w:hAnsi="Garamond"/>
                <w:sz w:val="21"/>
                <w:szCs w:val="21"/>
              </w:rPr>
              <w:t xml:space="preserve">the share of households expecting </w:t>
            </w:r>
            <w:r w:rsidR="005B015A" w:rsidRPr="00CF2C97">
              <w:rPr>
                <w:rFonts w:ascii="Garamond" w:hAnsi="Garamond"/>
                <w:sz w:val="21"/>
                <w:szCs w:val="21"/>
              </w:rPr>
              <w:t xml:space="preserve">high and </w:t>
            </w:r>
            <w:r w:rsidR="00407D23">
              <w:rPr>
                <w:rFonts w:ascii="Garamond" w:hAnsi="Garamond"/>
                <w:sz w:val="21"/>
                <w:szCs w:val="21"/>
              </w:rPr>
              <w:t xml:space="preserve">very </w:t>
            </w:r>
            <w:r w:rsidR="006573EF" w:rsidRPr="00CF2C97">
              <w:rPr>
                <w:rFonts w:ascii="Garamond" w:hAnsi="Garamond"/>
                <w:sz w:val="21"/>
                <w:szCs w:val="21"/>
              </w:rPr>
              <w:t>high inflation rate</w:t>
            </w:r>
            <w:r w:rsidR="000612ED">
              <w:rPr>
                <w:rFonts w:ascii="Garamond" w:hAnsi="Garamond"/>
                <w:sz w:val="21"/>
                <w:szCs w:val="21"/>
              </w:rPr>
              <w:t>s</w:t>
            </w:r>
            <w:r w:rsidR="005B015A" w:rsidRPr="00CF2C97">
              <w:rPr>
                <w:rFonts w:ascii="Garamond" w:hAnsi="Garamond"/>
                <w:sz w:val="21"/>
                <w:szCs w:val="21"/>
              </w:rPr>
              <w:t xml:space="preserve"> for a one-year horizon </w:t>
            </w:r>
            <w:r w:rsidR="00407D23">
              <w:rPr>
                <w:rFonts w:ascii="Garamond" w:hAnsi="Garamond"/>
                <w:sz w:val="21"/>
                <w:szCs w:val="21"/>
              </w:rPr>
              <w:t>continues to be small</w:t>
            </w:r>
            <w:r w:rsidR="00630144">
              <w:rPr>
                <w:rFonts w:ascii="Garamond" w:hAnsi="Garamond"/>
                <w:sz w:val="21"/>
                <w:szCs w:val="21"/>
              </w:rPr>
              <w:t xml:space="preserve"> in total respondent base</w:t>
            </w:r>
            <w:r w:rsidR="005B015A" w:rsidRPr="00CF2C97">
              <w:rPr>
                <w:rFonts w:ascii="Garamond" w:hAnsi="Garamond"/>
                <w:sz w:val="21"/>
                <w:szCs w:val="21"/>
              </w:rPr>
              <w:t>.</w:t>
            </w:r>
            <w:r w:rsidR="00630144">
              <w:rPr>
                <w:rFonts w:ascii="Garamond" w:hAnsi="Garamond"/>
                <w:sz w:val="21"/>
                <w:szCs w:val="21"/>
              </w:rPr>
              <w:t xml:space="preserve"> N</w:t>
            </w:r>
            <w:r w:rsidR="00630144" w:rsidRPr="00630144">
              <w:rPr>
                <w:rFonts w:ascii="Garamond" w:hAnsi="Garamond"/>
                <w:sz w:val="21"/>
                <w:szCs w:val="21"/>
              </w:rPr>
              <w:t>o</w:t>
            </w:r>
            <w:r w:rsidR="00630144">
              <w:rPr>
                <w:rFonts w:ascii="Garamond" w:hAnsi="Garamond"/>
                <w:sz w:val="21"/>
                <w:szCs w:val="21"/>
              </w:rPr>
              <w:t>te that</w:t>
            </w:r>
            <w:r w:rsidR="00630144" w:rsidRPr="00630144">
              <w:rPr>
                <w:rFonts w:ascii="Garamond" w:hAnsi="Garamond"/>
                <w:sz w:val="21"/>
                <w:szCs w:val="21"/>
              </w:rPr>
              <w:t xml:space="preserve"> </w:t>
            </w:r>
            <w:r w:rsidR="00630144">
              <w:rPr>
                <w:rFonts w:ascii="Garamond" w:hAnsi="Garamond"/>
                <w:sz w:val="21"/>
                <w:szCs w:val="21"/>
              </w:rPr>
              <w:t>no considerable c</w:t>
            </w:r>
            <w:r w:rsidR="00630144" w:rsidRPr="00630144">
              <w:rPr>
                <w:rFonts w:ascii="Garamond" w:hAnsi="Garamond"/>
                <w:sz w:val="21"/>
                <w:szCs w:val="21"/>
              </w:rPr>
              <w:t xml:space="preserve">hanges in inflation expectations </w:t>
            </w:r>
            <w:r w:rsidR="00630144">
              <w:rPr>
                <w:rFonts w:ascii="Garamond" w:hAnsi="Garamond"/>
                <w:sz w:val="21"/>
                <w:szCs w:val="21"/>
              </w:rPr>
              <w:t xml:space="preserve">on the back of some depreciation of the Armenian dram </w:t>
            </w:r>
            <w:r w:rsidR="00630144" w:rsidRPr="00630144">
              <w:rPr>
                <w:rFonts w:ascii="Garamond" w:hAnsi="Garamond"/>
                <w:sz w:val="21"/>
                <w:szCs w:val="21"/>
              </w:rPr>
              <w:t>against the US dollar were observed in the first quarter.</w:t>
            </w:r>
          </w:p>
        </w:tc>
      </w:tr>
    </w:tbl>
    <w:p w14:paraId="0DE4B5B7" w14:textId="77777777" w:rsidR="005C6536" w:rsidRPr="00EE5F0F" w:rsidRDefault="005C6536" w:rsidP="005C6536">
      <w:pPr>
        <w:autoSpaceDE w:val="0"/>
        <w:autoSpaceDN w:val="0"/>
        <w:adjustRightInd w:val="0"/>
        <w:spacing w:after="120" w:line="360" w:lineRule="auto"/>
        <w:jc w:val="both"/>
        <w:rPr>
          <w:rFonts w:ascii="Garamond" w:hAnsi="Garamond"/>
          <w:sz w:val="22"/>
          <w:szCs w:val="22"/>
        </w:rPr>
      </w:pPr>
    </w:p>
    <w:p w14:paraId="12813AF5" w14:textId="77777777" w:rsidR="005C6536" w:rsidRPr="00EE5F0F" w:rsidRDefault="005C6536" w:rsidP="005C6536">
      <w:pPr>
        <w:autoSpaceDE w:val="0"/>
        <w:autoSpaceDN w:val="0"/>
        <w:adjustRightInd w:val="0"/>
        <w:spacing w:after="120" w:line="360" w:lineRule="auto"/>
        <w:jc w:val="both"/>
        <w:rPr>
          <w:rFonts w:ascii="Garamond" w:hAnsi="Garamond"/>
          <w:b/>
          <w:sz w:val="22"/>
          <w:szCs w:val="22"/>
        </w:rPr>
      </w:pPr>
      <w:r w:rsidRPr="00EE5F0F">
        <w:rPr>
          <w:rFonts w:ascii="Garamond" w:hAnsi="Garamond"/>
          <w:b/>
          <w:sz w:val="22"/>
          <w:szCs w:val="22"/>
        </w:rPr>
        <w:t>Forecast assumptions</w:t>
      </w:r>
      <w:r w:rsidR="00FA46F4" w:rsidRPr="00EE5F0F">
        <w:rPr>
          <w:rFonts w:ascii="Garamond" w:hAnsi="Garamond"/>
          <w:b/>
          <w:sz w:val="22"/>
          <w:szCs w:val="22"/>
        </w:rPr>
        <w:t xml:space="preserve"> </w:t>
      </w:r>
    </w:p>
    <w:p w14:paraId="1A068BF0" w14:textId="77777777" w:rsidR="005C6536" w:rsidRPr="000A2CFF" w:rsidRDefault="004C4C65" w:rsidP="005C6536">
      <w:pPr>
        <w:autoSpaceDE w:val="0"/>
        <w:autoSpaceDN w:val="0"/>
        <w:adjustRightInd w:val="0"/>
        <w:spacing w:after="120" w:line="360" w:lineRule="auto"/>
        <w:jc w:val="both"/>
        <w:rPr>
          <w:rFonts w:ascii="Garamond" w:hAnsi="Garamond" w:cs="Sylfaen"/>
          <w:b/>
          <w:i/>
          <w:iCs/>
          <w:color w:val="C00000"/>
          <w:sz w:val="22"/>
          <w:szCs w:val="22"/>
        </w:rPr>
      </w:pPr>
      <w:r w:rsidRPr="000A2CFF">
        <w:rPr>
          <w:rFonts w:ascii="Garamond" w:hAnsi="Garamond"/>
          <w:b/>
          <w:color w:val="C00000"/>
          <w:sz w:val="22"/>
          <w:szCs w:val="22"/>
        </w:rPr>
        <w:t>Table 3</w:t>
      </w:r>
      <w:r w:rsidR="005C6536" w:rsidRPr="000A2CFF">
        <w:rPr>
          <w:rFonts w:ascii="Garamond" w:hAnsi="Garamond"/>
          <w:b/>
          <w:color w:val="C00000"/>
          <w:sz w:val="22"/>
          <w:szCs w:val="22"/>
        </w:rPr>
        <w:t>:</w:t>
      </w:r>
      <w:r w:rsidR="00DA0E4F" w:rsidRPr="000A2CFF">
        <w:rPr>
          <w:rFonts w:ascii="Garamond" w:hAnsi="Garamond"/>
          <w:b/>
          <w:color w:val="C00000"/>
          <w:sz w:val="22"/>
          <w:szCs w:val="22"/>
        </w:rPr>
        <w:t xml:space="preserve"> </w:t>
      </w:r>
    </w:p>
    <w:tbl>
      <w:tblPr>
        <w:tblStyle w:val="TableGrid"/>
        <w:tblW w:w="6243" w:type="dxa"/>
        <w:tblInd w:w="43" w:type="dxa"/>
        <w:tblLayout w:type="fixed"/>
        <w:tblCellMar>
          <w:left w:w="57" w:type="dxa"/>
          <w:right w:w="57" w:type="dxa"/>
        </w:tblCellMar>
        <w:tblLook w:val="04A0" w:firstRow="1" w:lastRow="0" w:firstColumn="1" w:lastColumn="0" w:noHBand="0" w:noVBand="1"/>
      </w:tblPr>
      <w:tblGrid>
        <w:gridCol w:w="1715"/>
        <w:gridCol w:w="4528"/>
      </w:tblGrid>
      <w:tr w:rsidR="005C6536" w:rsidRPr="00EE5F0F" w14:paraId="52A86592" w14:textId="77777777" w:rsidTr="54AE272E">
        <w:trPr>
          <w:trHeight w:val="20"/>
        </w:trPr>
        <w:tc>
          <w:tcPr>
            <w:tcW w:w="1715" w:type="dxa"/>
            <w:vAlign w:val="center"/>
          </w:tcPr>
          <w:p w14:paraId="3B9502BE" w14:textId="77777777" w:rsidR="005C6536" w:rsidRPr="00EE5F0F" w:rsidRDefault="005C6536" w:rsidP="004D4A0F">
            <w:pPr>
              <w:spacing w:before="30" w:after="30"/>
              <w:rPr>
                <w:rFonts w:ascii="Garamond" w:eastAsia="Calibri" w:hAnsi="Garamond" w:cs="GHEA Grapalat"/>
                <w:b/>
                <w:sz w:val="22"/>
                <w:szCs w:val="22"/>
                <w:lang w:val="hy-AM"/>
              </w:rPr>
            </w:pPr>
            <w:r w:rsidRPr="00EE5F0F">
              <w:rPr>
                <w:rFonts w:ascii="Garamond" w:hAnsi="Garamond" w:cs="Sylfaen"/>
                <w:b/>
                <w:sz w:val="22"/>
                <w:szCs w:val="22"/>
              </w:rPr>
              <w:t xml:space="preserve">Main </w:t>
            </w:r>
            <w:proofErr w:type="spellStart"/>
            <w:r w:rsidRPr="00EE5F0F">
              <w:rPr>
                <w:rFonts w:ascii="Garamond" w:hAnsi="Garamond" w:cs="Sylfaen"/>
                <w:b/>
                <w:sz w:val="22"/>
                <w:szCs w:val="22"/>
                <w:lang w:val="hy-AM"/>
              </w:rPr>
              <w:t>judgments</w:t>
            </w:r>
            <w:proofErr w:type="spellEnd"/>
            <w:r w:rsidRPr="00EE5F0F">
              <w:rPr>
                <w:rFonts w:ascii="Garamond" w:hAnsi="Garamond" w:cs="Sylfaen"/>
                <w:b/>
                <w:sz w:val="22"/>
                <w:szCs w:val="22"/>
                <w:lang w:val="hy-AM"/>
              </w:rPr>
              <w:t xml:space="preserve"> </w:t>
            </w:r>
            <w:proofErr w:type="spellStart"/>
            <w:r w:rsidRPr="00EE5F0F">
              <w:rPr>
                <w:rFonts w:ascii="Garamond" w:hAnsi="Garamond" w:cs="Sylfaen"/>
                <w:b/>
                <w:sz w:val="22"/>
                <w:szCs w:val="22"/>
                <w:lang w:val="hy-AM"/>
              </w:rPr>
              <w:t>and</w:t>
            </w:r>
            <w:proofErr w:type="spellEnd"/>
            <w:r w:rsidRPr="00EE5F0F">
              <w:rPr>
                <w:rFonts w:ascii="Garamond" w:hAnsi="Garamond" w:cs="Sylfaen"/>
                <w:b/>
                <w:sz w:val="22"/>
                <w:szCs w:val="22"/>
                <w:lang w:val="hy-AM"/>
              </w:rPr>
              <w:t xml:space="preserve"> </w:t>
            </w:r>
            <w:proofErr w:type="spellStart"/>
            <w:r w:rsidRPr="00EE5F0F">
              <w:rPr>
                <w:rFonts w:ascii="Garamond" w:hAnsi="Garamond" w:cs="Sylfaen"/>
                <w:b/>
                <w:sz w:val="22"/>
                <w:szCs w:val="22"/>
                <w:lang w:val="hy-AM"/>
              </w:rPr>
              <w:t>assumptions</w:t>
            </w:r>
            <w:proofErr w:type="spellEnd"/>
          </w:p>
        </w:tc>
        <w:tc>
          <w:tcPr>
            <w:tcW w:w="4528" w:type="dxa"/>
            <w:vAlign w:val="center"/>
          </w:tcPr>
          <w:p w14:paraId="329472C9" w14:textId="77777777" w:rsidR="005C6536" w:rsidRPr="00EE5F0F" w:rsidRDefault="005C6536" w:rsidP="007859CB">
            <w:pPr>
              <w:spacing w:before="30" w:after="30"/>
              <w:rPr>
                <w:rFonts w:ascii="Garamond" w:eastAsia="Calibri" w:hAnsi="Garamond" w:cs="GHEA Grapalat"/>
                <w:b/>
                <w:sz w:val="22"/>
                <w:szCs w:val="22"/>
              </w:rPr>
            </w:pPr>
            <w:r w:rsidRPr="00EE5F0F">
              <w:rPr>
                <w:rFonts w:ascii="Garamond" w:eastAsia="Calibri" w:hAnsi="Garamond" w:cs="GHEA Grapalat"/>
                <w:b/>
                <w:sz w:val="22"/>
                <w:szCs w:val="22"/>
              </w:rPr>
              <w:t>P</w:t>
            </w:r>
            <w:proofErr w:type="spellStart"/>
            <w:r w:rsidRPr="00EE5F0F">
              <w:rPr>
                <w:rFonts w:ascii="Garamond" w:eastAsia="Calibri" w:hAnsi="Garamond" w:cs="GHEA Grapalat"/>
                <w:b/>
                <w:sz w:val="22"/>
                <w:szCs w:val="22"/>
                <w:lang w:val="hy-AM"/>
              </w:rPr>
              <w:t>ossible</w:t>
            </w:r>
            <w:proofErr w:type="spellEnd"/>
            <w:r w:rsidRPr="00EE5F0F">
              <w:rPr>
                <w:rFonts w:ascii="Garamond" w:eastAsia="Calibri" w:hAnsi="Garamond" w:cs="GHEA Grapalat"/>
                <w:b/>
                <w:sz w:val="22"/>
                <w:szCs w:val="22"/>
                <w:lang w:val="hy-AM"/>
              </w:rPr>
              <w:t xml:space="preserve"> </w:t>
            </w:r>
            <w:proofErr w:type="spellStart"/>
            <w:r w:rsidRPr="00EE5F0F">
              <w:rPr>
                <w:rFonts w:ascii="Garamond" w:eastAsia="Calibri" w:hAnsi="Garamond" w:cs="GHEA Grapalat"/>
                <w:b/>
                <w:sz w:val="22"/>
                <w:szCs w:val="22"/>
                <w:lang w:val="hy-AM"/>
              </w:rPr>
              <w:t>developments</w:t>
            </w:r>
            <w:proofErr w:type="spellEnd"/>
            <w:r w:rsidR="006C3065">
              <w:rPr>
                <w:rFonts w:ascii="Garamond" w:eastAsia="Calibri" w:hAnsi="Garamond" w:cs="GHEA Grapalat"/>
                <w:b/>
                <w:sz w:val="22"/>
                <w:szCs w:val="22"/>
              </w:rPr>
              <w:t>,</w:t>
            </w:r>
            <w:r w:rsidRPr="00EE5F0F">
              <w:rPr>
                <w:rFonts w:ascii="Garamond" w:eastAsia="Calibri" w:hAnsi="Garamond" w:cs="GHEA Grapalat"/>
                <w:b/>
                <w:sz w:val="22"/>
                <w:szCs w:val="22"/>
                <w:lang w:val="hy-AM"/>
              </w:rPr>
              <w:t xml:space="preserve"> i</w:t>
            </w:r>
            <w:r w:rsidR="000A2CFF">
              <w:rPr>
                <w:rFonts w:ascii="Garamond" w:eastAsia="Calibri" w:hAnsi="Garamond" w:cs="GHEA Grapalat"/>
                <w:b/>
                <w:sz w:val="22"/>
                <w:szCs w:val="22"/>
              </w:rPr>
              <w:t>f</w:t>
            </w:r>
            <w:r w:rsidR="00FA46F4" w:rsidRPr="00EE5F0F">
              <w:rPr>
                <w:rFonts w:ascii="Garamond" w:eastAsia="Calibri" w:hAnsi="Garamond" w:cs="GHEA Grapalat"/>
                <w:b/>
                <w:sz w:val="22"/>
                <w:szCs w:val="22"/>
              </w:rPr>
              <w:t xml:space="preserve"> th</w:t>
            </w:r>
            <w:r w:rsidR="006C3065">
              <w:rPr>
                <w:rFonts w:ascii="Garamond" w:eastAsia="Calibri" w:hAnsi="Garamond" w:cs="GHEA Grapalat"/>
                <w:b/>
                <w:sz w:val="22"/>
                <w:szCs w:val="22"/>
              </w:rPr>
              <w:t xml:space="preserve">is </w:t>
            </w:r>
            <w:r w:rsidR="00FA46F4" w:rsidRPr="00EE5F0F">
              <w:rPr>
                <w:rFonts w:ascii="Garamond" w:eastAsia="Calibri" w:hAnsi="Garamond" w:cs="GHEA Grapalat"/>
                <w:b/>
                <w:sz w:val="22"/>
                <w:szCs w:val="22"/>
              </w:rPr>
              <w:t xml:space="preserve">assumption </w:t>
            </w:r>
            <w:r w:rsidR="00A241EA" w:rsidRPr="00EE5F0F">
              <w:rPr>
                <w:rFonts w:ascii="Garamond" w:eastAsia="Calibri" w:hAnsi="Garamond" w:cs="GHEA Grapalat"/>
                <w:b/>
                <w:sz w:val="22"/>
                <w:szCs w:val="22"/>
              </w:rPr>
              <w:t>proves correct</w:t>
            </w:r>
            <w:r w:rsidRPr="00EE5F0F">
              <w:rPr>
                <w:rFonts w:ascii="Garamond" w:eastAsia="Calibri" w:hAnsi="Garamond" w:cs="GHEA Grapalat"/>
                <w:b/>
                <w:sz w:val="22"/>
                <w:szCs w:val="22"/>
              </w:rPr>
              <w:t xml:space="preserve"> </w:t>
            </w:r>
          </w:p>
        </w:tc>
      </w:tr>
      <w:tr w:rsidR="00630144" w:rsidRPr="00EE5F0F" w14:paraId="1936E1F3" w14:textId="77777777" w:rsidTr="54AE272E">
        <w:trPr>
          <w:trHeight w:val="20"/>
        </w:trPr>
        <w:tc>
          <w:tcPr>
            <w:tcW w:w="1715" w:type="dxa"/>
            <w:vAlign w:val="center"/>
          </w:tcPr>
          <w:p w14:paraId="546573EA" w14:textId="77777777" w:rsidR="00630144" w:rsidRPr="00EA7210" w:rsidRDefault="00630144" w:rsidP="00EA7210">
            <w:pPr>
              <w:spacing w:before="30" w:after="30"/>
              <w:rPr>
                <w:rFonts w:ascii="Garamond" w:hAnsi="Garamond" w:cs="Sylfaen"/>
                <w:sz w:val="18"/>
                <w:szCs w:val="18"/>
              </w:rPr>
            </w:pPr>
            <w:r w:rsidRPr="00EA7210">
              <w:rPr>
                <w:rFonts w:ascii="Garamond" w:hAnsi="Garamond" w:cs="Sylfaen"/>
                <w:sz w:val="18"/>
                <w:szCs w:val="18"/>
              </w:rPr>
              <w:t xml:space="preserve">The coronavirus </w:t>
            </w:r>
            <w:r w:rsidR="001652DA" w:rsidRPr="00EA7210">
              <w:rPr>
                <w:rFonts w:ascii="Garamond" w:hAnsi="Garamond" w:cs="Sylfaen"/>
                <w:sz w:val="18"/>
                <w:szCs w:val="18"/>
              </w:rPr>
              <w:t xml:space="preserve">will hit </w:t>
            </w:r>
            <w:r w:rsidRPr="00EA7210">
              <w:rPr>
                <w:rFonts w:ascii="Garamond" w:hAnsi="Garamond" w:cs="Sylfaen"/>
                <w:sz w:val="18"/>
                <w:szCs w:val="18"/>
              </w:rPr>
              <w:t xml:space="preserve">the world economy </w:t>
            </w:r>
            <w:r w:rsidR="001652DA" w:rsidRPr="00EA7210">
              <w:rPr>
                <w:rFonts w:ascii="Garamond" w:hAnsi="Garamond" w:cs="Sylfaen"/>
                <w:sz w:val="18"/>
                <w:szCs w:val="18"/>
              </w:rPr>
              <w:t>in a</w:t>
            </w:r>
            <w:r w:rsidR="00EA7210">
              <w:rPr>
                <w:rFonts w:ascii="Garamond" w:hAnsi="Garamond" w:cs="Sylfaen"/>
                <w:sz w:val="18"/>
                <w:szCs w:val="18"/>
              </w:rPr>
              <w:t xml:space="preserve"> very </w:t>
            </w:r>
            <w:r w:rsidRPr="00EA7210">
              <w:rPr>
                <w:rFonts w:ascii="Garamond" w:hAnsi="Garamond" w:cs="Sylfaen"/>
                <w:sz w:val="18"/>
                <w:szCs w:val="18"/>
              </w:rPr>
              <w:t>negative</w:t>
            </w:r>
            <w:r w:rsidR="001652DA" w:rsidRPr="00EA7210">
              <w:rPr>
                <w:rFonts w:ascii="Garamond" w:hAnsi="Garamond" w:cs="Sylfaen"/>
                <w:sz w:val="18"/>
                <w:szCs w:val="18"/>
              </w:rPr>
              <w:t xml:space="preserve"> way</w:t>
            </w:r>
            <w:r w:rsidRPr="00EA7210">
              <w:rPr>
                <w:rFonts w:ascii="Garamond" w:hAnsi="Garamond" w:cs="Sylfaen"/>
                <w:sz w:val="18"/>
                <w:szCs w:val="18"/>
              </w:rPr>
              <w:t xml:space="preserve">. The main blow will be </w:t>
            </w:r>
            <w:r w:rsidR="001652DA" w:rsidRPr="00EA7210">
              <w:rPr>
                <w:rFonts w:ascii="Garamond" w:hAnsi="Garamond" w:cs="Sylfaen"/>
                <w:sz w:val="18"/>
                <w:szCs w:val="18"/>
              </w:rPr>
              <w:t xml:space="preserve">apparent </w:t>
            </w:r>
            <w:r w:rsidRPr="00EA7210">
              <w:rPr>
                <w:rFonts w:ascii="Garamond" w:hAnsi="Garamond" w:cs="Sylfaen"/>
                <w:sz w:val="18"/>
                <w:szCs w:val="18"/>
              </w:rPr>
              <w:t>in the first half of the year, and in the second half</w:t>
            </w:r>
            <w:r w:rsidR="00EA7210" w:rsidRPr="00EA7210">
              <w:rPr>
                <w:rFonts w:ascii="Garamond" w:hAnsi="Garamond" w:cs="Sylfaen"/>
                <w:sz w:val="18"/>
                <w:szCs w:val="18"/>
              </w:rPr>
              <w:t xml:space="preserve"> a</w:t>
            </w:r>
            <w:r w:rsidRPr="00EA7210">
              <w:rPr>
                <w:rFonts w:ascii="Garamond" w:hAnsi="Garamond" w:cs="Sylfaen"/>
                <w:sz w:val="18"/>
                <w:szCs w:val="18"/>
              </w:rPr>
              <w:t xml:space="preserve"> partial recovery o</w:t>
            </w:r>
            <w:r w:rsidR="00EA7210" w:rsidRPr="00EA7210">
              <w:rPr>
                <w:rFonts w:ascii="Garamond" w:hAnsi="Garamond" w:cs="Sylfaen"/>
                <w:sz w:val="18"/>
                <w:szCs w:val="18"/>
              </w:rPr>
              <w:t>f the world economy is probable</w:t>
            </w:r>
            <w:r w:rsidR="00B04E5A">
              <w:rPr>
                <w:rFonts w:ascii="Garamond" w:hAnsi="Garamond" w:cs="Sylfaen"/>
                <w:sz w:val="18"/>
                <w:szCs w:val="18"/>
              </w:rPr>
              <w:t>.</w:t>
            </w:r>
          </w:p>
        </w:tc>
        <w:tc>
          <w:tcPr>
            <w:tcW w:w="4528" w:type="dxa"/>
            <w:vAlign w:val="center"/>
          </w:tcPr>
          <w:p w14:paraId="59D65416" w14:textId="77777777" w:rsidR="00AD7275" w:rsidRDefault="00C814E3" w:rsidP="00EA7210">
            <w:pPr>
              <w:spacing w:before="30" w:after="30"/>
              <w:rPr>
                <w:rFonts w:ascii="Garamond" w:eastAsia="Calibri" w:hAnsi="Garamond" w:cs="GHEA Grapalat"/>
                <w:sz w:val="18"/>
                <w:szCs w:val="18"/>
              </w:rPr>
            </w:pPr>
            <w:r>
              <w:rPr>
                <w:rFonts w:ascii="Garamond" w:eastAsia="Calibri" w:hAnsi="Garamond" w:cs="GHEA Grapalat"/>
                <w:sz w:val="18"/>
                <w:szCs w:val="18"/>
              </w:rPr>
              <w:t xml:space="preserve">- </w:t>
            </w:r>
            <w:r w:rsidR="00EA7210" w:rsidRPr="00EA7210">
              <w:rPr>
                <w:rFonts w:ascii="Garamond" w:eastAsia="Calibri" w:hAnsi="Garamond" w:cs="GHEA Grapalat"/>
                <w:sz w:val="18"/>
                <w:szCs w:val="18"/>
              </w:rPr>
              <w:t xml:space="preserve">The spread of the virus </w:t>
            </w:r>
            <w:r w:rsidR="00EA7210">
              <w:rPr>
                <w:rFonts w:ascii="Garamond" w:eastAsia="Calibri" w:hAnsi="Garamond" w:cs="GHEA Grapalat"/>
                <w:sz w:val="18"/>
                <w:szCs w:val="18"/>
              </w:rPr>
              <w:t xml:space="preserve">and the measures to fight it </w:t>
            </w:r>
            <w:r w:rsidR="00EA7210" w:rsidRPr="00EA7210">
              <w:rPr>
                <w:rFonts w:ascii="Garamond" w:eastAsia="Calibri" w:hAnsi="Garamond" w:cs="GHEA Grapalat"/>
                <w:sz w:val="18"/>
                <w:szCs w:val="18"/>
              </w:rPr>
              <w:t xml:space="preserve">will </w:t>
            </w:r>
            <w:r w:rsidR="00EA7210">
              <w:rPr>
                <w:rFonts w:ascii="Garamond" w:eastAsia="Calibri" w:hAnsi="Garamond" w:cs="GHEA Grapalat"/>
                <w:sz w:val="18"/>
                <w:szCs w:val="18"/>
              </w:rPr>
              <w:t>determine</w:t>
            </w:r>
            <w:r w:rsidR="00EA7210" w:rsidRPr="00EA7210">
              <w:rPr>
                <w:rFonts w:ascii="Garamond" w:eastAsia="Calibri" w:hAnsi="Garamond" w:cs="GHEA Grapalat"/>
                <w:sz w:val="18"/>
                <w:szCs w:val="18"/>
              </w:rPr>
              <w:t xml:space="preserve"> a sharp decline in </w:t>
            </w:r>
            <w:r w:rsidR="00EA7210">
              <w:rPr>
                <w:rFonts w:ascii="Garamond" w:eastAsia="Calibri" w:hAnsi="Garamond" w:cs="GHEA Grapalat"/>
                <w:sz w:val="18"/>
                <w:szCs w:val="18"/>
              </w:rPr>
              <w:t xml:space="preserve">economic activities in </w:t>
            </w:r>
            <w:r w:rsidR="00EA7210" w:rsidRPr="00EA7210">
              <w:rPr>
                <w:rFonts w:ascii="Garamond" w:eastAsia="Calibri" w:hAnsi="Garamond" w:cs="GHEA Grapalat"/>
                <w:sz w:val="18"/>
                <w:szCs w:val="18"/>
              </w:rPr>
              <w:t>the US</w:t>
            </w:r>
            <w:r w:rsidR="00EA7210">
              <w:rPr>
                <w:rFonts w:ascii="Garamond" w:eastAsia="Calibri" w:hAnsi="Garamond" w:cs="GHEA Grapalat"/>
                <w:sz w:val="18"/>
                <w:szCs w:val="18"/>
              </w:rPr>
              <w:t>A</w:t>
            </w:r>
            <w:r w:rsidR="00EA7210" w:rsidRPr="00EA7210">
              <w:rPr>
                <w:rFonts w:ascii="Garamond" w:eastAsia="Calibri" w:hAnsi="Garamond" w:cs="GHEA Grapalat"/>
                <w:sz w:val="18"/>
                <w:szCs w:val="18"/>
              </w:rPr>
              <w:t xml:space="preserve"> and the Eurozone and </w:t>
            </w:r>
            <w:r w:rsidR="00EA7210">
              <w:rPr>
                <w:rFonts w:ascii="Garamond" w:eastAsia="Calibri" w:hAnsi="Garamond" w:cs="GHEA Grapalat"/>
                <w:sz w:val="18"/>
                <w:szCs w:val="18"/>
              </w:rPr>
              <w:t xml:space="preserve">lead to a slackened </w:t>
            </w:r>
            <w:r w:rsidR="00EA7210" w:rsidRPr="00EA7210">
              <w:rPr>
                <w:rFonts w:ascii="Garamond" w:eastAsia="Calibri" w:hAnsi="Garamond" w:cs="GHEA Grapalat"/>
                <w:sz w:val="18"/>
                <w:szCs w:val="18"/>
              </w:rPr>
              <w:t>global economy</w:t>
            </w:r>
            <w:r w:rsidR="00EA7210">
              <w:rPr>
                <w:rFonts w:ascii="Garamond" w:eastAsia="Calibri" w:hAnsi="Garamond" w:cs="GHEA Grapalat"/>
                <w:sz w:val="18"/>
                <w:szCs w:val="18"/>
              </w:rPr>
              <w:t xml:space="preserve"> on the whole</w:t>
            </w:r>
            <w:r w:rsidR="00EA7210" w:rsidRPr="00EA7210">
              <w:rPr>
                <w:rFonts w:ascii="Garamond" w:eastAsia="Calibri" w:hAnsi="Garamond" w:cs="GHEA Grapalat"/>
                <w:sz w:val="18"/>
                <w:szCs w:val="18"/>
              </w:rPr>
              <w:t xml:space="preserve">. </w:t>
            </w:r>
            <w:r w:rsidR="00EA7210">
              <w:rPr>
                <w:rFonts w:ascii="Garamond" w:eastAsia="Calibri" w:hAnsi="Garamond" w:cs="GHEA Grapalat"/>
                <w:sz w:val="18"/>
                <w:szCs w:val="18"/>
              </w:rPr>
              <w:t xml:space="preserve">It will come along with </w:t>
            </w:r>
            <w:r w:rsidR="00EA7210" w:rsidRPr="00EA7210">
              <w:rPr>
                <w:rFonts w:ascii="Garamond" w:eastAsia="Calibri" w:hAnsi="Garamond" w:cs="GHEA Grapalat"/>
                <w:sz w:val="18"/>
                <w:szCs w:val="18"/>
              </w:rPr>
              <w:t xml:space="preserve">reduction in the </w:t>
            </w:r>
            <w:r w:rsidR="00AD7275" w:rsidRPr="00EA7210">
              <w:rPr>
                <w:rFonts w:ascii="Garamond" w:eastAsia="Calibri" w:hAnsi="Garamond" w:cs="GHEA Grapalat"/>
                <w:sz w:val="18"/>
                <w:szCs w:val="18"/>
              </w:rPr>
              <w:t xml:space="preserve">labor </w:t>
            </w:r>
            <w:r w:rsidR="00EA7210" w:rsidRPr="00EA7210">
              <w:rPr>
                <w:rFonts w:ascii="Garamond" w:eastAsia="Calibri" w:hAnsi="Garamond" w:cs="GHEA Grapalat"/>
                <w:sz w:val="18"/>
                <w:szCs w:val="18"/>
              </w:rPr>
              <w:t>supply</w:t>
            </w:r>
            <w:r w:rsidR="00AD7275">
              <w:rPr>
                <w:rFonts w:ascii="Garamond" w:eastAsia="Calibri" w:hAnsi="Garamond" w:cs="GHEA Grapalat"/>
                <w:sz w:val="18"/>
                <w:szCs w:val="18"/>
              </w:rPr>
              <w:t>,</w:t>
            </w:r>
            <w:r w:rsidR="00EA7210" w:rsidRPr="00EA7210">
              <w:rPr>
                <w:rFonts w:ascii="Garamond" w:eastAsia="Calibri" w:hAnsi="Garamond" w:cs="GHEA Grapalat"/>
                <w:sz w:val="18"/>
                <w:szCs w:val="18"/>
              </w:rPr>
              <w:t xml:space="preserve"> </w:t>
            </w:r>
            <w:r w:rsidR="00AD7275">
              <w:rPr>
                <w:rFonts w:ascii="Garamond" w:eastAsia="Calibri" w:hAnsi="Garamond" w:cs="GHEA Grapalat"/>
                <w:sz w:val="18"/>
                <w:szCs w:val="18"/>
              </w:rPr>
              <w:t xml:space="preserve">with </w:t>
            </w:r>
            <w:r w:rsidR="00EA7210" w:rsidRPr="00EA7210">
              <w:rPr>
                <w:rFonts w:ascii="Garamond" w:eastAsia="Calibri" w:hAnsi="Garamond" w:cs="GHEA Grapalat"/>
                <w:sz w:val="18"/>
                <w:szCs w:val="18"/>
              </w:rPr>
              <w:t>only aggregate demand for short-term consumer goods, and a sharp decline in total investment in t</w:t>
            </w:r>
            <w:r w:rsidR="00AD7275">
              <w:rPr>
                <w:rFonts w:ascii="Garamond" w:eastAsia="Calibri" w:hAnsi="Garamond" w:cs="GHEA Grapalat"/>
                <w:sz w:val="18"/>
                <w:szCs w:val="18"/>
              </w:rPr>
              <w:t>he face of growing uncertainty.</w:t>
            </w:r>
          </w:p>
          <w:p w14:paraId="1DFB58D0" w14:textId="77777777" w:rsidR="00EA7210" w:rsidRPr="00EA7210" w:rsidRDefault="00C814E3" w:rsidP="00EA7210">
            <w:pPr>
              <w:spacing w:before="30" w:after="30"/>
              <w:rPr>
                <w:rFonts w:ascii="Garamond" w:eastAsia="Calibri" w:hAnsi="Garamond" w:cs="GHEA Grapalat"/>
                <w:sz w:val="18"/>
                <w:szCs w:val="18"/>
              </w:rPr>
            </w:pPr>
            <w:r>
              <w:rPr>
                <w:rFonts w:ascii="Garamond" w:eastAsia="Calibri" w:hAnsi="Garamond" w:cs="GHEA Grapalat"/>
                <w:sz w:val="18"/>
                <w:szCs w:val="18"/>
              </w:rPr>
              <w:t xml:space="preserve">- </w:t>
            </w:r>
            <w:r w:rsidR="00EA7210" w:rsidRPr="00EA7210">
              <w:rPr>
                <w:rFonts w:ascii="Garamond" w:eastAsia="Calibri" w:hAnsi="Garamond" w:cs="GHEA Grapalat"/>
                <w:sz w:val="18"/>
                <w:szCs w:val="18"/>
              </w:rPr>
              <w:t>Low inflationary environment a</w:t>
            </w:r>
            <w:r w:rsidR="00AD7275">
              <w:rPr>
                <w:rFonts w:ascii="Garamond" w:eastAsia="Calibri" w:hAnsi="Garamond" w:cs="GHEA Grapalat"/>
                <w:sz w:val="18"/>
                <w:szCs w:val="18"/>
              </w:rPr>
              <w:t xml:space="preserve">nd slower growth rates amid a </w:t>
            </w:r>
            <w:r w:rsidR="00EA7210" w:rsidRPr="00EA7210">
              <w:rPr>
                <w:rFonts w:ascii="Garamond" w:eastAsia="Calibri" w:hAnsi="Garamond" w:cs="GHEA Grapalat"/>
                <w:sz w:val="18"/>
                <w:szCs w:val="18"/>
              </w:rPr>
              <w:t>s</w:t>
            </w:r>
            <w:r w:rsidR="00AD7275">
              <w:rPr>
                <w:rFonts w:ascii="Garamond" w:eastAsia="Calibri" w:hAnsi="Garamond" w:cs="GHEA Grapalat"/>
                <w:sz w:val="18"/>
                <w:szCs w:val="18"/>
              </w:rPr>
              <w:t>luggish g</w:t>
            </w:r>
            <w:r w:rsidR="00EA7210" w:rsidRPr="00EA7210">
              <w:rPr>
                <w:rFonts w:ascii="Garamond" w:eastAsia="Calibri" w:hAnsi="Garamond" w:cs="GHEA Grapalat"/>
                <w:sz w:val="18"/>
                <w:szCs w:val="18"/>
              </w:rPr>
              <w:t>lobal econom</w:t>
            </w:r>
            <w:r w:rsidR="00AD7275">
              <w:rPr>
                <w:rFonts w:ascii="Garamond" w:eastAsia="Calibri" w:hAnsi="Garamond" w:cs="GHEA Grapalat"/>
                <w:sz w:val="18"/>
                <w:szCs w:val="18"/>
              </w:rPr>
              <w:t>y</w:t>
            </w:r>
            <w:r w:rsidR="00EA7210" w:rsidRPr="00EA7210">
              <w:rPr>
                <w:rFonts w:ascii="Garamond" w:eastAsia="Calibri" w:hAnsi="Garamond" w:cs="GHEA Grapalat"/>
                <w:sz w:val="18"/>
                <w:szCs w:val="18"/>
              </w:rPr>
              <w:t xml:space="preserve"> demand will lead to lower interest rate policies in developed countries.</w:t>
            </w:r>
          </w:p>
          <w:p w14:paraId="3B47993E" w14:textId="77777777" w:rsidR="00EA7210" w:rsidRPr="00EA7210" w:rsidRDefault="00C814E3" w:rsidP="00EA7210">
            <w:pPr>
              <w:spacing w:before="30" w:after="30"/>
              <w:rPr>
                <w:rFonts w:ascii="Garamond" w:eastAsia="Calibri" w:hAnsi="Garamond" w:cs="GHEA Grapalat"/>
                <w:sz w:val="18"/>
                <w:szCs w:val="18"/>
              </w:rPr>
            </w:pPr>
            <w:r>
              <w:rPr>
                <w:rFonts w:ascii="Garamond" w:eastAsia="Calibri" w:hAnsi="Garamond" w:cs="GHEA Grapalat"/>
                <w:sz w:val="18"/>
                <w:szCs w:val="18"/>
              </w:rPr>
              <w:t xml:space="preserve">- </w:t>
            </w:r>
            <w:r w:rsidR="00EA7210" w:rsidRPr="00EA7210">
              <w:rPr>
                <w:rFonts w:ascii="Garamond" w:eastAsia="Calibri" w:hAnsi="Garamond" w:cs="GHEA Grapalat"/>
                <w:sz w:val="18"/>
                <w:szCs w:val="18"/>
              </w:rPr>
              <w:t xml:space="preserve">In the </w:t>
            </w:r>
            <w:r w:rsidR="00AD7275">
              <w:rPr>
                <w:rFonts w:ascii="Garamond" w:eastAsia="Calibri" w:hAnsi="Garamond" w:cs="GHEA Grapalat"/>
                <w:sz w:val="18"/>
                <w:szCs w:val="18"/>
              </w:rPr>
              <w:t xml:space="preserve">time of a global </w:t>
            </w:r>
            <w:r w:rsidR="00EA7210" w:rsidRPr="00EA7210">
              <w:rPr>
                <w:rFonts w:ascii="Garamond" w:eastAsia="Calibri" w:hAnsi="Garamond" w:cs="GHEA Grapalat"/>
                <w:sz w:val="18"/>
                <w:szCs w:val="18"/>
              </w:rPr>
              <w:t>econom</w:t>
            </w:r>
            <w:r w:rsidR="00AD7275">
              <w:rPr>
                <w:rFonts w:ascii="Garamond" w:eastAsia="Calibri" w:hAnsi="Garamond" w:cs="GHEA Grapalat"/>
                <w:sz w:val="18"/>
                <w:szCs w:val="18"/>
              </w:rPr>
              <w:t xml:space="preserve">ic slowdown </w:t>
            </w:r>
            <w:r w:rsidR="00AD7275" w:rsidRPr="00EA7210">
              <w:rPr>
                <w:rFonts w:ascii="Garamond" w:eastAsia="Calibri" w:hAnsi="Garamond" w:cs="GHEA Grapalat"/>
                <w:sz w:val="18"/>
                <w:szCs w:val="18"/>
              </w:rPr>
              <w:t>a</w:t>
            </w:r>
            <w:r w:rsidR="00AD7275">
              <w:rPr>
                <w:rFonts w:ascii="Garamond" w:eastAsia="Calibri" w:hAnsi="Garamond" w:cs="GHEA Grapalat"/>
                <w:sz w:val="18"/>
                <w:szCs w:val="18"/>
              </w:rPr>
              <w:t xml:space="preserve">nd growing </w:t>
            </w:r>
            <w:r w:rsidR="00AD7275" w:rsidRPr="00EA7210">
              <w:rPr>
                <w:rFonts w:ascii="Garamond" w:eastAsia="Calibri" w:hAnsi="Garamond" w:cs="GHEA Grapalat"/>
                <w:sz w:val="18"/>
                <w:szCs w:val="18"/>
              </w:rPr>
              <w:t xml:space="preserve">pessimistic expectations </w:t>
            </w:r>
            <w:r w:rsidR="00AD7275">
              <w:rPr>
                <w:rFonts w:ascii="Garamond" w:eastAsia="Calibri" w:hAnsi="Garamond" w:cs="GHEA Grapalat"/>
                <w:sz w:val="18"/>
                <w:szCs w:val="18"/>
              </w:rPr>
              <w:t xml:space="preserve">about </w:t>
            </w:r>
            <w:r w:rsidR="00AD7275" w:rsidRPr="00EA7210">
              <w:rPr>
                <w:rFonts w:ascii="Garamond" w:eastAsia="Calibri" w:hAnsi="Garamond" w:cs="GHEA Grapalat"/>
                <w:sz w:val="18"/>
                <w:szCs w:val="18"/>
              </w:rPr>
              <w:t>future developments</w:t>
            </w:r>
            <w:r w:rsidR="00AD7275">
              <w:rPr>
                <w:rFonts w:ascii="Garamond" w:eastAsia="Calibri" w:hAnsi="Garamond" w:cs="GHEA Grapalat"/>
                <w:sz w:val="18"/>
                <w:szCs w:val="18"/>
              </w:rPr>
              <w:t>,</w:t>
            </w:r>
            <w:r w:rsidR="00AD7275" w:rsidRPr="00EA7210">
              <w:rPr>
                <w:rFonts w:ascii="Garamond" w:eastAsia="Calibri" w:hAnsi="Garamond" w:cs="GHEA Grapalat"/>
                <w:sz w:val="18"/>
                <w:szCs w:val="18"/>
              </w:rPr>
              <w:t xml:space="preserve"> a low inflationary environment </w:t>
            </w:r>
            <w:r w:rsidR="00EA7210" w:rsidRPr="00EA7210">
              <w:rPr>
                <w:rFonts w:ascii="Garamond" w:eastAsia="Calibri" w:hAnsi="Garamond" w:cs="GHEA Grapalat"/>
                <w:sz w:val="18"/>
                <w:szCs w:val="18"/>
              </w:rPr>
              <w:t xml:space="preserve">in basic commodity </w:t>
            </w:r>
            <w:r w:rsidR="00AD7275">
              <w:rPr>
                <w:rFonts w:ascii="Garamond" w:eastAsia="Calibri" w:hAnsi="Garamond" w:cs="GHEA Grapalat"/>
                <w:sz w:val="18"/>
                <w:szCs w:val="18"/>
              </w:rPr>
              <w:t>markets is likely</w:t>
            </w:r>
            <w:r w:rsidR="00EA7210" w:rsidRPr="00EA7210">
              <w:rPr>
                <w:rFonts w:ascii="Garamond" w:eastAsia="Calibri" w:hAnsi="Garamond" w:cs="GHEA Grapalat"/>
                <w:sz w:val="18"/>
                <w:szCs w:val="18"/>
              </w:rPr>
              <w:t>.</w:t>
            </w:r>
          </w:p>
          <w:p w14:paraId="1419AAFF" w14:textId="77777777" w:rsidR="00630144" w:rsidRPr="00EA7210" w:rsidRDefault="00C814E3" w:rsidP="00AD7275">
            <w:pPr>
              <w:spacing w:before="30" w:after="30"/>
              <w:rPr>
                <w:rFonts w:ascii="Garamond" w:eastAsia="Calibri" w:hAnsi="Garamond" w:cs="GHEA Grapalat"/>
                <w:sz w:val="18"/>
                <w:szCs w:val="18"/>
              </w:rPr>
            </w:pPr>
            <w:r>
              <w:rPr>
                <w:rFonts w:ascii="Garamond" w:eastAsia="Calibri" w:hAnsi="Garamond" w:cs="GHEA Grapalat"/>
                <w:sz w:val="18"/>
                <w:szCs w:val="18"/>
              </w:rPr>
              <w:t xml:space="preserve">- </w:t>
            </w:r>
            <w:r w:rsidR="00EA7210" w:rsidRPr="00EA7210">
              <w:rPr>
                <w:rFonts w:ascii="Garamond" w:eastAsia="Calibri" w:hAnsi="Garamond" w:cs="GHEA Grapalat"/>
                <w:sz w:val="18"/>
                <w:szCs w:val="18"/>
              </w:rPr>
              <w:t>The spread of the coronavirus, measures to prevent it, the fall in international oil prices will slow down Russia</w:t>
            </w:r>
            <w:r w:rsidR="00AD7275">
              <w:rPr>
                <w:rFonts w:ascii="Garamond" w:eastAsia="Calibri" w:hAnsi="Garamond" w:cs="GHEA Grapalat"/>
                <w:sz w:val="18"/>
                <w:szCs w:val="18"/>
              </w:rPr>
              <w:t>’s</w:t>
            </w:r>
            <w:r w:rsidR="00EA7210" w:rsidRPr="00EA7210">
              <w:rPr>
                <w:rFonts w:ascii="Garamond" w:eastAsia="Calibri" w:hAnsi="Garamond" w:cs="GHEA Grapalat"/>
                <w:sz w:val="18"/>
                <w:szCs w:val="18"/>
              </w:rPr>
              <w:t xml:space="preserve"> econom</w:t>
            </w:r>
            <w:r w:rsidR="00AD7275">
              <w:rPr>
                <w:rFonts w:ascii="Garamond" w:eastAsia="Calibri" w:hAnsi="Garamond" w:cs="GHEA Grapalat"/>
                <w:sz w:val="18"/>
                <w:szCs w:val="18"/>
              </w:rPr>
              <w:t xml:space="preserve">ic growth rates and lead to depreciation of </w:t>
            </w:r>
            <w:r w:rsidR="00EA7210" w:rsidRPr="00EA7210">
              <w:rPr>
                <w:rFonts w:ascii="Garamond" w:eastAsia="Calibri" w:hAnsi="Garamond" w:cs="GHEA Grapalat"/>
                <w:sz w:val="18"/>
                <w:szCs w:val="18"/>
              </w:rPr>
              <w:t>ruble.</w:t>
            </w:r>
          </w:p>
        </w:tc>
      </w:tr>
      <w:tr w:rsidR="00AD7275" w:rsidRPr="00EE5F0F" w14:paraId="496D6B26" w14:textId="77777777" w:rsidTr="54AE272E">
        <w:trPr>
          <w:trHeight w:val="20"/>
        </w:trPr>
        <w:tc>
          <w:tcPr>
            <w:tcW w:w="1715" w:type="dxa"/>
            <w:vAlign w:val="center"/>
          </w:tcPr>
          <w:p w14:paraId="74D3E154" w14:textId="77777777" w:rsidR="00AD7275" w:rsidRPr="00EA7210" w:rsidRDefault="00AD7275" w:rsidP="00C814E3">
            <w:pPr>
              <w:spacing w:before="30" w:after="30"/>
              <w:rPr>
                <w:rFonts w:ascii="Garamond" w:hAnsi="Garamond" w:cs="Sylfaen"/>
                <w:sz w:val="18"/>
                <w:szCs w:val="18"/>
              </w:rPr>
            </w:pPr>
            <w:r w:rsidRPr="00EA7210">
              <w:rPr>
                <w:rFonts w:ascii="Garamond" w:eastAsia="Calibri" w:hAnsi="Garamond" w:cs="Sylfaen"/>
                <w:sz w:val="18"/>
                <w:szCs w:val="18"/>
              </w:rPr>
              <w:t>Country risk premium</w:t>
            </w:r>
            <w:r w:rsidR="00C814E3">
              <w:rPr>
                <w:rFonts w:ascii="Garamond" w:eastAsia="Calibri" w:hAnsi="Garamond" w:cs="Sylfaen"/>
                <w:sz w:val="18"/>
                <w:szCs w:val="18"/>
              </w:rPr>
              <w:t>s</w:t>
            </w:r>
            <w:r>
              <w:rPr>
                <w:rFonts w:ascii="Garamond" w:eastAsia="Calibri" w:hAnsi="Garamond" w:cs="Sylfaen"/>
                <w:sz w:val="18"/>
                <w:szCs w:val="18"/>
              </w:rPr>
              <w:t xml:space="preserve"> have increased considerably in developing countries</w:t>
            </w:r>
            <w:r w:rsidR="00C814E3">
              <w:rPr>
                <w:rFonts w:ascii="Garamond" w:eastAsia="Calibri" w:hAnsi="Garamond" w:cs="Sylfaen"/>
                <w:sz w:val="18"/>
                <w:szCs w:val="18"/>
              </w:rPr>
              <w:t xml:space="preserve"> as liquidity risks have grown globally</w:t>
            </w:r>
            <w:r w:rsidR="00B04E5A">
              <w:rPr>
                <w:rFonts w:ascii="Garamond" w:eastAsia="Calibri" w:hAnsi="Garamond" w:cs="Sylfaen"/>
                <w:sz w:val="18"/>
                <w:szCs w:val="18"/>
              </w:rPr>
              <w:t>.</w:t>
            </w:r>
          </w:p>
        </w:tc>
        <w:tc>
          <w:tcPr>
            <w:tcW w:w="4528" w:type="dxa"/>
            <w:vAlign w:val="center"/>
          </w:tcPr>
          <w:p w14:paraId="00A1BC9C" w14:textId="77777777" w:rsidR="00AD7275" w:rsidRPr="00EA7210" w:rsidRDefault="00AD7275" w:rsidP="003157B3">
            <w:pPr>
              <w:spacing w:before="30" w:after="30"/>
              <w:rPr>
                <w:rFonts w:ascii="Garamond" w:eastAsia="Calibri" w:hAnsi="Garamond" w:cs="GHEA Grapalat"/>
                <w:sz w:val="18"/>
                <w:szCs w:val="18"/>
              </w:rPr>
            </w:pPr>
            <w:r w:rsidRPr="00EA7210">
              <w:rPr>
                <w:rFonts w:ascii="Garamond" w:hAnsi="Garamond" w:cs="Sylfaen"/>
                <w:sz w:val="18"/>
                <w:szCs w:val="18"/>
              </w:rPr>
              <w:t xml:space="preserve">According to current estimates, Armenia’s risk premium </w:t>
            </w:r>
            <w:r w:rsidR="00C814E3">
              <w:rPr>
                <w:rFonts w:ascii="Garamond" w:hAnsi="Garamond" w:cs="Sylfaen"/>
                <w:sz w:val="18"/>
                <w:szCs w:val="18"/>
              </w:rPr>
              <w:t xml:space="preserve">has grown notably compared to the previous quarter or the first part of the current quarter. </w:t>
            </w:r>
            <w:r w:rsidR="00C814E3" w:rsidRPr="00C814E3">
              <w:rPr>
                <w:rFonts w:ascii="Garamond" w:hAnsi="Garamond" w:cs="Sylfaen"/>
                <w:sz w:val="18"/>
                <w:szCs w:val="18"/>
              </w:rPr>
              <w:t xml:space="preserve">We think part of </w:t>
            </w:r>
            <w:r w:rsidR="00C814E3">
              <w:rPr>
                <w:rFonts w:ascii="Garamond" w:hAnsi="Garamond" w:cs="Sylfaen"/>
                <w:sz w:val="18"/>
                <w:szCs w:val="18"/>
              </w:rPr>
              <w:t xml:space="preserve">such </w:t>
            </w:r>
            <w:r w:rsidR="00C814E3" w:rsidRPr="00C814E3">
              <w:rPr>
                <w:rFonts w:ascii="Garamond" w:hAnsi="Garamond" w:cs="Sylfaen"/>
                <w:sz w:val="18"/>
                <w:szCs w:val="18"/>
              </w:rPr>
              <w:t xml:space="preserve">growth will be short-lived, and by the end of the second quarter </w:t>
            </w:r>
            <w:r w:rsidR="00C814E3">
              <w:rPr>
                <w:rFonts w:ascii="Garamond" w:hAnsi="Garamond" w:cs="Sylfaen"/>
                <w:sz w:val="18"/>
                <w:szCs w:val="18"/>
              </w:rPr>
              <w:t xml:space="preserve">Armenia’s </w:t>
            </w:r>
            <w:r w:rsidR="00C814E3" w:rsidRPr="00C814E3">
              <w:rPr>
                <w:rFonts w:ascii="Garamond" w:hAnsi="Garamond" w:cs="Sylfaen"/>
                <w:sz w:val="18"/>
                <w:szCs w:val="18"/>
              </w:rPr>
              <w:t xml:space="preserve">risk </w:t>
            </w:r>
            <w:r w:rsidR="00C814E3">
              <w:rPr>
                <w:rFonts w:ascii="Garamond" w:hAnsi="Garamond" w:cs="Sylfaen"/>
                <w:sz w:val="18"/>
                <w:szCs w:val="18"/>
              </w:rPr>
              <w:t xml:space="preserve">premium </w:t>
            </w:r>
            <w:r w:rsidR="00C814E3" w:rsidRPr="00C814E3">
              <w:rPr>
                <w:rFonts w:ascii="Garamond" w:hAnsi="Garamond" w:cs="Sylfaen"/>
                <w:sz w:val="18"/>
                <w:szCs w:val="18"/>
              </w:rPr>
              <w:t xml:space="preserve">will decrease, stabilizing </w:t>
            </w:r>
            <w:r w:rsidR="003157B3">
              <w:rPr>
                <w:rFonts w:ascii="Garamond" w:hAnsi="Garamond" w:cs="Sylfaen"/>
                <w:sz w:val="18"/>
                <w:szCs w:val="18"/>
              </w:rPr>
              <w:t xml:space="preserve">between </w:t>
            </w:r>
            <w:r w:rsidR="00C814E3" w:rsidRPr="00C814E3">
              <w:rPr>
                <w:rFonts w:ascii="Garamond" w:hAnsi="Garamond" w:cs="Sylfaen"/>
                <w:sz w:val="18"/>
                <w:szCs w:val="18"/>
              </w:rPr>
              <w:t>3-4%.</w:t>
            </w:r>
            <w:r w:rsidR="00C814E3">
              <w:rPr>
                <w:rFonts w:ascii="Garamond" w:hAnsi="Garamond" w:cs="Sylfaen"/>
                <w:sz w:val="18"/>
                <w:szCs w:val="18"/>
              </w:rPr>
              <w:t xml:space="preserve"> </w:t>
            </w:r>
          </w:p>
        </w:tc>
      </w:tr>
      <w:tr w:rsidR="00B343CA" w:rsidRPr="00EE5F0F" w14:paraId="6F2D809A" w14:textId="77777777" w:rsidTr="54AE272E">
        <w:trPr>
          <w:trHeight w:val="20"/>
        </w:trPr>
        <w:tc>
          <w:tcPr>
            <w:tcW w:w="1715" w:type="dxa"/>
            <w:vAlign w:val="center"/>
          </w:tcPr>
          <w:p w14:paraId="7215A88F" w14:textId="77777777" w:rsidR="00B343CA" w:rsidRPr="00EA7210" w:rsidRDefault="00B343CA" w:rsidP="00B343CA">
            <w:pPr>
              <w:spacing w:before="30" w:after="30"/>
              <w:rPr>
                <w:rFonts w:ascii="Garamond" w:eastAsia="Calibri" w:hAnsi="Garamond" w:cs="Sylfaen"/>
                <w:sz w:val="18"/>
                <w:szCs w:val="18"/>
              </w:rPr>
            </w:pPr>
            <w:r w:rsidRPr="00EA7210">
              <w:rPr>
                <w:rFonts w:ascii="Garamond" w:eastAsia="Calibri" w:hAnsi="Garamond" w:cs="Sylfaen"/>
                <w:sz w:val="18"/>
                <w:szCs w:val="18"/>
              </w:rPr>
              <w:t xml:space="preserve">Supply-side </w:t>
            </w:r>
            <w:r>
              <w:rPr>
                <w:rFonts w:ascii="Garamond" w:eastAsia="Calibri" w:hAnsi="Garamond" w:cs="Sylfaen"/>
                <w:sz w:val="18"/>
                <w:szCs w:val="18"/>
              </w:rPr>
              <w:t>shocks remain and changes in</w:t>
            </w:r>
            <w:r w:rsidR="00A76AB4">
              <w:rPr>
                <w:rFonts w:ascii="Garamond" w:eastAsia="Calibri" w:hAnsi="Garamond" w:cs="Sylfaen"/>
                <w:sz w:val="18"/>
                <w:szCs w:val="18"/>
              </w:rPr>
              <w:t xml:space="preserve"> demand structure</w:t>
            </w:r>
            <w:r>
              <w:rPr>
                <w:rFonts w:ascii="Garamond" w:eastAsia="Calibri" w:hAnsi="Garamond" w:cs="Sylfaen"/>
                <w:sz w:val="18"/>
                <w:szCs w:val="18"/>
              </w:rPr>
              <w:t xml:space="preserve"> </w:t>
            </w:r>
            <w:r w:rsidRPr="00EA7210">
              <w:rPr>
                <w:rFonts w:ascii="Garamond" w:eastAsia="Calibri" w:hAnsi="Garamond" w:cs="Sylfaen"/>
                <w:sz w:val="18"/>
                <w:szCs w:val="18"/>
              </w:rPr>
              <w:t>come along</w:t>
            </w:r>
            <w:r w:rsidR="00B04E5A">
              <w:rPr>
                <w:rFonts w:ascii="Garamond" w:eastAsia="Calibri" w:hAnsi="Garamond" w:cs="Sylfaen"/>
                <w:sz w:val="18"/>
                <w:szCs w:val="18"/>
              </w:rPr>
              <w:t>.</w:t>
            </w:r>
          </w:p>
        </w:tc>
        <w:tc>
          <w:tcPr>
            <w:tcW w:w="4528" w:type="dxa"/>
            <w:vAlign w:val="center"/>
          </w:tcPr>
          <w:p w14:paraId="3BBDF633" w14:textId="77777777" w:rsidR="00B343CA" w:rsidRPr="00EA7210" w:rsidRDefault="00B343CA" w:rsidP="007143C9">
            <w:pPr>
              <w:spacing w:before="30" w:after="30"/>
              <w:rPr>
                <w:rFonts w:ascii="Garamond" w:hAnsi="Garamond" w:cs="Sylfaen"/>
                <w:sz w:val="18"/>
                <w:szCs w:val="18"/>
              </w:rPr>
            </w:pPr>
            <w:r>
              <w:rPr>
                <w:rFonts w:ascii="Garamond" w:hAnsi="Garamond" w:cs="Sylfaen"/>
                <w:sz w:val="18"/>
                <w:szCs w:val="18"/>
              </w:rPr>
              <w:t>In the event d</w:t>
            </w:r>
            <w:r w:rsidRPr="00B343CA">
              <w:rPr>
                <w:rFonts w:ascii="Garamond" w:hAnsi="Garamond" w:cs="Sylfaen"/>
                <w:sz w:val="18"/>
                <w:szCs w:val="18"/>
              </w:rPr>
              <w:t>emand for some primary consum</w:t>
            </w:r>
            <w:r w:rsidR="001E66E5">
              <w:rPr>
                <w:rFonts w:ascii="Garamond" w:hAnsi="Garamond" w:cs="Sylfaen"/>
                <w:sz w:val="18"/>
                <w:szCs w:val="18"/>
              </w:rPr>
              <w:t>ption</w:t>
            </w:r>
            <w:r w:rsidRPr="00B343CA">
              <w:rPr>
                <w:rFonts w:ascii="Garamond" w:hAnsi="Garamond" w:cs="Sylfaen"/>
                <w:sz w:val="18"/>
                <w:szCs w:val="18"/>
              </w:rPr>
              <w:t xml:space="preserve"> goods</w:t>
            </w:r>
            <w:r>
              <w:rPr>
                <w:rFonts w:ascii="Garamond" w:hAnsi="Garamond" w:cs="Sylfaen"/>
                <w:sz w:val="18"/>
                <w:szCs w:val="18"/>
              </w:rPr>
              <w:t xml:space="preserve"> </w:t>
            </w:r>
            <w:r w:rsidR="001E66E5">
              <w:rPr>
                <w:rFonts w:ascii="Garamond" w:hAnsi="Garamond" w:cs="Sylfaen"/>
                <w:sz w:val="18"/>
                <w:szCs w:val="18"/>
              </w:rPr>
              <w:t xml:space="preserve">notably </w:t>
            </w:r>
            <w:r>
              <w:rPr>
                <w:rFonts w:ascii="Garamond" w:hAnsi="Garamond" w:cs="Sylfaen"/>
                <w:sz w:val="18"/>
                <w:szCs w:val="18"/>
              </w:rPr>
              <w:t>increases</w:t>
            </w:r>
            <w:r w:rsidRPr="00B343CA">
              <w:rPr>
                <w:rFonts w:ascii="Garamond" w:hAnsi="Garamond" w:cs="Sylfaen"/>
                <w:sz w:val="18"/>
                <w:szCs w:val="18"/>
              </w:rPr>
              <w:t xml:space="preserve">, short-term inflationary trends </w:t>
            </w:r>
            <w:r w:rsidR="001E66E5">
              <w:rPr>
                <w:rFonts w:ascii="Garamond" w:hAnsi="Garamond" w:cs="Sylfaen"/>
                <w:sz w:val="18"/>
                <w:szCs w:val="18"/>
              </w:rPr>
              <w:t xml:space="preserve">in these </w:t>
            </w:r>
            <w:r w:rsidRPr="00B343CA">
              <w:rPr>
                <w:rFonts w:ascii="Garamond" w:hAnsi="Garamond" w:cs="Sylfaen"/>
                <w:sz w:val="18"/>
                <w:szCs w:val="18"/>
              </w:rPr>
              <w:t xml:space="preserve">markets </w:t>
            </w:r>
            <w:r w:rsidR="001E66E5" w:rsidRPr="00B343CA">
              <w:rPr>
                <w:rFonts w:ascii="Garamond" w:hAnsi="Garamond" w:cs="Sylfaen"/>
                <w:sz w:val="18"/>
                <w:szCs w:val="18"/>
              </w:rPr>
              <w:t>may be observ</w:t>
            </w:r>
            <w:r w:rsidR="001E66E5">
              <w:rPr>
                <w:rFonts w:ascii="Garamond" w:hAnsi="Garamond" w:cs="Sylfaen"/>
                <w:sz w:val="18"/>
                <w:szCs w:val="18"/>
              </w:rPr>
              <w:t>able</w:t>
            </w:r>
            <w:r w:rsidR="001E66E5" w:rsidRPr="00B343CA">
              <w:rPr>
                <w:rFonts w:ascii="Garamond" w:hAnsi="Garamond" w:cs="Sylfaen"/>
                <w:sz w:val="18"/>
                <w:szCs w:val="18"/>
              </w:rPr>
              <w:t xml:space="preserve"> </w:t>
            </w:r>
            <w:r w:rsidRPr="00B343CA">
              <w:rPr>
                <w:rFonts w:ascii="Garamond" w:hAnsi="Garamond" w:cs="Sylfaen"/>
                <w:sz w:val="18"/>
                <w:szCs w:val="18"/>
              </w:rPr>
              <w:t>due to increased production costs</w:t>
            </w:r>
            <w:r w:rsidR="001E66E5">
              <w:rPr>
                <w:rFonts w:ascii="Garamond" w:hAnsi="Garamond" w:cs="Sylfaen"/>
                <w:sz w:val="18"/>
                <w:szCs w:val="18"/>
              </w:rPr>
              <w:t xml:space="preserve"> (labor costs, in</w:t>
            </w:r>
            <w:r w:rsidRPr="00B343CA">
              <w:rPr>
                <w:rFonts w:ascii="Garamond" w:hAnsi="Garamond" w:cs="Sylfaen"/>
                <w:sz w:val="18"/>
                <w:szCs w:val="18"/>
              </w:rPr>
              <w:t xml:space="preserve"> particular</w:t>
            </w:r>
            <w:r w:rsidR="001E66E5">
              <w:rPr>
                <w:rFonts w:ascii="Garamond" w:hAnsi="Garamond" w:cs="Sylfaen"/>
                <w:sz w:val="18"/>
                <w:szCs w:val="18"/>
              </w:rPr>
              <w:t>)</w:t>
            </w:r>
            <w:r w:rsidRPr="00B343CA">
              <w:rPr>
                <w:rFonts w:ascii="Garamond" w:hAnsi="Garamond" w:cs="Sylfaen"/>
                <w:sz w:val="18"/>
                <w:szCs w:val="18"/>
              </w:rPr>
              <w:t xml:space="preserve"> a</w:t>
            </w:r>
            <w:r w:rsidR="001E66E5">
              <w:rPr>
                <w:rFonts w:ascii="Garamond" w:hAnsi="Garamond" w:cs="Sylfaen"/>
                <w:sz w:val="18"/>
                <w:szCs w:val="18"/>
              </w:rPr>
              <w:t xml:space="preserve">nd some </w:t>
            </w:r>
            <w:r w:rsidRPr="00B343CA">
              <w:rPr>
                <w:rFonts w:ascii="Garamond" w:hAnsi="Garamond" w:cs="Sylfaen"/>
                <w:sz w:val="18"/>
                <w:szCs w:val="18"/>
              </w:rPr>
              <w:t xml:space="preserve">depreciation of the exchange rate. On the other hand, a significant reduction in demand for long-term consumer goods and services will lead to lower </w:t>
            </w:r>
            <w:r w:rsidR="001E66E5">
              <w:rPr>
                <w:rFonts w:ascii="Garamond" w:hAnsi="Garamond" w:cs="Sylfaen"/>
                <w:sz w:val="18"/>
                <w:szCs w:val="18"/>
              </w:rPr>
              <w:t xml:space="preserve">product </w:t>
            </w:r>
            <w:r w:rsidRPr="00B343CA">
              <w:rPr>
                <w:rFonts w:ascii="Garamond" w:hAnsi="Garamond" w:cs="Sylfaen"/>
                <w:sz w:val="18"/>
                <w:szCs w:val="18"/>
              </w:rPr>
              <w:t>prices</w:t>
            </w:r>
            <w:r w:rsidR="001E66E5">
              <w:rPr>
                <w:rFonts w:ascii="Garamond" w:hAnsi="Garamond" w:cs="Sylfaen"/>
                <w:sz w:val="18"/>
                <w:szCs w:val="18"/>
              </w:rPr>
              <w:t>/</w:t>
            </w:r>
            <w:r w:rsidRPr="00B343CA">
              <w:rPr>
                <w:rFonts w:ascii="Garamond" w:hAnsi="Garamond" w:cs="Sylfaen"/>
                <w:sz w:val="18"/>
                <w:szCs w:val="18"/>
              </w:rPr>
              <w:t>service</w:t>
            </w:r>
            <w:r w:rsidR="001E66E5">
              <w:rPr>
                <w:rFonts w:ascii="Garamond" w:hAnsi="Garamond" w:cs="Sylfaen"/>
                <w:sz w:val="18"/>
                <w:szCs w:val="18"/>
              </w:rPr>
              <w:t xml:space="preserve"> fee</w:t>
            </w:r>
            <w:r w:rsidRPr="00B343CA">
              <w:rPr>
                <w:rFonts w:ascii="Garamond" w:hAnsi="Garamond" w:cs="Sylfaen"/>
                <w:sz w:val="18"/>
                <w:szCs w:val="18"/>
              </w:rPr>
              <w:t xml:space="preserve">s. In addition, prices </w:t>
            </w:r>
            <w:r w:rsidR="007143C9">
              <w:rPr>
                <w:rFonts w:ascii="Garamond" w:hAnsi="Garamond" w:cs="Sylfaen"/>
                <w:sz w:val="18"/>
                <w:szCs w:val="18"/>
              </w:rPr>
              <w:t xml:space="preserve">falling </w:t>
            </w:r>
            <w:r w:rsidRPr="00B343CA">
              <w:rPr>
                <w:rFonts w:ascii="Garamond" w:hAnsi="Garamond" w:cs="Sylfaen"/>
                <w:sz w:val="18"/>
                <w:szCs w:val="18"/>
              </w:rPr>
              <w:t>in international commodity markets will have a certain deflationary effect.</w:t>
            </w:r>
          </w:p>
        </w:tc>
      </w:tr>
      <w:tr w:rsidR="00CA193D" w:rsidRPr="00EE5F0F" w14:paraId="61C81C11" w14:textId="77777777" w:rsidTr="54AE272E">
        <w:trPr>
          <w:trHeight w:val="20"/>
        </w:trPr>
        <w:tc>
          <w:tcPr>
            <w:tcW w:w="1715" w:type="dxa"/>
            <w:vAlign w:val="center"/>
          </w:tcPr>
          <w:p w14:paraId="7415F0AD" w14:textId="556D9861" w:rsidR="00CA193D" w:rsidRPr="00EA7210" w:rsidRDefault="54AE272E" w:rsidP="006E1119">
            <w:pPr>
              <w:spacing w:before="30" w:after="30"/>
              <w:rPr>
                <w:rFonts w:ascii="Garamond" w:eastAsia="Calibri" w:hAnsi="Garamond" w:cs="Sylfaen"/>
                <w:sz w:val="18"/>
                <w:szCs w:val="18"/>
              </w:rPr>
            </w:pPr>
            <w:r w:rsidRPr="54AE272E">
              <w:rPr>
                <w:rFonts w:ascii="Garamond" w:eastAsia="Calibri" w:hAnsi="Garamond" w:cs="Sylfaen"/>
                <w:sz w:val="18"/>
                <w:szCs w:val="18"/>
              </w:rPr>
              <w:t>Both supply and demand reduction due to the epidemic.</w:t>
            </w:r>
          </w:p>
        </w:tc>
        <w:tc>
          <w:tcPr>
            <w:tcW w:w="4528" w:type="dxa"/>
            <w:vAlign w:val="center"/>
          </w:tcPr>
          <w:p w14:paraId="7C9B94B3" w14:textId="77777777" w:rsidR="00CA193D" w:rsidRDefault="0044144A" w:rsidP="0044144A">
            <w:pPr>
              <w:spacing w:before="30" w:after="30"/>
              <w:rPr>
                <w:rFonts w:ascii="Garamond" w:hAnsi="Garamond" w:cs="Sylfaen"/>
                <w:sz w:val="18"/>
                <w:szCs w:val="18"/>
              </w:rPr>
            </w:pPr>
            <w:r>
              <w:rPr>
                <w:rFonts w:ascii="Garamond" w:hAnsi="Garamond" w:cs="Sylfaen"/>
                <w:sz w:val="18"/>
                <w:szCs w:val="18"/>
              </w:rPr>
              <w:t xml:space="preserve">As the </w:t>
            </w:r>
            <w:r w:rsidRPr="0044144A">
              <w:rPr>
                <w:rFonts w:ascii="Garamond" w:hAnsi="Garamond" w:cs="Sylfaen"/>
                <w:sz w:val="18"/>
                <w:szCs w:val="18"/>
              </w:rPr>
              <w:t>coronavirus disease</w:t>
            </w:r>
            <w:r>
              <w:rPr>
                <w:rFonts w:ascii="Garamond" w:hAnsi="Garamond" w:cs="Sylfaen"/>
                <w:sz w:val="18"/>
                <w:szCs w:val="18"/>
              </w:rPr>
              <w:t xml:space="preserve"> spreads </w:t>
            </w:r>
            <w:r w:rsidRPr="0044144A">
              <w:rPr>
                <w:rFonts w:ascii="Garamond" w:hAnsi="Garamond" w:cs="Sylfaen"/>
                <w:sz w:val="18"/>
                <w:szCs w:val="18"/>
              </w:rPr>
              <w:t xml:space="preserve">and anti-epidemic measures </w:t>
            </w:r>
            <w:r>
              <w:rPr>
                <w:rFonts w:ascii="Garamond" w:hAnsi="Garamond" w:cs="Sylfaen"/>
                <w:sz w:val="18"/>
                <w:szCs w:val="18"/>
              </w:rPr>
              <w:t xml:space="preserve">are further taken </w:t>
            </w:r>
            <w:r w:rsidRPr="0044144A">
              <w:rPr>
                <w:rFonts w:ascii="Garamond" w:hAnsi="Garamond" w:cs="Sylfaen"/>
                <w:sz w:val="18"/>
                <w:szCs w:val="18"/>
              </w:rPr>
              <w:t>during the year, both supply and demand for goods and services in the economy will decrease, a</w:t>
            </w:r>
            <w:r>
              <w:rPr>
                <w:rFonts w:ascii="Garamond" w:hAnsi="Garamond" w:cs="Sylfaen"/>
                <w:sz w:val="18"/>
                <w:szCs w:val="18"/>
              </w:rPr>
              <w:t>nd, consequently,</w:t>
            </w:r>
            <w:r w:rsidRPr="0044144A">
              <w:rPr>
                <w:rFonts w:ascii="Garamond" w:hAnsi="Garamond" w:cs="Sylfaen"/>
                <w:sz w:val="18"/>
                <w:szCs w:val="18"/>
              </w:rPr>
              <w:t xml:space="preserve"> the negative GDP gap will not </w:t>
            </w:r>
            <w:r>
              <w:rPr>
                <w:rFonts w:ascii="Garamond" w:hAnsi="Garamond" w:cs="Sylfaen"/>
                <w:sz w:val="18"/>
                <w:szCs w:val="18"/>
              </w:rPr>
              <w:t>reduce much from the current level</w:t>
            </w:r>
            <w:r w:rsidRPr="0044144A">
              <w:rPr>
                <w:rFonts w:ascii="Garamond" w:hAnsi="Garamond" w:cs="Sylfaen"/>
                <w:sz w:val="18"/>
                <w:szCs w:val="18"/>
              </w:rPr>
              <w:t>.</w:t>
            </w:r>
          </w:p>
        </w:tc>
      </w:tr>
      <w:tr w:rsidR="00E06F46" w:rsidRPr="00EE5F0F" w14:paraId="40406E53" w14:textId="77777777" w:rsidTr="54AE272E">
        <w:trPr>
          <w:trHeight w:val="20"/>
        </w:trPr>
        <w:tc>
          <w:tcPr>
            <w:tcW w:w="1715" w:type="dxa"/>
            <w:vAlign w:val="center"/>
          </w:tcPr>
          <w:p w14:paraId="7AF91B34" w14:textId="77777777" w:rsidR="00E06F46" w:rsidRPr="00EA7210" w:rsidRDefault="006E1119" w:rsidP="00B343CA">
            <w:pPr>
              <w:spacing w:before="30" w:after="30"/>
              <w:rPr>
                <w:rFonts w:ascii="Garamond" w:eastAsia="Calibri" w:hAnsi="Garamond" w:cs="Sylfaen"/>
                <w:sz w:val="18"/>
                <w:szCs w:val="18"/>
              </w:rPr>
            </w:pPr>
            <w:r>
              <w:rPr>
                <w:rFonts w:ascii="Garamond" w:eastAsia="Calibri" w:hAnsi="Garamond" w:cs="Sylfaen"/>
                <w:sz w:val="18"/>
                <w:szCs w:val="18"/>
              </w:rPr>
              <w:t>The l</w:t>
            </w:r>
            <w:r w:rsidRPr="00E06F46">
              <w:rPr>
                <w:rFonts w:ascii="Garamond" w:eastAsia="Calibri" w:hAnsi="Garamond" w:cs="Sylfaen"/>
                <w:sz w:val="18"/>
                <w:szCs w:val="18"/>
              </w:rPr>
              <w:t xml:space="preserve">abor supply and demand </w:t>
            </w:r>
            <w:r>
              <w:rPr>
                <w:rFonts w:ascii="Garamond" w:eastAsia="Calibri" w:hAnsi="Garamond" w:cs="Sylfaen"/>
                <w:sz w:val="18"/>
                <w:szCs w:val="18"/>
              </w:rPr>
              <w:t xml:space="preserve">reduce </w:t>
            </w:r>
            <w:r w:rsidRPr="00E06F46">
              <w:rPr>
                <w:rFonts w:ascii="Garamond" w:eastAsia="Calibri" w:hAnsi="Garamond" w:cs="Sylfaen"/>
                <w:sz w:val="18"/>
                <w:szCs w:val="18"/>
              </w:rPr>
              <w:t>due to the epidemic</w:t>
            </w:r>
            <w:r>
              <w:rPr>
                <w:rFonts w:ascii="Garamond" w:eastAsia="Calibri" w:hAnsi="Garamond" w:cs="Sylfaen"/>
                <w:sz w:val="18"/>
                <w:szCs w:val="18"/>
              </w:rPr>
              <w:t>.</w:t>
            </w:r>
          </w:p>
        </w:tc>
        <w:tc>
          <w:tcPr>
            <w:tcW w:w="4528" w:type="dxa"/>
            <w:vAlign w:val="center"/>
          </w:tcPr>
          <w:p w14:paraId="797C76AE" w14:textId="5FAB2507" w:rsidR="00E06F46" w:rsidRDefault="54AE272E" w:rsidP="007F0A5C">
            <w:pPr>
              <w:spacing w:before="30" w:after="30"/>
              <w:rPr>
                <w:rFonts w:ascii="Garamond" w:hAnsi="Garamond" w:cs="Sylfaen"/>
                <w:sz w:val="18"/>
                <w:szCs w:val="18"/>
              </w:rPr>
            </w:pPr>
            <w:r w:rsidRPr="54AE272E">
              <w:rPr>
                <w:rFonts w:ascii="Garamond" w:hAnsi="Garamond" w:cs="Sylfaen"/>
                <w:sz w:val="18"/>
                <w:szCs w:val="18"/>
              </w:rPr>
              <w:t xml:space="preserve">The labor supply will reduce caused by the spread of the epidemic-triggered diseases and determined by the timing for treatment and the need to isolate patients; and the demand for </w:t>
            </w:r>
            <w:r w:rsidRPr="54AE272E">
              <w:rPr>
                <w:rFonts w:ascii="Garamond" w:hAnsi="Garamond" w:cs="Sylfaen"/>
                <w:sz w:val="18"/>
                <w:szCs w:val="18"/>
              </w:rPr>
              <w:lastRenderedPageBreak/>
              <w:t>labor will reduce as economic growth slows down. As a result, the natural rate of unemployment will rise, with no significant effects on the average wage. The impact on actual unemployment may be milder, depending on the Government’s measures.</w:t>
            </w:r>
          </w:p>
        </w:tc>
      </w:tr>
      <w:tr w:rsidR="00BA396B" w:rsidRPr="00EE5F0F" w14:paraId="3BAFA0F8" w14:textId="77777777" w:rsidTr="54AE272E">
        <w:trPr>
          <w:trHeight w:val="20"/>
        </w:trPr>
        <w:tc>
          <w:tcPr>
            <w:tcW w:w="1715" w:type="dxa"/>
            <w:vAlign w:val="center"/>
          </w:tcPr>
          <w:p w14:paraId="3122D9A2" w14:textId="77777777" w:rsidR="00BA396B" w:rsidRPr="00EA7210" w:rsidRDefault="00BA396B" w:rsidP="00BA396B">
            <w:pPr>
              <w:spacing w:before="40" w:after="40"/>
              <w:rPr>
                <w:rFonts w:ascii="Garamond" w:eastAsia="Calibri" w:hAnsi="Garamond" w:cs="Sylfaen"/>
                <w:sz w:val="18"/>
                <w:szCs w:val="18"/>
              </w:rPr>
            </w:pPr>
            <w:r w:rsidRPr="00EA7210">
              <w:rPr>
                <w:rFonts w:ascii="Garamond" w:eastAsia="Calibri" w:hAnsi="Garamond" w:cs="Sylfaen"/>
                <w:sz w:val="18"/>
                <w:szCs w:val="18"/>
              </w:rPr>
              <w:lastRenderedPageBreak/>
              <w:t>Measures to bolster</w:t>
            </w:r>
            <w:r>
              <w:rPr>
                <w:rFonts w:ascii="Garamond" w:eastAsia="Calibri" w:hAnsi="Garamond" w:cs="Sylfaen"/>
                <w:sz w:val="18"/>
                <w:szCs w:val="18"/>
              </w:rPr>
              <w:t xml:space="preserve"> </w:t>
            </w:r>
            <w:r w:rsidRPr="00EA7210">
              <w:rPr>
                <w:rFonts w:ascii="Garamond" w:eastAsia="Calibri" w:hAnsi="Garamond" w:cs="Sylfaen"/>
                <w:sz w:val="18"/>
                <w:szCs w:val="18"/>
              </w:rPr>
              <w:t>potential GDP growth</w:t>
            </w:r>
          </w:p>
        </w:tc>
        <w:tc>
          <w:tcPr>
            <w:tcW w:w="4528" w:type="dxa"/>
            <w:vAlign w:val="center"/>
          </w:tcPr>
          <w:p w14:paraId="60337B75" w14:textId="77777777" w:rsidR="00BA396B" w:rsidRDefault="00BA396B" w:rsidP="00BA396B">
            <w:pPr>
              <w:spacing w:before="30" w:after="30"/>
              <w:rPr>
                <w:rFonts w:ascii="Garamond" w:hAnsi="Garamond" w:cs="Sylfaen"/>
                <w:sz w:val="18"/>
                <w:szCs w:val="18"/>
              </w:rPr>
            </w:pPr>
            <w:r w:rsidRPr="00EA7210">
              <w:rPr>
                <w:rFonts w:ascii="Garamond" w:hAnsi="Garamond" w:cs="Sylfaen"/>
                <w:color w:val="000000" w:themeColor="text1"/>
                <w:sz w:val="18"/>
                <w:szCs w:val="18"/>
              </w:rPr>
              <w:t xml:space="preserve">The activities of </w:t>
            </w:r>
            <w:proofErr w:type="spellStart"/>
            <w:r w:rsidRPr="00EA7210">
              <w:rPr>
                <w:rFonts w:ascii="Garamond" w:hAnsi="Garamond" w:cs="Sylfaen"/>
                <w:color w:val="000000" w:themeColor="text1"/>
                <w:sz w:val="18"/>
                <w:szCs w:val="18"/>
              </w:rPr>
              <w:t>Amulsar</w:t>
            </w:r>
            <w:proofErr w:type="spellEnd"/>
            <w:r w:rsidRPr="00EA7210">
              <w:rPr>
                <w:rFonts w:ascii="Garamond" w:hAnsi="Garamond" w:cs="Sylfaen"/>
                <w:color w:val="000000" w:themeColor="text1"/>
                <w:sz w:val="18"/>
                <w:szCs w:val="18"/>
              </w:rPr>
              <w:t xml:space="preserve"> mine and Alaverdi copper smelter are not factored in the monetary policy scenario. Their potential impact is considered in the framework of forecast risks.</w:t>
            </w:r>
          </w:p>
        </w:tc>
      </w:tr>
      <w:tr w:rsidR="00BA396B" w:rsidRPr="00EE5F0F" w14:paraId="2655AFCB" w14:textId="77777777" w:rsidTr="54AE272E">
        <w:trPr>
          <w:trHeight w:val="20"/>
        </w:trPr>
        <w:tc>
          <w:tcPr>
            <w:tcW w:w="1715" w:type="dxa"/>
            <w:vAlign w:val="center"/>
          </w:tcPr>
          <w:p w14:paraId="71A961F1" w14:textId="77777777" w:rsidR="00BA396B" w:rsidRPr="00EA7210" w:rsidRDefault="00BA396B" w:rsidP="00BA396B">
            <w:pPr>
              <w:spacing w:before="40" w:after="40"/>
              <w:rPr>
                <w:rFonts w:ascii="Garamond" w:eastAsia="Calibri" w:hAnsi="Garamond" w:cs="Sylfaen"/>
                <w:sz w:val="18"/>
                <w:szCs w:val="18"/>
              </w:rPr>
            </w:pPr>
            <w:r>
              <w:rPr>
                <w:rFonts w:ascii="Garamond" w:eastAsia="Calibri" w:hAnsi="Garamond" w:cs="Sylfaen"/>
                <w:sz w:val="18"/>
                <w:szCs w:val="18"/>
              </w:rPr>
              <w:t>Public revenues have little expansionary effect and the impact of public expenditures is stimulative</w:t>
            </w:r>
            <w:r w:rsidR="00B04E5A">
              <w:rPr>
                <w:rFonts w:ascii="Garamond" w:eastAsia="Calibri" w:hAnsi="Garamond" w:cs="Sylfaen"/>
                <w:sz w:val="18"/>
                <w:szCs w:val="18"/>
              </w:rPr>
              <w:t>.</w:t>
            </w:r>
          </w:p>
        </w:tc>
        <w:tc>
          <w:tcPr>
            <w:tcW w:w="4528" w:type="dxa"/>
            <w:vAlign w:val="center"/>
          </w:tcPr>
          <w:p w14:paraId="2E6A1B7D" w14:textId="77777777" w:rsidR="00BA396B" w:rsidRPr="00EA7210" w:rsidRDefault="006F4C01" w:rsidP="005D5CBD">
            <w:pPr>
              <w:spacing w:before="30" w:after="30"/>
              <w:rPr>
                <w:rFonts w:ascii="Garamond" w:hAnsi="Garamond" w:cs="Sylfaen"/>
                <w:color w:val="000000" w:themeColor="text1"/>
                <w:sz w:val="18"/>
                <w:szCs w:val="18"/>
              </w:rPr>
            </w:pPr>
            <w:r>
              <w:rPr>
                <w:rFonts w:ascii="Garamond" w:hAnsi="Garamond" w:cs="Sylfaen"/>
                <w:color w:val="000000" w:themeColor="text1"/>
                <w:sz w:val="18"/>
                <w:szCs w:val="18"/>
              </w:rPr>
              <w:t xml:space="preserve">In view of the spread of the </w:t>
            </w:r>
            <w:r w:rsidRPr="00BA396B">
              <w:rPr>
                <w:rFonts w:ascii="Garamond" w:hAnsi="Garamond" w:cs="Sylfaen"/>
                <w:color w:val="000000" w:themeColor="text1"/>
                <w:sz w:val="18"/>
                <w:szCs w:val="18"/>
              </w:rPr>
              <w:t>new coronavirus disease</w:t>
            </w:r>
            <w:r>
              <w:rPr>
                <w:rFonts w:ascii="Garamond" w:hAnsi="Garamond" w:cs="Sylfaen"/>
                <w:color w:val="000000" w:themeColor="text1"/>
                <w:sz w:val="18"/>
                <w:szCs w:val="18"/>
              </w:rPr>
              <w:t xml:space="preserve">, on the back of </w:t>
            </w:r>
            <w:r w:rsidRPr="00BA396B">
              <w:rPr>
                <w:rFonts w:ascii="Garamond" w:hAnsi="Garamond" w:cs="Sylfaen"/>
                <w:color w:val="000000" w:themeColor="text1"/>
                <w:sz w:val="18"/>
                <w:szCs w:val="18"/>
              </w:rPr>
              <w:t xml:space="preserve">negative developments and structural changes in the Armenian </w:t>
            </w:r>
            <w:r>
              <w:rPr>
                <w:rFonts w:ascii="Garamond" w:hAnsi="Garamond" w:cs="Sylfaen"/>
                <w:color w:val="000000" w:themeColor="text1"/>
                <w:sz w:val="18"/>
                <w:szCs w:val="18"/>
              </w:rPr>
              <w:t>economy, t</w:t>
            </w:r>
            <w:r w:rsidR="00BA396B" w:rsidRPr="00BA396B">
              <w:rPr>
                <w:rFonts w:ascii="Garamond" w:hAnsi="Garamond" w:cs="Sylfaen"/>
                <w:color w:val="000000" w:themeColor="text1"/>
                <w:sz w:val="18"/>
                <w:szCs w:val="18"/>
              </w:rPr>
              <w:t>he tax</w:t>
            </w:r>
            <w:r w:rsidR="00BA396B">
              <w:rPr>
                <w:rFonts w:ascii="Garamond" w:hAnsi="Garamond" w:cs="Sylfaen"/>
                <w:color w:val="000000" w:themeColor="text1"/>
                <w:sz w:val="18"/>
                <w:szCs w:val="18"/>
              </w:rPr>
              <w:t>es-to-GDP ratio</w:t>
            </w:r>
            <w:r w:rsidR="00BA396B">
              <w:rPr>
                <w:rStyle w:val="FootnoteReference"/>
                <w:rFonts w:ascii="Garamond" w:hAnsi="Garamond" w:cs="Sylfaen"/>
                <w:color w:val="000000" w:themeColor="text1"/>
                <w:sz w:val="18"/>
                <w:szCs w:val="18"/>
              </w:rPr>
              <w:footnoteReference w:customMarkFollows="1" w:id="8"/>
              <w:t>18</w:t>
            </w:r>
            <w:r w:rsidR="00BA396B" w:rsidRPr="00BA396B">
              <w:rPr>
                <w:rFonts w:ascii="Garamond" w:hAnsi="Garamond" w:cs="Sylfaen"/>
                <w:color w:val="000000" w:themeColor="text1"/>
                <w:sz w:val="18"/>
                <w:szCs w:val="18"/>
              </w:rPr>
              <w:t xml:space="preserve"> </w:t>
            </w:r>
            <w:r>
              <w:rPr>
                <w:rFonts w:ascii="Garamond" w:hAnsi="Garamond" w:cs="Sylfaen"/>
                <w:color w:val="000000" w:themeColor="text1"/>
                <w:sz w:val="18"/>
                <w:szCs w:val="18"/>
              </w:rPr>
              <w:t xml:space="preserve">is predicted to remain </w:t>
            </w:r>
            <w:r w:rsidRPr="00BA396B">
              <w:rPr>
                <w:rFonts w:ascii="Garamond" w:hAnsi="Garamond" w:cs="Sylfaen"/>
                <w:color w:val="000000" w:themeColor="text1"/>
                <w:sz w:val="18"/>
                <w:szCs w:val="18"/>
              </w:rPr>
              <w:t>at the previous year</w:t>
            </w:r>
            <w:r>
              <w:rPr>
                <w:rFonts w:ascii="Garamond" w:hAnsi="Garamond" w:cs="Sylfaen"/>
                <w:color w:val="000000" w:themeColor="text1"/>
                <w:sz w:val="18"/>
                <w:szCs w:val="18"/>
              </w:rPr>
              <w:t>’s level.</w:t>
            </w:r>
            <w:r w:rsidR="00BA396B" w:rsidRPr="00BA396B">
              <w:rPr>
                <w:rFonts w:ascii="Garamond" w:hAnsi="Garamond" w:cs="Sylfaen"/>
                <w:color w:val="000000" w:themeColor="text1"/>
                <w:sz w:val="18"/>
                <w:szCs w:val="18"/>
              </w:rPr>
              <w:t xml:space="preserve"> </w:t>
            </w:r>
            <w:r w:rsidR="005D5CBD">
              <w:rPr>
                <w:rFonts w:ascii="Garamond" w:hAnsi="Garamond" w:cs="Sylfaen"/>
                <w:color w:val="000000" w:themeColor="text1"/>
                <w:sz w:val="18"/>
                <w:szCs w:val="18"/>
              </w:rPr>
              <w:t>As for</w:t>
            </w:r>
            <w:r w:rsidR="00BA396B" w:rsidRPr="00BA396B">
              <w:rPr>
                <w:rFonts w:ascii="Garamond" w:hAnsi="Garamond" w:cs="Sylfaen"/>
                <w:color w:val="000000" w:themeColor="text1"/>
                <w:sz w:val="18"/>
                <w:szCs w:val="18"/>
              </w:rPr>
              <w:t xml:space="preserve"> public spending, some savings </w:t>
            </w:r>
            <w:r w:rsidR="005D5CBD">
              <w:rPr>
                <w:rFonts w:ascii="Garamond" w:hAnsi="Garamond" w:cs="Sylfaen"/>
                <w:color w:val="000000" w:themeColor="text1"/>
                <w:sz w:val="18"/>
                <w:szCs w:val="18"/>
              </w:rPr>
              <w:t xml:space="preserve">were </w:t>
            </w:r>
            <w:r w:rsidR="00BA396B" w:rsidRPr="00BA396B">
              <w:rPr>
                <w:rFonts w:ascii="Garamond" w:hAnsi="Garamond" w:cs="Sylfaen"/>
                <w:color w:val="000000" w:themeColor="text1"/>
                <w:sz w:val="18"/>
                <w:szCs w:val="18"/>
              </w:rPr>
              <w:t xml:space="preserve">made against the approved </w:t>
            </w:r>
            <w:r w:rsidR="005D5CBD">
              <w:rPr>
                <w:rFonts w:ascii="Garamond" w:hAnsi="Garamond" w:cs="Sylfaen"/>
                <w:color w:val="000000" w:themeColor="text1"/>
                <w:sz w:val="18"/>
                <w:szCs w:val="18"/>
              </w:rPr>
              <w:t xml:space="preserve">expenditures </w:t>
            </w:r>
            <w:r w:rsidR="00BA396B" w:rsidRPr="00BA396B">
              <w:rPr>
                <w:rFonts w:ascii="Garamond" w:hAnsi="Garamond" w:cs="Sylfaen"/>
                <w:color w:val="000000" w:themeColor="text1"/>
                <w:sz w:val="18"/>
                <w:szCs w:val="18"/>
              </w:rPr>
              <w:t xml:space="preserve">plan, especially </w:t>
            </w:r>
            <w:r w:rsidR="005D5CBD">
              <w:rPr>
                <w:rFonts w:ascii="Garamond" w:hAnsi="Garamond" w:cs="Sylfaen"/>
                <w:color w:val="000000" w:themeColor="text1"/>
                <w:sz w:val="18"/>
                <w:szCs w:val="18"/>
              </w:rPr>
              <w:t xml:space="preserve">on implementation of </w:t>
            </w:r>
            <w:r w:rsidR="00BA396B" w:rsidRPr="00BA396B">
              <w:rPr>
                <w:rFonts w:ascii="Garamond" w:hAnsi="Garamond" w:cs="Sylfaen"/>
                <w:color w:val="000000" w:themeColor="text1"/>
                <w:sz w:val="18"/>
                <w:szCs w:val="18"/>
              </w:rPr>
              <w:t>foreign-funded projec</w:t>
            </w:r>
            <w:r w:rsidR="005D5CBD">
              <w:rPr>
                <w:rFonts w:ascii="Garamond" w:hAnsi="Garamond" w:cs="Sylfaen"/>
                <w:color w:val="000000" w:themeColor="text1"/>
                <w:sz w:val="18"/>
                <w:szCs w:val="18"/>
              </w:rPr>
              <w:t>ts. I</w:t>
            </w:r>
            <w:r w:rsidR="00BA396B" w:rsidRPr="00BA396B">
              <w:rPr>
                <w:rFonts w:ascii="Garamond" w:hAnsi="Garamond" w:cs="Sylfaen"/>
                <w:color w:val="000000" w:themeColor="text1"/>
                <w:sz w:val="18"/>
                <w:szCs w:val="18"/>
              </w:rPr>
              <w:t xml:space="preserve">t should be noted that the package of economic </w:t>
            </w:r>
            <w:r w:rsidR="005D5CBD">
              <w:rPr>
                <w:rFonts w:ascii="Garamond" w:hAnsi="Garamond" w:cs="Sylfaen"/>
                <w:color w:val="000000" w:themeColor="text1"/>
                <w:sz w:val="18"/>
                <w:szCs w:val="18"/>
              </w:rPr>
              <w:t xml:space="preserve">assistance </w:t>
            </w:r>
            <w:r w:rsidR="00BA396B" w:rsidRPr="00BA396B">
              <w:rPr>
                <w:rFonts w:ascii="Garamond" w:hAnsi="Garamond" w:cs="Sylfaen"/>
                <w:color w:val="000000" w:themeColor="text1"/>
                <w:sz w:val="18"/>
                <w:szCs w:val="18"/>
              </w:rPr>
              <w:t>by the Government is not included in the expenditures.</w:t>
            </w:r>
          </w:p>
        </w:tc>
      </w:tr>
    </w:tbl>
    <w:p w14:paraId="66204FF1" w14:textId="77777777" w:rsidR="00BA396B" w:rsidRDefault="00BA396B" w:rsidP="005C6536">
      <w:pPr>
        <w:autoSpaceDE w:val="0"/>
        <w:autoSpaceDN w:val="0"/>
        <w:adjustRightInd w:val="0"/>
        <w:spacing w:after="120" w:line="360" w:lineRule="auto"/>
        <w:jc w:val="both"/>
        <w:rPr>
          <w:rFonts w:ascii="Garamond" w:hAnsi="Garamond"/>
          <w:b/>
          <w:sz w:val="22"/>
          <w:szCs w:val="22"/>
        </w:rPr>
      </w:pPr>
    </w:p>
    <w:p w14:paraId="1C12E8AE" w14:textId="77777777" w:rsidR="00627013" w:rsidRDefault="00627013" w:rsidP="005C6536">
      <w:pPr>
        <w:autoSpaceDE w:val="0"/>
        <w:autoSpaceDN w:val="0"/>
        <w:adjustRightInd w:val="0"/>
        <w:spacing w:after="120" w:line="360" w:lineRule="auto"/>
        <w:jc w:val="both"/>
        <w:rPr>
          <w:rFonts w:ascii="Garamond" w:hAnsi="Garamond"/>
          <w:b/>
          <w:sz w:val="22"/>
          <w:szCs w:val="22"/>
        </w:rPr>
      </w:pPr>
      <w:r w:rsidRPr="00627013">
        <w:rPr>
          <w:rFonts w:ascii="Garamond" w:hAnsi="Garamond"/>
          <w:b/>
          <w:sz w:val="22"/>
          <w:szCs w:val="22"/>
        </w:rPr>
        <w:t>Forecast risks</w:t>
      </w:r>
    </w:p>
    <w:p w14:paraId="255CF062" w14:textId="77777777" w:rsidR="00F1516C" w:rsidRPr="00AF5E49" w:rsidRDefault="519311B5" w:rsidP="519311B5">
      <w:pPr>
        <w:autoSpaceDE w:val="0"/>
        <w:autoSpaceDN w:val="0"/>
        <w:adjustRightInd w:val="0"/>
        <w:spacing w:after="120" w:line="360" w:lineRule="auto"/>
        <w:jc w:val="both"/>
        <w:rPr>
          <w:rFonts w:ascii="Garamond" w:hAnsi="Garamond"/>
          <w:b/>
          <w:bCs/>
          <w:sz w:val="22"/>
          <w:szCs w:val="22"/>
        </w:rPr>
      </w:pPr>
      <w:r w:rsidRPr="00AF5E49">
        <w:rPr>
          <w:rFonts w:ascii="Garamond" w:hAnsi="Garamond"/>
          <w:b/>
          <w:bCs/>
          <w:sz w:val="22"/>
          <w:szCs w:val="22"/>
        </w:rPr>
        <w:t>Risks associated with the spread of coronavirus</w:t>
      </w:r>
    </w:p>
    <w:p w14:paraId="7E221A46" w14:textId="3E64A8FE" w:rsidR="00B977EC" w:rsidRPr="00AF5E49" w:rsidRDefault="519311B5" w:rsidP="519311B5">
      <w:pPr>
        <w:autoSpaceDE w:val="0"/>
        <w:autoSpaceDN w:val="0"/>
        <w:adjustRightInd w:val="0"/>
        <w:spacing w:after="120" w:line="360" w:lineRule="auto"/>
        <w:jc w:val="both"/>
        <w:rPr>
          <w:rFonts w:ascii="Garamond" w:hAnsi="Garamond"/>
          <w:sz w:val="22"/>
          <w:szCs w:val="22"/>
        </w:rPr>
      </w:pPr>
      <w:r w:rsidRPr="00AF5E49">
        <w:rPr>
          <w:rFonts w:ascii="Garamond" w:hAnsi="Garamond"/>
          <w:sz w:val="22"/>
          <w:szCs w:val="22"/>
        </w:rPr>
        <w:t xml:space="preserve">The risks outlined in the baseline scenario are associated with both supply and demand-driven developments in the relevant sectors of the economy. An unprecedented epidemiological situation in the country and around the world, with subsequent anti-epidemic measures taken, have prompted to prepare this quarter’s program by making forecasts under both qualitatively and quantitatively greater uncertainty. In the </w:t>
      </w:r>
      <w:proofErr w:type="gramStart"/>
      <w:r w:rsidRPr="00AF5E49">
        <w:rPr>
          <w:rFonts w:ascii="Garamond" w:hAnsi="Garamond"/>
          <w:sz w:val="22"/>
          <w:szCs w:val="22"/>
        </w:rPr>
        <w:t>short term</w:t>
      </w:r>
      <w:proofErr w:type="gramEnd"/>
      <w:r w:rsidRPr="00AF5E49">
        <w:rPr>
          <w:rFonts w:ascii="Garamond" w:hAnsi="Garamond"/>
          <w:sz w:val="22"/>
          <w:szCs w:val="22"/>
        </w:rPr>
        <w:t xml:space="preserve"> current developments will notably affect the household behavior and consumption structure, causing the consumer demand to jump from long-term consumer goods primarily to daily necessity products. This can have a certain effect on the change in relative prices across product groups and, for individual products/services, may even make it difficult to measure inflation just because such market segments might be non-existent. This, in turn, creates additional difficulties in forecasting inflation. Moreover, the logistic chains of import of goods may incur certain changes too, which might somehow influence the supply, at least in the short run. Overall, an increasingly uncertain environment leaves forecast ranges considerably broader, making forecasting of the central value of inflation and other key macro indicators even a more difficult task (see inflation and economic growth forecasts probability distribution: charts 1 and 2). Risks to and uncertainties about economic development as outlined in the baseline scenario derive from many factors, including the length and intensity of epidemic situation in Armenia, as well as effectiveness of anti-epidemic measures around the world, possibilities for earlier retreat of the pandemic, short and long-term effects on the economy, possible changes in demand and supply structure, consumer behavior among households, etc. Accordingly, only risks most significant by quantity are described below. It should be noted that both the Armenian economy and the world continue to be affected by the shock, but so far there are almost no statistics that would allow obtaining at least minimum preliminary estimates of the impact of the shock, at </w:t>
      </w:r>
      <w:r w:rsidRPr="00AF5E49">
        <w:rPr>
          <w:rFonts w:ascii="Garamond" w:hAnsi="Garamond"/>
          <w:sz w:val="22"/>
          <w:szCs w:val="22"/>
        </w:rPr>
        <w:lastRenderedPageBreak/>
        <w:t>least on the example of other countries. Which means that once the first quarter data are published in Armenia and all over the world, current forecasts will most likely be subject to substantial adjustments. In the face of these uncertainties, the Central Bank is trying to reduce further risks through different scenarios and considers the possibilities of the policy to react accordingly.</w:t>
      </w:r>
    </w:p>
    <w:p w14:paraId="1B4AA972" w14:textId="77777777" w:rsidR="008E259C" w:rsidRPr="00AF5E49" w:rsidRDefault="519311B5" w:rsidP="519311B5">
      <w:pPr>
        <w:autoSpaceDE w:val="0"/>
        <w:autoSpaceDN w:val="0"/>
        <w:adjustRightInd w:val="0"/>
        <w:spacing w:after="120" w:line="360" w:lineRule="auto"/>
        <w:jc w:val="both"/>
        <w:rPr>
          <w:rFonts w:ascii="Garamond" w:hAnsi="Garamond"/>
          <w:sz w:val="22"/>
          <w:szCs w:val="22"/>
        </w:rPr>
      </w:pPr>
      <w:r w:rsidRPr="00AF5E49">
        <w:rPr>
          <w:rFonts w:ascii="Garamond" w:hAnsi="Garamond"/>
          <w:sz w:val="22"/>
          <w:szCs w:val="22"/>
        </w:rPr>
        <w:t>It is obvious that anti-epidemic measures around the world are aimed at overcoming the harm of the global pandemic as quickly and efficiently as possible, with least economic losses. Nevertheless, serious risks that the pandemic will last longer and leave deeper negative economic impact are apparent.</w:t>
      </w:r>
    </w:p>
    <w:p w14:paraId="7AA08E38" w14:textId="77777777" w:rsidR="0003340B" w:rsidRPr="00AF5E49" w:rsidRDefault="519311B5" w:rsidP="519311B5">
      <w:pPr>
        <w:autoSpaceDE w:val="0"/>
        <w:autoSpaceDN w:val="0"/>
        <w:adjustRightInd w:val="0"/>
        <w:spacing w:after="120" w:line="360" w:lineRule="auto"/>
        <w:jc w:val="both"/>
        <w:rPr>
          <w:rFonts w:ascii="Garamond" w:hAnsi="Garamond"/>
          <w:b/>
          <w:bCs/>
          <w:sz w:val="22"/>
          <w:szCs w:val="22"/>
        </w:rPr>
      </w:pPr>
      <w:r w:rsidRPr="00AF5E49">
        <w:rPr>
          <w:rFonts w:ascii="Garamond" w:hAnsi="Garamond"/>
          <w:b/>
          <w:bCs/>
          <w:sz w:val="22"/>
          <w:szCs w:val="22"/>
        </w:rPr>
        <w:t>In terms of aggregate demand, risks are associated with the following factors:</w:t>
      </w:r>
    </w:p>
    <w:p w14:paraId="01560F8D" w14:textId="77777777" w:rsidR="00661CFC" w:rsidRPr="00AF5E49" w:rsidRDefault="519311B5" w:rsidP="519311B5">
      <w:pPr>
        <w:pStyle w:val="ListParagraph"/>
        <w:numPr>
          <w:ilvl w:val="0"/>
          <w:numId w:val="7"/>
        </w:numPr>
        <w:autoSpaceDE w:val="0"/>
        <w:autoSpaceDN w:val="0"/>
        <w:adjustRightInd w:val="0"/>
        <w:spacing w:after="120" w:line="360" w:lineRule="auto"/>
        <w:jc w:val="both"/>
        <w:rPr>
          <w:rFonts w:ascii="Garamond" w:hAnsi="Garamond"/>
          <w:sz w:val="22"/>
          <w:szCs w:val="22"/>
        </w:rPr>
      </w:pPr>
      <w:r w:rsidRPr="00AF5E49">
        <w:rPr>
          <w:rFonts w:ascii="Garamond" w:hAnsi="Garamond"/>
          <w:sz w:val="22"/>
          <w:szCs w:val="22"/>
        </w:rPr>
        <w:t xml:space="preserve">Weaker external demand may last much longer, depending on the duration, extent and effectiveness of anti-epidemic measures in countries. </w:t>
      </w:r>
    </w:p>
    <w:p w14:paraId="670B61F4" w14:textId="28654FD4" w:rsidR="00661CFC" w:rsidRPr="00AF5E49" w:rsidRDefault="519311B5" w:rsidP="519311B5">
      <w:pPr>
        <w:pStyle w:val="ListParagraph"/>
        <w:numPr>
          <w:ilvl w:val="0"/>
          <w:numId w:val="7"/>
        </w:numPr>
        <w:autoSpaceDE w:val="0"/>
        <w:autoSpaceDN w:val="0"/>
        <w:adjustRightInd w:val="0"/>
        <w:spacing w:after="120" w:line="360" w:lineRule="auto"/>
        <w:jc w:val="both"/>
        <w:rPr>
          <w:rFonts w:ascii="Garamond" w:hAnsi="Garamond"/>
          <w:sz w:val="22"/>
          <w:szCs w:val="22"/>
        </w:rPr>
      </w:pPr>
      <w:r w:rsidRPr="00AF5E49">
        <w:rPr>
          <w:rFonts w:ascii="Garamond" w:hAnsi="Garamond"/>
          <w:sz w:val="22"/>
          <w:szCs w:val="22"/>
        </w:rPr>
        <w:t>Consumer behavior may change substantially, facing the consume-or-save dilemma, and the demand for secondary consumer goods may shift to goods of basic necessities. These structural changes may prove longer-term than predicted in the baseline scenario, which can lead to relative price changes on the one hand and influence the neutral interest rate, on the other.</w:t>
      </w:r>
    </w:p>
    <w:p w14:paraId="20388697" w14:textId="12F47634" w:rsidR="004D63DB" w:rsidRPr="00AF5E49" w:rsidRDefault="519311B5" w:rsidP="519311B5">
      <w:pPr>
        <w:pStyle w:val="ListParagraph"/>
        <w:numPr>
          <w:ilvl w:val="0"/>
          <w:numId w:val="7"/>
        </w:numPr>
        <w:autoSpaceDE w:val="0"/>
        <w:autoSpaceDN w:val="0"/>
        <w:adjustRightInd w:val="0"/>
        <w:spacing w:after="120" w:line="360" w:lineRule="auto"/>
        <w:jc w:val="both"/>
        <w:rPr>
          <w:rFonts w:ascii="Garamond" w:hAnsi="Garamond"/>
          <w:sz w:val="22"/>
          <w:szCs w:val="22"/>
        </w:rPr>
      </w:pPr>
      <w:r w:rsidRPr="00AF5E49">
        <w:rPr>
          <w:rFonts w:ascii="Garamond" w:hAnsi="Garamond"/>
          <w:sz w:val="22"/>
          <w:szCs w:val="22"/>
        </w:rPr>
        <w:t>The household liquidity-driven demand may reduce further. In the event the crisis lasts longer, more risks to household income and disrupted fulfillment of obligations will emerge, as people employed in some areas, especially in the service sector, will not have the physical opportunity to earn a living. Of course, the package of measures, and their effectiveness, envisaged by the Government, on the one hand, and flexibility of policy pursued by financial organizations and public utility service providers, on the other, is key.</w:t>
      </w:r>
    </w:p>
    <w:p w14:paraId="7A648D24" w14:textId="77777777" w:rsidR="002F7D66" w:rsidRPr="00AF5E49" w:rsidRDefault="519311B5" w:rsidP="519311B5">
      <w:pPr>
        <w:pStyle w:val="ListParagraph"/>
        <w:numPr>
          <w:ilvl w:val="0"/>
          <w:numId w:val="7"/>
        </w:numPr>
        <w:autoSpaceDE w:val="0"/>
        <w:autoSpaceDN w:val="0"/>
        <w:adjustRightInd w:val="0"/>
        <w:spacing w:after="120" w:line="360" w:lineRule="auto"/>
        <w:jc w:val="both"/>
        <w:rPr>
          <w:rFonts w:ascii="Garamond" w:hAnsi="Garamond"/>
          <w:sz w:val="22"/>
          <w:szCs w:val="22"/>
        </w:rPr>
      </w:pPr>
      <w:r w:rsidRPr="00AF5E49">
        <w:rPr>
          <w:rFonts w:ascii="Garamond" w:hAnsi="Garamond"/>
          <w:sz w:val="22"/>
          <w:szCs w:val="22"/>
        </w:rPr>
        <w:t>The fiscal policy leaves a more expansionary impact on the back of the Government’s AMD 150 billion-worth support package to soften adverse effects of the coronavirus disease on the Armenian economy. The programs will be implemented in several stages: designing of the delivery mechanisms are underway. However, the extent of the policy’s stimulative impact on aggregate demand depends largely on the scope, direction, and timing of measures being taken to neutralize economic repercussions of the coronavirus.</w:t>
      </w:r>
    </w:p>
    <w:p w14:paraId="645D5527" w14:textId="77777777" w:rsidR="0003340B" w:rsidRPr="00596DC5" w:rsidRDefault="00B95881" w:rsidP="0003340B">
      <w:pPr>
        <w:autoSpaceDE w:val="0"/>
        <w:autoSpaceDN w:val="0"/>
        <w:adjustRightInd w:val="0"/>
        <w:spacing w:after="120" w:line="360" w:lineRule="auto"/>
        <w:jc w:val="both"/>
        <w:rPr>
          <w:rFonts w:ascii="Garamond" w:hAnsi="Garamond"/>
          <w:b/>
          <w:sz w:val="22"/>
          <w:szCs w:val="22"/>
        </w:rPr>
      </w:pPr>
      <w:r w:rsidRPr="00596DC5">
        <w:rPr>
          <w:rFonts w:ascii="Garamond" w:hAnsi="Garamond"/>
          <w:b/>
          <w:sz w:val="22"/>
          <w:szCs w:val="22"/>
        </w:rPr>
        <w:t>In terms of supply</w:t>
      </w:r>
      <w:r w:rsidR="0003340B" w:rsidRPr="00596DC5">
        <w:rPr>
          <w:rFonts w:ascii="Garamond" w:hAnsi="Garamond"/>
          <w:b/>
          <w:sz w:val="22"/>
          <w:szCs w:val="22"/>
        </w:rPr>
        <w:t xml:space="preserve">, risks </w:t>
      </w:r>
      <w:r w:rsidRPr="00596DC5">
        <w:rPr>
          <w:rFonts w:ascii="Garamond" w:hAnsi="Garamond"/>
          <w:b/>
          <w:sz w:val="22"/>
          <w:szCs w:val="22"/>
        </w:rPr>
        <w:t xml:space="preserve">to the </w:t>
      </w:r>
      <w:r w:rsidR="0003340B" w:rsidRPr="00596DC5">
        <w:rPr>
          <w:rFonts w:ascii="Garamond" w:hAnsi="Garamond"/>
          <w:b/>
          <w:sz w:val="22"/>
          <w:szCs w:val="22"/>
        </w:rPr>
        <w:t>inflation</w:t>
      </w:r>
      <w:r w:rsidR="00596DC5">
        <w:rPr>
          <w:rFonts w:ascii="Garamond" w:hAnsi="Garamond"/>
          <w:b/>
          <w:sz w:val="22"/>
          <w:szCs w:val="22"/>
        </w:rPr>
        <w:t xml:space="preserve"> are as follows</w:t>
      </w:r>
      <w:r w:rsidR="0003340B" w:rsidRPr="00596DC5">
        <w:rPr>
          <w:rFonts w:ascii="Garamond" w:hAnsi="Garamond"/>
          <w:b/>
          <w:sz w:val="22"/>
          <w:szCs w:val="22"/>
        </w:rPr>
        <w:t>:</w:t>
      </w:r>
    </w:p>
    <w:p w14:paraId="349D77A0" w14:textId="77777777" w:rsidR="00596DC5" w:rsidRPr="00596DC5" w:rsidRDefault="00596DC5" w:rsidP="00596DC5">
      <w:pPr>
        <w:pStyle w:val="ListParagraph"/>
        <w:numPr>
          <w:ilvl w:val="0"/>
          <w:numId w:val="7"/>
        </w:numPr>
        <w:autoSpaceDE w:val="0"/>
        <w:autoSpaceDN w:val="0"/>
        <w:adjustRightInd w:val="0"/>
        <w:spacing w:after="120" w:line="360" w:lineRule="auto"/>
        <w:jc w:val="both"/>
        <w:rPr>
          <w:rFonts w:ascii="Garamond" w:hAnsi="Garamond"/>
          <w:sz w:val="22"/>
          <w:szCs w:val="22"/>
        </w:rPr>
      </w:pPr>
      <w:r>
        <w:rPr>
          <w:rFonts w:ascii="Garamond" w:hAnsi="Garamond" w:cs="Sylfaen"/>
          <w:sz w:val="22"/>
          <w:szCs w:val="22"/>
        </w:rPr>
        <w:t>S</w:t>
      </w:r>
      <w:r w:rsidRPr="00596DC5">
        <w:rPr>
          <w:rFonts w:ascii="Garamond" w:hAnsi="Garamond" w:cs="Sylfaen"/>
          <w:sz w:val="22"/>
          <w:szCs w:val="22"/>
        </w:rPr>
        <w:t>hort term inflationary risks</w:t>
      </w:r>
      <w:r>
        <w:rPr>
          <w:rFonts w:ascii="Garamond" w:hAnsi="Garamond" w:cs="Sylfaen"/>
          <w:sz w:val="22"/>
          <w:szCs w:val="22"/>
        </w:rPr>
        <w:t xml:space="preserve"> prevail and are associated with disruption in the normal course of </w:t>
      </w:r>
      <w:r w:rsidRPr="00596DC5">
        <w:rPr>
          <w:rFonts w:ascii="Garamond" w:hAnsi="Garamond" w:cs="Sylfaen"/>
          <w:sz w:val="22"/>
          <w:szCs w:val="22"/>
        </w:rPr>
        <w:t>import of various goods in the near future, a</w:t>
      </w:r>
      <w:r>
        <w:rPr>
          <w:rFonts w:ascii="Garamond" w:hAnsi="Garamond" w:cs="Sylfaen"/>
          <w:sz w:val="22"/>
          <w:szCs w:val="22"/>
        </w:rPr>
        <w:t xml:space="preserve">nd with certain dram depreciation effects. </w:t>
      </w:r>
    </w:p>
    <w:p w14:paraId="7587501D" w14:textId="52E871B6" w:rsidR="00596DC5" w:rsidRDefault="7AC81DC5" w:rsidP="00CE0953">
      <w:pPr>
        <w:pStyle w:val="ListParagraph"/>
        <w:numPr>
          <w:ilvl w:val="0"/>
          <w:numId w:val="7"/>
        </w:numPr>
        <w:autoSpaceDE w:val="0"/>
        <w:autoSpaceDN w:val="0"/>
        <w:adjustRightInd w:val="0"/>
        <w:spacing w:after="120" w:line="360" w:lineRule="auto"/>
        <w:jc w:val="both"/>
        <w:rPr>
          <w:rFonts w:ascii="Garamond" w:hAnsi="Garamond"/>
          <w:sz w:val="22"/>
          <w:szCs w:val="22"/>
        </w:rPr>
      </w:pPr>
      <w:r w:rsidRPr="7AC81DC5">
        <w:rPr>
          <w:rFonts w:ascii="Garamond" w:hAnsi="Garamond"/>
          <w:sz w:val="22"/>
          <w:szCs w:val="22"/>
        </w:rPr>
        <w:t xml:space="preserve">Short-term deflationary risks to commodity prices prevail and are associated with the global </w:t>
      </w:r>
      <w:proofErr w:type="spellStart"/>
      <w:r w:rsidRPr="7AC81DC5">
        <w:rPr>
          <w:rFonts w:ascii="Garamond" w:hAnsi="Garamond"/>
          <w:sz w:val="22"/>
          <w:szCs w:val="22"/>
        </w:rPr>
        <w:t>economydownside</w:t>
      </w:r>
      <w:proofErr w:type="spellEnd"/>
      <w:r w:rsidRPr="7AC81DC5">
        <w:rPr>
          <w:rFonts w:ascii="Garamond" w:hAnsi="Garamond"/>
          <w:sz w:val="22"/>
          <w:szCs w:val="22"/>
        </w:rPr>
        <w:t xml:space="preserve"> risks.</w:t>
      </w:r>
    </w:p>
    <w:p w14:paraId="53691336" w14:textId="77777777" w:rsidR="00CE0953" w:rsidRPr="00CE0953" w:rsidRDefault="00CE0953" w:rsidP="00CE0953">
      <w:pPr>
        <w:autoSpaceDE w:val="0"/>
        <w:autoSpaceDN w:val="0"/>
        <w:adjustRightInd w:val="0"/>
        <w:spacing w:after="120" w:line="360" w:lineRule="auto"/>
        <w:jc w:val="both"/>
        <w:rPr>
          <w:rFonts w:ascii="Garamond" w:hAnsi="Garamond"/>
          <w:sz w:val="22"/>
          <w:szCs w:val="22"/>
        </w:rPr>
      </w:pPr>
      <w:r w:rsidRPr="00CE0953">
        <w:rPr>
          <w:rFonts w:ascii="Garamond" w:hAnsi="Garamond"/>
          <w:sz w:val="22"/>
          <w:szCs w:val="22"/>
        </w:rPr>
        <w:t xml:space="preserve">In the </w:t>
      </w:r>
      <w:proofErr w:type="gramStart"/>
      <w:r w:rsidRPr="00CE0953">
        <w:rPr>
          <w:rFonts w:ascii="Garamond" w:hAnsi="Garamond"/>
          <w:sz w:val="22"/>
          <w:szCs w:val="22"/>
        </w:rPr>
        <w:t>medium term</w:t>
      </w:r>
      <w:proofErr w:type="gramEnd"/>
      <w:r>
        <w:rPr>
          <w:rFonts w:ascii="Garamond" w:hAnsi="Garamond"/>
          <w:sz w:val="22"/>
          <w:szCs w:val="22"/>
        </w:rPr>
        <w:t xml:space="preserve"> perspective</w:t>
      </w:r>
      <w:r w:rsidRPr="00CE0953">
        <w:rPr>
          <w:rFonts w:ascii="Garamond" w:hAnsi="Garamond"/>
          <w:sz w:val="22"/>
          <w:szCs w:val="22"/>
        </w:rPr>
        <w:t xml:space="preserve">, risks </w:t>
      </w:r>
      <w:r>
        <w:rPr>
          <w:rFonts w:ascii="Garamond" w:hAnsi="Garamond"/>
          <w:sz w:val="22"/>
          <w:szCs w:val="22"/>
        </w:rPr>
        <w:t xml:space="preserve">to inflation </w:t>
      </w:r>
      <w:r w:rsidRPr="00CE0953">
        <w:rPr>
          <w:rFonts w:ascii="Garamond" w:hAnsi="Garamond"/>
          <w:sz w:val="22"/>
          <w:szCs w:val="22"/>
        </w:rPr>
        <w:t xml:space="preserve">deviating from </w:t>
      </w:r>
      <w:r>
        <w:rPr>
          <w:rFonts w:ascii="Garamond" w:hAnsi="Garamond"/>
          <w:sz w:val="22"/>
          <w:szCs w:val="22"/>
        </w:rPr>
        <w:t>projection path</w:t>
      </w:r>
      <w:r w:rsidRPr="00CE0953">
        <w:rPr>
          <w:rFonts w:ascii="Garamond" w:hAnsi="Garamond"/>
          <w:sz w:val="22"/>
          <w:szCs w:val="22"/>
        </w:rPr>
        <w:t xml:space="preserve"> are estimated to be balanced and</w:t>
      </w:r>
      <w:r w:rsidR="00787E4C">
        <w:rPr>
          <w:rFonts w:ascii="Garamond" w:hAnsi="Garamond"/>
          <w:sz w:val="22"/>
          <w:szCs w:val="22"/>
        </w:rPr>
        <w:t xml:space="preserve"> </w:t>
      </w:r>
      <w:r w:rsidR="00787E4C" w:rsidRPr="00CE0953">
        <w:rPr>
          <w:rFonts w:ascii="Garamond" w:hAnsi="Garamond"/>
          <w:sz w:val="22"/>
          <w:szCs w:val="22"/>
        </w:rPr>
        <w:t>quantitatively</w:t>
      </w:r>
      <w:r w:rsidR="00787E4C">
        <w:rPr>
          <w:rFonts w:ascii="Garamond" w:hAnsi="Garamond"/>
          <w:sz w:val="22"/>
          <w:szCs w:val="22"/>
        </w:rPr>
        <w:t xml:space="preserve"> are</w:t>
      </w:r>
      <w:r>
        <w:rPr>
          <w:rFonts w:ascii="Garamond" w:hAnsi="Garamond"/>
          <w:sz w:val="22"/>
          <w:szCs w:val="22"/>
        </w:rPr>
        <w:t xml:space="preserve"> rather </w:t>
      </w:r>
      <w:r w:rsidR="00787E4C">
        <w:rPr>
          <w:rFonts w:ascii="Garamond" w:hAnsi="Garamond"/>
          <w:sz w:val="22"/>
          <w:szCs w:val="22"/>
        </w:rPr>
        <w:t xml:space="preserve">sizeable </w:t>
      </w:r>
      <w:r w:rsidR="00B54670">
        <w:rPr>
          <w:rFonts w:ascii="Garamond" w:hAnsi="Garamond"/>
          <w:sz w:val="22"/>
          <w:szCs w:val="22"/>
        </w:rPr>
        <w:t>(see Chart 1: I</w:t>
      </w:r>
      <w:r w:rsidR="00B54670" w:rsidRPr="00EE5F0F">
        <w:rPr>
          <w:rFonts w:ascii="Garamond" w:hAnsi="Garamond"/>
          <w:sz w:val="22"/>
          <w:szCs w:val="22"/>
        </w:rPr>
        <w:t xml:space="preserve">nflation </w:t>
      </w:r>
      <w:r w:rsidR="00B54670">
        <w:rPr>
          <w:rFonts w:ascii="Garamond" w:hAnsi="Garamond"/>
          <w:sz w:val="22"/>
          <w:szCs w:val="22"/>
        </w:rPr>
        <w:t>Forecast P</w:t>
      </w:r>
      <w:r w:rsidR="00B54670" w:rsidRPr="00EE5F0F">
        <w:rPr>
          <w:rFonts w:ascii="Garamond" w:hAnsi="Garamond"/>
          <w:sz w:val="22"/>
          <w:szCs w:val="22"/>
        </w:rPr>
        <w:t>robability</w:t>
      </w:r>
      <w:r w:rsidR="00B54670">
        <w:rPr>
          <w:rFonts w:ascii="Garamond" w:hAnsi="Garamond"/>
          <w:sz w:val="22"/>
          <w:szCs w:val="22"/>
        </w:rPr>
        <w:t xml:space="preserve"> D</w:t>
      </w:r>
      <w:r w:rsidR="00B54670" w:rsidRPr="00EE5F0F">
        <w:rPr>
          <w:rFonts w:ascii="Garamond" w:hAnsi="Garamond"/>
          <w:sz w:val="22"/>
          <w:szCs w:val="22"/>
        </w:rPr>
        <w:t>istribution</w:t>
      </w:r>
      <w:r w:rsidR="00B54670">
        <w:rPr>
          <w:rFonts w:ascii="Garamond" w:hAnsi="Garamond"/>
          <w:sz w:val="22"/>
          <w:szCs w:val="22"/>
        </w:rPr>
        <w:t>).</w:t>
      </w:r>
    </w:p>
    <w:p w14:paraId="7169B4CD" w14:textId="77777777" w:rsidR="0003340B" w:rsidRPr="00787E4C" w:rsidRDefault="0039351A" w:rsidP="0003340B">
      <w:pPr>
        <w:autoSpaceDE w:val="0"/>
        <w:autoSpaceDN w:val="0"/>
        <w:adjustRightInd w:val="0"/>
        <w:spacing w:after="120" w:line="360" w:lineRule="auto"/>
        <w:jc w:val="both"/>
        <w:rPr>
          <w:rFonts w:ascii="Garamond" w:hAnsi="Garamond"/>
          <w:b/>
          <w:sz w:val="22"/>
          <w:szCs w:val="22"/>
        </w:rPr>
      </w:pPr>
      <w:r w:rsidRPr="00787E4C">
        <w:rPr>
          <w:rFonts w:ascii="Garamond" w:hAnsi="Garamond"/>
          <w:b/>
          <w:sz w:val="22"/>
          <w:szCs w:val="22"/>
        </w:rPr>
        <w:lastRenderedPageBreak/>
        <w:t>In addition</w:t>
      </w:r>
      <w:r w:rsidR="00197078">
        <w:rPr>
          <w:rFonts w:ascii="Garamond" w:hAnsi="Garamond"/>
          <w:b/>
          <w:sz w:val="22"/>
          <w:szCs w:val="22"/>
        </w:rPr>
        <w:t xml:space="preserve"> to the risks mentioned above, </w:t>
      </w:r>
      <w:r w:rsidR="00787E4C">
        <w:rPr>
          <w:rFonts w:ascii="Garamond" w:hAnsi="Garamond"/>
          <w:b/>
          <w:sz w:val="22"/>
          <w:szCs w:val="22"/>
        </w:rPr>
        <w:t xml:space="preserve">other </w:t>
      </w:r>
      <w:r w:rsidRPr="00787E4C">
        <w:rPr>
          <w:rFonts w:ascii="Garamond" w:hAnsi="Garamond"/>
          <w:b/>
          <w:sz w:val="22"/>
          <w:szCs w:val="22"/>
        </w:rPr>
        <w:t xml:space="preserve">mid-term </w:t>
      </w:r>
      <w:r w:rsidR="00124193" w:rsidRPr="00787E4C">
        <w:rPr>
          <w:rFonts w:ascii="Garamond" w:hAnsi="Garamond"/>
          <w:b/>
          <w:sz w:val="22"/>
          <w:szCs w:val="22"/>
        </w:rPr>
        <w:t>risks</w:t>
      </w:r>
      <w:r w:rsidRPr="00787E4C">
        <w:rPr>
          <w:rFonts w:ascii="Garamond" w:hAnsi="Garamond"/>
          <w:b/>
          <w:sz w:val="22"/>
          <w:szCs w:val="22"/>
        </w:rPr>
        <w:t xml:space="preserve"> (which </w:t>
      </w:r>
      <w:r w:rsidR="00787E4C">
        <w:rPr>
          <w:rFonts w:ascii="Garamond" w:hAnsi="Garamond"/>
          <w:b/>
          <w:sz w:val="22"/>
          <w:szCs w:val="22"/>
        </w:rPr>
        <w:t>unfold</w:t>
      </w:r>
      <w:r w:rsidRPr="00787E4C">
        <w:rPr>
          <w:rFonts w:ascii="Garamond" w:hAnsi="Garamond"/>
          <w:b/>
          <w:sz w:val="22"/>
          <w:szCs w:val="22"/>
        </w:rPr>
        <w:t xml:space="preserve"> </w:t>
      </w:r>
      <w:r w:rsidR="00F66756" w:rsidRPr="00787E4C">
        <w:rPr>
          <w:rFonts w:ascii="Garamond" w:hAnsi="Garamond"/>
          <w:b/>
          <w:sz w:val="22"/>
          <w:szCs w:val="22"/>
        </w:rPr>
        <w:t xml:space="preserve">in either direction </w:t>
      </w:r>
      <w:r w:rsidRPr="00787E4C">
        <w:rPr>
          <w:rFonts w:ascii="Garamond" w:hAnsi="Garamond"/>
          <w:b/>
          <w:sz w:val="22"/>
          <w:szCs w:val="22"/>
        </w:rPr>
        <w:t xml:space="preserve">but </w:t>
      </w:r>
      <w:r w:rsidR="00787E4C" w:rsidRPr="00787E4C">
        <w:rPr>
          <w:rFonts w:ascii="Garamond" w:hAnsi="Garamond"/>
          <w:b/>
          <w:sz w:val="22"/>
          <w:szCs w:val="22"/>
        </w:rPr>
        <w:t>down</w:t>
      </w:r>
      <w:r w:rsidRPr="00787E4C">
        <w:rPr>
          <w:rFonts w:ascii="Garamond" w:hAnsi="Garamond"/>
          <w:b/>
          <w:sz w:val="22"/>
          <w:szCs w:val="22"/>
        </w:rPr>
        <w:t xml:space="preserve">side risks prevail, however) </w:t>
      </w:r>
      <w:r w:rsidR="00787E4C" w:rsidRPr="00787E4C">
        <w:rPr>
          <w:rFonts w:ascii="Garamond" w:hAnsi="Garamond"/>
          <w:b/>
          <w:sz w:val="22"/>
          <w:szCs w:val="22"/>
        </w:rPr>
        <w:t xml:space="preserve">to </w:t>
      </w:r>
      <w:r w:rsidR="00124193" w:rsidRPr="00787E4C">
        <w:rPr>
          <w:rFonts w:ascii="Garamond" w:hAnsi="Garamond"/>
          <w:b/>
          <w:sz w:val="22"/>
          <w:szCs w:val="22"/>
        </w:rPr>
        <w:t xml:space="preserve">potential economic growth, </w:t>
      </w:r>
      <w:r w:rsidR="00197078">
        <w:rPr>
          <w:rFonts w:ascii="Garamond" w:hAnsi="Garamond"/>
          <w:b/>
          <w:sz w:val="22"/>
          <w:szCs w:val="22"/>
        </w:rPr>
        <w:t xml:space="preserve">are </w:t>
      </w:r>
      <w:r w:rsidR="00124193" w:rsidRPr="00787E4C">
        <w:rPr>
          <w:rFonts w:ascii="Garamond" w:hAnsi="Garamond"/>
          <w:b/>
          <w:sz w:val="22"/>
          <w:szCs w:val="22"/>
        </w:rPr>
        <w:t>as follows:</w:t>
      </w:r>
    </w:p>
    <w:p w14:paraId="0EAA5B7E" w14:textId="52E00E1A" w:rsidR="0003340B" w:rsidRDefault="54AE272E" w:rsidP="00787E4C">
      <w:pPr>
        <w:pStyle w:val="ListParagraph"/>
        <w:numPr>
          <w:ilvl w:val="0"/>
          <w:numId w:val="7"/>
        </w:numPr>
        <w:autoSpaceDE w:val="0"/>
        <w:autoSpaceDN w:val="0"/>
        <w:adjustRightInd w:val="0"/>
        <w:spacing w:after="120" w:line="360" w:lineRule="auto"/>
        <w:jc w:val="both"/>
        <w:rPr>
          <w:rFonts w:ascii="Garamond" w:hAnsi="Garamond"/>
          <w:sz w:val="22"/>
          <w:szCs w:val="22"/>
        </w:rPr>
      </w:pPr>
      <w:r w:rsidRPr="54AE272E">
        <w:rPr>
          <w:rFonts w:ascii="Garamond" w:hAnsi="Garamond"/>
          <w:sz w:val="22"/>
          <w:szCs w:val="22"/>
        </w:rPr>
        <w:t>The spread of coronavirus disease, the length and effectiveness of anti-epidemic measures, as well as the size of their impact on the economy, especially on the quality (health) of the labor force.</w:t>
      </w:r>
    </w:p>
    <w:p w14:paraId="4C50DA68" w14:textId="1E477479" w:rsidR="006535D4" w:rsidRPr="00EE5F0F" w:rsidRDefault="54AE272E" w:rsidP="00197078">
      <w:pPr>
        <w:pStyle w:val="ListParagraph"/>
        <w:numPr>
          <w:ilvl w:val="0"/>
          <w:numId w:val="7"/>
        </w:numPr>
        <w:autoSpaceDE w:val="0"/>
        <w:autoSpaceDN w:val="0"/>
        <w:adjustRightInd w:val="0"/>
        <w:spacing w:after="120" w:line="360" w:lineRule="auto"/>
        <w:jc w:val="both"/>
        <w:rPr>
          <w:rFonts w:ascii="Garamond" w:hAnsi="Garamond"/>
          <w:sz w:val="22"/>
          <w:szCs w:val="22"/>
        </w:rPr>
      </w:pPr>
      <w:r w:rsidRPr="54AE272E">
        <w:rPr>
          <w:rFonts w:ascii="Garamond" w:hAnsi="Garamond"/>
          <w:sz w:val="22"/>
          <w:szCs w:val="22"/>
        </w:rPr>
        <w:t xml:space="preserve">The uncertainties associated with further operating of </w:t>
      </w:r>
      <w:proofErr w:type="spellStart"/>
      <w:r w:rsidRPr="54AE272E">
        <w:rPr>
          <w:rFonts w:ascii="Garamond" w:hAnsi="Garamond"/>
          <w:sz w:val="22"/>
          <w:szCs w:val="22"/>
        </w:rPr>
        <w:t>Amulsar</w:t>
      </w:r>
      <w:proofErr w:type="spellEnd"/>
      <w:r w:rsidRPr="54AE272E">
        <w:rPr>
          <w:rFonts w:ascii="Garamond" w:hAnsi="Garamond"/>
          <w:sz w:val="22"/>
          <w:szCs w:val="22"/>
        </w:rPr>
        <w:t xml:space="preserve"> mine and Alaverdi copper smelter. In the context of longer-term economic growth, the further course of structural reforms in the economy and to which extent they will affect business climate and investments.</w:t>
      </w:r>
    </w:p>
    <w:p w14:paraId="2DBF0D7D" w14:textId="77777777" w:rsidR="00197078" w:rsidRDefault="00197078" w:rsidP="00933B63">
      <w:pPr>
        <w:autoSpaceDE w:val="0"/>
        <w:autoSpaceDN w:val="0"/>
        <w:adjustRightInd w:val="0"/>
        <w:spacing w:after="120" w:line="360" w:lineRule="auto"/>
        <w:jc w:val="both"/>
        <w:rPr>
          <w:rFonts w:ascii="Garamond" w:hAnsi="Garamond"/>
          <w:b/>
          <w:color w:val="0070C0"/>
          <w:sz w:val="22"/>
          <w:szCs w:val="22"/>
        </w:rPr>
      </w:pPr>
    </w:p>
    <w:p w14:paraId="1D8401F6" w14:textId="77777777" w:rsidR="00933B63" w:rsidRPr="00EE5F0F" w:rsidRDefault="00933B63" w:rsidP="00933B63">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 ACTUAL DEVELOPMENTS IN Q</w:t>
      </w:r>
      <w:r w:rsidR="00197078">
        <w:rPr>
          <w:rFonts w:ascii="Garamond" w:hAnsi="Garamond"/>
          <w:b/>
          <w:color w:val="0070C0"/>
          <w:sz w:val="22"/>
          <w:szCs w:val="22"/>
        </w:rPr>
        <w:t>4</w:t>
      </w:r>
      <w:r w:rsidRPr="00EE5F0F">
        <w:rPr>
          <w:rFonts w:ascii="Garamond" w:hAnsi="Garamond"/>
          <w:b/>
          <w:color w:val="0070C0"/>
          <w:sz w:val="22"/>
          <w:szCs w:val="22"/>
        </w:rPr>
        <w:t>, 201</w:t>
      </w:r>
      <w:r w:rsidR="00542F22">
        <w:rPr>
          <w:rFonts w:ascii="Garamond" w:hAnsi="Garamond"/>
          <w:b/>
          <w:color w:val="0070C0"/>
          <w:sz w:val="22"/>
          <w:szCs w:val="22"/>
        </w:rPr>
        <w:t>9</w:t>
      </w:r>
    </w:p>
    <w:p w14:paraId="12ED04AF" w14:textId="77777777" w:rsidR="00933B63" w:rsidRPr="00EE5F0F" w:rsidRDefault="00933B63" w:rsidP="00933B63">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3.1. Inflation</w:t>
      </w:r>
    </w:p>
    <w:p w14:paraId="7B1E75C4" w14:textId="77777777" w:rsidR="00933B63" w:rsidRPr="00EE5F0F" w:rsidRDefault="00933B63" w:rsidP="00933B63">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3.1.1. Fulfilment of the inflation target</w:t>
      </w:r>
    </w:p>
    <w:p w14:paraId="1D37F7E8" w14:textId="77777777" w:rsidR="001D4517" w:rsidRPr="001D4517" w:rsidRDefault="00197078" w:rsidP="00933B63">
      <w:pPr>
        <w:autoSpaceDE w:val="0"/>
        <w:autoSpaceDN w:val="0"/>
        <w:adjustRightInd w:val="0"/>
        <w:spacing w:after="120" w:line="360" w:lineRule="auto"/>
        <w:jc w:val="both"/>
        <w:rPr>
          <w:rFonts w:ascii="Garamond" w:hAnsi="Garamond"/>
          <w:sz w:val="22"/>
          <w:szCs w:val="22"/>
        </w:rPr>
      </w:pPr>
      <w:r w:rsidRPr="001D4517">
        <w:rPr>
          <w:rFonts w:ascii="Garamond" w:hAnsi="Garamond"/>
          <w:sz w:val="22"/>
          <w:szCs w:val="22"/>
        </w:rPr>
        <w:t>According to t</w:t>
      </w:r>
      <w:r w:rsidR="00FC5E95" w:rsidRPr="001D4517">
        <w:rPr>
          <w:rFonts w:ascii="Garamond" w:hAnsi="Garamond"/>
          <w:sz w:val="22"/>
          <w:szCs w:val="22"/>
        </w:rPr>
        <w:t xml:space="preserve">he </w:t>
      </w:r>
      <w:r w:rsidRPr="001D4517">
        <w:rPr>
          <w:rFonts w:ascii="Garamond" w:hAnsi="Garamond"/>
          <w:sz w:val="22"/>
          <w:szCs w:val="22"/>
        </w:rPr>
        <w:t xml:space="preserve">first quarter 2019 </w:t>
      </w:r>
      <w:r w:rsidR="00CA3CF3" w:rsidRPr="001D4517">
        <w:rPr>
          <w:rFonts w:ascii="Garamond" w:hAnsi="Garamond"/>
          <w:sz w:val="22"/>
          <w:szCs w:val="22"/>
        </w:rPr>
        <w:t>monetary policy program</w:t>
      </w:r>
      <w:r w:rsidRPr="001D4517">
        <w:rPr>
          <w:rFonts w:ascii="Garamond" w:hAnsi="Garamond"/>
          <w:sz w:val="22"/>
          <w:szCs w:val="22"/>
        </w:rPr>
        <w:t>,</w:t>
      </w:r>
      <w:r w:rsidR="00CA3CF3" w:rsidRPr="001D4517">
        <w:rPr>
          <w:rFonts w:ascii="Garamond" w:hAnsi="Garamond"/>
          <w:sz w:val="22"/>
          <w:szCs w:val="22"/>
        </w:rPr>
        <w:t xml:space="preserve"> </w:t>
      </w:r>
      <w:r w:rsidR="00436385" w:rsidRPr="001D4517">
        <w:rPr>
          <w:rFonts w:ascii="Garamond" w:hAnsi="Garamond"/>
          <w:sz w:val="22"/>
          <w:szCs w:val="22"/>
        </w:rPr>
        <w:t xml:space="preserve">low inflationary environment persisted in early 2019, and the Central Bank continued pursuing an expansionary monetary policy. Under such </w:t>
      </w:r>
      <w:r w:rsidR="001D4517" w:rsidRPr="001D4517">
        <w:rPr>
          <w:rFonts w:ascii="Garamond" w:hAnsi="Garamond"/>
          <w:sz w:val="22"/>
          <w:szCs w:val="22"/>
        </w:rPr>
        <w:t xml:space="preserve">a </w:t>
      </w:r>
      <w:r w:rsidR="00436385" w:rsidRPr="001D4517">
        <w:rPr>
          <w:rFonts w:ascii="Garamond" w:hAnsi="Garamond"/>
          <w:sz w:val="22"/>
          <w:szCs w:val="22"/>
        </w:rPr>
        <w:t xml:space="preserve">policy and in view of expected </w:t>
      </w:r>
      <w:r w:rsidR="001D4517" w:rsidRPr="001D4517">
        <w:rPr>
          <w:rFonts w:ascii="Garamond" w:hAnsi="Garamond"/>
          <w:sz w:val="22"/>
          <w:szCs w:val="22"/>
        </w:rPr>
        <w:t>macro</w:t>
      </w:r>
      <w:r w:rsidR="00436385" w:rsidRPr="001D4517">
        <w:rPr>
          <w:rFonts w:ascii="Garamond" w:hAnsi="Garamond"/>
          <w:sz w:val="22"/>
          <w:szCs w:val="22"/>
        </w:rPr>
        <w:t>economic developments, the 12-month inflation would remain low in the forthcoming period, since the Central Bank had opted for inflation to recover gradually and estimated that the low inflation contributed to anchoring long-term inflation expectations and maintaining the purchasing power of income</w:t>
      </w:r>
      <w:r w:rsidR="001D4517" w:rsidRPr="001D4517">
        <w:rPr>
          <w:rFonts w:ascii="Garamond" w:hAnsi="Garamond"/>
          <w:sz w:val="22"/>
          <w:szCs w:val="22"/>
        </w:rPr>
        <w:t xml:space="preserve">, </w:t>
      </w:r>
      <w:r w:rsidR="001D4517">
        <w:rPr>
          <w:rFonts w:ascii="Garamond" w:hAnsi="Garamond"/>
          <w:sz w:val="22"/>
          <w:szCs w:val="22"/>
        </w:rPr>
        <w:t xml:space="preserve">while </w:t>
      </w:r>
      <w:r w:rsidR="001D4517" w:rsidRPr="001D4517">
        <w:rPr>
          <w:rFonts w:ascii="Garamond" w:hAnsi="Garamond"/>
          <w:sz w:val="22"/>
          <w:szCs w:val="22"/>
        </w:rPr>
        <w:t xml:space="preserve">inflation would be stabilizing around the 4% target in the medium run. For fulfilment of the inflation target in the medium run, the monetary conditions were supposed to remain expansionary as longer as required, if macroeconomic developments unfolded according to the baseline scenario. </w:t>
      </w:r>
    </w:p>
    <w:p w14:paraId="1703B152" w14:textId="2DB94A8B" w:rsidR="00D25EB7" w:rsidRDefault="7DAFDB36" w:rsidP="00933B63">
      <w:pPr>
        <w:autoSpaceDE w:val="0"/>
        <w:autoSpaceDN w:val="0"/>
        <w:adjustRightInd w:val="0"/>
        <w:spacing w:after="120" w:line="360" w:lineRule="auto"/>
        <w:jc w:val="both"/>
        <w:rPr>
          <w:rFonts w:ascii="Garamond" w:hAnsi="Garamond"/>
          <w:sz w:val="22"/>
          <w:szCs w:val="22"/>
        </w:rPr>
      </w:pPr>
      <w:r w:rsidRPr="7DAFDB36">
        <w:rPr>
          <w:rFonts w:ascii="Garamond" w:hAnsi="Garamond"/>
          <w:sz w:val="22"/>
          <w:szCs w:val="22"/>
        </w:rPr>
        <w:t xml:space="preserve">In the period under review, inflation ran somewhat below its projection path, as the fiscal policy carried out that time proved more contractionary than expected and demand in the external environment came in weaker than predicted. In the meantime, some factors of supply having emerged to contain the inflation included the impact of low prices in the external environment transmitted onto domestic prices, ever growing competition in commodity markets, which affects the firms’ pricing behavior reduces their markups, and consumer demand shift to long-term consumer goods under budget constraints. </w:t>
      </w:r>
    </w:p>
    <w:p w14:paraId="782E9B52" w14:textId="77777777" w:rsidR="00303988" w:rsidRDefault="001F12F4" w:rsidP="00933B63">
      <w:pPr>
        <w:autoSpaceDE w:val="0"/>
        <w:autoSpaceDN w:val="0"/>
        <w:adjustRightInd w:val="0"/>
        <w:spacing w:after="120" w:line="360" w:lineRule="auto"/>
        <w:jc w:val="both"/>
        <w:rPr>
          <w:rFonts w:ascii="Garamond" w:hAnsi="Garamond"/>
          <w:sz w:val="22"/>
          <w:szCs w:val="22"/>
        </w:rPr>
      </w:pPr>
      <w:r>
        <w:rPr>
          <w:rFonts w:ascii="Garamond" w:hAnsi="Garamond"/>
          <w:sz w:val="22"/>
          <w:szCs w:val="22"/>
        </w:rPr>
        <w:t>In 2019, w</w:t>
      </w:r>
      <w:r w:rsidR="001F1E18">
        <w:rPr>
          <w:rFonts w:ascii="Garamond" w:hAnsi="Garamond"/>
          <w:sz w:val="22"/>
          <w:szCs w:val="22"/>
        </w:rPr>
        <w:t xml:space="preserve">ith inflation environment persisting </w:t>
      </w:r>
      <w:r>
        <w:rPr>
          <w:rFonts w:ascii="Garamond" w:hAnsi="Garamond"/>
          <w:sz w:val="22"/>
          <w:szCs w:val="22"/>
        </w:rPr>
        <w:t xml:space="preserve">at </w:t>
      </w:r>
      <w:r w:rsidR="001F1E18">
        <w:rPr>
          <w:rFonts w:ascii="Garamond" w:hAnsi="Garamond"/>
          <w:sz w:val="22"/>
          <w:szCs w:val="22"/>
        </w:rPr>
        <w:t>low, t</w:t>
      </w:r>
      <w:r w:rsidR="00BB6AF7">
        <w:rPr>
          <w:rFonts w:ascii="Garamond" w:hAnsi="Garamond"/>
          <w:sz w:val="22"/>
          <w:szCs w:val="22"/>
        </w:rPr>
        <w:t xml:space="preserve">he </w:t>
      </w:r>
      <w:r w:rsidR="00CE7ACC" w:rsidRPr="001F1E18">
        <w:rPr>
          <w:rFonts w:ascii="Garamond" w:hAnsi="Garamond"/>
          <w:sz w:val="22"/>
          <w:szCs w:val="22"/>
        </w:rPr>
        <w:t xml:space="preserve">Central Bank </w:t>
      </w:r>
      <w:r>
        <w:rPr>
          <w:rFonts w:ascii="Garamond" w:hAnsi="Garamond"/>
          <w:sz w:val="22"/>
          <w:szCs w:val="22"/>
        </w:rPr>
        <w:t>continued implementing a</w:t>
      </w:r>
      <w:r w:rsidR="001F1E18" w:rsidRPr="001F1E18">
        <w:rPr>
          <w:rFonts w:ascii="Garamond" w:hAnsi="Garamond"/>
          <w:sz w:val="22"/>
          <w:szCs w:val="22"/>
        </w:rPr>
        <w:t>n expansionary monetary policy</w:t>
      </w:r>
      <w:r w:rsidR="005327DA" w:rsidRPr="001F1E18">
        <w:rPr>
          <w:rFonts w:ascii="Garamond" w:hAnsi="Garamond"/>
          <w:sz w:val="22"/>
          <w:szCs w:val="22"/>
        </w:rPr>
        <w:t xml:space="preserve">, </w:t>
      </w:r>
      <w:r w:rsidR="00BB6AF7" w:rsidRPr="001F12F4">
        <w:rPr>
          <w:rFonts w:ascii="Garamond" w:hAnsi="Garamond"/>
          <w:sz w:val="22"/>
          <w:szCs w:val="22"/>
        </w:rPr>
        <w:t xml:space="preserve">while </w:t>
      </w:r>
      <w:r w:rsidR="005327DA" w:rsidRPr="001F12F4">
        <w:rPr>
          <w:rFonts w:ascii="Garamond" w:hAnsi="Garamond"/>
          <w:sz w:val="22"/>
          <w:szCs w:val="22"/>
        </w:rPr>
        <w:t xml:space="preserve">favoring </w:t>
      </w:r>
      <w:r>
        <w:rPr>
          <w:rFonts w:ascii="Garamond" w:hAnsi="Garamond"/>
          <w:sz w:val="22"/>
          <w:szCs w:val="22"/>
        </w:rPr>
        <w:t>the policy of letting the inflation approach its target gradually</w:t>
      </w:r>
      <w:r w:rsidR="00CE7ACC" w:rsidRPr="001F12F4">
        <w:rPr>
          <w:rFonts w:ascii="Garamond" w:hAnsi="Garamond"/>
          <w:sz w:val="22"/>
          <w:szCs w:val="22"/>
        </w:rPr>
        <w:t>,</w:t>
      </w:r>
      <w:r w:rsidR="00CE7ACC">
        <w:rPr>
          <w:rFonts w:ascii="Garamond" w:hAnsi="Garamond"/>
          <w:sz w:val="22"/>
          <w:szCs w:val="22"/>
        </w:rPr>
        <w:t xml:space="preserve"> since </w:t>
      </w:r>
      <w:r w:rsidR="00CE7ACC" w:rsidRPr="00C02601">
        <w:rPr>
          <w:rFonts w:ascii="Garamond" w:hAnsi="Garamond"/>
          <w:sz w:val="22"/>
          <w:szCs w:val="22"/>
        </w:rPr>
        <w:t>low inflation</w:t>
      </w:r>
      <w:r w:rsidR="005327DA">
        <w:rPr>
          <w:rFonts w:ascii="Garamond" w:hAnsi="Garamond"/>
          <w:sz w:val="22"/>
          <w:szCs w:val="22"/>
        </w:rPr>
        <w:t xml:space="preserve"> </w:t>
      </w:r>
      <w:r w:rsidR="00CE7ACC" w:rsidRPr="00C02601">
        <w:rPr>
          <w:rFonts w:ascii="Garamond" w:hAnsi="Garamond"/>
          <w:sz w:val="22"/>
          <w:szCs w:val="22"/>
        </w:rPr>
        <w:t>contribute</w:t>
      </w:r>
      <w:r w:rsidR="005327DA">
        <w:rPr>
          <w:rFonts w:ascii="Garamond" w:hAnsi="Garamond"/>
          <w:sz w:val="22"/>
          <w:szCs w:val="22"/>
        </w:rPr>
        <w:t>d</w:t>
      </w:r>
      <w:r w:rsidR="00CE7ACC" w:rsidRPr="00C02601">
        <w:rPr>
          <w:rFonts w:ascii="Garamond" w:hAnsi="Garamond"/>
          <w:sz w:val="22"/>
          <w:szCs w:val="22"/>
        </w:rPr>
        <w:t xml:space="preserve"> to anchoring long-term inflation expectations and maintaining</w:t>
      </w:r>
      <w:r w:rsidR="00CE7ACC">
        <w:rPr>
          <w:rFonts w:ascii="Garamond" w:hAnsi="Garamond"/>
          <w:sz w:val="22"/>
          <w:szCs w:val="22"/>
        </w:rPr>
        <w:t xml:space="preserve"> the purchasing power of income. Also, </w:t>
      </w:r>
      <w:r w:rsidR="00116CF5">
        <w:rPr>
          <w:rFonts w:ascii="Garamond" w:hAnsi="Garamond"/>
          <w:sz w:val="22"/>
          <w:szCs w:val="22"/>
        </w:rPr>
        <w:t xml:space="preserve">in consideration of </w:t>
      </w:r>
      <w:r w:rsidR="00116CF5" w:rsidRPr="00116CF5">
        <w:rPr>
          <w:rFonts w:ascii="Garamond" w:hAnsi="Garamond"/>
          <w:sz w:val="22"/>
          <w:szCs w:val="22"/>
        </w:rPr>
        <w:t>the more</w:t>
      </w:r>
      <w:r w:rsidR="00116CF5">
        <w:rPr>
          <w:rFonts w:ascii="Garamond" w:hAnsi="Garamond"/>
          <w:sz w:val="22"/>
          <w:szCs w:val="22"/>
        </w:rPr>
        <w:t xml:space="preserve">-than-expected contractionary </w:t>
      </w:r>
      <w:r w:rsidR="00116CF5" w:rsidRPr="00116CF5">
        <w:rPr>
          <w:rFonts w:ascii="Garamond" w:hAnsi="Garamond"/>
          <w:sz w:val="22"/>
          <w:szCs w:val="22"/>
        </w:rPr>
        <w:t>fiscal policy</w:t>
      </w:r>
      <w:r w:rsidR="00116CF5">
        <w:rPr>
          <w:rFonts w:ascii="Garamond" w:hAnsi="Garamond"/>
          <w:sz w:val="22"/>
          <w:szCs w:val="22"/>
        </w:rPr>
        <w:t xml:space="preserve">, continued slowing of global economic growth rates and </w:t>
      </w:r>
      <w:r w:rsidR="00DE0575">
        <w:rPr>
          <w:rFonts w:ascii="Garamond" w:hAnsi="Garamond"/>
          <w:sz w:val="22"/>
          <w:szCs w:val="22"/>
        </w:rPr>
        <w:t>w</w:t>
      </w:r>
      <w:r w:rsidR="00DE0575" w:rsidRPr="00DE0575">
        <w:rPr>
          <w:rFonts w:ascii="Garamond" w:hAnsi="Garamond"/>
          <w:sz w:val="22"/>
          <w:szCs w:val="22"/>
        </w:rPr>
        <w:t>eake</w:t>
      </w:r>
      <w:r w:rsidR="00DE0575">
        <w:rPr>
          <w:rFonts w:ascii="Garamond" w:hAnsi="Garamond"/>
          <w:sz w:val="22"/>
          <w:szCs w:val="22"/>
        </w:rPr>
        <w:t xml:space="preserve">r </w:t>
      </w:r>
      <w:r w:rsidR="00DE0575" w:rsidRPr="00DE0575">
        <w:rPr>
          <w:rFonts w:ascii="Garamond" w:hAnsi="Garamond"/>
          <w:sz w:val="22"/>
          <w:szCs w:val="22"/>
        </w:rPr>
        <w:t xml:space="preserve">inflationary environment in international market of basic </w:t>
      </w:r>
      <w:r w:rsidR="00DE0575">
        <w:rPr>
          <w:rFonts w:ascii="Garamond" w:hAnsi="Garamond"/>
          <w:sz w:val="22"/>
          <w:szCs w:val="22"/>
        </w:rPr>
        <w:t>commodities,</w:t>
      </w:r>
      <w:r w:rsidR="00CE7ACC" w:rsidRPr="00C02601">
        <w:rPr>
          <w:rFonts w:ascii="Garamond" w:hAnsi="Garamond"/>
          <w:sz w:val="22"/>
          <w:szCs w:val="22"/>
        </w:rPr>
        <w:t xml:space="preserve"> </w:t>
      </w:r>
      <w:r w:rsidR="00CE7ACC">
        <w:rPr>
          <w:rFonts w:ascii="Garamond" w:hAnsi="Garamond"/>
          <w:sz w:val="22"/>
          <w:szCs w:val="22"/>
        </w:rPr>
        <w:t xml:space="preserve">the </w:t>
      </w:r>
      <w:r w:rsidR="000500A9">
        <w:rPr>
          <w:rFonts w:ascii="Garamond" w:hAnsi="Garamond"/>
          <w:sz w:val="22"/>
          <w:szCs w:val="22"/>
        </w:rPr>
        <w:t xml:space="preserve">Central Bank </w:t>
      </w:r>
      <w:r w:rsidR="00DE0575">
        <w:rPr>
          <w:rFonts w:ascii="Garamond" w:hAnsi="Garamond"/>
          <w:sz w:val="22"/>
          <w:szCs w:val="22"/>
        </w:rPr>
        <w:t>has slightly added to the monetary stimulus by cutting</w:t>
      </w:r>
      <w:r w:rsidR="00BB6AF7" w:rsidRPr="000500A9">
        <w:rPr>
          <w:rFonts w:ascii="Garamond" w:hAnsi="Garamond"/>
          <w:sz w:val="22"/>
          <w:szCs w:val="22"/>
        </w:rPr>
        <w:t xml:space="preserve"> t</w:t>
      </w:r>
      <w:r w:rsidR="00397003" w:rsidRPr="000500A9">
        <w:rPr>
          <w:rFonts w:ascii="Garamond" w:hAnsi="Garamond"/>
          <w:sz w:val="22"/>
          <w:szCs w:val="22"/>
        </w:rPr>
        <w:t xml:space="preserve">he refinancing rate </w:t>
      </w:r>
      <w:r w:rsidR="00DE0575">
        <w:rPr>
          <w:rFonts w:ascii="Garamond" w:hAnsi="Garamond"/>
          <w:sz w:val="22"/>
          <w:szCs w:val="22"/>
        </w:rPr>
        <w:t>each time by 0.25 pp in the first and third quarters.</w:t>
      </w:r>
      <w:r w:rsidR="00404628">
        <w:rPr>
          <w:rFonts w:ascii="Garamond" w:hAnsi="Garamond"/>
          <w:sz w:val="22"/>
          <w:szCs w:val="22"/>
        </w:rPr>
        <w:t xml:space="preserve"> </w:t>
      </w:r>
      <w:r w:rsidR="00DE0575">
        <w:rPr>
          <w:rFonts w:ascii="Garamond" w:hAnsi="Garamond"/>
          <w:sz w:val="22"/>
          <w:szCs w:val="22"/>
        </w:rPr>
        <w:t>The</w:t>
      </w:r>
      <w:r w:rsidR="00303988" w:rsidRPr="00303988">
        <w:rPr>
          <w:rFonts w:ascii="Garamond" w:hAnsi="Garamond"/>
          <w:sz w:val="22"/>
          <w:szCs w:val="22"/>
        </w:rPr>
        <w:t xml:space="preserve"> C</w:t>
      </w:r>
      <w:r w:rsidR="0086276B">
        <w:rPr>
          <w:rFonts w:ascii="Garamond" w:hAnsi="Garamond"/>
          <w:sz w:val="22"/>
          <w:szCs w:val="22"/>
        </w:rPr>
        <w:t xml:space="preserve">entral </w:t>
      </w:r>
      <w:r w:rsidR="00303988" w:rsidRPr="00303988">
        <w:rPr>
          <w:rFonts w:ascii="Garamond" w:hAnsi="Garamond"/>
          <w:sz w:val="22"/>
          <w:szCs w:val="22"/>
        </w:rPr>
        <w:t>B</w:t>
      </w:r>
      <w:r w:rsidR="0086276B">
        <w:rPr>
          <w:rFonts w:ascii="Garamond" w:hAnsi="Garamond"/>
          <w:sz w:val="22"/>
          <w:szCs w:val="22"/>
        </w:rPr>
        <w:t>ank</w:t>
      </w:r>
      <w:r w:rsidR="00303988" w:rsidRPr="00303988">
        <w:rPr>
          <w:rFonts w:ascii="Garamond" w:hAnsi="Garamond"/>
          <w:sz w:val="22"/>
          <w:szCs w:val="22"/>
        </w:rPr>
        <w:t xml:space="preserve"> </w:t>
      </w:r>
      <w:r w:rsidR="00DE0575">
        <w:rPr>
          <w:rFonts w:ascii="Garamond" w:hAnsi="Garamond"/>
          <w:sz w:val="22"/>
          <w:szCs w:val="22"/>
        </w:rPr>
        <w:t xml:space="preserve">further </w:t>
      </w:r>
      <w:r w:rsidR="0086276B">
        <w:rPr>
          <w:rFonts w:ascii="Garamond" w:hAnsi="Garamond"/>
          <w:sz w:val="22"/>
          <w:szCs w:val="22"/>
        </w:rPr>
        <w:t xml:space="preserve">signaled </w:t>
      </w:r>
      <w:r w:rsidR="00A65A44">
        <w:rPr>
          <w:rFonts w:ascii="Garamond" w:hAnsi="Garamond"/>
          <w:sz w:val="22"/>
          <w:szCs w:val="22"/>
        </w:rPr>
        <w:t xml:space="preserve">the financial market </w:t>
      </w:r>
      <w:r w:rsidR="0086276B">
        <w:rPr>
          <w:rFonts w:ascii="Garamond" w:hAnsi="Garamond"/>
          <w:sz w:val="22"/>
          <w:szCs w:val="22"/>
        </w:rPr>
        <w:lastRenderedPageBreak/>
        <w:t>that the monetary conditions w</w:t>
      </w:r>
      <w:r w:rsidR="00DE0575">
        <w:rPr>
          <w:rFonts w:ascii="Garamond" w:hAnsi="Garamond"/>
          <w:sz w:val="22"/>
          <w:szCs w:val="22"/>
        </w:rPr>
        <w:t>ill</w:t>
      </w:r>
      <w:r w:rsidR="0086276B">
        <w:rPr>
          <w:rFonts w:ascii="Garamond" w:hAnsi="Garamond"/>
          <w:sz w:val="22"/>
          <w:szCs w:val="22"/>
        </w:rPr>
        <w:t xml:space="preserve"> remain expansionary for as long a period as required</w:t>
      </w:r>
      <w:r w:rsidR="004A7225">
        <w:rPr>
          <w:rFonts w:ascii="Garamond" w:hAnsi="Garamond"/>
          <w:sz w:val="22"/>
          <w:szCs w:val="22"/>
        </w:rPr>
        <w:t>, in fulfillment of the inflation target</w:t>
      </w:r>
      <w:r w:rsidR="00F62C2E">
        <w:rPr>
          <w:rFonts w:ascii="Garamond" w:hAnsi="Garamond"/>
          <w:sz w:val="22"/>
          <w:szCs w:val="22"/>
        </w:rPr>
        <w:t xml:space="preserve"> in the medium run</w:t>
      </w:r>
      <w:r w:rsidR="00303988" w:rsidRPr="00303988">
        <w:rPr>
          <w:rFonts w:ascii="Garamond" w:hAnsi="Garamond"/>
          <w:sz w:val="22"/>
          <w:szCs w:val="22"/>
        </w:rPr>
        <w:t>.</w:t>
      </w:r>
    </w:p>
    <w:p w14:paraId="6B62F1B3" w14:textId="77777777" w:rsidR="0086276B" w:rsidRDefault="0086276B" w:rsidP="00933B63">
      <w:pPr>
        <w:autoSpaceDE w:val="0"/>
        <w:autoSpaceDN w:val="0"/>
        <w:adjustRightInd w:val="0"/>
        <w:spacing w:after="120" w:line="360" w:lineRule="auto"/>
        <w:jc w:val="both"/>
        <w:rPr>
          <w:rFonts w:ascii="Garamond" w:hAnsi="Garamond"/>
          <w:b/>
          <w:color w:val="0070C0"/>
          <w:sz w:val="22"/>
          <w:szCs w:val="22"/>
        </w:rPr>
      </w:pPr>
    </w:p>
    <w:p w14:paraId="6A6763EA" w14:textId="77777777" w:rsidR="001E301B" w:rsidRPr="00EE5F0F" w:rsidRDefault="001E301B" w:rsidP="00933B63">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3.1.2. Prices</w:t>
      </w:r>
    </w:p>
    <w:p w14:paraId="311C6D3A" w14:textId="77777777" w:rsidR="00947280" w:rsidRDefault="00947280" w:rsidP="00947280">
      <w:pPr>
        <w:autoSpaceDE w:val="0"/>
        <w:autoSpaceDN w:val="0"/>
        <w:adjustRightInd w:val="0"/>
        <w:spacing w:after="120" w:line="360" w:lineRule="auto"/>
        <w:jc w:val="both"/>
        <w:rPr>
          <w:rFonts w:ascii="Garamond" w:hAnsi="Garamond"/>
          <w:sz w:val="22"/>
          <w:szCs w:val="22"/>
        </w:rPr>
      </w:pPr>
      <w:r>
        <w:rPr>
          <w:rFonts w:ascii="Garamond" w:hAnsi="Garamond"/>
          <w:sz w:val="22"/>
          <w:szCs w:val="22"/>
        </w:rPr>
        <w:t>The 12-month inflation remained low</w:t>
      </w:r>
      <w:r w:rsidRPr="00947280">
        <w:rPr>
          <w:rFonts w:ascii="Garamond" w:hAnsi="Garamond"/>
          <w:sz w:val="22"/>
          <w:szCs w:val="22"/>
        </w:rPr>
        <w:t xml:space="preserve"> </w:t>
      </w:r>
      <w:r w:rsidR="00DE0575">
        <w:rPr>
          <w:rFonts w:ascii="Garamond" w:hAnsi="Garamond"/>
          <w:sz w:val="22"/>
          <w:szCs w:val="22"/>
        </w:rPr>
        <w:t xml:space="preserve">over </w:t>
      </w:r>
      <w:r>
        <w:rPr>
          <w:rFonts w:ascii="Garamond" w:hAnsi="Garamond"/>
          <w:sz w:val="22"/>
          <w:szCs w:val="22"/>
        </w:rPr>
        <w:t xml:space="preserve">2019, </w:t>
      </w:r>
      <w:r w:rsidR="00404628">
        <w:rPr>
          <w:rFonts w:ascii="Garamond" w:hAnsi="Garamond"/>
          <w:sz w:val="22"/>
          <w:szCs w:val="22"/>
        </w:rPr>
        <w:t>amounting to 0</w:t>
      </w:r>
      <w:r>
        <w:rPr>
          <w:rFonts w:ascii="Garamond" w:hAnsi="Garamond"/>
          <w:sz w:val="22"/>
          <w:szCs w:val="22"/>
        </w:rPr>
        <w:t>.</w:t>
      </w:r>
      <w:r w:rsidR="00DE0575">
        <w:rPr>
          <w:rFonts w:ascii="Garamond" w:hAnsi="Garamond"/>
          <w:sz w:val="22"/>
          <w:szCs w:val="22"/>
        </w:rPr>
        <w:t>7</w:t>
      </w:r>
      <w:r>
        <w:rPr>
          <w:rFonts w:ascii="Garamond" w:hAnsi="Garamond"/>
          <w:sz w:val="22"/>
          <w:szCs w:val="22"/>
        </w:rPr>
        <w:t xml:space="preserve">% </w:t>
      </w:r>
      <w:r w:rsidR="00404628">
        <w:rPr>
          <w:rFonts w:ascii="Garamond" w:hAnsi="Garamond"/>
          <w:sz w:val="22"/>
          <w:szCs w:val="22"/>
        </w:rPr>
        <w:t>y/y</w:t>
      </w:r>
      <w:r w:rsidR="00DE0575">
        <w:rPr>
          <w:rFonts w:ascii="Garamond" w:hAnsi="Garamond"/>
          <w:sz w:val="22"/>
          <w:szCs w:val="22"/>
        </w:rPr>
        <w:t xml:space="preserve"> at the end of the year.</w:t>
      </w:r>
      <w:r>
        <w:rPr>
          <w:rFonts w:ascii="Garamond" w:hAnsi="Garamond"/>
          <w:sz w:val="22"/>
          <w:szCs w:val="22"/>
        </w:rPr>
        <w:t xml:space="preserve"> </w:t>
      </w:r>
      <w:r w:rsidR="00290CA2">
        <w:rPr>
          <w:rFonts w:ascii="Garamond" w:hAnsi="Garamond"/>
          <w:sz w:val="22"/>
          <w:szCs w:val="22"/>
        </w:rPr>
        <w:t xml:space="preserve">In the </w:t>
      </w:r>
      <w:r>
        <w:rPr>
          <w:rFonts w:ascii="Garamond" w:hAnsi="Garamond"/>
          <w:sz w:val="22"/>
          <w:szCs w:val="22"/>
        </w:rPr>
        <w:t>meantime</w:t>
      </w:r>
      <w:r w:rsidR="00404628">
        <w:rPr>
          <w:rFonts w:ascii="Garamond" w:hAnsi="Garamond"/>
          <w:sz w:val="22"/>
          <w:szCs w:val="22"/>
        </w:rPr>
        <w:t>,</w:t>
      </w:r>
      <w:r>
        <w:rPr>
          <w:rFonts w:ascii="Garamond" w:hAnsi="Garamond"/>
          <w:sz w:val="22"/>
          <w:szCs w:val="22"/>
        </w:rPr>
        <w:t xml:space="preserve"> </w:t>
      </w:r>
      <w:r w:rsidR="00290CA2">
        <w:rPr>
          <w:rFonts w:ascii="Garamond" w:hAnsi="Garamond"/>
          <w:sz w:val="22"/>
          <w:szCs w:val="22"/>
        </w:rPr>
        <w:t xml:space="preserve">the 12-month </w:t>
      </w:r>
      <w:r>
        <w:rPr>
          <w:rFonts w:ascii="Garamond" w:hAnsi="Garamond"/>
          <w:sz w:val="22"/>
          <w:szCs w:val="22"/>
        </w:rPr>
        <w:t xml:space="preserve">core </w:t>
      </w:r>
      <w:r w:rsidR="00290CA2">
        <w:rPr>
          <w:rFonts w:ascii="Garamond" w:hAnsi="Garamond"/>
          <w:sz w:val="22"/>
          <w:szCs w:val="22"/>
        </w:rPr>
        <w:t xml:space="preserve">inflation </w:t>
      </w:r>
      <w:r>
        <w:rPr>
          <w:rFonts w:ascii="Garamond" w:hAnsi="Garamond"/>
          <w:sz w:val="22"/>
          <w:szCs w:val="22"/>
        </w:rPr>
        <w:t xml:space="preserve">has </w:t>
      </w:r>
      <w:r w:rsidR="00B80E4A">
        <w:rPr>
          <w:rFonts w:ascii="Garamond" w:hAnsi="Garamond"/>
          <w:sz w:val="22"/>
          <w:szCs w:val="22"/>
        </w:rPr>
        <w:t>decreased to 0</w:t>
      </w:r>
      <w:r>
        <w:rPr>
          <w:rFonts w:ascii="Garamond" w:hAnsi="Garamond"/>
          <w:sz w:val="22"/>
          <w:szCs w:val="22"/>
        </w:rPr>
        <w:t>.</w:t>
      </w:r>
      <w:r w:rsidR="00B80E4A">
        <w:rPr>
          <w:rFonts w:ascii="Garamond" w:hAnsi="Garamond"/>
          <w:sz w:val="22"/>
          <w:szCs w:val="22"/>
        </w:rPr>
        <w:t>7</w:t>
      </w:r>
      <w:r>
        <w:rPr>
          <w:rFonts w:ascii="Garamond" w:hAnsi="Garamond"/>
          <w:sz w:val="22"/>
          <w:szCs w:val="22"/>
        </w:rPr>
        <w:t xml:space="preserve">%, while regulated </w:t>
      </w:r>
      <w:r w:rsidR="00556AD8" w:rsidRPr="00556AD8">
        <w:rPr>
          <w:rFonts w:ascii="Garamond" w:hAnsi="Garamond"/>
          <w:sz w:val="22"/>
          <w:szCs w:val="22"/>
        </w:rPr>
        <w:t>service tariffs</w:t>
      </w:r>
      <w:r w:rsidR="00B80E4A">
        <w:rPr>
          <w:rFonts w:ascii="Garamond" w:hAnsi="Garamond"/>
          <w:sz w:val="22"/>
          <w:szCs w:val="22"/>
        </w:rPr>
        <w:t xml:space="preserve"> and seasonal food product prices have grown by 0.3% and 1</w:t>
      </w:r>
      <w:r w:rsidR="00054233">
        <w:rPr>
          <w:rFonts w:ascii="Garamond" w:hAnsi="Garamond"/>
          <w:sz w:val="22"/>
          <w:szCs w:val="22"/>
        </w:rPr>
        <w:t>.</w:t>
      </w:r>
      <w:r w:rsidR="00B80E4A">
        <w:rPr>
          <w:rFonts w:ascii="Garamond" w:hAnsi="Garamond"/>
          <w:sz w:val="22"/>
          <w:szCs w:val="22"/>
        </w:rPr>
        <w:t>8</w:t>
      </w:r>
      <w:r w:rsidR="00054233">
        <w:rPr>
          <w:rFonts w:ascii="Garamond" w:hAnsi="Garamond"/>
          <w:sz w:val="22"/>
          <w:szCs w:val="22"/>
        </w:rPr>
        <w:t>% y/y</w:t>
      </w:r>
      <w:r w:rsidR="00B80E4A">
        <w:rPr>
          <w:rFonts w:ascii="Garamond" w:hAnsi="Garamond"/>
          <w:sz w:val="22"/>
          <w:szCs w:val="22"/>
        </w:rPr>
        <w:t>, respectively</w:t>
      </w:r>
      <w:r w:rsidR="00054233">
        <w:rPr>
          <w:rFonts w:ascii="Garamond" w:hAnsi="Garamond"/>
          <w:sz w:val="22"/>
          <w:szCs w:val="22"/>
        </w:rPr>
        <w:t>.</w:t>
      </w:r>
    </w:p>
    <w:p w14:paraId="5296DABD" w14:textId="77777777" w:rsidR="003E2A36" w:rsidRDefault="00947280" w:rsidP="00947280">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The y/y </w:t>
      </w:r>
      <w:r w:rsidR="00531FD4">
        <w:rPr>
          <w:rFonts w:ascii="Garamond" w:hAnsi="Garamond"/>
          <w:sz w:val="22"/>
          <w:szCs w:val="22"/>
        </w:rPr>
        <w:t>in</w:t>
      </w:r>
      <w:r w:rsidR="00054233">
        <w:rPr>
          <w:rFonts w:ascii="Garamond" w:hAnsi="Garamond"/>
          <w:sz w:val="22"/>
          <w:szCs w:val="22"/>
        </w:rPr>
        <w:t>c</w:t>
      </w:r>
      <w:r>
        <w:rPr>
          <w:rFonts w:ascii="Garamond" w:hAnsi="Garamond"/>
          <w:sz w:val="22"/>
          <w:szCs w:val="22"/>
        </w:rPr>
        <w:t>rease in s</w:t>
      </w:r>
      <w:r w:rsidRPr="00947280">
        <w:rPr>
          <w:rFonts w:ascii="Garamond" w:hAnsi="Garamond"/>
          <w:sz w:val="22"/>
          <w:szCs w:val="22"/>
        </w:rPr>
        <w:t xml:space="preserve">easonal </w:t>
      </w:r>
      <w:r>
        <w:rPr>
          <w:rFonts w:ascii="Garamond" w:hAnsi="Garamond"/>
          <w:sz w:val="22"/>
          <w:szCs w:val="22"/>
        </w:rPr>
        <w:t xml:space="preserve">prices of food products </w:t>
      </w:r>
      <w:r w:rsidR="00531FD4">
        <w:rPr>
          <w:rFonts w:ascii="Garamond" w:hAnsi="Garamond"/>
          <w:sz w:val="22"/>
          <w:szCs w:val="22"/>
        </w:rPr>
        <w:t>wa</w:t>
      </w:r>
      <w:r w:rsidR="003E2A36">
        <w:rPr>
          <w:rFonts w:ascii="Garamond" w:hAnsi="Garamond"/>
          <w:sz w:val="22"/>
          <w:szCs w:val="22"/>
        </w:rPr>
        <w:t xml:space="preserve">s </w:t>
      </w:r>
      <w:r w:rsidR="00531FD4">
        <w:rPr>
          <w:rFonts w:ascii="Garamond" w:hAnsi="Garamond"/>
          <w:sz w:val="22"/>
          <w:szCs w:val="22"/>
        </w:rPr>
        <w:t>totally due to 5</w:t>
      </w:r>
      <w:r w:rsidRPr="00947280">
        <w:rPr>
          <w:rFonts w:ascii="Garamond" w:hAnsi="Garamond"/>
          <w:sz w:val="22"/>
          <w:szCs w:val="22"/>
        </w:rPr>
        <w:t>.</w:t>
      </w:r>
      <w:r w:rsidR="00054233">
        <w:rPr>
          <w:rFonts w:ascii="Garamond" w:hAnsi="Garamond"/>
          <w:sz w:val="22"/>
          <w:szCs w:val="22"/>
        </w:rPr>
        <w:t>9</w:t>
      </w:r>
      <w:r w:rsidRPr="00947280">
        <w:rPr>
          <w:rFonts w:ascii="Garamond" w:hAnsi="Garamond"/>
          <w:sz w:val="22"/>
          <w:szCs w:val="22"/>
        </w:rPr>
        <w:t>%</w:t>
      </w:r>
      <w:r w:rsidR="00054233">
        <w:rPr>
          <w:rFonts w:ascii="Garamond" w:hAnsi="Garamond"/>
          <w:sz w:val="22"/>
          <w:szCs w:val="22"/>
        </w:rPr>
        <w:t xml:space="preserve"> </w:t>
      </w:r>
      <w:r w:rsidR="00531FD4">
        <w:rPr>
          <w:rFonts w:ascii="Garamond" w:hAnsi="Garamond"/>
          <w:sz w:val="22"/>
          <w:szCs w:val="22"/>
        </w:rPr>
        <w:t>rise</w:t>
      </w:r>
      <w:r w:rsidR="00054233">
        <w:rPr>
          <w:rFonts w:ascii="Garamond" w:hAnsi="Garamond"/>
          <w:sz w:val="22"/>
          <w:szCs w:val="22"/>
        </w:rPr>
        <w:t xml:space="preserve"> in prices of </w:t>
      </w:r>
      <w:r w:rsidR="003E2A36">
        <w:rPr>
          <w:rFonts w:ascii="Garamond" w:hAnsi="Garamond"/>
          <w:sz w:val="22"/>
          <w:szCs w:val="22"/>
        </w:rPr>
        <w:t>item</w:t>
      </w:r>
      <w:r w:rsidR="00531FD4">
        <w:rPr>
          <w:rFonts w:ascii="Garamond" w:hAnsi="Garamond"/>
          <w:sz w:val="22"/>
          <w:szCs w:val="22"/>
        </w:rPr>
        <w:t xml:space="preserve"> “Vegetable” </w:t>
      </w:r>
      <w:r w:rsidR="00F9621E" w:rsidRPr="00947280">
        <w:rPr>
          <w:rFonts w:ascii="Garamond" w:hAnsi="Garamond"/>
          <w:sz w:val="22"/>
          <w:szCs w:val="22"/>
        </w:rPr>
        <w:t xml:space="preserve">(contribution to </w:t>
      </w:r>
      <w:r w:rsidR="00F9621E">
        <w:rPr>
          <w:rFonts w:ascii="Garamond" w:hAnsi="Garamond"/>
          <w:sz w:val="22"/>
          <w:szCs w:val="22"/>
        </w:rPr>
        <w:t xml:space="preserve">y/y </w:t>
      </w:r>
      <w:r w:rsidR="00F9621E" w:rsidRPr="00947280">
        <w:rPr>
          <w:rFonts w:ascii="Garamond" w:hAnsi="Garamond"/>
          <w:sz w:val="22"/>
          <w:szCs w:val="22"/>
        </w:rPr>
        <w:t>inflation</w:t>
      </w:r>
      <w:r w:rsidR="00F9621E">
        <w:rPr>
          <w:rFonts w:ascii="Garamond" w:hAnsi="Garamond"/>
          <w:sz w:val="22"/>
          <w:szCs w:val="22"/>
        </w:rPr>
        <w:t>:</w:t>
      </w:r>
      <w:r w:rsidR="00F9621E" w:rsidRPr="00947280">
        <w:rPr>
          <w:rFonts w:ascii="Garamond" w:hAnsi="Garamond"/>
          <w:sz w:val="22"/>
          <w:szCs w:val="22"/>
        </w:rPr>
        <w:t xml:space="preserve"> </w:t>
      </w:r>
      <w:r w:rsidR="00F9621E">
        <w:rPr>
          <w:rFonts w:ascii="Garamond" w:hAnsi="Garamond"/>
          <w:sz w:val="22"/>
          <w:szCs w:val="22"/>
        </w:rPr>
        <w:t>0</w:t>
      </w:r>
      <w:r w:rsidR="00F9621E" w:rsidRPr="00947280">
        <w:rPr>
          <w:rFonts w:ascii="Garamond" w:hAnsi="Garamond"/>
          <w:sz w:val="22"/>
          <w:szCs w:val="22"/>
        </w:rPr>
        <w:t>.</w:t>
      </w:r>
      <w:r w:rsidR="00F9621E">
        <w:rPr>
          <w:rFonts w:ascii="Garamond" w:hAnsi="Garamond"/>
          <w:sz w:val="22"/>
          <w:szCs w:val="22"/>
        </w:rPr>
        <w:t>3</w:t>
      </w:r>
      <w:r w:rsidR="00F9621E" w:rsidRPr="00947280">
        <w:rPr>
          <w:rFonts w:ascii="Garamond" w:hAnsi="Garamond"/>
          <w:sz w:val="22"/>
          <w:szCs w:val="22"/>
        </w:rPr>
        <w:t xml:space="preserve"> p</w:t>
      </w:r>
      <w:r w:rsidR="00F9621E">
        <w:rPr>
          <w:rFonts w:ascii="Garamond" w:hAnsi="Garamond"/>
          <w:sz w:val="22"/>
          <w:szCs w:val="22"/>
        </w:rPr>
        <w:t>p</w:t>
      </w:r>
      <w:r w:rsidR="00F9621E" w:rsidRPr="00947280">
        <w:rPr>
          <w:rFonts w:ascii="Garamond" w:hAnsi="Garamond"/>
          <w:sz w:val="22"/>
          <w:szCs w:val="22"/>
        </w:rPr>
        <w:t>)</w:t>
      </w:r>
      <w:r w:rsidR="00F9621E">
        <w:rPr>
          <w:rFonts w:ascii="Garamond" w:hAnsi="Garamond"/>
          <w:sz w:val="22"/>
          <w:szCs w:val="22"/>
        </w:rPr>
        <w:t xml:space="preserve">, whereas items </w:t>
      </w:r>
      <w:r w:rsidR="003E2A36">
        <w:rPr>
          <w:rFonts w:ascii="Garamond" w:hAnsi="Garamond"/>
          <w:sz w:val="22"/>
          <w:szCs w:val="22"/>
        </w:rPr>
        <w:t>“</w:t>
      </w:r>
      <w:r w:rsidRPr="00947280">
        <w:rPr>
          <w:rFonts w:ascii="Garamond" w:hAnsi="Garamond"/>
          <w:sz w:val="22"/>
          <w:szCs w:val="22"/>
        </w:rPr>
        <w:t>Fruit</w:t>
      </w:r>
      <w:r w:rsidR="003E2A36">
        <w:rPr>
          <w:rFonts w:ascii="Garamond" w:hAnsi="Garamond"/>
          <w:sz w:val="22"/>
          <w:szCs w:val="22"/>
        </w:rPr>
        <w:t>”</w:t>
      </w:r>
      <w:r w:rsidR="00054233">
        <w:rPr>
          <w:rFonts w:ascii="Garamond" w:hAnsi="Garamond"/>
          <w:sz w:val="22"/>
          <w:szCs w:val="22"/>
        </w:rPr>
        <w:t xml:space="preserve"> and</w:t>
      </w:r>
      <w:r w:rsidR="00F9621E">
        <w:rPr>
          <w:rFonts w:ascii="Garamond" w:hAnsi="Garamond"/>
          <w:sz w:val="22"/>
          <w:szCs w:val="22"/>
        </w:rPr>
        <w:t xml:space="preserve"> “Egg” posted price decreases of 2.7% and 4.0%</w:t>
      </w:r>
      <w:r w:rsidR="003E2A36">
        <w:rPr>
          <w:rFonts w:ascii="Garamond" w:hAnsi="Garamond"/>
          <w:sz w:val="22"/>
          <w:szCs w:val="22"/>
        </w:rPr>
        <w:t>,</w:t>
      </w:r>
      <w:r w:rsidRPr="00947280">
        <w:rPr>
          <w:rFonts w:ascii="Garamond" w:hAnsi="Garamond"/>
          <w:sz w:val="22"/>
          <w:szCs w:val="22"/>
        </w:rPr>
        <w:t xml:space="preserve"> respectively.</w:t>
      </w:r>
      <w:r w:rsidR="003E2A36">
        <w:rPr>
          <w:rFonts w:ascii="Garamond" w:hAnsi="Garamond"/>
          <w:sz w:val="22"/>
          <w:szCs w:val="22"/>
        </w:rPr>
        <w:t xml:space="preserve"> </w:t>
      </w:r>
    </w:p>
    <w:p w14:paraId="2F76E616" w14:textId="77777777" w:rsidR="00F9621E" w:rsidRDefault="003E2A36" w:rsidP="00947280">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The y/y increase in core inflation rate </w:t>
      </w:r>
      <w:r w:rsidR="005E32CF">
        <w:rPr>
          <w:rFonts w:ascii="Garamond" w:hAnsi="Garamond"/>
          <w:sz w:val="22"/>
          <w:szCs w:val="22"/>
        </w:rPr>
        <w:t>was mainly driven by 3.</w:t>
      </w:r>
      <w:r w:rsidR="00F9621E">
        <w:rPr>
          <w:rFonts w:ascii="Garamond" w:hAnsi="Garamond"/>
          <w:sz w:val="22"/>
          <w:szCs w:val="22"/>
        </w:rPr>
        <w:t>9</w:t>
      </w:r>
      <w:r w:rsidR="005E32CF">
        <w:rPr>
          <w:rFonts w:ascii="Garamond" w:hAnsi="Garamond"/>
          <w:sz w:val="22"/>
          <w:szCs w:val="22"/>
        </w:rPr>
        <w:t>%</w:t>
      </w:r>
      <w:r w:rsidR="00F9621E">
        <w:rPr>
          <w:rFonts w:ascii="Garamond" w:hAnsi="Garamond"/>
          <w:sz w:val="22"/>
          <w:szCs w:val="22"/>
        </w:rPr>
        <w:t>,</w:t>
      </w:r>
      <w:r w:rsidR="005E32CF">
        <w:rPr>
          <w:rFonts w:ascii="Garamond" w:hAnsi="Garamond"/>
          <w:sz w:val="22"/>
          <w:szCs w:val="22"/>
        </w:rPr>
        <w:t xml:space="preserve"> 7</w:t>
      </w:r>
      <w:r w:rsidRPr="003E2A36">
        <w:rPr>
          <w:rFonts w:ascii="Garamond" w:hAnsi="Garamond"/>
          <w:sz w:val="22"/>
          <w:szCs w:val="22"/>
        </w:rPr>
        <w:t>.</w:t>
      </w:r>
      <w:r w:rsidR="00F9621E">
        <w:rPr>
          <w:rFonts w:ascii="Garamond" w:hAnsi="Garamond"/>
          <w:sz w:val="22"/>
          <w:szCs w:val="22"/>
        </w:rPr>
        <w:t>5</w:t>
      </w:r>
      <w:r w:rsidRPr="003E2A36">
        <w:rPr>
          <w:rFonts w:ascii="Garamond" w:hAnsi="Garamond"/>
          <w:sz w:val="22"/>
          <w:szCs w:val="22"/>
        </w:rPr>
        <w:t xml:space="preserve">% </w:t>
      </w:r>
      <w:r w:rsidR="00F9621E">
        <w:rPr>
          <w:rFonts w:ascii="Garamond" w:hAnsi="Garamond"/>
          <w:sz w:val="22"/>
          <w:szCs w:val="22"/>
        </w:rPr>
        <w:t xml:space="preserve">and 2.8% price rises </w:t>
      </w:r>
      <w:r>
        <w:rPr>
          <w:rFonts w:ascii="Garamond" w:hAnsi="Garamond"/>
          <w:sz w:val="22"/>
          <w:szCs w:val="22"/>
        </w:rPr>
        <w:t>reported for items “</w:t>
      </w:r>
      <w:r w:rsidRPr="003E2A36">
        <w:rPr>
          <w:rFonts w:ascii="Garamond" w:hAnsi="Garamond"/>
          <w:sz w:val="22"/>
          <w:szCs w:val="22"/>
        </w:rPr>
        <w:t>B</w:t>
      </w:r>
      <w:r>
        <w:rPr>
          <w:rFonts w:ascii="Garamond" w:hAnsi="Garamond"/>
          <w:sz w:val="22"/>
          <w:szCs w:val="22"/>
        </w:rPr>
        <w:t xml:space="preserve">read products </w:t>
      </w:r>
      <w:r w:rsidRPr="003E2A36">
        <w:rPr>
          <w:rFonts w:ascii="Garamond" w:hAnsi="Garamond"/>
          <w:sz w:val="22"/>
          <w:szCs w:val="22"/>
        </w:rPr>
        <w:t xml:space="preserve">and </w:t>
      </w:r>
      <w:r>
        <w:rPr>
          <w:rFonts w:ascii="Garamond" w:hAnsi="Garamond"/>
          <w:sz w:val="22"/>
          <w:szCs w:val="22"/>
        </w:rPr>
        <w:t>wheat”</w:t>
      </w:r>
      <w:r w:rsidR="00F9621E">
        <w:rPr>
          <w:rFonts w:ascii="Garamond" w:hAnsi="Garamond"/>
          <w:sz w:val="22"/>
          <w:szCs w:val="22"/>
        </w:rPr>
        <w:t>,</w:t>
      </w:r>
      <w:r w:rsidRPr="003E2A36">
        <w:rPr>
          <w:rFonts w:ascii="Garamond" w:hAnsi="Garamond"/>
          <w:sz w:val="22"/>
          <w:szCs w:val="22"/>
        </w:rPr>
        <w:t xml:space="preserve"> </w:t>
      </w:r>
      <w:r>
        <w:rPr>
          <w:rFonts w:ascii="Garamond" w:hAnsi="Garamond"/>
          <w:sz w:val="22"/>
          <w:szCs w:val="22"/>
        </w:rPr>
        <w:t>“</w:t>
      </w:r>
      <w:r w:rsidRPr="003E2A36">
        <w:rPr>
          <w:rFonts w:ascii="Garamond" w:hAnsi="Garamond"/>
          <w:sz w:val="22"/>
          <w:szCs w:val="22"/>
        </w:rPr>
        <w:t>Tobacco</w:t>
      </w:r>
      <w:r>
        <w:rPr>
          <w:rFonts w:ascii="Garamond" w:hAnsi="Garamond"/>
          <w:sz w:val="22"/>
          <w:szCs w:val="22"/>
        </w:rPr>
        <w:t>”</w:t>
      </w:r>
      <w:r w:rsidR="00F9621E">
        <w:rPr>
          <w:rFonts w:ascii="Garamond" w:hAnsi="Garamond"/>
          <w:sz w:val="22"/>
          <w:szCs w:val="22"/>
        </w:rPr>
        <w:t xml:space="preserve"> and “Alcohol”</w:t>
      </w:r>
      <w:r w:rsidR="007D1943">
        <w:rPr>
          <w:rFonts w:ascii="Garamond" w:hAnsi="Garamond"/>
          <w:sz w:val="22"/>
          <w:szCs w:val="22"/>
        </w:rPr>
        <w:t xml:space="preserve">, and </w:t>
      </w:r>
      <w:r w:rsidR="00F9621E">
        <w:rPr>
          <w:rFonts w:ascii="Garamond" w:hAnsi="Garamond"/>
          <w:sz w:val="22"/>
          <w:szCs w:val="22"/>
        </w:rPr>
        <w:t>by 1</w:t>
      </w:r>
      <w:r w:rsidR="007D1943" w:rsidRPr="003E2A36">
        <w:rPr>
          <w:rFonts w:ascii="Garamond" w:hAnsi="Garamond"/>
          <w:sz w:val="22"/>
          <w:szCs w:val="22"/>
        </w:rPr>
        <w:t>.</w:t>
      </w:r>
      <w:r w:rsidR="00F9621E">
        <w:rPr>
          <w:rFonts w:ascii="Garamond" w:hAnsi="Garamond"/>
          <w:sz w:val="22"/>
          <w:szCs w:val="22"/>
        </w:rPr>
        <w:t>5</w:t>
      </w:r>
      <w:r w:rsidR="007D1943" w:rsidRPr="003E2A36">
        <w:rPr>
          <w:rFonts w:ascii="Garamond" w:hAnsi="Garamond"/>
          <w:sz w:val="22"/>
          <w:szCs w:val="22"/>
        </w:rPr>
        <w:t>%</w:t>
      </w:r>
      <w:r w:rsidR="007D1943">
        <w:rPr>
          <w:rFonts w:ascii="Garamond" w:hAnsi="Garamond"/>
          <w:sz w:val="22"/>
          <w:szCs w:val="22"/>
        </w:rPr>
        <w:t xml:space="preserve">, </w:t>
      </w:r>
      <w:r w:rsidR="00F9621E">
        <w:rPr>
          <w:rFonts w:ascii="Garamond" w:hAnsi="Garamond"/>
          <w:sz w:val="22"/>
          <w:szCs w:val="22"/>
        </w:rPr>
        <w:t>4</w:t>
      </w:r>
      <w:r w:rsidR="007D1943">
        <w:rPr>
          <w:rFonts w:ascii="Garamond" w:hAnsi="Garamond"/>
          <w:sz w:val="22"/>
          <w:szCs w:val="22"/>
        </w:rPr>
        <w:t>.</w:t>
      </w:r>
      <w:r w:rsidR="00F9621E">
        <w:rPr>
          <w:rFonts w:ascii="Garamond" w:hAnsi="Garamond"/>
          <w:sz w:val="22"/>
          <w:szCs w:val="22"/>
        </w:rPr>
        <w:t>4</w:t>
      </w:r>
      <w:r w:rsidR="007D1943">
        <w:rPr>
          <w:rFonts w:ascii="Garamond" w:hAnsi="Garamond"/>
          <w:sz w:val="22"/>
          <w:szCs w:val="22"/>
        </w:rPr>
        <w:t xml:space="preserve">% and </w:t>
      </w:r>
      <w:r w:rsidR="00F9621E">
        <w:rPr>
          <w:rFonts w:ascii="Garamond" w:hAnsi="Garamond"/>
          <w:sz w:val="22"/>
          <w:szCs w:val="22"/>
        </w:rPr>
        <w:t>2</w:t>
      </w:r>
      <w:r w:rsidR="007D1943">
        <w:rPr>
          <w:rFonts w:ascii="Garamond" w:hAnsi="Garamond"/>
          <w:sz w:val="22"/>
          <w:szCs w:val="22"/>
        </w:rPr>
        <w:t>.</w:t>
      </w:r>
      <w:r w:rsidR="00F9621E">
        <w:rPr>
          <w:rFonts w:ascii="Garamond" w:hAnsi="Garamond"/>
          <w:sz w:val="22"/>
          <w:szCs w:val="22"/>
        </w:rPr>
        <w:t>8</w:t>
      </w:r>
      <w:r w:rsidR="007D1943">
        <w:rPr>
          <w:rFonts w:ascii="Garamond" w:hAnsi="Garamond"/>
          <w:sz w:val="22"/>
          <w:szCs w:val="22"/>
        </w:rPr>
        <w:t>%</w:t>
      </w:r>
      <w:r w:rsidRPr="003E2A36">
        <w:rPr>
          <w:rFonts w:ascii="Garamond" w:hAnsi="Garamond"/>
          <w:sz w:val="22"/>
          <w:szCs w:val="22"/>
        </w:rPr>
        <w:t xml:space="preserve"> </w:t>
      </w:r>
      <w:r w:rsidR="00F9621E">
        <w:rPr>
          <w:rFonts w:ascii="Garamond" w:hAnsi="Garamond"/>
          <w:sz w:val="22"/>
          <w:szCs w:val="22"/>
        </w:rPr>
        <w:t xml:space="preserve">increases in </w:t>
      </w:r>
      <w:r w:rsidRPr="003E2A36">
        <w:rPr>
          <w:rFonts w:ascii="Garamond" w:hAnsi="Garamond"/>
          <w:sz w:val="22"/>
          <w:szCs w:val="22"/>
        </w:rPr>
        <w:t xml:space="preserve">items </w:t>
      </w:r>
      <w:r w:rsidR="00BB2B00">
        <w:rPr>
          <w:rFonts w:ascii="Garamond" w:hAnsi="Garamond"/>
          <w:sz w:val="22"/>
          <w:szCs w:val="22"/>
        </w:rPr>
        <w:t>“</w:t>
      </w:r>
      <w:r w:rsidRPr="003E2A36">
        <w:rPr>
          <w:rFonts w:ascii="Garamond" w:hAnsi="Garamond"/>
          <w:sz w:val="22"/>
          <w:szCs w:val="22"/>
        </w:rPr>
        <w:t>Cloth</w:t>
      </w:r>
      <w:r w:rsidR="00BB2B00">
        <w:rPr>
          <w:rFonts w:ascii="Garamond" w:hAnsi="Garamond"/>
          <w:sz w:val="22"/>
          <w:szCs w:val="22"/>
        </w:rPr>
        <w:t>es”</w:t>
      </w:r>
      <w:r w:rsidRPr="003E2A36">
        <w:rPr>
          <w:rFonts w:ascii="Garamond" w:hAnsi="Garamond"/>
          <w:sz w:val="22"/>
          <w:szCs w:val="22"/>
        </w:rPr>
        <w:t xml:space="preserve">, </w:t>
      </w:r>
      <w:r w:rsidR="00BB2B00">
        <w:rPr>
          <w:rFonts w:ascii="Garamond" w:hAnsi="Garamond"/>
          <w:sz w:val="22"/>
          <w:szCs w:val="22"/>
        </w:rPr>
        <w:t>“Footwear”</w:t>
      </w:r>
      <w:r w:rsidRPr="003E2A36">
        <w:rPr>
          <w:rFonts w:ascii="Garamond" w:hAnsi="Garamond"/>
          <w:sz w:val="22"/>
          <w:szCs w:val="22"/>
        </w:rPr>
        <w:t xml:space="preserve"> and </w:t>
      </w:r>
      <w:r w:rsidR="00BB2B00">
        <w:rPr>
          <w:rFonts w:ascii="Garamond" w:hAnsi="Garamond"/>
          <w:sz w:val="22"/>
          <w:szCs w:val="22"/>
        </w:rPr>
        <w:t>“</w:t>
      </w:r>
      <w:r w:rsidRPr="003E2A36">
        <w:rPr>
          <w:rFonts w:ascii="Garamond" w:hAnsi="Garamond"/>
          <w:sz w:val="22"/>
          <w:szCs w:val="22"/>
        </w:rPr>
        <w:t>Fuel</w:t>
      </w:r>
      <w:r w:rsidR="00BB2B00">
        <w:rPr>
          <w:rFonts w:ascii="Garamond" w:hAnsi="Garamond"/>
          <w:sz w:val="22"/>
          <w:szCs w:val="22"/>
        </w:rPr>
        <w:t>”,</w:t>
      </w:r>
      <w:r w:rsidRPr="003E2A36">
        <w:rPr>
          <w:rFonts w:ascii="Garamond" w:hAnsi="Garamond"/>
          <w:sz w:val="22"/>
          <w:szCs w:val="22"/>
        </w:rPr>
        <w:t xml:space="preserve"> respectively</w:t>
      </w:r>
      <w:r w:rsidR="00BB2B00">
        <w:rPr>
          <w:rFonts w:ascii="Garamond" w:hAnsi="Garamond"/>
          <w:sz w:val="22"/>
          <w:szCs w:val="22"/>
        </w:rPr>
        <w:t xml:space="preserve"> </w:t>
      </w:r>
      <w:r w:rsidRPr="003E2A36">
        <w:rPr>
          <w:rFonts w:ascii="Garamond" w:hAnsi="Garamond"/>
          <w:sz w:val="22"/>
          <w:szCs w:val="22"/>
        </w:rPr>
        <w:t>(</w:t>
      </w:r>
      <w:r w:rsidR="00BB2B00">
        <w:rPr>
          <w:rFonts w:ascii="Garamond" w:hAnsi="Garamond"/>
          <w:sz w:val="22"/>
          <w:szCs w:val="22"/>
        </w:rPr>
        <w:t xml:space="preserve">combined </w:t>
      </w:r>
      <w:r w:rsidRPr="003E2A36">
        <w:rPr>
          <w:rFonts w:ascii="Garamond" w:hAnsi="Garamond"/>
          <w:sz w:val="22"/>
          <w:szCs w:val="22"/>
        </w:rPr>
        <w:t xml:space="preserve">contribution to </w:t>
      </w:r>
      <w:r w:rsidR="00FB5E48">
        <w:rPr>
          <w:rFonts w:ascii="Garamond" w:hAnsi="Garamond"/>
          <w:sz w:val="22"/>
          <w:szCs w:val="22"/>
        </w:rPr>
        <w:t xml:space="preserve">y/y </w:t>
      </w:r>
      <w:r w:rsidR="00BB2B00">
        <w:rPr>
          <w:rFonts w:ascii="Garamond" w:hAnsi="Garamond"/>
          <w:sz w:val="22"/>
          <w:szCs w:val="22"/>
        </w:rPr>
        <w:t xml:space="preserve">inflation: </w:t>
      </w:r>
      <w:r w:rsidR="005E32CF">
        <w:rPr>
          <w:rFonts w:ascii="Garamond" w:hAnsi="Garamond"/>
          <w:sz w:val="22"/>
          <w:szCs w:val="22"/>
        </w:rPr>
        <w:t xml:space="preserve">about </w:t>
      </w:r>
      <w:r w:rsidR="00F9621E">
        <w:rPr>
          <w:rFonts w:ascii="Garamond" w:hAnsi="Garamond"/>
          <w:sz w:val="22"/>
          <w:szCs w:val="22"/>
        </w:rPr>
        <w:t>0</w:t>
      </w:r>
      <w:r w:rsidR="005E32CF">
        <w:rPr>
          <w:rFonts w:ascii="Garamond" w:hAnsi="Garamond"/>
          <w:sz w:val="22"/>
          <w:szCs w:val="22"/>
        </w:rPr>
        <w:t>.</w:t>
      </w:r>
      <w:r w:rsidR="00F9621E">
        <w:rPr>
          <w:rFonts w:ascii="Garamond" w:hAnsi="Garamond"/>
          <w:sz w:val="22"/>
          <w:szCs w:val="22"/>
        </w:rPr>
        <w:t>8</w:t>
      </w:r>
      <w:r w:rsidRPr="003E2A36">
        <w:rPr>
          <w:rFonts w:ascii="Garamond" w:hAnsi="Garamond"/>
          <w:sz w:val="22"/>
          <w:szCs w:val="22"/>
        </w:rPr>
        <w:t xml:space="preserve"> p</w:t>
      </w:r>
      <w:r w:rsidR="00BB2B00">
        <w:rPr>
          <w:rFonts w:ascii="Garamond" w:hAnsi="Garamond"/>
          <w:sz w:val="22"/>
          <w:szCs w:val="22"/>
        </w:rPr>
        <w:t>p</w:t>
      </w:r>
      <w:r w:rsidRPr="003E2A36">
        <w:rPr>
          <w:rFonts w:ascii="Garamond" w:hAnsi="Garamond"/>
          <w:sz w:val="22"/>
          <w:szCs w:val="22"/>
        </w:rPr>
        <w:t>).</w:t>
      </w:r>
      <w:r w:rsidR="00FB5E48">
        <w:rPr>
          <w:rFonts w:ascii="Garamond" w:hAnsi="Garamond"/>
          <w:sz w:val="22"/>
          <w:szCs w:val="22"/>
        </w:rPr>
        <w:t xml:space="preserve"> </w:t>
      </w:r>
      <w:r w:rsidR="00F9621E" w:rsidRPr="00F9621E">
        <w:rPr>
          <w:rFonts w:ascii="Garamond" w:hAnsi="Garamond"/>
          <w:sz w:val="22"/>
          <w:szCs w:val="22"/>
        </w:rPr>
        <w:t>Tariffs for unregulated services increased by 1.9% due to 7</w:t>
      </w:r>
      <w:r w:rsidR="00F9621E">
        <w:rPr>
          <w:rFonts w:ascii="Garamond" w:hAnsi="Garamond"/>
          <w:sz w:val="22"/>
          <w:szCs w:val="22"/>
        </w:rPr>
        <w:t>.5%, 3.7% and 4.</w:t>
      </w:r>
      <w:r w:rsidR="00F9621E" w:rsidRPr="00F9621E">
        <w:rPr>
          <w:rFonts w:ascii="Garamond" w:hAnsi="Garamond"/>
          <w:sz w:val="22"/>
          <w:szCs w:val="22"/>
        </w:rPr>
        <w:t xml:space="preserve">3% </w:t>
      </w:r>
      <w:r w:rsidR="00F9621E">
        <w:rPr>
          <w:rFonts w:ascii="Garamond" w:hAnsi="Garamond"/>
          <w:sz w:val="22"/>
          <w:szCs w:val="22"/>
        </w:rPr>
        <w:t>rise i</w:t>
      </w:r>
      <w:r w:rsidR="00F9621E" w:rsidRPr="00F9621E">
        <w:rPr>
          <w:rFonts w:ascii="Garamond" w:hAnsi="Garamond"/>
          <w:sz w:val="22"/>
          <w:szCs w:val="22"/>
        </w:rPr>
        <w:t xml:space="preserve">n air transport </w:t>
      </w:r>
      <w:r w:rsidR="00F9621E">
        <w:rPr>
          <w:rFonts w:ascii="Garamond" w:hAnsi="Garamond"/>
          <w:sz w:val="22"/>
          <w:szCs w:val="22"/>
        </w:rPr>
        <w:t>fare</w:t>
      </w:r>
      <w:r w:rsidR="00F9621E" w:rsidRPr="00F9621E">
        <w:rPr>
          <w:rFonts w:ascii="Garamond" w:hAnsi="Garamond"/>
          <w:sz w:val="22"/>
          <w:szCs w:val="22"/>
        </w:rPr>
        <w:t>, education and medical service</w:t>
      </w:r>
      <w:r w:rsidR="00F9621E">
        <w:rPr>
          <w:rFonts w:ascii="Garamond" w:hAnsi="Garamond"/>
          <w:sz w:val="22"/>
          <w:szCs w:val="22"/>
        </w:rPr>
        <w:t xml:space="preserve"> fee</w:t>
      </w:r>
      <w:r w:rsidR="00F9621E" w:rsidRPr="00F9621E">
        <w:rPr>
          <w:rFonts w:ascii="Garamond" w:hAnsi="Garamond"/>
          <w:sz w:val="22"/>
          <w:szCs w:val="22"/>
        </w:rPr>
        <w:t>s, respectively</w:t>
      </w:r>
      <w:r w:rsidR="00F9621E">
        <w:rPr>
          <w:rFonts w:ascii="Garamond" w:hAnsi="Garamond"/>
          <w:sz w:val="22"/>
          <w:szCs w:val="22"/>
        </w:rPr>
        <w:t xml:space="preserve"> </w:t>
      </w:r>
      <w:r w:rsidR="00F9621E" w:rsidRPr="003E2A36">
        <w:rPr>
          <w:rFonts w:ascii="Garamond" w:hAnsi="Garamond"/>
          <w:sz w:val="22"/>
          <w:szCs w:val="22"/>
        </w:rPr>
        <w:t>(</w:t>
      </w:r>
      <w:r w:rsidR="00F9621E">
        <w:rPr>
          <w:rFonts w:ascii="Garamond" w:hAnsi="Garamond"/>
          <w:sz w:val="22"/>
          <w:szCs w:val="22"/>
        </w:rPr>
        <w:t xml:space="preserve">combined </w:t>
      </w:r>
      <w:r w:rsidR="00F9621E" w:rsidRPr="003E2A36">
        <w:rPr>
          <w:rFonts w:ascii="Garamond" w:hAnsi="Garamond"/>
          <w:sz w:val="22"/>
          <w:szCs w:val="22"/>
        </w:rPr>
        <w:t xml:space="preserve">contribution to </w:t>
      </w:r>
      <w:r w:rsidR="00F9621E">
        <w:rPr>
          <w:rFonts w:ascii="Garamond" w:hAnsi="Garamond"/>
          <w:sz w:val="22"/>
          <w:szCs w:val="22"/>
        </w:rPr>
        <w:t>y/y inflation: about 0.</w:t>
      </w:r>
      <w:r w:rsidR="00650D68">
        <w:rPr>
          <w:rFonts w:ascii="Garamond" w:hAnsi="Garamond"/>
          <w:sz w:val="22"/>
          <w:szCs w:val="22"/>
        </w:rPr>
        <w:t>2</w:t>
      </w:r>
      <w:r w:rsidR="00F9621E" w:rsidRPr="003E2A36">
        <w:rPr>
          <w:rFonts w:ascii="Garamond" w:hAnsi="Garamond"/>
          <w:sz w:val="22"/>
          <w:szCs w:val="22"/>
        </w:rPr>
        <w:t xml:space="preserve"> p</w:t>
      </w:r>
      <w:r w:rsidR="00F9621E">
        <w:rPr>
          <w:rFonts w:ascii="Garamond" w:hAnsi="Garamond"/>
          <w:sz w:val="22"/>
          <w:szCs w:val="22"/>
        </w:rPr>
        <w:t>p</w:t>
      </w:r>
      <w:r w:rsidR="00F9621E" w:rsidRPr="003E2A36">
        <w:rPr>
          <w:rFonts w:ascii="Garamond" w:hAnsi="Garamond"/>
          <w:sz w:val="22"/>
          <w:szCs w:val="22"/>
        </w:rPr>
        <w:t>)</w:t>
      </w:r>
      <w:r w:rsidR="00F9621E" w:rsidRPr="00F9621E">
        <w:rPr>
          <w:rFonts w:ascii="Garamond" w:hAnsi="Garamond"/>
          <w:sz w:val="22"/>
          <w:szCs w:val="22"/>
        </w:rPr>
        <w:t>.</w:t>
      </w:r>
    </w:p>
    <w:p w14:paraId="7D190758" w14:textId="77777777" w:rsidR="003E2A36" w:rsidRDefault="00B329C2" w:rsidP="00947280">
      <w:pPr>
        <w:autoSpaceDE w:val="0"/>
        <w:autoSpaceDN w:val="0"/>
        <w:adjustRightInd w:val="0"/>
        <w:spacing w:after="120" w:line="360" w:lineRule="auto"/>
        <w:jc w:val="both"/>
        <w:rPr>
          <w:rFonts w:ascii="Garamond" w:hAnsi="Garamond"/>
          <w:sz w:val="22"/>
          <w:szCs w:val="22"/>
        </w:rPr>
      </w:pPr>
      <w:r>
        <w:rPr>
          <w:rFonts w:ascii="Garamond" w:hAnsi="Garamond"/>
          <w:sz w:val="22"/>
          <w:szCs w:val="22"/>
        </w:rPr>
        <w:t>T</w:t>
      </w:r>
      <w:r w:rsidR="00CF2726">
        <w:rPr>
          <w:rFonts w:ascii="Garamond" w:hAnsi="Garamond"/>
          <w:sz w:val="22"/>
          <w:szCs w:val="22"/>
        </w:rPr>
        <w:t xml:space="preserve">he </w:t>
      </w:r>
      <w:r>
        <w:rPr>
          <w:rFonts w:ascii="Garamond" w:hAnsi="Garamond"/>
          <w:sz w:val="22"/>
          <w:szCs w:val="22"/>
        </w:rPr>
        <w:t>fall</w:t>
      </w:r>
      <w:r w:rsidR="00CF2726">
        <w:rPr>
          <w:rFonts w:ascii="Garamond" w:hAnsi="Garamond"/>
          <w:sz w:val="22"/>
          <w:szCs w:val="22"/>
        </w:rPr>
        <w:t xml:space="preserve"> in</w:t>
      </w:r>
      <w:r w:rsidR="003E2A36" w:rsidRPr="003E2A36">
        <w:rPr>
          <w:rFonts w:ascii="Garamond" w:hAnsi="Garamond"/>
          <w:sz w:val="22"/>
          <w:szCs w:val="22"/>
        </w:rPr>
        <w:t xml:space="preserve"> </w:t>
      </w:r>
      <w:r w:rsidR="00CF2726">
        <w:rPr>
          <w:rFonts w:ascii="Garamond" w:hAnsi="Garamond"/>
          <w:sz w:val="22"/>
          <w:szCs w:val="22"/>
        </w:rPr>
        <w:t xml:space="preserve">prices </w:t>
      </w:r>
      <w:r w:rsidR="00625265">
        <w:rPr>
          <w:rFonts w:ascii="Garamond" w:hAnsi="Garamond"/>
          <w:sz w:val="22"/>
          <w:szCs w:val="22"/>
        </w:rPr>
        <w:t xml:space="preserve">of </w:t>
      </w:r>
      <w:r>
        <w:rPr>
          <w:rFonts w:ascii="Garamond" w:hAnsi="Garamond"/>
          <w:sz w:val="22"/>
          <w:szCs w:val="22"/>
        </w:rPr>
        <w:t xml:space="preserve">some </w:t>
      </w:r>
      <w:r w:rsidR="00625265">
        <w:rPr>
          <w:rFonts w:ascii="Garamond" w:hAnsi="Garamond"/>
          <w:sz w:val="22"/>
          <w:szCs w:val="22"/>
        </w:rPr>
        <w:t xml:space="preserve">food products </w:t>
      </w:r>
      <w:r w:rsidR="003E2A36" w:rsidRPr="003E2A36">
        <w:rPr>
          <w:rFonts w:ascii="Garamond" w:hAnsi="Garamond"/>
          <w:sz w:val="22"/>
          <w:szCs w:val="22"/>
        </w:rPr>
        <w:t>in international markets</w:t>
      </w:r>
      <w:r w:rsidR="00CF2726">
        <w:rPr>
          <w:rFonts w:ascii="Garamond" w:hAnsi="Garamond"/>
          <w:sz w:val="22"/>
          <w:szCs w:val="22"/>
        </w:rPr>
        <w:t xml:space="preserve"> </w:t>
      </w:r>
      <w:r>
        <w:rPr>
          <w:rFonts w:ascii="Garamond" w:hAnsi="Garamond"/>
          <w:sz w:val="22"/>
          <w:szCs w:val="22"/>
        </w:rPr>
        <w:t xml:space="preserve">observable since the start of the year </w:t>
      </w:r>
      <w:r w:rsidR="00CF2726">
        <w:rPr>
          <w:rFonts w:ascii="Garamond" w:hAnsi="Garamond"/>
          <w:sz w:val="22"/>
          <w:szCs w:val="22"/>
        </w:rPr>
        <w:t xml:space="preserve">has pushed </w:t>
      </w:r>
      <w:r>
        <w:rPr>
          <w:rFonts w:ascii="Garamond" w:hAnsi="Garamond"/>
          <w:sz w:val="22"/>
          <w:szCs w:val="22"/>
        </w:rPr>
        <w:t xml:space="preserve">down </w:t>
      </w:r>
      <w:r w:rsidR="00CF2726" w:rsidRPr="003E2A36">
        <w:rPr>
          <w:rFonts w:ascii="Garamond" w:hAnsi="Garamond"/>
          <w:sz w:val="22"/>
          <w:szCs w:val="22"/>
        </w:rPr>
        <w:t xml:space="preserve">domestic </w:t>
      </w:r>
      <w:r w:rsidR="00CF2726">
        <w:rPr>
          <w:rFonts w:ascii="Garamond" w:hAnsi="Garamond"/>
          <w:sz w:val="22"/>
          <w:szCs w:val="22"/>
        </w:rPr>
        <w:t xml:space="preserve">prices of </w:t>
      </w:r>
      <w:r>
        <w:rPr>
          <w:rFonts w:ascii="Garamond" w:hAnsi="Garamond"/>
          <w:sz w:val="22"/>
          <w:szCs w:val="22"/>
        </w:rPr>
        <w:t xml:space="preserve">certain food </w:t>
      </w:r>
      <w:r w:rsidR="00CF2726" w:rsidRPr="003E2A36">
        <w:rPr>
          <w:rFonts w:ascii="Garamond" w:hAnsi="Garamond"/>
          <w:sz w:val="22"/>
          <w:szCs w:val="22"/>
        </w:rPr>
        <w:t>products</w:t>
      </w:r>
      <w:r w:rsidR="003E2A36" w:rsidRPr="003E2A36">
        <w:rPr>
          <w:rFonts w:ascii="Garamond" w:hAnsi="Garamond"/>
          <w:sz w:val="22"/>
          <w:szCs w:val="22"/>
        </w:rPr>
        <w:t>.</w:t>
      </w:r>
      <w:r w:rsidR="00625265">
        <w:rPr>
          <w:rFonts w:ascii="Garamond" w:hAnsi="Garamond"/>
          <w:sz w:val="22"/>
          <w:szCs w:val="22"/>
        </w:rPr>
        <w:t xml:space="preserve"> </w:t>
      </w:r>
      <w:r w:rsidRPr="00B329C2">
        <w:rPr>
          <w:rFonts w:ascii="Garamond" w:hAnsi="Garamond"/>
          <w:sz w:val="22"/>
          <w:szCs w:val="22"/>
        </w:rPr>
        <w:t xml:space="preserve">However, world food prices </w:t>
      </w:r>
      <w:r>
        <w:rPr>
          <w:rFonts w:ascii="Garamond" w:hAnsi="Garamond"/>
          <w:sz w:val="22"/>
          <w:szCs w:val="22"/>
        </w:rPr>
        <w:t xml:space="preserve">grew </w:t>
      </w:r>
      <w:r w:rsidRPr="00B329C2">
        <w:rPr>
          <w:rFonts w:ascii="Garamond" w:hAnsi="Garamond"/>
          <w:sz w:val="22"/>
          <w:szCs w:val="22"/>
        </w:rPr>
        <w:t>in the fourth quarter</w:t>
      </w:r>
      <w:r>
        <w:rPr>
          <w:rFonts w:ascii="Garamond" w:hAnsi="Garamond"/>
          <w:sz w:val="22"/>
          <w:szCs w:val="22"/>
        </w:rPr>
        <w:t>,</w:t>
      </w:r>
      <w:r w:rsidRPr="00B329C2">
        <w:rPr>
          <w:rFonts w:ascii="Garamond" w:hAnsi="Garamond"/>
          <w:sz w:val="22"/>
          <w:szCs w:val="22"/>
        </w:rPr>
        <w:t xml:space="preserve"> the impact of which will gradually </w:t>
      </w:r>
      <w:r>
        <w:rPr>
          <w:rFonts w:ascii="Garamond" w:hAnsi="Garamond"/>
          <w:sz w:val="22"/>
          <w:szCs w:val="22"/>
        </w:rPr>
        <w:t>spill over to i</w:t>
      </w:r>
      <w:r w:rsidRPr="00B329C2">
        <w:rPr>
          <w:rFonts w:ascii="Garamond" w:hAnsi="Garamond"/>
          <w:sz w:val="22"/>
          <w:szCs w:val="22"/>
        </w:rPr>
        <w:t xml:space="preserve">nflation in Armenia in the </w:t>
      </w:r>
      <w:r>
        <w:rPr>
          <w:rFonts w:ascii="Garamond" w:hAnsi="Garamond"/>
          <w:sz w:val="22"/>
          <w:szCs w:val="22"/>
        </w:rPr>
        <w:t>course of up</w:t>
      </w:r>
      <w:r w:rsidRPr="00B329C2">
        <w:rPr>
          <w:rFonts w:ascii="Garamond" w:hAnsi="Garamond"/>
          <w:sz w:val="22"/>
          <w:szCs w:val="22"/>
        </w:rPr>
        <w:t xml:space="preserve">coming quarters. </w:t>
      </w:r>
      <w:r w:rsidR="005520A6">
        <w:rPr>
          <w:rFonts w:ascii="Garamond" w:hAnsi="Garamond"/>
          <w:sz w:val="22"/>
          <w:szCs w:val="22"/>
        </w:rPr>
        <w:t>In light of these developments</w:t>
      </w:r>
      <w:r w:rsidR="00625265" w:rsidRPr="00625265">
        <w:rPr>
          <w:rFonts w:ascii="Garamond" w:hAnsi="Garamond"/>
          <w:sz w:val="22"/>
          <w:szCs w:val="22"/>
        </w:rPr>
        <w:t xml:space="preserve">, </w:t>
      </w:r>
      <w:r w:rsidR="005520A6">
        <w:rPr>
          <w:rFonts w:ascii="Garamond" w:hAnsi="Garamond"/>
          <w:sz w:val="22"/>
          <w:szCs w:val="22"/>
        </w:rPr>
        <w:t>th</w:t>
      </w:r>
      <w:r w:rsidR="005520A6" w:rsidRPr="005520A6">
        <w:rPr>
          <w:rFonts w:ascii="Garamond" w:hAnsi="Garamond"/>
          <w:sz w:val="22"/>
          <w:szCs w:val="22"/>
        </w:rPr>
        <w:t>e inflation rate of non-seasonal food products</w:t>
      </w:r>
      <w:r w:rsidR="005520A6">
        <w:rPr>
          <w:rFonts w:ascii="Garamond" w:hAnsi="Garamond"/>
          <w:sz w:val="22"/>
          <w:szCs w:val="22"/>
        </w:rPr>
        <w:t xml:space="preserve"> has over the last one-year horizon </w:t>
      </w:r>
      <w:r w:rsidR="001221D7">
        <w:rPr>
          <w:rFonts w:ascii="Garamond" w:hAnsi="Garamond"/>
          <w:sz w:val="22"/>
          <w:szCs w:val="22"/>
        </w:rPr>
        <w:t xml:space="preserve">gradually </w:t>
      </w:r>
      <w:r w:rsidR="005520A6" w:rsidRPr="005520A6">
        <w:rPr>
          <w:rFonts w:ascii="Garamond" w:hAnsi="Garamond"/>
          <w:sz w:val="22"/>
          <w:szCs w:val="22"/>
        </w:rPr>
        <w:t>decreas</w:t>
      </w:r>
      <w:r w:rsidR="005520A6">
        <w:rPr>
          <w:rFonts w:ascii="Garamond" w:hAnsi="Garamond"/>
          <w:sz w:val="22"/>
          <w:szCs w:val="22"/>
        </w:rPr>
        <w:t>ed</w:t>
      </w:r>
      <w:r w:rsidR="005520A6" w:rsidRPr="005520A6">
        <w:rPr>
          <w:rFonts w:ascii="Garamond" w:hAnsi="Garamond"/>
          <w:sz w:val="22"/>
          <w:szCs w:val="22"/>
        </w:rPr>
        <w:t xml:space="preserve"> from 1</w:t>
      </w:r>
      <w:r w:rsidR="005520A6" w:rsidRPr="005520A6">
        <w:rPr>
          <w:rFonts w:ascii="Times New Roman" w:hAnsi="Times New Roman"/>
          <w:sz w:val="22"/>
          <w:szCs w:val="22"/>
        </w:rPr>
        <w:t>․</w:t>
      </w:r>
      <w:r w:rsidR="005520A6">
        <w:rPr>
          <w:rFonts w:ascii="Garamond" w:hAnsi="Garamond"/>
          <w:sz w:val="22"/>
          <w:szCs w:val="22"/>
        </w:rPr>
        <w:t xml:space="preserve">9% y/y to </w:t>
      </w:r>
      <w:r w:rsidR="005520A6" w:rsidRPr="005520A6">
        <w:rPr>
          <w:rFonts w:ascii="Garamond" w:hAnsi="Garamond"/>
          <w:sz w:val="22"/>
          <w:szCs w:val="22"/>
        </w:rPr>
        <w:t xml:space="preserve">-0.3% </w:t>
      </w:r>
      <w:r w:rsidR="005520A6">
        <w:rPr>
          <w:rFonts w:ascii="Garamond" w:hAnsi="Garamond"/>
          <w:sz w:val="22"/>
          <w:szCs w:val="22"/>
        </w:rPr>
        <w:t>y/y</w:t>
      </w:r>
      <w:r w:rsidR="001221D7">
        <w:rPr>
          <w:rFonts w:ascii="Garamond" w:hAnsi="Garamond"/>
          <w:sz w:val="22"/>
          <w:szCs w:val="22"/>
        </w:rPr>
        <w:t xml:space="preserve"> </w:t>
      </w:r>
      <w:r w:rsidR="005520A6" w:rsidRPr="005520A6">
        <w:rPr>
          <w:rFonts w:ascii="Garamond" w:hAnsi="Garamond"/>
          <w:sz w:val="22"/>
          <w:szCs w:val="22"/>
        </w:rPr>
        <w:t>in December.</w:t>
      </w:r>
      <w:r w:rsidR="005520A6">
        <w:rPr>
          <w:rFonts w:ascii="Garamond" w:hAnsi="Garamond"/>
          <w:sz w:val="22"/>
          <w:szCs w:val="22"/>
        </w:rPr>
        <w:t xml:space="preserve"> </w:t>
      </w:r>
    </w:p>
    <w:p w14:paraId="7B0685F5" w14:textId="77777777" w:rsidR="005C339F" w:rsidRDefault="001221D7" w:rsidP="00781ACF">
      <w:pPr>
        <w:autoSpaceDE w:val="0"/>
        <w:autoSpaceDN w:val="0"/>
        <w:adjustRightInd w:val="0"/>
        <w:spacing w:after="120" w:line="360" w:lineRule="auto"/>
        <w:jc w:val="both"/>
        <w:rPr>
          <w:rFonts w:ascii="Garamond" w:hAnsi="Garamond"/>
          <w:sz w:val="22"/>
          <w:szCs w:val="22"/>
        </w:rPr>
      </w:pPr>
      <w:r>
        <w:rPr>
          <w:rFonts w:ascii="Garamond" w:hAnsi="Garamond"/>
          <w:sz w:val="22"/>
          <w:szCs w:val="22"/>
        </w:rPr>
        <w:t>T</w:t>
      </w:r>
      <w:r w:rsidR="0024036F">
        <w:rPr>
          <w:rFonts w:ascii="Garamond" w:hAnsi="Garamond"/>
          <w:sz w:val="22"/>
          <w:szCs w:val="22"/>
        </w:rPr>
        <w:t xml:space="preserve">he inflation impact of the change in </w:t>
      </w:r>
      <w:r w:rsidR="0024036F" w:rsidRPr="003B756E">
        <w:rPr>
          <w:rFonts w:ascii="Garamond" w:hAnsi="Garamond"/>
          <w:sz w:val="22"/>
          <w:szCs w:val="22"/>
        </w:rPr>
        <w:t xml:space="preserve">customs </w:t>
      </w:r>
      <w:r w:rsidR="0024036F">
        <w:rPr>
          <w:rFonts w:ascii="Garamond" w:hAnsi="Garamond"/>
          <w:sz w:val="22"/>
          <w:szCs w:val="22"/>
        </w:rPr>
        <w:t xml:space="preserve">duty on </w:t>
      </w:r>
      <w:r w:rsidR="006A09E1" w:rsidRPr="006A09E1">
        <w:rPr>
          <w:rFonts w:ascii="Garamond" w:hAnsi="Garamond"/>
          <w:sz w:val="22"/>
          <w:szCs w:val="22"/>
        </w:rPr>
        <w:t xml:space="preserve">some commodity </w:t>
      </w:r>
      <w:r w:rsidR="0024036F">
        <w:rPr>
          <w:rFonts w:ascii="Garamond" w:hAnsi="Garamond"/>
          <w:sz w:val="22"/>
          <w:szCs w:val="22"/>
        </w:rPr>
        <w:t xml:space="preserve">groups </w:t>
      </w:r>
      <w:r w:rsidR="001C55C3">
        <w:rPr>
          <w:rFonts w:ascii="Garamond" w:hAnsi="Garamond"/>
          <w:sz w:val="22"/>
          <w:szCs w:val="22"/>
        </w:rPr>
        <w:t>was</w:t>
      </w:r>
      <w:r w:rsidR="006A09E1" w:rsidRPr="006A09E1">
        <w:rPr>
          <w:rFonts w:ascii="Garamond" w:hAnsi="Garamond"/>
          <w:sz w:val="22"/>
          <w:szCs w:val="22"/>
        </w:rPr>
        <w:t xml:space="preserve"> estimated </w:t>
      </w:r>
      <w:r w:rsidR="00210628">
        <w:rPr>
          <w:rFonts w:ascii="Garamond" w:hAnsi="Garamond"/>
          <w:sz w:val="22"/>
          <w:szCs w:val="22"/>
        </w:rPr>
        <w:t>to reach</w:t>
      </w:r>
      <w:r w:rsidR="006A09E1" w:rsidRPr="006A09E1">
        <w:rPr>
          <w:rFonts w:ascii="Garamond" w:hAnsi="Garamond"/>
          <w:sz w:val="22"/>
          <w:szCs w:val="22"/>
        </w:rPr>
        <w:t xml:space="preserve"> 0.3 p</w:t>
      </w:r>
      <w:r w:rsidR="0024036F">
        <w:rPr>
          <w:rFonts w:ascii="Garamond" w:hAnsi="Garamond"/>
          <w:sz w:val="22"/>
          <w:szCs w:val="22"/>
        </w:rPr>
        <w:t>p</w:t>
      </w:r>
      <w:r w:rsidR="006A09E1" w:rsidRPr="006A09E1">
        <w:rPr>
          <w:rFonts w:ascii="Garamond" w:hAnsi="Garamond"/>
          <w:sz w:val="22"/>
          <w:szCs w:val="22"/>
        </w:rPr>
        <w:t xml:space="preserve"> </w:t>
      </w:r>
      <w:r w:rsidR="00210628">
        <w:rPr>
          <w:rFonts w:ascii="Garamond" w:hAnsi="Garamond"/>
          <w:sz w:val="22"/>
          <w:szCs w:val="22"/>
        </w:rPr>
        <w:t>in early 2019,</w:t>
      </w:r>
      <w:r w:rsidR="0024036F">
        <w:rPr>
          <w:rFonts w:ascii="Garamond" w:hAnsi="Garamond"/>
          <w:sz w:val="22"/>
          <w:szCs w:val="22"/>
        </w:rPr>
        <w:t xml:space="preserve"> </w:t>
      </w:r>
      <w:r w:rsidR="006A09E1" w:rsidRPr="006A09E1">
        <w:rPr>
          <w:rFonts w:ascii="Garamond" w:hAnsi="Garamond"/>
          <w:sz w:val="22"/>
          <w:szCs w:val="22"/>
        </w:rPr>
        <w:t>mainly due to the increase in poultry prices.</w:t>
      </w:r>
      <w:r w:rsidR="0024036F">
        <w:rPr>
          <w:rFonts w:ascii="Garamond" w:hAnsi="Garamond"/>
          <w:sz w:val="22"/>
          <w:szCs w:val="22"/>
        </w:rPr>
        <w:t xml:space="preserve"> </w:t>
      </w:r>
      <w:r w:rsidR="00210628" w:rsidRPr="00210628">
        <w:rPr>
          <w:rFonts w:ascii="Garamond" w:hAnsi="Garamond"/>
          <w:sz w:val="22"/>
          <w:szCs w:val="22"/>
        </w:rPr>
        <w:t xml:space="preserve">As for the change in the tobacco and alcohol prices due to </w:t>
      </w:r>
      <w:r w:rsidR="00210628">
        <w:rPr>
          <w:rFonts w:ascii="Garamond" w:hAnsi="Garamond"/>
          <w:sz w:val="22"/>
          <w:szCs w:val="22"/>
        </w:rPr>
        <w:t>new</w:t>
      </w:r>
      <w:r w:rsidR="00210628" w:rsidRPr="00210628">
        <w:rPr>
          <w:rFonts w:ascii="Garamond" w:hAnsi="Garamond"/>
          <w:sz w:val="22"/>
          <w:szCs w:val="22"/>
        </w:rPr>
        <w:t xml:space="preserve"> excise tax rates, </w:t>
      </w:r>
      <w:r>
        <w:rPr>
          <w:rFonts w:ascii="Garamond" w:hAnsi="Garamond"/>
          <w:sz w:val="22"/>
          <w:szCs w:val="22"/>
        </w:rPr>
        <w:t>it is in line with the Central Bank estimates</w:t>
      </w:r>
      <w:r w:rsidRPr="00210628">
        <w:rPr>
          <w:rFonts w:ascii="Garamond" w:hAnsi="Garamond"/>
          <w:sz w:val="22"/>
          <w:szCs w:val="22"/>
        </w:rPr>
        <w:t xml:space="preserve"> </w:t>
      </w:r>
      <w:r>
        <w:rPr>
          <w:rFonts w:ascii="Garamond" w:hAnsi="Garamond"/>
          <w:sz w:val="22"/>
          <w:szCs w:val="22"/>
        </w:rPr>
        <w:t xml:space="preserve">as well, with </w:t>
      </w:r>
      <w:r w:rsidR="00210628" w:rsidRPr="00210628">
        <w:rPr>
          <w:rFonts w:ascii="Garamond" w:hAnsi="Garamond"/>
          <w:sz w:val="22"/>
          <w:szCs w:val="22"/>
        </w:rPr>
        <w:t xml:space="preserve">actual impact on the </w:t>
      </w:r>
      <w:r w:rsidR="00210628">
        <w:rPr>
          <w:rFonts w:ascii="Garamond" w:hAnsi="Garamond"/>
          <w:sz w:val="22"/>
          <w:szCs w:val="22"/>
        </w:rPr>
        <w:t>headline</w:t>
      </w:r>
      <w:r w:rsidR="00210628" w:rsidRPr="00210628">
        <w:rPr>
          <w:rFonts w:ascii="Garamond" w:hAnsi="Garamond"/>
          <w:sz w:val="22"/>
          <w:szCs w:val="22"/>
        </w:rPr>
        <w:t xml:space="preserve"> inflation</w:t>
      </w:r>
      <w:r>
        <w:rPr>
          <w:rFonts w:ascii="Garamond" w:hAnsi="Garamond"/>
          <w:sz w:val="22"/>
          <w:szCs w:val="22"/>
        </w:rPr>
        <w:t xml:space="preserve"> </w:t>
      </w:r>
      <w:r w:rsidR="00210628" w:rsidRPr="00210628">
        <w:rPr>
          <w:rFonts w:ascii="Garamond" w:hAnsi="Garamond"/>
          <w:sz w:val="22"/>
          <w:szCs w:val="22"/>
        </w:rPr>
        <w:t>estimated to be 0.2 p</w:t>
      </w:r>
      <w:r w:rsidR="00210628">
        <w:rPr>
          <w:rFonts w:ascii="Garamond" w:hAnsi="Garamond"/>
          <w:sz w:val="22"/>
          <w:szCs w:val="22"/>
        </w:rPr>
        <w:t>p</w:t>
      </w:r>
      <w:r w:rsidR="00210628" w:rsidRPr="00210628">
        <w:rPr>
          <w:rFonts w:ascii="Garamond" w:hAnsi="Garamond"/>
          <w:sz w:val="22"/>
          <w:szCs w:val="22"/>
        </w:rPr>
        <w:t>.</w:t>
      </w:r>
    </w:p>
    <w:p w14:paraId="02F2C34E" w14:textId="77777777" w:rsidR="00F72C8F" w:rsidRDefault="00F72C8F" w:rsidP="006A09E1">
      <w:pPr>
        <w:autoSpaceDE w:val="0"/>
        <w:autoSpaceDN w:val="0"/>
        <w:adjustRightInd w:val="0"/>
        <w:spacing w:after="120" w:line="360" w:lineRule="auto"/>
        <w:jc w:val="both"/>
        <w:rPr>
          <w:rFonts w:ascii="Garamond" w:hAnsi="Garamond"/>
          <w:b/>
          <w:color w:val="C00000"/>
          <w:sz w:val="22"/>
          <w:szCs w:val="22"/>
        </w:rPr>
      </w:pPr>
    </w:p>
    <w:p w14:paraId="0196CE01" w14:textId="77777777" w:rsidR="006A09E1" w:rsidRDefault="001221D7" w:rsidP="006A09E1">
      <w:pPr>
        <w:autoSpaceDE w:val="0"/>
        <w:autoSpaceDN w:val="0"/>
        <w:adjustRightInd w:val="0"/>
        <w:spacing w:after="120" w:line="360" w:lineRule="auto"/>
        <w:jc w:val="both"/>
        <w:rPr>
          <w:rFonts w:ascii="Garamond" w:hAnsi="Garamond"/>
          <w:b/>
          <w:color w:val="C00000"/>
          <w:sz w:val="22"/>
          <w:szCs w:val="22"/>
        </w:rPr>
      </w:pPr>
      <w:r>
        <w:rPr>
          <w:rFonts w:ascii="Garamond" w:hAnsi="Garamond"/>
          <w:b/>
          <w:color w:val="C00000"/>
          <w:sz w:val="22"/>
          <w:szCs w:val="22"/>
        </w:rPr>
        <w:t>Table 4</w:t>
      </w:r>
      <w:r w:rsidR="006A09E1">
        <w:rPr>
          <w:rFonts w:ascii="Garamond" w:hAnsi="Garamond"/>
          <w:b/>
          <w:color w:val="C00000"/>
          <w:sz w:val="22"/>
          <w:szCs w:val="22"/>
        </w:rPr>
        <w:t>:</w:t>
      </w:r>
    </w:p>
    <w:tbl>
      <w:tblPr>
        <w:tblStyle w:val="TableGrid"/>
        <w:tblW w:w="0" w:type="auto"/>
        <w:tblLook w:val="04A0" w:firstRow="1" w:lastRow="0" w:firstColumn="1" w:lastColumn="0" w:noHBand="0" w:noVBand="1"/>
      </w:tblPr>
      <w:tblGrid>
        <w:gridCol w:w="9576"/>
      </w:tblGrid>
      <w:tr w:rsidR="00C57632" w14:paraId="62BB3959" w14:textId="77777777" w:rsidTr="00C57632">
        <w:tc>
          <w:tcPr>
            <w:tcW w:w="9576" w:type="dxa"/>
          </w:tcPr>
          <w:p w14:paraId="02BC1C2A" w14:textId="77777777" w:rsidR="00C57632" w:rsidRPr="00C57632" w:rsidRDefault="00C57632" w:rsidP="00C57CEE">
            <w:pPr>
              <w:autoSpaceDE w:val="0"/>
              <w:autoSpaceDN w:val="0"/>
              <w:adjustRightInd w:val="0"/>
              <w:spacing w:after="120" w:line="360" w:lineRule="auto"/>
              <w:jc w:val="both"/>
              <w:rPr>
                <w:rFonts w:ascii="Garamond" w:hAnsi="Garamond"/>
                <w:sz w:val="18"/>
                <w:szCs w:val="18"/>
              </w:rPr>
            </w:pPr>
            <w:r w:rsidRPr="00C57632">
              <w:rPr>
                <w:rFonts w:ascii="Garamond" w:hAnsi="Garamond"/>
                <w:color w:val="FF0000"/>
                <w:sz w:val="18"/>
                <w:szCs w:val="18"/>
              </w:rPr>
              <w:t xml:space="preserve">Footnote </w:t>
            </w:r>
            <w:r w:rsidR="001221D7">
              <w:rPr>
                <w:rFonts w:ascii="Garamond" w:hAnsi="Garamond"/>
                <w:color w:val="FF0000"/>
                <w:sz w:val="18"/>
                <w:szCs w:val="18"/>
              </w:rPr>
              <w:t>19</w:t>
            </w:r>
            <w:r w:rsidRPr="00C57632">
              <w:rPr>
                <w:rFonts w:ascii="Garamond" w:hAnsi="Garamond"/>
                <w:color w:val="FF0000"/>
                <w:sz w:val="18"/>
                <w:szCs w:val="18"/>
              </w:rPr>
              <w:t xml:space="preserve"> </w:t>
            </w:r>
            <w:r w:rsidR="00210628">
              <w:rPr>
                <w:rFonts w:ascii="Garamond" w:hAnsi="Garamond"/>
                <w:sz w:val="18"/>
                <w:szCs w:val="18"/>
              </w:rPr>
              <w:t xml:space="preserve">The y/y data of structural elements of food products are </w:t>
            </w:r>
            <w:proofErr w:type="spellStart"/>
            <w:r w:rsidRPr="00C57632">
              <w:rPr>
                <w:rFonts w:ascii="Garamond" w:hAnsi="Garamond"/>
                <w:sz w:val="18"/>
                <w:szCs w:val="18"/>
                <w:lang w:val="hy-AM"/>
              </w:rPr>
              <w:t>calculated</w:t>
            </w:r>
            <w:proofErr w:type="spellEnd"/>
            <w:r w:rsidRPr="00C57632">
              <w:rPr>
                <w:rFonts w:ascii="Garamond" w:hAnsi="Garamond"/>
                <w:sz w:val="18"/>
                <w:szCs w:val="18"/>
                <w:lang w:val="hy-AM"/>
              </w:rPr>
              <w:t xml:space="preserve"> </w:t>
            </w:r>
            <w:proofErr w:type="spellStart"/>
            <w:r w:rsidRPr="00C57632">
              <w:rPr>
                <w:rFonts w:ascii="Garamond" w:hAnsi="Garamond"/>
                <w:sz w:val="18"/>
                <w:szCs w:val="18"/>
                <w:lang w:val="hy-AM"/>
              </w:rPr>
              <w:t>by</w:t>
            </w:r>
            <w:proofErr w:type="spellEnd"/>
            <w:r w:rsidRPr="00C57632">
              <w:rPr>
                <w:rFonts w:ascii="Garamond" w:hAnsi="Garamond"/>
                <w:sz w:val="18"/>
                <w:szCs w:val="18"/>
                <w:lang w:val="hy-AM"/>
              </w:rPr>
              <w:t xml:space="preserve"> </w:t>
            </w:r>
            <w:proofErr w:type="spellStart"/>
            <w:r w:rsidRPr="00C57632">
              <w:rPr>
                <w:rFonts w:ascii="Garamond" w:hAnsi="Garamond"/>
                <w:sz w:val="18"/>
                <w:szCs w:val="18"/>
                <w:lang w:val="hy-AM"/>
              </w:rPr>
              <w:t>the</w:t>
            </w:r>
            <w:proofErr w:type="spellEnd"/>
            <w:r w:rsidRPr="00C57632">
              <w:rPr>
                <w:rFonts w:ascii="Garamond" w:hAnsi="Garamond"/>
                <w:sz w:val="18"/>
                <w:szCs w:val="18"/>
                <w:lang w:val="hy-AM"/>
              </w:rPr>
              <w:t xml:space="preserve"> Central Bank </w:t>
            </w:r>
            <w:r w:rsidR="00210628">
              <w:rPr>
                <w:rFonts w:ascii="Garamond" w:hAnsi="Garamond"/>
                <w:sz w:val="18"/>
                <w:szCs w:val="18"/>
              </w:rPr>
              <w:t xml:space="preserve">based on the information provided by </w:t>
            </w:r>
            <w:r w:rsidRPr="00C57632">
              <w:rPr>
                <w:rFonts w:ascii="Garamond" w:hAnsi="Garamond"/>
                <w:sz w:val="18"/>
                <w:szCs w:val="18"/>
              </w:rPr>
              <w:t>the R</w:t>
            </w:r>
            <w:r w:rsidR="00C57CEE">
              <w:rPr>
                <w:rFonts w:ascii="Garamond" w:hAnsi="Garamond"/>
                <w:sz w:val="18"/>
                <w:szCs w:val="18"/>
              </w:rPr>
              <w:t xml:space="preserve">A </w:t>
            </w:r>
            <w:r w:rsidRPr="00C57632">
              <w:rPr>
                <w:rFonts w:ascii="Garamond" w:hAnsi="Garamond"/>
                <w:sz w:val="18"/>
                <w:szCs w:val="18"/>
              </w:rPr>
              <w:t>Statistics Committee</w:t>
            </w:r>
            <w:r w:rsidR="00001A34">
              <w:rPr>
                <w:rFonts w:ascii="Garamond" w:hAnsi="Garamond"/>
                <w:sz w:val="18"/>
                <w:szCs w:val="18"/>
              </w:rPr>
              <w:t>.</w:t>
            </w:r>
          </w:p>
        </w:tc>
      </w:tr>
    </w:tbl>
    <w:p w14:paraId="680A4E5D" w14:textId="77777777" w:rsidR="00C57632" w:rsidRDefault="00C57632" w:rsidP="006A09E1">
      <w:pPr>
        <w:autoSpaceDE w:val="0"/>
        <w:autoSpaceDN w:val="0"/>
        <w:adjustRightInd w:val="0"/>
        <w:spacing w:after="120" w:line="360" w:lineRule="auto"/>
        <w:jc w:val="both"/>
        <w:rPr>
          <w:rFonts w:ascii="Garamond" w:hAnsi="Garamond"/>
          <w:sz w:val="22"/>
          <w:szCs w:val="22"/>
        </w:rPr>
      </w:pPr>
    </w:p>
    <w:p w14:paraId="0A288B6C" w14:textId="77777777" w:rsidR="000D538D"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Import prices:</w:t>
      </w:r>
      <w:r w:rsidR="00543AF2">
        <w:rPr>
          <w:rFonts w:ascii="Garamond" w:hAnsi="Garamond"/>
          <w:sz w:val="22"/>
          <w:szCs w:val="22"/>
        </w:rPr>
        <w:t xml:space="preserve"> </w:t>
      </w:r>
      <w:r w:rsidR="006B588F">
        <w:rPr>
          <w:rFonts w:ascii="Garamond" w:hAnsi="Garamond"/>
          <w:sz w:val="22"/>
          <w:szCs w:val="22"/>
        </w:rPr>
        <w:t xml:space="preserve">In </w:t>
      </w:r>
      <w:r w:rsidR="006B588F" w:rsidRPr="00EE5F0F">
        <w:rPr>
          <w:rFonts w:ascii="Garamond" w:hAnsi="Garamond"/>
          <w:sz w:val="22"/>
          <w:szCs w:val="22"/>
        </w:rPr>
        <w:t xml:space="preserve">the </w:t>
      </w:r>
      <w:r w:rsidR="001221D7">
        <w:rPr>
          <w:rFonts w:ascii="Garamond" w:hAnsi="Garamond"/>
          <w:sz w:val="22"/>
          <w:szCs w:val="22"/>
        </w:rPr>
        <w:t>fourth</w:t>
      </w:r>
      <w:r w:rsidR="006B588F">
        <w:rPr>
          <w:rFonts w:ascii="Garamond" w:hAnsi="Garamond"/>
          <w:sz w:val="22"/>
          <w:szCs w:val="22"/>
        </w:rPr>
        <w:t xml:space="preserve"> </w:t>
      </w:r>
      <w:r w:rsidR="006B588F" w:rsidRPr="00EE5F0F">
        <w:rPr>
          <w:rFonts w:ascii="Garamond" w:hAnsi="Garamond"/>
          <w:sz w:val="22"/>
          <w:szCs w:val="22"/>
        </w:rPr>
        <w:t>quarter of 201</w:t>
      </w:r>
      <w:r w:rsidR="006B588F">
        <w:rPr>
          <w:rFonts w:ascii="Garamond" w:hAnsi="Garamond"/>
          <w:sz w:val="22"/>
          <w:szCs w:val="22"/>
        </w:rPr>
        <w:t>9</w:t>
      </w:r>
      <w:r w:rsidR="00210628">
        <w:rPr>
          <w:rFonts w:ascii="Garamond" w:hAnsi="Garamond"/>
          <w:sz w:val="22"/>
          <w:szCs w:val="22"/>
        </w:rPr>
        <w:t>,</w:t>
      </w:r>
      <w:r w:rsidR="006B588F">
        <w:rPr>
          <w:rFonts w:ascii="Garamond" w:hAnsi="Garamond"/>
          <w:sz w:val="22"/>
          <w:szCs w:val="22"/>
        </w:rPr>
        <w:t xml:space="preserve"> t</w:t>
      </w:r>
      <w:r w:rsidR="00543AF2">
        <w:rPr>
          <w:rFonts w:ascii="Garamond" w:hAnsi="Garamond"/>
          <w:sz w:val="22"/>
          <w:szCs w:val="22"/>
        </w:rPr>
        <w:t xml:space="preserve">he dollar prices of import of </w:t>
      </w:r>
      <w:r w:rsidRPr="00EE5F0F">
        <w:rPr>
          <w:rFonts w:ascii="Garamond" w:hAnsi="Garamond"/>
          <w:sz w:val="22"/>
          <w:szCs w:val="22"/>
        </w:rPr>
        <w:t xml:space="preserve">goods </w:t>
      </w:r>
      <w:r w:rsidR="00BF2BF1">
        <w:rPr>
          <w:rFonts w:ascii="Garamond" w:hAnsi="Garamond"/>
          <w:sz w:val="22"/>
          <w:szCs w:val="22"/>
        </w:rPr>
        <w:t xml:space="preserve">and services </w:t>
      </w:r>
      <w:r w:rsidRPr="00EE5F0F">
        <w:rPr>
          <w:rFonts w:ascii="Garamond" w:hAnsi="Garamond"/>
          <w:sz w:val="22"/>
          <w:szCs w:val="22"/>
        </w:rPr>
        <w:t xml:space="preserve">to Armenia </w:t>
      </w:r>
      <w:r w:rsidR="006B588F">
        <w:rPr>
          <w:rFonts w:ascii="Garamond" w:hAnsi="Garamond"/>
          <w:sz w:val="22"/>
          <w:szCs w:val="22"/>
        </w:rPr>
        <w:t xml:space="preserve">posted </w:t>
      </w:r>
      <w:r w:rsidR="0010582B">
        <w:rPr>
          <w:rFonts w:ascii="Garamond" w:hAnsi="Garamond"/>
          <w:sz w:val="22"/>
          <w:szCs w:val="22"/>
        </w:rPr>
        <w:t>0.</w:t>
      </w:r>
      <w:r w:rsidR="001221D7">
        <w:rPr>
          <w:rFonts w:ascii="Garamond" w:hAnsi="Garamond"/>
          <w:sz w:val="22"/>
          <w:szCs w:val="22"/>
        </w:rPr>
        <w:t>9</w:t>
      </w:r>
      <w:r w:rsidR="0010582B">
        <w:rPr>
          <w:rFonts w:ascii="Garamond" w:hAnsi="Garamond"/>
          <w:sz w:val="22"/>
          <w:szCs w:val="22"/>
        </w:rPr>
        <w:t xml:space="preserve">% increase </w:t>
      </w:r>
      <w:r w:rsidR="006B588F">
        <w:rPr>
          <w:rFonts w:ascii="Garamond" w:hAnsi="Garamond"/>
          <w:sz w:val="22"/>
          <w:szCs w:val="22"/>
        </w:rPr>
        <w:t>relative to the previous quarter</w:t>
      </w:r>
      <w:r w:rsidR="001221D7">
        <w:rPr>
          <w:rFonts w:ascii="Garamond" w:hAnsi="Garamond"/>
          <w:sz w:val="22"/>
          <w:szCs w:val="22"/>
        </w:rPr>
        <w:t>, with y/y growth rates having accelerated to 2.5%.</w:t>
      </w:r>
      <w:r w:rsidR="00A827C3">
        <w:rPr>
          <w:rFonts w:ascii="Garamond" w:hAnsi="Garamond"/>
          <w:sz w:val="22"/>
          <w:szCs w:val="22"/>
        </w:rPr>
        <w:t xml:space="preserve"> </w:t>
      </w:r>
      <w:r w:rsidR="0010582B">
        <w:rPr>
          <w:rFonts w:ascii="Garamond" w:hAnsi="Garamond"/>
          <w:sz w:val="22"/>
          <w:szCs w:val="22"/>
        </w:rPr>
        <w:t>Th</w:t>
      </w:r>
      <w:r w:rsidR="004C7D5A">
        <w:rPr>
          <w:rFonts w:ascii="Garamond" w:hAnsi="Garamond"/>
          <w:sz w:val="22"/>
          <w:szCs w:val="22"/>
        </w:rPr>
        <w:t xml:space="preserve">is </w:t>
      </w:r>
      <w:r w:rsidR="004C7D5A">
        <w:rPr>
          <w:rFonts w:ascii="Garamond" w:hAnsi="Garamond"/>
          <w:sz w:val="22"/>
          <w:szCs w:val="22"/>
        </w:rPr>
        <w:lastRenderedPageBreak/>
        <w:t>was primarily driven by y/y appreciation of nominal exchange rates (except the euro nominal exchange rate) in main partner countries</w:t>
      </w:r>
      <w:r w:rsidR="009743FA">
        <w:rPr>
          <w:rFonts w:ascii="Garamond" w:hAnsi="Garamond"/>
          <w:sz w:val="22"/>
          <w:szCs w:val="22"/>
        </w:rPr>
        <w:t xml:space="preserve">. </w:t>
      </w:r>
      <w:r w:rsidR="0010582B">
        <w:rPr>
          <w:rFonts w:ascii="Garamond" w:hAnsi="Garamond"/>
          <w:sz w:val="22"/>
          <w:szCs w:val="22"/>
        </w:rPr>
        <w:t xml:space="preserve">The y/y contribution of intermediate </w:t>
      </w:r>
      <w:r w:rsidR="004C7D5A">
        <w:rPr>
          <w:rFonts w:ascii="Garamond" w:hAnsi="Garamond"/>
          <w:sz w:val="22"/>
          <w:szCs w:val="22"/>
        </w:rPr>
        <w:t xml:space="preserve">and final consumption </w:t>
      </w:r>
      <w:r w:rsidR="0010582B" w:rsidRPr="0010582B">
        <w:rPr>
          <w:rFonts w:ascii="Garamond" w:hAnsi="Garamond"/>
          <w:sz w:val="22"/>
          <w:szCs w:val="22"/>
        </w:rPr>
        <w:t xml:space="preserve">goods to total import prices </w:t>
      </w:r>
      <w:r w:rsidR="004C7D5A">
        <w:rPr>
          <w:rFonts w:ascii="Garamond" w:hAnsi="Garamond"/>
          <w:sz w:val="22"/>
          <w:szCs w:val="22"/>
        </w:rPr>
        <w:t>is positive:</w:t>
      </w:r>
      <w:r w:rsidR="0010582B" w:rsidRPr="0010582B">
        <w:rPr>
          <w:rFonts w:ascii="Garamond" w:hAnsi="Garamond"/>
          <w:sz w:val="22"/>
          <w:szCs w:val="22"/>
        </w:rPr>
        <w:t xml:space="preserve"> </w:t>
      </w:r>
      <w:r w:rsidR="0010582B">
        <w:rPr>
          <w:rFonts w:ascii="Garamond" w:hAnsi="Garamond"/>
          <w:sz w:val="22"/>
          <w:szCs w:val="22"/>
        </w:rPr>
        <w:t>t</w:t>
      </w:r>
      <w:r w:rsidR="0010582B" w:rsidRPr="0010582B">
        <w:rPr>
          <w:rFonts w:ascii="Garamond" w:hAnsi="Garamond"/>
          <w:sz w:val="22"/>
          <w:szCs w:val="22"/>
        </w:rPr>
        <w:t xml:space="preserve">he </w:t>
      </w:r>
      <w:r w:rsidR="004C7D5A">
        <w:rPr>
          <w:rFonts w:ascii="Garamond" w:hAnsi="Garamond"/>
          <w:sz w:val="22"/>
          <w:szCs w:val="22"/>
        </w:rPr>
        <w:t xml:space="preserve">y/y </w:t>
      </w:r>
      <w:r w:rsidR="0010582B">
        <w:rPr>
          <w:rFonts w:ascii="Garamond" w:hAnsi="Garamond"/>
          <w:sz w:val="22"/>
          <w:szCs w:val="22"/>
        </w:rPr>
        <w:t xml:space="preserve">decrease </w:t>
      </w:r>
      <w:r w:rsidR="0010582B" w:rsidRPr="0010582B">
        <w:rPr>
          <w:rFonts w:ascii="Garamond" w:hAnsi="Garamond"/>
          <w:sz w:val="22"/>
          <w:szCs w:val="22"/>
        </w:rPr>
        <w:t>in oi</w:t>
      </w:r>
      <w:r w:rsidR="004C7D5A">
        <w:rPr>
          <w:rFonts w:ascii="Garamond" w:hAnsi="Garamond"/>
          <w:sz w:val="22"/>
          <w:szCs w:val="22"/>
        </w:rPr>
        <w:t>l and</w:t>
      </w:r>
      <w:r w:rsidR="0010582B" w:rsidRPr="0010582B">
        <w:rPr>
          <w:rFonts w:ascii="Garamond" w:hAnsi="Garamond"/>
          <w:sz w:val="22"/>
          <w:szCs w:val="22"/>
        </w:rPr>
        <w:t xml:space="preserve"> aluminum prices has been offset by the</w:t>
      </w:r>
      <w:r w:rsidR="0010582B">
        <w:rPr>
          <w:rFonts w:ascii="Garamond" w:hAnsi="Garamond"/>
          <w:sz w:val="22"/>
          <w:szCs w:val="22"/>
        </w:rPr>
        <w:t xml:space="preserve"> y/y increase in other </w:t>
      </w:r>
      <w:r w:rsidR="0010582B" w:rsidRPr="0010582B">
        <w:rPr>
          <w:rFonts w:ascii="Garamond" w:hAnsi="Garamond"/>
          <w:sz w:val="22"/>
          <w:szCs w:val="22"/>
        </w:rPr>
        <w:t>intermediate goods.</w:t>
      </w:r>
      <w:r w:rsidR="000D538D">
        <w:rPr>
          <w:rFonts w:ascii="Garamond" w:hAnsi="Garamond"/>
          <w:sz w:val="22"/>
          <w:szCs w:val="22"/>
        </w:rPr>
        <w:t xml:space="preserve"> </w:t>
      </w:r>
    </w:p>
    <w:p w14:paraId="19219836" w14:textId="77777777" w:rsidR="00085F36" w:rsidRDefault="00085F36" w:rsidP="00781ACF">
      <w:pPr>
        <w:autoSpaceDE w:val="0"/>
        <w:autoSpaceDN w:val="0"/>
        <w:adjustRightInd w:val="0"/>
        <w:spacing w:after="120" w:line="360" w:lineRule="auto"/>
        <w:jc w:val="both"/>
        <w:rPr>
          <w:rFonts w:ascii="Garamond" w:hAnsi="Garamond"/>
          <w:b/>
          <w:color w:val="0070C0"/>
          <w:sz w:val="22"/>
          <w:szCs w:val="22"/>
        </w:rPr>
      </w:pPr>
    </w:p>
    <w:p w14:paraId="504AC816" w14:textId="77777777" w:rsidR="00781ACF" w:rsidRPr="00EE5F0F" w:rsidRDefault="00781ACF" w:rsidP="00781ACF">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3.2 Economic developments</w:t>
      </w:r>
    </w:p>
    <w:p w14:paraId="649B8A0F" w14:textId="77777777" w:rsidR="00F404A3" w:rsidRDefault="00781ACF" w:rsidP="0082553F">
      <w:pPr>
        <w:autoSpaceDE w:val="0"/>
        <w:autoSpaceDN w:val="0"/>
        <w:adjustRightInd w:val="0"/>
        <w:spacing w:after="120" w:line="360" w:lineRule="auto"/>
        <w:jc w:val="both"/>
        <w:rPr>
          <w:rFonts w:ascii="Garamond" w:hAnsi="Garamond"/>
          <w:b/>
          <w:sz w:val="22"/>
          <w:szCs w:val="22"/>
        </w:rPr>
      </w:pPr>
      <w:r w:rsidRPr="00EE5F0F">
        <w:rPr>
          <w:rFonts w:ascii="Garamond" w:hAnsi="Garamond"/>
          <w:b/>
          <w:color w:val="0070C0"/>
          <w:sz w:val="22"/>
          <w:szCs w:val="22"/>
        </w:rPr>
        <w:t>3.2.1. Economy position</w:t>
      </w:r>
    </w:p>
    <w:p w14:paraId="0D844BE5" w14:textId="3A5F301B" w:rsidR="00781ACF" w:rsidRDefault="54AE272E" w:rsidP="00781ACF">
      <w:pPr>
        <w:autoSpaceDE w:val="0"/>
        <w:autoSpaceDN w:val="0"/>
        <w:adjustRightInd w:val="0"/>
        <w:spacing w:after="120" w:line="360" w:lineRule="auto"/>
        <w:jc w:val="both"/>
        <w:rPr>
          <w:rFonts w:ascii="Garamond" w:hAnsi="Garamond"/>
          <w:sz w:val="22"/>
          <w:szCs w:val="22"/>
        </w:rPr>
      </w:pPr>
      <w:r w:rsidRPr="54AE272E">
        <w:rPr>
          <w:rFonts w:ascii="Garamond" w:hAnsi="Garamond"/>
          <w:b/>
          <w:bCs/>
          <w:sz w:val="22"/>
          <w:szCs w:val="22"/>
        </w:rPr>
        <w:t xml:space="preserve">The negative GDP gap somehow closed in the reporting quarter, but the GDP is still below the potential level. </w:t>
      </w:r>
      <w:r w:rsidRPr="54AE272E">
        <w:rPr>
          <w:rFonts w:ascii="Garamond" w:hAnsi="Garamond"/>
          <w:sz w:val="22"/>
          <w:szCs w:val="22"/>
        </w:rPr>
        <w:t xml:space="preserve">Economic growth in the reporting quarter (see section 3.2.3) was much higher compared to the forecasts. On the other hand, the expenditure components of the economy make it obvious that economic growth owes mainly to high consumption growth, and investment growth is still low (see section 3.2.2). Such developments indicate that the growth of economy’s productive capacity in the short term is limited and it mostly occurs through increased employment (see section 3.2.4). As a result, the negative GDP gap is estimated to have reduced considerably yet it is below the potential level, which is reflected in still a sluggish inflationary environment (see section 2.2.1). The depreciation of exchange rates in partner countries has also been a major contribution to the negative GDP gap. </w:t>
      </w:r>
    </w:p>
    <w:p w14:paraId="296FEF7D" w14:textId="77777777" w:rsidR="00371990" w:rsidRPr="00EE5F0F" w:rsidRDefault="00371990" w:rsidP="00781ACF">
      <w:pPr>
        <w:autoSpaceDE w:val="0"/>
        <w:autoSpaceDN w:val="0"/>
        <w:adjustRightInd w:val="0"/>
        <w:spacing w:after="120" w:line="360" w:lineRule="auto"/>
        <w:jc w:val="both"/>
        <w:rPr>
          <w:rFonts w:ascii="Garamond" w:hAnsi="Garamond"/>
          <w:sz w:val="22"/>
          <w:szCs w:val="22"/>
        </w:rPr>
      </w:pPr>
    </w:p>
    <w:p w14:paraId="16A6E0E2" w14:textId="77777777" w:rsidR="00F622D2" w:rsidRDefault="00781ACF" w:rsidP="00D467DE">
      <w:pPr>
        <w:autoSpaceDE w:val="0"/>
        <w:autoSpaceDN w:val="0"/>
        <w:adjustRightInd w:val="0"/>
        <w:spacing w:after="120" w:line="360" w:lineRule="auto"/>
        <w:jc w:val="both"/>
        <w:rPr>
          <w:rFonts w:ascii="Garamond" w:hAnsi="Garamond"/>
          <w:sz w:val="22"/>
          <w:szCs w:val="22"/>
        </w:rPr>
      </w:pPr>
      <w:r w:rsidRPr="00EE5F0F">
        <w:rPr>
          <w:rFonts w:ascii="Garamond" w:hAnsi="Garamond"/>
          <w:b/>
          <w:color w:val="0070C0"/>
          <w:sz w:val="22"/>
          <w:szCs w:val="22"/>
        </w:rPr>
        <w:t>3.2.2. The expenditures aspect of the economy</w:t>
      </w:r>
    </w:p>
    <w:p w14:paraId="1D2E3209" w14:textId="699CACF9" w:rsidR="003062DB" w:rsidRDefault="54AE272E" w:rsidP="00781ACF">
      <w:pPr>
        <w:autoSpaceDE w:val="0"/>
        <w:autoSpaceDN w:val="0"/>
        <w:adjustRightInd w:val="0"/>
        <w:spacing w:after="120" w:line="360" w:lineRule="auto"/>
        <w:jc w:val="both"/>
        <w:rPr>
          <w:rFonts w:ascii="Garamond" w:hAnsi="Garamond"/>
          <w:sz w:val="22"/>
          <w:szCs w:val="22"/>
        </w:rPr>
      </w:pPr>
      <w:r w:rsidRPr="54AE272E">
        <w:rPr>
          <w:rFonts w:ascii="Garamond" w:hAnsi="Garamond"/>
          <w:sz w:val="22"/>
          <w:szCs w:val="22"/>
        </w:rPr>
        <w:t xml:space="preserve">Economic growth in the fourth quarter of 2019 was bolstered largely by domestic demand which increased mostly thanks to as much as 13.3% growth in private spending. It is worth mentioning that lending to households continues to grow and remains a key source that finances private consumption. The growth of remittances from abroad has slightly accelerated recently. Gross accumulation of private fixed assets in the reporting quarter has decreased by 3.0%, which is in line with previous forecasts by the Central Bank. According to the Central Bank, the sector of services which is relatively more labor-intensive but requires less investment to meet extra demand remains a key contribution to the economic growth, as a result the weak investment environment is due to the change in the investment structure. The growth of private spending in the fourth quarter amounted to 10.4%, which explains the quarter’s economic growth.       </w:t>
      </w:r>
    </w:p>
    <w:p w14:paraId="72628504" w14:textId="77777777" w:rsidR="002C19D2" w:rsidRDefault="002C19D2" w:rsidP="00781ACF">
      <w:pPr>
        <w:autoSpaceDE w:val="0"/>
        <w:autoSpaceDN w:val="0"/>
        <w:adjustRightInd w:val="0"/>
        <w:spacing w:after="120" w:line="360" w:lineRule="auto"/>
        <w:jc w:val="both"/>
        <w:rPr>
          <w:rFonts w:ascii="Garamond" w:hAnsi="Garamond"/>
          <w:sz w:val="22"/>
          <w:szCs w:val="22"/>
        </w:rPr>
      </w:pPr>
      <w:r w:rsidRPr="002855C4">
        <w:rPr>
          <w:rFonts w:ascii="Garamond" w:hAnsi="Garamond"/>
          <w:sz w:val="22"/>
          <w:szCs w:val="22"/>
        </w:rPr>
        <w:t>In 2019, the growth of private consumption was 12.7% and gross accumulation of private fixed assets</w:t>
      </w:r>
      <w:r w:rsidR="002855C4" w:rsidRPr="002855C4">
        <w:rPr>
          <w:rFonts w:ascii="Garamond" w:hAnsi="Garamond"/>
          <w:sz w:val="22"/>
          <w:szCs w:val="22"/>
        </w:rPr>
        <w:t>,</w:t>
      </w:r>
      <w:r w:rsidRPr="002855C4">
        <w:rPr>
          <w:rFonts w:ascii="Garamond" w:hAnsi="Garamond"/>
          <w:sz w:val="22"/>
          <w:szCs w:val="22"/>
        </w:rPr>
        <w:t xml:space="preserve"> 0.7%.</w:t>
      </w:r>
    </w:p>
    <w:p w14:paraId="06F43DDE" w14:textId="77777777" w:rsidR="00781ACF" w:rsidRPr="00EE5F0F" w:rsidRDefault="007D5BAC" w:rsidP="00781ACF">
      <w:pPr>
        <w:autoSpaceDE w:val="0"/>
        <w:autoSpaceDN w:val="0"/>
        <w:adjustRightInd w:val="0"/>
        <w:spacing w:after="120" w:line="360" w:lineRule="auto"/>
        <w:jc w:val="both"/>
        <w:rPr>
          <w:rFonts w:ascii="Garamond" w:hAnsi="Garamond"/>
          <w:sz w:val="22"/>
          <w:szCs w:val="22"/>
        </w:rPr>
      </w:pPr>
      <w:r>
        <w:rPr>
          <w:rFonts w:ascii="Garamond" w:hAnsi="Garamond"/>
          <w:sz w:val="22"/>
          <w:szCs w:val="22"/>
        </w:rPr>
        <w:t>High growth of p</w:t>
      </w:r>
      <w:r w:rsidR="00536FF2">
        <w:rPr>
          <w:rFonts w:ascii="Garamond" w:hAnsi="Garamond"/>
          <w:sz w:val="22"/>
          <w:szCs w:val="22"/>
        </w:rPr>
        <w:t xml:space="preserve">rivate consumption </w:t>
      </w:r>
      <w:r w:rsidR="00536FF2" w:rsidRPr="00536FF2">
        <w:rPr>
          <w:rFonts w:ascii="Garamond" w:hAnsi="Garamond"/>
          <w:sz w:val="22"/>
          <w:szCs w:val="22"/>
        </w:rPr>
        <w:t xml:space="preserve">still </w:t>
      </w:r>
      <w:r>
        <w:rPr>
          <w:rFonts w:ascii="Garamond" w:hAnsi="Garamond"/>
          <w:sz w:val="22"/>
          <w:szCs w:val="22"/>
        </w:rPr>
        <w:t>leaves</w:t>
      </w:r>
      <w:r w:rsidR="00536FF2">
        <w:rPr>
          <w:rFonts w:ascii="Garamond" w:hAnsi="Garamond"/>
          <w:sz w:val="22"/>
          <w:szCs w:val="22"/>
        </w:rPr>
        <w:t xml:space="preserve"> a </w:t>
      </w:r>
      <w:r>
        <w:rPr>
          <w:rFonts w:ascii="Garamond" w:hAnsi="Garamond"/>
          <w:sz w:val="22"/>
          <w:szCs w:val="22"/>
        </w:rPr>
        <w:t xml:space="preserve">minor </w:t>
      </w:r>
      <w:r w:rsidR="00536FF2" w:rsidRPr="00536FF2">
        <w:rPr>
          <w:rFonts w:ascii="Garamond" w:hAnsi="Garamond"/>
          <w:sz w:val="22"/>
          <w:szCs w:val="22"/>
        </w:rPr>
        <w:t>effect on inflation</w:t>
      </w:r>
      <w:r w:rsidR="00536FF2">
        <w:rPr>
          <w:rFonts w:ascii="Garamond" w:hAnsi="Garamond"/>
          <w:sz w:val="22"/>
          <w:szCs w:val="22"/>
        </w:rPr>
        <w:t>,</w:t>
      </w:r>
      <w:r w:rsidR="00536FF2" w:rsidRPr="00536FF2">
        <w:rPr>
          <w:rFonts w:ascii="Garamond" w:hAnsi="Garamond"/>
          <w:sz w:val="22"/>
          <w:szCs w:val="22"/>
        </w:rPr>
        <w:t xml:space="preserve"> according to the C</w:t>
      </w:r>
      <w:r w:rsidR="00536FF2">
        <w:rPr>
          <w:rFonts w:ascii="Garamond" w:hAnsi="Garamond"/>
          <w:sz w:val="22"/>
          <w:szCs w:val="22"/>
        </w:rPr>
        <w:t xml:space="preserve">entral </w:t>
      </w:r>
      <w:r w:rsidR="00536FF2" w:rsidRPr="00536FF2">
        <w:rPr>
          <w:rFonts w:ascii="Garamond" w:hAnsi="Garamond"/>
          <w:sz w:val="22"/>
          <w:szCs w:val="22"/>
        </w:rPr>
        <w:t>B</w:t>
      </w:r>
      <w:r w:rsidR="00536FF2">
        <w:rPr>
          <w:rFonts w:ascii="Garamond" w:hAnsi="Garamond"/>
          <w:sz w:val="22"/>
          <w:szCs w:val="22"/>
        </w:rPr>
        <w:t xml:space="preserve">ank </w:t>
      </w:r>
      <w:r w:rsidR="00536FF2" w:rsidRPr="00536FF2">
        <w:rPr>
          <w:rFonts w:ascii="Garamond" w:hAnsi="Garamond"/>
          <w:sz w:val="22"/>
          <w:szCs w:val="22"/>
        </w:rPr>
        <w:t xml:space="preserve">estimates, </w:t>
      </w:r>
      <w:r w:rsidR="00536FF2">
        <w:rPr>
          <w:rFonts w:ascii="Garamond" w:hAnsi="Garamond"/>
          <w:sz w:val="22"/>
          <w:szCs w:val="22"/>
        </w:rPr>
        <w:t xml:space="preserve">determined by </w:t>
      </w:r>
      <w:r w:rsidR="00536FF2" w:rsidRPr="00536FF2">
        <w:rPr>
          <w:rFonts w:ascii="Garamond" w:hAnsi="Garamond"/>
          <w:sz w:val="22"/>
          <w:szCs w:val="22"/>
        </w:rPr>
        <w:t xml:space="preserve">peculiarities </w:t>
      </w:r>
      <w:r w:rsidR="00536FF2">
        <w:rPr>
          <w:rFonts w:ascii="Garamond" w:hAnsi="Garamond"/>
          <w:sz w:val="22"/>
          <w:szCs w:val="22"/>
        </w:rPr>
        <w:t xml:space="preserve">in the </w:t>
      </w:r>
      <w:r w:rsidR="00536FF2" w:rsidRPr="00536FF2">
        <w:rPr>
          <w:rFonts w:ascii="Garamond" w:hAnsi="Garamond"/>
          <w:sz w:val="22"/>
          <w:szCs w:val="22"/>
        </w:rPr>
        <w:t>consumption structure</w:t>
      </w:r>
      <w:r w:rsidR="00536FF2">
        <w:rPr>
          <w:rFonts w:ascii="Garamond" w:hAnsi="Garamond"/>
          <w:sz w:val="22"/>
          <w:szCs w:val="22"/>
        </w:rPr>
        <w:t xml:space="preserve">. </w:t>
      </w:r>
    </w:p>
    <w:p w14:paraId="41243A77" w14:textId="5F0FE3C8" w:rsidR="00781ACF" w:rsidRPr="00EE5F0F" w:rsidRDefault="002855C4" w:rsidP="00781ACF">
      <w:pPr>
        <w:autoSpaceDE w:val="0"/>
        <w:autoSpaceDN w:val="0"/>
        <w:adjustRightInd w:val="0"/>
        <w:spacing w:after="120" w:line="360" w:lineRule="auto"/>
        <w:jc w:val="both"/>
        <w:rPr>
          <w:rFonts w:ascii="Garamond" w:hAnsi="Garamond"/>
          <w:sz w:val="22"/>
          <w:szCs w:val="22"/>
        </w:rPr>
      </w:pPr>
      <w:r>
        <w:rPr>
          <w:rFonts w:ascii="Garamond" w:hAnsi="Garamond"/>
          <w:sz w:val="22"/>
          <w:szCs w:val="22"/>
        </w:rPr>
        <w:t>In the</w:t>
      </w:r>
      <w:r w:rsidRPr="00EE5F0F">
        <w:rPr>
          <w:rFonts w:ascii="Garamond" w:hAnsi="Garamond"/>
          <w:sz w:val="22"/>
          <w:szCs w:val="22"/>
        </w:rPr>
        <w:t xml:space="preserve"> </w:t>
      </w:r>
      <w:r>
        <w:rPr>
          <w:rFonts w:ascii="Garamond" w:hAnsi="Garamond"/>
          <w:sz w:val="22"/>
          <w:szCs w:val="22"/>
        </w:rPr>
        <w:t>fourth quarter</w:t>
      </w:r>
      <w:r w:rsidRPr="00EE5F0F">
        <w:rPr>
          <w:rFonts w:ascii="Garamond" w:hAnsi="Garamond"/>
          <w:sz w:val="22"/>
          <w:szCs w:val="22"/>
        </w:rPr>
        <w:t xml:space="preserve"> of 201</w:t>
      </w:r>
      <w:r>
        <w:rPr>
          <w:rFonts w:ascii="Garamond" w:hAnsi="Garamond"/>
          <w:sz w:val="22"/>
          <w:szCs w:val="22"/>
        </w:rPr>
        <w:t>9 the</w:t>
      </w:r>
      <w:r w:rsidR="006E6EEA">
        <w:rPr>
          <w:rFonts w:ascii="Garamond" w:hAnsi="Garamond"/>
          <w:sz w:val="22"/>
          <w:szCs w:val="22"/>
        </w:rPr>
        <w:t xml:space="preserve"> </w:t>
      </w:r>
      <w:r w:rsidR="00B2087D" w:rsidRPr="00B2087D">
        <w:rPr>
          <w:rFonts w:ascii="Garamond" w:hAnsi="Garamond"/>
          <w:sz w:val="22"/>
          <w:szCs w:val="22"/>
        </w:rPr>
        <w:t xml:space="preserve">export and </w:t>
      </w:r>
      <w:proofErr w:type="gramStart"/>
      <w:r w:rsidR="00B2087D" w:rsidRPr="00B2087D">
        <w:rPr>
          <w:rFonts w:ascii="Garamond" w:hAnsi="Garamond"/>
          <w:sz w:val="22"/>
          <w:szCs w:val="22"/>
        </w:rPr>
        <w:t>import</w:t>
      </w:r>
      <w:r w:rsidR="00B2087D">
        <w:rPr>
          <w:rFonts w:ascii="Garamond" w:hAnsi="Garamond"/>
          <w:sz w:val="22"/>
          <w:szCs w:val="22"/>
        </w:rPr>
        <w:t xml:space="preserve"> </w:t>
      </w:r>
      <w:r w:rsidR="002A1E4B">
        <w:rPr>
          <w:rFonts w:ascii="Garamond" w:hAnsi="Garamond"/>
          <w:sz w:val="22"/>
          <w:szCs w:val="22"/>
        </w:rPr>
        <w:t xml:space="preserve"> </w:t>
      </w:r>
      <w:r>
        <w:rPr>
          <w:rFonts w:ascii="Garamond" w:hAnsi="Garamond"/>
          <w:sz w:val="22"/>
          <w:szCs w:val="22"/>
        </w:rPr>
        <w:t>in</w:t>
      </w:r>
      <w:proofErr w:type="gramEnd"/>
      <w:r>
        <w:rPr>
          <w:rFonts w:ascii="Garamond" w:hAnsi="Garamond"/>
          <w:sz w:val="22"/>
          <w:szCs w:val="22"/>
        </w:rPr>
        <w:t xml:space="preserve"> real terms remained </w:t>
      </w:r>
      <w:r w:rsidR="007D5BAC">
        <w:rPr>
          <w:rFonts w:ascii="Garamond" w:hAnsi="Garamond"/>
          <w:sz w:val="22"/>
          <w:szCs w:val="22"/>
        </w:rPr>
        <w:t>high</w:t>
      </w:r>
      <w:r w:rsidR="00572B2A">
        <w:rPr>
          <w:rFonts w:ascii="Garamond" w:hAnsi="Garamond"/>
          <w:sz w:val="22"/>
          <w:szCs w:val="22"/>
        </w:rPr>
        <w:t xml:space="preserve">. </w:t>
      </w:r>
      <w:r>
        <w:rPr>
          <w:rFonts w:ascii="Garamond" w:hAnsi="Garamond"/>
          <w:sz w:val="22"/>
          <w:szCs w:val="22"/>
        </w:rPr>
        <w:t>R</w:t>
      </w:r>
      <w:r w:rsidR="00B2087D" w:rsidRPr="00B2087D">
        <w:rPr>
          <w:rFonts w:ascii="Garamond" w:hAnsi="Garamond"/>
          <w:sz w:val="22"/>
          <w:szCs w:val="22"/>
        </w:rPr>
        <w:t xml:space="preserve">eal </w:t>
      </w:r>
      <w:proofErr w:type="gramStart"/>
      <w:r>
        <w:rPr>
          <w:rFonts w:ascii="Garamond" w:hAnsi="Garamond"/>
          <w:sz w:val="22"/>
          <w:szCs w:val="22"/>
        </w:rPr>
        <w:t>im</w:t>
      </w:r>
      <w:r w:rsidR="006E6EEA">
        <w:rPr>
          <w:rFonts w:ascii="Garamond" w:hAnsi="Garamond"/>
          <w:sz w:val="22"/>
          <w:szCs w:val="22"/>
        </w:rPr>
        <w:t xml:space="preserve">port </w:t>
      </w:r>
      <w:r w:rsidR="00B2087D" w:rsidRPr="00B2087D">
        <w:rPr>
          <w:rFonts w:ascii="Garamond" w:hAnsi="Garamond"/>
          <w:sz w:val="22"/>
          <w:szCs w:val="22"/>
        </w:rPr>
        <w:t xml:space="preserve"> </w:t>
      </w:r>
      <w:r w:rsidR="006E6EEA">
        <w:rPr>
          <w:rFonts w:ascii="Garamond" w:hAnsi="Garamond"/>
          <w:sz w:val="22"/>
          <w:szCs w:val="22"/>
        </w:rPr>
        <w:t>have</w:t>
      </w:r>
      <w:proofErr w:type="gramEnd"/>
      <w:r w:rsidR="006E6EEA">
        <w:rPr>
          <w:rFonts w:ascii="Garamond" w:hAnsi="Garamond"/>
          <w:sz w:val="22"/>
          <w:szCs w:val="22"/>
        </w:rPr>
        <w:t xml:space="preserve"> </w:t>
      </w:r>
      <w:r w:rsidR="003120F8">
        <w:rPr>
          <w:rFonts w:ascii="Garamond" w:hAnsi="Garamond"/>
          <w:sz w:val="22"/>
          <w:szCs w:val="22"/>
        </w:rPr>
        <w:t xml:space="preserve">grown </w:t>
      </w:r>
      <w:r w:rsidR="006E6EEA">
        <w:rPr>
          <w:rFonts w:ascii="Garamond" w:hAnsi="Garamond"/>
          <w:sz w:val="22"/>
          <w:szCs w:val="22"/>
        </w:rPr>
        <w:t xml:space="preserve">faster </w:t>
      </w:r>
      <w:r>
        <w:rPr>
          <w:rFonts w:ascii="Garamond" w:hAnsi="Garamond"/>
          <w:sz w:val="22"/>
          <w:szCs w:val="22"/>
        </w:rPr>
        <w:t>compared to those of ex</w:t>
      </w:r>
      <w:r w:rsidR="006E6EEA">
        <w:rPr>
          <w:rFonts w:ascii="Garamond" w:hAnsi="Garamond"/>
          <w:sz w:val="22"/>
          <w:szCs w:val="22"/>
        </w:rPr>
        <w:t>port</w:t>
      </w:r>
      <w:r>
        <w:rPr>
          <w:rFonts w:ascii="Garamond" w:hAnsi="Garamond"/>
          <w:sz w:val="22"/>
          <w:szCs w:val="22"/>
        </w:rPr>
        <w:t xml:space="preserve">, and </w:t>
      </w:r>
      <w:r w:rsidR="00ED54BB" w:rsidRPr="00ED54BB">
        <w:rPr>
          <w:rFonts w:ascii="Garamond" w:hAnsi="Garamond"/>
          <w:sz w:val="22"/>
          <w:szCs w:val="22"/>
        </w:rPr>
        <w:t>net real export</w:t>
      </w:r>
      <w:r w:rsidR="003120F8">
        <w:rPr>
          <w:rFonts w:ascii="Garamond" w:hAnsi="Garamond"/>
          <w:sz w:val="22"/>
          <w:szCs w:val="22"/>
        </w:rPr>
        <w:t>’s contribution</w:t>
      </w:r>
      <w:r w:rsidR="00ED54BB">
        <w:rPr>
          <w:rFonts w:ascii="Garamond" w:hAnsi="Garamond"/>
          <w:sz w:val="22"/>
          <w:szCs w:val="22"/>
        </w:rPr>
        <w:t xml:space="preserve"> to the GDP </w:t>
      </w:r>
      <w:r>
        <w:rPr>
          <w:rFonts w:ascii="Garamond" w:hAnsi="Garamond"/>
          <w:sz w:val="22"/>
          <w:szCs w:val="22"/>
        </w:rPr>
        <w:t xml:space="preserve">has been negative, as a </w:t>
      </w:r>
      <w:r>
        <w:rPr>
          <w:rFonts w:ascii="Garamond" w:hAnsi="Garamond"/>
          <w:sz w:val="22"/>
          <w:szCs w:val="22"/>
        </w:rPr>
        <w:lastRenderedPageBreak/>
        <w:t>result</w:t>
      </w:r>
      <w:r w:rsidR="00ED54BB" w:rsidRPr="00ED54BB">
        <w:rPr>
          <w:rFonts w:ascii="Garamond" w:hAnsi="Garamond"/>
          <w:sz w:val="22"/>
          <w:szCs w:val="22"/>
        </w:rPr>
        <w:t>.</w:t>
      </w:r>
      <w:r w:rsidR="00ED54BB">
        <w:rPr>
          <w:rFonts w:ascii="Garamond" w:hAnsi="Garamond"/>
          <w:sz w:val="22"/>
          <w:szCs w:val="22"/>
        </w:rPr>
        <w:t xml:space="preserve"> </w:t>
      </w:r>
      <w:r w:rsidR="003B5EC2">
        <w:rPr>
          <w:rFonts w:ascii="Garamond" w:hAnsi="Garamond"/>
          <w:sz w:val="22"/>
          <w:szCs w:val="22"/>
        </w:rPr>
        <w:t>In the fourth</w:t>
      </w:r>
      <w:r w:rsidR="003B5EC2" w:rsidRPr="00ED54BB">
        <w:rPr>
          <w:rFonts w:ascii="Garamond" w:hAnsi="Garamond"/>
          <w:sz w:val="22"/>
          <w:szCs w:val="22"/>
        </w:rPr>
        <w:t xml:space="preserve"> quarter</w:t>
      </w:r>
      <w:r w:rsidR="003B5EC2">
        <w:rPr>
          <w:rFonts w:ascii="Garamond" w:hAnsi="Garamond"/>
          <w:sz w:val="22"/>
          <w:szCs w:val="22"/>
        </w:rPr>
        <w:t xml:space="preserve"> of 2019 the </w:t>
      </w:r>
      <w:r w:rsidR="003120F8">
        <w:rPr>
          <w:rFonts w:ascii="Garamond" w:hAnsi="Garamond"/>
          <w:sz w:val="22"/>
          <w:szCs w:val="22"/>
        </w:rPr>
        <w:t xml:space="preserve">real growth of </w:t>
      </w:r>
      <w:r w:rsidR="00ED54BB" w:rsidRPr="00ED54BB">
        <w:rPr>
          <w:rFonts w:ascii="Garamond" w:hAnsi="Garamond"/>
          <w:sz w:val="22"/>
          <w:szCs w:val="22"/>
        </w:rPr>
        <w:t xml:space="preserve">export of goods and services </w:t>
      </w:r>
      <w:r w:rsidR="003120F8">
        <w:rPr>
          <w:rFonts w:ascii="Garamond" w:hAnsi="Garamond"/>
          <w:sz w:val="22"/>
          <w:szCs w:val="22"/>
        </w:rPr>
        <w:t xml:space="preserve">and import of goods and services amounted to </w:t>
      </w:r>
      <w:r w:rsidR="002A1E4B">
        <w:rPr>
          <w:rFonts w:ascii="Garamond" w:hAnsi="Garamond"/>
          <w:sz w:val="22"/>
          <w:szCs w:val="22"/>
        </w:rPr>
        <w:t>1</w:t>
      </w:r>
      <w:r w:rsidR="003B5EC2">
        <w:rPr>
          <w:rFonts w:ascii="Garamond" w:hAnsi="Garamond"/>
          <w:sz w:val="22"/>
          <w:szCs w:val="22"/>
        </w:rPr>
        <w:t>4</w:t>
      </w:r>
      <w:r w:rsidR="00ED54BB" w:rsidRPr="00ED54BB">
        <w:rPr>
          <w:rFonts w:ascii="Garamond" w:hAnsi="Garamond"/>
          <w:sz w:val="22"/>
          <w:szCs w:val="22"/>
        </w:rPr>
        <w:t>.</w:t>
      </w:r>
      <w:r w:rsidR="003B5EC2">
        <w:rPr>
          <w:rFonts w:ascii="Garamond" w:hAnsi="Garamond"/>
          <w:sz w:val="22"/>
          <w:szCs w:val="22"/>
        </w:rPr>
        <w:t>7</w:t>
      </w:r>
      <w:r w:rsidR="00ED54BB" w:rsidRPr="00ED54BB">
        <w:rPr>
          <w:rFonts w:ascii="Garamond" w:hAnsi="Garamond"/>
          <w:sz w:val="22"/>
          <w:szCs w:val="22"/>
        </w:rPr>
        <w:t>%</w:t>
      </w:r>
      <w:r w:rsidR="00ED54BB">
        <w:rPr>
          <w:rFonts w:ascii="Garamond" w:hAnsi="Garamond"/>
          <w:sz w:val="22"/>
          <w:szCs w:val="22"/>
        </w:rPr>
        <w:t xml:space="preserve"> </w:t>
      </w:r>
      <w:r w:rsidR="002A1E4B">
        <w:rPr>
          <w:rFonts w:ascii="Garamond" w:hAnsi="Garamond"/>
          <w:sz w:val="22"/>
          <w:szCs w:val="22"/>
        </w:rPr>
        <w:t xml:space="preserve">y/y </w:t>
      </w:r>
      <w:r w:rsidR="00D222B3">
        <w:rPr>
          <w:rFonts w:ascii="Garamond" w:hAnsi="Garamond"/>
          <w:sz w:val="22"/>
          <w:szCs w:val="22"/>
        </w:rPr>
        <w:t xml:space="preserve">and </w:t>
      </w:r>
      <w:r w:rsidR="002A1E4B">
        <w:rPr>
          <w:rFonts w:ascii="Garamond" w:hAnsi="Garamond"/>
          <w:sz w:val="22"/>
          <w:szCs w:val="22"/>
        </w:rPr>
        <w:t>1</w:t>
      </w:r>
      <w:r w:rsidR="003B5EC2">
        <w:rPr>
          <w:rFonts w:ascii="Garamond" w:hAnsi="Garamond"/>
          <w:sz w:val="22"/>
          <w:szCs w:val="22"/>
        </w:rPr>
        <w:t>8</w:t>
      </w:r>
      <w:r w:rsidR="00D222B3">
        <w:rPr>
          <w:rFonts w:ascii="Garamond" w:hAnsi="Garamond"/>
          <w:sz w:val="22"/>
          <w:szCs w:val="22"/>
        </w:rPr>
        <w:t>.</w:t>
      </w:r>
      <w:r w:rsidR="002A1E4B">
        <w:rPr>
          <w:rFonts w:ascii="Garamond" w:hAnsi="Garamond"/>
          <w:sz w:val="22"/>
          <w:szCs w:val="22"/>
        </w:rPr>
        <w:t>6</w:t>
      </w:r>
      <w:r w:rsidR="00D222B3">
        <w:rPr>
          <w:rFonts w:ascii="Garamond" w:hAnsi="Garamond"/>
          <w:sz w:val="22"/>
          <w:szCs w:val="22"/>
        </w:rPr>
        <w:t xml:space="preserve">% </w:t>
      </w:r>
      <w:r w:rsidR="00ED54BB">
        <w:rPr>
          <w:rFonts w:ascii="Garamond" w:hAnsi="Garamond"/>
          <w:sz w:val="22"/>
          <w:szCs w:val="22"/>
        </w:rPr>
        <w:t>y/y</w:t>
      </w:r>
      <w:r w:rsidR="00ED54BB" w:rsidRPr="00ED54BB">
        <w:rPr>
          <w:rFonts w:ascii="Garamond" w:hAnsi="Garamond"/>
          <w:sz w:val="22"/>
          <w:szCs w:val="22"/>
        </w:rPr>
        <w:t xml:space="preserve">, </w:t>
      </w:r>
      <w:r w:rsidR="00D222B3">
        <w:rPr>
          <w:rFonts w:ascii="Garamond" w:hAnsi="Garamond"/>
          <w:sz w:val="22"/>
          <w:szCs w:val="22"/>
        </w:rPr>
        <w:t xml:space="preserve">respectively. </w:t>
      </w:r>
      <w:r w:rsidR="003B5EC2" w:rsidRPr="003B5EC2">
        <w:rPr>
          <w:rFonts w:ascii="Garamond" w:hAnsi="Garamond"/>
          <w:sz w:val="22"/>
          <w:szCs w:val="22"/>
        </w:rPr>
        <w:t>The increase in export was d</w:t>
      </w:r>
      <w:r w:rsidR="003B5EC2">
        <w:rPr>
          <w:rFonts w:ascii="Garamond" w:hAnsi="Garamond"/>
          <w:sz w:val="22"/>
          <w:szCs w:val="22"/>
        </w:rPr>
        <w:t>riven by</w:t>
      </w:r>
      <w:r w:rsidR="003B5EC2" w:rsidRPr="003B5EC2">
        <w:rPr>
          <w:rFonts w:ascii="Garamond" w:hAnsi="Garamond"/>
          <w:sz w:val="22"/>
          <w:szCs w:val="22"/>
        </w:rPr>
        <w:t xml:space="preserve"> re</w:t>
      </w:r>
      <w:r w:rsidR="003B5EC2">
        <w:rPr>
          <w:rFonts w:ascii="Garamond" w:hAnsi="Garamond"/>
          <w:sz w:val="22"/>
          <w:szCs w:val="22"/>
        </w:rPr>
        <w:t xml:space="preserve">bounded </w:t>
      </w:r>
      <w:r w:rsidR="003B5EC2" w:rsidRPr="003B5EC2">
        <w:rPr>
          <w:rFonts w:ascii="Garamond" w:hAnsi="Garamond"/>
          <w:sz w:val="22"/>
          <w:szCs w:val="22"/>
        </w:rPr>
        <w:t>production capacity in the mining industry</w:t>
      </w:r>
      <w:r w:rsidR="003B5EC2">
        <w:rPr>
          <w:rFonts w:ascii="Garamond" w:hAnsi="Garamond"/>
          <w:sz w:val="22"/>
          <w:szCs w:val="22"/>
        </w:rPr>
        <w:t xml:space="preserve"> and growing </w:t>
      </w:r>
      <w:r w:rsidR="003B5EC2" w:rsidRPr="003B5EC2">
        <w:rPr>
          <w:rFonts w:ascii="Garamond" w:hAnsi="Garamond"/>
          <w:sz w:val="22"/>
          <w:szCs w:val="22"/>
        </w:rPr>
        <w:t>productivity in manufacturing</w:t>
      </w:r>
      <w:r w:rsidR="003B5EC2">
        <w:rPr>
          <w:rFonts w:ascii="Garamond" w:hAnsi="Garamond"/>
          <w:sz w:val="22"/>
          <w:szCs w:val="22"/>
        </w:rPr>
        <w:t>. C</w:t>
      </w:r>
      <w:r w:rsidR="00630CAC">
        <w:rPr>
          <w:rFonts w:ascii="Garamond" w:hAnsi="Garamond"/>
          <w:sz w:val="22"/>
          <w:szCs w:val="22"/>
        </w:rPr>
        <w:t>ar</w:t>
      </w:r>
      <w:r w:rsidR="003B5EC2">
        <w:rPr>
          <w:rFonts w:ascii="Garamond" w:hAnsi="Garamond"/>
          <w:sz w:val="22"/>
          <w:szCs w:val="22"/>
        </w:rPr>
        <w:t xml:space="preserve"> imports grown in anticipation of </w:t>
      </w:r>
      <w:r w:rsidR="003B5EC2" w:rsidRPr="003B5EC2">
        <w:rPr>
          <w:rFonts w:ascii="Garamond" w:hAnsi="Garamond"/>
          <w:sz w:val="22"/>
          <w:szCs w:val="22"/>
        </w:rPr>
        <w:t xml:space="preserve">future price increases </w:t>
      </w:r>
      <w:r w:rsidR="003B5EC2">
        <w:rPr>
          <w:rFonts w:ascii="Garamond" w:hAnsi="Garamond"/>
          <w:sz w:val="22"/>
          <w:szCs w:val="22"/>
        </w:rPr>
        <w:t>was</w:t>
      </w:r>
      <w:r w:rsidR="00630CAC">
        <w:rPr>
          <w:rFonts w:ascii="Garamond" w:hAnsi="Garamond"/>
          <w:sz w:val="22"/>
          <w:szCs w:val="22"/>
        </w:rPr>
        <w:t xml:space="preserve"> the main contribution to the growth of import</w:t>
      </w:r>
      <w:r w:rsidR="003B5EC2">
        <w:rPr>
          <w:rStyle w:val="FootnoteReference"/>
          <w:rFonts w:ascii="Garamond" w:hAnsi="Garamond"/>
          <w:sz w:val="22"/>
          <w:szCs w:val="22"/>
        </w:rPr>
        <w:footnoteReference w:customMarkFollows="1" w:id="9"/>
        <w:t>20</w:t>
      </w:r>
      <w:r w:rsidR="00630CAC">
        <w:rPr>
          <w:rFonts w:ascii="Garamond" w:hAnsi="Garamond"/>
          <w:sz w:val="22"/>
          <w:szCs w:val="22"/>
        </w:rPr>
        <w:t xml:space="preserve">. </w:t>
      </w:r>
    </w:p>
    <w:p w14:paraId="0B752D21" w14:textId="77777777" w:rsidR="00781ACF"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In the </w:t>
      </w:r>
      <w:r w:rsidR="00E223E6">
        <w:rPr>
          <w:rFonts w:ascii="Garamond" w:hAnsi="Garamond"/>
          <w:sz w:val="22"/>
          <w:szCs w:val="22"/>
        </w:rPr>
        <w:t>fourth</w:t>
      </w:r>
      <w:r w:rsidRPr="00EE5F0F">
        <w:rPr>
          <w:rFonts w:ascii="Garamond" w:hAnsi="Garamond"/>
          <w:sz w:val="22"/>
          <w:szCs w:val="22"/>
        </w:rPr>
        <w:t xml:space="preserve"> quarter of 201</w:t>
      </w:r>
      <w:r w:rsidR="00D222B3">
        <w:rPr>
          <w:rFonts w:ascii="Garamond" w:hAnsi="Garamond"/>
          <w:sz w:val="22"/>
          <w:szCs w:val="22"/>
        </w:rPr>
        <w:t xml:space="preserve">9 </w:t>
      </w:r>
      <w:r w:rsidRPr="00EE5F0F">
        <w:rPr>
          <w:rFonts w:ascii="Garamond" w:hAnsi="Garamond"/>
          <w:sz w:val="22"/>
          <w:szCs w:val="22"/>
        </w:rPr>
        <w:t>net remittances of individuals (seasonal workers’ income and personal transfers inclusive)</w:t>
      </w:r>
      <w:r w:rsidR="000C1208">
        <w:rPr>
          <w:rFonts w:ascii="Garamond" w:hAnsi="Garamond"/>
          <w:sz w:val="22"/>
          <w:szCs w:val="22"/>
        </w:rPr>
        <w:t xml:space="preserve"> in </w:t>
      </w:r>
      <w:r w:rsidR="00FD0ABE">
        <w:rPr>
          <w:rFonts w:ascii="Garamond" w:hAnsi="Garamond"/>
          <w:sz w:val="22"/>
          <w:szCs w:val="22"/>
        </w:rPr>
        <w:t>US dollars</w:t>
      </w:r>
      <w:r w:rsidRPr="00EE5F0F">
        <w:rPr>
          <w:rFonts w:ascii="Garamond" w:hAnsi="Garamond"/>
          <w:sz w:val="22"/>
          <w:szCs w:val="22"/>
        </w:rPr>
        <w:t xml:space="preserve"> </w:t>
      </w:r>
      <w:r w:rsidR="009047BA">
        <w:rPr>
          <w:rFonts w:ascii="Garamond" w:hAnsi="Garamond"/>
          <w:sz w:val="22"/>
          <w:szCs w:val="22"/>
        </w:rPr>
        <w:t>grew by 2</w:t>
      </w:r>
      <w:r w:rsidR="00324828">
        <w:rPr>
          <w:rFonts w:ascii="Garamond" w:hAnsi="Garamond"/>
          <w:sz w:val="22"/>
          <w:szCs w:val="22"/>
        </w:rPr>
        <w:t>.5</w:t>
      </w:r>
      <w:r w:rsidRPr="00EE5F0F">
        <w:rPr>
          <w:rFonts w:ascii="Garamond" w:hAnsi="Garamond"/>
          <w:sz w:val="22"/>
          <w:szCs w:val="22"/>
        </w:rPr>
        <w:t>% y/y</w:t>
      </w:r>
      <w:r w:rsidR="009047BA">
        <w:rPr>
          <w:rFonts w:ascii="Garamond" w:hAnsi="Garamond"/>
          <w:sz w:val="22"/>
          <w:szCs w:val="22"/>
        </w:rPr>
        <w:t xml:space="preserve"> (previous quarter saw a y/y decrease)</w:t>
      </w:r>
      <w:r w:rsidRPr="00EE5F0F">
        <w:rPr>
          <w:rFonts w:ascii="Garamond" w:hAnsi="Garamond"/>
          <w:sz w:val="22"/>
          <w:szCs w:val="22"/>
        </w:rPr>
        <w:t xml:space="preserve">, </w:t>
      </w:r>
      <w:r w:rsidR="001F4E33">
        <w:rPr>
          <w:rFonts w:ascii="Garamond" w:hAnsi="Garamond"/>
          <w:sz w:val="22"/>
          <w:szCs w:val="22"/>
        </w:rPr>
        <w:t xml:space="preserve">according to </w:t>
      </w:r>
      <w:r w:rsidR="009047BA">
        <w:rPr>
          <w:rFonts w:ascii="Garamond" w:hAnsi="Garamond"/>
          <w:sz w:val="22"/>
          <w:szCs w:val="22"/>
        </w:rPr>
        <w:t>e</w:t>
      </w:r>
      <w:r w:rsidR="001F4E33">
        <w:rPr>
          <w:rFonts w:ascii="Garamond" w:hAnsi="Garamond"/>
          <w:sz w:val="22"/>
          <w:szCs w:val="22"/>
        </w:rPr>
        <w:t xml:space="preserve">stimates, </w:t>
      </w:r>
      <w:r w:rsidR="009047BA">
        <w:rPr>
          <w:rFonts w:ascii="Garamond" w:hAnsi="Garamond"/>
          <w:sz w:val="22"/>
          <w:szCs w:val="22"/>
        </w:rPr>
        <w:t>mainly determined by the ruble’s nominal exchange rate which appreciated during the fourth quarter of 2019</w:t>
      </w:r>
      <w:r w:rsidRPr="00EE5F0F">
        <w:rPr>
          <w:rFonts w:ascii="Garamond" w:hAnsi="Garamond"/>
          <w:sz w:val="22"/>
          <w:szCs w:val="22"/>
        </w:rPr>
        <w:t>.</w:t>
      </w:r>
      <w:r w:rsidR="009953EF">
        <w:rPr>
          <w:rFonts w:ascii="Garamond" w:hAnsi="Garamond"/>
          <w:sz w:val="22"/>
          <w:szCs w:val="22"/>
        </w:rPr>
        <w:t xml:space="preserve"> </w:t>
      </w:r>
    </w:p>
    <w:p w14:paraId="3116850D" w14:textId="77777777" w:rsidR="00E90953" w:rsidRDefault="004D2425" w:rsidP="00781ACF">
      <w:pPr>
        <w:autoSpaceDE w:val="0"/>
        <w:autoSpaceDN w:val="0"/>
        <w:adjustRightInd w:val="0"/>
        <w:spacing w:after="120" w:line="360" w:lineRule="auto"/>
        <w:jc w:val="both"/>
        <w:rPr>
          <w:rFonts w:ascii="Garamond" w:hAnsi="Garamond"/>
          <w:sz w:val="22"/>
          <w:szCs w:val="22"/>
        </w:rPr>
      </w:pPr>
      <w:r>
        <w:rPr>
          <w:rFonts w:ascii="Garamond" w:hAnsi="Garamond"/>
          <w:sz w:val="22"/>
          <w:szCs w:val="22"/>
        </w:rPr>
        <w:t>I</w:t>
      </w:r>
      <w:r w:rsidRPr="00EE5F0F">
        <w:rPr>
          <w:rFonts w:ascii="Garamond" w:hAnsi="Garamond"/>
          <w:sz w:val="22"/>
          <w:szCs w:val="22"/>
        </w:rPr>
        <w:t xml:space="preserve">n the </w:t>
      </w:r>
      <w:r w:rsidR="009047BA">
        <w:rPr>
          <w:rFonts w:ascii="Garamond" w:hAnsi="Garamond"/>
          <w:sz w:val="22"/>
          <w:szCs w:val="22"/>
        </w:rPr>
        <w:t>fourth</w:t>
      </w:r>
      <w:r w:rsidR="00D222B3">
        <w:rPr>
          <w:rFonts w:ascii="Garamond" w:hAnsi="Garamond"/>
          <w:sz w:val="22"/>
          <w:szCs w:val="22"/>
        </w:rPr>
        <w:t xml:space="preserve"> </w:t>
      </w:r>
      <w:r w:rsidRPr="00EE5F0F">
        <w:rPr>
          <w:rFonts w:ascii="Garamond" w:hAnsi="Garamond"/>
          <w:sz w:val="22"/>
          <w:szCs w:val="22"/>
        </w:rPr>
        <w:t>quarter of 201</w:t>
      </w:r>
      <w:r w:rsidR="00D222B3">
        <w:rPr>
          <w:rFonts w:ascii="Garamond" w:hAnsi="Garamond"/>
          <w:sz w:val="22"/>
          <w:szCs w:val="22"/>
        </w:rPr>
        <w:t>9</w:t>
      </w:r>
      <w:r>
        <w:rPr>
          <w:rFonts w:ascii="Garamond" w:hAnsi="Garamond"/>
          <w:sz w:val="22"/>
          <w:szCs w:val="22"/>
        </w:rPr>
        <w:t xml:space="preserve"> </w:t>
      </w:r>
      <w:r w:rsidR="0016421D" w:rsidRPr="00EE5F0F">
        <w:rPr>
          <w:rFonts w:ascii="Garamond" w:hAnsi="Garamond"/>
          <w:sz w:val="22"/>
          <w:szCs w:val="22"/>
        </w:rPr>
        <w:t xml:space="preserve">the current account deficit-to-GDP ratio </w:t>
      </w:r>
      <w:r w:rsidR="009047BA">
        <w:rPr>
          <w:rFonts w:ascii="Garamond" w:hAnsi="Garamond"/>
          <w:sz w:val="22"/>
          <w:szCs w:val="22"/>
        </w:rPr>
        <w:t xml:space="preserve">increased </w:t>
      </w:r>
      <w:r w:rsidR="0016421D" w:rsidRPr="00EE5F0F">
        <w:rPr>
          <w:rFonts w:ascii="Garamond" w:hAnsi="Garamond"/>
          <w:sz w:val="22"/>
          <w:szCs w:val="22"/>
        </w:rPr>
        <w:t xml:space="preserve">by about </w:t>
      </w:r>
      <w:r w:rsidR="001F4E33">
        <w:rPr>
          <w:rFonts w:ascii="Garamond" w:hAnsi="Garamond"/>
          <w:sz w:val="22"/>
          <w:szCs w:val="22"/>
        </w:rPr>
        <w:t>1</w:t>
      </w:r>
      <w:r>
        <w:rPr>
          <w:rFonts w:ascii="Garamond" w:hAnsi="Garamond"/>
          <w:sz w:val="22"/>
          <w:szCs w:val="22"/>
        </w:rPr>
        <w:t>.</w:t>
      </w:r>
      <w:r w:rsidR="009047BA">
        <w:rPr>
          <w:rFonts w:ascii="Garamond" w:hAnsi="Garamond"/>
          <w:sz w:val="22"/>
          <w:szCs w:val="22"/>
        </w:rPr>
        <w:t>0</w:t>
      </w:r>
      <w:r>
        <w:rPr>
          <w:rFonts w:ascii="Garamond" w:hAnsi="Garamond"/>
          <w:sz w:val="22"/>
          <w:szCs w:val="22"/>
        </w:rPr>
        <w:t xml:space="preserve"> pp</w:t>
      </w:r>
      <w:r w:rsidR="0016421D" w:rsidRPr="0016421D">
        <w:rPr>
          <w:rFonts w:ascii="Garamond" w:hAnsi="Garamond"/>
          <w:sz w:val="22"/>
          <w:szCs w:val="22"/>
        </w:rPr>
        <w:t xml:space="preserve">, </w:t>
      </w:r>
      <w:r w:rsidR="00324828">
        <w:rPr>
          <w:rFonts w:ascii="Garamond" w:hAnsi="Garamond"/>
          <w:sz w:val="22"/>
          <w:szCs w:val="22"/>
        </w:rPr>
        <w:t xml:space="preserve">according to </w:t>
      </w:r>
      <w:r>
        <w:rPr>
          <w:rFonts w:ascii="Garamond" w:hAnsi="Garamond"/>
          <w:sz w:val="22"/>
          <w:szCs w:val="22"/>
        </w:rPr>
        <w:t>estimat</w:t>
      </w:r>
      <w:r w:rsidR="001F4E33">
        <w:rPr>
          <w:rFonts w:ascii="Garamond" w:hAnsi="Garamond"/>
          <w:sz w:val="22"/>
          <w:szCs w:val="22"/>
        </w:rPr>
        <w:t>e</w:t>
      </w:r>
      <w:r>
        <w:rPr>
          <w:rFonts w:ascii="Garamond" w:hAnsi="Garamond"/>
          <w:sz w:val="22"/>
          <w:szCs w:val="22"/>
        </w:rPr>
        <w:t>s</w:t>
      </w:r>
      <w:r w:rsidRPr="004D2425">
        <w:rPr>
          <w:rFonts w:ascii="Garamond" w:hAnsi="Garamond"/>
          <w:sz w:val="22"/>
          <w:szCs w:val="22"/>
        </w:rPr>
        <w:t>.</w:t>
      </w:r>
      <w:r w:rsidR="009047BA">
        <w:rPr>
          <w:rFonts w:ascii="Garamond" w:hAnsi="Garamond"/>
          <w:sz w:val="22"/>
          <w:szCs w:val="22"/>
        </w:rPr>
        <w:t xml:space="preserve"> Based on the year’s results, the ratio </w:t>
      </w:r>
      <w:r w:rsidR="009047BA" w:rsidRPr="009047BA">
        <w:rPr>
          <w:rFonts w:ascii="Garamond" w:hAnsi="Garamond"/>
          <w:sz w:val="22"/>
          <w:szCs w:val="22"/>
        </w:rPr>
        <w:t>will increase by 0.3 p</w:t>
      </w:r>
      <w:r w:rsidR="009047BA">
        <w:rPr>
          <w:rFonts w:ascii="Garamond" w:hAnsi="Garamond"/>
          <w:sz w:val="22"/>
          <w:szCs w:val="22"/>
        </w:rPr>
        <w:t>p to</w:t>
      </w:r>
      <w:r w:rsidR="009047BA" w:rsidRPr="009047BA">
        <w:rPr>
          <w:rFonts w:ascii="Garamond" w:hAnsi="Garamond"/>
          <w:sz w:val="22"/>
          <w:szCs w:val="22"/>
        </w:rPr>
        <w:t xml:space="preserve"> 9.7%.</w:t>
      </w:r>
    </w:p>
    <w:p w14:paraId="1921CAFE" w14:textId="77777777" w:rsidR="006A3AB4" w:rsidRDefault="00781ACF" w:rsidP="00143945">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Fiscal policy</w:t>
      </w:r>
      <w:r w:rsidR="009047BA">
        <w:rPr>
          <w:rStyle w:val="FootnoteReference"/>
          <w:rFonts w:ascii="Garamond" w:hAnsi="Garamond"/>
          <w:b/>
          <w:sz w:val="22"/>
          <w:szCs w:val="22"/>
        </w:rPr>
        <w:footnoteReference w:customMarkFollows="1" w:id="10"/>
        <w:t>21</w:t>
      </w:r>
      <w:r w:rsidRPr="00EE5F0F">
        <w:rPr>
          <w:rFonts w:ascii="Garamond" w:hAnsi="Garamond"/>
          <w:b/>
          <w:sz w:val="22"/>
          <w:szCs w:val="22"/>
        </w:rPr>
        <w:t xml:space="preserve">: </w:t>
      </w:r>
      <w:r w:rsidRPr="00EE5F0F">
        <w:rPr>
          <w:rFonts w:ascii="Garamond" w:hAnsi="Garamond"/>
          <w:sz w:val="22"/>
          <w:szCs w:val="22"/>
        </w:rPr>
        <w:t xml:space="preserve">In the </w:t>
      </w:r>
      <w:r w:rsidR="00E00E49">
        <w:rPr>
          <w:rFonts w:ascii="Garamond" w:hAnsi="Garamond"/>
          <w:sz w:val="22"/>
          <w:szCs w:val="22"/>
        </w:rPr>
        <w:t>fourth</w:t>
      </w:r>
      <w:r w:rsidR="00D222B3">
        <w:rPr>
          <w:rFonts w:ascii="Garamond" w:hAnsi="Garamond"/>
          <w:sz w:val="22"/>
          <w:szCs w:val="22"/>
        </w:rPr>
        <w:t xml:space="preserve"> quarter of 2019</w:t>
      </w:r>
      <w:r w:rsidR="0022067B">
        <w:rPr>
          <w:rFonts w:ascii="Garamond" w:hAnsi="Garamond"/>
          <w:sz w:val="22"/>
          <w:szCs w:val="22"/>
        </w:rPr>
        <w:t xml:space="preserve"> </w:t>
      </w:r>
      <w:r w:rsidR="006B7DCD">
        <w:rPr>
          <w:rFonts w:ascii="Garamond" w:hAnsi="Garamond"/>
          <w:sz w:val="22"/>
          <w:szCs w:val="22"/>
        </w:rPr>
        <w:t xml:space="preserve">the </w:t>
      </w:r>
      <w:r w:rsidR="00FF3872" w:rsidRPr="00EE5F0F">
        <w:rPr>
          <w:rFonts w:ascii="Garamond" w:hAnsi="Garamond"/>
          <w:sz w:val="22"/>
          <w:szCs w:val="22"/>
        </w:rPr>
        <w:t xml:space="preserve">revenues </w:t>
      </w:r>
      <w:r w:rsidR="00FF3872">
        <w:rPr>
          <w:rFonts w:ascii="Garamond" w:hAnsi="Garamond"/>
          <w:sz w:val="22"/>
          <w:szCs w:val="22"/>
        </w:rPr>
        <w:t xml:space="preserve">and </w:t>
      </w:r>
      <w:r w:rsidRPr="00EE5F0F">
        <w:rPr>
          <w:rFonts w:ascii="Garamond" w:hAnsi="Garamond"/>
          <w:sz w:val="22"/>
          <w:szCs w:val="22"/>
        </w:rPr>
        <w:t xml:space="preserve">expenditures </w:t>
      </w:r>
      <w:r w:rsidR="006B7DCD">
        <w:rPr>
          <w:rFonts w:ascii="Garamond" w:hAnsi="Garamond"/>
          <w:sz w:val="22"/>
          <w:szCs w:val="22"/>
        </w:rPr>
        <w:t xml:space="preserve">of state budget </w:t>
      </w:r>
      <w:r w:rsidRPr="00EE5F0F">
        <w:rPr>
          <w:rFonts w:ascii="Garamond" w:hAnsi="Garamond"/>
          <w:sz w:val="22"/>
          <w:szCs w:val="22"/>
        </w:rPr>
        <w:t>deviat</w:t>
      </w:r>
      <w:r w:rsidR="00FF3872">
        <w:rPr>
          <w:rFonts w:ascii="Garamond" w:hAnsi="Garamond"/>
          <w:sz w:val="22"/>
          <w:szCs w:val="22"/>
        </w:rPr>
        <w:t xml:space="preserve">ed </w:t>
      </w:r>
      <w:r w:rsidRPr="00EE5F0F">
        <w:rPr>
          <w:rFonts w:ascii="Garamond" w:hAnsi="Garamond"/>
          <w:sz w:val="22"/>
          <w:szCs w:val="22"/>
        </w:rPr>
        <w:t>from the Central Bank’s projections</w:t>
      </w:r>
      <w:r w:rsidR="00E00E49">
        <w:rPr>
          <w:rStyle w:val="FootnoteReference"/>
          <w:rFonts w:ascii="Garamond" w:hAnsi="Garamond"/>
          <w:sz w:val="22"/>
          <w:szCs w:val="22"/>
        </w:rPr>
        <w:footnoteReference w:customMarkFollows="1" w:id="11"/>
        <w:t>22</w:t>
      </w:r>
      <w:r w:rsidR="006B7DCD">
        <w:rPr>
          <w:rFonts w:ascii="Garamond" w:hAnsi="Garamond"/>
          <w:sz w:val="22"/>
          <w:szCs w:val="22"/>
        </w:rPr>
        <w:t>,</w:t>
      </w:r>
      <w:r w:rsidR="00FF3872">
        <w:rPr>
          <w:rFonts w:ascii="Garamond" w:hAnsi="Garamond"/>
          <w:sz w:val="22"/>
          <w:szCs w:val="22"/>
        </w:rPr>
        <w:t xml:space="preserve"> </w:t>
      </w:r>
      <w:r w:rsidR="006B7DCD">
        <w:rPr>
          <w:rFonts w:ascii="Garamond" w:hAnsi="Garamond"/>
          <w:sz w:val="22"/>
          <w:szCs w:val="22"/>
        </w:rPr>
        <w:t xml:space="preserve">with revenues overperformed and expenditures underperformed. </w:t>
      </w:r>
      <w:r w:rsidR="00FD02C0">
        <w:rPr>
          <w:rFonts w:ascii="Garamond" w:hAnsi="Garamond"/>
          <w:sz w:val="22"/>
          <w:szCs w:val="22"/>
        </w:rPr>
        <w:t>As a result, t</w:t>
      </w:r>
      <w:r w:rsidR="00FD02C0" w:rsidRPr="00EE5F0F">
        <w:rPr>
          <w:rFonts w:ascii="Garamond" w:hAnsi="Garamond"/>
          <w:sz w:val="22"/>
          <w:szCs w:val="22"/>
        </w:rPr>
        <w:t>he fiscal policy</w:t>
      </w:r>
      <w:r w:rsidR="00FD02C0">
        <w:rPr>
          <w:rFonts w:ascii="Garamond" w:hAnsi="Garamond"/>
          <w:sz w:val="22"/>
          <w:szCs w:val="22"/>
        </w:rPr>
        <w:t>’s</w:t>
      </w:r>
      <w:r w:rsidR="00FD02C0" w:rsidRPr="00EE5F0F">
        <w:rPr>
          <w:rFonts w:ascii="Garamond" w:hAnsi="Garamond"/>
          <w:sz w:val="22"/>
          <w:szCs w:val="22"/>
        </w:rPr>
        <w:t xml:space="preserve"> imp</w:t>
      </w:r>
      <w:r w:rsidR="00FD02C0">
        <w:rPr>
          <w:rFonts w:ascii="Garamond" w:hAnsi="Garamond"/>
          <w:sz w:val="22"/>
          <w:szCs w:val="22"/>
        </w:rPr>
        <w:t xml:space="preserve">act on aggregate demand </w:t>
      </w:r>
      <w:r w:rsidR="006B7DCD">
        <w:rPr>
          <w:rFonts w:ascii="Garamond" w:hAnsi="Garamond"/>
          <w:sz w:val="22"/>
          <w:szCs w:val="22"/>
        </w:rPr>
        <w:t>for</w:t>
      </w:r>
      <w:r w:rsidR="00FD02C0" w:rsidRPr="00EE5F0F">
        <w:rPr>
          <w:rFonts w:ascii="Garamond" w:hAnsi="Garamond"/>
          <w:sz w:val="22"/>
          <w:szCs w:val="22"/>
        </w:rPr>
        <w:t xml:space="preserve"> the </w:t>
      </w:r>
      <w:r w:rsidR="006B7DCD">
        <w:rPr>
          <w:rFonts w:ascii="Garamond" w:hAnsi="Garamond"/>
          <w:sz w:val="22"/>
          <w:szCs w:val="22"/>
        </w:rPr>
        <w:t>fourth</w:t>
      </w:r>
      <w:r w:rsidR="00FD02C0">
        <w:rPr>
          <w:rFonts w:ascii="Garamond" w:hAnsi="Garamond"/>
          <w:sz w:val="22"/>
          <w:szCs w:val="22"/>
        </w:rPr>
        <w:t xml:space="preserve"> quarter of 2019 i</w:t>
      </w:r>
      <w:r w:rsidR="00FD02C0" w:rsidRPr="00EE5F0F">
        <w:rPr>
          <w:rFonts w:ascii="Garamond" w:hAnsi="Garamond"/>
          <w:sz w:val="22"/>
          <w:szCs w:val="22"/>
        </w:rPr>
        <w:t xml:space="preserve">s an estimated </w:t>
      </w:r>
      <w:r w:rsidR="006B7DCD">
        <w:rPr>
          <w:rFonts w:ascii="Garamond" w:hAnsi="Garamond"/>
          <w:sz w:val="22"/>
          <w:szCs w:val="22"/>
        </w:rPr>
        <w:t>1</w:t>
      </w:r>
      <w:r w:rsidR="00FD02C0" w:rsidRPr="00EE5F0F">
        <w:rPr>
          <w:rFonts w:ascii="Garamond" w:hAnsi="Garamond"/>
          <w:sz w:val="22"/>
          <w:szCs w:val="22"/>
        </w:rPr>
        <w:t>.</w:t>
      </w:r>
      <w:r w:rsidR="006B7DCD">
        <w:rPr>
          <w:rFonts w:ascii="Garamond" w:hAnsi="Garamond"/>
          <w:sz w:val="22"/>
          <w:szCs w:val="22"/>
        </w:rPr>
        <w:t>3</w:t>
      </w:r>
      <w:r w:rsidR="00FD02C0" w:rsidRPr="00EE5F0F">
        <w:rPr>
          <w:rFonts w:ascii="Garamond" w:hAnsi="Garamond"/>
          <w:sz w:val="22"/>
          <w:szCs w:val="22"/>
        </w:rPr>
        <w:t xml:space="preserve"> pp </w:t>
      </w:r>
      <w:r w:rsidR="00FD02C0">
        <w:rPr>
          <w:rFonts w:ascii="Garamond" w:hAnsi="Garamond"/>
          <w:sz w:val="22"/>
          <w:szCs w:val="22"/>
        </w:rPr>
        <w:t>expansionary</w:t>
      </w:r>
      <w:r w:rsidR="00143945">
        <w:rPr>
          <w:rFonts w:ascii="Garamond" w:hAnsi="Garamond"/>
          <w:sz w:val="22"/>
          <w:szCs w:val="22"/>
        </w:rPr>
        <w:t>,</w:t>
      </w:r>
      <w:r w:rsidR="00FD02C0">
        <w:rPr>
          <w:rFonts w:ascii="Garamond" w:hAnsi="Garamond"/>
          <w:sz w:val="22"/>
          <w:szCs w:val="22"/>
        </w:rPr>
        <w:t xml:space="preserve"> </w:t>
      </w:r>
      <w:r w:rsidR="00FD02C0" w:rsidRPr="00EE5F0F">
        <w:rPr>
          <w:rFonts w:ascii="Garamond" w:hAnsi="Garamond"/>
          <w:sz w:val="22"/>
          <w:szCs w:val="22"/>
        </w:rPr>
        <w:t xml:space="preserve">instead of </w:t>
      </w:r>
      <w:r w:rsidR="00FD02C0">
        <w:rPr>
          <w:rFonts w:ascii="Garamond" w:hAnsi="Garamond"/>
          <w:sz w:val="22"/>
          <w:szCs w:val="22"/>
        </w:rPr>
        <w:t xml:space="preserve">the forecast </w:t>
      </w:r>
      <w:r w:rsidR="006B7DCD">
        <w:rPr>
          <w:rFonts w:ascii="Garamond" w:hAnsi="Garamond"/>
          <w:sz w:val="22"/>
          <w:szCs w:val="22"/>
        </w:rPr>
        <w:t>3</w:t>
      </w:r>
      <w:r w:rsidR="00FD02C0" w:rsidRPr="00EE5F0F">
        <w:rPr>
          <w:rFonts w:ascii="Garamond" w:hAnsi="Garamond"/>
          <w:sz w:val="22"/>
          <w:szCs w:val="22"/>
        </w:rPr>
        <w:t>.</w:t>
      </w:r>
      <w:r w:rsidR="006B7DCD">
        <w:rPr>
          <w:rFonts w:ascii="Garamond" w:hAnsi="Garamond"/>
          <w:sz w:val="22"/>
          <w:szCs w:val="22"/>
        </w:rPr>
        <w:t>2</w:t>
      </w:r>
      <w:r w:rsidR="00FD02C0" w:rsidRPr="00EE5F0F">
        <w:rPr>
          <w:rFonts w:ascii="Garamond" w:hAnsi="Garamond"/>
          <w:sz w:val="22"/>
          <w:szCs w:val="22"/>
        </w:rPr>
        <w:t xml:space="preserve"> pp </w:t>
      </w:r>
      <w:r w:rsidR="00FD02C0">
        <w:rPr>
          <w:rFonts w:ascii="Garamond" w:hAnsi="Garamond"/>
          <w:sz w:val="22"/>
          <w:szCs w:val="22"/>
        </w:rPr>
        <w:t>expansionary</w:t>
      </w:r>
      <w:r w:rsidR="00143945">
        <w:rPr>
          <w:rFonts w:ascii="Garamond" w:hAnsi="Garamond"/>
          <w:sz w:val="22"/>
          <w:szCs w:val="22"/>
        </w:rPr>
        <w:t>, which was attributable also to revised a</w:t>
      </w:r>
      <w:r w:rsidR="00143945" w:rsidRPr="00143945">
        <w:rPr>
          <w:rFonts w:ascii="Garamond" w:hAnsi="Garamond"/>
          <w:sz w:val="22"/>
          <w:szCs w:val="22"/>
        </w:rPr>
        <w:t>ctual economic growth rate and potential GDP estimates.</w:t>
      </w:r>
      <w:r w:rsidR="00143945">
        <w:rPr>
          <w:rFonts w:ascii="Garamond" w:hAnsi="Garamond"/>
          <w:sz w:val="22"/>
          <w:szCs w:val="22"/>
        </w:rPr>
        <w:t xml:space="preserve"> </w:t>
      </w:r>
    </w:p>
    <w:p w14:paraId="23377E1E" w14:textId="77777777" w:rsidR="00242EA6" w:rsidRPr="00EE5F0F" w:rsidRDefault="00242EA6" w:rsidP="00242EA6">
      <w:pPr>
        <w:autoSpaceDE w:val="0"/>
        <w:autoSpaceDN w:val="0"/>
        <w:adjustRightInd w:val="0"/>
        <w:spacing w:after="120" w:line="360" w:lineRule="auto"/>
        <w:jc w:val="both"/>
        <w:rPr>
          <w:rFonts w:ascii="Garamond" w:hAnsi="Garamond"/>
          <w:color w:val="000000"/>
          <w:sz w:val="22"/>
          <w:szCs w:val="22"/>
        </w:rPr>
      </w:pPr>
      <w:r w:rsidRPr="00EE5F0F">
        <w:rPr>
          <w:rFonts w:ascii="Garamond" w:hAnsi="Garamond"/>
          <w:color w:val="000000"/>
          <w:sz w:val="22"/>
          <w:szCs w:val="22"/>
        </w:rPr>
        <w:t xml:space="preserve">In the </w:t>
      </w:r>
      <w:r w:rsidR="00143945">
        <w:rPr>
          <w:rFonts w:ascii="Garamond" w:hAnsi="Garamond"/>
          <w:color w:val="000000"/>
          <w:sz w:val="22"/>
          <w:szCs w:val="22"/>
        </w:rPr>
        <w:t>fourth</w:t>
      </w:r>
      <w:r w:rsidRPr="00EE5F0F">
        <w:rPr>
          <w:rFonts w:ascii="Garamond" w:hAnsi="Garamond"/>
          <w:color w:val="000000"/>
          <w:sz w:val="22"/>
          <w:szCs w:val="22"/>
        </w:rPr>
        <w:t xml:space="preserve"> quarter of 201</w:t>
      </w:r>
      <w:r w:rsidR="0053128D">
        <w:rPr>
          <w:rFonts w:ascii="Garamond" w:hAnsi="Garamond"/>
          <w:color w:val="000000"/>
          <w:sz w:val="22"/>
          <w:szCs w:val="22"/>
        </w:rPr>
        <w:t>9</w:t>
      </w:r>
      <w:r w:rsidRPr="00EE5F0F">
        <w:rPr>
          <w:rFonts w:ascii="Garamond" w:hAnsi="Garamond"/>
          <w:color w:val="000000"/>
          <w:sz w:val="22"/>
          <w:szCs w:val="22"/>
        </w:rPr>
        <w:t xml:space="preserve"> </w:t>
      </w:r>
      <w:r w:rsidR="0053128D">
        <w:rPr>
          <w:rFonts w:ascii="Garamond" w:hAnsi="Garamond"/>
          <w:color w:val="000000"/>
          <w:sz w:val="22"/>
          <w:szCs w:val="22"/>
        </w:rPr>
        <w:t xml:space="preserve">actual </w:t>
      </w:r>
      <w:r w:rsidRPr="00EE5F0F">
        <w:rPr>
          <w:rFonts w:ascii="Garamond" w:hAnsi="Garamond"/>
          <w:color w:val="000000"/>
          <w:sz w:val="22"/>
          <w:szCs w:val="22"/>
        </w:rPr>
        <w:t xml:space="preserve">budget revenues </w:t>
      </w:r>
      <w:r w:rsidR="00143945">
        <w:rPr>
          <w:rFonts w:ascii="Garamond" w:hAnsi="Garamond"/>
          <w:color w:val="000000"/>
          <w:sz w:val="22"/>
          <w:szCs w:val="22"/>
        </w:rPr>
        <w:t xml:space="preserve">outstripped </w:t>
      </w:r>
      <w:r w:rsidR="00B30D6A">
        <w:rPr>
          <w:rFonts w:ascii="Garamond" w:hAnsi="Garamond"/>
          <w:color w:val="000000"/>
          <w:sz w:val="22"/>
          <w:szCs w:val="22"/>
        </w:rPr>
        <w:t xml:space="preserve">the projection by </w:t>
      </w:r>
      <w:r w:rsidR="00FD02C0">
        <w:rPr>
          <w:rFonts w:ascii="Garamond" w:hAnsi="Garamond"/>
          <w:color w:val="000000"/>
          <w:sz w:val="22"/>
          <w:szCs w:val="22"/>
        </w:rPr>
        <w:t>4</w:t>
      </w:r>
      <w:r w:rsidR="0053128D">
        <w:rPr>
          <w:rFonts w:ascii="Garamond" w:hAnsi="Garamond"/>
          <w:color w:val="000000"/>
          <w:sz w:val="22"/>
          <w:szCs w:val="22"/>
        </w:rPr>
        <w:t>.</w:t>
      </w:r>
      <w:r w:rsidR="00251C66">
        <w:rPr>
          <w:rFonts w:ascii="Garamond" w:hAnsi="Garamond"/>
          <w:color w:val="000000"/>
          <w:sz w:val="22"/>
          <w:szCs w:val="22"/>
        </w:rPr>
        <w:t>4</w:t>
      </w:r>
      <w:r w:rsidR="0053128D">
        <w:rPr>
          <w:rFonts w:ascii="Garamond" w:hAnsi="Garamond"/>
          <w:color w:val="000000"/>
          <w:sz w:val="22"/>
          <w:szCs w:val="22"/>
        </w:rPr>
        <w:t>%</w:t>
      </w:r>
      <w:r w:rsidR="00735B49">
        <w:rPr>
          <w:rFonts w:ascii="Garamond" w:hAnsi="Garamond"/>
          <w:color w:val="000000"/>
          <w:sz w:val="22"/>
          <w:szCs w:val="22"/>
        </w:rPr>
        <w:t xml:space="preserve"> </w:t>
      </w:r>
      <w:r w:rsidR="00251C66">
        <w:rPr>
          <w:rFonts w:ascii="Garamond" w:hAnsi="Garamond"/>
          <w:color w:val="000000"/>
          <w:sz w:val="22"/>
          <w:szCs w:val="22"/>
        </w:rPr>
        <w:t xml:space="preserve">mostly </w:t>
      </w:r>
      <w:r w:rsidR="00735B49">
        <w:rPr>
          <w:rFonts w:ascii="Garamond" w:hAnsi="Garamond"/>
          <w:color w:val="000000"/>
          <w:sz w:val="22"/>
          <w:szCs w:val="22"/>
        </w:rPr>
        <w:t>thanks to overperformed tax revenues.</w:t>
      </w:r>
      <w:r w:rsidR="00501718">
        <w:rPr>
          <w:rFonts w:ascii="Garamond" w:hAnsi="Garamond"/>
          <w:color w:val="000000"/>
          <w:sz w:val="22"/>
          <w:szCs w:val="22"/>
        </w:rPr>
        <w:t xml:space="preserve"> </w:t>
      </w:r>
      <w:r w:rsidR="00F74134" w:rsidRPr="00F74134">
        <w:rPr>
          <w:rFonts w:ascii="Garamond" w:hAnsi="Garamond"/>
          <w:color w:val="000000"/>
          <w:sz w:val="22"/>
          <w:szCs w:val="22"/>
        </w:rPr>
        <w:t>As a result, the revenue i</w:t>
      </w:r>
      <w:r w:rsidR="00AC5A09">
        <w:rPr>
          <w:rFonts w:ascii="Garamond" w:hAnsi="Garamond"/>
          <w:color w:val="000000"/>
          <w:sz w:val="22"/>
          <w:szCs w:val="22"/>
        </w:rPr>
        <w:t xml:space="preserve">mpulse </w:t>
      </w:r>
      <w:r w:rsidR="00735B49">
        <w:rPr>
          <w:rFonts w:ascii="Garamond" w:hAnsi="Garamond"/>
          <w:color w:val="000000"/>
          <w:sz w:val="22"/>
          <w:szCs w:val="22"/>
        </w:rPr>
        <w:t xml:space="preserve">amounted to </w:t>
      </w:r>
      <w:r w:rsidR="00251C66">
        <w:rPr>
          <w:rFonts w:ascii="Garamond" w:hAnsi="Garamond"/>
          <w:color w:val="000000"/>
          <w:sz w:val="22"/>
          <w:szCs w:val="22"/>
        </w:rPr>
        <w:t>0</w:t>
      </w:r>
      <w:r w:rsidR="00F74134" w:rsidRPr="00F74134">
        <w:rPr>
          <w:rFonts w:ascii="Garamond" w:hAnsi="Garamond"/>
          <w:color w:val="000000"/>
          <w:sz w:val="22"/>
          <w:szCs w:val="22"/>
        </w:rPr>
        <w:t>.</w:t>
      </w:r>
      <w:r w:rsidR="00251C66">
        <w:rPr>
          <w:rFonts w:ascii="Garamond" w:hAnsi="Garamond"/>
          <w:color w:val="000000"/>
          <w:sz w:val="22"/>
          <w:szCs w:val="22"/>
        </w:rPr>
        <w:t>4</w:t>
      </w:r>
      <w:r w:rsidR="00F74134" w:rsidRPr="00F74134">
        <w:rPr>
          <w:rFonts w:ascii="Garamond" w:hAnsi="Garamond"/>
          <w:color w:val="000000"/>
          <w:sz w:val="22"/>
          <w:szCs w:val="22"/>
        </w:rPr>
        <w:t xml:space="preserve"> p</w:t>
      </w:r>
      <w:r w:rsidR="00AC5A09">
        <w:rPr>
          <w:rFonts w:ascii="Garamond" w:hAnsi="Garamond"/>
          <w:color w:val="000000"/>
          <w:sz w:val="22"/>
          <w:szCs w:val="22"/>
        </w:rPr>
        <w:t xml:space="preserve">p </w:t>
      </w:r>
      <w:r w:rsidR="00251C66">
        <w:rPr>
          <w:rFonts w:ascii="Garamond" w:hAnsi="Garamond"/>
          <w:color w:val="000000"/>
          <w:sz w:val="22"/>
          <w:szCs w:val="22"/>
        </w:rPr>
        <w:t>expansionary</w:t>
      </w:r>
      <w:r w:rsidR="00F74134" w:rsidRPr="00F74134">
        <w:rPr>
          <w:rFonts w:ascii="Garamond" w:hAnsi="Garamond"/>
          <w:color w:val="000000"/>
          <w:sz w:val="22"/>
          <w:szCs w:val="22"/>
        </w:rPr>
        <w:t xml:space="preserve">, instead of </w:t>
      </w:r>
      <w:r w:rsidR="00735B49">
        <w:rPr>
          <w:rFonts w:ascii="Garamond" w:hAnsi="Garamond"/>
          <w:color w:val="000000"/>
          <w:sz w:val="22"/>
          <w:szCs w:val="22"/>
        </w:rPr>
        <w:t xml:space="preserve">the forecast </w:t>
      </w:r>
      <w:r w:rsidR="00251C66">
        <w:rPr>
          <w:rFonts w:ascii="Garamond" w:hAnsi="Garamond"/>
          <w:color w:val="000000"/>
          <w:sz w:val="22"/>
          <w:szCs w:val="22"/>
        </w:rPr>
        <w:t>1</w:t>
      </w:r>
      <w:r w:rsidR="00F74134" w:rsidRPr="00F74134">
        <w:rPr>
          <w:rFonts w:ascii="Garamond" w:hAnsi="Garamond"/>
          <w:color w:val="000000"/>
          <w:sz w:val="22"/>
          <w:szCs w:val="22"/>
        </w:rPr>
        <w:t>.</w:t>
      </w:r>
      <w:r w:rsidR="00251C66">
        <w:rPr>
          <w:rFonts w:ascii="Garamond" w:hAnsi="Garamond"/>
          <w:color w:val="000000"/>
          <w:sz w:val="22"/>
          <w:szCs w:val="22"/>
        </w:rPr>
        <w:t>2</w:t>
      </w:r>
      <w:r w:rsidR="00F74134" w:rsidRPr="00F74134">
        <w:rPr>
          <w:rFonts w:ascii="Garamond" w:hAnsi="Garamond"/>
          <w:color w:val="000000"/>
          <w:sz w:val="22"/>
          <w:szCs w:val="22"/>
        </w:rPr>
        <w:t xml:space="preserve"> </w:t>
      </w:r>
      <w:r w:rsidR="00AC5A09">
        <w:rPr>
          <w:rFonts w:ascii="Garamond" w:hAnsi="Garamond"/>
          <w:color w:val="000000"/>
          <w:sz w:val="22"/>
          <w:szCs w:val="22"/>
        </w:rPr>
        <w:t xml:space="preserve">pp </w:t>
      </w:r>
      <w:r w:rsidR="00251C66">
        <w:rPr>
          <w:rFonts w:ascii="Garamond" w:hAnsi="Garamond"/>
          <w:color w:val="000000"/>
          <w:sz w:val="22"/>
          <w:szCs w:val="22"/>
        </w:rPr>
        <w:t>expansionary</w:t>
      </w:r>
      <w:r w:rsidR="00F74134" w:rsidRPr="00F74134">
        <w:rPr>
          <w:rFonts w:ascii="Garamond" w:hAnsi="Garamond"/>
          <w:color w:val="000000"/>
          <w:sz w:val="22"/>
          <w:szCs w:val="22"/>
        </w:rPr>
        <w:t>.</w:t>
      </w:r>
      <w:r w:rsidR="00AC5A09">
        <w:rPr>
          <w:rFonts w:ascii="Garamond" w:hAnsi="Garamond"/>
          <w:color w:val="000000"/>
          <w:sz w:val="22"/>
          <w:szCs w:val="22"/>
        </w:rPr>
        <w:t xml:space="preserve"> </w:t>
      </w:r>
    </w:p>
    <w:p w14:paraId="1CF67753" w14:textId="77777777" w:rsidR="00242EA6" w:rsidRPr="0022067B" w:rsidRDefault="00251C66" w:rsidP="00242EA6">
      <w:pPr>
        <w:autoSpaceDE w:val="0"/>
        <w:autoSpaceDN w:val="0"/>
        <w:adjustRightInd w:val="0"/>
        <w:spacing w:after="120" w:line="360" w:lineRule="auto"/>
        <w:jc w:val="both"/>
        <w:rPr>
          <w:rFonts w:ascii="Garamond" w:hAnsi="Garamond"/>
          <w:color w:val="000000"/>
          <w:sz w:val="22"/>
          <w:szCs w:val="22"/>
        </w:rPr>
      </w:pPr>
      <w:r>
        <w:rPr>
          <w:rFonts w:ascii="Garamond" w:hAnsi="Garamond"/>
          <w:sz w:val="22"/>
          <w:szCs w:val="22"/>
        </w:rPr>
        <w:t>B</w:t>
      </w:r>
      <w:r w:rsidR="00242EA6" w:rsidRPr="00EE5F0F">
        <w:rPr>
          <w:rFonts w:ascii="Garamond" w:hAnsi="Garamond"/>
          <w:sz w:val="22"/>
          <w:szCs w:val="22"/>
        </w:rPr>
        <w:t xml:space="preserve">udget expenditures </w:t>
      </w:r>
      <w:r>
        <w:rPr>
          <w:rFonts w:ascii="Garamond" w:hAnsi="Garamond"/>
          <w:sz w:val="22"/>
          <w:szCs w:val="22"/>
        </w:rPr>
        <w:t>amounted to 96</w:t>
      </w:r>
      <w:r w:rsidR="0053128D">
        <w:rPr>
          <w:rFonts w:ascii="Garamond" w:hAnsi="Garamond"/>
          <w:sz w:val="22"/>
          <w:szCs w:val="22"/>
        </w:rPr>
        <w:t>.</w:t>
      </w:r>
      <w:r>
        <w:rPr>
          <w:rFonts w:ascii="Garamond" w:hAnsi="Garamond"/>
          <w:sz w:val="22"/>
          <w:szCs w:val="22"/>
        </w:rPr>
        <w:t>3</w:t>
      </w:r>
      <w:r w:rsidR="00242EA6" w:rsidRPr="00EE5F0F">
        <w:rPr>
          <w:rFonts w:ascii="Garamond" w:hAnsi="Garamond"/>
          <w:sz w:val="22"/>
          <w:szCs w:val="22"/>
        </w:rPr>
        <w:t xml:space="preserve">% of the </w:t>
      </w:r>
      <w:r w:rsidR="00AC5A09">
        <w:rPr>
          <w:rFonts w:ascii="Garamond" w:hAnsi="Garamond"/>
          <w:sz w:val="22"/>
          <w:szCs w:val="22"/>
        </w:rPr>
        <w:t xml:space="preserve">Central Bank </w:t>
      </w:r>
      <w:r w:rsidR="00242EA6" w:rsidRPr="00EE5F0F">
        <w:rPr>
          <w:rFonts w:ascii="Garamond" w:hAnsi="Garamond"/>
          <w:sz w:val="22"/>
          <w:szCs w:val="22"/>
        </w:rPr>
        <w:t>projection</w:t>
      </w:r>
      <w:r w:rsidR="00AC5A09">
        <w:rPr>
          <w:rFonts w:ascii="Garamond" w:hAnsi="Garamond"/>
          <w:sz w:val="22"/>
          <w:szCs w:val="22"/>
        </w:rPr>
        <w:t xml:space="preserve">, </w:t>
      </w:r>
      <w:r w:rsidR="00511E9F">
        <w:rPr>
          <w:rFonts w:ascii="Garamond" w:hAnsi="Garamond"/>
          <w:sz w:val="22"/>
          <w:szCs w:val="22"/>
        </w:rPr>
        <w:t xml:space="preserve">so </w:t>
      </w:r>
      <w:r w:rsidR="00AC5A09">
        <w:rPr>
          <w:rFonts w:ascii="Garamond" w:hAnsi="Garamond"/>
          <w:sz w:val="22"/>
          <w:szCs w:val="22"/>
        </w:rPr>
        <w:t>t</w:t>
      </w:r>
      <w:r w:rsidR="00735B49">
        <w:rPr>
          <w:rFonts w:ascii="Garamond" w:hAnsi="Garamond"/>
          <w:sz w:val="22"/>
          <w:szCs w:val="22"/>
        </w:rPr>
        <w:t xml:space="preserve">he </w:t>
      </w:r>
      <w:r w:rsidR="00AC5A09" w:rsidRPr="00AC5A09">
        <w:rPr>
          <w:rFonts w:ascii="Garamond" w:hAnsi="Garamond"/>
          <w:sz w:val="22"/>
          <w:szCs w:val="22"/>
        </w:rPr>
        <w:t>expen</w:t>
      </w:r>
      <w:r w:rsidR="00AC5A09">
        <w:rPr>
          <w:rFonts w:ascii="Garamond" w:hAnsi="Garamond"/>
          <w:sz w:val="22"/>
          <w:szCs w:val="22"/>
        </w:rPr>
        <w:t xml:space="preserve">ditures </w:t>
      </w:r>
      <w:r w:rsidR="00AC5A09" w:rsidRPr="00AC5A09">
        <w:rPr>
          <w:rFonts w:ascii="Garamond" w:hAnsi="Garamond"/>
          <w:sz w:val="22"/>
          <w:szCs w:val="22"/>
        </w:rPr>
        <w:t>impulse</w:t>
      </w:r>
      <w:r w:rsidR="00511E9F">
        <w:rPr>
          <w:rFonts w:ascii="Garamond" w:hAnsi="Garamond"/>
          <w:sz w:val="22"/>
          <w:szCs w:val="22"/>
        </w:rPr>
        <w:t xml:space="preserve"> </w:t>
      </w:r>
      <w:r w:rsidR="00735B49" w:rsidRPr="00735B49">
        <w:rPr>
          <w:rFonts w:ascii="Garamond" w:hAnsi="Garamond"/>
          <w:sz w:val="22"/>
          <w:szCs w:val="22"/>
        </w:rPr>
        <w:t xml:space="preserve">had a </w:t>
      </w:r>
      <w:r>
        <w:rPr>
          <w:rFonts w:ascii="Garamond" w:hAnsi="Garamond"/>
          <w:sz w:val="22"/>
          <w:szCs w:val="22"/>
        </w:rPr>
        <w:t>smaller</w:t>
      </w:r>
      <w:r w:rsidR="00735B49" w:rsidRPr="00735B49">
        <w:rPr>
          <w:rFonts w:ascii="Garamond" w:hAnsi="Garamond"/>
          <w:sz w:val="22"/>
          <w:szCs w:val="22"/>
        </w:rPr>
        <w:t xml:space="preserve"> effect, </w:t>
      </w:r>
      <w:r>
        <w:rPr>
          <w:rFonts w:ascii="Garamond" w:hAnsi="Garamond"/>
          <w:sz w:val="22"/>
          <w:szCs w:val="22"/>
        </w:rPr>
        <w:t>0</w:t>
      </w:r>
      <w:r w:rsidR="00735B49" w:rsidRPr="00735B49">
        <w:rPr>
          <w:rFonts w:ascii="Garamond" w:hAnsi="Garamond"/>
          <w:sz w:val="22"/>
          <w:szCs w:val="22"/>
        </w:rPr>
        <w:t>.</w:t>
      </w:r>
      <w:r>
        <w:rPr>
          <w:rFonts w:ascii="Garamond" w:hAnsi="Garamond"/>
          <w:sz w:val="22"/>
          <w:szCs w:val="22"/>
        </w:rPr>
        <w:t>9</w:t>
      </w:r>
      <w:r w:rsidR="00735B49">
        <w:rPr>
          <w:rFonts w:ascii="Garamond" w:hAnsi="Garamond"/>
          <w:sz w:val="22"/>
          <w:szCs w:val="22"/>
        </w:rPr>
        <w:t xml:space="preserve"> expansionary</w:t>
      </w:r>
      <w:r>
        <w:rPr>
          <w:rFonts w:ascii="Garamond" w:hAnsi="Garamond"/>
          <w:sz w:val="22"/>
          <w:szCs w:val="22"/>
        </w:rPr>
        <w:t>,</w:t>
      </w:r>
      <w:r w:rsidR="00735B49" w:rsidRPr="00735B49">
        <w:rPr>
          <w:rFonts w:ascii="Garamond" w:hAnsi="Garamond"/>
          <w:sz w:val="22"/>
          <w:szCs w:val="22"/>
        </w:rPr>
        <w:t xml:space="preserve"> against the </w:t>
      </w:r>
      <w:r w:rsidR="00735B49">
        <w:rPr>
          <w:rFonts w:ascii="Garamond" w:hAnsi="Garamond"/>
          <w:sz w:val="22"/>
          <w:szCs w:val="22"/>
        </w:rPr>
        <w:t xml:space="preserve">expected </w:t>
      </w:r>
      <w:r w:rsidR="00735B49" w:rsidRPr="00735B49">
        <w:rPr>
          <w:rFonts w:ascii="Garamond" w:hAnsi="Garamond"/>
          <w:sz w:val="22"/>
          <w:szCs w:val="22"/>
        </w:rPr>
        <w:t>1.</w:t>
      </w:r>
      <w:r>
        <w:rPr>
          <w:rFonts w:ascii="Garamond" w:hAnsi="Garamond"/>
          <w:sz w:val="22"/>
          <w:szCs w:val="22"/>
        </w:rPr>
        <w:t>9</w:t>
      </w:r>
      <w:r w:rsidR="00735B49" w:rsidRPr="00735B49">
        <w:rPr>
          <w:rFonts w:ascii="Garamond" w:hAnsi="Garamond"/>
          <w:sz w:val="22"/>
          <w:szCs w:val="22"/>
        </w:rPr>
        <w:t xml:space="preserve"> </w:t>
      </w:r>
      <w:r w:rsidR="00735B49">
        <w:rPr>
          <w:rFonts w:ascii="Garamond" w:hAnsi="Garamond"/>
          <w:sz w:val="22"/>
          <w:szCs w:val="22"/>
        </w:rPr>
        <w:t>expansionary</w:t>
      </w:r>
      <w:r w:rsidR="00735B49" w:rsidRPr="00735B49">
        <w:rPr>
          <w:rFonts w:ascii="Garamond" w:hAnsi="Garamond"/>
          <w:sz w:val="22"/>
          <w:szCs w:val="22"/>
        </w:rPr>
        <w:t>.</w:t>
      </w:r>
      <w:r w:rsidR="00735B49">
        <w:rPr>
          <w:rFonts w:ascii="Garamond" w:hAnsi="Garamond"/>
          <w:sz w:val="22"/>
          <w:szCs w:val="22"/>
        </w:rPr>
        <w:t xml:space="preserve"> </w:t>
      </w:r>
      <w:r w:rsidR="00BE662B" w:rsidRPr="00BE662B">
        <w:rPr>
          <w:rFonts w:ascii="Garamond" w:hAnsi="Garamond"/>
          <w:b/>
          <w:sz w:val="22"/>
          <w:szCs w:val="22"/>
        </w:rPr>
        <w:t>G</w:t>
      </w:r>
      <w:r w:rsidR="007D5123" w:rsidRPr="007D5123">
        <w:rPr>
          <w:rFonts w:ascii="Garamond" w:hAnsi="Garamond"/>
          <w:b/>
          <w:color w:val="000000"/>
          <w:sz w:val="22"/>
          <w:szCs w:val="22"/>
        </w:rPr>
        <w:t>o</w:t>
      </w:r>
      <w:r w:rsidR="00242EA6" w:rsidRPr="00EE5F0F">
        <w:rPr>
          <w:rFonts w:ascii="Garamond" w:hAnsi="Garamond"/>
          <w:b/>
          <w:sz w:val="22"/>
          <w:szCs w:val="22"/>
        </w:rPr>
        <w:t>vernment consumption</w:t>
      </w:r>
      <w:r w:rsidR="00242EA6" w:rsidRPr="00EE5F0F">
        <w:rPr>
          <w:rFonts w:ascii="Garamond" w:hAnsi="Garamond"/>
          <w:sz w:val="22"/>
          <w:szCs w:val="22"/>
        </w:rPr>
        <w:t xml:space="preserve"> </w:t>
      </w:r>
      <w:r w:rsidR="00BE662B">
        <w:rPr>
          <w:rFonts w:ascii="Garamond" w:hAnsi="Garamond"/>
          <w:sz w:val="22"/>
          <w:szCs w:val="22"/>
        </w:rPr>
        <w:t xml:space="preserve">reached </w:t>
      </w:r>
      <w:r>
        <w:rPr>
          <w:rFonts w:ascii="Garamond" w:hAnsi="Garamond"/>
          <w:sz w:val="22"/>
          <w:szCs w:val="22"/>
        </w:rPr>
        <w:t>91</w:t>
      </w:r>
      <w:r w:rsidR="007D5123">
        <w:rPr>
          <w:rFonts w:ascii="Garamond" w:hAnsi="Garamond"/>
          <w:sz w:val="22"/>
          <w:szCs w:val="22"/>
        </w:rPr>
        <w:t>.</w:t>
      </w:r>
      <w:r>
        <w:rPr>
          <w:rFonts w:ascii="Garamond" w:hAnsi="Garamond"/>
          <w:sz w:val="22"/>
          <w:szCs w:val="22"/>
        </w:rPr>
        <w:t>1</w:t>
      </w:r>
      <w:r w:rsidR="00242EA6" w:rsidRPr="00EE5F0F">
        <w:rPr>
          <w:rFonts w:ascii="Garamond" w:hAnsi="Garamond"/>
          <w:sz w:val="22"/>
          <w:szCs w:val="22"/>
        </w:rPr>
        <w:t>%</w:t>
      </w:r>
      <w:r w:rsidR="00485256">
        <w:rPr>
          <w:rFonts w:ascii="Garamond" w:hAnsi="Garamond"/>
          <w:sz w:val="22"/>
          <w:szCs w:val="22"/>
        </w:rPr>
        <w:t xml:space="preserve"> of the projected indicator</w:t>
      </w:r>
      <w:r w:rsidR="00BE662B">
        <w:rPr>
          <w:rFonts w:ascii="Garamond" w:hAnsi="Garamond"/>
          <w:sz w:val="22"/>
          <w:szCs w:val="22"/>
        </w:rPr>
        <w:t xml:space="preserve"> and</w:t>
      </w:r>
      <w:r>
        <w:rPr>
          <w:rFonts w:ascii="Garamond" w:hAnsi="Garamond"/>
          <w:sz w:val="22"/>
          <w:szCs w:val="22"/>
        </w:rPr>
        <w:t xml:space="preserve"> actual expenditures</w:t>
      </w:r>
      <w:r w:rsidR="007D5123">
        <w:rPr>
          <w:rFonts w:ascii="Garamond" w:hAnsi="Garamond"/>
          <w:b/>
          <w:sz w:val="22"/>
          <w:szCs w:val="22"/>
        </w:rPr>
        <w:t xml:space="preserve"> on </w:t>
      </w:r>
      <w:r w:rsidR="00242EA6" w:rsidRPr="00EE5F0F">
        <w:rPr>
          <w:rFonts w:ascii="Garamond" w:hAnsi="Garamond"/>
          <w:b/>
          <w:sz w:val="22"/>
          <w:szCs w:val="22"/>
        </w:rPr>
        <w:t>non-financial assets</w:t>
      </w:r>
      <w:r w:rsidR="00242EA6" w:rsidRPr="00EE5F0F">
        <w:rPr>
          <w:rFonts w:ascii="Garamond" w:hAnsi="Garamond"/>
          <w:sz w:val="22"/>
          <w:szCs w:val="22"/>
        </w:rPr>
        <w:t xml:space="preserve"> </w:t>
      </w:r>
      <w:r w:rsidR="003E4550">
        <w:rPr>
          <w:rFonts w:ascii="Garamond" w:hAnsi="Garamond"/>
          <w:sz w:val="22"/>
          <w:szCs w:val="22"/>
        </w:rPr>
        <w:t xml:space="preserve">amounted to </w:t>
      </w:r>
      <w:r>
        <w:rPr>
          <w:rFonts w:ascii="Garamond" w:hAnsi="Garamond"/>
          <w:sz w:val="22"/>
          <w:szCs w:val="22"/>
        </w:rPr>
        <w:t>99</w:t>
      </w:r>
      <w:r w:rsidR="00BE662B">
        <w:rPr>
          <w:rFonts w:ascii="Garamond" w:hAnsi="Garamond"/>
          <w:sz w:val="22"/>
          <w:szCs w:val="22"/>
        </w:rPr>
        <w:t>.</w:t>
      </w:r>
      <w:r>
        <w:rPr>
          <w:rFonts w:ascii="Garamond" w:hAnsi="Garamond"/>
          <w:sz w:val="22"/>
          <w:szCs w:val="22"/>
        </w:rPr>
        <w:t>2</w:t>
      </w:r>
      <w:r w:rsidR="003D59B0">
        <w:rPr>
          <w:rFonts w:ascii="Garamond" w:hAnsi="Garamond"/>
          <w:sz w:val="22"/>
          <w:szCs w:val="22"/>
        </w:rPr>
        <w:t xml:space="preserve">% </w:t>
      </w:r>
      <w:r w:rsidR="003E4550">
        <w:rPr>
          <w:rFonts w:ascii="Garamond" w:hAnsi="Garamond"/>
          <w:sz w:val="22"/>
          <w:szCs w:val="22"/>
        </w:rPr>
        <w:t>of the projection</w:t>
      </w:r>
      <w:r w:rsidR="00BB5EC5">
        <w:rPr>
          <w:rFonts w:ascii="Garamond" w:hAnsi="Garamond"/>
          <w:sz w:val="22"/>
          <w:szCs w:val="22"/>
        </w:rPr>
        <w:t xml:space="preserve">, owing to both domestic sources of financing and </w:t>
      </w:r>
      <w:r w:rsidR="0068474B">
        <w:rPr>
          <w:rFonts w:ascii="Garamond" w:hAnsi="Garamond"/>
          <w:sz w:val="22"/>
          <w:szCs w:val="22"/>
        </w:rPr>
        <w:t xml:space="preserve">loan programs under </w:t>
      </w:r>
      <w:r w:rsidR="00BB5EC5">
        <w:rPr>
          <w:rFonts w:ascii="Garamond" w:hAnsi="Garamond"/>
          <w:sz w:val="22"/>
          <w:szCs w:val="22"/>
        </w:rPr>
        <w:t>foreign</w:t>
      </w:r>
      <w:r w:rsidR="0068474B">
        <w:rPr>
          <w:rFonts w:ascii="Garamond" w:hAnsi="Garamond"/>
          <w:sz w:val="22"/>
          <w:szCs w:val="22"/>
        </w:rPr>
        <w:t xml:space="preserve"> aid</w:t>
      </w:r>
      <w:r w:rsidR="00BE662B" w:rsidRPr="00BE662B">
        <w:rPr>
          <w:rFonts w:ascii="Garamond" w:hAnsi="Garamond"/>
          <w:sz w:val="22"/>
          <w:szCs w:val="22"/>
        </w:rPr>
        <w:t>.</w:t>
      </w:r>
      <w:r w:rsidR="00BE662B">
        <w:rPr>
          <w:rFonts w:ascii="Garamond" w:hAnsi="Garamond"/>
          <w:sz w:val="22"/>
          <w:szCs w:val="22"/>
        </w:rPr>
        <w:t xml:space="preserve"> </w:t>
      </w:r>
    </w:p>
    <w:p w14:paraId="558FC75A" w14:textId="77777777" w:rsidR="006A3AB4" w:rsidRDefault="00242EA6" w:rsidP="00242EA6">
      <w:pPr>
        <w:autoSpaceDE w:val="0"/>
        <w:autoSpaceDN w:val="0"/>
        <w:adjustRightInd w:val="0"/>
        <w:spacing w:after="120" w:line="360" w:lineRule="auto"/>
        <w:jc w:val="both"/>
        <w:rPr>
          <w:rFonts w:ascii="Garamond" w:hAnsi="Garamond"/>
          <w:bCs/>
          <w:iCs/>
          <w:color w:val="000000"/>
          <w:sz w:val="22"/>
          <w:szCs w:val="22"/>
        </w:rPr>
      </w:pPr>
      <w:r w:rsidRPr="00EE5F0F">
        <w:rPr>
          <w:rFonts w:ascii="Garamond" w:hAnsi="Garamond"/>
          <w:sz w:val="22"/>
          <w:szCs w:val="22"/>
        </w:rPr>
        <w:t xml:space="preserve">With </w:t>
      </w:r>
      <w:r w:rsidRPr="00EE5F0F">
        <w:rPr>
          <w:rFonts w:ascii="Garamond" w:hAnsi="Garamond"/>
          <w:bCs/>
          <w:iCs/>
          <w:color w:val="000000"/>
          <w:sz w:val="22"/>
          <w:szCs w:val="22"/>
        </w:rPr>
        <w:t>revenues and expenditures p</w:t>
      </w:r>
      <w:r w:rsidR="0068474B">
        <w:rPr>
          <w:rFonts w:ascii="Garamond" w:hAnsi="Garamond"/>
          <w:bCs/>
          <w:iCs/>
          <w:color w:val="000000"/>
          <w:sz w:val="22"/>
          <w:szCs w:val="22"/>
        </w:rPr>
        <w:t xml:space="preserve">erformance described above, </w:t>
      </w:r>
      <w:r w:rsidRPr="00EE5F0F">
        <w:rPr>
          <w:rFonts w:ascii="Garamond" w:hAnsi="Garamond"/>
          <w:bCs/>
          <w:iCs/>
          <w:color w:val="000000"/>
          <w:sz w:val="22"/>
          <w:szCs w:val="22"/>
        </w:rPr>
        <w:t xml:space="preserve">state budget generated a </w:t>
      </w:r>
      <w:r w:rsidR="00480535">
        <w:rPr>
          <w:rFonts w:ascii="Garamond" w:hAnsi="Garamond"/>
          <w:bCs/>
          <w:iCs/>
          <w:color w:val="000000"/>
          <w:sz w:val="22"/>
          <w:szCs w:val="22"/>
        </w:rPr>
        <w:t>deficit o</w:t>
      </w:r>
      <w:r w:rsidR="00D61F69">
        <w:rPr>
          <w:rFonts w:ascii="Garamond" w:hAnsi="Garamond"/>
          <w:bCs/>
          <w:iCs/>
          <w:color w:val="000000"/>
          <w:sz w:val="22"/>
          <w:szCs w:val="22"/>
        </w:rPr>
        <w:t xml:space="preserve">f </w:t>
      </w:r>
      <w:r w:rsidR="00D87037">
        <w:rPr>
          <w:rFonts w:ascii="Garamond" w:hAnsi="Garamond"/>
          <w:bCs/>
          <w:iCs/>
          <w:color w:val="000000"/>
          <w:sz w:val="22"/>
          <w:szCs w:val="22"/>
        </w:rPr>
        <w:t>A</w:t>
      </w:r>
      <w:r w:rsidRPr="00EE5F0F">
        <w:rPr>
          <w:rFonts w:ascii="Garamond" w:hAnsi="Garamond"/>
          <w:bCs/>
          <w:iCs/>
          <w:color w:val="000000"/>
          <w:sz w:val="22"/>
          <w:szCs w:val="22"/>
        </w:rPr>
        <w:t xml:space="preserve">MD </w:t>
      </w:r>
      <w:r w:rsidR="0068474B">
        <w:rPr>
          <w:rFonts w:ascii="Garamond" w:hAnsi="Garamond"/>
          <w:bCs/>
          <w:iCs/>
          <w:color w:val="000000"/>
          <w:sz w:val="22"/>
          <w:szCs w:val="22"/>
        </w:rPr>
        <w:t>158</w:t>
      </w:r>
      <w:r w:rsidR="00916F0F">
        <w:rPr>
          <w:rFonts w:ascii="Garamond" w:hAnsi="Garamond"/>
          <w:bCs/>
          <w:iCs/>
          <w:color w:val="000000"/>
          <w:sz w:val="22"/>
          <w:szCs w:val="22"/>
        </w:rPr>
        <w:t>.</w:t>
      </w:r>
      <w:r w:rsidR="0068474B">
        <w:rPr>
          <w:rFonts w:ascii="Garamond" w:hAnsi="Garamond"/>
          <w:bCs/>
          <w:iCs/>
          <w:color w:val="000000"/>
          <w:sz w:val="22"/>
          <w:szCs w:val="22"/>
        </w:rPr>
        <w:t>6</w:t>
      </w:r>
      <w:r w:rsidRPr="00EE5F0F">
        <w:rPr>
          <w:rFonts w:ascii="Garamond" w:hAnsi="Garamond"/>
          <w:bCs/>
          <w:iCs/>
          <w:color w:val="000000"/>
          <w:sz w:val="22"/>
          <w:szCs w:val="22"/>
        </w:rPr>
        <w:t xml:space="preserve"> billion in the </w:t>
      </w:r>
      <w:r w:rsidR="0068474B">
        <w:rPr>
          <w:rFonts w:ascii="Garamond" w:hAnsi="Garamond"/>
          <w:bCs/>
          <w:iCs/>
          <w:color w:val="000000"/>
          <w:sz w:val="22"/>
          <w:szCs w:val="22"/>
        </w:rPr>
        <w:t>fourth</w:t>
      </w:r>
      <w:r w:rsidR="00D61F69">
        <w:rPr>
          <w:rFonts w:ascii="Garamond" w:hAnsi="Garamond"/>
          <w:bCs/>
          <w:iCs/>
          <w:color w:val="000000"/>
          <w:sz w:val="22"/>
          <w:szCs w:val="22"/>
        </w:rPr>
        <w:t xml:space="preserve"> </w:t>
      </w:r>
      <w:r w:rsidRPr="00EE5F0F">
        <w:rPr>
          <w:rFonts w:ascii="Garamond" w:hAnsi="Garamond"/>
          <w:bCs/>
          <w:iCs/>
          <w:color w:val="000000"/>
          <w:sz w:val="22"/>
          <w:szCs w:val="22"/>
        </w:rPr>
        <w:t>quarter of 201</w:t>
      </w:r>
      <w:r w:rsidR="00D61F69">
        <w:rPr>
          <w:rFonts w:ascii="Garamond" w:hAnsi="Garamond"/>
          <w:bCs/>
          <w:iCs/>
          <w:color w:val="000000"/>
          <w:sz w:val="22"/>
          <w:szCs w:val="22"/>
        </w:rPr>
        <w:t>9</w:t>
      </w:r>
      <w:r w:rsidR="00FA27AA">
        <w:rPr>
          <w:rFonts w:ascii="Garamond" w:hAnsi="Garamond"/>
          <w:bCs/>
          <w:iCs/>
          <w:color w:val="000000"/>
          <w:sz w:val="22"/>
          <w:szCs w:val="22"/>
        </w:rPr>
        <w:t xml:space="preserve">, </w:t>
      </w:r>
      <w:r w:rsidR="0068474B">
        <w:rPr>
          <w:rFonts w:ascii="Garamond" w:hAnsi="Garamond"/>
          <w:bCs/>
          <w:iCs/>
          <w:color w:val="000000"/>
          <w:sz w:val="22"/>
          <w:szCs w:val="22"/>
        </w:rPr>
        <w:t>which amounted roughly to 85% of the Central Bank’s projection</w:t>
      </w:r>
      <w:r w:rsidR="00AC5C9B" w:rsidRPr="00AC5C9B">
        <w:rPr>
          <w:rFonts w:ascii="Garamond" w:hAnsi="Garamond"/>
          <w:bCs/>
          <w:iCs/>
          <w:color w:val="000000"/>
          <w:sz w:val="22"/>
          <w:szCs w:val="22"/>
        </w:rPr>
        <w:t xml:space="preserve">. </w:t>
      </w:r>
    </w:p>
    <w:p w14:paraId="39889D35" w14:textId="77777777" w:rsidR="0068474B" w:rsidRDefault="0068474B" w:rsidP="00242EA6">
      <w:pPr>
        <w:autoSpaceDE w:val="0"/>
        <w:autoSpaceDN w:val="0"/>
        <w:adjustRightInd w:val="0"/>
        <w:spacing w:after="120" w:line="360" w:lineRule="auto"/>
        <w:jc w:val="both"/>
        <w:rPr>
          <w:rFonts w:ascii="Garamond" w:hAnsi="Garamond"/>
          <w:bCs/>
          <w:iCs/>
          <w:color w:val="000000"/>
          <w:sz w:val="22"/>
          <w:szCs w:val="22"/>
        </w:rPr>
      </w:pPr>
      <w:r w:rsidRPr="0068474B">
        <w:rPr>
          <w:rFonts w:ascii="Garamond" w:hAnsi="Garamond"/>
          <w:bCs/>
          <w:iCs/>
          <w:color w:val="000000"/>
          <w:sz w:val="22"/>
          <w:szCs w:val="22"/>
        </w:rPr>
        <w:t>The annual impact of fiscal policy on aggregate demand was 1.0 p</w:t>
      </w:r>
      <w:r w:rsidR="002E5F04">
        <w:rPr>
          <w:rFonts w:ascii="Garamond" w:hAnsi="Garamond"/>
          <w:bCs/>
          <w:iCs/>
          <w:color w:val="000000"/>
          <w:sz w:val="22"/>
          <w:szCs w:val="22"/>
        </w:rPr>
        <w:t>p contractionary</w:t>
      </w:r>
      <w:r w:rsidRPr="0068474B">
        <w:rPr>
          <w:rFonts w:ascii="Garamond" w:hAnsi="Garamond"/>
          <w:bCs/>
          <w:iCs/>
          <w:color w:val="000000"/>
          <w:sz w:val="22"/>
          <w:szCs w:val="22"/>
        </w:rPr>
        <w:t xml:space="preserve">, </w:t>
      </w:r>
      <w:r w:rsidR="002E5F04">
        <w:rPr>
          <w:rFonts w:ascii="Garamond" w:hAnsi="Garamond"/>
          <w:bCs/>
          <w:iCs/>
          <w:color w:val="000000"/>
          <w:sz w:val="22"/>
          <w:szCs w:val="22"/>
        </w:rPr>
        <w:t xml:space="preserve">determined by the neutral </w:t>
      </w:r>
      <w:r w:rsidRPr="0068474B">
        <w:rPr>
          <w:rFonts w:ascii="Garamond" w:hAnsi="Garamond"/>
          <w:bCs/>
          <w:iCs/>
          <w:color w:val="000000"/>
          <w:sz w:val="22"/>
          <w:szCs w:val="22"/>
        </w:rPr>
        <w:t xml:space="preserve">impact of </w:t>
      </w:r>
      <w:r w:rsidR="002E5F04">
        <w:rPr>
          <w:rFonts w:ascii="Garamond" w:hAnsi="Garamond"/>
          <w:bCs/>
          <w:iCs/>
          <w:color w:val="000000"/>
          <w:sz w:val="22"/>
          <w:szCs w:val="22"/>
        </w:rPr>
        <w:t>both expenditures and revenues</w:t>
      </w:r>
      <w:r w:rsidRPr="0068474B">
        <w:rPr>
          <w:rFonts w:ascii="Garamond" w:hAnsi="Garamond"/>
          <w:bCs/>
          <w:iCs/>
          <w:color w:val="000000"/>
          <w:sz w:val="22"/>
          <w:szCs w:val="22"/>
        </w:rPr>
        <w:t xml:space="preserve">. </w:t>
      </w:r>
      <w:r w:rsidR="00FB76E8">
        <w:rPr>
          <w:rFonts w:ascii="Garamond" w:hAnsi="Garamond"/>
          <w:bCs/>
          <w:iCs/>
          <w:color w:val="000000"/>
          <w:sz w:val="22"/>
          <w:szCs w:val="22"/>
        </w:rPr>
        <w:t xml:space="preserve">In an effort to reduce </w:t>
      </w:r>
      <w:r w:rsidR="00FB76E8" w:rsidRPr="0068474B">
        <w:rPr>
          <w:rFonts w:ascii="Garamond" w:hAnsi="Garamond"/>
          <w:bCs/>
          <w:iCs/>
          <w:color w:val="000000"/>
          <w:sz w:val="22"/>
          <w:szCs w:val="22"/>
        </w:rPr>
        <w:t xml:space="preserve">shadow economy </w:t>
      </w:r>
      <w:r w:rsidR="00FB76E8">
        <w:rPr>
          <w:rFonts w:ascii="Garamond" w:hAnsi="Garamond"/>
          <w:bCs/>
          <w:iCs/>
          <w:color w:val="000000"/>
          <w:sz w:val="22"/>
          <w:szCs w:val="22"/>
        </w:rPr>
        <w:t xml:space="preserve">and as part of measures to improve tax administration, the taxes-to-GDP ratio in 2019 reached 22.3%, </w:t>
      </w:r>
      <w:r w:rsidR="001B24DE">
        <w:rPr>
          <w:rFonts w:ascii="Garamond" w:hAnsi="Garamond"/>
          <w:bCs/>
          <w:iCs/>
          <w:color w:val="000000"/>
          <w:sz w:val="22"/>
          <w:szCs w:val="22"/>
        </w:rPr>
        <w:t xml:space="preserve">up </w:t>
      </w:r>
      <w:r w:rsidR="00FB76E8">
        <w:rPr>
          <w:rFonts w:ascii="Garamond" w:hAnsi="Garamond"/>
          <w:bCs/>
          <w:iCs/>
          <w:color w:val="000000"/>
          <w:sz w:val="22"/>
          <w:szCs w:val="22"/>
        </w:rPr>
        <w:t xml:space="preserve">by 1.4 pp relative to the </w:t>
      </w:r>
      <w:r w:rsidR="00FB76E8">
        <w:rPr>
          <w:rFonts w:ascii="Garamond" w:hAnsi="Garamond"/>
          <w:bCs/>
          <w:iCs/>
          <w:color w:val="000000"/>
          <w:sz w:val="22"/>
          <w:szCs w:val="22"/>
        </w:rPr>
        <w:lastRenderedPageBreak/>
        <w:t>year before</w:t>
      </w:r>
      <w:r w:rsidR="00FB76E8">
        <w:rPr>
          <w:rStyle w:val="FootnoteReference"/>
          <w:rFonts w:ascii="Garamond" w:hAnsi="Garamond"/>
          <w:bCs/>
          <w:iCs/>
          <w:color w:val="000000"/>
          <w:sz w:val="22"/>
          <w:szCs w:val="22"/>
        </w:rPr>
        <w:footnoteReference w:customMarkFollows="1" w:id="12"/>
        <w:t>23</w:t>
      </w:r>
      <w:r w:rsidRPr="0068474B">
        <w:rPr>
          <w:rFonts w:ascii="Garamond" w:hAnsi="Garamond"/>
          <w:bCs/>
          <w:iCs/>
          <w:color w:val="000000"/>
          <w:sz w:val="22"/>
          <w:szCs w:val="22"/>
        </w:rPr>
        <w:t>. The deficit</w:t>
      </w:r>
      <w:r w:rsidR="001B24DE">
        <w:rPr>
          <w:rFonts w:ascii="Garamond" w:hAnsi="Garamond"/>
          <w:bCs/>
          <w:iCs/>
          <w:color w:val="000000"/>
          <w:sz w:val="22"/>
          <w:szCs w:val="22"/>
        </w:rPr>
        <w:t xml:space="preserve">-to-GDP ratio amounted to </w:t>
      </w:r>
      <w:r w:rsidRPr="0068474B">
        <w:rPr>
          <w:rFonts w:ascii="Garamond" w:hAnsi="Garamond"/>
          <w:bCs/>
          <w:iCs/>
          <w:color w:val="000000"/>
          <w:sz w:val="22"/>
          <w:szCs w:val="22"/>
        </w:rPr>
        <w:t>1.</w:t>
      </w:r>
      <w:r w:rsidR="001B24DE">
        <w:rPr>
          <w:rFonts w:ascii="Garamond" w:hAnsi="Garamond"/>
          <w:bCs/>
          <w:iCs/>
          <w:color w:val="000000"/>
          <w:sz w:val="22"/>
          <w:szCs w:val="22"/>
        </w:rPr>
        <w:t>1%</w:t>
      </w:r>
      <w:r w:rsidR="00875DED">
        <w:rPr>
          <w:rFonts w:ascii="Garamond" w:hAnsi="Garamond"/>
          <w:bCs/>
          <w:iCs/>
          <w:color w:val="000000"/>
          <w:sz w:val="22"/>
          <w:szCs w:val="22"/>
        </w:rPr>
        <w:t>,</w:t>
      </w:r>
      <w:r w:rsidRPr="0068474B">
        <w:rPr>
          <w:rFonts w:ascii="Garamond" w:hAnsi="Garamond"/>
          <w:bCs/>
          <w:iCs/>
          <w:color w:val="000000"/>
          <w:sz w:val="22"/>
          <w:szCs w:val="22"/>
        </w:rPr>
        <w:t xml:space="preserve"> decreasing by 0.9 p</w:t>
      </w:r>
      <w:r w:rsidR="001B24DE">
        <w:rPr>
          <w:rFonts w:ascii="Garamond" w:hAnsi="Garamond"/>
          <w:bCs/>
          <w:iCs/>
          <w:color w:val="000000"/>
          <w:sz w:val="22"/>
          <w:szCs w:val="22"/>
        </w:rPr>
        <w:t xml:space="preserve">p </w:t>
      </w:r>
      <w:r w:rsidR="00875DED">
        <w:rPr>
          <w:rFonts w:ascii="Garamond" w:hAnsi="Garamond"/>
          <w:bCs/>
          <w:iCs/>
          <w:color w:val="000000"/>
          <w:sz w:val="22"/>
          <w:szCs w:val="22"/>
        </w:rPr>
        <w:t>against 2018</w:t>
      </w:r>
      <w:r w:rsidRPr="0068474B">
        <w:rPr>
          <w:rFonts w:ascii="Garamond" w:hAnsi="Garamond"/>
          <w:bCs/>
          <w:iCs/>
          <w:color w:val="000000"/>
          <w:sz w:val="22"/>
          <w:szCs w:val="22"/>
        </w:rPr>
        <w:t>. The</w:t>
      </w:r>
      <w:r w:rsidR="00875DED">
        <w:rPr>
          <w:rFonts w:ascii="Garamond" w:hAnsi="Garamond"/>
          <w:bCs/>
          <w:iCs/>
          <w:color w:val="000000"/>
          <w:sz w:val="22"/>
          <w:szCs w:val="22"/>
        </w:rPr>
        <w:t xml:space="preserve"> 2019 contractionary </w:t>
      </w:r>
      <w:r w:rsidRPr="0068474B">
        <w:rPr>
          <w:rFonts w:ascii="Garamond" w:hAnsi="Garamond"/>
          <w:bCs/>
          <w:iCs/>
          <w:color w:val="000000"/>
          <w:sz w:val="22"/>
          <w:szCs w:val="22"/>
        </w:rPr>
        <w:t xml:space="preserve">fiscal policy </w:t>
      </w:r>
      <w:r w:rsidR="00875DED">
        <w:rPr>
          <w:rFonts w:ascii="Garamond" w:hAnsi="Garamond"/>
          <w:bCs/>
          <w:iCs/>
          <w:color w:val="000000"/>
          <w:sz w:val="22"/>
          <w:szCs w:val="22"/>
        </w:rPr>
        <w:t xml:space="preserve">facilitated the </w:t>
      </w:r>
      <w:r w:rsidRPr="0068474B">
        <w:rPr>
          <w:rFonts w:ascii="Garamond" w:hAnsi="Garamond"/>
          <w:bCs/>
          <w:iCs/>
          <w:color w:val="000000"/>
          <w:sz w:val="22"/>
          <w:szCs w:val="22"/>
        </w:rPr>
        <w:t xml:space="preserve">reduction of public debt </w:t>
      </w:r>
      <w:r w:rsidR="00875DED">
        <w:rPr>
          <w:rFonts w:ascii="Garamond" w:hAnsi="Garamond"/>
          <w:bCs/>
          <w:iCs/>
          <w:color w:val="000000"/>
          <w:sz w:val="22"/>
          <w:szCs w:val="22"/>
        </w:rPr>
        <w:t xml:space="preserve">relative </w:t>
      </w:r>
      <w:r w:rsidRPr="0068474B">
        <w:rPr>
          <w:rFonts w:ascii="Garamond" w:hAnsi="Garamond"/>
          <w:bCs/>
          <w:iCs/>
          <w:color w:val="000000"/>
          <w:sz w:val="22"/>
          <w:szCs w:val="22"/>
        </w:rPr>
        <w:t xml:space="preserve">to GDP, </w:t>
      </w:r>
      <w:r w:rsidR="00AD1EC9">
        <w:rPr>
          <w:rFonts w:ascii="Garamond" w:hAnsi="Garamond"/>
          <w:bCs/>
          <w:iCs/>
          <w:color w:val="000000"/>
          <w:sz w:val="22"/>
          <w:szCs w:val="22"/>
        </w:rPr>
        <w:t>securing</w:t>
      </w:r>
      <w:r w:rsidR="00875DED">
        <w:rPr>
          <w:rFonts w:ascii="Garamond" w:hAnsi="Garamond"/>
          <w:bCs/>
          <w:iCs/>
          <w:color w:val="000000"/>
          <w:sz w:val="22"/>
          <w:szCs w:val="22"/>
        </w:rPr>
        <w:t xml:space="preserve"> debt </w:t>
      </w:r>
      <w:r w:rsidRPr="0068474B">
        <w:rPr>
          <w:rFonts w:ascii="Garamond" w:hAnsi="Garamond"/>
          <w:bCs/>
          <w:iCs/>
          <w:color w:val="000000"/>
          <w:sz w:val="22"/>
          <w:szCs w:val="22"/>
        </w:rPr>
        <w:t>s</w:t>
      </w:r>
      <w:r w:rsidR="00875DED">
        <w:rPr>
          <w:rFonts w:ascii="Garamond" w:hAnsi="Garamond"/>
          <w:bCs/>
          <w:iCs/>
          <w:color w:val="000000"/>
          <w:sz w:val="22"/>
          <w:szCs w:val="22"/>
        </w:rPr>
        <w:t>ustainability</w:t>
      </w:r>
      <w:r w:rsidRPr="0068474B">
        <w:rPr>
          <w:rFonts w:ascii="Garamond" w:hAnsi="Garamond"/>
          <w:bCs/>
          <w:iCs/>
          <w:color w:val="000000"/>
          <w:sz w:val="22"/>
          <w:szCs w:val="22"/>
        </w:rPr>
        <w:t>.</w:t>
      </w:r>
    </w:p>
    <w:p w14:paraId="7194DBDC" w14:textId="77777777" w:rsidR="006A3AB4" w:rsidRPr="00EE5F0F" w:rsidRDefault="006A3AB4" w:rsidP="00242EA6">
      <w:pPr>
        <w:autoSpaceDE w:val="0"/>
        <w:autoSpaceDN w:val="0"/>
        <w:adjustRightInd w:val="0"/>
        <w:spacing w:after="120" w:line="360" w:lineRule="auto"/>
        <w:jc w:val="both"/>
        <w:rPr>
          <w:rFonts w:ascii="Garamond" w:hAnsi="Garamond"/>
          <w:b/>
          <w:bCs/>
          <w:iCs/>
          <w:color w:val="0070C0"/>
          <w:sz w:val="22"/>
          <w:szCs w:val="22"/>
        </w:rPr>
      </w:pPr>
    </w:p>
    <w:p w14:paraId="7489BDE6" w14:textId="77777777" w:rsidR="00AD1EC9" w:rsidRDefault="00242EA6" w:rsidP="00AD1EC9">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bCs/>
          <w:iCs/>
          <w:color w:val="0070C0"/>
          <w:sz w:val="22"/>
          <w:szCs w:val="22"/>
        </w:rPr>
        <w:t xml:space="preserve">3.2.3. The production </w:t>
      </w:r>
      <w:r w:rsidRPr="00EE5F0F">
        <w:rPr>
          <w:rFonts w:ascii="Garamond" w:hAnsi="Garamond"/>
          <w:b/>
          <w:color w:val="0070C0"/>
          <w:sz w:val="22"/>
          <w:szCs w:val="22"/>
        </w:rPr>
        <w:t>aspect of the economy</w:t>
      </w:r>
    </w:p>
    <w:p w14:paraId="558AEA73" w14:textId="7FA252DC" w:rsidR="00A9445F" w:rsidRDefault="54AE272E" w:rsidP="001541EE">
      <w:pPr>
        <w:autoSpaceDE w:val="0"/>
        <w:autoSpaceDN w:val="0"/>
        <w:adjustRightInd w:val="0"/>
        <w:spacing w:after="120" w:line="360" w:lineRule="auto"/>
        <w:jc w:val="both"/>
        <w:rPr>
          <w:rFonts w:ascii="Garamond" w:hAnsi="Garamond"/>
          <w:sz w:val="22"/>
          <w:szCs w:val="22"/>
        </w:rPr>
      </w:pPr>
      <w:r w:rsidRPr="54AE272E">
        <w:rPr>
          <w:rFonts w:ascii="Garamond" w:hAnsi="Garamond"/>
          <w:sz w:val="22"/>
          <w:szCs w:val="22"/>
        </w:rPr>
        <w:t>In the fourth quarter of 2019 the GDP grew by 7.6%, which is 1.1% higher from previous Central Bank projections. The deviation is explained by a rapid growth rate observed in industry. Activity remains strong in all sectors of the economy. An exception is agriculture with its reported -4.1% decline in the fourth quarter, which is in line with the Central Bank forecast. In 2019 sowing areas in agriculture came in lesser, which negatively affects the potential of the sector. According to the Central Bank, such developments result from structural changes in the economy, pointing to the labor supply tending to shift from agriculture to more productive sectors of the economy. The growth in construction amounted to 4.0% which is much the same compared with previous estimates. The growth in services remains strong and is in line with the previous forecast, amounting to 9.4% for the quarter. Despite some slowing in output growth in industry in late 2019, the sector saw an accelerated increase in value added to 15.8%, which largely explains the higher-than-expected economic growth.</w:t>
      </w:r>
    </w:p>
    <w:p w14:paraId="760E5BD4" w14:textId="77777777" w:rsidR="00716B12" w:rsidRDefault="00A87B89" w:rsidP="00242EA6">
      <w:pPr>
        <w:autoSpaceDE w:val="0"/>
        <w:autoSpaceDN w:val="0"/>
        <w:adjustRightInd w:val="0"/>
        <w:spacing w:after="120" w:line="360" w:lineRule="auto"/>
        <w:jc w:val="both"/>
        <w:rPr>
          <w:rFonts w:ascii="Garamond" w:hAnsi="Garamond"/>
          <w:b/>
          <w:color w:val="0070C0"/>
          <w:sz w:val="22"/>
          <w:szCs w:val="22"/>
        </w:rPr>
      </w:pPr>
      <w:r w:rsidRPr="00A87B89">
        <w:rPr>
          <w:rFonts w:ascii="Garamond" w:hAnsi="Garamond"/>
          <w:sz w:val="22"/>
          <w:szCs w:val="22"/>
        </w:rPr>
        <w:t>Thus, economic growth in 2019 amounted to 7.6%</w:t>
      </w:r>
      <w:r>
        <w:rPr>
          <w:rFonts w:ascii="Garamond" w:hAnsi="Garamond"/>
          <w:sz w:val="22"/>
          <w:szCs w:val="22"/>
        </w:rPr>
        <w:t xml:space="preserve"> on the back of the </w:t>
      </w:r>
      <w:r w:rsidRPr="00A87B89">
        <w:rPr>
          <w:rFonts w:ascii="Garamond" w:hAnsi="Garamond"/>
          <w:sz w:val="22"/>
          <w:szCs w:val="22"/>
        </w:rPr>
        <w:t xml:space="preserve">4.0% decline in agriculture, </w:t>
      </w:r>
      <w:r>
        <w:rPr>
          <w:rFonts w:ascii="Garamond" w:hAnsi="Garamond"/>
          <w:sz w:val="22"/>
          <w:szCs w:val="22"/>
        </w:rPr>
        <w:t xml:space="preserve">and </w:t>
      </w:r>
      <w:r w:rsidRPr="00A87B89">
        <w:rPr>
          <w:rFonts w:ascii="Garamond" w:hAnsi="Garamond"/>
          <w:sz w:val="22"/>
          <w:szCs w:val="22"/>
        </w:rPr>
        <w:t>10.2%, 4.2% and 10.3% growth in industry, construction and services, respectively.</w:t>
      </w:r>
    </w:p>
    <w:p w14:paraId="6F1BA238" w14:textId="77777777" w:rsidR="00242EA6" w:rsidRPr="00EE5F0F" w:rsidRDefault="00242EA6" w:rsidP="00242EA6">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3.2.4. Labor market</w:t>
      </w:r>
      <w:r w:rsidR="00A87B89">
        <w:rPr>
          <w:rStyle w:val="FootnoteReference"/>
          <w:rFonts w:ascii="Garamond" w:hAnsi="Garamond"/>
          <w:b/>
          <w:color w:val="0070C0"/>
          <w:sz w:val="22"/>
          <w:szCs w:val="22"/>
        </w:rPr>
        <w:footnoteReference w:customMarkFollows="1" w:id="13"/>
        <w:t>24</w:t>
      </w:r>
    </w:p>
    <w:p w14:paraId="415E5FD7" w14:textId="1151AEA5" w:rsidR="00327812" w:rsidRDefault="000919B5" w:rsidP="791D351F">
      <w:pPr>
        <w:autoSpaceDE w:val="0"/>
        <w:autoSpaceDN w:val="0"/>
        <w:adjustRightInd w:val="0"/>
        <w:spacing w:after="120" w:line="360" w:lineRule="auto"/>
        <w:jc w:val="both"/>
        <w:rPr>
          <w:rFonts w:ascii="Garamond" w:hAnsi="Garamond"/>
          <w:sz w:val="22"/>
          <w:szCs w:val="22"/>
        </w:rPr>
      </w:pPr>
      <w:r>
        <w:rPr>
          <w:rFonts w:ascii="Garamond" w:hAnsi="Garamond"/>
          <w:sz w:val="22"/>
          <w:szCs w:val="22"/>
        </w:rPr>
        <w:t>I</w:t>
      </w:r>
      <w:r w:rsidR="00B805F6">
        <w:rPr>
          <w:rFonts w:ascii="Garamond" w:hAnsi="Garamond"/>
          <w:sz w:val="22"/>
          <w:szCs w:val="22"/>
        </w:rPr>
        <w:t>n t</w:t>
      </w:r>
      <w:r w:rsidR="003E2223">
        <w:rPr>
          <w:rFonts w:ascii="Garamond" w:hAnsi="Garamond"/>
          <w:sz w:val="22"/>
          <w:szCs w:val="22"/>
        </w:rPr>
        <w:t xml:space="preserve">he </w:t>
      </w:r>
      <w:r w:rsidR="008360FD">
        <w:rPr>
          <w:rFonts w:ascii="Garamond" w:hAnsi="Garamond"/>
          <w:sz w:val="22"/>
          <w:szCs w:val="22"/>
        </w:rPr>
        <w:t>fourth</w:t>
      </w:r>
      <w:r w:rsidR="003E2223">
        <w:rPr>
          <w:rFonts w:ascii="Garamond" w:hAnsi="Garamond"/>
          <w:sz w:val="22"/>
          <w:szCs w:val="22"/>
        </w:rPr>
        <w:t xml:space="preserve"> quarter</w:t>
      </w:r>
      <w:r w:rsidR="00B805F6">
        <w:rPr>
          <w:rFonts w:ascii="Garamond" w:hAnsi="Garamond"/>
          <w:sz w:val="22"/>
          <w:szCs w:val="22"/>
        </w:rPr>
        <w:t xml:space="preserve"> </w:t>
      </w:r>
      <w:r w:rsidR="006C4749">
        <w:rPr>
          <w:rFonts w:ascii="Garamond" w:hAnsi="Garamond"/>
          <w:sz w:val="22"/>
          <w:szCs w:val="22"/>
        </w:rPr>
        <w:t>of 2019</w:t>
      </w:r>
      <w:r w:rsidR="008360FD">
        <w:rPr>
          <w:rFonts w:ascii="Garamond" w:hAnsi="Garamond"/>
          <w:sz w:val="22"/>
          <w:szCs w:val="22"/>
        </w:rPr>
        <w:t>,</w:t>
      </w:r>
      <w:r w:rsidR="006C4749">
        <w:rPr>
          <w:rFonts w:ascii="Garamond" w:hAnsi="Garamond"/>
          <w:sz w:val="22"/>
          <w:szCs w:val="22"/>
        </w:rPr>
        <w:t xml:space="preserve"> </w:t>
      </w:r>
      <w:r>
        <w:rPr>
          <w:rFonts w:ascii="Garamond" w:hAnsi="Garamond"/>
          <w:sz w:val="22"/>
          <w:szCs w:val="22"/>
        </w:rPr>
        <w:t>t</w:t>
      </w:r>
      <w:r w:rsidRPr="006C4749">
        <w:rPr>
          <w:rFonts w:ascii="Garamond" w:hAnsi="Garamond"/>
          <w:sz w:val="22"/>
          <w:szCs w:val="22"/>
        </w:rPr>
        <w:t>he private sector nominal wage</w:t>
      </w:r>
      <w:r>
        <w:rPr>
          <w:rFonts w:ascii="Garamond" w:hAnsi="Garamond"/>
          <w:sz w:val="22"/>
          <w:szCs w:val="22"/>
        </w:rPr>
        <w:t xml:space="preserve"> </w:t>
      </w:r>
      <w:r w:rsidRPr="006C4749">
        <w:rPr>
          <w:rFonts w:ascii="Garamond" w:hAnsi="Garamond"/>
          <w:sz w:val="22"/>
          <w:szCs w:val="22"/>
        </w:rPr>
        <w:t>growth rate</w:t>
      </w:r>
      <w:r w:rsidR="0076770D">
        <w:rPr>
          <w:rFonts w:ascii="Garamond" w:hAnsi="Garamond"/>
          <w:sz w:val="22"/>
          <w:szCs w:val="22"/>
        </w:rPr>
        <w:t xml:space="preserve"> </w:t>
      </w:r>
      <w:r w:rsidR="008360FD">
        <w:rPr>
          <w:rFonts w:ascii="Garamond" w:hAnsi="Garamond"/>
          <w:sz w:val="22"/>
          <w:szCs w:val="22"/>
        </w:rPr>
        <w:t>amounted to</w:t>
      </w:r>
      <w:r w:rsidR="00C30AC1">
        <w:rPr>
          <w:rFonts w:ascii="Garamond" w:hAnsi="Garamond"/>
          <w:sz w:val="22"/>
          <w:szCs w:val="22"/>
        </w:rPr>
        <w:t xml:space="preserve"> </w:t>
      </w:r>
      <w:r w:rsidR="008360FD">
        <w:rPr>
          <w:rFonts w:ascii="Garamond" w:hAnsi="Garamond"/>
          <w:sz w:val="22"/>
          <w:szCs w:val="22"/>
        </w:rPr>
        <w:t>3</w:t>
      </w:r>
      <w:r w:rsidR="006C4749">
        <w:rPr>
          <w:rFonts w:ascii="Garamond" w:hAnsi="Garamond"/>
          <w:sz w:val="22"/>
          <w:szCs w:val="22"/>
        </w:rPr>
        <w:t>.</w:t>
      </w:r>
      <w:r w:rsidR="008360FD">
        <w:rPr>
          <w:rFonts w:ascii="Garamond" w:hAnsi="Garamond"/>
          <w:sz w:val="22"/>
          <w:szCs w:val="22"/>
        </w:rPr>
        <w:t>0</w:t>
      </w:r>
      <w:r w:rsidR="006C4749">
        <w:rPr>
          <w:rFonts w:ascii="Garamond" w:hAnsi="Garamond"/>
          <w:sz w:val="22"/>
          <w:szCs w:val="22"/>
        </w:rPr>
        <w:t>%</w:t>
      </w:r>
      <w:r w:rsidR="008360FD">
        <w:rPr>
          <w:rFonts w:ascii="Garamond" w:hAnsi="Garamond"/>
          <w:sz w:val="22"/>
          <w:szCs w:val="22"/>
        </w:rPr>
        <w:t xml:space="preserve"> - </w:t>
      </w:r>
      <w:r w:rsidR="00C30AC1">
        <w:rPr>
          <w:rFonts w:ascii="Garamond" w:hAnsi="Garamond"/>
          <w:sz w:val="22"/>
          <w:szCs w:val="22"/>
        </w:rPr>
        <w:t xml:space="preserve">slightly </w:t>
      </w:r>
      <w:r w:rsidR="008360FD">
        <w:rPr>
          <w:rFonts w:ascii="Garamond" w:hAnsi="Garamond"/>
          <w:sz w:val="22"/>
          <w:szCs w:val="22"/>
        </w:rPr>
        <w:t xml:space="preserve">below </w:t>
      </w:r>
      <w:r>
        <w:rPr>
          <w:rFonts w:ascii="Garamond" w:hAnsi="Garamond"/>
          <w:sz w:val="22"/>
          <w:szCs w:val="22"/>
        </w:rPr>
        <w:t>previous forecasts by the Central Bank</w:t>
      </w:r>
      <w:r w:rsidR="008360FD">
        <w:rPr>
          <w:rFonts w:ascii="Garamond" w:hAnsi="Garamond"/>
          <w:sz w:val="22"/>
          <w:szCs w:val="22"/>
        </w:rPr>
        <w:t xml:space="preserve"> -</w:t>
      </w:r>
      <w:r w:rsidR="0076770D">
        <w:rPr>
          <w:rFonts w:ascii="Garamond" w:hAnsi="Garamond"/>
          <w:sz w:val="22"/>
          <w:szCs w:val="22"/>
        </w:rPr>
        <w:t xml:space="preserve"> </w:t>
      </w:r>
      <w:r w:rsidR="008360FD">
        <w:rPr>
          <w:rFonts w:ascii="Garamond" w:hAnsi="Garamond"/>
          <w:sz w:val="22"/>
          <w:szCs w:val="22"/>
        </w:rPr>
        <w:t>and t</w:t>
      </w:r>
      <w:r w:rsidRPr="006C4749">
        <w:rPr>
          <w:rFonts w:ascii="Garamond" w:hAnsi="Garamond"/>
          <w:sz w:val="22"/>
          <w:szCs w:val="22"/>
        </w:rPr>
        <w:t xml:space="preserve">he private sector </w:t>
      </w:r>
      <w:r>
        <w:rPr>
          <w:rFonts w:ascii="Garamond" w:hAnsi="Garamond"/>
          <w:sz w:val="22"/>
          <w:szCs w:val="22"/>
        </w:rPr>
        <w:t xml:space="preserve">real </w:t>
      </w:r>
      <w:r w:rsidRPr="006C4749">
        <w:rPr>
          <w:rFonts w:ascii="Garamond" w:hAnsi="Garamond"/>
          <w:sz w:val="22"/>
          <w:szCs w:val="22"/>
        </w:rPr>
        <w:t>wage</w:t>
      </w:r>
      <w:r>
        <w:rPr>
          <w:rFonts w:ascii="Garamond" w:hAnsi="Garamond"/>
          <w:sz w:val="22"/>
          <w:szCs w:val="22"/>
        </w:rPr>
        <w:t xml:space="preserve"> </w:t>
      </w:r>
      <w:r w:rsidRPr="006C4749">
        <w:rPr>
          <w:rFonts w:ascii="Garamond" w:hAnsi="Garamond"/>
          <w:sz w:val="22"/>
          <w:szCs w:val="22"/>
        </w:rPr>
        <w:t>growth rate</w:t>
      </w:r>
      <w:r w:rsidR="008360FD">
        <w:rPr>
          <w:rFonts w:ascii="Garamond" w:hAnsi="Garamond"/>
          <w:sz w:val="22"/>
          <w:szCs w:val="22"/>
        </w:rPr>
        <w:t xml:space="preserve"> reached 2</w:t>
      </w:r>
      <w:r>
        <w:rPr>
          <w:rFonts w:ascii="Garamond" w:hAnsi="Garamond"/>
          <w:sz w:val="22"/>
          <w:szCs w:val="22"/>
        </w:rPr>
        <w:t>.</w:t>
      </w:r>
      <w:r w:rsidR="008360FD">
        <w:rPr>
          <w:rFonts w:ascii="Garamond" w:hAnsi="Garamond"/>
          <w:sz w:val="22"/>
          <w:szCs w:val="22"/>
        </w:rPr>
        <w:t>2</w:t>
      </w:r>
      <w:r>
        <w:rPr>
          <w:rFonts w:ascii="Garamond" w:hAnsi="Garamond"/>
          <w:sz w:val="22"/>
          <w:szCs w:val="22"/>
        </w:rPr>
        <w:t>%</w:t>
      </w:r>
      <w:r w:rsidR="008360FD">
        <w:rPr>
          <w:rFonts w:ascii="Garamond" w:hAnsi="Garamond"/>
          <w:sz w:val="22"/>
          <w:szCs w:val="22"/>
        </w:rPr>
        <w:t xml:space="preserve"> which is </w:t>
      </w:r>
      <w:r w:rsidR="791D351F" w:rsidRPr="791D351F">
        <w:rPr>
          <w:rFonts w:ascii="Garamond" w:eastAsia="Garamond" w:hAnsi="Garamond" w:cs="Garamond"/>
          <w:sz w:val="22"/>
          <w:szCs w:val="22"/>
        </w:rPr>
        <w:t xml:space="preserve">in line </w:t>
      </w:r>
      <w:r w:rsidR="008360FD">
        <w:rPr>
          <w:rFonts w:ascii="Garamond" w:hAnsi="Garamond"/>
          <w:sz w:val="22"/>
          <w:szCs w:val="22"/>
        </w:rPr>
        <w:t>with economic growth developments</w:t>
      </w:r>
      <w:r>
        <w:rPr>
          <w:rFonts w:ascii="Garamond" w:hAnsi="Garamond"/>
          <w:sz w:val="22"/>
          <w:szCs w:val="22"/>
        </w:rPr>
        <w:t xml:space="preserve">. </w:t>
      </w:r>
      <w:r w:rsidR="008360FD">
        <w:rPr>
          <w:rFonts w:ascii="Garamond" w:hAnsi="Garamond"/>
          <w:sz w:val="22"/>
          <w:szCs w:val="22"/>
        </w:rPr>
        <w:t>In the fourth quarter the productivity</w:t>
      </w:r>
      <w:r w:rsidR="008360FD">
        <w:rPr>
          <w:rStyle w:val="FootnoteReference"/>
          <w:rFonts w:ascii="Garamond" w:hAnsi="Garamond"/>
          <w:sz w:val="22"/>
          <w:szCs w:val="22"/>
        </w:rPr>
        <w:footnoteReference w:customMarkFollows="1" w:id="14"/>
        <w:t>25</w:t>
      </w:r>
      <w:r w:rsidR="008360FD">
        <w:rPr>
          <w:rFonts w:ascii="Garamond" w:hAnsi="Garamond"/>
          <w:sz w:val="22"/>
          <w:szCs w:val="22"/>
        </w:rPr>
        <w:t xml:space="preserve"> grew by 6.0%, outpacing t</w:t>
      </w:r>
      <w:r w:rsidR="0076770D">
        <w:rPr>
          <w:rFonts w:ascii="Garamond" w:hAnsi="Garamond"/>
          <w:sz w:val="22"/>
          <w:szCs w:val="22"/>
        </w:rPr>
        <w:t xml:space="preserve">he real </w:t>
      </w:r>
      <w:r w:rsidR="0076770D" w:rsidRPr="006C4749">
        <w:rPr>
          <w:rFonts w:ascii="Garamond" w:hAnsi="Garamond"/>
          <w:sz w:val="22"/>
          <w:szCs w:val="22"/>
        </w:rPr>
        <w:t>wage</w:t>
      </w:r>
      <w:r w:rsidR="0076770D">
        <w:rPr>
          <w:rFonts w:ascii="Garamond" w:hAnsi="Garamond"/>
          <w:sz w:val="22"/>
          <w:szCs w:val="22"/>
        </w:rPr>
        <w:t xml:space="preserve"> </w:t>
      </w:r>
      <w:r w:rsidR="0076770D" w:rsidRPr="006C4749">
        <w:rPr>
          <w:rFonts w:ascii="Garamond" w:hAnsi="Garamond"/>
          <w:sz w:val="22"/>
          <w:szCs w:val="22"/>
        </w:rPr>
        <w:t>growth rate</w:t>
      </w:r>
      <w:r w:rsidR="00327812">
        <w:rPr>
          <w:rFonts w:ascii="Garamond" w:hAnsi="Garamond"/>
          <w:sz w:val="22"/>
          <w:szCs w:val="22"/>
        </w:rPr>
        <w:t>.</w:t>
      </w:r>
      <w:r w:rsidR="008360FD">
        <w:rPr>
          <w:rFonts w:ascii="Garamond" w:hAnsi="Garamond"/>
          <w:sz w:val="22"/>
          <w:szCs w:val="22"/>
        </w:rPr>
        <w:t xml:space="preserve"> As a result, minor </w:t>
      </w:r>
      <w:r w:rsidR="008360FD" w:rsidRPr="008360FD">
        <w:rPr>
          <w:rFonts w:ascii="Garamond" w:hAnsi="Garamond"/>
          <w:sz w:val="22"/>
          <w:szCs w:val="22"/>
        </w:rPr>
        <w:t xml:space="preserve">deflationary pressures </w:t>
      </w:r>
      <w:r w:rsidR="008360FD">
        <w:rPr>
          <w:rFonts w:ascii="Garamond" w:hAnsi="Garamond"/>
          <w:sz w:val="22"/>
          <w:szCs w:val="22"/>
        </w:rPr>
        <w:t xml:space="preserve">were created by </w:t>
      </w:r>
      <w:r w:rsidR="008360FD" w:rsidRPr="008360FD">
        <w:rPr>
          <w:rFonts w:ascii="Garamond" w:hAnsi="Garamond"/>
          <w:sz w:val="22"/>
          <w:szCs w:val="22"/>
        </w:rPr>
        <w:t xml:space="preserve">the labor market </w:t>
      </w:r>
      <w:r w:rsidR="008360FD">
        <w:rPr>
          <w:rFonts w:ascii="Garamond" w:hAnsi="Garamond"/>
          <w:sz w:val="22"/>
          <w:szCs w:val="22"/>
        </w:rPr>
        <w:t>during the fourth quarter</w:t>
      </w:r>
      <w:r w:rsidR="008360FD" w:rsidRPr="008360FD">
        <w:rPr>
          <w:rFonts w:ascii="Garamond" w:hAnsi="Garamond"/>
          <w:sz w:val="22"/>
          <w:szCs w:val="22"/>
        </w:rPr>
        <w:t>.</w:t>
      </w:r>
      <w:r w:rsidR="008360FD">
        <w:rPr>
          <w:rFonts w:ascii="Garamond" w:hAnsi="Garamond"/>
          <w:sz w:val="22"/>
          <w:szCs w:val="22"/>
        </w:rPr>
        <w:t xml:space="preserve"> </w:t>
      </w:r>
      <w:r w:rsidR="00327812">
        <w:rPr>
          <w:rFonts w:ascii="Garamond" w:hAnsi="Garamond"/>
          <w:sz w:val="22"/>
          <w:szCs w:val="22"/>
        </w:rPr>
        <w:t xml:space="preserve"> </w:t>
      </w:r>
    </w:p>
    <w:p w14:paraId="64AC2AE9" w14:textId="2193FB66" w:rsidR="00912BAE" w:rsidRDefault="791D351F" w:rsidP="791D351F">
      <w:pPr>
        <w:autoSpaceDE w:val="0"/>
        <w:autoSpaceDN w:val="0"/>
        <w:adjustRightInd w:val="0"/>
        <w:spacing w:after="120" w:line="360" w:lineRule="auto"/>
        <w:jc w:val="both"/>
        <w:rPr>
          <w:rFonts w:ascii="Garamond" w:hAnsi="Garamond"/>
          <w:sz w:val="22"/>
          <w:szCs w:val="22"/>
        </w:rPr>
      </w:pPr>
      <w:r w:rsidRPr="791D351F">
        <w:rPr>
          <w:rFonts w:ascii="Garamond" w:hAnsi="Garamond"/>
          <w:sz w:val="22"/>
          <w:szCs w:val="22"/>
        </w:rPr>
        <w:t xml:space="preserve">Economic activity was accompanied by an increase in employment, so the unemployment </w:t>
      </w:r>
      <w:proofErr w:type="gramStart"/>
      <w:r w:rsidRPr="791D351F">
        <w:rPr>
          <w:rFonts w:ascii="Garamond" w:hAnsi="Garamond"/>
          <w:sz w:val="22"/>
          <w:szCs w:val="22"/>
        </w:rPr>
        <w:t>rate  is</w:t>
      </w:r>
      <w:proofErr w:type="gramEnd"/>
      <w:r w:rsidRPr="791D351F">
        <w:rPr>
          <w:rFonts w:ascii="Garamond" w:hAnsi="Garamond"/>
          <w:sz w:val="22"/>
          <w:szCs w:val="22"/>
        </w:rPr>
        <w:t xml:space="preserve"> estimated at 17.8% </w:t>
      </w:r>
      <w:r w:rsidRPr="791D351F">
        <w:rPr>
          <w:rFonts w:ascii="Garamond" w:eastAsia="Garamond" w:hAnsi="Garamond" w:cs="Garamond"/>
          <w:sz w:val="22"/>
          <w:szCs w:val="22"/>
        </w:rPr>
        <w:t>in the fourth quarter of 2019</w:t>
      </w:r>
      <w:r w:rsidRPr="791D351F">
        <w:rPr>
          <w:rFonts w:ascii="Garamond" w:hAnsi="Garamond"/>
          <w:sz w:val="22"/>
          <w:szCs w:val="22"/>
        </w:rPr>
        <w:t xml:space="preserve">, which is in line with previous  forecasts. </w:t>
      </w:r>
    </w:p>
    <w:p w14:paraId="1FFF9358" w14:textId="667A0F49" w:rsidR="00A91D86" w:rsidRDefault="791D351F" w:rsidP="00327812">
      <w:pPr>
        <w:autoSpaceDE w:val="0"/>
        <w:autoSpaceDN w:val="0"/>
        <w:adjustRightInd w:val="0"/>
        <w:spacing w:after="120" w:line="360" w:lineRule="auto"/>
        <w:jc w:val="both"/>
        <w:rPr>
          <w:rFonts w:ascii="Garamond" w:hAnsi="Garamond"/>
          <w:sz w:val="22"/>
          <w:szCs w:val="22"/>
        </w:rPr>
      </w:pPr>
      <w:r w:rsidRPr="791D351F">
        <w:rPr>
          <w:rFonts w:ascii="Garamond" w:hAnsi="Garamond"/>
          <w:sz w:val="22"/>
          <w:szCs w:val="22"/>
        </w:rPr>
        <w:t>In the reporting quarter, firms’ unit labor costs decreased by 3.1%, with output growth per unit of private labor pacing faster than the growth rate of private wage.</w:t>
      </w:r>
    </w:p>
    <w:p w14:paraId="769D0D3C" w14:textId="77777777" w:rsidR="00BF2169" w:rsidRDefault="00BF2169" w:rsidP="00242EA6">
      <w:pPr>
        <w:autoSpaceDE w:val="0"/>
        <w:autoSpaceDN w:val="0"/>
        <w:adjustRightInd w:val="0"/>
        <w:spacing w:after="120" w:line="360" w:lineRule="auto"/>
        <w:jc w:val="both"/>
        <w:rPr>
          <w:rFonts w:ascii="Garamond" w:hAnsi="Garamond"/>
          <w:b/>
          <w:color w:val="0070C0"/>
          <w:sz w:val="22"/>
          <w:szCs w:val="22"/>
        </w:rPr>
      </w:pPr>
    </w:p>
    <w:p w14:paraId="005A8BAF" w14:textId="77777777" w:rsidR="00242EA6" w:rsidRPr="00EE5F0F" w:rsidRDefault="00242EA6" w:rsidP="00242EA6">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lastRenderedPageBreak/>
        <w:t>3.3. Financial market developments</w:t>
      </w:r>
    </w:p>
    <w:p w14:paraId="0E361A1B" w14:textId="77777777" w:rsidR="00EB618D" w:rsidRDefault="00242EA6" w:rsidP="00BF2169">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 xml:space="preserve">In the </w:t>
      </w:r>
      <w:r w:rsidR="00BF2169">
        <w:rPr>
          <w:rFonts w:ascii="Garamond" w:hAnsi="Garamond"/>
          <w:b/>
          <w:sz w:val="22"/>
          <w:szCs w:val="22"/>
        </w:rPr>
        <w:t>fourth</w:t>
      </w:r>
      <w:r w:rsidRPr="00EE5F0F">
        <w:rPr>
          <w:rFonts w:ascii="Garamond" w:hAnsi="Garamond"/>
          <w:b/>
          <w:sz w:val="22"/>
          <w:szCs w:val="22"/>
        </w:rPr>
        <w:t xml:space="preserve"> quarter of 201</w:t>
      </w:r>
      <w:r w:rsidR="00912BAE">
        <w:rPr>
          <w:rFonts w:ascii="Garamond" w:hAnsi="Garamond"/>
          <w:b/>
          <w:sz w:val="22"/>
          <w:szCs w:val="22"/>
        </w:rPr>
        <w:t>9</w:t>
      </w:r>
      <w:r w:rsidRPr="00EE5F0F">
        <w:rPr>
          <w:rFonts w:ascii="Garamond" w:hAnsi="Garamond"/>
          <w:b/>
          <w:sz w:val="22"/>
          <w:szCs w:val="22"/>
        </w:rPr>
        <w:t xml:space="preserve"> the </w:t>
      </w:r>
      <w:r w:rsidR="00113D70">
        <w:rPr>
          <w:rFonts w:ascii="Garamond" w:hAnsi="Garamond"/>
          <w:b/>
          <w:sz w:val="22"/>
          <w:szCs w:val="22"/>
        </w:rPr>
        <w:t xml:space="preserve">Board of the </w:t>
      </w:r>
      <w:r w:rsidRPr="00EE5F0F">
        <w:rPr>
          <w:rFonts w:ascii="Garamond" w:hAnsi="Garamond"/>
          <w:b/>
          <w:sz w:val="22"/>
          <w:szCs w:val="22"/>
        </w:rPr>
        <w:t>Central Bank</w:t>
      </w:r>
      <w:r w:rsidR="00113D70">
        <w:rPr>
          <w:rFonts w:ascii="Garamond" w:hAnsi="Garamond"/>
          <w:b/>
          <w:sz w:val="22"/>
          <w:szCs w:val="22"/>
        </w:rPr>
        <w:t xml:space="preserve"> </w:t>
      </w:r>
      <w:r w:rsidR="00BF2169">
        <w:rPr>
          <w:rFonts w:ascii="Garamond" w:hAnsi="Garamond"/>
          <w:b/>
          <w:sz w:val="22"/>
          <w:szCs w:val="22"/>
        </w:rPr>
        <w:t>left</w:t>
      </w:r>
      <w:r w:rsidR="00D72493">
        <w:rPr>
          <w:rFonts w:ascii="Garamond" w:hAnsi="Garamond"/>
          <w:b/>
          <w:sz w:val="22"/>
          <w:szCs w:val="22"/>
        </w:rPr>
        <w:t xml:space="preserve"> </w:t>
      </w:r>
      <w:r w:rsidRPr="00EE5F0F">
        <w:rPr>
          <w:rFonts w:ascii="Garamond" w:hAnsi="Garamond"/>
          <w:b/>
          <w:sz w:val="22"/>
          <w:szCs w:val="22"/>
        </w:rPr>
        <w:t xml:space="preserve">the refinancing rate </w:t>
      </w:r>
      <w:r w:rsidR="00BF2169">
        <w:rPr>
          <w:rFonts w:ascii="Garamond" w:hAnsi="Garamond"/>
          <w:b/>
          <w:sz w:val="22"/>
          <w:szCs w:val="22"/>
        </w:rPr>
        <w:t xml:space="preserve">unchanged, at </w:t>
      </w:r>
      <w:r w:rsidR="00113D70">
        <w:rPr>
          <w:rFonts w:ascii="Garamond" w:hAnsi="Garamond"/>
          <w:b/>
          <w:sz w:val="22"/>
          <w:szCs w:val="22"/>
        </w:rPr>
        <w:t>5.5%</w:t>
      </w:r>
      <w:r w:rsidRPr="00EE5F0F">
        <w:rPr>
          <w:rFonts w:ascii="Garamond" w:hAnsi="Garamond"/>
          <w:b/>
          <w:sz w:val="22"/>
          <w:szCs w:val="22"/>
        </w:rPr>
        <w:t>.</w:t>
      </w:r>
      <w:r w:rsidR="00334AFE" w:rsidRPr="00EE5F0F">
        <w:rPr>
          <w:rFonts w:ascii="Garamond" w:hAnsi="Garamond"/>
          <w:b/>
          <w:sz w:val="22"/>
          <w:szCs w:val="22"/>
        </w:rPr>
        <w:t xml:space="preserve"> </w:t>
      </w:r>
    </w:p>
    <w:p w14:paraId="78BDDA54" w14:textId="77777777" w:rsidR="00C00DF3" w:rsidRDefault="00BF2169" w:rsidP="00242EA6">
      <w:pPr>
        <w:autoSpaceDE w:val="0"/>
        <w:autoSpaceDN w:val="0"/>
        <w:adjustRightInd w:val="0"/>
        <w:spacing w:after="120" w:line="360" w:lineRule="auto"/>
        <w:jc w:val="both"/>
        <w:rPr>
          <w:rFonts w:ascii="Garamond" w:hAnsi="Garamond"/>
          <w:sz w:val="22"/>
          <w:szCs w:val="22"/>
        </w:rPr>
      </w:pPr>
      <w:r>
        <w:rPr>
          <w:rFonts w:ascii="Garamond" w:hAnsi="Garamond"/>
          <w:sz w:val="22"/>
          <w:szCs w:val="22"/>
        </w:rPr>
        <w:t>In view of the fiscal policy further expansionary and non-in</w:t>
      </w:r>
      <w:r w:rsidRPr="007F53A2">
        <w:rPr>
          <w:rFonts w:ascii="Garamond" w:hAnsi="Garamond"/>
          <w:sz w:val="22"/>
          <w:szCs w:val="22"/>
        </w:rPr>
        <w:t xml:space="preserve">flationary </w:t>
      </w:r>
      <w:r>
        <w:rPr>
          <w:rFonts w:ascii="Garamond" w:hAnsi="Garamond"/>
          <w:sz w:val="22"/>
          <w:szCs w:val="22"/>
        </w:rPr>
        <w:t xml:space="preserve">effects expected from </w:t>
      </w:r>
      <w:r w:rsidRPr="007F53A2">
        <w:rPr>
          <w:rFonts w:ascii="Garamond" w:hAnsi="Garamond"/>
          <w:sz w:val="22"/>
          <w:szCs w:val="22"/>
        </w:rPr>
        <w:t xml:space="preserve">the external </w:t>
      </w:r>
      <w:r>
        <w:rPr>
          <w:rFonts w:ascii="Garamond" w:hAnsi="Garamond"/>
          <w:sz w:val="22"/>
          <w:szCs w:val="22"/>
        </w:rPr>
        <w:t xml:space="preserve">sector, the Board decided </w:t>
      </w:r>
      <w:r w:rsidR="006D75C1">
        <w:rPr>
          <w:rFonts w:ascii="Garamond" w:hAnsi="Garamond"/>
          <w:sz w:val="22"/>
          <w:szCs w:val="22"/>
        </w:rPr>
        <w:t>to k</w:t>
      </w:r>
      <w:r>
        <w:rPr>
          <w:rFonts w:ascii="Garamond" w:hAnsi="Garamond"/>
          <w:sz w:val="22"/>
          <w:szCs w:val="22"/>
        </w:rPr>
        <w:t>eep</w:t>
      </w:r>
      <w:r w:rsidR="006D75C1">
        <w:rPr>
          <w:rFonts w:ascii="Garamond" w:hAnsi="Garamond"/>
          <w:sz w:val="22"/>
          <w:szCs w:val="22"/>
        </w:rPr>
        <w:t xml:space="preserve"> </w:t>
      </w:r>
      <w:r>
        <w:rPr>
          <w:rFonts w:ascii="Garamond" w:hAnsi="Garamond"/>
          <w:sz w:val="22"/>
          <w:szCs w:val="22"/>
        </w:rPr>
        <w:t>monetary conditions stimulative by leaving the refinancing rate unchanged</w:t>
      </w:r>
      <w:r w:rsidR="007F53A2" w:rsidRPr="007F53A2">
        <w:rPr>
          <w:rFonts w:ascii="Garamond" w:hAnsi="Garamond"/>
          <w:sz w:val="22"/>
          <w:szCs w:val="22"/>
        </w:rPr>
        <w:t>.</w:t>
      </w:r>
      <w:r w:rsidR="006D75C1">
        <w:rPr>
          <w:rFonts w:ascii="Garamond" w:hAnsi="Garamond"/>
          <w:sz w:val="22"/>
          <w:szCs w:val="22"/>
        </w:rPr>
        <w:t xml:space="preserve"> </w:t>
      </w:r>
      <w:r w:rsidR="00554DB9">
        <w:rPr>
          <w:rFonts w:ascii="Garamond" w:hAnsi="Garamond"/>
          <w:sz w:val="22"/>
          <w:szCs w:val="22"/>
        </w:rPr>
        <w:t>T</w:t>
      </w:r>
      <w:r w:rsidR="00C00DF3" w:rsidRPr="00303988">
        <w:rPr>
          <w:rFonts w:ascii="Garamond" w:hAnsi="Garamond"/>
          <w:sz w:val="22"/>
          <w:szCs w:val="22"/>
        </w:rPr>
        <w:t>he C</w:t>
      </w:r>
      <w:r w:rsidR="00C00DF3">
        <w:rPr>
          <w:rFonts w:ascii="Garamond" w:hAnsi="Garamond"/>
          <w:sz w:val="22"/>
          <w:szCs w:val="22"/>
        </w:rPr>
        <w:t xml:space="preserve">entral </w:t>
      </w:r>
      <w:r w:rsidR="00C00DF3" w:rsidRPr="00303988">
        <w:rPr>
          <w:rFonts w:ascii="Garamond" w:hAnsi="Garamond"/>
          <w:sz w:val="22"/>
          <w:szCs w:val="22"/>
        </w:rPr>
        <w:t>B</w:t>
      </w:r>
      <w:r w:rsidR="00C00DF3">
        <w:rPr>
          <w:rFonts w:ascii="Garamond" w:hAnsi="Garamond"/>
          <w:sz w:val="22"/>
          <w:szCs w:val="22"/>
        </w:rPr>
        <w:t>ank</w:t>
      </w:r>
      <w:r w:rsidR="00C00DF3" w:rsidRPr="00303988">
        <w:rPr>
          <w:rFonts w:ascii="Garamond" w:hAnsi="Garamond"/>
          <w:sz w:val="22"/>
          <w:szCs w:val="22"/>
        </w:rPr>
        <w:t xml:space="preserve"> </w:t>
      </w:r>
      <w:r w:rsidR="00554DB9">
        <w:rPr>
          <w:rFonts w:ascii="Garamond" w:hAnsi="Garamond"/>
          <w:sz w:val="22"/>
          <w:szCs w:val="22"/>
        </w:rPr>
        <w:t xml:space="preserve">continued </w:t>
      </w:r>
      <w:r w:rsidR="00C00DF3">
        <w:rPr>
          <w:rFonts w:ascii="Garamond" w:hAnsi="Garamond"/>
          <w:sz w:val="22"/>
          <w:szCs w:val="22"/>
        </w:rPr>
        <w:t>signal</w:t>
      </w:r>
      <w:r w:rsidR="00554DB9">
        <w:rPr>
          <w:rFonts w:ascii="Garamond" w:hAnsi="Garamond"/>
          <w:sz w:val="22"/>
          <w:szCs w:val="22"/>
        </w:rPr>
        <w:t xml:space="preserve">ing </w:t>
      </w:r>
      <w:r w:rsidR="00C00DF3" w:rsidRPr="00303988">
        <w:rPr>
          <w:rFonts w:ascii="Garamond" w:hAnsi="Garamond"/>
          <w:sz w:val="22"/>
          <w:szCs w:val="22"/>
        </w:rPr>
        <w:t xml:space="preserve">the financial market </w:t>
      </w:r>
      <w:r w:rsidR="00AA7DF1">
        <w:rPr>
          <w:rFonts w:ascii="Garamond" w:hAnsi="Garamond"/>
          <w:sz w:val="22"/>
          <w:szCs w:val="22"/>
        </w:rPr>
        <w:t xml:space="preserve">participants </w:t>
      </w:r>
      <w:r w:rsidR="006D75C1">
        <w:rPr>
          <w:rFonts w:ascii="Garamond" w:hAnsi="Garamond"/>
          <w:sz w:val="22"/>
          <w:szCs w:val="22"/>
        </w:rPr>
        <w:t xml:space="preserve">about keeping the monetary stance expansionary, given that </w:t>
      </w:r>
      <w:r w:rsidR="00AA7DF1">
        <w:rPr>
          <w:rFonts w:ascii="Garamond" w:hAnsi="Garamond"/>
          <w:sz w:val="22"/>
          <w:szCs w:val="22"/>
        </w:rPr>
        <w:t>macroeconomic developments</w:t>
      </w:r>
      <w:r w:rsidR="006D75C1">
        <w:rPr>
          <w:rFonts w:ascii="Garamond" w:hAnsi="Garamond"/>
          <w:sz w:val="22"/>
          <w:szCs w:val="22"/>
        </w:rPr>
        <w:t xml:space="preserve"> unfold as predicted</w:t>
      </w:r>
      <w:r w:rsidR="00AA7DF1">
        <w:rPr>
          <w:rFonts w:ascii="Garamond" w:hAnsi="Garamond"/>
          <w:sz w:val="22"/>
          <w:szCs w:val="22"/>
        </w:rPr>
        <w:t xml:space="preserve">, </w:t>
      </w:r>
      <w:r w:rsidR="006D75C1">
        <w:rPr>
          <w:rFonts w:ascii="Garamond" w:hAnsi="Garamond"/>
          <w:sz w:val="22"/>
          <w:szCs w:val="22"/>
        </w:rPr>
        <w:t>with</w:t>
      </w:r>
      <w:r w:rsidR="006D75C1" w:rsidRPr="006D75C1">
        <w:rPr>
          <w:rFonts w:ascii="Garamond" w:hAnsi="Garamond"/>
          <w:sz w:val="22"/>
          <w:szCs w:val="22"/>
        </w:rPr>
        <w:t xml:space="preserve"> inflation expected to remain below the target in the </w:t>
      </w:r>
      <w:r w:rsidR="006D75C1">
        <w:rPr>
          <w:rFonts w:ascii="Garamond" w:hAnsi="Garamond"/>
          <w:sz w:val="22"/>
          <w:szCs w:val="22"/>
        </w:rPr>
        <w:t>up</w:t>
      </w:r>
      <w:r w:rsidR="006D75C1" w:rsidRPr="006D75C1">
        <w:rPr>
          <w:rFonts w:ascii="Garamond" w:hAnsi="Garamond"/>
          <w:sz w:val="22"/>
          <w:szCs w:val="22"/>
        </w:rPr>
        <w:t>coming months</w:t>
      </w:r>
      <w:r w:rsidR="006D75C1">
        <w:rPr>
          <w:rFonts w:ascii="Garamond" w:hAnsi="Garamond"/>
          <w:sz w:val="22"/>
          <w:szCs w:val="22"/>
        </w:rPr>
        <w:t xml:space="preserve"> but</w:t>
      </w:r>
      <w:r w:rsidR="006D75C1" w:rsidRPr="006D75C1">
        <w:rPr>
          <w:rFonts w:ascii="Garamond" w:hAnsi="Garamond"/>
          <w:sz w:val="22"/>
          <w:szCs w:val="22"/>
        </w:rPr>
        <w:t xml:space="preserve"> gradually returning to the target in the medium </w:t>
      </w:r>
      <w:r w:rsidR="006D75C1">
        <w:rPr>
          <w:rFonts w:ascii="Garamond" w:hAnsi="Garamond"/>
          <w:sz w:val="22"/>
          <w:szCs w:val="22"/>
        </w:rPr>
        <w:t>run</w:t>
      </w:r>
      <w:r w:rsidR="006D75C1" w:rsidRPr="006D75C1">
        <w:rPr>
          <w:rFonts w:ascii="Garamond" w:hAnsi="Garamond"/>
          <w:sz w:val="22"/>
          <w:szCs w:val="22"/>
        </w:rPr>
        <w:t>.</w:t>
      </w:r>
    </w:p>
    <w:p w14:paraId="0953D4A4" w14:textId="77777777" w:rsidR="00194EA3" w:rsidRPr="00EE5F0F" w:rsidRDefault="00BF2169" w:rsidP="00242EA6">
      <w:pPr>
        <w:autoSpaceDE w:val="0"/>
        <w:autoSpaceDN w:val="0"/>
        <w:adjustRightInd w:val="0"/>
        <w:spacing w:after="120" w:line="360" w:lineRule="auto"/>
        <w:jc w:val="both"/>
        <w:rPr>
          <w:rFonts w:ascii="Garamond" w:hAnsi="Garamond"/>
          <w:sz w:val="22"/>
          <w:szCs w:val="22"/>
        </w:rPr>
      </w:pPr>
      <w:r>
        <w:rPr>
          <w:rFonts w:ascii="Garamond" w:hAnsi="Garamond"/>
          <w:b/>
          <w:color w:val="C00000"/>
          <w:sz w:val="22"/>
          <w:szCs w:val="22"/>
        </w:rPr>
        <w:t>Table 5</w:t>
      </w:r>
      <w:r w:rsidR="00194EA3">
        <w:rPr>
          <w:rFonts w:ascii="Garamond" w:hAnsi="Garamond"/>
          <w:b/>
          <w:color w:val="C00000"/>
          <w:sz w:val="22"/>
          <w:szCs w:val="22"/>
        </w:rPr>
        <w:t>:</w:t>
      </w:r>
    </w:p>
    <w:p w14:paraId="2B3866C7" w14:textId="77777777" w:rsidR="001C08CC" w:rsidRDefault="00BB4BFB" w:rsidP="00062BF6">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In the </w:t>
      </w:r>
      <w:r w:rsidR="006D75C1">
        <w:rPr>
          <w:rFonts w:ascii="Garamond" w:hAnsi="Garamond"/>
          <w:sz w:val="22"/>
          <w:szCs w:val="22"/>
        </w:rPr>
        <w:t>fourth</w:t>
      </w:r>
      <w:r>
        <w:rPr>
          <w:rFonts w:ascii="Garamond" w:hAnsi="Garamond"/>
          <w:sz w:val="22"/>
          <w:szCs w:val="22"/>
        </w:rPr>
        <w:t xml:space="preserve"> quarter of 2019 s</w:t>
      </w:r>
      <w:r w:rsidR="00747F05" w:rsidRPr="00747F05">
        <w:rPr>
          <w:rFonts w:ascii="Garamond" w:hAnsi="Garamond"/>
          <w:sz w:val="22"/>
          <w:szCs w:val="22"/>
        </w:rPr>
        <w:t xml:space="preserve">hort-term </w:t>
      </w:r>
      <w:r w:rsidR="00747F05">
        <w:rPr>
          <w:rFonts w:ascii="Garamond" w:hAnsi="Garamond"/>
          <w:sz w:val="22"/>
          <w:szCs w:val="22"/>
        </w:rPr>
        <w:t xml:space="preserve">money market rates </w:t>
      </w:r>
      <w:r w:rsidR="00B41A65">
        <w:rPr>
          <w:rFonts w:ascii="Garamond" w:hAnsi="Garamond"/>
          <w:sz w:val="22"/>
          <w:szCs w:val="22"/>
        </w:rPr>
        <w:t xml:space="preserve">continued shaping around the policy rate of the Central Bank. The cut of </w:t>
      </w:r>
      <w:r w:rsidR="00B41A65" w:rsidRPr="00B41A65">
        <w:rPr>
          <w:rFonts w:ascii="Garamond" w:hAnsi="Garamond"/>
          <w:sz w:val="22"/>
          <w:szCs w:val="22"/>
        </w:rPr>
        <w:t xml:space="preserve">refinancing rate </w:t>
      </w:r>
      <w:r w:rsidR="00B41A65">
        <w:rPr>
          <w:rFonts w:ascii="Garamond" w:hAnsi="Garamond"/>
          <w:sz w:val="22"/>
          <w:szCs w:val="22"/>
        </w:rPr>
        <w:t xml:space="preserve">late in the </w:t>
      </w:r>
      <w:r w:rsidR="00B41A65" w:rsidRPr="00B41A65">
        <w:rPr>
          <w:rFonts w:ascii="Garamond" w:hAnsi="Garamond"/>
          <w:sz w:val="22"/>
          <w:szCs w:val="22"/>
        </w:rPr>
        <w:t xml:space="preserve">last quarter </w:t>
      </w:r>
      <w:r w:rsidR="00B41A65">
        <w:rPr>
          <w:rFonts w:ascii="Garamond" w:hAnsi="Garamond"/>
          <w:sz w:val="22"/>
          <w:szCs w:val="22"/>
        </w:rPr>
        <w:t xml:space="preserve">pushed down interest rates in the </w:t>
      </w:r>
      <w:r w:rsidR="00B41A65" w:rsidRPr="00B41A65">
        <w:rPr>
          <w:rFonts w:ascii="Garamond" w:hAnsi="Garamond"/>
          <w:sz w:val="22"/>
          <w:szCs w:val="22"/>
        </w:rPr>
        <w:t>financial market</w:t>
      </w:r>
      <w:r w:rsidR="00B41A65">
        <w:rPr>
          <w:rFonts w:ascii="Garamond" w:hAnsi="Garamond"/>
          <w:sz w:val="22"/>
          <w:szCs w:val="22"/>
        </w:rPr>
        <w:t>:</w:t>
      </w:r>
      <w:r w:rsidR="00747F05">
        <w:rPr>
          <w:rFonts w:ascii="Garamond" w:hAnsi="Garamond"/>
          <w:sz w:val="22"/>
          <w:szCs w:val="22"/>
        </w:rPr>
        <w:t xml:space="preserve"> </w:t>
      </w:r>
      <w:r w:rsidR="00B41A65">
        <w:rPr>
          <w:rFonts w:ascii="Garamond" w:hAnsi="Garamond"/>
          <w:sz w:val="22"/>
          <w:szCs w:val="22"/>
        </w:rPr>
        <w:t>t</w:t>
      </w:r>
      <w:r w:rsidR="00747F05" w:rsidRPr="00EE5F0F">
        <w:rPr>
          <w:rFonts w:ascii="Garamond" w:hAnsi="Garamond"/>
          <w:sz w:val="22"/>
          <w:szCs w:val="22"/>
        </w:rPr>
        <w:t xml:space="preserve">he </w:t>
      </w:r>
      <w:r w:rsidR="00747F05">
        <w:rPr>
          <w:rFonts w:ascii="Garamond" w:hAnsi="Garamond"/>
          <w:sz w:val="22"/>
          <w:szCs w:val="22"/>
        </w:rPr>
        <w:t xml:space="preserve">quarterly </w:t>
      </w:r>
      <w:r w:rsidR="00747F05" w:rsidRPr="00EE5F0F">
        <w:rPr>
          <w:rFonts w:ascii="Garamond" w:hAnsi="Garamond"/>
          <w:sz w:val="22"/>
          <w:szCs w:val="22"/>
        </w:rPr>
        <w:t xml:space="preserve">interbank repo </w:t>
      </w:r>
      <w:r w:rsidR="00747F05">
        <w:rPr>
          <w:rFonts w:ascii="Garamond" w:hAnsi="Garamond"/>
          <w:sz w:val="22"/>
          <w:szCs w:val="22"/>
        </w:rPr>
        <w:t xml:space="preserve">(up to 7-day) </w:t>
      </w:r>
      <w:r w:rsidR="00747F05" w:rsidRPr="00EE5F0F">
        <w:rPr>
          <w:rFonts w:ascii="Garamond" w:hAnsi="Garamond"/>
          <w:sz w:val="22"/>
          <w:szCs w:val="22"/>
        </w:rPr>
        <w:t xml:space="preserve">rate </w:t>
      </w:r>
      <w:r w:rsidR="00DE49E1">
        <w:rPr>
          <w:rFonts w:ascii="Garamond" w:hAnsi="Garamond"/>
          <w:sz w:val="22"/>
          <w:szCs w:val="22"/>
        </w:rPr>
        <w:t xml:space="preserve">fell </w:t>
      </w:r>
      <w:r w:rsidR="00B41A65">
        <w:rPr>
          <w:rFonts w:ascii="Garamond" w:hAnsi="Garamond"/>
          <w:sz w:val="22"/>
          <w:szCs w:val="22"/>
        </w:rPr>
        <w:t xml:space="preserve">by 0.24 pp </w:t>
      </w:r>
      <w:r w:rsidR="00DE49E1">
        <w:rPr>
          <w:rFonts w:ascii="Garamond" w:hAnsi="Garamond"/>
          <w:sz w:val="22"/>
          <w:szCs w:val="22"/>
        </w:rPr>
        <w:t xml:space="preserve">to </w:t>
      </w:r>
      <w:r w:rsidR="002966E3">
        <w:rPr>
          <w:rFonts w:ascii="Garamond" w:hAnsi="Garamond"/>
          <w:sz w:val="22"/>
          <w:szCs w:val="22"/>
        </w:rPr>
        <w:t>5</w:t>
      </w:r>
      <w:r w:rsidR="00747F05" w:rsidRPr="00EE5F0F">
        <w:rPr>
          <w:rFonts w:ascii="Garamond" w:hAnsi="Garamond"/>
          <w:sz w:val="22"/>
          <w:szCs w:val="22"/>
        </w:rPr>
        <w:t>.</w:t>
      </w:r>
      <w:r w:rsidR="00B41A65">
        <w:rPr>
          <w:rFonts w:ascii="Garamond" w:hAnsi="Garamond"/>
          <w:sz w:val="22"/>
          <w:szCs w:val="22"/>
        </w:rPr>
        <w:t>54</w:t>
      </w:r>
      <w:r w:rsidR="00747F05" w:rsidRPr="00EE5F0F">
        <w:rPr>
          <w:rFonts w:ascii="Garamond" w:hAnsi="Garamond"/>
          <w:sz w:val="22"/>
          <w:szCs w:val="22"/>
        </w:rPr>
        <w:t>%</w:t>
      </w:r>
      <w:r w:rsidR="00747F05">
        <w:rPr>
          <w:rFonts w:ascii="Garamond" w:hAnsi="Garamond"/>
          <w:sz w:val="22"/>
          <w:szCs w:val="22"/>
        </w:rPr>
        <w:t>.</w:t>
      </w:r>
      <w:r w:rsidR="002966E3">
        <w:rPr>
          <w:rFonts w:ascii="Garamond" w:hAnsi="Garamond"/>
          <w:sz w:val="22"/>
          <w:szCs w:val="22"/>
        </w:rPr>
        <w:t xml:space="preserve"> </w:t>
      </w:r>
    </w:p>
    <w:p w14:paraId="786D7C90" w14:textId="77777777" w:rsidR="00A64428" w:rsidRDefault="00280AD1" w:rsidP="00062BF6">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The </w:t>
      </w:r>
      <w:r w:rsidR="008B53F4">
        <w:rPr>
          <w:rFonts w:ascii="Garamond" w:hAnsi="Garamond"/>
          <w:sz w:val="22"/>
          <w:szCs w:val="22"/>
        </w:rPr>
        <w:t xml:space="preserve">falling </w:t>
      </w:r>
      <w:r w:rsidR="007741D7">
        <w:rPr>
          <w:rFonts w:ascii="Garamond" w:hAnsi="Garamond"/>
          <w:sz w:val="22"/>
          <w:szCs w:val="22"/>
        </w:rPr>
        <w:t xml:space="preserve">in </w:t>
      </w:r>
      <w:r>
        <w:rPr>
          <w:rFonts w:ascii="Garamond" w:hAnsi="Garamond"/>
          <w:sz w:val="22"/>
          <w:szCs w:val="22"/>
        </w:rPr>
        <w:t>i</w:t>
      </w:r>
      <w:r w:rsidRPr="00280AD1">
        <w:rPr>
          <w:rFonts w:ascii="Garamond" w:hAnsi="Garamond"/>
          <w:sz w:val="22"/>
          <w:szCs w:val="22"/>
        </w:rPr>
        <w:t>nterest rate</w:t>
      </w:r>
      <w:r w:rsidR="007741D7">
        <w:rPr>
          <w:rFonts w:ascii="Garamond" w:hAnsi="Garamond"/>
          <w:sz w:val="22"/>
          <w:szCs w:val="22"/>
        </w:rPr>
        <w:t xml:space="preserve">s </w:t>
      </w:r>
      <w:r>
        <w:rPr>
          <w:rFonts w:ascii="Garamond" w:hAnsi="Garamond"/>
          <w:sz w:val="22"/>
          <w:szCs w:val="22"/>
        </w:rPr>
        <w:t xml:space="preserve">was </w:t>
      </w:r>
      <w:r w:rsidR="007741D7">
        <w:rPr>
          <w:rFonts w:ascii="Garamond" w:hAnsi="Garamond"/>
          <w:sz w:val="22"/>
          <w:szCs w:val="22"/>
        </w:rPr>
        <w:t xml:space="preserve">reflected </w:t>
      </w:r>
      <w:r w:rsidRPr="00280AD1">
        <w:rPr>
          <w:rFonts w:ascii="Garamond" w:hAnsi="Garamond"/>
          <w:sz w:val="22"/>
          <w:szCs w:val="22"/>
        </w:rPr>
        <w:t xml:space="preserve">in </w:t>
      </w:r>
      <w:r w:rsidR="00D57068">
        <w:rPr>
          <w:rFonts w:ascii="Garamond" w:hAnsi="Garamond"/>
          <w:sz w:val="22"/>
          <w:szCs w:val="22"/>
        </w:rPr>
        <w:t xml:space="preserve">yields on </w:t>
      </w:r>
      <w:r w:rsidR="007741D7">
        <w:rPr>
          <w:rFonts w:ascii="Garamond" w:hAnsi="Garamond"/>
          <w:sz w:val="22"/>
          <w:szCs w:val="22"/>
        </w:rPr>
        <w:t xml:space="preserve">government bonds, causing a decline along the entire curve, primarily in the medium and long-term segments. Yields in the short-term segment continued staying close to the policy rate of the Central Bank, however. </w:t>
      </w:r>
    </w:p>
    <w:p w14:paraId="119BF29F" w14:textId="77777777" w:rsidR="00DB4258" w:rsidRDefault="006E6711" w:rsidP="00062BF6">
      <w:pPr>
        <w:autoSpaceDE w:val="0"/>
        <w:autoSpaceDN w:val="0"/>
        <w:adjustRightInd w:val="0"/>
        <w:spacing w:after="120" w:line="360" w:lineRule="auto"/>
        <w:jc w:val="both"/>
        <w:rPr>
          <w:rFonts w:ascii="Garamond" w:hAnsi="Garamond"/>
          <w:sz w:val="22"/>
          <w:szCs w:val="22"/>
        </w:rPr>
      </w:pPr>
      <w:r>
        <w:rPr>
          <w:rFonts w:ascii="Garamond" w:hAnsi="Garamond"/>
          <w:sz w:val="22"/>
          <w:szCs w:val="22"/>
        </w:rPr>
        <w:t>T</w:t>
      </w:r>
      <w:r w:rsidR="005700D5">
        <w:rPr>
          <w:rFonts w:ascii="Garamond" w:hAnsi="Garamond"/>
          <w:sz w:val="22"/>
          <w:szCs w:val="22"/>
        </w:rPr>
        <w:t xml:space="preserve">he </w:t>
      </w:r>
      <w:r>
        <w:rPr>
          <w:rFonts w:ascii="Garamond" w:hAnsi="Garamond"/>
          <w:sz w:val="22"/>
          <w:szCs w:val="22"/>
        </w:rPr>
        <w:t>fourth</w:t>
      </w:r>
      <w:r w:rsidR="00A32543">
        <w:rPr>
          <w:rFonts w:ascii="Garamond" w:hAnsi="Garamond"/>
          <w:sz w:val="22"/>
          <w:szCs w:val="22"/>
        </w:rPr>
        <w:t xml:space="preserve"> quarter of 2019 </w:t>
      </w:r>
      <w:r>
        <w:rPr>
          <w:rFonts w:ascii="Garamond" w:hAnsi="Garamond"/>
          <w:sz w:val="22"/>
          <w:szCs w:val="22"/>
        </w:rPr>
        <w:t xml:space="preserve">saw the volumes of </w:t>
      </w:r>
      <w:r w:rsidR="00A32543">
        <w:rPr>
          <w:rFonts w:ascii="Garamond" w:hAnsi="Garamond"/>
          <w:sz w:val="22"/>
          <w:szCs w:val="22"/>
        </w:rPr>
        <w:t xml:space="preserve">lending </w:t>
      </w:r>
      <w:r>
        <w:rPr>
          <w:rFonts w:ascii="Garamond" w:hAnsi="Garamond"/>
          <w:sz w:val="22"/>
          <w:szCs w:val="22"/>
        </w:rPr>
        <w:t xml:space="preserve">grow amid almost an unchanged </w:t>
      </w:r>
      <w:r w:rsidR="008B53F4">
        <w:rPr>
          <w:rFonts w:ascii="Garamond" w:hAnsi="Garamond"/>
          <w:sz w:val="22"/>
          <w:szCs w:val="22"/>
        </w:rPr>
        <w:t xml:space="preserve">level of </w:t>
      </w:r>
      <w:r>
        <w:rPr>
          <w:rFonts w:ascii="Garamond" w:hAnsi="Garamond"/>
          <w:sz w:val="22"/>
          <w:szCs w:val="22"/>
        </w:rPr>
        <w:t>capitalization in the financial system</w:t>
      </w:r>
      <w:r w:rsidR="008B53F4">
        <w:rPr>
          <w:rFonts w:ascii="Garamond" w:hAnsi="Garamond"/>
          <w:sz w:val="22"/>
          <w:szCs w:val="22"/>
        </w:rPr>
        <w:t xml:space="preserve">. The growth was accompanied by small </w:t>
      </w:r>
      <w:proofErr w:type="gramStart"/>
      <w:r w:rsidR="008B53F4">
        <w:rPr>
          <w:rFonts w:ascii="Garamond" w:hAnsi="Garamond"/>
          <w:sz w:val="22"/>
          <w:szCs w:val="22"/>
        </w:rPr>
        <w:t>drop in</w:t>
      </w:r>
      <w:proofErr w:type="gramEnd"/>
      <w:r w:rsidR="008B53F4">
        <w:rPr>
          <w:rFonts w:ascii="Garamond" w:hAnsi="Garamond"/>
          <w:sz w:val="22"/>
          <w:szCs w:val="22"/>
        </w:rPr>
        <w:t xml:space="preserve"> interest rates.</w:t>
      </w:r>
      <w:r w:rsidR="004D54D5">
        <w:rPr>
          <w:rFonts w:ascii="Garamond" w:hAnsi="Garamond"/>
          <w:sz w:val="22"/>
          <w:szCs w:val="22"/>
        </w:rPr>
        <w:t xml:space="preserve"> </w:t>
      </w:r>
      <w:r w:rsidR="008B53F4">
        <w:rPr>
          <w:rFonts w:ascii="Garamond" w:hAnsi="Garamond"/>
          <w:sz w:val="22"/>
          <w:szCs w:val="22"/>
        </w:rPr>
        <w:t>I</w:t>
      </w:r>
      <w:r w:rsidR="008B53F4" w:rsidRPr="005700D5">
        <w:rPr>
          <w:rFonts w:ascii="Garamond" w:hAnsi="Garamond"/>
          <w:sz w:val="22"/>
          <w:szCs w:val="22"/>
        </w:rPr>
        <w:t xml:space="preserve">n </w:t>
      </w:r>
      <w:r w:rsidR="008B53F4">
        <w:rPr>
          <w:rFonts w:ascii="Garamond" w:hAnsi="Garamond"/>
          <w:sz w:val="22"/>
          <w:szCs w:val="22"/>
        </w:rPr>
        <w:t>December of</w:t>
      </w:r>
      <w:r w:rsidR="008B53F4" w:rsidRPr="005700D5">
        <w:rPr>
          <w:rFonts w:ascii="Garamond" w:hAnsi="Garamond"/>
          <w:sz w:val="22"/>
          <w:szCs w:val="22"/>
        </w:rPr>
        <w:t xml:space="preserve"> 2019 </w:t>
      </w:r>
      <w:r w:rsidR="008B53F4">
        <w:rPr>
          <w:rFonts w:ascii="Garamond" w:hAnsi="Garamond"/>
          <w:sz w:val="22"/>
          <w:szCs w:val="22"/>
        </w:rPr>
        <w:t>t</w:t>
      </w:r>
      <w:r w:rsidR="006A39E5" w:rsidRPr="005700D5">
        <w:rPr>
          <w:rFonts w:ascii="Garamond" w:hAnsi="Garamond"/>
          <w:sz w:val="22"/>
          <w:szCs w:val="22"/>
        </w:rPr>
        <w:t xml:space="preserve">he 12-month growth of lending </w:t>
      </w:r>
      <w:r w:rsidR="008B53F4">
        <w:rPr>
          <w:rFonts w:ascii="Garamond" w:hAnsi="Garamond"/>
          <w:sz w:val="22"/>
          <w:szCs w:val="22"/>
        </w:rPr>
        <w:t xml:space="preserve">amounted to </w:t>
      </w:r>
      <w:r w:rsidR="006A39E5" w:rsidRPr="005700D5">
        <w:rPr>
          <w:rFonts w:ascii="Garamond" w:hAnsi="Garamond"/>
          <w:sz w:val="22"/>
          <w:szCs w:val="22"/>
        </w:rPr>
        <w:t>1</w:t>
      </w:r>
      <w:r w:rsidR="008B53F4">
        <w:rPr>
          <w:rFonts w:ascii="Garamond" w:hAnsi="Garamond"/>
          <w:sz w:val="22"/>
          <w:szCs w:val="22"/>
        </w:rPr>
        <w:t>8</w:t>
      </w:r>
      <w:r w:rsidR="006A39E5" w:rsidRPr="005700D5">
        <w:rPr>
          <w:rFonts w:ascii="Garamond" w:hAnsi="Garamond"/>
          <w:sz w:val="22"/>
          <w:szCs w:val="22"/>
        </w:rPr>
        <w:t>.</w:t>
      </w:r>
      <w:r w:rsidR="008B53F4">
        <w:rPr>
          <w:rFonts w:ascii="Garamond" w:hAnsi="Garamond"/>
          <w:sz w:val="22"/>
          <w:szCs w:val="22"/>
        </w:rPr>
        <w:t>5</w:t>
      </w:r>
      <w:r w:rsidR="006A39E5" w:rsidRPr="005700D5">
        <w:rPr>
          <w:rFonts w:ascii="Garamond" w:hAnsi="Garamond"/>
          <w:sz w:val="22"/>
          <w:szCs w:val="22"/>
        </w:rPr>
        <w:t xml:space="preserve">%, </w:t>
      </w:r>
      <w:r w:rsidR="006A39E5">
        <w:rPr>
          <w:rFonts w:ascii="Garamond" w:hAnsi="Garamond"/>
          <w:sz w:val="22"/>
          <w:szCs w:val="22"/>
        </w:rPr>
        <w:t xml:space="preserve">with </w:t>
      </w:r>
      <w:r w:rsidR="006A39E5" w:rsidRPr="005700D5">
        <w:rPr>
          <w:rFonts w:ascii="Garamond" w:hAnsi="Garamond"/>
          <w:sz w:val="22"/>
          <w:szCs w:val="22"/>
        </w:rPr>
        <w:t xml:space="preserve">consumer and mortgage </w:t>
      </w:r>
      <w:r w:rsidR="006A39E5">
        <w:rPr>
          <w:rFonts w:ascii="Garamond" w:hAnsi="Garamond"/>
          <w:sz w:val="22"/>
          <w:szCs w:val="22"/>
        </w:rPr>
        <w:t>loans</w:t>
      </w:r>
      <w:r w:rsidR="006A39E5" w:rsidRPr="005700D5">
        <w:rPr>
          <w:rFonts w:ascii="Garamond" w:hAnsi="Garamond"/>
          <w:sz w:val="22"/>
          <w:szCs w:val="22"/>
        </w:rPr>
        <w:t xml:space="preserve"> </w:t>
      </w:r>
      <w:r w:rsidR="006A39E5">
        <w:rPr>
          <w:rFonts w:ascii="Garamond" w:hAnsi="Garamond"/>
          <w:sz w:val="22"/>
          <w:szCs w:val="22"/>
        </w:rPr>
        <w:t xml:space="preserve">still </w:t>
      </w:r>
      <w:r w:rsidR="00DB4258">
        <w:rPr>
          <w:rFonts w:ascii="Garamond" w:hAnsi="Garamond"/>
          <w:sz w:val="22"/>
          <w:szCs w:val="22"/>
        </w:rPr>
        <w:t>prevailing in total loan portfolio</w:t>
      </w:r>
      <w:r w:rsidR="008B53F4">
        <w:rPr>
          <w:rFonts w:ascii="Garamond" w:hAnsi="Garamond"/>
          <w:sz w:val="22"/>
          <w:szCs w:val="22"/>
        </w:rPr>
        <w:t xml:space="preserve"> as in the previous quarter</w:t>
      </w:r>
      <w:r w:rsidR="00DB4258">
        <w:rPr>
          <w:rFonts w:ascii="Garamond" w:hAnsi="Garamond"/>
          <w:sz w:val="22"/>
          <w:szCs w:val="22"/>
        </w:rPr>
        <w:t xml:space="preserve">. </w:t>
      </w:r>
    </w:p>
    <w:p w14:paraId="54CD245A" w14:textId="77777777" w:rsidR="00966019" w:rsidRDefault="00966019" w:rsidP="00062BF6">
      <w:pPr>
        <w:autoSpaceDE w:val="0"/>
        <w:autoSpaceDN w:val="0"/>
        <w:adjustRightInd w:val="0"/>
        <w:spacing w:after="120" w:line="360" w:lineRule="auto"/>
        <w:jc w:val="both"/>
        <w:rPr>
          <w:rFonts w:ascii="Garamond" w:hAnsi="Garamond"/>
          <w:sz w:val="22"/>
          <w:szCs w:val="22"/>
        </w:rPr>
      </w:pPr>
    </w:p>
    <w:p w14:paraId="645A081C" w14:textId="77777777" w:rsidR="00966019" w:rsidRDefault="00966019" w:rsidP="00966019">
      <w:pPr>
        <w:autoSpaceDE w:val="0"/>
        <w:autoSpaceDN w:val="0"/>
        <w:adjustRightInd w:val="0"/>
        <w:spacing w:after="120" w:line="360" w:lineRule="auto"/>
        <w:jc w:val="both"/>
        <w:rPr>
          <w:rFonts w:ascii="Garamond" w:hAnsi="Garamond"/>
          <w:b/>
          <w:color w:val="0070C0"/>
          <w:sz w:val="22"/>
          <w:szCs w:val="22"/>
        </w:rPr>
      </w:pPr>
      <w:r>
        <w:rPr>
          <w:rFonts w:ascii="Garamond" w:hAnsi="Garamond"/>
          <w:b/>
          <w:color w:val="0070C0"/>
          <w:sz w:val="22"/>
          <w:szCs w:val="22"/>
        </w:rPr>
        <w:t xml:space="preserve">4. </w:t>
      </w:r>
      <w:r w:rsidR="002335C7">
        <w:rPr>
          <w:rFonts w:ascii="Garamond" w:hAnsi="Garamond"/>
          <w:b/>
          <w:color w:val="0070C0"/>
          <w:sz w:val="22"/>
          <w:szCs w:val="22"/>
        </w:rPr>
        <w:t>SUMMING-UP</w:t>
      </w:r>
    </w:p>
    <w:p w14:paraId="162DBACE" w14:textId="77777777" w:rsidR="001E2148" w:rsidRDefault="00966019" w:rsidP="002335C7">
      <w:pPr>
        <w:autoSpaceDE w:val="0"/>
        <w:autoSpaceDN w:val="0"/>
        <w:adjustRightInd w:val="0"/>
        <w:spacing w:after="120" w:line="360" w:lineRule="auto"/>
        <w:jc w:val="both"/>
        <w:rPr>
          <w:rFonts w:ascii="Garamond" w:hAnsi="Garamond"/>
          <w:sz w:val="22"/>
          <w:szCs w:val="22"/>
        </w:rPr>
      </w:pPr>
      <w:r>
        <w:rPr>
          <w:rFonts w:ascii="Garamond" w:hAnsi="Garamond"/>
          <w:b/>
          <w:sz w:val="22"/>
          <w:szCs w:val="22"/>
        </w:rPr>
        <w:t>T</w:t>
      </w:r>
      <w:r w:rsidRPr="00497EA1">
        <w:rPr>
          <w:rFonts w:ascii="Garamond" w:hAnsi="Garamond"/>
          <w:b/>
          <w:sz w:val="22"/>
          <w:szCs w:val="22"/>
        </w:rPr>
        <w:t>he</w:t>
      </w:r>
      <w:r>
        <w:rPr>
          <w:rFonts w:ascii="Garamond" w:hAnsi="Garamond"/>
          <w:b/>
          <w:sz w:val="22"/>
          <w:szCs w:val="22"/>
        </w:rPr>
        <w:t xml:space="preserve"> </w:t>
      </w:r>
      <w:r w:rsidR="008B53F4">
        <w:rPr>
          <w:rFonts w:ascii="Garamond" w:hAnsi="Garamond"/>
          <w:b/>
          <w:sz w:val="22"/>
          <w:szCs w:val="22"/>
        </w:rPr>
        <w:t xml:space="preserve">12-month </w:t>
      </w:r>
      <w:r w:rsidRPr="00497EA1">
        <w:rPr>
          <w:rFonts w:ascii="Garamond" w:hAnsi="Garamond"/>
          <w:b/>
          <w:sz w:val="22"/>
          <w:szCs w:val="22"/>
        </w:rPr>
        <w:t xml:space="preserve">inflation </w:t>
      </w:r>
      <w:r w:rsidR="008B53F4">
        <w:rPr>
          <w:rFonts w:ascii="Garamond" w:hAnsi="Garamond"/>
          <w:b/>
          <w:sz w:val="22"/>
          <w:szCs w:val="22"/>
        </w:rPr>
        <w:t xml:space="preserve">will amount to 1.9% in late 2020, according to Q1 2020 monetary policy program. </w:t>
      </w:r>
      <w:r w:rsidR="008B53F4" w:rsidRPr="001E2148">
        <w:rPr>
          <w:rFonts w:ascii="Garamond" w:hAnsi="Garamond"/>
          <w:sz w:val="22"/>
          <w:szCs w:val="22"/>
        </w:rPr>
        <w:t xml:space="preserve">In a </w:t>
      </w:r>
      <w:r w:rsidR="001E2148">
        <w:rPr>
          <w:rFonts w:ascii="Garamond" w:hAnsi="Garamond"/>
          <w:sz w:val="22"/>
          <w:szCs w:val="22"/>
        </w:rPr>
        <w:t xml:space="preserve">persisting </w:t>
      </w:r>
      <w:r w:rsidR="008B53F4" w:rsidRPr="001E2148">
        <w:rPr>
          <w:rFonts w:ascii="Garamond" w:hAnsi="Garamond"/>
          <w:sz w:val="22"/>
          <w:szCs w:val="22"/>
        </w:rPr>
        <w:t xml:space="preserve">low inflationary </w:t>
      </w:r>
      <w:r w:rsidRPr="001E2148">
        <w:rPr>
          <w:rFonts w:ascii="Garamond" w:hAnsi="Garamond"/>
          <w:sz w:val="22"/>
          <w:szCs w:val="22"/>
        </w:rPr>
        <w:t>environment</w:t>
      </w:r>
      <w:r w:rsidR="008B53F4" w:rsidRPr="001E2148">
        <w:rPr>
          <w:rFonts w:ascii="Garamond" w:hAnsi="Garamond"/>
          <w:sz w:val="22"/>
          <w:szCs w:val="22"/>
        </w:rPr>
        <w:t>,</w:t>
      </w:r>
      <w:r w:rsidRPr="001E2148">
        <w:rPr>
          <w:rFonts w:ascii="Garamond" w:hAnsi="Garamond"/>
          <w:sz w:val="22"/>
          <w:szCs w:val="22"/>
        </w:rPr>
        <w:t xml:space="preserve"> the Central Bank </w:t>
      </w:r>
      <w:r w:rsidR="008B53F4" w:rsidRPr="001E2148">
        <w:rPr>
          <w:rFonts w:ascii="Garamond" w:hAnsi="Garamond"/>
          <w:sz w:val="22"/>
          <w:szCs w:val="22"/>
        </w:rPr>
        <w:t>will continue</w:t>
      </w:r>
      <w:r w:rsidR="001E2148" w:rsidRPr="001E2148">
        <w:rPr>
          <w:rFonts w:ascii="Garamond" w:hAnsi="Garamond"/>
          <w:sz w:val="22"/>
          <w:szCs w:val="22"/>
        </w:rPr>
        <w:t xml:space="preserve"> </w:t>
      </w:r>
      <w:r w:rsidR="001E2148">
        <w:rPr>
          <w:rFonts w:ascii="Garamond" w:hAnsi="Garamond"/>
          <w:sz w:val="22"/>
          <w:szCs w:val="22"/>
        </w:rPr>
        <w:t xml:space="preserve">to </w:t>
      </w:r>
      <w:r w:rsidR="008B53F4" w:rsidRPr="001E2148">
        <w:rPr>
          <w:rFonts w:ascii="Garamond" w:hAnsi="Garamond"/>
          <w:sz w:val="22"/>
          <w:szCs w:val="22"/>
        </w:rPr>
        <w:t>pursu</w:t>
      </w:r>
      <w:r w:rsidR="001E2148">
        <w:rPr>
          <w:rFonts w:ascii="Garamond" w:hAnsi="Garamond"/>
          <w:sz w:val="22"/>
          <w:szCs w:val="22"/>
        </w:rPr>
        <w:t xml:space="preserve">e </w:t>
      </w:r>
      <w:r w:rsidR="008B53F4" w:rsidRPr="001E2148">
        <w:rPr>
          <w:rFonts w:ascii="Garamond" w:hAnsi="Garamond"/>
          <w:sz w:val="22"/>
          <w:szCs w:val="22"/>
        </w:rPr>
        <w:t>expansionary</w:t>
      </w:r>
      <w:r w:rsidR="002335C7" w:rsidRPr="001E2148">
        <w:rPr>
          <w:rFonts w:ascii="Garamond" w:hAnsi="Garamond"/>
          <w:sz w:val="22"/>
          <w:szCs w:val="22"/>
        </w:rPr>
        <w:t xml:space="preserve"> </w:t>
      </w:r>
      <w:r w:rsidRPr="001E2148">
        <w:rPr>
          <w:rFonts w:ascii="Garamond" w:hAnsi="Garamond"/>
          <w:sz w:val="22"/>
          <w:szCs w:val="22"/>
        </w:rPr>
        <w:t>monetary policy</w:t>
      </w:r>
      <w:r w:rsidR="001E2148" w:rsidRPr="001E2148">
        <w:rPr>
          <w:rFonts w:ascii="Garamond" w:hAnsi="Garamond"/>
          <w:sz w:val="22"/>
          <w:szCs w:val="22"/>
        </w:rPr>
        <w:t xml:space="preserve"> in the near future</w:t>
      </w:r>
      <w:r w:rsidRPr="001E2148">
        <w:rPr>
          <w:rFonts w:ascii="Garamond" w:hAnsi="Garamond"/>
          <w:sz w:val="22"/>
          <w:szCs w:val="22"/>
        </w:rPr>
        <w:t xml:space="preserve">. </w:t>
      </w:r>
      <w:r w:rsidR="001E2148" w:rsidRPr="001E2148">
        <w:rPr>
          <w:rFonts w:ascii="Garamond" w:hAnsi="Garamond"/>
          <w:sz w:val="22"/>
          <w:szCs w:val="22"/>
        </w:rPr>
        <w:t>Risks were increasingly observable in all developing countries in the past month, which, all else being equal, makes the monetary stance more expansionary. The Board believes that implementing</w:t>
      </w:r>
      <w:r w:rsidR="001E2148">
        <w:rPr>
          <w:rFonts w:ascii="Garamond" w:hAnsi="Garamond"/>
          <w:sz w:val="22"/>
          <w:szCs w:val="22"/>
        </w:rPr>
        <w:t xml:space="preserve"> possibly a more </w:t>
      </w:r>
      <w:r w:rsidR="001E2148" w:rsidRPr="00514F2A">
        <w:rPr>
          <w:rFonts w:ascii="Garamond" w:hAnsi="Garamond"/>
          <w:sz w:val="22"/>
          <w:szCs w:val="22"/>
        </w:rPr>
        <w:t>transparent and predictable</w:t>
      </w:r>
      <w:r w:rsidR="001E2148">
        <w:rPr>
          <w:rFonts w:ascii="Garamond" w:hAnsi="Garamond"/>
          <w:sz w:val="22"/>
          <w:szCs w:val="22"/>
        </w:rPr>
        <w:t xml:space="preserve"> </w:t>
      </w:r>
      <w:r w:rsidR="001E2148" w:rsidRPr="00514F2A">
        <w:rPr>
          <w:rFonts w:ascii="Garamond" w:hAnsi="Garamond"/>
          <w:sz w:val="22"/>
          <w:szCs w:val="22"/>
        </w:rPr>
        <w:t>monetary policy</w:t>
      </w:r>
      <w:r w:rsidR="001E2148">
        <w:rPr>
          <w:rFonts w:ascii="Garamond" w:hAnsi="Garamond"/>
          <w:sz w:val="22"/>
          <w:szCs w:val="22"/>
        </w:rPr>
        <w:t xml:space="preserve"> is important in terms of </w:t>
      </w:r>
      <w:r w:rsidR="001E2148" w:rsidRPr="00514F2A">
        <w:rPr>
          <w:rFonts w:ascii="Garamond" w:hAnsi="Garamond"/>
          <w:sz w:val="22"/>
          <w:szCs w:val="22"/>
        </w:rPr>
        <w:t>anchoring inflationary expectations</w:t>
      </w:r>
      <w:r w:rsidR="001E2148">
        <w:rPr>
          <w:rFonts w:ascii="Garamond" w:hAnsi="Garamond"/>
          <w:sz w:val="22"/>
          <w:szCs w:val="22"/>
        </w:rPr>
        <w:t xml:space="preserve">. </w:t>
      </w:r>
    </w:p>
    <w:p w14:paraId="2C4C0B38" w14:textId="77777777" w:rsidR="00966019" w:rsidRPr="001E2148" w:rsidRDefault="001E2148" w:rsidP="002335C7">
      <w:pPr>
        <w:autoSpaceDE w:val="0"/>
        <w:autoSpaceDN w:val="0"/>
        <w:adjustRightInd w:val="0"/>
        <w:spacing w:after="120" w:line="360" w:lineRule="auto"/>
        <w:jc w:val="both"/>
        <w:rPr>
          <w:rFonts w:ascii="Garamond" w:hAnsi="Garamond"/>
          <w:sz w:val="22"/>
          <w:szCs w:val="22"/>
        </w:rPr>
      </w:pPr>
      <w:r w:rsidRPr="00457CF7">
        <w:rPr>
          <w:rFonts w:ascii="Garamond" w:hAnsi="Garamond"/>
          <w:b/>
          <w:sz w:val="22"/>
          <w:szCs w:val="22"/>
        </w:rPr>
        <w:t xml:space="preserve">In the forecast horizon, risks to inflation deviating from projection path are generally high and </w:t>
      </w:r>
      <w:r w:rsidR="00457CF7" w:rsidRPr="00457CF7">
        <w:rPr>
          <w:rFonts w:ascii="Garamond" w:hAnsi="Garamond"/>
          <w:b/>
          <w:sz w:val="22"/>
          <w:szCs w:val="22"/>
        </w:rPr>
        <w:t>tend to either direction</w:t>
      </w:r>
      <w:r w:rsidR="00457CF7">
        <w:rPr>
          <w:rFonts w:ascii="Garamond" w:hAnsi="Garamond"/>
          <w:sz w:val="22"/>
          <w:szCs w:val="22"/>
        </w:rPr>
        <w:t>. T</w:t>
      </w:r>
      <w:r w:rsidRPr="001E2148">
        <w:rPr>
          <w:rFonts w:ascii="Garamond" w:hAnsi="Garamond"/>
          <w:sz w:val="22"/>
          <w:szCs w:val="22"/>
        </w:rPr>
        <w:t xml:space="preserve">o assess the risks, the Central Bank is </w:t>
      </w:r>
      <w:r w:rsidR="00457CF7">
        <w:rPr>
          <w:rFonts w:ascii="Garamond" w:hAnsi="Garamond"/>
          <w:sz w:val="22"/>
          <w:szCs w:val="22"/>
        </w:rPr>
        <w:t xml:space="preserve">considering and </w:t>
      </w:r>
      <w:r w:rsidRPr="001E2148">
        <w:rPr>
          <w:rFonts w:ascii="Garamond" w:hAnsi="Garamond"/>
          <w:sz w:val="22"/>
          <w:szCs w:val="22"/>
        </w:rPr>
        <w:t xml:space="preserve">developing </w:t>
      </w:r>
      <w:r w:rsidR="00457CF7">
        <w:rPr>
          <w:rFonts w:ascii="Garamond" w:hAnsi="Garamond"/>
          <w:sz w:val="22"/>
          <w:szCs w:val="22"/>
        </w:rPr>
        <w:t xml:space="preserve">various situational </w:t>
      </w:r>
      <w:r w:rsidRPr="001E2148">
        <w:rPr>
          <w:rFonts w:ascii="Garamond" w:hAnsi="Garamond"/>
          <w:sz w:val="22"/>
          <w:szCs w:val="22"/>
        </w:rPr>
        <w:t xml:space="preserve">scenarios and is ready to respond to any risks, </w:t>
      </w:r>
      <w:r w:rsidR="00457CF7">
        <w:rPr>
          <w:rFonts w:ascii="Garamond" w:hAnsi="Garamond"/>
          <w:sz w:val="22"/>
          <w:szCs w:val="22"/>
        </w:rPr>
        <w:t xml:space="preserve">while maintaining </w:t>
      </w:r>
      <w:r w:rsidRPr="001E2148">
        <w:rPr>
          <w:rFonts w:ascii="Garamond" w:hAnsi="Garamond"/>
          <w:sz w:val="22"/>
          <w:szCs w:val="22"/>
        </w:rPr>
        <w:t>price stability in the Republic of Armenia.</w:t>
      </w:r>
    </w:p>
    <w:p w14:paraId="1231BE67" w14:textId="77777777" w:rsidR="003E58CC" w:rsidRDefault="003E58CC" w:rsidP="00062BF6">
      <w:pPr>
        <w:autoSpaceDE w:val="0"/>
        <w:autoSpaceDN w:val="0"/>
        <w:adjustRightInd w:val="0"/>
        <w:spacing w:after="120" w:line="360" w:lineRule="auto"/>
        <w:jc w:val="both"/>
        <w:rPr>
          <w:rFonts w:ascii="Garamond" w:hAnsi="Garamond"/>
          <w:sz w:val="22"/>
          <w:szCs w:val="22"/>
        </w:rPr>
      </w:pPr>
    </w:p>
    <w:p w14:paraId="36FEB5B0" w14:textId="77777777" w:rsidR="003E58CC" w:rsidRDefault="003E58CC" w:rsidP="00062BF6">
      <w:pPr>
        <w:autoSpaceDE w:val="0"/>
        <w:autoSpaceDN w:val="0"/>
        <w:adjustRightInd w:val="0"/>
        <w:spacing w:after="120" w:line="360" w:lineRule="auto"/>
        <w:jc w:val="both"/>
        <w:rPr>
          <w:rFonts w:ascii="Garamond" w:hAnsi="Garamond"/>
          <w:sz w:val="22"/>
          <w:szCs w:val="22"/>
        </w:rPr>
      </w:pPr>
    </w:p>
    <w:p w14:paraId="16F2446A" w14:textId="77777777" w:rsidR="00563050" w:rsidRPr="00163C85" w:rsidRDefault="00563050" w:rsidP="00563050">
      <w:pPr>
        <w:spacing w:line="360" w:lineRule="auto"/>
        <w:jc w:val="center"/>
        <w:rPr>
          <w:rFonts w:ascii="Garamond" w:hAnsi="Garamond"/>
          <w:b/>
          <w:bCs/>
          <w:color w:val="0070C0"/>
          <w:sz w:val="22"/>
          <w:szCs w:val="22"/>
        </w:rPr>
      </w:pPr>
      <w:r w:rsidRPr="00163C85">
        <w:rPr>
          <w:rFonts w:ascii="Garamond" w:hAnsi="Garamond"/>
          <w:b/>
          <w:bCs/>
          <w:color w:val="0070C0"/>
          <w:sz w:val="22"/>
          <w:szCs w:val="22"/>
        </w:rPr>
        <w:t xml:space="preserve">BOARD </w:t>
      </w:r>
      <w:r>
        <w:rPr>
          <w:rFonts w:ascii="Garamond" w:hAnsi="Garamond"/>
          <w:b/>
          <w:bCs/>
          <w:color w:val="0070C0"/>
          <w:sz w:val="22"/>
          <w:szCs w:val="22"/>
        </w:rPr>
        <w:t xml:space="preserve">MEETING </w:t>
      </w:r>
      <w:r w:rsidRPr="00163C85">
        <w:rPr>
          <w:rFonts w:ascii="Garamond" w:hAnsi="Garamond"/>
          <w:b/>
          <w:bCs/>
          <w:color w:val="0070C0"/>
          <w:sz w:val="22"/>
          <w:szCs w:val="22"/>
        </w:rPr>
        <w:t>OF THE CBA</w:t>
      </w:r>
    </w:p>
    <w:p w14:paraId="30D7AA69" w14:textId="77777777" w:rsidR="00563050" w:rsidRPr="00163C85" w:rsidRDefault="00563050" w:rsidP="00563050">
      <w:pPr>
        <w:spacing w:line="360" w:lineRule="auto"/>
        <w:jc w:val="center"/>
        <w:rPr>
          <w:rFonts w:ascii="Garamond" w:hAnsi="Garamond"/>
          <w:b/>
          <w:bCs/>
          <w:color w:val="0070C0"/>
          <w:sz w:val="22"/>
          <w:szCs w:val="22"/>
        </w:rPr>
      </w:pPr>
    </w:p>
    <w:p w14:paraId="0BC1E11A" w14:textId="77777777" w:rsidR="00563050" w:rsidRPr="00163C85" w:rsidRDefault="00563050" w:rsidP="00563050">
      <w:pPr>
        <w:spacing w:line="360" w:lineRule="auto"/>
        <w:jc w:val="center"/>
        <w:rPr>
          <w:rFonts w:ascii="Garamond" w:hAnsi="Garamond"/>
          <w:b/>
          <w:bCs/>
          <w:color w:val="0070C0"/>
          <w:sz w:val="22"/>
          <w:szCs w:val="22"/>
        </w:rPr>
      </w:pPr>
      <w:r w:rsidRPr="00163C85">
        <w:rPr>
          <w:rFonts w:ascii="Garamond" w:hAnsi="Garamond"/>
          <w:b/>
          <w:bCs/>
          <w:color w:val="0070C0"/>
          <w:sz w:val="22"/>
          <w:szCs w:val="22"/>
        </w:rPr>
        <w:t>MINUTES</w:t>
      </w:r>
    </w:p>
    <w:p w14:paraId="19D5920A" w14:textId="77777777" w:rsidR="00563050" w:rsidRPr="00163C85" w:rsidRDefault="00563050" w:rsidP="00563050">
      <w:pPr>
        <w:spacing w:line="360" w:lineRule="auto"/>
        <w:jc w:val="center"/>
        <w:rPr>
          <w:rFonts w:ascii="Garamond" w:hAnsi="Garamond"/>
          <w:b/>
          <w:bCs/>
          <w:sz w:val="22"/>
          <w:szCs w:val="22"/>
        </w:rPr>
      </w:pPr>
      <w:r w:rsidRPr="00163C85">
        <w:rPr>
          <w:rFonts w:ascii="Garamond" w:hAnsi="Garamond"/>
          <w:b/>
          <w:bCs/>
          <w:color w:val="0070C0"/>
          <w:sz w:val="22"/>
          <w:szCs w:val="22"/>
        </w:rPr>
        <w:t>(</w:t>
      </w:r>
      <w:r>
        <w:rPr>
          <w:rFonts w:ascii="Garamond" w:hAnsi="Garamond"/>
          <w:b/>
          <w:bCs/>
          <w:color w:val="0070C0"/>
          <w:sz w:val="22"/>
          <w:szCs w:val="22"/>
        </w:rPr>
        <w:t>1</w:t>
      </w:r>
      <w:r w:rsidR="003D2C82">
        <w:rPr>
          <w:rFonts w:ascii="Garamond" w:hAnsi="Garamond"/>
          <w:b/>
          <w:bCs/>
          <w:color w:val="0070C0"/>
          <w:sz w:val="22"/>
          <w:szCs w:val="22"/>
        </w:rPr>
        <w:t>7</w:t>
      </w:r>
      <w:r w:rsidRPr="00163C85">
        <w:rPr>
          <w:rFonts w:ascii="Garamond" w:hAnsi="Garamond"/>
          <w:b/>
          <w:bCs/>
          <w:color w:val="0070C0"/>
          <w:sz w:val="22"/>
          <w:szCs w:val="22"/>
        </w:rPr>
        <w:t>.</w:t>
      </w:r>
      <w:r w:rsidR="003D2C82">
        <w:rPr>
          <w:rFonts w:ascii="Garamond" w:hAnsi="Garamond"/>
          <w:b/>
          <w:bCs/>
          <w:color w:val="0070C0"/>
          <w:sz w:val="22"/>
          <w:szCs w:val="22"/>
        </w:rPr>
        <w:t>03</w:t>
      </w:r>
      <w:r w:rsidRPr="00163C85">
        <w:rPr>
          <w:rFonts w:ascii="Garamond" w:hAnsi="Garamond"/>
          <w:b/>
          <w:bCs/>
          <w:color w:val="0070C0"/>
          <w:sz w:val="22"/>
          <w:szCs w:val="22"/>
        </w:rPr>
        <w:t>.20</w:t>
      </w:r>
      <w:r w:rsidR="003D2C82">
        <w:rPr>
          <w:rFonts w:ascii="Garamond" w:hAnsi="Garamond"/>
          <w:b/>
          <w:bCs/>
          <w:color w:val="0070C0"/>
          <w:sz w:val="22"/>
          <w:szCs w:val="22"/>
        </w:rPr>
        <w:t>20</w:t>
      </w:r>
      <w:r w:rsidRPr="00163C85">
        <w:rPr>
          <w:rFonts w:ascii="Garamond" w:hAnsi="Garamond"/>
          <w:b/>
          <w:bCs/>
          <w:color w:val="0070C0"/>
          <w:sz w:val="22"/>
          <w:szCs w:val="22"/>
        </w:rPr>
        <w:t>)</w:t>
      </w:r>
    </w:p>
    <w:p w14:paraId="7196D064" w14:textId="77777777" w:rsidR="00563050" w:rsidRPr="00163C85" w:rsidRDefault="00563050" w:rsidP="00563050">
      <w:pPr>
        <w:spacing w:line="360" w:lineRule="auto"/>
        <w:jc w:val="center"/>
        <w:rPr>
          <w:rFonts w:ascii="Garamond" w:hAnsi="Garamond"/>
          <w:b/>
          <w:bCs/>
          <w:sz w:val="22"/>
          <w:szCs w:val="22"/>
        </w:rPr>
      </w:pPr>
    </w:p>
    <w:p w14:paraId="703EE5D2" w14:textId="77777777" w:rsidR="00563050" w:rsidRPr="00163C85" w:rsidRDefault="00563050" w:rsidP="00563050">
      <w:pPr>
        <w:spacing w:line="360" w:lineRule="auto"/>
        <w:jc w:val="center"/>
        <w:rPr>
          <w:rFonts w:ascii="Garamond" w:hAnsi="Garamond"/>
          <w:color w:val="0070C0"/>
          <w:sz w:val="22"/>
          <w:szCs w:val="22"/>
        </w:rPr>
      </w:pPr>
      <w:r w:rsidRPr="00163C85">
        <w:rPr>
          <w:rFonts w:ascii="Garamond" w:hAnsi="Garamond"/>
          <w:b/>
          <w:bCs/>
          <w:color w:val="0070C0"/>
          <w:sz w:val="22"/>
          <w:szCs w:val="22"/>
        </w:rPr>
        <w:t>On the Refinancing Rate</w:t>
      </w:r>
    </w:p>
    <w:p w14:paraId="34FF1C98" w14:textId="77777777" w:rsidR="00563050" w:rsidRPr="00163C85" w:rsidRDefault="00563050" w:rsidP="00563050">
      <w:pPr>
        <w:spacing w:line="360" w:lineRule="auto"/>
        <w:jc w:val="center"/>
        <w:rPr>
          <w:rFonts w:ascii="Garamond" w:hAnsi="Garamond"/>
          <w:sz w:val="22"/>
          <w:szCs w:val="22"/>
        </w:rPr>
      </w:pPr>
    </w:p>
    <w:p w14:paraId="00F5B803" w14:textId="77777777" w:rsidR="00B93284" w:rsidRPr="004D4162" w:rsidRDefault="00B93284" w:rsidP="00B93284">
      <w:pPr>
        <w:pStyle w:val="BodyText"/>
        <w:spacing w:line="360" w:lineRule="auto"/>
        <w:jc w:val="center"/>
        <w:rPr>
          <w:rFonts w:ascii="Garamond" w:hAnsi="Garamond"/>
          <w:b/>
        </w:rPr>
      </w:pPr>
      <w:r w:rsidRPr="004D4162">
        <w:rPr>
          <w:rFonts w:ascii="Garamond" w:hAnsi="Garamond"/>
          <w:b/>
        </w:rPr>
        <w:t xml:space="preserve">The CBA Board Meeting of </w:t>
      </w:r>
      <w:r w:rsidR="003D2C82">
        <w:rPr>
          <w:rFonts w:ascii="Garamond" w:hAnsi="Garamond"/>
          <w:b/>
        </w:rPr>
        <w:t>March</w:t>
      </w:r>
      <w:r w:rsidRPr="004D4162">
        <w:rPr>
          <w:rFonts w:ascii="Garamond" w:hAnsi="Garamond"/>
          <w:b/>
          <w:bCs/>
        </w:rPr>
        <w:t xml:space="preserve"> </w:t>
      </w:r>
      <w:r>
        <w:rPr>
          <w:rFonts w:ascii="Garamond" w:hAnsi="Garamond"/>
          <w:b/>
          <w:bCs/>
        </w:rPr>
        <w:t>1</w:t>
      </w:r>
      <w:r w:rsidR="003D2C82">
        <w:rPr>
          <w:rFonts w:ascii="Garamond" w:hAnsi="Garamond"/>
          <w:b/>
          <w:bCs/>
        </w:rPr>
        <w:t>7</w:t>
      </w:r>
      <w:r w:rsidRPr="004D4162">
        <w:rPr>
          <w:rFonts w:ascii="Garamond" w:hAnsi="Garamond"/>
          <w:b/>
          <w:bCs/>
        </w:rPr>
        <w:t>, 20</w:t>
      </w:r>
      <w:r w:rsidR="003D2C82">
        <w:rPr>
          <w:rFonts w:ascii="Garamond" w:hAnsi="Garamond"/>
          <w:b/>
          <w:bCs/>
        </w:rPr>
        <w:t>20</w:t>
      </w:r>
      <w:r w:rsidRPr="004D4162">
        <w:rPr>
          <w:rFonts w:ascii="Garamond" w:hAnsi="Garamond"/>
          <w:b/>
        </w:rPr>
        <w:t xml:space="preserve"> attended by </w:t>
      </w:r>
      <w:r w:rsidR="003D2C82">
        <w:rPr>
          <w:rFonts w:ascii="Garamond" w:hAnsi="Garamond"/>
          <w:b/>
        </w:rPr>
        <w:t xml:space="preserve">Governor Arthur Javadyan, </w:t>
      </w:r>
      <w:r w:rsidRPr="004D4162">
        <w:rPr>
          <w:rFonts w:ascii="Garamond" w:hAnsi="Garamond"/>
          <w:b/>
        </w:rPr>
        <w:t xml:space="preserve">Deputy Governors </w:t>
      </w:r>
      <w:proofErr w:type="spellStart"/>
      <w:r w:rsidRPr="004D4162">
        <w:rPr>
          <w:rFonts w:ascii="Garamond" w:hAnsi="Garamond"/>
          <w:b/>
        </w:rPr>
        <w:t>Nerses</w:t>
      </w:r>
      <w:proofErr w:type="spellEnd"/>
      <w:r w:rsidRPr="004D4162">
        <w:rPr>
          <w:rFonts w:ascii="Garamond" w:hAnsi="Garamond"/>
          <w:b/>
        </w:rPr>
        <w:t xml:space="preserve"> </w:t>
      </w:r>
      <w:proofErr w:type="spellStart"/>
      <w:r w:rsidRPr="004D4162">
        <w:rPr>
          <w:rFonts w:ascii="Garamond" w:hAnsi="Garamond"/>
          <w:b/>
        </w:rPr>
        <w:t>Yeritsyan</w:t>
      </w:r>
      <w:proofErr w:type="spellEnd"/>
      <w:r w:rsidRPr="004D4162">
        <w:rPr>
          <w:rFonts w:ascii="Garamond" w:hAnsi="Garamond"/>
          <w:b/>
        </w:rPr>
        <w:t xml:space="preserve"> and Vakhtang </w:t>
      </w:r>
      <w:proofErr w:type="spellStart"/>
      <w:r w:rsidRPr="004D4162">
        <w:rPr>
          <w:rFonts w:ascii="Garamond" w:hAnsi="Garamond"/>
          <w:b/>
        </w:rPr>
        <w:t>Abrahamyan</w:t>
      </w:r>
      <w:proofErr w:type="spellEnd"/>
      <w:r w:rsidRPr="004D4162">
        <w:rPr>
          <w:rFonts w:ascii="Garamond" w:hAnsi="Garamond"/>
          <w:b/>
        </w:rPr>
        <w:t>, and Board Members</w:t>
      </w:r>
      <w:r>
        <w:rPr>
          <w:rFonts w:ascii="Garamond" w:hAnsi="Garamond"/>
          <w:b/>
        </w:rPr>
        <w:t xml:space="preserve"> Hasmik Ghahramanyan, </w:t>
      </w:r>
      <w:r w:rsidRPr="004D4162">
        <w:rPr>
          <w:rFonts w:ascii="Garamond" w:hAnsi="Garamond"/>
          <w:b/>
        </w:rPr>
        <w:t xml:space="preserve">Arthur Stepanyan, </w:t>
      </w:r>
      <w:r w:rsidR="003D2C82">
        <w:rPr>
          <w:rFonts w:ascii="Garamond" w:hAnsi="Garamond"/>
          <w:b/>
        </w:rPr>
        <w:t xml:space="preserve">and </w:t>
      </w:r>
      <w:r>
        <w:rPr>
          <w:rFonts w:ascii="Garamond" w:hAnsi="Garamond"/>
          <w:b/>
        </w:rPr>
        <w:t>Martin Galstyan</w:t>
      </w:r>
    </w:p>
    <w:p w14:paraId="6D072C0D" w14:textId="77777777" w:rsidR="00B93284" w:rsidRPr="004D4162" w:rsidRDefault="00B93284" w:rsidP="00B93284">
      <w:pPr>
        <w:spacing w:line="360" w:lineRule="auto"/>
        <w:jc w:val="both"/>
        <w:rPr>
          <w:rFonts w:ascii="Garamond" w:hAnsi="Garamond"/>
          <w:sz w:val="22"/>
          <w:szCs w:val="22"/>
        </w:rPr>
      </w:pPr>
    </w:p>
    <w:p w14:paraId="21E0EE18" w14:textId="77777777" w:rsidR="00B93284" w:rsidRPr="004D4162" w:rsidRDefault="00B93284" w:rsidP="00B93284">
      <w:pPr>
        <w:spacing w:line="360" w:lineRule="auto"/>
        <w:jc w:val="both"/>
        <w:rPr>
          <w:rFonts w:ascii="Garamond" w:hAnsi="Garamond"/>
          <w:sz w:val="22"/>
          <w:szCs w:val="22"/>
        </w:rPr>
      </w:pPr>
      <w:r w:rsidRPr="004D4162">
        <w:rPr>
          <w:rFonts w:ascii="Garamond" w:hAnsi="Garamond"/>
          <w:sz w:val="22"/>
          <w:szCs w:val="22"/>
        </w:rPr>
        <w:t xml:space="preserve">The Board meeting opened with </w:t>
      </w:r>
      <w:r w:rsidR="003D2C82">
        <w:rPr>
          <w:rFonts w:ascii="Garamond" w:hAnsi="Garamond"/>
          <w:sz w:val="22"/>
          <w:szCs w:val="22"/>
        </w:rPr>
        <w:t>reporting the</w:t>
      </w:r>
      <w:r w:rsidRPr="004D4162">
        <w:rPr>
          <w:rFonts w:ascii="Garamond" w:hAnsi="Garamond"/>
          <w:sz w:val="22"/>
          <w:szCs w:val="22"/>
        </w:rPr>
        <w:t xml:space="preserve"> </w:t>
      </w:r>
      <w:r w:rsidR="003D2C82">
        <w:rPr>
          <w:rFonts w:ascii="Garamond" w:hAnsi="Garamond"/>
          <w:sz w:val="22"/>
          <w:szCs w:val="22"/>
        </w:rPr>
        <w:t>s</w:t>
      </w:r>
      <w:r w:rsidRPr="004D4162">
        <w:rPr>
          <w:rFonts w:ascii="Garamond" w:hAnsi="Garamond"/>
          <w:sz w:val="22"/>
          <w:szCs w:val="22"/>
        </w:rPr>
        <w:t xml:space="preserve">ituation </w:t>
      </w:r>
      <w:r w:rsidR="003D2C82">
        <w:rPr>
          <w:rFonts w:ascii="Garamond" w:hAnsi="Garamond"/>
          <w:sz w:val="22"/>
          <w:szCs w:val="22"/>
        </w:rPr>
        <w:t>a</w:t>
      </w:r>
      <w:r w:rsidRPr="004D4162">
        <w:rPr>
          <w:rFonts w:ascii="Garamond" w:hAnsi="Garamond"/>
          <w:sz w:val="22"/>
          <w:szCs w:val="22"/>
        </w:rPr>
        <w:t>s of</w:t>
      </w:r>
      <w:r>
        <w:rPr>
          <w:rFonts w:ascii="Garamond" w:hAnsi="Garamond"/>
          <w:sz w:val="22"/>
          <w:szCs w:val="22"/>
        </w:rPr>
        <w:t xml:space="preserve"> </w:t>
      </w:r>
      <w:r w:rsidR="003D2C82">
        <w:rPr>
          <w:rFonts w:ascii="Garamond" w:hAnsi="Garamond"/>
          <w:sz w:val="22"/>
          <w:szCs w:val="22"/>
        </w:rPr>
        <w:t>March</w:t>
      </w:r>
      <w:r>
        <w:rPr>
          <w:rFonts w:ascii="Garamond" w:hAnsi="Garamond"/>
          <w:sz w:val="22"/>
          <w:szCs w:val="22"/>
        </w:rPr>
        <w:t xml:space="preserve"> 1</w:t>
      </w:r>
      <w:r w:rsidR="003D2C82">
        <w:rPr>
          <w:rFonts w:ascii="Garamond" w:hAnsi="Garamond"/>
          <w:sz w:val="22"/>
          <w:szCs w:val="22"/>
        </w:rPr>
        <w:t>7</w:t>
      </w:r>
      <w:r>
        <w:rPr>
          <w:rFonts w:ascii="Garamond" w:hAnsi="Garamond"/>
          <w:sz w:val="22"/>
          <w:szCs w:val="22"/>
        </w:rPr>
        <w:t xml:space="preserve">, </w:t>
      </w:r>
      <w:r w:rsidRPr="004D4162">
        <w:rPr>
          <w:rFonts w:ascii="Garamond" w:hAnsi="Garamond"/>
          <w:bCs/>
          <w:sz w:val="22"/>
          <w:szCs w:val="22"/>
        </w:rPr>
        <w:t>20</w:t>
      </w:r>
      <w:r w:rsidR="003D2C82">
        <w:rPr>
          <w:rFonts w:ascii="Garamond" w:hAnsi="Garamond"/>
          <w:bCs/>
          <w:sz w:val="22"/>
          <w:szCs w:val="22"/>
        </w:rPr>
        <w:t>20</w:t>
      </w:r>
      <w:r w:rsidRPr="004D4162">
        <w:rPr>
          <w:rFonts w:ascii="Garamond" w:hAnsi="Garamond"/>
          <w:sz w:val="22"/>
          <w:szCs w:val="22"/>
        </w:rPr>
        <w:t xml:space="preserve">. It addressed </w:t>
      </w:r>
      <w:r w:rsidR="003D2C82">
        <w:rPr>
          <w:rFonts w:ascii="Garamond" w:hAnsi="Garamond"/>
          <w:sz w:val="22"/>
          <w:szCs w:val="22"/>
        </w:rPr>
        <w:t>the</w:t>
      </w:r>
      <w:r w:rsidRPr="004D4162">
        <w:rPr>
          <w:rFonts w:ascii="Garamond" w:hAnsi="Garamond"/>
          <w:sz w:val="22"/>
          <w:szCs w:val="22"/>
        </w:rPr>
        <w:t xml:space="preserve"> developments on inflation, external environment and real, fiscal and monetary sectors of the economy</w:t>
      </w:r>
      <w:r w:rsidR="003D2C82">
        <w:rPr>
          <w:rFonts w:ascii="Garamond" w:hAnsi="Garamond"/>
          <w:sz w:val="22"/>
          <w:szCs w:val="22"/>
        </w:rPr>
        <w:t xml:space="preserve"> in the context of assessing t</w:t>
      </w:r>
      <w:r w:rsidR="003D2C82" w:rsidRPr="003D2C82">
        <w:rPr>
          <w:rFonts w:ascii="Garamond" w:hAnsi="Garamond"/>
          <w:sz w:val="22"/>
          <w:szCs w:val="22"/>
        </w:rPr>
        <w:t xml:space="preserve">he </w:t>
      </w:r>
      <w:r w:rsidR="003D2C82">
        <w:rPr>
          <w:rFonts w:ascii="Garamond" w:hAnsi="Garamond"/>
          <w:sz w:val="22"/>
          <w:szCs w:val="22"/>
        </w:rPr>
        <w:t xml:space="preserve">impact and consequence </w:t>
      </w:r>
      <w:r w:rsidR="003D2C82" w:rsidRPr="003D2C82">
        <w:rPr>
          <w:rFonts w:ascii="Garamond" w:hAnsi="Garamond"/>
          <w:sz w:val="22"/>
          <w:szCs w:val="22"/>
        </w:rPr>
        <w:t xml:space="preserve">of the </w:t>
      </w:r>
      <w:r w:rsidR="001E1B3B" w:rsidRPr="003D2C82">
        <w:rPr>
          <w:rFonts w:ascii="Garamond" w:hAnsi="Garamond"/>
          <w:sz w:val="22"/>
          <w:szCs w:val="22"/>
        </w:rPr>
        <w:t xml:space="preserve">coronavirus </w:t>
      </w:r>
      <w:r w:rsidR="003D2C82" w:rsidRPr="003D2C82">
        <w:rPr>
          <w:rFonts w:ascii="Garamond" w:hAnsi="Garamond"/>
          <w:sz w:val="22"/>
          <w:szCs w:val="22"/>
        </w:rPr>
        <w:t>rapidly spreading worldwide</w:t>
      </w:r>
      <w:r w:rsidRPr="004D4162">
        <w:rPr>
          <w:rFonts w:ascii="Garamond" w:hAnsi="Garamond"/>
          <w:sz w:val="22"/>
          <w:szCs w:val="22"/>
        </w:rPr>
        <w:t xml:space="preserve">. </w:t>
      </w:r>
    </w:p>
    <w:p w14:paraId="48A21919" w14:textId="77777777" w:rsidR="00B93284" w:rsidRPr="004D4162" w:rsidRDefault="00B93284" w:rsidP="00B93284">
      <w:pPr>
        <w:spacing w:line="360" w:lineRule="auto"/>
        <w:jc w:val="both"/>
        <w:rPr>
          <w:rFonts w:ascii="Garamond" w:hAnsi="Garamond"/>
          <w:sz w:val="22"/>
          <w:szCs w:val="22"/>
        </w:rPr>
      </w:pPr>
    </w:p>
    <w:p w14:paraId="43EDF315" w14:textId="77777777" w:rsidR="00B93284" w:rsidRPr="004D4162" w:rsidRDefault="003D2C82" w:rsidP="00B93284">
      <w:pPr>
        <w:spacing w:line="360" w:lineRule="auto"/>
        <w:jc w:val="both"/>
        <w:rPr>
          <w:rFonts w:ascii="Garamond" w:hAnsi="Garamond"/>
          <w:sz w:val="22"/>
          <w:szCs w:val="22"/>
        </w:rPr>
      </w:pPr>
      <w:r>
        <w:rPr>
          <w:rFonts w:ascii="Garamond" w:hAnsi="Garamond"/>
          <w:sz w:val="22"/>
          <w:szCs w:val="22"/>
        </w:rPr>
        <w:t xml:space="preserve">There was </w:t>
      </w:r>
      <w:r w:rsidRPr="003D2C82">
        <w:rPr>
          <w:rFonts w:ascii="Garamond" w:hAnsi="Garamond"/>
          <w:sz w:val="22"/>
          <w:szCs w:val="22"/>
        </w:rPr>
        <w:t xml:space="preserve">0.2% </w:t>
      </w:r>
      <w:r>
        <w:rPr>
          <w:rFonts w:ascii="Garamond" w:hAnsi="Garamond"/>
          <w:sz w:val="22"/>
          <w:szCs w:val="22"/>
        </w:rPr>
        <w:t xml:space="preserve">deflation </w:t>
      </w:r>
      <w:r w:rsidRPr="003D2C82">
        <w:rPr>
          <w:rFonts w:ascii="Garamond" w:hAnsi="Garamond"/>
          <w:sz w:val="22"/>
          <w:szCs w:val="22"/>
        </w:rPr>
        <w:t xml:space="preserve">registered in February 2020, </w:t>
      </w:r>
      <w:r w:rsidRPr="003D2C82">
        <w:rPr>
          <w:rFonts w:ascii="Garamond" w:hAnsi="Garamond"/>
          <w:b/>
          <w:sz w:val="22"/>
          <w:szCs w:val="22"/>
        </w:rPr>
        <w:t>with the 12-month inflation decreased to 0.5% at the end of the month.</w:t>
      </w:r>
      <w:r w:rsidRPr="003D2C82">
        <w:rPr>
          <w:rFonts w:ascii="Garamond" w:hAnsi="Garamond"/>
          <w:sz w:val="22"/>
          <w:szCs w:val="22"/>
        </w:rPr>
        <w:t xml:space="preserve"> The mont</w:t>
      </w:r>
      <w:r w:rsidR="00650BCA">
        <w:rPr>
          <w:rFonts w:ascii="Garamond" w:hAnsi="Garamond"/>
          <w:sz w:val="22"/>
          <w:szCs w:val="22"/>
        </w:rPr>
        <w:t>h’s</w:t>
      </w:r>
      <w:r w:rsidRPr="003D2C82">
        <w:rPr>
          <w:rFonts w:ascii="Garamond" w:hAnsi="Garamond"/>
          <w:sz w:val="22"/>
          <w:szCs w:val="22"/>
        </w:rPr>
        <w:t xml:space="preserve"> inflation was mainly </w:t>
      </w:r>
      <w:r w:rsidR="00650BCA">
        <w:rPr>
          <w:rFonts w:ascii="Garamond" w:hAnsi="Garamond"/>
          <w:sz w:val="22"/>
          <w:szCs w:val="22"/>
        </w:rPr>
        <w:t xml:space="preserve">driven by a change in </w:t>
      </w:r>
      <w:r w:rsidRPr="003D2C82">
        <w:rPr>
          <w:rFonts w:ascii="Garamond" w:hAnsi="Garamond"/>
          <w:sz w:val="22"/>
          <w:szCs w:val="22"/>
        </w:rPr>
        <w:t xml:space="preserve">prices of </w:t>
      </w:r>
      <w:r w:rsidR="00650BCA">
        <w:rPr>
          <w:rFonts w:ascii="Garamond" w:hAnsi="Garamond"/>
          <w:sz w:val="22"/>
          <w:szCs w:val="22"/>
        </w:rPr>
        <w:t>item “Food and non-alcoholic b</w:t>
      </w:r>
      <w:r w:rsidRPr="003D2C82">
        <w:rPr>
          <w:rFonts w:ascii="Garamond" w:hAnsi="Garamond"/>
          <w:sz w:val="22"/>
          <w:szCs w:val="22"/>
        </w:rPr>
        <w:t>everage</w:t>
      </w:r>
      <w:r w:rsidR="00650BCA">
        <w:rPr>
          <w:rFonts w:ascii="Garamond" w:hAnsi="Garamond"/>
          <w:sz w:val="22"/>
          <w:szCs w:val="22"/>
        </w:rPr>
        <w:t>”, with</w:t>
      </w:r>
      <w:r w:rsidRPr="003D2C82">
        <w:rPr>
          <w:rFonts w:ascii="Garamond" w:hAnsi="Garamond"/>
          <w:sz w:val="22"/>
          <w:szCs w:val="22"/>
        </w:rPr>
        <w:t xml:space="preserve"> egg and meat </w:t>
      </w:r>
      <w:r w:rsidR="00650BCA">
        <w:rPr>
          <w:rFonts w:ascii="Garamond" w:hAnsi="Garamond"/>
          <w:sz w:val="22"/>
          <w:szCs w:val="22"/>
        </w:rPr>
        <w:t xml:space="preserve">product </w:t>
      </w:r>
      <w:r w:rsidRPr="003D2C82">
        <w:rPr>
          <w:rFonts w:ascii="Garamond" w:hAnsi="Garamond"/>
          <w:sz w:val="22"/>
          <w:szCs w:val="22"/>
        </w:rPr>
        <w:t xml:space="preserve">prices </w:t>
      </w:r>
      <w:r w:rsidR="00650BCA">
        <w:rPr>
          <w:rFonts w:ascii="Garamond" w:hAnsi="Garamond"/>
          <w:sz w:val="22"/>
          <w:szCs w:val="22"/>
        </w:rPr>
        <w:t xml:space="preserve">having fallen notably, </w:t>
      </w:r>
      <w:r w:rsidRPr="003D2C82">
        <w:rPr>
          <w:rFonts w:ascii="Garamond" w:hAnsi="Garamond"/>
          <w:sz w:val="22"/>
          <w:szCs w:val="22"/>
        </w:rPr>
        <w:t>by 18.3% and 1.1%, respectively</w:t>
      </w:r>
      <w:r w:rsidR="00650BCA">
        <w:rPr>
          <w:rFonts w:ascii="Garamond" w:hAnsi="Garamond"/>
          <w:sz w:val="22"/>
          <w:szCs w:val="22"/>
        </w:rPr>
        <w:t xml:space="preserve"> (combined contribution to inflation: -0.37 pp)</w:t>
      </w:r>
      <w:r w:rsidRPr="003D2C82">
        <w:rPr>
          <w:rFonts w:ascii="Garamond" w:hAnsi="Garamond"/>
          <w:sz w:val="22"/>
          <w:szCs w:val="22"/>
        </w:rPr>
        <w:t xml:space="preserve">. In February, </w:t>
      </w:r>
      <w:r w:rsidR="00650BCA">
        <w:rPr>
          <w:rFonts w:ascii="Garamond" w:hAnsi="Garamond"/>
          <w:sz w:val="22"/>
          <w:szCs w:val="22"/>
        </w:rPr>
        <w:t xml:space="preserve">the </w:t>
      </w:r>
      <w:r w:rsidRPr="003D2C82">
        <w:rPr>
          <w:rFonts w:ascii="Garamond" w:hAnsi="Garamond"/>
          <w:sz w:val="22"/>
          <w:szCs w:val="22"/>
        </w:rPr>
        <w:t xml:space="preserve">prices of </w:t>
      </w:r>
      <w:r w:rsidR="00650BCA">
        <w:rPr>
          <w:rFonts w:ascii="Garamond" w:hAnsi="Garamond"/>
          <w:sz w:val="22"/>
          <w:szCs w:val="22"/>
        </w:rPr>
        <w:t>items “</w:t>
      </w:r>
      <w:r w:rsidRPr="003D2C82">
        <w:rPr>
          <w:rFonts w:ascii="Garamond" w:hAnsi="Garamond"/>
          <w:sz w:val="22"/>
          <w:szCs w:val="22"/>
        </w:rPr>
        <w:t xml:space="preserve">Clothes and </w:t>
      </w:r>
      <w:r w:rsidR="00650BCA">
        <w:rPr>
          <w:rFonts w:ascii="Garamond" w:hAnsi="Garamond"/>
          <w:sz w:val="22"/>
          <w:szCs w:val="22"/>
        </w:rPr>
        <w:t>footwear”, “</w:t>
      </w:r>
      <w:r w:rsidRPr="003D2C82">
        <w:rPr>
          <w:rFonts w:ascii="Garamond" w:hAnsi="Garamond"/>
          <w:sz w:val="22"/>
          <w:szCs w:val="22"/>
        </w:rPr>
        <w:t>Transport</w:t>
      </w:r>
      <w:r w:rsidR="00650BCA">
        <w:rPr>
          <w:rFonts w:ascii="Garamond" w:hAnsi="Garamond"/>
          <w:sz w:val="22"/>
          <w:szCs w:val="22"/>
        </w:rPr>
        <w:t>”</w:t>
      </w:r>
      <w:r w:rsidRPr="003D2C82">
        <w:rPr>
          <w:rFonts w:ascii="Garamond" w:hAnsi="Garamond"/>
          <w:sz w:val="22"/>
          <w:szCs w:val="22"/>
        </w:rPr>
        <w:t xml:space="preserve"> and </w:t>
      </w:r>
      <w:r w:rsidR="00650BCA">
        <w:rPr>
          <w:rFonts w:ascii="Garamond" w:hAnsi="Garamond"/>
          <w:sz w:val="22"/>
          <w:szCs w:val="22"/>
        </w:rPr>
        <w:t>“Leisure and c</w:t>
      </w:r>
      <w:r w:rsidRPr="003D2C82">
        <w:rPr>
          <w:rFonts w:ascii="Garamond" w:hAnsi="Garamond"/>
          <w:sz w:val="22"/>
          <w:szCs w:val="22"/>
        </w:rPr>
        <w:t>ulture</w:t>
      </w:r>
      <w:r w:rsidR="00650BCA">
        <w:rPr>
          <w:rFonts w:ascii="Garamond" w:hAnsi="Garamond"/>
          <w:sz w:val="22"/>
          <w:szCs w:val="22"/>
        </w:rPr>
        <w:t>”</w:t>
      </w:r>
      <w:r w:rsidRPr="003D2C82">
        <w:rPr>
          <w:rFonts w:ascii="Garamond" w:hAnsi="Garamond"/>
          <w:sz w:val="22"/>
          <w:szCs w:val="22"/>
        </w:rPr>
        <w:t xml:space="preserve"> decreased by 1.5%, 0.8% and 0.5%, respectively. </w:t>
      </w:r>
      <w:r w:rsidR="00B93284" w:rsidRPr="00226912">
        <w:rPr>
          <w:rFonts w:ascii="Garamond" w:hAnsi="Garamond"/>
          <w:b/>
          <w:sz w:val="22"/>
          <w:szCs w:val="22"/>
        </w:rPr>
        <w:t>T</w:t>
      </w:r>
      <w:r w:rsidR="00B93284" w:rsidRPr="004D4162">
        <w:rPr>
          <w:rFonts w:ascii="Garamond" w:hAnsi="Garamond"/>
          <w:b/>
          <w:sz w:val="22"/>
          <w:szCs w:val="22"/>
        </w:rPr>
        <w:t>he 12-month core inflation rate</w:t>
      </w:r>
      <w:r w:rsidR="00650BCA">
        <w:rPr>
          <w:rFonts w:ascii="Garamond" w:hAnsi="Garamond"/>
          <w:sz w:val="22"/>
          <w:szCs w:val="22"/>
        </w:rPr>
        <w:t xml:space="preserve"> remained almost unchanged, making up</w:t>
      </w:r>
      <w:r w:rsidR="00B93284">
        <w:rPr>
          <w:rFonts w:ascii="Garamond" w:hAnsi="Garamond"/>
          <w:sz w:val="22"/>
          <w:szCs w:val="22"/>
        </w:rPr>
        <w:t xml:space="preserve"> </w:t>
      </w:r>
      <w:r w:rsidR="00B93284" w:rsidRPr="00650BCA">
        <w:rPr>
          <w:rFonts w:ascii="Garamond" w:hAnsi="Garamond"/>
          <w:b/>
          <w:sz w:val="22"/>
          <w:szCs w:val="22"/>
        </w:rPr>
        <w:t>0.</w:t>
      </w:r>
      <w:r w:rsidR="00650BCA" w:rsidRPr="00650BCA">
        <w:rPr>
          <w:rFonts w:ascii="Garamond" w:hAnsi="Garamond"/>
          <w:b/>
          <w:sz w:val="22"/>
          <w:szCs w:val="22"/>
        </w:rPr>
        <w:t>8</w:t>
      </w:r>
      <w:r w:rsidR="00B93284" w:rsidRPr="00650BCA">
        <w:rPr>
          <w:rFonts w:ascii="Garamond" w:hAnsi="Garamond"/>
          <w:b/>
          <w:sz w:val="22"/>
          <w:szCs w:val="22"/>
        </w:rPr>
        <w:t>%</w:t>
      </w:r>
      <w:r w:rsidR="00B93284">
        <w:rPr>
          <w:rFonts w:ascii="Garamond" w:hAnsi="Garamond"/>
          <w:sz w:val="22"/>
          <w:szCs w:val="22"/>
        </w:rPr>
        <w:t xml:space="preserve"> a</w:t>
      </w:r>
      <w:r w:rsidR="00650BCA">
        <w:rPr>
          <w:rFonts w:ascii="Garamond" w:hAnsi="Garamond"/>
          <w:sz w:val="22"/>
          <w:szCs w:val="22"/>
        </w:rPr>
        <w:t>s of end</w:t>
      </w:r>
      <w:r w:rsidR="00650BCA">
        <w:rPr>
          <w:rFonts w:ascii="Garamond" w:hAnsi="Garamond"/>
          <w:sz w:val="22"/>
          <w:szCs w:val="22"/>
        </w:rPr>
        <w:softHyphen/>
        <w:t>-February</w:t>
      </w:r>
      <w:r w:rsidR="00B93284">
        <w:rPr>
          <w:rFonts w:ascii="Garamond" w:hAnsi="Garamond"/>
          <w:sz w:val="22"/>
          <w:szCs w:val="22"/>
        </w:rPr>
        <w:t>.</w:t>
      </w:r>
      <w:r w:rsidR="00B93284" w:rsidRPr="004D4162">
        <w:rPr>
          <w:rFonts w:ascii="Garamond" w:hAnsi="Garamond"/>
          <w:sz w:val="22"/>
          <w:szCs w:val="22"/>
        </w:rPr>
        <w:t xml:space="preserve"> </w:t>
      </w:r>
    </w:p>
    <w:p w14:paraId="6BD18F9B" w14:textId="77777777" w:rsidR="00B93284" w:rsidRPr="004D4162" w:rsidRDefault="00B93284" w:rsidP="00B93284">
      <w:pPr>
        <w:spacing w:line="360" w:lineRule="auto"/>
        <w:jc w:val="both"/>
        <w:rPr>
          <w:rFonts w:ascii="Garamond" w:hAnsi="Garamond"/>
          <w:sz w:val="22"/>
          <w:szCs w:val="22"/>
        </w:rPr>
      </w:pPr>
    </w:p>
    <w:p w14:paraId="394FB4FB" w14:textId="77777777" w:rsidR="005E4B2F" w:rsidRDefault="00B322DC" w:rsidP="00B93284">
      <w:pPr>
        <w:spacing w:line="360" w:lineRule="auto"/>
        <w:jc w:val="both"/>
        <w:rPr>
          <w:rFonts w:ascii="Garamond" w:hAnsi="Garamond"/>
          <w:sz w:val="22"/>
          <w:szCs w:val="22"/>
        </w:rPr>
      </w:pPr>
      <w:r>
        <w:rPr>
          <w:rFonts w:ascii="Garamond" w:hAnsi="Garamond"/>
          <w:sz w:val="22"/>
          <w:szCs w:val="22"/>
        </w:rPr>
        <w:t xml:space="preserve">The </w:t>
      </w:r>
      <w:r w:rsidR="005E4B2F">
        <w:rPr>
          <w:rFonts w:ascii="Garamond" w:hAnsi="Garamond"/>
          <w:sz w:val="22"/>
          <w:szCs w:val="22"/>
        </w:rPr>
        <w:t xml:space="preserve">main focus of the Board </w:t>
      </w:r>
      <w:r>
        <w:rPr>
          <w:rFonts w:ascii="Garamond" w:hAnsi="Garamond"/>
          <w:sz w:val="22"/>
          <w:szCs w:val="22"/>
        </w:rPr>
        <w:t>meeting was on the im</w:t>
      </w:r>
      <w:r w:rsidRPr="00B322DC">
        <w:rPr>
          <w:rFonts w:ascii="Garamond" w:hAnsi="Garamond"/>
          <w:sz w:val="22"/>
          <w:szCs w:val="22"/>
        </w:rPr>
        <w:t xml:space="preserve">pact </w:t>
      </w:r>
      <w:r>
        <w:rPr>
          <w:rFonts w:ascii="Garamond" w:hAnsi="Garamond"/>
          <w:sz w:val="22"/>
          <w:szCs w:val="22"/>
        </w:rPr>
        <w:t xml:space="preserve">the </w:t>
      </w:r>
      <w:r w:rsidRPr="00B322DC">
        <w:rPr>
          <w:rFonts w:ascii="Garamond" w:hAnsi="Garamond"/>
          <w:sz w:val="22"/>
          <w:szCs w:val="22"/>
        </w:rPr>
        <w:t xml:space="preserve">coronavirus pandemic </w:t>
      </w:r>
      <w:r>
        <w:rPr>
          <w:rFonts w:ascii="Garamond" w:hAnsi="Garamond"/>
          <w:sz w:val="22"/>
          <w:szCs w:val="22"/>
        </w:rPr>
        <w:t xml:space="preserve">leaves on </w:t>
      </w:r>
      <w:r w:rsidRPr="00B322DC">
        <w:rPr>
          <w:rFonts w:ascii="Garamond" w:hAnsi="Garamond"/>
          <w:sz w:val="22"/>
          <w:szCs w:val="22"/>
        </w:rPr>
        <w:t xml:space="preserve">macroeconomic </w:t>
      </w:r>
      <w:r>
        <w:rPr>
          <w:rFonts w:ascii="Garamond" w:hAnsi="Garamond"/>
          <w:sz w:val="22"/>
          <w:szCs w:val="22"/>
        </w:rPr>
        <w:t xml:space="preserve">environment and financial markets both globally and domestically, and assessing </w:t>
      </w:r>
      <w:r w:rsidRPr="00B322DC">
        <w:rPr>
          <w:rFonts w:ascii="Garamond" w:hAnsi="Garamond"/>
          <w:sz w:val="22"/>
          <w:szCs w:val="22"/>
        </w:rPr>
        <w:t xml:space="preserve">the measures taken </w:t>
      </w:r>
      <w:r>
        <w:rPr>
          <w:rFonts w:ascii="Garamond" w:hAnsi="Garamond"/>
          <w:sz w:val="22"/>
          <w:szCs w:val="22"/>
        </w:rPr>
        <w:t xml:space="preserve">to fight the disease </w:t>
      </w:r>
      <w:r w:rsidR="005E4B2F">
        <w:rPr>
          <w:rFonts w:ascii="Garamond" w:hAnsi="Garamond"/>
          <w:sz w:val="22"/>
          <w:szCs w:val="22"/>
        </w:rPr>
        <w:t xml:space="preserve">and </w:t>
      </w:r>
      <w:r w:rsidRPr="00B322DC">
        <w:rPr>
          <w:rFonts w:ascii="Garamond" w:hAnsi="Garamond"/>
          <w:sz w:val="22"/>
          <w:szCs w:val="22"/>
        </w:rPr>
        <w:t>eliminat</w:t>
      </w:r>
      <w:r w:rsidR="005E4B2F">
        <w:rPr>
          <w:rFonts w:ascii="Garamond" w:hAnsi="Garamond"/>
          <w:sz w:val="22"/>
          <w:szCs w:val="22"/>
        </w:rPr>
        <w:t xml:space="preserve">e its </w:t>
      </w:r>
      <w:r w:rsidRPr="00B322DC">
        <w:rPr>
          <w:rFonts w:ascii="Garamond" w:hAnsi="Garamond"/>
          <w:sz w:val="22"/>
          <w:szCs w:val="22"/>
        </w:rPr>
        <w:t xml:space="preserve">repercussions on </w:t>
      </w:r>
      <w:r w:rsidR="005E4B2F" w:rsidRPr="00B322DC">
        <w:rPr>
          <w:rFonts w:ascii="Garamond" w:hAnsi="Garamond"/>
          <w:sz w:val="22"/>
          <w:szCs w:val="22"/>
        </w:rPr>
        <w:t xml:space="preserve">financial markets </w:t>
      </w:r>
      <w:r w:rsidR="005E4B2F">
        <w:rPr>
          <w:rFonts w:ascii="Garamond" w:hAnsi="Garamond"/>
          <w:sz w:val="22"/>
          <w:szCs w:val="22"/>
        </w:rPr>
        <w:t xml:space="preserve">in the world and Armenia. </w:t>
      </w:r>
    </w:p>
    <w:p w14:paraId="238601FE" w14:textId="77777777" w:rsidR="005E4B2F" w:rsidRDefault="005E4B2F" w:rsidP="00B93284">
      <w:pPr>
        <w:spacing w:line="360" w:lineRule="auto"/>
        <w:jc w:val="both"/>
        <w:rPr>
          <w:rFonts w:ascii="Garamond" w:hAnsi="Garamond"/>
          <w:sz w:val="22"/>
          <w:szCs w:val="22"/>
        </w:rPr>
      </w:pPr>
    </w:p>
    <w:p w14:paraId="33E93ABD" w14:textId="77777777" w:rsidR="005E4B2F" w:rsidRDefault="005E4B2F" w:rsidP="00B93284">
      <w:pPr>
        <w:spacing w:line="360" w:lineRule="auto"/>
        <w:jc w:val="both"/>
        <w:rPr>
          <w:rFonts w:ascii="Garamond" w:hAnsi="Garamond"/>
          <w:sz w:val="22"/>
          <w:szCs w:val="22"/>
        </w:rPr>
      </w:pPr>
      <w:r>
        <w:rPr>
          <w:rFonts w:ascii="Garamond" w:hAnsi="Garamond"/>
          <w:sz w:val="22"/>
          <w:szCs w:val="22"/>
        </w:rPr>
        <w:t xml:space="preserve">The </w:t>
      </w:r>
      <w:r w:rsidRPr="005E4B2F">
        <w:rPr>
          <w:rFonts w:ascii="Garamond" w:hAnsi="Garamond"/>
          <w:sz w:val="22"/>
          <w:szCs w:val="22"/>
        </w:rPr>
        <w:t>judgment</w:t>
      </w:r>
      <w:r>
        <w:rPr>
          <w:rFonts w:ascii="Garamond" w:hAnsi="Garamond"/>
          <w:sz w:val="22"/>
          <w:szCs w:val="22"/>
        </w:rPr>
        <w:t xml:space="preserve"> of</w:t>
      </w:r>
      <w:r w:rsidRPr="005E4B2F">
        <w:rPr>
          <w:rFonts w:ascii="Garamond" w:hAnsi="Garamond"/>
          <w:sz w:val="22"/>
          <w:szCs w:val="22"/>
        </w:rPr>
        <w:t xml:space="preserve"> the current </w:t>
      </w:r>
      <w:r>
        <w:rPr>
          <w:rFonts w:ascii="Garamond" w:hAnsi="Garamond"/>
          <w:sz w:val="22"/>
          <w:szCs w:val="22"/>
        </w:rPr>
        <w:t xml:space="preserve">situation in the </w:t>
      </w:r>
      <w:r w:rsidRPr="005E4B2F">
        <w:rPr>
          <w:rFonts w:ascii="Garamond" w:hAnsi="Garamond"/>
          <w:sz w:val="22"/>
          <w:szCs w:val="22"/>
        </w:rPr>
        <w:t>Armenian economy</w:t>
      </w:r>
      <w:r w:rsidR="00AD19A6">
        <w:rPr>
          <w:rFonts w:ascii="Garamond" w:hAnsi="Garamond"/>
          <w:sz w:val="22"/>
          <w:szCs w:val="22"/>
        </w:rPr>
        <w:t xml:space="preserve"> i</w:t>
      </w:r>
      <w:r>
        <w:rPr>
          <w:rFonts w:ascii="Garamond" w:hAnsi="Garamond"/>
          <w:sz w:val="22"/>
          <w:szCs w:val="22"/>
        </w:rPr>
        <w:t xml:space="preserve">s that </w:t>
      </w:r>
      <w:r w:rsidRPr="005E4B2F">
        <w:rPr>
          <w:rFonts w:ascii="Garamond" w:hAnsi="Garamond"/>
          <w:sz w:val="22"/>
          <w:szCs w:val="22"/>
        </w:rPr>
        <w:t>the spread of coronavirus in Armenia and around the world and the anti-epidemic measures against</w:t>
      </w:r>
      <w:r>
        <w:rPr>
          <w:rFonts w:ascii="Garamond" w:hAnsi="Garamond"/>
          <w:sz w:val="22"/>
          <w:szCs w:val="22"/>
        </w:rPr>
        <w:t xml:space="preserve"> it w</w:t>
      </w:r>
      <w:r w:rsidR="00AD19A6">
        <w:rPr>
          <w:rFonts w:ascii="Garamond" w:hAnsi="Garamond"/>
          <w:sz w:val="22"/>
          <w:szCs w:val="22"/>
        </w:rPr>
        <w:t xml:space="preserve">ill </w:t>
      </w:r>
      <w:r>
        <w:rPr>
          <w:rFonts w:ascii="Garamond" w:hAnsi="Garamond"/>
          <w:sz w:val="22"/>
          <w:szCs w:val="22"/>
        </w:rPr>
        <w:t>sharply reduce Armenia’</w:t>
      </w:r>
      <w:r w:rsidRPr="005E4B2F">
        <w:rPr>
          <w:rFonts w:ascii="Garamond" w:hAnsi="Garamond"/>
          <w:sz w:val="22"/>
          <w:szCs w:val="22"/>
        </w:rPr>
        <w:t xml:space="preserve">s economic activity in 2020. The negative effects will be </w:t>
      </w:r>
      <w:r>
        <w:rPr>
          <w:rFonts w:ascii="Garamond" w:hAnsi="Garamond"/>
          <w:sz w:val="22"/>
          <w:szCs w:val="22"/>
        </w:rPr>
        <w:t xml:space="preserve">seen primarily </w:t>
      </w:r>
      <w:r w:rsidRPr="005E4B2F">
        <w:rPr>
          <w:rFonts w:ascii="Garamond" w:hAnsi="Garamond"/>
          <w:sz w:val="22"/>
          <w:szCs w:val="22"/>
        </w:rPr>
        <w:t xml:space="preserve">in the second quarter, which will be reflected in both supply and demand factors. </w:t>
      </w:r>
      <w:r w:rsidR="00D50BFC">
        <w:rPr>
          <w:rFonts w:ascii="Garamond" w:hAnsi="Garamond"/>
          <w:sz w:val="22"/>
          <w:szCs w:val="22"/>
        </w:rPr>
        <w:t>As</w:t>
      </w:r>
      <w:r w:rsidRPr="005E4B2F">
        <w:rPr>
          <w:rFonts w:ascii="Garamond" w:hAnsi="Garamond"/>
          <w:sz w:val="22"/>
          <w:szCs w:val="22"/>
        </w:rPr>
        <w:t xml:space="preserve"> </w:t>
      </w:r>
      <w:r w:rsidR="00D50BFC">
        <w:rPr>
          <w:rFonts w:ascii="Garamond" w:hAnsi="Garamond"/>
          <w:sz w:val="22"/>
          <w:szCs w:val="22"/>
        </w:rPr>
        <w:t xml:space="preserve">things currently stand with </w:t>
      </w:r>
      <w:r w:rsidRPr="005E4B2F">
        <w:rPr>
          <w:rFonts w:ascii="Garamond" w:hAnsi="Garamond"/>
          <w:sz w:val="22"/>
          <w:szCs w:val="22"/>
        </w:rPr>
        <w:t>epidemic</w:t>
      </w:r>
      <w:r w:rsidR="00D50BFC">
        <w:rPr>
          <w:rFonts w:ascii="Garamond" w:hAnsi="Garamond"/>
          <w:sz w:val="22"/>
          <w:szCs w:val="22"/>
        </w:rPr>
        <w:t xml:space="preserve">, </w:t>
      </w:r>
      <w:r w:rsidRPr="005E4B2F">
        <w:rPr>
          <w:rFonts w:ascii="Garamond" w:hAnsi="Garamond"/>
          <w:sz w:val="22"/>
          <w:szCs w:val="22"/>
        </w:rPr>
        <w:t xml:space="preserve">restrictions </w:t>
      </w:r>
      <w:r w:rsidR="00D50BFC">
        <w:rPr>
          <w:rFonts w:ascii="Garamond" w:hAnsi="Garamond"/>
          <w:sz w:val="22"/>
          <w:szCs w:val="22"/>
        </w:rPr>
        <w:t xml:space="preserve">applied </w:t>
      </w:r>
      <w:r w:rsidRPr="005E4B2F">
        <w:rPr>
          <w:rFonts w:ascii="Garamond" w:hAnsi="Garamond"/>
          <w:sz w:val="22"/>
          <w:szCs w:val="22"/>
        </w:rPr>
        <w:t xml:space="preserve">by the </w:t>
      </w:r>
      <w:r w:rsidR="00D50BFC">
        <w:rPr>
          <w:rFonts w:ascii="Garamond" w:hAnsi="Garamond"/>
          <w:sz w:val="22"/>
          <w:szCs w:val="22"/>
        </w:rPr>
        <w:t xml:space="preserve">Armenian </w:t>
      </w:r>
      <w:r w:rsidRPr="005E4B2F">
        <w:rPr>
          <w:rFonts w:ascii="Garamond" w:hAnsi="Garamond"/>
          <w:sz w:val="22"/>
          <w:szCs w:val="22"/>
        </w:rPr>
        <w:t xml:space="preserve">Government </w:t>
      </w:r>
      <w:r w:rsidR="00D50BFC">
        <w:rPr>
          <w:rFonts w:ascii="Garamond" w:hAnsi="Garamond"/>
          <w:sz w:val="22"/>
          <w:szCs w:val="22"/>
        </w:rPr>
        <w:t xml:space="preserve">will lead to reduced output in manufacturing and especially in services, coupled with lesser </w:t>
      </w:r>
      <w:r w:rsidRPr="005E4B2F">
        <w:rPr>
          <w:rFonts w:ascii="Garamond" w:hAnsi="Garamond"/>
          <w:sz w:val="22"/>
          <w:szCs w:val="22"/>
        </w:rPr>
        <w:t>consumption, import</w:t>
      </w:r>
      <w:r w:rsidR="00D50BFC">
        <w:rPr>
          <w:rFonts w:ascii="Garamond" w:hAnsi="Garamond"/>
          <w:sz w:val="22"/>
          <w:szCs w:val="22"/>
        </w:rPr>
        <w:t>s</w:t>
      </w:r>
      <w:r w:rsidRPr="005E4B2F">
        <w:rPr>
          <w:rFonts w:ascii="Garamond" w:hAnsi="Garamond"/>
          <w:sz w:val="22"/>
          <w:szCs w:val="22"/>
        </w:rPr>
        <w:t>, private investment</w:t>
      </w:r>
      <w:r w:rsidR="00D50BFC">
        <w:rPr>
          <w:rFonts w:ascii="Garamond" w:hAnsi="Garamond"/>
          <w:sz w:val="22"/>
          <w:szCs w:val="22"/>
        </w:rPr>
        <w:t>s</w:t>
      </w:r>
      <w:r w:rsidRPr="005E4B2F">
        <w:rPr>
          <w:rFonts w:ascii="Garamond" w:hAnsi="Garamond"/>
          <w:sz w:val="22"/>
          <w:szCs w:val="22"/>
        </w:rPr>
        <w:t xml:space="preserve"> a</w:t>
      </w:r>
      <w:r w:rsidR="00D50BFC">
        <w:rPr>
          <w:rFonts w:ascii="Garamond" w:hAnsi="Garamond"/>
          <w:sz w:val="22"/>
          <w:szCs w:val="22"/>
        </w:rPr>
        <w:t xml:space="preserve">nd sluggish </w:t>
      </w:r>
      <w:r w:rsidRPr="005E4B2F">
        <w:rPr>
          <w:rFonts w:ascii="Garamond" w:hAnsi="Garamond"/>
          <w:sz w:val="22"/>
          <w:szCs w:val="22"/>
        </w:rPr>
        <w:t>external demand</w:t>
      </w:r>
      <w:r w:rsidR="00D50BFC">
        <w:rPr>
          <w:rFonts w:ascii="Garamond" w:hAnsi="Garamond"/>
          <w:sz w:val="22"/>
          <w:szCs w:val="22"/>
        </w:rPr>
        <w:t>,</w:t>
      </w:r>
      <w:r w:rsidRPr="005E4B2F">
        <w:rPr>
          <w:rFonts w:ascii="Garamond" w:hAnsi="Garamond"/>
          <w:sz w:val="22"/>
          <w:szCs w:val="22"/>
        </w:rPr>
        <w:t xml:space="preserve"> mainly </w:t>
      </w:r>
      <w:r w:rsidR="00D50BFC">
        <w:rPr>
          <w:rFonts w:ascii="Garamond" w:hAnsi="Garamond"/>
          <w:sz w:val="22"/>
          <w:szCs w:val="22"/>
        </w:rPr>
        <w:t xml:space="preserve">because of </w:t>
      </w:r>
      <w:r w:rsidRPr="005E4B2F">
        <w:rPr>
          <w:rFonts w:ascii="Garamond" w:hAnsi="Garamond"/>
          <w:sz w:val="22"/>
          <w:szCs w:val="22"/>
        </w:rPr>
        <w:t xml:space="preserve">similar restrictions </w:t>
      </w:r>
      <w:r w:rsidR="00D50BFC">
        <w:rPr>
          <w:rFonts w:ascii="Garamond" w:hAnsi="Garamond"/>
          <w:sz w:val="22"/>
          <w:szCs w:val="22"/>
        </w:rPr>
        <w:t>applied worldwide</w:t>
      </w:r>
      <w:r w:rsidR="00985674">
        <w:rPr>
          <w:rFonts w:ascii="Garamond" w:hAnsi="Garamond"/>
          <w:sz w:val="22"/>
          <w:szCs w:val="22"/>
        </w:rPr>
        <w:t>. T</w:t>
      </w:r>
      <w:r w:rsidRPr="005E4B2F">
        <w:rPr>
          <w:rFonts w:ascii="Garamond" w:hAnsi="Garamond"/>
          <w:sz w:val="22"/>
          <w:szCs w:val="22"/>
        </w:rPr>
        <w:t xml:space="preserve">o neutralize the above-mentioned negative consequences of the new </w:t>
      </w:r>
      <w:r w:rsidRPr="005E4B2F">
        <w:rPr>
          <w:rFonts w:ascii="Garamond" w:hAnsi="Garamond"/>
          <w:sz w:val="22"/>
          <w:szCs w:val="22"/>
        </w:rPr>
        <w:lastRenderedPageBreak/>
        <w:t xml:space="preserve">coronavirus on the Armenian economy, the </w:t>
      </w:r>
      <w:r w:rsidR="003C3E88">
        <w:rPr>
          <w:rFonts w:ascii="Garamond" w:hAnsi="Garamond"/>
          <w:sz w:val="22"/>
          <w:szCs w:val="22"/>
        </w:rPr>
        <w:t>G</w:t>
      </w:r>
      <w:r w:rsidRPr="005E4B2F">
        <w:rPr>
          <w:rFonts w:ascii="Garamond" w:hAnsi="Garamond"/>
          <w:sz w:val="22"/>
          <w:szCs w:val="22"/>
        </w:rPr>
        <w:t>overnment plans to implement a stimulati</w:t>
      </w:r>
      <w:r w:rsidR="003C3E88">
        <w:rPr>
          <w:rFonts w:ascii="Garamond" w:hAnsi="Garamond"/>
          <w:sz w:val="22"/>
          <w:szCs w:val="22"/>
        </w:rPr>
        <w:t>ve</w:t>
      </w:r>
      <w:r w:rsidRPr="005E4B2F">
        <w:rPr>
          <w:rFonts w:ascii="Garamond" w:hAnsi="Garamond"/>
          <w:sz w:val="22"/>
          <w:szCs w:val="22"/>
        </w:rPr>
        <w:t xml:space="preserve"> fiscal policy, </w:t>
      </w:r>
      <w:r w:rsidR="003C3E88">
        <w:rPr>
          <w:rFonts w:ascii="Garamond" w:hAnsi="Garamond"/>
          <w:sz w:val="22"/>
          <w:szCs w:val="22"/>
        </w:rPr>
        <w:t xml:space="preserve">through </w:t>
      </w:r>
      <w:r w:rsidRPr="005E4B2F">
        <w:rPr>
          <w:rFonts w:ascii="Garamond" w:hAnsi="Garamond"/>
          <w:sz w:val="22"/>
          <w:szCs w:val="22"/>
        </w:rPr>
        <w:t xml:space="preserve">spending an additional </w:t>
      </w:r>
      <w:r w:rsidR="003C3E88">
        <w:rPr>
          <w:rFonts w:ascii="Garamond" w:hAnsi="Garamond"/>
          <w:sz w:val="22"/>
          <w:szCs w:val="22"/>
        </w:rPr>
        <w:t xml:space="preserve">AMD </w:t>
      </w:r>
      <w:r w:rsidRPr="005E4B2F">
        <w:rPr>
          <w:rFonts w:ascii="Garamond" w:hAnsi="Garamond"/>
          <w:sz w:val="22"/>
          <w:szCs w:val="22"/>
        </w:rPr>
        <w:t>150.0 billion</w:t>
      </w:r>
      <w:r w:rsidR="003C3E88">
        <w:rPr>
          <w:rFonts w:ascii="Garamond" w:hAnsi="Garamond"/>
          <w:sz w:val="22"/>
          <w:szCs w:val="22"/>
        </w:rPr>
        <w:t xml:space="preserve">. The spending plans and directions are </w:t>
      </w:r>
      <w:r w:rsidRPr="005E4B2F">
        <w:rPr>
          <w:rFonts w:ascii="Garamond" w:hAnsi="Garamond"/>
          <w:sz w:val="22"/>
          <w:szCs w:val="22"/>
        </w:rPr>
        <w:t xml:space="preserve">being developed, </w:t>
      </w:r>
      <w:r w:rsidR="003C3E88">
        <w:rPr>
          <w:rFonts w:ascii="Garamond" w:hAnsi="Garamond"/>
          <w:sz w:val="22"/>
          <w:szCs w:val="22"/>
        </w:rPr>
        <w:t xml:space="preserve">so what course they are set to follow will determine </w:t>
      </w:r>
      <w:r w:rsidRPr="005E4B2F">
        <w:rPr>
          <w:rFonts w:ascii="Garamond" w:hAnsi="Garamond"/>
          <w:sz w:val="22"/>
          <w:szCs w:val="22"/>
        </w:rPr>
        <w:t xml:space="preserve">the extent to which domestic demand </w:t>
      </w:r>
      <w:r w:rsidR="003C3E88">
        <w:rPr>
          <w:rFonts w:ascii="Garamond" w:hAnsi="Garamond"/>
          <w:sz w:val="22"/>
          <w:szCs w:val="22"/>
        </w:rPr>
        <w:t>will be bolstered and inflation i</w:t>
      </w:r>
      <w:r w:rsidR="00D01B63">
        <w:rPr>
          <w:rFonts w:ascii="Garamond" w:hAnsi="Garamond"/>
          <w:sz w:val="22"/>
          <w:szCs w:val="22"/>
        </w:rPr>
        <w:t>nfluenced</w:t>
      </w:r>
      <w:r w:rsidR="003C3E88">
        <w:rPr>
          <w:rFonts w:ascii="Garamond" w:hAnsi="Garamond"/>
          <w:sz w:val="22"/>
          <w:szCs w:val="22"/>
        </w:rPr>
        <w:t>.</w:t>
      </w:r>
    </w:p>
    <w:p w14:paraId="0F3CABC7" w14:textId="77777777" w:rsidR="00AD19A6" w:rsidRDefault="00AD19A6" w:rsidP="003C3E88">
      <w:pPr>
        <w:spacing w:line="360" w:lineRule="auto"/>
        <w:jc w:val="both"/>
        <w:rPr>
          <w:rFonts w:ascii="Garamond" w:hAnsi="Garamond"/>
          <w:sz w:val="22"/>
          <w:szCs w:val="22"/>
        </w:rPr>
      </w:pPr>
    </w:p>
    <w:p w14:paraId="6B223744" w14:textId="77777777" w:rsidR="003C3E88" w:rsidRPr="003C3E88" w:rsidRDefault="00D01B63" w:rsidP="003C3E88">
      <w:pPr>
        <w:spacing w:line="360" w:lineRule="auto"/>
        <w:jc w:val="both"/>
        <w:rPr>
          <w:rFonts w:ascii="Garamond" w:hAnsi="Garamond"/>
          <w:sz w:val="22"/>
          <w:szCs w:val="22"/>
        </w:rPr>
      </w:pPr>
      <w:r>
        <w:rPr>
          <w:rFonts w:ascii="Garamond" w:hAnsi="Garamond"/>
          <w:sz w:val="22"/>
          <w:szCs w:val="22"/>
        </w:rPr>
        <w:t xml:space="preserve">The impact of the </w:t>
      </w:r>
      <w:r w:rsidR="003C3E88" w:rsidRPr="00D01B63">
        <w:rPr>
          <w:rFonts w:ascii="Garamond" w:hAnsi="Garamond"/>
          <w:sz w:val="22"/>
          <w:szCs w:val="22"/>
        </w:rPr>
        <w:t xml:space="preserve">coronavirus </w:t>
      </w:r>
      <w:r>
        <w:rPr>
          <w:rFonts w:ascii="Garamond" w:hAnsi="Garamond"/>
          <w:sz w:val="22"/>
          <w:szCs w:val="22"/>
        </w:rPr>
        <w:t>pandemic on global economic</w:t>
      </w:r>
      <w:r w:rsidR="003C3E88" w:rsidRPr="00D01B63">
        <w:rPr>
          <w:rFonts w:ascii="Garamond" w:hAnsi="Garamond"/>
          <w:sz w:val="22"/>
          <w:szCs w:val="22"/>
        </w:rPr>
        <w:t xml:space="preserve"> development</w:t>
      </w:r>
      <w:r>
        <w:rPr>
          <w:rFonts w:ascii="Garamond" w:hAnsi="Garamond"/>
          <w:sz w:val="22"/>
          <w:szCs w:val="22"/>
        </w:rPr>
        <w:t>s</w:t>
      </w:r>
      <w:r w:rsidR="003C3E88" w:rsidRPr="00D01B63">
        <w:rPr>
          <w:rFonts w:ascii="Garamond" w:hAnsi="Garamond"/>
          <w:sz w:val="22"/>
          <w:szCs w:val="22"/>
        </w:rPr>
        <w:t xml:space="preserve"> and expectations </w:t>
      </w:r>
      <w:r>
        <w:rPr>
          <w:rFonts w:ascii="Garamond" w:hAnsi="Garamond"/>
          <w:sz w:val="22"/>
          <w:szCs w:val="22"/>
        </w:rPr>
        <w:t xml:space="preserve">came through decreased </w:t>
      </w:r>
      <w:r w:rsidR="003C3E88" w:rsidRPr="003C3E88">
        <w:rPr>
          <w:rFonts w:ascii="Garamond" w:hAnsi="Garamond"/>
          <w:sz w:val="22"/>
          <w:szCs w:val="22"/>
        </w:rPr>
        <w:t>commodity prices, d</w:t>
      </w:r>
      <w:r>
        <w:rPr>
          <w:rFonts w:ascii="Garamond" w:hAnsi="Garamond"/>
          <w:sz w:val="22"/>
          <w:szCs w:val="22"/>
        </w:rPr>
        <w:t xml:space="preserve">isrupted </w:t>
      </w:r>
      <w:r w:rsidR="003C3E88" w:rsidRPr="003C3E88">
        <w:rPr>
          <w:rFonts w:ascii="Garamond" w:hAnsi="Garamond"/>
          <w:sz w:val="22"/>
          <w:szCs w:val="22"/>
        </w:rPr>
        <w:t>global production chains, tourism and transport services, and deteriorat</w:t>
      </w:r>
      <w:r>
        <w:rPr>
          <w:rFonts w:ascii="Garamond" w:hAnsi="Garamond"/>
          <w:sz w:val="22"/>
          <w:szCs w:val="22"/>
        </w:rPr>
        <w:t xml:space="preserve">ed </w:t>
      </w:r>
      <w:r w:rsidR="00636C04">
        <w:rPr>
          <w:rFonts w:ascii="Garamond" w:hAnsi="Garamond"/>
          <w:sz w:val="22"/>
          <w:szCs w:val="22"/>
        </w:rPr>
        <w:t xml:space="preserve">performance of </w:t>
      </w:r>
      <w:r w:rsidR="003C3E88" w:rsidRPr="003C3E88">
        <w:rPr>
          <w:rFonts w:ascii="Garamond" w:hAnsi="Garamond"/>
          <w:sz w:val="22"/>
          <w:szCs w:val="22"/>
        </w:rPr>
        <w:t xml:space="preserve">financial markets. In response to the growing global demand for liquidity, </w:t>
      </w:r>
      <w:r w:rsidR="00636C04">
        <w:rPr>
          <w:rFonts w:ascii="Garamond" w:hAnsi="Garamond"/>
          <w:sz w:val="22"/>
          <w:szCs w:val="22"/>
        </w:rPr>
        <w:t>central banks of the world’</w:t>
      </w:r>
      <w:r w:rsidR="003C3E88" w:rsidRPr="003C3E88">
        <w:rPr>
          <w:rFonts w:ascii="Garamond" w:hAnsi="Garamond"/>
          <w:sz w:val="22"/>
          <w:szCs w:val="22"/>
        </w:rPr>
        <w:t>s leading countries have taken various measures to inject liquidity.</w:t>
      </w:r>
    </w:p>
    <w:p w14:paraId="5B08B5D1" w14:textId="77777777" w:rsidR="00AD19A6" w:rsidRDefault="00AD19A6" w:rsidP="003C3E88">
      <w:pPr>
        <w:spacing w:line="360" w:lineRule="auto"/>
        <w:jc w:val="both"/>
        <w:rPr>
          <w:rFonts w:ascii="Garamond" w:hAnsi="Garamond"/>
          <w:sz w:val="22"/>
          <w:szCs w:val="22"/>
        </w:rPr>
      </w:pPr>
    </w:p>
    <w:p w14:paraId="214AC33A" w14:textId="77777777" w:rsidR="003C3E88" w:rsidRDefault="00636C04" w:rsidP="003C3E88">
      <w:pPr>
        <w:spacing w:line="360" w:lineRule="auto"/>
        <w:jc w:val="both"/>
        <w:rPr>
          <w:rFonts w:ascii="Garamond" w:hAnsi="Garamond"/>
          <w:sz w:val="22"/>
          <w:szCs w:val="22"/>
        </w:rPr>
      </w:pPr>
      <w:r>
        <w:rPr>
          <w:rFonts w:ascii="Garamond" w:hAnsi="Garamond"/>
          <w:sz w:val="22"/>
          <w:szCs w:val="22"/>
        </w:rPr>
        <w:t>I</w:t>
      </w:r>
      <w:r w:rsidRPr="003C3E88">
        <w:rPr>
          <w:rFonts w:ascii="Garamond" w:hAnsi="Garamond"/>
          <w:sz w:val="22"/>
          <w:szCs w:val="22"/>
        </w:rPr>
        <w:t>nitially</w:t>
      </w:r>
      <w:r>
        <w:rPr>
          <w:rFonts w:ascii="Garamond" w:hAnsi="Garamond"/>
          <w:sz w:val="22"/>
          <w:szCs w:val="22"/>
        </w:rPr>
        <w:t>,</w:t>
      </w:r>
      <w:r w:rsidRPr="003C3E88">
        <w:rPr>
          <w:rFonts w:ascii="Garamond" w:hAnsi="Garamond"/>
          <w:sz w:val="22"/>
          <w:szCs w:val="22"/>
        </w:rPr>
        <w:t xml:space="preserve"> </w:t>
      </w:r>
      <w:r>
        <w:rPr>
          <w:rFonts w:ascii="Garamond" w:hAnsi="Garamond"/>
          <w:sz w:val="22"/>
          <w:szCs w:val="22"/>
        </w:rPr>
        <w:t>t</w:t>
      </w:r>
      <w:r w:rsidR="003C3E88" w:rsidRPr="003C3E88">
        <w:rPr>
          <w:rFonts w:ascii="Garamond" w:hAnsi="Garamond"/>
          <w:sz w:val="22"/>
          <w:szCs w:val="22"/>
        </w:rPr>
        <w:t xml:space="preserve">he </w:t>
      </w:r>
      <w:r>
        <w:rPr>
          <w:rFonts w:ascii="Garamond" w:hAnsi="Garamond"/>
          <w:sz w:val="22"/>
          <w:szCs w:val="22"/>
        </w:rPr>
        <w:t xml:space="preserve">impact of </w:t>
      </w:r>
      <w:r w:rsidR="003C3E88" w:rsidRPr="003C3E88">
        <w:rPr>
          <w:rFonts w:ascii="Garamond" w:hAnsi="Garamond"/>
          <w:sz w:val="22"/>
          <w:szCs w:val="22"/>
        </w:rPr>
        <w:t xml:space="preserve">coronavirus </w:t>
      </w:r>
      <w:r>
        <w:rPr>
          <w:rFonts w:ascii="Garamond" w:hAnsi="Garamond"/>
          <w:sz w:val="22"/>
          <w:szCs w:val="22"/>
        </w:rPr>
        <w:t>pandemic</w:t>
      </w:r>
      <w:r w:rsidR="003C3E88" w:rsidRPr="003C3E88">
        <w:rPr>
          <w:rFonts w:ascii="Garamond" w:hAnsi="Garamond"/>
          <w:sz w:val="22"/>
          <w:szCs w:val="22"/>
        </w:rPr>
        <w:t xml:space="preserve"> on Armenia</w:t>
      </w:r>
      <w:r>
        <w:rPr>
          <w:rFonts w:ascii="Garamond" w:hAnsi="Garamond"/>
          <w:sz w:val="22"/>
          <w:szCs w:val="22"/>
        </w:rPr>
        <w:t>’s</w:t>
      </w:r>
      <w:r w:rsidR="003C3E88" w:rsidRPr="003C3E88">
        <w:rPr>
          <w:rFonts w:ascii="Garamond" w:hAnsi="Garamond"/>
          <w:sz w:val="22"/>
          <w:szCs w:val="22"/>
        </w:rPr>
        <w:t xml:space="preserve"> financial market was most</w:t>
      </w:r>
      <w:r>
        <w:rPr>
          <w:rFonts w:ascii="Garamond" w:hAnsi="Garamond"/>
          <w:sz w:val="22"/>
          <w:szCs w:val="22"/>
        </w:rPr>
        <w:t xml:space="preserve"> pronounced </w:t>
      </w:r>
      <w:r w:rsidR="003C3E88" w:rsidRPr="003C3E88">
        <w:rPr>
          <w:rFonts w:ascii="Garamond" w:hAnsi="Garamond"/>
          <w:sz w:val="22"/>
          <w:szCs w:val="22"/>
        </w:rPr>
        <w:t xml:space="preserve">in the foreign exchange market </w:t>
      </w:r>
      <w:r>
        <w:rPr>
          <w:rFonts w:ascii="Garamond" w:hAnsi="Garamond"/>
          <w:sz w:val="22"/>
          <w:szCs w:val="22"/>
        </w:rPr>
        <w:t>when the local currency, the</w:t>
      </w:r>
      <w:r w:rsidR="003C3E88" w:rsidRPr="003C3E88">
        <w:rPr>
          <w:rFonts w:ascii="Garamond" w:hAnsi="Garamond"/>
          <w:sz w:val="22"/>
          <w:szCs w:val="22"/>
        </w:rPr>
        <w:t xml:space="preserve"> dram</w:t>
      </w:r>
      <w:r>
        <w:rPr>
          <w:rFonts w:ascii="Garamond" w:hAnsi="Garamond"/>
          <w:sz w:val="22"/>
          <w:szCs w:val="22"/>
        </w:rPr>
        <w:t>, began depreciating amid certain expectations. Considering</w:t>
      </w:r>
      <w:r w:rsidR="003C3E88" w:rsidRPr="003C3E88">
        <w:rPr>
          <w:rFonts w:ascii="Garamond" w:hAnsi="Garamond"/>
          <w:sz w:val="22"/>
          <w:szCs w:val="22"/>
        </w:rPr>
        <w:t xml:space="preserve"> the temporary nature of the demand for foreign exchange liquidity, the Central Bank provided </w:t>
      </w:r>
      <w:r w:rsidR="009917B3">
        <w:rPr>
          <w:rFonts w:ascii="Garamond" w:hAnsi="Garamond"/>
          <w:sz w:val="22"/>
          <w:szCs w:val="22"/>
        </w:rPr>
        <w:t>banks with a required amount of funds</w:t>
      </w:r>
      <w:r w:rsidR="003C3E88" w:rsidRPr="003C3E88">
        <w:rPr>
          <w:rFonts w:ascii="Garamond" w:hAnsi="Garamond"/>
          <w:sz w:val="22"/>
          <w:szCs w:val="22"/>
        </w:rPr>
        <w:t xml:space="preserve">, using the </w:t>
      </w:r>
      <w:r w:rsidR="009917B3">
        <w:rPr>
          <w:rFonts w:ascii="Garamond" w:hAnsi="Garamond"/>
          <w:sz w:val="22"/>
          <w:szCs w:val="22"/>
        </w:rPr>
        <w:t xml:space="preserve">foreign currency </w:t>
      </w:r>
      <w:r w:rsidR="003C3E88" w:rsidRPr="003C3E88">
        <w:rPr>
          <w:rFonts w:ascii="Garamond" w:hAnsi="Garamond"/>
          <w:sz w:val="22"/>
          <w:szCs w:val="22"/>
        </w:rPr>
        <w:t xml:space="preserve">swap </w:t>
      </w:r>
      <w:r w:rsidR="009917B3">
        <w:rPr>
          <w:rFonts w:ascii="Garamond" w:hAnsi="Garamond"/>
          <w:sz w:val="22"/>
          <w:szCs w:val="22"/>
        </w:rPr>
        <w:t>instrument</w:t>
      </w:r>
      <w:r w:rsidR="003C3E88" w:rsidRPr="003C3E88">
        <w:rPr>
          <w:rFonts w:ascii="Garamond" w:hAnsi="Garamond"/>
          <w:sz w:val="22"/>
          <w:szCs w:val="22"/>
        </w:rPr>
        <w:t>. At the same time, the Central Bank continued inject</w:t>
      </w:r>
      <w:r w:rsidR="009917B3">
        <w:rPr>
          <w:rFonts w:ascii="Garamond" w:hAnsi="Garamond"/>
          <w:sz w:val="22"/>
          <w:szCs w:val="22"/>
        </w:rPr>
        <w:t>ing,</w:t>
      </w:r>
      <w:r w:rsidR="003C3E88" w:rsidRPr="003C3E88">
        <w:rPr>
          <w:rFonts w:ascii="Garamond" w:hAnsi="Garamond"/>
          <w:sz w:val="22"/>
          <w:szCs w:val="22"/>
        </w:rPr>
        <w:t xml:space="preserve"> </w:t>
      </w:r>
      <w:r w:rsidR="009917B3" w:rsidRPr="003C3E88">
        <w:rPr>
          <w:rFonts w:ascii="Garamond" w:hAnsi="Garamond"/>
          <w:sz w:val="22"/>
          <w:szCs w:val="22"/>
        </w:rPr>
        <w:t>through its main instrument</w:t>
      </w:r>
      <w:r w:rsidR="009917B3">
        <w:rPr>
          <w:rFonts w:ascii="Garamond" w:hAnsi="Garamond"/>
          <w:sz w:val="22"/>
          <w:szCs w:val="22"/>
        </w:rPr>
        <w:t>,</w:t>
      </w:r>
      <w:r w:rsidR="009917B3" w:rsidRPr="003C3E88">
        <w:rPr>
          <w:rFonts w:ascii="Garamond" w:hAnsi="Garamond"/>
          <w:sz w:val="22"/>
          <w:szCs w:val="22"/>
        </w:rPr>
        <w:t xml:space="preserve"> </w:t>
      </w:r>
      <w:r w:rsidR="009917B3">
        <w:rPr>
          <w:rFonts w:ascii="Garamond" w:hAnsi="Garamond"/>
          <w:sz w:val="22"/>
          <w:szCs w:val="22"/>
        </w:rPr>
        <w:t xml:space="preserve">the needed </w:t>
      </w:r>
      <w:r w:rsidR="003C3E88" w:rsidRPr="003C3E88">
        <w:rPr>
          <w:rFonts w:ascii="Garamond" w:hAnsi="Garamond"/>
          <w:sz w:val="22"/>
          <w:szCs w:val="22"/>
        </w:rPr>
        <w:t>dram liquidity into the system</w:t>
      </w:r>
      <w:r w:rsidR="009917B3">
        <w:rPr>
          <w:rFonts w:ascii="Garamond" w:hAnsi="Garamond"/>
          <w:sz w:val="22"/>
          <w:szCs w:val="22"/>
        </w:rPr>
        <w:t xml:space="preserve"> by letting </w:t>
      </w:r>
      <w:r w:rsidR="003C3E88" w:rsidRPr="003C3E88">
        <w:rPr>
          <w:rFonts w:ascii="Garamond" w:hAnsi="Garamond"/>
          <w:sz w:val="22"/>
          <w:szCs w:val="22"/>
        </w:rPr>
        <w:t xml:space="preserve">short-term interest rates </w:t>
      </w:r>
      <w:r w:rsidR="009917B3">
        <w:rPr>
          <w:rFonts w:ascii="Garamond" w:hAnsi="Garamond"/>
          <w:sz w:val="22"/>
          <w:szCs w:val="22"/>
        </w:rPr>
        <w:t xml:space="preserve">stabilize </w:t>
      </w:r>
      <w:r w:rsidR="003C3E88" w:rsidRPr="003C3E88">
        <w:rPr>
          <w:rFonts w:ascii="Garamond" w:hAnsi="Garamond"/>
          <w:sz w:val="22"/>
          <w:szCs w:val="22"/>
        </w:rPr>
        <w:t xml:space="preserve">around the </w:t>
      </w:r>
      <w:r w:rsidR="009917B3">
        <w:rPr>
          <w:rFonts w:ascii="Garamond" w:hAnsi="Garamond"/>
          <w:sz w:val="22"/>
          <w:szCs w:val="22"/>
        </w:rPr>
        <w:t>policy rate</w:t>
      </w:r>
      <w:r w:rsidR="003C3E88" w:rsidRPr="003C3E88">
        <w:rPr>
          <w:rFonts w:ascii="Garamond" w:hAnsi="Garamond"/>
          <w:sz w:val="22"/>
          <w:szCs w:val="22"/>
        </w:rPr>
        <w:t xml:space="preserve">. However, in the current uncertainty, </w:t>
      </w:r>
      <w:r w:rsidR="009917B3">
        <w:rPr>
          <w:rFonts w:ascii="Garamond" w:hAnsi="Garamond"/>
          <w:sz w:val="22"/>
          <w:szCs w:val="22"/>
        </w:rPr>
        <w:t xml:space="preserve">a rise in </w:t>
      </w:r>
      <w:r w:rsidR="003C3E88" w:rsidRPr="003C3E88">
        <w:rPr>
          <w:rFonts w:ascii="Garamond" w:hAnsi="Garamond"/>
          <w:sz w:val="22"/>
          <w:szCs w:val="22"/>
        </w:rPr>
        <w:t xml:space="preserve">interest rates </w:t>
      </w:r>
      <w:r w:rsidR="009917B3">
        <w:rPr>
          <w:rFonts w:ascii="Garamond" w:hAnsi="Garamond"/>
          <w:sz w:val="22"/>
          <w:szCs w:val="22"/>
        </w:rPr>
        <w:t>of mid-term notes and long-term bonds is noticeable</w:t>
      </w:r>
      <w:r w:rsidR="003C3E88" w:rsidRPr="003C3E88">
        <w:rPr>
          <w:rFonts w:ascii="Garamond" w:hAnsi="Garamond"/>
          <w:sz w:val="22"/>
          <w:szCs w:val="22"/>
        </w:rPr>
        <w:t>.</w:t>
      </w:r>
    </w:p>
    <w:p w14:paraId="16DEB4AB" w14:textId="77777777" w:rsidR="00BF2C23" w:rsidRDefault="00BF2C23" w:rsidP="003C3E88">
      <w:pPr>
        <w:spacing w:line="360" w:lineRule="auto"/>
        <w:jc w:val="both"/>
        <w:rPr>
          <w:rFonts w:ascii="Garamond" w:hAnsi="Garamond"/>
          <w:sz w:val="22"/>
          <w:szCs w:val="22"/>
        </w:rPr>
      </w:pPr>
    </w:p>
    <w:p w14:paraId="544FDD3B" w14:textId="1A29124C" w:rsidR="00BF2C23" w:rsidRDefault="7DAFDB36" w:rsidP="003C3E88">
      <w:pPr>
        <w:spacing w:line="360" w:lineRule="auto"/>
        <w:jc w:val="both"/>
        <w:rPr>
          <w:rFonts w:ascii="Garamond" w:hAnsi="Garamond"/>
          <w:sz w:val="22"/>
          <w:szCs w:val="22"/>
        </w:rPr>
      </w:pPr>
      <w:r w:rsidRPr="7DAFDB36">
        <w:rPr>
          <w:rFonts w:ascii="Garamond" w:hAnsi="Garamond"/>
          <w:sz w:val="22"/>
          <w:szCs w:val="22"/>
        </w:rPr>
        <w:t xml:space="preserve">After discussing the situation report and external and domestic macroeconomic developments, the Board proceeded to addressing the monetary policy directions and making decision on the policy rate. Historically, when facing such shocks, developing countries have largely pursued more contractionary monetary policy, as inflation expectations were not sufficiently anchored and the dollarization was high. However, developing countries have recently begun to better manage inflation and move to a floating exchange rate policy, which allows a large number of countries to ease monetary conditions in response to economic shocks. In the case of Armenia also, in the light of a low-inflation policy pursued in recent years, inflation expectations are assessed as quite anchored. On the other hand, anticipated slowdown in economic activity slackens both supply and demand, which is why the impact on inflation is quite uncertain, mostly assessed as neutral. Therefore, given the low inflation, expected deflationary effects in the global economy, and current uncertainty, the </w:t>
      </w:r>
      <w:r w:rsidRPr="7DAFDB36">
        <w:rPr>
          <w:rFonts w:ascii="Garamond" w:hAnsi="Garamond"/>
          <w:b/>
          <w:bCs/>
          <w:sz w:val="22"/>
          <w:szCs w:val="22"/>
        </w:rPr>
        <w:t>Board considers it appropriate to add to the monetary stimulus by cutting the refinancing rate by 0.25 pp.</w:t>
      </w:r>
      <w:r w:rsidRPr="7DAFDB36">
        <w:rPr>
          <w:rFonts w:ascii="Garamond" w:hAnsi="Garamond"/>
          <w:sz w:val="22"/>
          <w:szCs w:val="22"/>
        </w:rPr>
        <w:t xml:space="preserve"> As a result, according to the main scenario, inflation will remain relatively low in the coming months, gradually approaching the target in the near future. Given also that the monetary policy toolkit is not equipped to influence healthcare-related developments, the Board highlights the importance of conducting a possibly more transparent and predictable monetary policy aimed at maintaining price stability. </w:t>
      </w:r>
    </w:p>
    <w:p w14:paraId="0AD9C6F4" w14:textId="77777777" w:rsidR="00E13F64" w:rsidRDefault="00E13F64" w:rsidP="003C3E88">
      <w:pPr>
        <w:spacing w:line="360" w:lineRule="auto"/>
        <w:jc w:val="both"/>
        <w:rPr>
          <w:rFonts w:ascii="Garamond" w:hAnsi="Garamond"/>
          <w:sz w:val="22"/>
          <w:szCs w:val="22"/>
        </w:rPr>
      </w:pPr>
    </w:p>
    <w:p w14:paraId="1DC997F8" w14:textId="77777777" w:rsidR="00E13F64" w:rsidRDefault="00E13F64" w:rsidP="003C3E88">
      <w:pPr>
        <w:spacing w:line="360" w:lineRule="auto"/>
        <w:jc w:val="both"/>
        <w:rPr>
          <w:rFonts w:ascii="Garamond" w:hAnsi="Garamond"/>
          <w:sz w:val="22"/>
          <w:szCs w:val="22"/>
        </w:rPr>
      </w:pPr>
      <w:r w:rsidRPr="00E13F64">
        <w:rPr>
          <w:rFonts w:ascii="Garamond" w:hAnsi="Garamond"/>
          <w:sz w:val="22"/>
          <w:szCs w:val="22"/>
        </w:rPr>
        <w:lastRenderedPageBreak/>
        <w:t xml:space="preserve">The </w:t>
      </w:r>
      <w:r>
        <w:rPr>
          <w:rFonts w:ascii="Garamond" w:hAnsi="Garamond"/>
          <w:sz w:val="22"/>
          <w:szCs w:val="22"/>
        </w:rPr>
        <w:t>Board</w:t>
      </w:r>
      <w:r w:rsidRPr="00E13F64">
        <w:rPr>
          <w:rFonts w:ascii="Garamond" w:hAnsi="Garamond"/>
          <w:sz w:val="22"/>
          <w:szCs w:val="22"/>
        </w:rPr>
        <w:t xml:space="preserve"> </w:t>
      </w:r>
      <w:r>
        <w:rPr>
          <w:rFonts w:ascii="Garamond" w:hAnsi="Garamond"/>
          <w:sz w:val="22"/>
          <w:szCs w:val="22"/>
        </w:rPr>
        <w:t>looked to</w:t>
      </w:r>
      <w:r w:rsidRPr="00E13F64">
        <w:rPr>
          <w:rFonts w:ascii="Garamond" w:hAnsi="Garamond"/>
          <w:sz w:val="22"/>
          <w:szCs w:val="22"/>
        </w:rPr>
        <w:t xml:space="preserve"> current inflation risks</w:t>
      </w:r>
      <w:r w:rsidR="00C53822">
        <w:rPr>
          <w:rFonts w:ascii="Garamond" w:hAnsi="Garamond"/>
          <w:sz w:val="22"/>
          <w:szCs w:val="22"/>
        </w:rPr>
        <w:t>;</w:t>
      </w:r>
      <w:r w:rsidRPr="00E13F64">
        <w:rPr>
          <w:rFonts w:ascii="Garamond" w:hAnsi="Garamond"/>
          <w:sz w:val="22"/>
          <w:szCs w:val="22"/>
        </w:rPr>
        <w:t xml:space="preserve"> </w:t>
      </w:r>
      <w:r w:rsidR="00C53822">
        <w:rPr>
          <w:rFonts w:ascii="Garamond" w:hAnsi="Garamond"/>
          <w:sz w:val="22"/>
          <w:szCs w:val="22"/>
        </w:rPr>
        <w:t xml:space="preserve">they are </w:t>
      </w:r>
      <w:r w:rsidRPr="00E13F64">
        <w:rPr>
          <w:rFonts w:ascii="Garamond" w:hAnsi="Garamond"/>
          <w:sz w:val="22"/>
          <w:szCs w:val="22"/>
        </w:rPr>
        <w:t>generally high</w:t>
      </w:r>
      <w:r>
        <w:rPr>
          <w:rFonts w:ascii="Garamond" w:hAnsi="Garamond"/>
          <w:sz w:val="22"/>
          <w:szCs w:val="22"/>
        </w:rPr>
        <w:t xml:space="preserve"> and tend to either direction </w:t>
      </w:r>
      <w:r w:rsidR="00C53822">
        <w:rPr>
          <w:rFonts w:ascii="Garamond" w:hAnsi="Garamond"/>
          <w:sz w:val="22"/>
          <w:szCs w:val="22"/>
        </w:rPr>
        <w:t xml:space="preserve">depending on </w:t>
      </w:r>
      <w:r w:rsidR="00AD4B33">
        <w:rPr>
          <w:rFonts w:ascii="Garamond" w:hAnsi="Garamond"/>
          <w:sz w:val="22"/>
          <w:szCs w:val="22"/>
        </w:rPr>
        <w:t xml:space="preserve">the length of the </w:t>
      </w:r>
      <w:r w:rsidRPr="00E13F64">
        <w:rPr>
          <w:rFonts w:ascii="Garamond" w:hAnsi="Garamond"/>
          <w:sz w:val="22"/>
          <w:szCs w:val="22"/>
        </w:rPr>
        <w:t xml:space="preserve">epidemic situation </w:t>
      </w:r>
      <w:r w:rsidR="00AD4B33">
        <w:rPr>
          <w:rFonts w:ascii="Garamond" w:hAnsi="Garamond"/>
          <w:sz w:val="22"/>
          <w:szCs w:val="22"/>
        </w:rPr>
        <w:t xml:space="preserve">and the pace of </w:t>
      </w:r>
      <w:r w:rsidRPr="00E13F64">
        <w:rPr>
          <w:rFonts w:ascii="Garamond" w:hAnsi="Garamond"/>
          <w:sz w:val="22"/>
          <w:szCs w:val="22"/>
        </w:rPr>
        <w:t xml:space="preserve">anti-epidemic measures. </w:t>
      </w:r>
      <w:r w:rsidR="00AD4B33">
        <w:rPr>
          <w:rFonts w:ascii="Garamond" w:hAnsi="Garamond"/>
          <w:sz w:val="22"/>
          <w:szCs w:val="22"/>
        </w:rPr>
        <w:t>T</w:t>
      </w:r>
      <w:r w:rsidRPr="00E13F64">
        <w:rPr>
          <w:rFonts w:ascii="Garamond" w:hAnsi="Garamond"/>
          <w:sz w:val="22"/>
          <w:szCs w:val="22"/>
        </w:rPr>
        <w:t>he Central Bank monitors</w:t>
      </w:r>
      <w:r w:rsidR="00AD4B33">
        <w:rPr>
          <w:rFonts w:ascii="Garamond" w:hAnsi="Garamond"/>
          <w:sz w:val="22"/>
          <w:szCs w:val="22"/>
        </w:rPr>
        <w:t xml:space="preserve"> t</w:t>
      </w:r>
      <w:r w:rsidRPr="00E13F64">
        <w:rPr>
          <w:rFonts w:ascii="Garamond" w:hAnsi="Garamond"/>
          <w:sz w:val="22"/>
          <w:szCs w:val="22"/>
        </w:rPr>
        <w:t xml:space="preserve">he economy and financial markets on a daily basis, </w:t>
      </w:r>
      <w:r w:rsidR="00AD4B33">
        <w:rPr>
          <w:rFonts w:ascii="Garamond" w:hAnsi="Garamond"/>
          <w:sz w:val="22"/>
          <w:szCs w:val="22"/>
        </w:rPr>
        <w:t>considers</w:t>
      </w:r>
      <w:r w:rsidRPr="00E13F64">
        <w:rPr>
          <w:rFonts w:ascii="Garamond" w:hAnsi="Garamond"/>
          <w:sz w:val="22"/>
          <w:szCs w:val="22"/>
        </w:rPr>
        <w:t xml:space="preserve"> alternative scenarios, and is ready to re</w:t>
      </w:r>
      <w:r w:rsidR="00AD4B33">
        <w:rPr>
          <w:rFonts w:ascii="Garamond" w:hAnsi="Garamond"/>
          <w:sz w:val="22"/>
          <w:szCs w:val="22"/>
        </w:rPr>
        <w:t xml:space="preserve">act to any situational </w:t>
      </w:r>
      <w:r w:rsidRPr="00E13F64">
        <w:rPr>
          <w:rFonts w:ascii="Garamond" w:hAnsi="Garamond"/>
          <w:sz w:val="22"/>
          <w:szCs w:val="22"/>
        </w:rPr>
        <w:t xml:space="preserve">developments and risks, </w:t>
      </w:r>
      <w:r w:rsidR="00AD4B33">
        <w:rPr>
          <w:rFonts w:ascii="Garamond" w:hAnsi="Garamond"/>
          <w:sz w:val="22"/>
          <w:szCs w:val="22"/>
        </w:rPr>
        <w:t xml:space="preserve">while </w:t>
      </w:r>
      <w:r w:rsidRPr="00E13F64">
        <w:rPr>
          <w:rFonts w:ascii="Garamond" w:hAnsi="Garamond"/>
          <w:sz w:val="22"/>
          <w:szCs w:val="22"/>
        </w:rPr>
        <w:t>ensuring price stability in the Republic of Armenia.</w:t>
      </w:r>
    </w:p>
    <w:p w14:paraId="4B1F511A" w14:textId="77777777" w:rsidR="003C3E88" w:rsidRDefault="003C3E88" w:rsidP="00B93284">
      <w:pPr>
        <w:spacing w:line="360" w:lineRule="auto"/>
        <w:jc w:val="both"/>
        <w:rPr>
          <w:rFonts w:ascii="Garamond" w:hAnsi="Garamond"/>
          <w:sz w:val="22"/>
          <w:szCs w:val="22"/>
        </w:rPr>
      </w:pPr>
    </w:p>
    <w:p w14:paraId="387928D5" w14:textId="77777777" w:rsidR="00B93284" w:rsidRPr="004D4162" w:rsidRDefault="00B93284" w:rsidP="00B93284">
      <w:pPr>
        <w:spacing w:line="360" w:lineRule="auto"/>
        <w:jc w:val="both"/>
        <w:rPr>
          <w:rFonts w:ascii="Garamond" w:hAnsi="Garamond"/>
          <w:sz w:val="22"/>
          <w:szCs w:val="22"/>
        </w:rPr>
      </w:pPr>
      <w:r w:rsidRPr="004D4162">
        <w:rPr>
          <w:rFonts w:ascii="Garamond" w:hAnsi="Garamond"/>
          <w:sz w:val="22"/>
          <w:szCs w:val="22"/>
        </w:rPr>
        <w:t>The Board approved the decision on interest rates of monetary instruments of the Central Bank and the proposed press release, which are attached hereto.</w:t>
      </w:r>
    </w:p>
    <w:p w14:paraId="65F9C3DC" w14:textId="77777777" w:rsidR="00B93284" w:rsidRPr="004D4162" w:rsidRDefault="00B93284" w:rsidP="00B93284">
      <w:pPr>
        <w:spacing w:line="360" w:lineRule="auto"/>
        <w:jc w:val="center"/>
        <w:rPr>
          <w:rFonts w:ascii="Garamond" w:hAnsi="Garamond"/>
          <w:b/>
          <w:sz w:val="22"/>
          <w:szCs w:val="22"/>
        </w:rPr>
      </w:pPr>
    </w:p>
    <w:p w14:paraId="1A13A34B" w14:textId="77777777" w:rsidR="00B93284" w:rsidRDefault="00B93284" w:rsidP="00B93284">
      <w:pPr>
        <w:spacing w:line="360" w:lineRule="auto"/>
        <w:jc w:val="center"/>
        <w:rPr>
          <w:rFonts w:ascii="Garamond" w:hAnsi="Garamond"/>
          <w:b/>
          <w:color w:val="0070C0"/>
          <w:sz w:val="22"/>
          <w:szCs w:val="22"/>
        </w:rPr>
      </w:pPr>
      <w:r>
        <w:rPr>
          <w:rFonts w:ascii="Garamond" w:hAnsi="Garamond"/>
          <w:b/>
          <w:color w:val="0070C0"/>
          <w:sz w:val="22"/>
          <w:szCs w:val="22"/>
        </w:rPr>
        <w:t>The Central Bank of the Republic of Armenia</w:t>
      </w:r>
    </w:p>
    <w:p w14:paraId="43C12671" w14:textId="77777777" w:rsidR="00B93284" w:rsidRPr="004D4162" w:rsidRDefault="00B93284" w:rsidP="00B93284">
      <w:pPr>
        <w:spacing w:line="360" w:lineRule="auto"/>
        <w:jc w:val="center"/>
        <w:rPr>
          <w:rFonts w:ascii="Garamond" w:hAnsi="Garamond"/>
          <w:b/>
          <w:color w:val="0070C0"/>
          <w:sz w:val="22"/>
          <w:szCs w:val="22"/>
        </w:rPr>
      </w:pPr>
      <w:r>
        <w:rPr>
          <w:rFonts w:ascii="Garamond" w:hAnsi="Garamond"/>
          <w:b/>
          <w:color w:val="0070C0"/>
          <w:sz w:val="22"/>
          <w:szCs w:val="22"/>
        </w:rPr>
        <w:t>Board Decision</w:t>
      </w:r>
    </w:p>
    <w:p w14:paraId="0D47AB18" w14:textId="77777777" w:rsidR="00B93284" w:rsidRPr="00B93284" w:rsidRDefault="00B93284" w:rsidP="00B93284">
      <w:pPr>
        <w:spacing w:line="360" w:lineRule="auto"/>
        <w:jc w:val="center"/>
        <w:rPr>
          <w:rFonts w:ascii="Garamond" w:hAnsi="Garamond"/>
          <w:b/>
          <w:sz w:val="22"/>
          <w:szCs w:val="22"/>
        </w:rPr>
      </w:pPr>
      <w:r w:rsidRPr="00B93284">
        <w:rPr>
          <w:rFonts w:ascii="Garamond" w:hAnsi="Garamond"/>
          <w:b/>
          <w:sz w:val="22"/>
          <w:szCs w:val="22"/>
        </w:rPr>
        <w:t xml:space="preserve">Interest Rates of Instruments of Monetary Policy of the Central Bank of the Republic of Armenia </w:t>
      </w:r>
    </w:p>
    <w:p w14:paraId="5023141B" w14:textId="77777777" w:rsidR="00B93284" w:rsidRPr="004D4162" w:rsidRDefault="00B93284" w:rsidP="00B93284">
      <w:pPr>
        <w:spacing w:line="360" w:lineRule="auto"/>
        <w:jc w:val="center"/>
        <w:rPr>
          <w:rFonts w:ascii="Garamond" w:hAnsi="Garamond"/>
          <w:sz w:val="22"/>
          <w:szCs w:val="22"/>
        </w:rPr>
      </w:pPr>
    </w:p>
    <w:p w14:paraId="7D9842CB" w14:textId="77777777" w:rsidR="00B93284" w:rsidRPr="004D4162" w:rsidRDefault="00B93284" w:rsidP="00B93284">
      <w:pPr>
        <w:spacing w:line="360" w:lineRule="auto"/>
        <w:jc w:val="both"/>
        <w:rPr>
          <w:rFonts w:ascii="Garamond" w:hAnsi="Garamond"/>
          <w:sz w:val="22"/>
          <w:szCs w:val="22"/>
        </w:rPr>
      </w:pPr>
      <w:r w:rsidRPr="004D4162">
        <w:rPr>
          <w:rFonts w:ascii="Garamond" w:hAnsi="Garamond"/>
          <w:sz w:val="22"/>
          <w:szCs w:val="22"/>
        </w:rPr>
        <w:t xml:space="preserve">By virtue of Article 20 </w:t>
      </w:r>
      <w:r w:rsidR="00AD4B33">
        <w:rPr>
          <w:rFonts w:ascii="Garamond" w:hAnsi="Garamond"/>
          <w:sz w:val="22"/>
          <w:szCs w:val="22"/>
        </w:rPr>
        <w:t>(</w:t>
      </w:r>
      <w:r>
        <w:rPr>
          <w:rFonts w:ascii="Garamond" w:hAnsi="Garamond"/>
          <w:sz w:val="22"/>
          <w:szCs w:val="22"/>
        </w:rPr>
        <w:t>c</w:t>
      </w:r>
      <w:r w:rsidR="00AD4B33">
        <w:rPr>
          <w:rFonts w:ascii="Garamond" w:hAnsi="Garamond"/>
          <w:sz w:val="22"/>
          <w:szCs w:val="22"/>
        </w:rPr>
        <w:t>)</w:t>
      </w:r>
      <w:r w:rsidRPr="004D4162">
        <w:rPr>
          <w:rFonts w:ascii="Garamond" w:hAnsi="Garamond"/>
          <w:sz w:val="22"/>
          <w:szCs w:val="22"/>
        </w:rPr>
        <w:t xml:space="preserve"> </w:t>
      </w:r>
      <w:r w:rsidR="00AD4B33">
        <w:rPr>
          <w:rFonts w:ascii="Garamond" w:hAnsi="Garamond"/>
          <w:sz w:val="22"/>
          <w:szCs w:val="22"/>
        </w:rPr>
        <w:t>o</w:t>
      </w:r>
      <w:r w:rsidRPr="004D4162">
        <w:rPr>
          <w:rFonts w:ascii="Garamond" w:hAnsi="Garamond"/>
          <w:sz w:val="22"/>
          <w:szCs w:val="22"/>
        </w:rPr>
        <w:t>f the Republic of Armenia Law on the Central Bank</w:t>
      </w:r>
      <w:r>
        <w:rPr>
          <w:rFonts w:ascii="Garamond" w:hAnsi="Garamond"/>
          <w:sz w:val="22"/>
          <w:szCs w:val="22"/>
        </w:rPr>
        <w:t>,</w:t>
      </w:r>
      <w:r w:rsidRPr="004D4162">
        <w:rPr>
          <w:rFonts w:ascii="Garamond" w:hAnsi="Garamond"/>
          <w:sz w:val="22"/>
          <w:szCs w:val="22"/>
        </w:rPr>
        <w:t xml:space="preserve"> the Board of the Central Bank of the Republic of Armenia </w:t>
      </w:r>
      <w:r w:rsidRPr="004D4162">
        <w:rPr>
          <w:rFonts w:ascii="Garamond" w:hAnsi="Garamond"/>
          <w:b/>
          <w:sz w:val="22"/>
          <w:szCs w:val="22"/>
        </w:rPr>
        <w:t>enacts:</w:t>
      </w:r>
    </w:p>
    <w:p w14:paraId="5DBFE1C2" w14:textId="77777777" w:rsidR="00B93284" w:rsidRPr="004D4162" w:rsidRDefault="00C838BF" w:rsidP="00B93284">
      <w:pPr>
        <w:spacing w:line="360" w:lineRule="auto"/>
        <w:jc w:val="both"/>
        <w:rPr>
          <w:rFonts w:ascii="Garamond" w:hAnsi="Garamond"/>
          <w:sz w:val="22"/>
          <w:szCs w:val="22"/>
        </w:rPr>
      </w:pPr>
      <w:r>
        <w:rPr>
          <w:rFonts w:ascii="Garamond" w:hAnsi="Garamond"/>
          <w:sz w:val="22"/>
          <w:szCs w:val="22"/>
        </w:rPr>
        <w:t xml:space="preserve">1. </w:t>
      </w:r>
      <w:r w:rsidR="00AD4B33">
        <w:rPr>
          <w:rFonts w:ascii="Garamond" w:hAnsi="Garamond"/>
          <w:sz w:val="22"/>
          <w:szCs w:val="22"/>
        </w:rPr>
        <w:t>Cut</w:t>
      </w:r>
      <w:r w:rsidR="00B93284">
        <w:rPr>
          <w:rFonts w:ascii="Garamond" w:hAnsi="Garamond"/>
          <w:sz w:val="22"/>
          <w:szCs w:val="22"/>
        </w:rPr>
        <w:t xml:space="preserve"> </w:t>
      </w:r>
      <w:r w:rsidR="00B93284" w:rsidRPr="004D4162">
        <w:rPr>
          <w:rFonts w:ascii="Garamond" w:hAnsi="Garamond"/>
          <w:sz w:val="22"/>
          <w:szCs w:val="22"/>
        </w:rPr>
        <w:t xml:space="preserve">the refinancing rate of the Central Bank of the Republic of Armenia </w:t>
      </w:r>
      <w:r w:rsidR="00AD4B33">
        <w:rPr>
          <w:rFonts w:ascii="Garamond" w:hAnsi="Garamond"/>
          <w:sz w:val="22"/>
          <w:szCs w:val="22"/>
        </w:rPr>
        <w:t>by 0.25 pp to</w:t>
      </w:r>
      <w:r w:rsidR="00B93284">
        <w:rPr>
          <w:rFonts w:ascii="Garamond" w:hAnsi="Garamond"/>
          <w:sz w:val="22"/>
          <w:szCs w:val="22"/>
        </w:rPr>
        <w:t xml:space="preserve"> </w:t>
      </w:r>
      <w:r w:rsidR="00B93284" w:rsidRPr="004D4162">
        <w:rPr>
          <w:rFonts w:ascii="Garamond" w:hAnsi="Garamond"/>
          <w:sz w:val="22"/>
          <w:szCs w:val="22"/>
        </w:rPr>
        <w:t>5.</w:t>
      </w:r>
      <w:r w:rsidR="00AD4B33">
        <w:rPr>
          <w:rFonts w:ascii="Garamond" w:hAnsi="Garamond"/>
          <w:sz w:val="22"/>
          <w:szCs w:val="22"/>
        </w:rPr>
        <w:t>2</w:t>
      </w:r>
      <w:r w:rsidR="00B93284" w:rsidRPr="004D4162">
        <w:rPr>
          <w:rFonts w:ascii="Garamond" w:hAnsi="Garamond"/>
          <w:sz w:val="22"/>
          <w:szCs w:val="22"/>
        </w:rPr>
        <w:t>5%.</w:t>
      </w:r>
    </w:p>
    <w:p w14:paraId="7C1C02AB" w14:textId="77777777" w:rsidR="00C838BF" w:rsidRDefault="00B93284" w:rsidP="00B93284">
      <w:pPr>
        <w:spacing w:line="360" w:lineRule="auto"/>
        <w:jc w:val="both"/>
        <w:rPr>
          <w:rFonts w:ascii="Garamond" w:hAnsi="Garamond"/>
          <w:sz w:val="22"/>
          <w:szCs w:val="22"/>
        </w:rPr>
      </w:pPr>
      <w:r w:rsidRPr="004D4162">
        <w:rPr>
          <w:rFonts w:ascii="Garamond" w:hAnsi="Garamond"/>
          <w:sz w:val="22"/>
          <w:szCs w:val="22"/>
        </w:rPr>
        <w:t>2.</w:t>
      </w:r>
      <w:r w:rsidR="00C838BF">
        <w:rPr>
          <w:rFonts w:ascii="Garamond" w:hAnsi="Garamond"/>
          <w:sz w:val="22"/>
          <w:szCs w:val="22"/>
        </w:rPr>
        <w:t xml:space="preserve"> </w:t>
      </w:r>
      <w:r w:rsidR="00AD4B33">
        <w:rPr>
          <w:rFonts w:ascii="Garamond" w:hAnsi="Garamond"/>
          <w:sz w:val="22"/>
          <w:szCs w:val="22"/>
        </w:rPr>
        <w:t xml:space="preserve">To the Financial Markets Department </w:t>
      </w:r>
      <w:r w:rsidR="00C838BF">
        <w:rPr>
          <w:rFonts w:ascii="Garamond" w:hAnsi="Garamond"/>
          <w:sz w:val="22"/>
          <w:szCs w:val="22"/>
        </w:rPr>
        <w:t xml:space="preserve">of the Central Bank </w:t>
      </w:r>
      <w:r w:rsidR="00AD4B33">
        <w:rPr>
          <w:rFonts w:ascii="Garamond" w:hAnsi="Garamond"/>
          <w:sz w:val="22"/>
          <w:szCs w:val="22"/>
        </w:rPr>
        <w:t xml:space="preserve">to perform </w:t>
      </w:r>
      <w:r w:rsidR="00C838BF">
        <w:rPr>
          <w:rFonts w:ascii="Garamond" w:hAnsi="Garamond"/>
          <w:sz w:val="22"/>
          <w:szCs w:val="22"/>
        </w:rPr>
        <w:t xml:space="preserve">the Central Bank </w:t>
      </w:r>
      <w:r w:rsidR="00AD4B33">
        <w:rPr>
          <w:rFonts w:ascii="Garamond" w:hAnsi="Garamond"/>
          <w:sz w:val="22"/>
          <w:szCs w:val="22"/>
        </w:rPr>
        <w:t xml:space="preserve">transactions in the financial market </w:t>
      </w:r>
      <w:r w:rsidR="00C838BF">
        <w:rPr>
          <w:rFonts w:ascii="Garamond" w:hAnsi="Garamond"/>
          <w:sz w:val="22"/>
          <w:szCs w:val="22"/>
        </w:rPr>
        <w:t>by the following interest rates:</w:t>
      </w:r>
    </w:p>
    <w:p w14:paraId="7B4607E9" w14:textId="77777777" w:rsidR="00B93284" w:rsidRPr="004D4162" w:rsidRDefault="00C838BF" w:rsidP="00B93284">
      <w:pPr>
        <w:spacing w:line="360" w:lineRule="auto"/>
        <w:jc w:val="both"/>
        <w:rPr>
          <w:rFonts w:ascii="Garamond" w:hAnsi="Garamond"/>
          <w:sz w:val="22"/>
          <w:szCs w:val="22"/>
        </w:rPr>
      </w:pPr>
      <w:r>
        <w:rPr>
          <w:rFonts w:ascii="Garamond" w:hAnsi="Garamond"/>
          <w:sz w:val="22"/>
          <w:szCs w:val="22"/>
        </w:rPr>
        <w:t xml:space="preserve">2.1. </w:t>
      </w:r>
      <w:r w:rsidR="00B93284" w:rsidRPr="004D4162">
        <w:rPr>
          <w:rFonts w:ascii="Garamond" w:hAnsi="Garamond"/>
          <w:sz w:val="22"/>
          <w:szCs w:val="22"/>
        </w:rPr>
        <w:t xml:space="preserve">Lombard facility rate offered by the Central Bank of the Republic of Armenia to be </w:t>
      </w:r>
      <w:r>
        <w:rPr>
          <w:rFonts w:ascii="Garamond" w:hAnsi="Garamond"/>
          <w:sz w:val="22"/>
          <w:szCs w:val="22"/>
        </w:rPr>
        <w:t>6</w:t>
      </w:r>
      <w:r w:rsidR="00B93284" w:rsidRPr="004D4162">
        <w:rPr>
          <w:rFonts w:ascii="Garamond" w:hAnsi="Garamond"/>
          <w:sz w:val="22"/>
          <w:szCs w:val="22"/>
        </w:rPr>
        <w:t>.</w:t>
      </w:r>
      <w:r>
        <w:rPr>
          <w:rFonts w:ascii="Garamond" w:hAnsi="Garamond"/>
          <w:sz w:val="22"/>
          <w:szCs w:val="22"/>
        </w:rPr>
        <w:t>75</w:t>
      </w:r>
      <w:r w:rsidR="00B93284" w:rsidRPr="004D4162">
        <w:rPr>
          <w:rFonts w:ascii="Garamond" w:hAnsi="Garamond"/>
          <w:sz w:val="22"/>
          <w:szCs w:val="22"/>
        </w:rPr>
        <w:t>%.</w:t>
      </w:r>
    </w:p>
    <w:p w14:paraId="13106AB4" w14:textId="77777777" w:rsidR="00B93284" w:rsidRPr="004D4162" w:rsidRDefault="00C838BF" w:rsidP="00B93284">
      <w:pPr>
        <w:spacing w:line="360" w:lineRule="auto"/>
        <w:jc w:val="both"/>
        <w:rPr>
          <w:rFonts w:ascii="Garamond" w:hAnsi="Garamond"/>
          <w:sz w:val="22"/>
          <w:szCs w:val="22"/>
        </w:rPr>
      </w:pPr>
      <w:r>
        <w:rPr>
          <w:rFonts w:ascii="Garamond" w:hAnsi="Garamond"/>
          <w:sz w:val="22"/>
          <w:szCs w:val="22"/>
        </w:rPr>
        <w:t xml:space="preserve">2.2 </w:t>
      </w:r>
      <w:r w:rsidR="00B93284" w:rsidRPr="004D4162">
        <w:rPr>
          <w:rFonts w:ascii="Garamond" w:hAnsi="Garamond"/>
          <w:sz w:val="22"/>
          <w:szCs w:val="22"/>
        </w:rPr>
        <w:t xml:space="preserve">Deposit facility rate offered by the Central Bank of the Republic of Armenia to be </w:t>
      </w:r>
      <w:r>
        <w:rPr>
          <w:rFonts w:ascii="Garamond" w:hAnsi="Garamond"/>
          <w:sz w:val="22"/>
          <w:szCs w:val="22"/>
        </w:rPr>
        <w:t>3</w:t>
      </w:r>
      <w:r w:rsidR="00B93284" w:rsidRPr="004D4162">
        <w:rPr>
          <w:rFonts w:ascii="Garamond" w:hAnsi="Garamond"/>
          <w:sz w:val="22"/>
          <w:szCs w:val="22"/>
        </w:rPr>
        <w:t>.</w:t>
      </w:r>
      <w:r>
        <w:rPr>
          <w:rFonts w:ascii="Garamond" w:hAnsi="Garamond"/>
          <w:sz w:val="22"/>
          <w:szCs w:val="22"/>
        </w:rPr>
        <w:t>75</w:t>
      </w:r>
      <w:r w:rsidR="00B93284" w:rsidRPr="004D4162">
        <w:rPr>
          <w:rFonts w:ascii="Garamond" w:hAnsi="Garamond"/>
          <w:sz w:val="22"/>
          <w:szCs w:val="22"/>
        </w:rPr>
        <w:t>%.</w:t>
      </w:r>
    </w:p>
    <w:p w14:paraId="0861E58B" w14:textId="77777777" w:rsidR="00B93284" w:rsidRPr="004D4162" w:rsidRDefault="00C838BF" w:rsidP="00B93284">
      <w:pPr>
        <w:spacing w:line="360" w:lineRule="auto"/>
        <w:jc w:val="both"/>
        <w:rPr>
          <w:rFonts w:ascii="Garamond" w:hAnsi="Garamond"/>
          <w:sz w:val="22"/>
          <w:szCs w:val="22"/>
        </w:rPr>
      </w:pPr>
      <w:r>
        <w:rPr>
          <w:rFonts w:ascii="Garamond" w:hAnsi="Garamond"/>
          <w:sz w:val="22"/>
          <w:szCs w:val="22"/>
        </w:rPr>
        <w:t xml:space="preserve">3. </w:t>
      </w:r>
      <w:r w:rsidR="00B93284" w:rsidRPr="004D4162">
        <w:rPr>
          <w:rFonts w:ascii="Garamond" w:hAnsi="Garamond"/>
          <w:sz w:val="22"/>
          <w:szCs w:val="22"/>
        </w:rPr>
        <w:t>This decision take</w:t>
      </w:r>
      <w:r w:rsidR="00B93284">
        <w:rPr>
          <w:rFonts w:ascii="Garamond" w:hAnsi="Garamond"/>
          <w:sz w:val="22"/>
          <w:szCs w:val="22"/>
        </w:rPr>
        <w:t>s</w:t>
      </w:r>
      <w:r w:rsidR="00B93284" w:rsidRPr="004D4162">
        <w:rPr>
          <w:rFonts w:ascii="Garamond" w:hAnsi="Garamond"/>
          <w:sz w:val="22"/>
          <w:szCs w:val="22"/>
        </w:rPr>
        <w:t xml:space="preserve"> </w:t>
      </w:r>
      <w:r>
        <w:rPr>
          <w:rFonts w:ascii="Garamond" w:hAnsi="Garamond"/>
          <w:sz w:val="22"/>
          <w:szCs w:val="22"/>
        </w:rPr>
        <w:t>effect through a procedure required by law</w:t>
      </w:r>
      <w:r w:rsidR="00B93284" w:rsidRPr="004D4162">
        <w:rPr>
          <w:rFonts w:ascii="Garamond" w:hAnsi="Garamond"/>
          <w:sz w:val="22"/>
          <w:szCs w:val="22"/>
        </w:rPr>
        <w:t>.</w:t>
      </w:r>
      <w:r w:rsidR="00B93284">
        <w:rPr>
          <w:rFonts w:ascii="Garamond" w:hAnsi="Garamond"/>
          <w:sz w:val="22"/>
          <w:szCs w:val="22"/>
        </w:rPr>
        <w:t xml:space="preserve"> </w:t>
      </w:r>
    </w:p>
    <w:p w14:paraId="1F3B1409" w14:textId="77777777" w:rsidR="00B93284" w:rsidRPr="004D4162" w:rsidRDefault="00B93284" w:rsidP="00B93284">
      <w:pPr>
        <w:spacing w:line="360" w:lineRule="auto"/>
        <w:jc w:val="both"/>
        <w:rPr>
          <w:rFonts w:ascii="Garamond" w:hAnsi="Garamond"/>
          <w:sz w:val="22"/>
          <w:szCs w:val="22"/>
        </w:rPr>
      </w:pPr>
    </w:p>
    <w:p w14:paraId="411DFD5D" w14:textId="77777777" w:rsidR="00B93284" w:rsidRPr="004D4162" w:rsidRDefault="00C838BF" w:rsidP="00B93284">
      <w:pPr>
        <w:spacing w:line="360" w:lineRule="auto"/>
        <w:jc w:val="both"/>
        <w:rPr>
          <w:rFonts w:ascii="Garamond" w:hAnsi="Garamond"/>
          <w:b/>
          <w:sz w:val="22"/>
          <w:szCs w:val="22"/>
        </w:rPr>
      </w:pPr>
      <w:r>
        <w:rPr>
          <w:rFonts w:ascii="Garamond" w:hAnsi="Garamond"/>
          <w:b/>
          <w:sz w:val="22"/>
          <w:szCs w:val="22"/>
        </w:rPr>
        <w:t>Arthur Javadyan</w:t>
      </w:r>
      <w:r w:rsidR="00B93284" w:rsidRPr="004D4162">
        <w:rPr>
          <w:rFonts w:ascii="Garamond" w:hAnsi="Garamond"/>
          <w:b/>
          <w:sz w:val="22"/>
          <w:szCs w:val="22"/>
        </w:rPr>
        <w:t>,</w:t>
      </w:r>
    </w:p>
    <w:p w14:paraId="2896F782" w14:textId="77777777" w:rsidR="00B93284" w:rsidRPr="004D4162" w:rsidRDefault="00B93284" w:rsidP="00B93284">
      <w:pPr>
        <w:spacing w:line="360" w:lineRule="auto"/>
        <w:jc w:val="both"/>
        <w:rPr>
          <w:rFonts w:ascii="Garamond" w:hAnsi="Garamond"/>
          <w:b/>
          <w:sz w:val="22"/>
          <w:szCs w:val="22"/>
        </w:rPr>
      </w:pPr>
      <w:r w:rsidRPr="004D4162">
        <w:rPr>
          <w:rFonts w:ascii="Garamond" w:hAnsi="Garamond"/>
          <w:b/>
          <w:sz w:val="22"/>
          <w:szCs w:val="22"/>
        </w:rPr>
        <w:t>Governor of the Central Bank</w:t>
      </w:r>
    </w:p>
    <w:p w14:paraId="562C75D1" w14:textId="77777777" w:rsidR="00B93284" w:rsidRPr="004D4162" w:rsidRDefault="00B93284" w:rsidP="00B93284">
      <w:pPr>
        <w:spacing w:line="360" w:lineRule="auto"/>
        <w:jc w:val="both"/>
        <w:rPr>
          <w:rFonts w:ascii="Garamond" w:hAnsi="Garamond"/>
          <w:b/>
          <w:sz w:val="22"/>
          <w:szCs w:val="22"/>
        </w:rPr>
      </w:pPr>
    </w:p>
    <w:p w14:paraId="1B5CE3CC" w14:textId="77777777" w:rsidR="00B93284" w:rsidRPr="004D4162" w:rsidRDefault="00C838BF" w:rsidP="00B93284">
      <w:pPr>
        <w:spacing w:line="360" w:lineRule="auto"/>
        <w:jc w:val="both"/>
        <w:rPr>
          <w:rFonts w:ascii="Garamond" w:hAnsi="Garamond"/>
          <w:sz w:val="22"/>
          <w:szCs w:val="22"/>
        </w:rPr>
      </w:pPr>
      <w:r>
        <w:rPr>
          <w:rFonts w:ascii="Garamond" w:hAnsi="Garamond"/>
          <w:b/>
          <w:sz w:val="22"/>
          <w:szCs w:val="22"/>
        </w:rPr>
        <w:t>March</w:t>
      </w:r>
      <w:r w:rsidR="00B93284" w:rsidRPr="004D4162">
        <w:rPr>
          <w:rFonts w:ascii="Garamond" w:hAnsi="Garamond"/>
          <w:b/>
          <w:sz w:val="22"/>
          <w:szCs w:val="22"/>
        </w:rPr>
        <w:t xml:space="preserve"> </w:t>
      </w:r>
      <w:r w:rsidR="00B93284">
        <w:rPr>
          <w:rFonts w:ascii="Garamond" w:hAnsi="Garamond"/>
          <w:b/>
          <w:sz w:val="22"/>
          <w:szCs w:val="22"/>
        </w:rPr>
        <w:t>1</w:t>
      </w:r>
      <w:r>
        <w:rPr>
          <w:rFonts w:ascii="Garamond" w:hAnsi="Garamond"/>
          <w:b/>
          <w:sz w:val="22"/>
          <w:szCs w:val="22"/>
        </w:rPr>
        <w:t>7</w:t>
      </w:r>
      <w:r w:rsidR="00B93284" w:rsidRPr="004D4162">
        <w:rPr>
          <w:rFonts w:ascii="Garamond" w:hAnsi="Garamond"/>
          <w:b/>
          <w:sz w:val="22"/>
          <w:szCs w:val="22"/>
        </w:rPr>
        <w:t>, 20</w:t>
      </w:r>
      <w:r>
        <w:rPr>
          <w:rFonts w:ascii="Garamond" w:hAnsi="Garamond"/>
          <w:b/>
          <w:sz w:val="22"/>
          <w:szCs w:val="22"/>
        </w:rPr>
        <w:t>20</w:t>
      </w:r>
    </w:p>
    <w:p w14:paraId="6CD27C2B" w14:textId="77777777" w:rsidR="00B93284" w:rsidRPr="004D4162" w:rsidRDefault="00B93284" w:rsidP="00B93284">
      <w:pPr>
        <w:spacing w:line="360" w:lineRule="auto"/>
        <w:jc w:val="both"/>
        <w:rPr>
          <w:rFonts w:ascii="Garamond" w:hAnsi="Garamond"/>
          <w:sz w:val="22"/>
          <w:szCs w:val="22"/>
        </w:rPr>
      </w:pPr>
      <w:r w:rsidRPr="004D4162">
        <w:rPr>
          <w:rFonts w:ascii="Garamond" w:hAnsi="Garamond"/>
          <w:sz w:val="22"/>
          <w:szCs w:val="22"/>
        </w:rPr>
        <w:t>c. Yerevan</w:t>
      </w:r>
    </w:p>
    <w:p w14:paraId="664355AD" w14:textId="77777777" w:rsidR="00B93284" w:rsidRPr="004D4162" w:rsidRDefault="00B93284" w:rsidP="00B93284">
      <w:pPr>
        <w:spacing w:line="360" w:lineRule="auto"/>
        <w:jc w:val="center"/>
        <w:rPr>
          <w:rFonts w:ascii="Garamond" w:hAnsi="Garamond"/>
          <w:b/>
          <w:color w:val="0070C0"/>
          <w:sz w:val="22"/>
          <w:szCs w:val="22"/>
        </w:rPr>
      </w:pPr>
    </w:p>
    <w:p w14:paraId="1A965116" w14:textId="77777777" w:rsidR="00B93284" w:rsidRPr="004D4162" w:rsidRDefault="00B93284" w:rsidP="00B93284">
      <w:pPr>
        <w:spacing w:line="360" w:lineRule="auto"/>
        <w:jc w:val="center"/>
        <w:rPr>
          <w:rFonts w:ascii="Garamond" w:hAnsi="Garamond"/>
          <w:b/>
          <w:color w:val="0070C0"/>
          <w:sz w:val="22"/>
          <w:szCs w:val="22"/>
        </w:rPr>
      </w:pPr>
    </w:p>
    <w:p w14:paraId="7DF4E37C" w14:textId="77777777" w:rsidR="00B93284" w:rsidRPr="004D4162" w:rsidRDefault="00B93284" w:rsidP="00B93284">
      <w:pPr>
        <w:spacing w:line="360" w:lineRule="auto"/>
        <w:jc w:val="center"/>
        <w:rPr>
          <w:rFonts w:ascii="Garamond" w:hAnsi="Garamond"/>
          <w:b/>
          <w:color w:val="0070C0"/>
          <w:sz w:val="22"/>
          <w:szCs w:val="22"/>
        </w:rPr>
      </w:pPr>
    </w:p>
    <w:p w14:paraId="44FB30F8" w14:textId="77777777" w:rsidR="00B93284" w:rsidRPr="004D4162" w:rsidRDefault="00B93284" w:rsidP="00B93284">
      <w:pPr>
        <w:spacing w:line="360" w:lineRule="auto"/>
        <w:jc w:val="center"/>
        <w:rPr>
          <w:rFonts w:ascii="Garamond" w:hAnsi="Garamond"/>
          <w:b/>
          <w:color w:val="0070C0"/>
          <w:sz w:val="22"/>
          <w:szCs w:val="22"/>
        </w:rPr>
      </w:pPr>
    </w:p>
    <w:p w14:paraId="1DA6542E" w14:textId="77777777" w:rsidR="00B93284" w:rsidRPr="004D4162" w:rsidRDefault="00B93284" w:rsidP="00B93284">
      <w:pPr>
        <w:spacing w:line="360" w:lineRule="auto"/>
        <w:jc w:val="center"/>
        <w:rPr>
          <w:rFonts w:ascii="Garamond" w:hAnsi="Garamond"/>
          <w:b/>
          <w:color w:val="0070C0"/>
          <w:sz w:val="22"/>
          <w:szCs w:val="22"/>
        </w:rPr>
      </w:pPr>
    </w:p>
    <w:p w14:paraId="3041E394" w14:textId="77777777" w:rsidR="00B93284" w:rsidRPr="004D4162" w:rsidRDefault="00B93284" w:rsidP="00B93284">
      <w:pPr>
        <w:spacing w:line="360" w:lineRule="auto"/>
        <w:jc w:val="center"/>
        <w:rPr>
          <w:rFonts w:ascii="Garamond" w:hAnsi="Garamond"/>
          <w:b/>
          <w:color w:val="0070C0"/>
          <w:sz w:val="22"/>
          <w:szCs w:val="22"/>
        </w:rPr>
      </w:pPr>
    </w:p>
    <w:p w14:paraId="722B00AE" w14:textId="77777777" w:rsidR="00B93284" w:rsidRPr="004D4162" w:rsidRDefault="00B93284" w:rsidP="00B93284">
      <w:pPr>
        <w:spacing w:line="360" w:lineRule="auto"/>
        <w:jc w:val="center"/>
        <w:rPr>
          <w:rFonts w:ascii="Garamond" w:hAnsi="Garamond"/>
          <w:b/>
          <w:color w:val="0070C0"/>
          <w:sz w:val="22"/>
          <w:szCs w:val="22"/>
        </w:rPr>
      </w:pPr>
    </w:p>
    <w:p w14:paraId="42C6D796" w14:textId="77777777" w:rsidR="00B93284" w:rsidRPr="004D4162" w:rsidRDefault="00B93284" w:rsidP="00B93284">
      <w:pPr>
        <w:spacing w:line="360" w:lineRule="auto"/>
        <w:jc w:val="center"/>
        <w:rPr>
          <w:rFonts w:ascii="Garamond" w:hAnsi="Garamond"/>
          <w:b/>
          <w:color w:val="0070C0"/>
          <w:sz w:val="22"/>
          <w:szCs w:val="22"/>
        </w:rPr>
      </w:pPr>
    </w:p>
    <w:p w14:paraId="6E1831B3" w14:textId="77777777" w:rsidR="00B93284" w:rsidRPr="004D4162" w:rsidRDefault="00B93284" w:rsidP="00B93284">
      <w:pPr>
        <w:spacing w:line="360" w:lineRule="auto"/>
        <w:jc w:val="center"/>
        <w:rPr>
          <w:rFonts w:ascii="Garamond" w:hAnsi="Garamond"/>
          <w:b/>
          <w:color w:val="0070C0"/>
          <w:sz w:val="22"/>
          <w:szCs w:val="22"/>
        </w:rPr>
      </w:pPr>
    </w:p>
    <w:p w14:paraId="54E11D2A" w14:textId="77777777" w:rsidR="00B93284" w:rsidRPr="004D4162" w:rsidRDefault="00B93284" w:rsidP="00B93284">
      <w:pPr>
        <w:jc w:val="center"/>
        <w:rPr>
          <w:rFonts w:ascii="Garamond" w:hAnsi="Garamond"/>
          <w:b/>
          <w:color w:val="0070C0"/>
          <w:sz w:val="22"/>
          <w:szCs w:val="22"/>
        </w:rPr>
      </w:pPr>
    </w:p>
    <w:p w14:paraId="31126E5D" w14:textId="77777777" w:rsidR="00B93284" w:rsidRPr="004D4162" w:rsidRDefault="00B93284" w:rsidP="00B93284">
      <w:pPr>
        <w:jc w:val="center"/>
        <w:rPr>
          <w:rFonts w:ascii="Garamond" w:hAnsi="Garamond"/>
          <w:b/>
          <w:color w:val="0070C0"/>
          <w:sz w:val="22"/>
          <w:szCs w:val="22"/>
        </w:rPr>
      </w:pPr>
    </w:p>
    <w:p w14:paraId="167C319D" w14:textId="77777777" w:rsidR="00B93284" w:rsidRPr="00B16FA4" w:rsidRDefault="00B93284" w:rsidP="00B93284">
      <w:pPr>
        <w:jc w:val="center"/>
        <w:rPr>
          <w:rFonts w:ascii="Garamond" w:hAnsi="Garamond"/>
          <w:b/>
          <w:color w:val="0070C0"/>
          <w:sz w:val="22"/>
          <w:szCs w:val="22"/>
        </w:rPr>
      </w:pPr>
      <w:r w:rsidRPr="00B16FA4">
        <w:rPr>
          <w:rFonts w:ascii="Garamond" w:hAnsi="Garamond"/>
          <w:b/>
          <w:color w:val="0070C0"/>
          <w:sz w:val="22"/>
          <w:szCs w:val="22"/>
        </w:rPr>
        <w:t>PRESS RELEASE</w:t>
      </w:r>
    </w:p>
    <w:p w14:paraId="7A735FF6" w14:textId="77777777" w:rsidR="00B93284" w:rsidRPr="00B16FA4" w:rsidRDefault="00B93284" w:rsidP="00B93284">
      <w:pPr>
        <w:jc w:val="center"/>
        <w:rPr>
          <w:rFonts w:ascii="Garamond" w:hAnsi="Garamond"/>
          <w:sz w:val="22"/>
          <w:szCs w:val="22"/>
        </w:rPr>
      </w:pPr>
      <w:r>
        <w:rPr>
          <w:rFonts w:ascii="Garamond" w:hAnsi="Garamond"/>
          <w:b/>
          <w:color w:val="0070C0"/>
          <w:sz w:val="22"/>
          <w:szCs w:val="22"/>
        </w:rPr>
        <w:t>1</w:t>
      </w:r>
      <w:r w:rsidR="00C838BF">
        <w:rPr>
          <w:rFonts w:ascii="Garamond" w:hAnsi="Garamond"/>
          <w:b/>
          <w:color w:val="0070C0"/>
          <w:sz w:val="22"/>
          <w:szCs w:val="22"/>
        </w:rPr>
        <w:t>7</w:t>
      </w:r>
      <w:r w:rsidRPr="00B16FA4">
        <w:rPr>
          <w:rFonts w:ascii="Garamond" w:hAnsi="Garamond"/>
          <w:b/>
          <w:color w:val="0070C0"/>
          <w:sz w:val="22"/>
          <w:szCs w:val="22"/>
        </w:rPr>
        <w:t>.</w:t>
      </w:r>
      <w:r w:rsidR="00C838BF">
        <w:rPr>
          <w:rFonts w:ascii="Garamond" w:hAnsi="Garamond"/>
          <w:b/>
          <w:color w:val="0070C0"/>
          <w:sz w:val="22"/>
          <w:szCs w:val="22"/>
        </w:rPr>
        <w:t>03</w:t>
      </w:r>
      <w:r w:rsidRPr="00B16FA4">
        <w:rPr>
          <w:rFonts w:ascii="Garamond" w:hAnsi="Garamond"/>
          <w:b/>
          <w:color w:val="0070C0"/>
          <w:sz w:val="22"/>
          <w:szCs w:val="22"/>
        </w:rPr>
        <w:t>.20</w:t>
      </w:r>
      <w:r w:rsidR="00C838BF">
        <w:rPr>
          <w:rFonts w:ascii="Garamond" w:hAnsi="Garamond"/>
          <w:b/>
          <w:color w:val="0070C0"/>
          <w:sz w:val="22"/>
          <w:szCs w:val="22"/>
        </w:rPr>
        <w:t>20</w:t>
      </w:r>
    </w:p>
    <w:p w14:paraId="2DE403A5" w14:textId="77777777" w:rsidR="00B93284" w:rsidRPr="00B16FA4" w:rsidRDefault="00B93284" w:rsidP="00B93284">
      <w:pPr>
        <w:jc w:val="both"/>
        <w:rPr>
          <w:rFonts w:ascii="Garamond" w:hAnsi="Garamond"/>
          <w:sz w:val="22"/>
          <w:szCs w:val="22"/>
        </w:rPr>
      </w:pPr>
    </w:p>
    <w:p w14:paraId="1323800D" w14:textId="77777777" w:rsidR="00C838BF" w:rsidRPr="00214A7C" w:rsidRDefault="00C838BF" w:rsidP="00C838BF">
      <w:pPr>
        <w:jc w:val="both"/>
        <w:rPr>
          <w:rFonts w:ascii="Garamond" w:hAnsi="Garamond"/>
          <w:b/>
        </w:rPr>
      </w:pPr>
      <w:r w:rsidRPr="00214A7C">
        <w:rPr>
          <w:rFonts w:ascii="Garamond" w:hAnsi="Garamond"/>
          <w:b/>
        </w:rPr>
        <w:t>PRESS RELEASE</w:t>
      </w:r>
    </w:p>
    <w:p w14:paraId="0DECFF2F" w14:textId="77777777" w:rsidR="00C838BF" w:rsidRPr="00214A7C" w:rsidRDefault="00C838BF" w:rsidP="00C838BF">
      <w:pPr>
        <w:jc w:val="both"/>
        <w:rPr>
          <w:rFonts w:ascii="Garamond" w:hAnsi="Garamond"/>
        </w:rPr>
      </w:pPr>
      <w:r w:rsidRPr="00214A7C">
        <w:rPr>
          <w:rFonts w:ascii="Garamond" w:hAnsi="Garamond"/>
          <w:b/>
        </w:rPr>
        <w:t>17.03.2020: Refinancing rate cut by 0.25 p</w:t>
      </w:r>
      <w:r>
        <w:rPr>
          <w:rFonts w:ascii="Garamond" w:hAnsi="Garamond"/>
          <w:b/>
        </w:rPr>
        <w:t>p to 5.</w:t>
      </w:r>
      <w:r w:rsidRPr="00214A7C">
        <w:rPr>
          <w:rFonts w:ascii="Garamond" w:hAnsi="Garamond"/>
          <w:b/>
        </w:rPr>
        <w:t>25%</w:t>
      </w:r>
    </w:p>
    <w:p w14:paraId="62431CDC" w14:textId="77777777" w:rsidR="00C838BF" w:rsidRPr="00214A7C" w:rsidRDefault="00C838BF" w:rsidP="00C838BF">
      <w:pPr>
        <w:jc w:val="both"/>
        <w:rPr>
          <w:rFonts w:ascii="Garamond" w:hAnsi="Garamond"/>
        </w:rPr>
      </w:pPr>
    </w:p>
    <w:p w14:paraId="79DFFEF9" w14:textId="77777777" w:rsidR="00C838BF" w:rsidRPr="00214A7C" w:rsidRDefault="00C838BF" w:rsidP="00C838BF">
      <w:pPr>
        <w:jc w:val="both"/>
        <w:rPr>
          <w:rFonts w:ascii="Garamond" w:hAnsi="Garamond"/>
        </w:rPr>
      </w:pPr>
      <w:r>
        <w:rPr>
          <w:rFonts w:ascii="Garamond" w:hAnsi="Garamond"/>
        </w:rPr>
        <w:t>At the</w:t>
      </w:r>
      <w:r w:rsidRPr="00214A7C">
        <w:rPr>
          <w:rFonts w:ascii="Garamond" w:hAnsi="Garamond"/>
        </w:rPr>
        <w:t xml:space="preserve"> March 17</w:t>
      </w:r>
      <w:r>
        <w:rPr>
          <w:rFonts w:ascii="Garamond" w:hAnsi="Garamond"/>
        </w:rPr>
        <w:t xml:space="preserve"> 2020</w:t>
      </w:r>
      <w:r w:rsidRPr="00214A7C">
        <w:rPr>
          <w:rFonts w:ascii="Garamond" w:hAnsi="Garamond"/>
        </w:rPr>
        <w:t xml:space="preserve"> meeting, the CBA Board decided to </w:t>
      </w:r>
      <w:r>
        <w:rPr>
          <w:rFonts w:ascii="Garamond" w:hAnsi="Garamond"/>
        </w:rPr>
        <w:t>cut</w:t>
      </w:r>
      <w:r w:rsidRPr="00214A7C">
        <w:rPr>
          <w:rFonts w:ascii="Garamond" w:hAnsi="Garamond"/>
        </w:rPr>
        <w:t xml:space="preserve"> the refinancing rate by 0.25 p</w:t>
      </w:r>
      <w:r>
        <w:rPr>
          <w:rFonts w:ascii="Garamond" w:hAnsi="Garamond"/>
        </w:rPr>
        <w:t>p to 5.</w:t>
      </w:r>
      <w:r w:rsidRPr="00214A7C">
        <w:rPr>
          <w:rFonts w:ascii="Garamond" w:hAnsi="Garamond"/>
        </w:rPr>
        <w:t>25%.</w:t>
      </w:r>
    </w:p>
    <w:p w14:paraId="49E398E2" w14:textId="77777777" w:rsidR="00C838BF" w:rsidRDefault="00C838BF" w:rsidP="00C838BF">
      <w:pPr>
        <w:jc w:val="both"/>
        <w:rPr>
          <w:rFonts w:ascii="Garamond" w:hAnsi="Garamond"/>
        </w:rPr>
      </w:pPr>
    </w:p>
    <w:p w14:paraId="764BF33A" w14:textId="77777777" w:rsidR="00C838BF" w:rsidRPr="00214A7C" w:rsidRDefault="00C838BF" w:rsidP="00C838BF">
      <w:pPr>
        <w:jc w:val="both"/>
        <w:rPr>
          <w:rFonts w:ascii="Garamond" w:hAnsi="Garamond"/>
        </w:rPr>
      </w:pPr>
      <w:r>
        <w:rPr>
          <w:rFonts w:ascii="Garamond" w:hAnsi="Garamond"/>
        </w:rPr>
        <w:t xml:space="preserve">There was 0.2% deflation </w:t>
      </w:r>
      <w:r w:rsidRPr="00214A7C">
        <w:rPr>
          <w:rFonts w:ascii="Garamond" w:hAnsi="Garamond"/>
        </w:rPr>
        <w:t xml:space="preserve">in February </w:t>
      </w:r>
      <w:r>
        <w:rPr>
          <w:rFonts w:ascii="Garamond" w:hAnsi="Garamond"/>
        </w:rPr>
        <w:t xml:space="preserve">2020 </w:t>
      </w:r>
      <w:r w:rsidRPr="00214A7C">
        <w:rPr>
          <w:rFonts w:ascii="Garamond" w:hAnsi="Garamond"/>
        </w:rPr>
        <w:t>a</w:t>
      </w:r>
      <w:r>
        <w:rPr>
          <w:rFonts w:ascii="Garamond" w:hAnsi="Garamond"/>
        </w:rPr>
        <w:t xml:space="preserve">s opposed to </w:t>
      </w:r>
      <w:r w:rsidRPr="00214A7C">
        <w:rPr>
          <w:rFonts w:ascii="Garamond" w:hAnsi="Garamond"/>
        </w:rPr>
        <w:t xml:space="preserve">0.6% inflation </w:t>
      </w:r>
      <w:r>
        <w:rPr>
          <w:rFonts w:ascii="Garamond" w:hAnsi="Garamond"/>
        </w:rPr>
        <w:t xml:space="preserve">recorded </w:t>
      </w:r>
      <w:r w:rsidRPr="00214A7C">
        <w:rPr>
          <w:rFonts w:ascii="Garamond" w:hAnsi="Garamond"/>
        </w:rPr>
        <w:t xml:space="preserve">in the same month </w:t>
      </w:r>
      <w:r>
        <w:rPr>
          <w:rFonts w:ascii="Garamond" w:hAnsi="Garamond"/>
        </w:rPr>
        <w:t>last year</w:t>
      </w:r>
      <w:r w:rsidRPr="00214A7C">
        <w:rPr>
          <w:rFonts w:ascii="Garamond" w:hAnsi="Garamond"/>
        </w:rPr>
        <w:t xml:space="preserve">, with a 12-month deflation </w:t>
      </w:r>
      <w:r>
        <w:rPr>
          <w:rFonts w:ascii="Garamond" w:hAnsi="Garamond"/>
        </w:rPr>
        <w:t xml:space="preserve">rate having amounted to </w:t>
      </w:r>
      <w:r w:rsidRPr="00214A7C">
        <w:rPr>
          <w:rFonts w:ascii="Garamond" w:hAnsi="Garamond"/>
        </w:rPr>
        <w:t>0.5%.</w:t>
      </w:r>
    </w:p>
    <w:p w14:paraId="16287F21" w14:textId="77777777" w:rsidR="00C838BF" w:rsidRDefault="00C838BF" w:rsidP="00C838BF">
      <w:pPr>
        <w:jc w:val="both"/>
        <w:rPr>
          <w:rFonts w:ascii="Garamond" w:hAnsi="Garamond"/>
        </w:rPr>
      </w:pPr>
    </w:p>
    <w:p w14:paraId="24C29B54" w14:textId="77777777" w:rsidR="00C838BF" w:rsidRPr="00214A7C" w:rsidRDefault="00C838BF" w:rsidP="00C838BF">
      <w:pPr>
        <w:jc w:val="both"/>
        <w:rPr>
          <w:rFonts w:ascii="Garamond" w:hAnsi="Garamond"/>
        </w:rPr>
      </w:pPr>
      <w:r>
        <w:rPr>
          <w:rFonts w:ascii="Garamond" w:hAnsi="Garamond"/>
        </w:rPr>
        <w:t>C</w:t>
      </w:r>
      <w:r w:rsidRPr="00214A7C">
        <w:rPr>
          <w:rFonts w:ascii="Garamond" w:hAnsi="Garamond"/>
        </w:rPr>
        <w:t xml:space="preserve">ontinued spread of </w:t>
      </w:r>
      <w:r>
        <w:rPr>
          <w:rFonts w:ascii="Garamond" w:hAnsi="Garamond"/>
        </w:rPr>
        <w:t xml:space="preserve">the </w:t>
      </w:r>
      <w:r w:rsidRPr="00214A7C">
        <w:rPr>
          <w:rFonts w:ascii="Garamond" w:hAnsi="Garamond"/>
        </w:rPr>
        <w:t xml:space="preserve">coronavirus worldwide </w:t>
      </w:r>
      <w:r>
        <w:rPr>
          <w:rFonts w:ascii="Garamond" w:hAnsi="Garamond"/>
        </w:rPr>
        <w:t xml:space="preserve">is having </w:t>
      </w:r>
      <w:r w:rsidRPr="00214A7C">
        <w:rPr>
          <w:rFonts w:ascii="Garamond" w:hAnsi="Garamond"/>
        </w:rPr>
        <w:t xml:space="preserve">a significant negative impact on the </w:t>
      </w:r>
      <w:r>
        <w:rPr>
          <w:rFonts w:ascii="Garamond" w:hAnsi="Garamond"/>
        </w:rPr>
        <w:t xml:space="preserve">global </w:t>
      </w:r>
      <w:r w:rsidRPr="00214A7C">
        <w:rPr>
          <w:rFonts w:ascii="Garamond" w:hAnsi="Garamond"/>
        </w:rPr>
        <w:t>econom</w:t>
      </w:r>
      <w:r>
        <w:rPr>
          <w:rFonts w:ascii="Garamond" w:hAnsi="Garamond"/>
        </w:rPr>
        <w:t>y and economic growth in partner countries. U</w:t>
      </w:r>
      <w:r w:rsidRPr="00214A7C">
        <w:rPr>
          <w:rFonts w:ascii="Garamond" w:hAnsi="Garamond"/>
        </w:rPr>
        <w:t>ncertainties in the world financial markets have increased s</w:t>
      </w:r>
      <w:r>
        <w:rPr>
          <w:rFonts w:ascii="Garamond" w:hAnsi="Garamond"/>
        </w:rPr>
        <w:t>ubstantially</w:t>
      </w:r>
      <w:r w:rsidRPr="00214A7C">
        <w:rPr>
          <w:rFonts w:ascii="Garamond" w:hAnsi="Garamond"/>
        </w:rPr>
        <w:t xml:space="preserve">, </w:t>
      </w:r>
      <w:r>
        <w:rPr>
          <w:rFonts w:ascii="Garamond" w:hAnsi="Garamond"/>
        </w:rPr>
        <w:t xml:space="preserve">driving </w:t>
      </w:r>
      <w:r w:rsidRPr="00214A7C">
        <w:rPr>
          <w:rFonts w:ascii="Garamond" w:hAnsi="Garamond"/>
        </w:rPr>
        <w:t>stock exchange indices of the developed countries</w:t>
      </w:r>
      <w:r>
        <w:rPr>
          <w:rFonts w:ascii="Garamond" w:hAnsi="Garamond"/>
        </w:rPr>
        <w:t xml:space="preserve"> to continued falling</w:t>
      </w:r>
      <w:r w:rsidRPr="00214A7C">
        <w:rPr>
          <w:rFonts w:ascii="Garamond" w:hAnsi="Garamond"/>
        </w:rPr>
        <w:t xml:space="preserve">, </w:t>
      </w:r>
      <w:r>
        <w:rPr>
          <w:rFonts w:ascii="Garamond" w:hAnsi="Garamond"/>
        </w:rPr>
        <w:t xml:space="preserve">commodity </w:t>
      </w:r>
      <w:r w:rsidRPr="00214A7C">
        <w:rPr>
          <w:rFonts w:ascii="Garamond" w:hAnsi="Garamond"/>
        </w:rPr>
        <w:t>prices</w:t>
      </w:r>
      <w:r>
        <w:rPr>
          <w:rFonts w:ascii="Garamond" w:hAnsi="Garamond"/>
        </w:rPr>
        <w:t xml:space="preserve"> to decline</w:t>
      </w:r>
      <w:r w:rsidRPr="00214A7C">
        <w:rPr>
          <w:rFonts w:ascii="Garamond" w:hAnsi="Garamond"/>
        </w:rPr>
        <w:t xml:space="preserve">, </w:t>
      </w:r>
      <w:r>
        <w:rPr>
          <w:rFonts w:ascii="Garamond" w:hAnsi="Garamond"/>
        </w:rPr>
        <w:t xml:space="preserve">exchange rates to depreciate in </w:t>
      </w:r>
      <w:r w:rsidRPr="00214A7C">
        <w:rPr>
          <w:rFonts w:ascii="Garamond" w:hAnsi="Garamond"/>
        </w:rPr>
        <w:t xml:space="preserve">developing countries, </w:t>
      </w:r>
      <w:r>
        <w:rPr>
          <w:rFonts w:ascii="Garamond" w:hAnsi="Garamond"/>
        </w:rPr>
        <w:t xml:space="preserve">the </w:t>
      </w:r>
      <w:r w:rsidRPr="00214A7C">
        <w:rPr>
          <w:rFonts w:ascii="Garamond" w:hAnsi="Garamond"/>
        </w:rPr>
        <w:t xml:space="preserve">impact </w:t>
      </w:r>
      <w:r>
        <w:rPr>
          <w:rFonts w:ascii="Garamond" w:hAnsi="Garamond"/>
        </w:rPr>
        <w:t xml:space="preserve">of which </w:t>
      </w:r>
      <w:r w:rsidRPr="00214A7C">
        <w:rPr>
          <w:rFonts w:ascii="Garamond" w:hAnsi="Garamond"/>
        </w:rPr>
        <w:t>on the Armenian economy is estimated to be deflationary.</w:t>
      </w:r>
    </w:p>
    <w:p w14:paraId="5BE93A62" w14:textId="77777777" w:rsidR="00C838BF" w:rsidRDefault="00C838BF" w:rsidP="00C838BF">
      <w:pPr>
        <w:jc w:val="both"/>
        <w:rPr>
          <w:rFonts w:ascii="Garamond" w:hAnsi="Garamond"/>
        </w:rPr>
      </w:pPr>
    </w:p>
    <w:p w14:paraId="5238CEFA" w14:textId="77777777" w:rsidR="00C838BF" w:rsidRPr="00214A7C" w:rsidRDefault="00C838BF" w:rsidP="00C838BF">
      <w:pPr>
        <w:jc w:val="both"/>
        <w:rPr>
          <w:rFonts w:ascii="Garamond" w:hAnsi="Garamond"/>
        </w:rPr>
      </w:pPr>
      <w:r w:rsidRPr="00214A7C">
        <w:rPr>
          <w:rFonts w:ascii="Garamond" w:hAnsi="Garamond"/>
        </w:rPr>
        <w:t xml:space="preserve">According to the CBA estimates, these effects are also </w:t>
      </w:r>
      <w:r>
        <w:rPr>
          <w:rFonts w:ascii="Garamond" w:hAnsi="Garamond"/>
        </w:rPr>
        <w:t xml:space="preserve">demonstrated through </w:t>
      </w:r>
      <w:r w:rsidRPr="00214A7C">
        <w:rPr>
          <w:rFonts w:ascii="Garamond" w:hAnsi="Garamond"/>
        </w:rPr>
        <w:t>simultaneous</w:t>
      </w:r>
      <w:r>
        <w:rPr>
          <w:rFonts w:ascii="Garamond" w:hAnsi="Garamond"/>
        </w:rPr>
        <w:t>ly</w:t>
      </w:r>
      <w:r w:rsidRPr="00214A7C">
        <w:rPr>
          <w:rFonts w:ascii="Garamond" w:hAnsi="Garamond"/>
        </w:rPr>
        <w:t xml:space="preserve"> </w:t>
      </w:r>
      <w:r>
        <w:rPr>
          <w:rFonts w:ascii="Garamond" w:hAnsi="Garamond"/>
        </w:rPr>
        <w:t xml:space="preserve">contracting </w:t>
      </w:r>
      <w:r w:rsidRPr="00214A7C">
        <w:rPr>
          <w:rFonts w:ascii="Garamond" w:hAnsi="Garamond"/>
        </w:rPr>
        <w:t xml:space="preserve">aggregate supply and demand in the behavior of the Armenian economy. The main impact is </w:t>
      </w:r>
      <w:r>
        <w:rPr>
          <w:rFonts w:ascii="Garamond" w:hAnsi="Garamond"/>
        </w:rPr>
        <w:t xml:space="preserve">incurred by </w:t>
      </w:r>
      <w:r w:rsidRPr="00214A7C">
        <w:rPr>
          <w:rFonts w:ascii="Garamond" w:hAnsi="Garamond"/>
        </w:rPr>
        <w:t>the services sector, especially the sub-sectors related to tourism and e</w:t>
      </w:r>
      <w:r>
        <w:rPr>
          <w:rFonts w:ascii="Garamond" w:hAnsi="Garamond"/>
        </w:rPr>
        <w:t>ntertainment. According to the main scenario of the CBA</w:t>
      </w:r>
      <w:r w:rsidRPr="00214A7C">
        <w:rPr>
          <w:rFonts w:ascii="Garamond" w:hAnsi="Garamond"/>
        </w:rPr>
        <w:t xml:space="preserve">, economic growth will </w:t>
      </w:r>
      <w:r>
        <w:rPr>
          <w:rFonts w:ascii="Garamond" w:hAnsi="Garamond"/>
        </w:rPr>
        <w:t xml:space="preserve">notably </w:t>
      </w:r>
      <w:r w:rsidRPr="00214A7C">
        <w:rPr>
          <w:rFonts w:ascii="Garamond" w:hAnsi="Garamond"/>
        </w:rPr>
        <w:t xml:space="preserve">slow in the short run, but will not affect </w:t>
      </w:r>
      <w:r>
        <w:rPr>
          <w:rFonts w:ascii="Garamond" w:hAnsi="Garamond"/>
        </w:rPr>
        <w:t xml:space="preserve">Armenia’s </w:t>
      </w:r>
      <w:r w:rsidRPr="00214A7C">
        <w:rPr>
          <w:rFonts w:ascii="Garamond" w:hAnsi="Garamond"/>
        </w:rPr>
        <w:t>long-term economic potential</w:t>
      </w:r>
      <w:r>
        <w:rPr>
          <w:rFonts w:ascii="Garamond" w:hAnsi="Garamond"/>
        </w:rPr>
        <w:t xml:space="preserve"> outlook</w:t>
      </w:r>
      <w:r w:rsidRPr="00214A7C">
        <w:rPr>
          <w:rFonts w:ascii="Garamond" w:hAnsi="Garamond"/>
        </w:rPr>
        <w:t>.</w:t>
      </w:r>
    </w:p>
    <w:p w14:paraId="384BA73E" w14:textId="77777777" w:rsidR="00C838BF" w:rsidRDefault="00C838BF" w:rsidP="00C838BF">
      <w:pPr>
        <w:jc w:val="both"/>
        <w:rPr>
          <w:rFonts w:ascii="Garamond" w:hAnsi="Garamond"/>
        </w:rPr>
      </w:pPr>
    </w:p>
    <w:p w14:paraId="0921B43C" w14:textId="77777777" w:rsidR="00C838BF" w:rsidRPr="00214A7C" w:rsidRDefault="00C838BF" w:rsidP="00C838BF">
      <w:pPr>
        <w:jc w:val="both"/>
        <w:rPr>
          <w:rFonts w:ascii="Garamond" w:hAnsi="Garamond"/>
        </w:rPr>
      </w:pPr>
      <w:r>
        <w:rPr>
          <w:rFonts w:ascii="Garamond" w:hAnsi="Garamond"/>
        </w:rPr>
        <w:t xml:space="preserve">Looking to the </w:t>
      </w:r>
      <w:r w:rsidRPr="00214A7C">
        <w:rPr>
          <w:rFonts w:ascii="Garamond" w:hAnsi="Garamond"/>
        </w:rPr>
        <w:t>developments in the economy</w:t>
      </w:r>
      <w:r>
        <w:rPr>
          <w:rFonts w:ascii="Garamond" w:hAnsi="Garamond"/>
        </w:rPr>
        <w:t>,</w:t>
      </w:r>
      <w:r w:rsidRPr="00214A7C">
        <w:rPr>
          <w:rFonts w:ascii="Garamond" w:hAnsi="Garamond"/>
        </w:rPr>
        <w:t xml:space="preserve"> </w:t>
      </w:r>
      <w:r>
        <w:rPr>
          <w:rFonts w:ascii="Garamond" w:hAnsi="Garamond"/>
        </w:rPr>
        <w:t>t</w:t>
      </w:r>
      <w:r w:rsidRPr="00214A7C">
        <w:rPr>
          <w:rFonts w:ascii="Garamond" w:hAnsi="Garamond"/>
        </w:rPr>
        <w:t>he CB</w:t>
      </w:r>
      <w:r>
        <w:rPr>
          <w:rFonts w:ascii="Garamond" w:hAnsi="Garamond"/>
        </w:rPr>
        <w:t>A</w:t>
      </w:r>
      <w:r w:rsidRPr="00214A7C">
        <w:rPr>
          <w:rFonts w:ascii="Garamond" w:hAnsi="Garamond"/>
        </w:rPr>
        <w:t xml:space="preserve"> Board</w:t>
      </w:r>
      <w:r>
        <w:rPr>
          <w:rFonts w:ascii="Garamond" w:hAnsi="Garamond"/>
        </w:rPr>
        <w:t xml:space="preserve"> </w:t>
      </w:r>
      <w:r w:rsidRPr="00214A7C">
        <w:rPr>
          <w:rFonts w:ascii="Garamond" w:hAnsi="Garamond"/>
        </w:rPr>
        <w:t xml:space="preserve">estimates that the role of monetary policy in the current situation is limited, as the </w:t>
      </w:r>
      <w:r>
        <w:rPr>
          <w:rFonts w:ascii="Garamond" w:hAnsi="Garamond"/>
        </w:rPr>
        <w:t xml:space="preserve">toolkit of </w:t>
      </w:r>
      <w:r w:rsidRPr="00214A7C">
        <w:rPr>
          <w:rFonts w:ascii="Garamond" w:hAnsi="Garamond"/>
        </w:rPr>
        <w:t xml:space="preserve">monetary policy </w:t>
      </w:r>
      <w:r>
        <w:rPr>
          <w:rFonts w:ascii="Garamond" w:hAnsi="Garamond"/>
        </w:rPr>
        <w:t xml:space="preserve">is not set to be able to </w:t>
      </w:r>
      <w:r w:rsidRPr="00214A7C">
        <w:rPr>
          <w:rFonts w:ascii="Garamond" w:hAnsi="Garamond"/>
        </w:rPr>
        <w:t xml:space="preserve">influence the real economic uncertainty </w:t>
      </w:r>
      <w:r>
        <w:rPr>
          <w:rFonts w:ascii="Garamond" w:hAnsi="Garamond"/>
        </w:rPr>
        <w:t xml:space="preserve">growth </w:t>
      </w:r>
      <w:r w:rsidRPr="00214A7C">
        <w:rPr>
          <w:rFonts w:ascii="Garamond" w:hAnsi="Garamond"/>
        </w:rPr>
        <w:t>and the development of certain sectors of the economy</w:t>
      </w:r>
      <w:r w:rsidRPr="00BE6FBD">
        <w:rPr>
          <w:rFonts w:ascii="Garamond" w:hAnsi="Garamond"/>
        </w:rPr>
        <w:t xml:space="preserve"> </w:t>
      </w:r>
      <w:r w:rsidRPr="00214A7C">
        <w:rPr>
          <w:rFonts w:ascii="Garamond" w:hAnsi="Garamond"/>
        </w:rPr>
        <w:t>due to health problems. I</w:t>
      </w:r>
      <w:r>
        <w:rPr>
          <w:rFonts w:ascii="Garamond" w:hAnsi="Garamond"/>
        </w:rPr>
        <w:t>n this circumstance, carrying on to m</w:t>
      </w:r>
      <w:r w:rsidRPr="00214A7C">
        <w:rPr>
          <w:rFonts w:ascii="Garamond" w:hAnsi="Garamond"/>
        </w:rPr>
        <w:t>aintain macroeconomic stability of the country</w:t>
      </w:r>
      <w:r>
        <w:rPr>
          <w:rFonts w:ascii="Garamond" w:hAnsi="Garamond"/>
        </w:rPr>
        <w:t xml:space="preserve"> is important</w:t>
      </w:r>
      <w:r w:rsidRPr="00214A7C">
        <w:rPr>
          <w:rFonts w:ascii="Garamond" w:hAnsi="Garamond"/>
        </w:rPr>
        <w:t>, which w</w:t>
      </w:r>
      <w:r>
        <w:rPr>
          <w:rFonts w:ascii="Garamond" w:hAnsi="Garamond"/>
        </w:rPr>
        <w:t xml:space="preserve">ould </w:t>
      </w:r>
      <w:r w:rsidRPr="00214A7C">
        <w:rPr>
          <w:rFonts w:ascii="Garamond" w:hAnsi="Garamond"/>
        </w:rPr>
        <w:t>allow</w:t>
      </w:r>
      <w:r>
        <w:rPr>
          <w:rFonts w:ascii="Garamond" w:hAnsi="Garamond"/>
        </w:rPr>
        <w:t xml:space="preserve"> to secure </w:t>
      </w:r>
      <w:r w:rsidRPr="00214A7C">
        <w:rPr>
          <w:rFonts w:ascii="Garamond" w:hAnsi="Garamond"/>
        </w:rPr>
        <w:t>the effectiveness of target</w:t>
      </w:r>
      <w:r>
        <w:rPr>
          <w:rFonts w:ascii="Garamond" w:hAnsi="Garamond"/>
        </w:rPr>
        <w:t xml:space="preserve"> </w:t>
      </w:r>
      <w:r w:rsidRPr="00214A7C">
        <w:rPr>
          <w:rFonts w:ascii="Garamond" w:hAnsi="Garamond"/>
        </w:rPr>
        <w:t xml:space="preserve">measures </w:t>
      </w:r>
      <w:r>
        <w:rPr>
          <w:rFonts w:ascii="Garamond" w:hAnsi="Garamond"/>
        </w:rPr>
        <w:t xml:space="preserve">for </w:t>
      </w:r>
      <w:r w:rsidRPr="00214A7C">
        <w:rPr>
          <w:rFonts w:ascii="Garamond" w:hAnsi="Garamond"/>
        </w:rPr>
        <w:t>economic policy</w:t>
      </w:r>
      <w:r>
        <w:rPr>
          <w:rFonts w:ascii="Garamond" w:hAnsi="Garamond"/>
        </w:rPr>
        <w:t xml:space="preserve"> the Government is developing</w:t>
      </w:r>
      <w:r w:rsidRPr="00214A7C">
        <w:rPr>
          <w:rFonts w:ascii="Garamond" w:hAnsi="Garamond"/>
        </w:rPr>
        <w:t xml:space="preserve">. The CBA Board finds that </w:t>
      </w:r>
      <w:r>
        <w:rPr>
          <w:rFonts w:ascii="Garamond" w:hAnsi="Garamond"/>
        </w:rPr>
        <w:t>thanks to low-</w:t>
      </w:r>
      <w:r w:rsidRPr="00214A7C">
        <w:rPr>
          <w:rFonts w:ascii="Garamond" w:hAnsi="Garamond"/>
        </w:rPr>
        <w:t xml:space="preserve">inflationary policy </w:t>
      </w:r>
      <w:r>
        <w:rPr>
          <w:rFonts w:ascii="Garamond" w:hAnsi="Garamond"/>
        </w:rPr>
        <w:t xml:space="preserve">pursued </w:t>
      </w:r>
      <w:r w:rsidRPr="00214A7C">
        <w:rPr>
          <w:rFonts w:ascii="Garamond" w:hAnsi="Garamond"/>
        </w:rPr>
        <w:t>in recent years</w:t>
      </w:r>
      <w:r>
        <w:rPr>
          <w:rFonts w:ascii="Garamond" w:hAnsi="Garamond"/>
        </w:rPr>
        <w:t xml:space="preserve"> the </w:t>
      </w:r>
      <w:r w:rsidRPr="00214A7C">
        <w:rPr>
          <w:rFonts w:ascii="Garamond" w:hAnsi="Garamond"/>
        </w:rPr>
        <w:t>inflation expectations are now sufficiently anchored</w:t>
      </w:r>
      <w:r>
        <w:rPr>
          <w:rFonts w:ascii="Garamond" w:hAnsi="Garamond"/>
        </w:rPr>
        <w:t xml:space="preserve">. Therefore, </w:t>
      </w:r>
      <w:r w:rsidRPr="00214A7C">
        <w:rPr>
          <w:rFonts w:ascii="Garamond" w:hAnsi="Garamond"/>
        </w:rPr>
        <w:t>given the CB</w:t>
      </w:r>
      <w:r>
        <w:rPr>
          <w:rFonts w:ascii="Garamond" w:hAnsi="Garamond"/>
        </w:rPr>
        <w:t>A’</w:t>
      </w:r>
      <w:r w:rsidRPr="00214A7C">
        <w:rPr>
          <w:rFonts w:ascii="Garamond" w:hAnsi="Garamond"/>
        </w:rPr>
        <w:t xml:space="preserve">s price stability objective and </w:t>
      </w:r>
      <w:r>
        <w:rPr>
          <w:rFonts w:ascii="Garamond" w:hAnsi="Garamond"/>
        </w:rPr>
        <w:t xml:space="preserve">in view of </w:t>
      </w:r>
      <w:r w:rsidRPr="00214A7C">
        <w:rPr>
          <w:rFonts w:ascii="Garamond" w:hAnsi="Garamond"/>
        </w:rPr>
        <w:t>current inflation</w:t>
      </w:r>
      <w:r>
        <w:rPr>
          <w:rFonts w:ascii="Garamond" w:hAnsi="Garamond"/>
        </w:rPr>
        <w:t>ary</w:t>
      </w:r>
      <w:r w:rsidRPr="00214A7C">
        <w:rPr>
          <w:rFonts w:ascii="Garamond" w:hAnsi="Garamond"/>
        </w:rPr>
        <w:t xml:space="preserve"> developments, </w:t>
      </w:r>
      <w:r>
        <w:rPr>
          <w:rFonts w:ascii="Garamond" w:hAnsi="Garamond"/>
        </w:rPr>
        <w:t xml:space="preserve">how </w:t>
      </w:r>
      <w:r w:rsidRPr="00214A7C">
        <w:rPr>
          <w:rFonts w:ascii="Garamond" w:hAnsi="Garamond"/>
        </w:rPr>
        <w:t>the global economy</w:t>
      </w:r>
      <w:r>
        <w:rPr>
          <w:rFonts w:ascii="Garamond" w:hAnsi="Garamond"/>
        </w:rPr>
        <w:t xml:space="preserve"> will impact in the near future</w:t>
      </w:r>
      <w:r w:rsidRPr="00214A7C">
        <w:rPr>
          <w:rFonts w:ascii="Garamond" w:hAnsi="Garamond"/>
        </w:rPr>
        <w:t xml:space="preserve"> and </w:t>
      </w:r>
      <w:r>
        <w:rPr>
          <w:rFonts w:ascii="Garamond" w:hAnsi="Garamond"/>
        </w:rPr>
        <w:t xml:space="preserve">how </w:t>
      </w:r>
      <w:r w:rsidRPr="00214A7C">
        <w:rPr>
          <w:rFonts w:ascii="Garamond" w:hAnsi="Garamond"/>
        </w:rPr>
        <w:t xml:space="preserve">uncertainties </w:t>
      </w:r>
      <w:r>
        <w:rPr>
          <w:rFonts w:ascii="Garamond" w:hAnsi="Garamond"/>
        </w:rPr>
        <w:t>unfold</w:t>
      </w:r>
      <w:r w:rsidRPr="00214A7C">
        <w:rPr>
          <w:rFonts w:ascii="Garamond" w:hAnsi="Garamond"/>
        </w:rPr>
        <w:t xml:space="preserve">, </w:t>
      </w:r>
      <w:r>
        <w:rPr>
          <w:rFonts w:ascii="Garamond" w:hAnsi="Garamond"/>
        </w:rPr>
        <w:t xml:space="preserve">the Board believes that the refinancing rate needs a </w:t>
      </w:r>
      <w:r w:rsidRPr="00214A7C">
        <w:rPr>
          <w:rFonts w:ascii="Garamond" w:hAnsi="Garamond"/>
        </w:rPr>
        <w:t>0.25 p</w:t>
      </w:r>
      <w:r>
        <w:rPr>
          <w:rFonts w:ascii="Garamond" w:hAnsi="Garamond"/>
        </w:rPr>
        <w:t xml:space="preserve">p cut. </w:t>
      </w:r>
      <w:r w:rsidRPr="00214A7C">
        <w:rPr>
          <w:rFonts w:ascii="Garamond" w:hAnsi="Garamond"/>
        </w:rPr>
        <w:t xml:space="preserve">As a result, according to the baseline scenario, inflation will remain relatively low in the </w:t>
      </w:r>
      <w:r>
        <w:rPr>
          <w:rFonts w:ascii="Garamond" w:hAnsi="Garamond"/>
        </w:rPr>
        <w:t>up</w:t>
      </w:r>
      <w:r w:rsidRPr="00214A7C">
        <w:rPr>
          <w:rFonts w:ascii="Garamond" w:hAnsi="Garamond"/>
        </w:rPr>
        <w:t xml:space="preserve">coming months, gradually approaching the target </w:t>
      </w:r>
      <w:r>
        <w:rPr>
          <w:rFonts w:ascii="Garamond" w:hAnsi="Garamond"/>
        </w:rPr>
        <w:t>value</w:t>
      </w:r>
      <w:r w:rsidRPr="00214A7C">
        <w:rPr>
          <w:rFonts w:ascii="Garamond" w:hAnsi="Garamond"/>
        </w:rPr>
        <w:t>.</w:t>
      </w:r>
    </w:p>
    <w:p w14:paraId="34B3F2EB" w14:textId="77777777" w:rsidR="00C130D7" w:rsidRDefault="00C130D7" w:rsidP="00C838BF">
      <w:pPr>
        <w:jc w:val="both"/>
        <w:rPr>
          <w:rFonts w:ascii="Garamond" w:hAnsi="Garamond"/>
        </w:rPr>
      </w:pPr>
    </w:p>
    <w:p w14:paraId="17183E2B" w14:textId="77777777" w:rsidR="00C838BF" w:rsidRPr="00214A7C" w:rsidRDefault="00C838BF" w:rsidP="00C838BF">
      <w:pPr>
        <w:jc w:val="both"/>
        <w:rPr>
          <w:rFonts w:ascii="Garamond" w:hAnsi="Garamond"/>
        </w:rPr>
      </w:pPr>
      <w:r w:rsidRPr="00214A7C">
        <w:rPr>
          <w:rFonts w:ascii="Garamond" w:hAnsi="Garamond"/>
        </w:rPr>
        <w:t>At the same time, the C</w:t>
      </w:r>
      <w:r>
        <w:rPr>
          <w:rFonts w:ascii="Garamond" w:hAnsi="Garamond"/>
        </w:rPr>
        <w:t xml:space="preserve">BA </w:t>
      </w:r>
      <w:r w:rsidRPr="00214A7C">
        <w:rPr>
          <w:rFonts w:ascii="Garamond" w:hAnsi="Garamond"/>
        </w:rPr>
        <w:t xml:space="preserve">monitors the economy and financial markets on a daily basis, </w:t>
      </w:r>
      <w:r>
        <w:rPr>
          <w:rFonts w:ascii="Garamond" w:hAnsi="Garamond"/>
        </w:rPr>
        <w:t xml:space="preserve">addresses </w:t>
      </w:r>
      <w:r w:rsidRPr="00214A7C">
        <w:rPr>
          <w:rFonts w:ascii="Garamond" w:hAnsi="Garamond"/>
        </w:rPr>
        <w:t>various alternative scenarios and is ready to re</w:t>
      </w:r>
      <w:r>
        <w:rPr>
          <w:rFonts w:ascii="Garamond" w:hAnsi="Garamond"/>
        </w:rPr>
        <w:t xml:space="preserve">act </w:t>
      </w:r>
      <w:r w:rsidRPr="00214A7C">
        <w:rPr>
          <w:rFonts w:ascii="Garamond" w:hAnsi="Garamond"/>
        </w:rPr>
        <w:t xml:space="preserve">to any developments in the situation, </w:t>
      </w:r>
      <w:r>
        <w:rPr>
          <w:rFonts w:ascii="Garamond" w:hAnsi="Garamond"/>
        </w:rPr>
        <w:t xml:space="preserve">while </w:t>
      </w:r>
      <w:r w:rsidRPr="00214A7C">
        <w:rPr>
          <w:rFonts w:ascii="Garamond" w:hAnsi="Garamond"/>
        </w:rPr>
        <w:t>ensuring price stability in the Republic of Armenia.</w:t>
      </w:r>
    </w:p>
    <w:p w14:paraId="39C552AB" w14:textId="77777777" w:rsidR="00B93284" w:rsidRPr="00B16FA4" w:rsidRDefault="00B93284" w:rsidP="00B93284">
      <w:pPr>
        <w:jc w:val="both"/>
        <w:rPr>
          <w:rFonts w:ascii="Garamond" w:hAnsi="Garamond"/>
          <w:color w:val="C00000"/>
        </w:rPr>
      </w:pPr>
      <w:r w:rsidRPr="00B16FA4">
        <w:rPr>
          <w:rFonts w:ascii="Garamond" w:hAnsi="Garamond"/>
          <w:color w:val="C00000"/>
        </w:rPr>
        <w:t>…………………………………………………………………………………………</w:t>
      </w:r>
      <w:r>
        <w:rPr>
          <w:rFonts w:ascii="Garamond" w:hAnsi="Garamond"/>
          <w:color w:val="C00000"/>
        </w:rPr>
        <w:t>.</w:t>
      </w:r>
      <w:r w:rsidRPr="00B16FA4">
        <w:rPr>
          <w:rFonts w:ascii="Garamond" w:hAnsi="Garamond"/>
          <w:color w:val="C00000"/>
        </w:rPr>
        <w:t>………</w:t>
      </w:r>
      <w:r>
        <w:rPr>
          <w:rFonts w:ascii="Garamond" w:hAnsi="Garamond"/>
          <w:color w:val="C00000"/>
        </w:rPr>
        <w:t>..…</w:t>
      </w:r>
    </w:p>
    <w:p w14:paraId="00F7437B" w14:textId="77777777" w:rsidR="00FA549B" w:rsidRPr="00A32697" w:rsidRDefault="00B93284" w:rsidP="00B93284">
      <w:pPr>
        <w:spacing w:line="360" w:lineRule="auto"/>
        <w:jc w:val="both"/>
        <w:rPr>
          <w:rFonts w:ascii="Garamond" w:hAnsi="Garamond"/>
          <w:b/>
          <w:sz w:val="22"/>
          <w:szCs w:val="22"/>
        </w:rPr>
      </w:pPr>
      <w:r w:rsidRPr="00A32697">
        <w:rPr>
          <w:rFonts w:ascii="Garamond" w:hAnsi="Garamond"/>
          <w:b/>
        </w:rPr>
        <w:t>Press Service of the Central Bank of Armenia</w:t>
      </w:r>
    </w:p>
    <w:sectPr w:rsidR="00FA549B" w:rsidRPr="00A3269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AC428" w14:textId="77777777" w:rsidR="007C0BFB" w:rsidRDefault="007C0BFB" w:rsidP="00EE619D">
      <w:r>
        <w:separator/>
      </w:r>
    </w:p>
  </w:endnote>
  <w:endnote w:type="continuationSeparator" w:id="0">
    <w:p w14:paraId="43627FDB" w14:textId="77777777" w:rsidR="007C0BFB" w:rsidRDefault="007C0BFB" w:rsidP="00EE6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HEA Grapalat">
    <w:panose1 w:val="02000506050000020003"/>
    <w:charset w:val="00"/>
    <w:family w:val="modern"/>
    <w:notTrueType/>
    <w:pitch w:val="variable"/>
    <w:sig w:usb0="A00006AF" w:usb1="5000204B" w:usb2="00000000" w:usb3="00000000" w:csb0="0000009F" w:csb1="00000000"/>
  </w:font>
  <w:font w:name="Calibri">
    <w:panose1 w:val="020F0502020204030204"/>
    <w:charset w:val="00"/>
    <w:family w:val="swiss"/>
    <w:pitch w:val="variable"/>
    <w:sig w:usb0="E0002EFF" w:usb1="C000247B" w:usb2="00000009" w:usb3="00000000" w:csb0="000001FF" w:csb1="00000000"/>
  </w:font>
  <w:font w:name="Times LatArm">
    <w:panose1 w:val="00000000000000000000"/>
    <w:charset w:val="00"/>
    <w:family w:val="auto"/>
    <w:pitch w:val="variable"/>
    <w:sig w:usb0="00000003" w:usb1="00000000" w:usb2="00000000" w:usb3="00000000" w:csb0="00000001" w:csb1="00000000"/>
  </w:font>
  <w:font w:name="Times Armeni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Armenian">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AC81DC5" w14:paraId="3ADAD563" w14:textId="77777777" w:rsidTr="7AC81DC5">
      <w:tc>
        <w:tcPr>
          <w:tcW w:w="3120" w:type="dxa"/>
        </w:tcPr>
        <w:p w14:paraId="4388A19C" w14:textId="43D1C875" w:rsidR="7AC81DC5" w:rsidRDefault="7AC81DC5" w:rsidP="7AC81DC5">
          <w:pPr>
            <w:ind w:left="-115"/>
          </w:pPr>
        </w:p>
      </w:tc>
      <w:tc>
        <w:tcPr>
          <w:tcW w:w="3120" w:type="dxa"/>
        </w:tcPr>
        <w:p w14:paraId="05EA9459" w14:textId="149C68F7" w:rsidR="7AC81DC5" w:rsidRDefault="7AC81DC5" w:rsidP="7AC81DC5">
          <w:pPr>
            <w:jc w:val="center"/>
          </w:pPr>
        </w:p>
      </w:tc>
      <w:tc>
        <w:tcPr>
          <w:tcW w:w="3120" w:type="dxa"/>
        </w:tcPr>
        <w:p w14:paraId="7142CB53" w14:textId="24A15033" w:rsidR="7AC81DC5" w:rsidRDefault="7AC81DC5" w:rsidP="7AC81DC5">
          <w:pPr>
            <w:ind w:right="-115"/>
            <w:jc w:val="right"/>
          </w:pPr>
        </w:p>
      </w:tc>
    </w:tr>
  </w:tbl>
  <w:p w14:paraId="15791E52" w14:textId="721456FC" w:rsidR="7AC81DC5" w:rsidRDefault="7AC81DC5" w:rsidP="7AC81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102EC" w14:textId="77777777" w:rsidR="007C0BFB" w:rsidRDefault="007C0BFB" w:rsidP="00EE619D">
      <w:r>
        <w:separator/>
      </w:r>
    </w:p>
  </w:footnote>
  <w:footnote w:type="continuationSeparator" w:id="0">
    <w:p w14:paraId="2CAAD4F3" w14:textId="77777777" w:rsidR="007C0BFB" w:rsidRDefault="007C0BFB" w:rsidP="00EE619D">
      <w:r>
        <w:continuationSeparator/>
      </w:r>
    </w:p>
  </w:footnote>
  <w:footnote w:id="1">
    <w:p w14:paraId="43D5A184" w14:textId="77777777" w:rsidR="00AD4B33" w:rsidRPr="00616B7A" w:rsidRDefault="00AD4B33" w:rsidP="00474E70">
      <w:pPr>
        <w:pStyle w:val="FootnoteText"/>
        <w:jc w:val="both"/>
        <w:rPr>
          <w:rFonts w:ascii="Garamond" w:hAnsi="Garamond"/>
        </w:rPr>
      </w:pPr>
      <w:r>
        <w:rPr>
          <w:rStyle w:val="FootnoteReference"/>
        </w:rPr>
        <w:t>10</w:t>
      </w:r>
      <w:r w:rsidRPr="00616B7A">
        <w:rPr>
          <w:rFonts w:ascii="Garamond" w:hAnsi="Garamond"/>
        </w:rPr>
        <w:t xml:space="preserve"> The </w:t>
      </w:r>
      <w:r>
        <w:rPr>
          <w:rFonts w:ascii="Garamond" w:hAnsi="Garamond"/>
        </w:rPr>
        <w:t xml:space="preserve">personal consumption expenditure price index target is </w:t>
      </w:r>
      <w:r w:rsidRPr="00616B7A">
        <w:rPr>
          <w:rFonts w:ascii="Garamond" w:hAnsi="Garamond"/>
        </w:rPr>
        <w:t xml:space="preserve">2%, which </w:t>
      </w:r>
      <w:r>
        <w:rPr>
          <w:rFonts w:ascii="Garamond" w:hAnsi="Garamond"/>
        </w:rPr>
        <w:t>on</w:t>
      </w:r>
      <w:r w:rsidRPr="00616B7A">
        <w:rPr>
          <w:rFonts w:ascii="Garamond" w:hAnsi="Garamond"/>
        </w:rPr>
        <w:t xml:space="preserve"> average </w:t>
      </w:r>
      <w:r>
        <w:rPr>
          <w:rFonts w:ascii="Garamond" w:hAnsi="Garamond"/>
        </w:rPr>
        <w:t xml:space="preserve">is commensurate with headline inflation </w:t>
      </w:r>
      <w:r w:rsidRPr="00616B7A">
        <w:rPr>
          <w:rFonts w:ascii="Garamond" w:hAnsi="Garamond"/>
        </w:rPr>
        <w:t>of 2.4%.</w:t>
      </w:r>
    </w:p>
  </w:footnote>
  <w:footnote w:id="2">
    <w:p w14:paraId="66DC449A" w14:textId="77777777" w:rsidR="00AD4B33" w:rsidRPr="00D94FCB" w:rsidRDefault="00AD4B33" w:rsidP="00D94FCB">
      <w:pPr>
        <w:pStyle w:val="FootnoteText"/>
        <w:jc w:val="both"/>
        <w:rPr>
          <w:sz w:val="16"/>
          <w:szCs w:val="16"/>
        </w:rPr>
      </w:pPr>
      <w:r w:rsidRPr="00D94FCB">
        <w:rPr>
          <w:rStyle w:val="FootnoteReference"/>
          <w:sz w:val="16"/>
          <w:szCs w:val="16"/>
        </w:rPr>
        <w:t>11</w:t>
      </w:r>
      <w:r w:rsidRPr="00D94FCB">
        <w:rPr>
          <w:sz w:val="16"/>
          <w:szCs w:val="16"/>
        </w:rPr>
        <w:t xml:space="preserve"> At its March 20</w:t>
      </w:r>
      <w:r>
        <w:rPr>
          <w:sz w:val="16"/>
          <w:szCs w:val="16"/>
        </w:rPr>
        <w:t>th</w:t>
      </w:r>
      <w:r w:rsidRPr="00D94FCB">
        <w:rPr>
          <w:sz w:val="16"/>
          <w:szCs w:val="16"/>
        </w:rPr>
        <w:t xml:space="preserve"> meeting, the </w:t>
      </w:r>
      <w:r>
        <w:rPr>
          <w:sz w:val="16"/>
          <w:szCs w:val="16"/>
        </w:rPr>
        <w:t xml:space="preserve">Bank of Russia kept the policy </w:t>
      </w:r>
      <w:r w:rsidRPr="00D94FCB">
        <w:rPr>
          <w:sz w:val="16"/>
          <w:szCs w:val="16"/>
        </w:rPr>
        <w:t>rate at 6.0% d</w:t>
      </w:r>
      <w:r>
        <w:rPr>
          <w:sz w:val="16"/>
          <w:szCs w:val="16"/>
        </w:rPr>
        <w:t xml:space="preserve">etermined by </w:t>
      </w:r>
      <w:r w:rsidRPr="00D94FCB">
        <w:rPr>
          <w:sz w:val="16"/>
          <w:szCs w:val="16"/>
        </w:rPr>
        <w:t>the increase in short-term inflation risks.</w:t>
      </w:r>
    </w:p>
  </w:footnote>
  <w:footnote w:id="3">
    <w:p w14:paraId="664D0D7B" w14:textId="77777777" w:rsidR="00AD4B33" w:rsidRPr="00422E27" w:rsidRDefault="00AD4B33" w:rsidP="00D4483A">
      <w:pPr>
        <w:pStyle w:val="FootnoteText"/>
        <w:jc w:val="both"/>
        <w:rPr>
          <w:rFonts w:ascii="Garamond" w:hAnsi="Garamond"/>
        </w:rPr>
      </w:pPr>
      <w:r>
        <w:rPr>
          <w:rStyle w:val="FootnoteReference"/>
        </w:rPr>
        <w:t>12</w:t>
      </w:r>
      <w:r w:rsidRPr="00422E27">
        <w:rPr>
          <w:rFonts w:ascii="Garamond" w:hAnsi="Garamond"/>
        </w:rPr>
        <w:t xml:space="preserve"> For a detailed economic growth forecasts, see the “GDP Projection Probability Distribution”, chart 1</w:t>
      </w:r>
      <w:r>
        <w:rPr>
          <w:rFonts w:ascii="Garamond" w:hAnsi="Garamond"/>
        </w:rPr>
        <w:t>8</w:t>
      </w:r>
      <w:r w:rsidRPr="00422E27">
        <w:rPr>
          <w:rFonts w:ascii="Garamond" w:hAnsi="Garamond"/>
        </w:rPr>
        <w:t>, table 2.</w:t>
      </w:r>
    </w:p>
  </w:footnote>
  <w:footnote w:id="4">
    <w:p w14:paraId="36B7427F" w14:textId="77777777" w:rsidR="00AD4B33" w:rsidRPr="00A4336F" w:rsidRDefault="00AD4B33" w:rsidP="008363B0">
      <w:pPr>
        <w:pStyle w:val="FootnoteText"/>
        <w:rPr>
          <w:rFonts w:ascii="Garamond" w:hAnsi="Garamond"/>
        </w:rPr>
      </w:pPr>
      <w:r>
        <w:rPr>
          <w:rStyle w:val="FootnoteReference"/>
        </w:rPr>
        <w:t>14</w:t>
      </w:r>
      <w:r w:rsidRPr="00A4336F">
        <w:rPr>
          <w:rFonts w:ascii="Garamond" w:hAnsi="Garamond"/>
        </w:rPr>
        <w:t xml:space="preserve"> The GDP forecast is </w:t>
      </w:r>
      <w:r>
        <w:rPr>
          <w:rFonts w:ascii="Garamond" w:hAnsi="Garamond"/>
        </w:rPr>
        <w:t xml:space="preserve">the </w:t>
      </w:r>
      <w:r w:rsidRPr="00A4336F">
        <w:rPr>
          <w:rFonts w:ascii="Garamond" w:hAnsi="Garamond"/>
        </w:rPr>
        <w:t>C</w:t>
      </w:r>
      <w:r>
        <w:rPr>
          <w:rFonts w:ascii="Garamond" w:hAnsi="Garamond"/>
        </w:rPr>
        <w:t xml:space="preserve">entral </w:t>
      </w:r>
      <w:r w:rsidRPr="00A4336F">
        <w:rPr>
          <w:rFonts w:ascii="Garamond" w:hAnsi="Garamond"/>
        </w:rPr>
        <w:t>B</w:t>
      </w:r>
      <w:r>
        <w:rPr>
          <w:rFonts w:ascii="Garamond" w:hAnsi="Garamond"/>
        </w:rPr>
        <w:t>ank</w:t>
      </w:r>
      <w:r w:rsidRPr="00A4336F">
        <w:rPr>
          <w:rFonts w:ascii="Garamond" w:hAnsi="Garamond"/>
        </w:rPr>
        <w:t xml:space="preserve"> estimate.</w:t>
      </w:r>
    </w:p>
  </w:footnote>
  <w:footnote w:id="5">
    <w:p w14:paraId="2107ADD6" w14:textId="77777777" w:rsidR="00AD4B33" w:rsidRPr="003811D0" w:rsidRDefault="00AD4B33" w:rsidP="0021392A">
      <w:pPr>
        <w:pStyle w:val="FootnoteText"/>
        <w:jc w:val="both"/>
        <w:rPr>
          <w:rFonts w:ascii="Garamond" w:hAnsi="Garamond"/>
        </w:rPr>
      </w:pPr>
      <w:r w:rsidRPr="003811D0">
        <w:rPr>
          <w:rStyle w:val="FootnoteReference"/>
          <w:rFonts w:ascii="Garamond" w:hAnsi="Garamond"/>
        </w:rPr>
        <w:t>15</w:t>
      </w:r>
      <w:r w:rsidRPr="003811D0">
        <w:rPr>
          <w:rFonts w:ascii="Garamond" w:hAnsi="Garamond"/>
        </w:rPr>
        <w:t xml:space="preserve"> If the announced amount of the package remains intact and is used completely over 2020, the state budget deficit-GDP ratio will make up 5.3%.</w:t>
      </w:r>
    </w:p>
  </w:footnote>
  <w:footnote w:id="6">
    <w:p w14:paraId="3A849E41" w14:textId="77777777" w:rsidR="00AD4B33" w:rsidRPr="003811D0" w:rsidRDefault="00AD4B33" w:rsidP="00FB2E1E">
      <w:pPr>
        <w:pStyle w:val="FootnoteText"/>
        <w:jc w:val="both"/>
        <w:rPr>
          <w:rFonts w:ascii="Garamond" w:hAnsi="Garamond"/>
        </w:rPr>
      </w:pPr>
      <w:r w:rsidRPr="003811D0">
        <w:rPr>
          <w:rStyle w:val="FootnoteReference"/>
          <w:rFonts w:ascii="Garamond" w:hAnsi="Garamond"/>
        </w:rPr>
        <w:t>16</w:t>
      </w:r>
      <w:r w:rsidRPr="003811D0">
        <w:rPr>
          <w:rFonts w:ascii="Garamond" w:hAnsi="Garamond"/>
        </w:rPr>
        <w:t xml:space="preserve"> Although the tax impulse is assessed as neutral, the revenue impulse is slightly expansionary owing to other revenues which involve, for the sake of comparison, public institutions’ extra-budgetary funds which, starting from 2019, are being included in the indicators of the budget law.</w:t>
      </w:r>
    </w:p>
  </w:footnote>
  <w:footnote w:id="7">
    <w:p w14:paraId="15AD6668" w14:textId="77777777" w:rsidR="00AD4B33" w:rsidRPr="003811D0" w:rsidRDefault="00AD4B33" w:rsidP="007C4FF5">
      <w:pPr>
        <w:pStyle w:val="FootnoteText"/>
        <w:jc w:val="both"/>
        <w:rPr>
          <w:rFonts w:ascii="Garamond" w:hAnsi="Garamond"/>
        </w:rPr>
      </w:pPr>
      <w:r w:rsidRPr="003811D0">
        <w:rPr>
          <w:rStyle w:val="FootnoteReference"/>
          <w:rFonts w:ascii="Garamond" w:hAnsi="Garamond"/>
        </w:rPr>
        <w:t>17</w:t>
      </w:r>
      <w:r w:rsidRPr="003811D0">
        <w:rPr>
          <w:rFonts w:ascii="Garamond" w:hAnsi="Garamond"/>
        </w:rPr>
        <w:t xml:space="preserve"> The labor market data for 2019-2022 are the Central Bank projections based on the actual third quarter 2019 data. The growth indicators presented in this sub-section are relative to the same reference period last year, unless otherwise specified.</w:t>
      </w:r>
    </w:p>
  </w:footnote>
  <w:footnote w:id="8">
    <w:p w14:paraId="586E3B51" w14:textId="77777777" w:rsidR="00AD4B33" w:rsidRPr="006F4C01" w:rsidRDefault="00AD4B33">
      <w:pPr>
        <w:pStyle w:val="FootnoteText"/>
        <w:rPr>
          <w:sz w:val="16"/>
          <w:szCs w:val="16"/>
        </w:rPr>
      </w:pPr>
      <w:r w:rsidRPr="006F4C01">
        <w:rPr>
          <w:rStyle w:val="FootnoteReference"/>
          <w:sz w:val="16"/>
          <w:szCs w:val="16"/>
        </w:rPr>
        <w:t>18</w:t>
      </w:r>
      <w:r w:rsidRPr="006F4C01">
        <w:rPr>
          <w:sz w:val="16"/>
          <w:szCs w:val="16"/>
        </w:rPr>
        <w:t xml:space="preserve"> The 2020 GDP indicator is </w:t>
      </w:r>
      <w:r>
        <w:rPr>
          <w:sz w:val="16"/>
          <w:szCs w:val="16"/>
        </w:rPr>
        <w:t xml:space="preserve">a </w:t>
      </w:r>
      <w:r w:rsidRPr="006F4C01">
        <w:rPr>
          <w:sz w:val="16"/>
          <w:szCs w:val="16"/>
        </w:rPr>
        <w:t>Central Bank forecast.</w:t>
      </w:r>
    </w:p>
  </w:footnote>
  <w:footnote w:id="9">
    <w:p w14:paraId="3623CA26" w14:textId="77777777" w:rsidR="00AD4B33" w:rsidRPr="009047BA" w:rsidRDefault="00AD4B33" w:rsidP="009047BA">
      <w:pPr>
        <w:pStyle w:val="FootnoteText"/>
        <w:jc w:val="both"/>
        <w:rPr>
          <w:rFonts w:ascii="Garamond" w:hAnsi="Garamond"/>
        </w:rPr>
      </w:pPr>
      <w:r w:rsidRPr="009047BA">
        <w:rPr>
          <w:rStyle w:val="FootnoteReference"/>
          <w:rFonts w:ascii="Garamond" w:hAnsi="Garamond"/>
        </w:rPr>
        <w:t>20</w:t>
      </w:r>
      <w:r w:rsidRPr="009047BA">
        <w:rPr>
          <w:rFonts w:ascii="Garamond" w:hAnsi="Garamond"/>
        </w:rPr>
        <w:t xml:space="preserve"> When importing cars from a third country to the Eurasian Economic Union territory for personal use, customs duties and taxes will, effective January 1, 2020, be calculated at a single rate, including total sum of customs duties and value added tax, leaving these taxes as separate ones. The calculation will factor in the date of manufacturing of the car, cost of the car and engine capacity. See petekamutner.am</w:t>
      </w:r>
    </w:p>
  </w:footnote>
  <w:footnote w:id="10">
    <w:p w14:paraId="136CD7C7" w14:textId="77777777" w:rsidR="00AD4B33" w:rsidRPr="009047BA" w:rsidRDefault="00AD4B33" w:rsidP="009047BA">
      <w:pPr>
        <w:pStyle w:val="FootnoteText"/>
        <w:jc w:val="both"/>
        <w:rPr>
          <w:rFonts w:ascii="Garamond" w:hAnsi="Garamond"/>
        </w:rPr>
      </w:pPr>
      <w:r w:rsidRPr="009047BA">
        <w:rPr>
          <w:rStyle w:val="FootnoteReference"/>
          <w:rFonts w:ascii="Garamond" w:hAnsi="Garamond"/>
        </w:rPr>
        <w:t>21</w:t>
      </w:r>
      <w:r w:rsidRPr="009047BA">
        <w:rPr>
          <w:rFonts w:ascii="Garamond" w:hAnsi="Garamond"/>
        </w:rPr>
        <w:t xml:space="preserve"> </w:t>
      </w:r>
      <w:r w:rsidRPr="009047BA">
        <w:rPr>
          <w:rFonts w:ascii="Garamond" w:hAnsi="Garamond"/>
          <w:iCs/>
        </w:rPr>
        <w:t xml:space="preserve">The review of the fiscal sector used actual consolidated budget indicators of the </w:t>
      </w:r>
      <w:r>
        <w:rPr>
          <w:rFonts w:ascii="Garamond" w:hAnsi="Garamond"/>
          <w:iCs/>
        </w:rPr>
        <w:t>fourth</w:t>
      </w:r>
      <w:r w:rsidRPr="009047BA">
        <w:rPr>
          <w:rFonts w:ascii="Garamond" w:hAnsi="Garamond"/>
          <w:iCs/>
        </w:rPr>
        <w:t xml:space="preserve"> quarter of 2019.</w:t>
      </w:r>
    </w:p>
  </w:footnote>
  <w:footnote w:id="11">
    <w:p w14:paraId="0B850D52" w14:textId="77777777" w:rsidR="00AD4B33" w:rsidRPr="009047BA" w:rsidRDefault="00AD4B33" w:rsidP="009047BA">
      <w:pPr>
        <w:pStyle w:val="FootnoteText"/>
        <w:jc w:val="both"/>
        <w:rPr>
          <w:rFonts w:ascii="Garamond" w:hAnsi="Garamond"/>
        </w:rPr>
      </w:pPr>
      <w:r>
        <w:rPr>
          <w:rStyle w:val="FootnoteReference"/>
        </w:rPr>
        <w:t>22</w:t>
      </w:r>
      <w:r w:rsidRPr="009047BA">
        <w:rPr>
          <w:rFonts w:ascii="Garamond" w:hAnsi="Garamond"/>
        </w:rPr>
        <w:t xml:space="preserve"> The revenue projection was based on the adjusted 2019 plan of the Government and the decision to refund the economic agents the VAT debit balance. The expenditure projection is the Central Bank estimate.</w:t>
      </w:r>
    </w:p>
  </w:footnote>
  <w:footnote w:id="12">
    <w:p w14:paraId="59BE73DE" w14:textId="77777777" w:rsidR="00AD4B33" w:rsidRPr="001B24DE" w:rsidRDefault="00AD4B33" w:rsidP="001B24DE">
      <w:pPr>
        <w:pStyle w:val="FootnoteText"/>
        <w:jc w:val="both"/>
        <w:rPr>
          <w:rFonts w:ascii="Garamond" w:hAnsi="Garamond"/>
        </w:rPr>
      </w:pPr>
      <w:r w:rsidRPr="001B24DE">
        <w:rPr>
          <w:rStyle w:val="FootnoteReference"/>
          <w:rFonts w:ascii="Garamond" w:hAnsi="Garamond"/>
        </w:rPr>
        <w:t>23</w:t>
      </w:r>
      <w:r w:rsidRPr="001B24DE">
        <w:rPr>
          <w:rFonts w:ascii="Garamond" w:hAnsi="Garamond"/>
        </w:rPr>
        <w:t xml:space="preserve"> The increase came after businesses were refunded </w:t>
      </w:r>
      <w:r>
        <w:rPr>
          <w:rFonts w:ascii="Garamond" w:hAnsi="Garamond"/>
        </w:rPr>
        <w:t xml:space="preserve">their </w:t>
      </w:r>
      <w:r w:rsidRPr="001B24DE">
        <w:rPr>
          <w:rFonts w:ascii="Garamond" w:hAnsi="Garamond"/>
        </w:rPr>
        <w:t>overpayment of tax and as a result of notable increase in offsets against other tax liabilities.</w:t>
      </w:r>
    </w:p>
  </w:footnote>
  <w:footnote w:id="13">
    <w:p w14:paraId="463997EC" w14:textId="77777777" w:rsidR="00AD4B33" w:rsidRDefault="00AD4B33" w:rsidP="00242EA6">
      <w:pPr>
        <w:pStyle w:val="FootnoteText"/>
        <w:jc w:val="both"/>
        <w:rPr>
          <w:rFonts w:ascii="Garamond" w:hAnsi="Garamond"/>
        </w:rPr>
      </w:pPr>
      <w:r>
        <w:rPr>
          <w:rStyle w:val="FootnoteReference"/>
        </w:rPr>
        <w:t>24</w:t>
      </w:r>
      <w:r>
        <w:rPr>
          <w:rFonts w:ascii="Garamond" w:hAnsi="Garamond"/>
        </w:rPr>
        <w:t xml:space="preserve"> The growth indicators in this subsection are relative to the same reference period last year, unless otherwise specified.</w:t>
      </w:r>
    </w:p>
  </w:footnote>
  <w:footnote w:id="14">
    <w:p w14:paraId="1E5DF2FF" w14:textId="77777777" w:rsidR="00AD4B33" w:rsidRPr="00B805F6" w:rsidRDefault="00AD4B33" w:rsidP="008360FD">
      <w:pPr>
        <w:pStyle w:val="FootnoteText"/>
        <w:jc w:val="both"/>
        <w:rPr>
          <w:rFonts w:ascii="Garamond" w:hAnsi="Garamond"/>
        </w:rPr>
      </w:pPr>
      <w:r>
        <w:rPr>
          <w:rStyle w:val="FootnoteReference"/>
        </w:rPr>
        <w:t>25</w:t>
      </w:r>
      <w:r w:rsidRPr="00B805F6">
        <w:rPr>
          <w:rFonts w:ascii="Garamond" w:hAnsi="Garamond"/>
        </w:rPr>
        <w:t xml:space="preserve"> The gross real value added per </w:t>
      </w:r>
      <w:r>
        <w:rPr>
          <w:rFonts w:ascii="Garamond" w:hAnsi="Garamond"/>
        </w:rPr>
        <w:t xml:space="preserve">hour </w:t>
      </w:r>
      <w:r w:rsidRPr="00B805F6">
        <w:rPr>
          <w:rFonts w:ascii="Garamond" w:hAnsi="Garamond"/>
        </w:rPr>
        <w:t>employed has been viewed as productivity indicator.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AC81DC5" w14:paraId="244FE637" w14:textId="77777777" w:rsidTr="7AC81DC5">
      <w:tc>
        <w:tcPr>
          <w:tcW w:w="3120" w:type="dxa"/>
        </w:tcPr>
        <w:p w14:paraId="1AE70F11" w14:textId="7A4D1589" w:rsidR="7AC81DC5" w:rsidRDefault="7AC81DC5" w:rsidP="7AC81DC5">
          <w:pPr>
            <w:ind w:left="-115"/>
          </w:pPr>
        </w:p>
      </w:tc>
      <w:tc>
        <w:tcPr>
          <w:tcW w:w="3120" w:type="dxa"/>
        </w:tcPr>
        <w:p w14:paraId="655A2C8E" w14:textId="52BA30DC" w:rsidR="7AC81DC5" w:rsidRDefault="7AC81DC5" w:rsidP="7AC81DC5">
          <w:pPr>
            <w:jc w:val="center"/>
          </w:pPr>
        </w:p>
      </w:tc>
      <w:tc>
        <w:tcPr>
          <w:tcW w:w="3120" w:type="dxa"/>
        </w:tcPr>
        <w:p w14:paraId="1F35D5DC" w14:textId="635E3EB8" w:rsidR="7AC81DC5" w:rsidRDefault="7AC81DC5" w:rsidP="7AC81DC5">
          <w:pPr>
            <w:ind w:right="-115"/>
            <w:jc w:val="right"/>
          </w:pPr>
        </w:p>
      </w:tc>
    </w:tr>
  </w:tbl>
  <w:p w14:paraId="27E43FFA" w14:textId="3CF58746" w:rsidR="7AC81DC5" w:rsidRDefault="7AC81DC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F0630"/>
    <w:multiLevelType w:val="hybridMultilevel"/>
    <w:tmpl w:val="7CD44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9612F"/>
    <w:multiLevelType w:val="hybridMultilevel"/>
    <w:tmpl w:val="7736DDB2"/>
    <w:lvl w:ilvl="0" w:tplc="DA186CFC">
      <w:start w:val="4"/>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12FA4"/>
    <w:multiLevelType w:val="hybridMultilevel"/>
    <w:tmpl w:val="C5F83BDE"/>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3" w15:restartNumberingAfterBreak="0">
    <w:nsid w:val="37C70900"/>
    <w:multiLevelType w:val="hybridMultilevel"/>
    <w:tmpl w:val="C8283D98"/>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4" w15:restartNumberingAfterBreak="0">
    <w:nsid w:val="3A0B69ED"/>
    <w:multiLevelType w:val="hybridMultilevel"/>
    <w:tmpl w:val="D2EC3668"/>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5" w15:restartNumberingAfterBreak="0">
    <w:nsid w:val="407167E7"/>
    <w:multiLevelType w:val="hybridMultilevel"/>
    <w:tmpl w:val="29E6AF64"/>
    <w:lvl w:ilvl="0" w:tplc="38988830">
      <w:start w:val="13"/>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AC0FC4"/>
    <w:multiLevelType w:val="hybridMultilevel"/>
    <w:tmpl w:val="F45ABD28"/>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7651"/>
    <w:rsid w:val="000007DB"/>
    <w:rsid w:val="00001832"/>
    <w:rsid w:val="00001A34"/>
    <w:rsid w:val="00001A3F"/>
    <w:rsid w:val="000029F4"/>
    <w:rsid w:val="00002BFC"/>
    <w:rsid w:val="000046DB"/>
    <w:rsid w:val="00004D9D"/>
    <w:rsid w:val="000051F3"/>
    <w:rsid w:val="00005CCB"/>
    <w:rsid w:val="00006209"/>
    <w:rsid w:val="00007704"/>
    <w:rsid w:val="000107C3"/>
    <w:rsid w:val="00010BFD"/>
    <w:rsid w:val="00010FBE"/>
    <w:rsid w:val="000115CE"/>
    <w:rsid w:val="00011616"/>
    <w:rsid w:val="00012292"/>
    <w:rsid w:val="0001231A"/>
    <w:rsid w:val="00012C1C"/>
    <w:rsid w:val="00012E6D"/>
    <w:rsid w:val="00012FB1"/>
    <w:rsid w:val="000142B6"/>
    <w:rsid w:val="00015175"/>
    <w:rsid w:val="00015947"/>
    <w:rsid w:val="00015A40"/>
    <w:rsid w:val="00016B26"/>
    <w:rsid w:val="00017CD7"/>
    <w:rsid w:val="00020BD0"/>
    <w:rsid w:val="00020F25"/>
    <w:rsid w:val="000241AE"/>
    <w:rsid w:val="00024A46"/>
    <w:rsid w:val="00030246"/>
    <w:rsid w:val="00030DCD"/>
    <w:rsid w:val="00033310"/>
    <w:rsid w:val="0003340B"/>
    <w:rsid w:val="00033894"/>
    <w:rsid w:val="000351D6"/>
    <w:rsid w:val="00035CE5"/>
    <w:rsid w:val="00037AE4"/>
    <w:rsid w:val="00037DF8"/>
    <w:rsid w:val="00037E61"/>
    <w:rsid w:val="0004189E"/>
    <w:rsid w:val="00041C0A"/>
    <w:rsid w:val="00042C78"/>
    <w:rsid w:val="0004339D"/>
    <w:rsid w:val="000435F3"/>
    <w:rsid w:val="0004379A"/>
    <w:rsid w:val="00044BC5"/>
    <w:rsid w:val="0004623F"/>
    <w:rsid w:val="000465DB"/>
    <w:rsid w:val="000500A0"/>
    <w:rsid w:val="000500A9"/>
    <w:rsid w:val="000504FF"/>
    <w:rsid w:val="0005236A"/>
    <w:rsid w:val="00052BDE"/>
    <w:rsid w:val="00053B34"/>
    <w:rsid w:val="00053D3C"/>
    <w:rsid w:val="00054233"/>
    <w:rsid w:val="000543B3"/>
    <w:rsid w:val="00055AF4"/>
    <w:rsid w:val="00055EDF"/>
    <w:rsid w:val="00055F83"/>
    <w:rsid w:val="00056C6C"/>
    <w:rsid w:val="000612ED"/>
    <w:rsid w:val="00062BF6"/>
    <w:rsid w:val="00063063"/>
    <w:rsid w:val="00063526"/>
    <w:rsid w:val="00063CF8"/>
    <w:rsid w:val="00064988"/>
    <w:rsid w:val="00065C25"/>
    <w:rsid w:val="00065E6E"/>
    <w:rsid w:val="00066454"/>
    <w:rsid w:val="00066D12"/>
    <w:rsid w:val="0006717B"/>
    <w:rsid w:val="000673D4"/>
    <w:rsid w:val="0007024C"/>
    <w:rsid w:val="00071D45"/>
    <w:rsid w:val="000726B1"/>
    <w:rsid w:val="00072E34"/>
    <w:rsid w:val="000737AC"/>
    <w:rsid w:val="00073A22"/>
    <w:rsid w:val="000768E8"/>
    <w:rsid w:val="00076DC3"/>
    <w:rsid w:val="000774D3"/>
    <w:rsid w:val="00077C44"/>
    <w:rsid w:val="00080015"/>
    <w:rsid w:val="00080F40"/>
    <w:rsid w:val="0008330C"/>
    <w:rsid w:val="00085001"/>
    <w:rsid w:val="00085F36"/>
    <w:rsid w:val="00086741"/>
    <w:rsid w:val="00086DC8"/>
    <w:rsid w:val="00086E17"/>
    <w:rsid w:val="00086E60"/>
    <w:rsid w:val="00087327"/>
    <w:rsid w:val="000909CF"/>
    <w:rsid w:val="000919B2"/>
    <w:rsid w:val="000919B5"/>
    <w:rsid w:val="00094276"/>
    <w:rsid w:val="000965BB"/>
    <w:rsid w:val="00096C1A"/>
    <w:rsid w:val="00097822"/>
    <w:rsid w:val="000A0192"/>
    <w:rsid w:val="000A06E8"/>
    <w:rsid w:val="000A23B3"/>
    <w:rsid w:val="000A2CFF"/>
    <w:rsid w:val="000A2F3A"/>
    <w:rsid w:val="000A3F4A"/>
    <w:rsid w:val="000A53F3"/>
    <w:rsid w:val="000A5714"/>
    <w:rsid w:val="000A5746"/>
    <w:rsid w:val="000A5C6B"/>
    <w:rsid w:val="000A5DFE"/>
    <w:rsid w:val="000A6626"/>
    <w:rsid w:val="000A6AF2"/>
    <w:rsid w:val="000B0A91"/>
    <w:rsid w:val="000B0F52"/>
    <w:rsid w:val="000B13F5"/>
    <w:rsid w:val="000B14DC"/>
    <w:rsid w:val="000B1E3D"/>
    <w:rsid w:val="000B214F"/>
    <w:rsid w:val="000B2925"/>
    <w:rsid w:val="000B2CE6"/>
    <w:rsid w:val="000B2EC6"/>
    <w:rsid w:val="000B40B9"/>
    <w:rsid w:val="000B4A00"/>
    <w:rsid w:val="000B65AC"/>
    <w:rsid w:val="000B67CD"/>
    <w:rsid w:val="000B7072"/>
    <w:rsid w:val="000C04EC"/>
    <w:rsid w:val="000C0B9F"/>
    <w:rsid w:val="000C0E3A"/>
    <w:rsid w:val="000C10D2"/>
    <w:rsid w:val="000C1208"/>
    <w:rsid w:val="000C22CD"/>
    <w:rsid w:val="000C26AF"/>
    <w:rsid w:val="000C4B46"/>
    <w:rsid w:val="000C72B9"/>
    <w:rsid w:val="000D01FB"/>
    <w:rsid w:val="000D0801"/>
    <w:rsid w:val="000D1F44"/>
    <w:rsid w:val="000D230B"/>
    <w:rsid w:val="000D2BCD"/>
    <w:rsid w:val="000D42F3"/>
    <w:rsid w:val="000D465D"/>
    <w:rsid w:val="000D4B83"/>
    <w:rsid w:val="000D538D"/>
    <w:rsid w:val="000D5A49"/>
    <w:rsid w:val="000E023A"/>
    <w:rsid w:val="000E1009"/>
    <w:rsid w:val="000E1DC6"/>
    <w:rsid w:val="000E1F26"/>
    <w:rsid w:val="000E283C"/>
    <w:rsid w:val="000E2CA7"/>
    <w:rsid w:val="000E4018"/>
    <w:rsid w:val="000E44DA"/>
    <w:rsid w:val="000E68DE"/>
    <w:rsid w:val="000E7503"/>
    <w:rsid w:val="000F03FA"/>
    <w:rsid w:val="000F59C5"/>
    <w:rsid w:val="000F5C51"/>
    <w:rsid w:val="000F6029"/>
    <w:rsid w:val="000F7C8D"/>
    <w:rsid w:val="000F7F64"/>
    <w:rsid w:val="00101A7E"/>
    <w:rsid w:val="00102E11"/>
    <w:rsid w:val="001032FB"/>
    <w:rsid w:val="0010339C"/>
    <w:rsid w:val="0010487A"/>
    <w:rsid w:val="0010582B"/>
    <w:rsid w:val="00105DDF"/>
    <w:rsid w:val="001065FE"/>
    <w:rsid w:val="00106B36"/>
    <w:rsid w:val="00107AFB"/>
    <w:rsid w:val="00107BCE"/>
    <w:rsid w:val="00107E07"/>
    <w:rsid w:val="00107EED"/>
    <w:rsid w:val="00111FBD"/>
    <w:rsid w:val="00113D70"/>
    <w:rsid w:val="00115125"/>
    <w:rsid w:val="00115D65"/>
    <w:rsid w:val="001161ED"/>
    <w:rsid w:val="001165F7"/>
    <w:rsid w:val="00116CF5"/>
    <w:rsid w:val="00116E8B"/>
    <w:rsid w:val="00117E84"/>
    <w:rsid w:val="00120B61"/>
    <w:rsid w:val="001221D7"/>
    <w:rsid w:val="00123C6A"/>
    <w:rsid w:val="00124193"/>
    <w:rsid w:val="00124332"/>
    <w:rsid w:val="0012445D"/>
    <w:rsid w:val="00124D9C"/>
    <w:rsid w:val="001257C7"/>
    <w:rsid w:val="0012686B"/>
    <w:rsid w:val="00130386"/>
    <w:rsid w:val="0013157E"/>
    <w:rsid w:val="00131D86"/>
    <w:rsid w:val="00132A02"/>
    <w:rsid w:val="00132E83"/>
    <w:rsid w:val="00134A51"/>
    <w:rsid w:val="00134F6D"/>
    <w:rsid w:val="00135108"/>
    <w:rsid w:val="00135A70"/>
    <w:rsid w:val="00135E1D"/>
    <w:rsid w:val="00136095"/>
    <w:rsid w:val="0013609E"/>
    <w:rsid w:val="00136E89"/>
    <w:rsid w:val="00137E90"/>
    <w:rsid w:val="00140A07"/>
    <w:rsid w:val="00141BFC"/>
    <w:rsid w:val="00142427"/>
    <w:rsid w:val="001427C0"/>
    <w:rsid w:val="001428FC"/>
    <w:rsid w:val="001432D5"/>
    <w:rsid w:val="00143945"/>
    <w:rsid w:val="00143AD8"/>
    <w:rsid w:val="00143B11"/>
    <w:rsid w:val="0014403A"/>
    <w:rsid w:val="001453D7"/>
    <w:rsid w:val="001454E4"/>
    <w:rsid w:val="00146A2B"/>
    <w:rsid w:val="00146ACD"/>
    <w:rsid w:val="00150903"/>
    <w:rsid w:val="00151677"/>
    <w:rsid w:val="0015167B"/>
    <w:rsid w:val="001516E3"/>
    <w:rsid w:val="001516E5"/>
    <w:rsid w:val="0015196D"/>
    <w:rsid w:val="00151ABD"/>
    <w:rsid w:val="00151C36"/>
    <w:rsid w:val="00151ED8"/>
    <w:rsid w:val="00152412"/>
    <w:rsid w:val="001528D2"/>
    <w:rsid w:val="00152D6B"/>
    <w:rsid w:val="00153E9A"/>
    <w:rsid w:val="00153FFE"/>
    <w:rsid w:val="001541EE"/>
    <w:rsid w:val="001542C7"/>
    <w:rsid w:val="001547FD"/>
    <w:rsid w:val="001563A7"/>
    <w:rsid w:val="00157030"/>
    <w:rsid w:val="001574F6"/>
    <w:rsid w:val="00157E84"/>
    <w:rsid w:val="00161645"/>
    <w:rsid w:val="00161D3D"/>
    <w:rsid w:val="00162176"/>
    <w:rsid w:val="0016228B"/>
    <w:rsid w:val="0016421D"/>
    <w:rsid w:val="00164956"/>
    <w:rsid w:val="00164D6D"/>
    <w:rsid w:val="001652DA"/>
    <w:rsid w:val="00165650"/>
    <w:rsid w:val="00166AE0"/>
    <w:rsid w:val="00167660"/>
    <w:rsid w:val="00170F18"/>
    <w:rsid w:val="001747A0"/>
    <w:rsid w:val="001748AA"/>
    <w:rsid w:val="00175938"/>
    <w:rsid w:val="001761F4"/>
    <w:rsid w:val="00177746"/>
    <w:rsid w:val="00177B04"/>
    <w:rsid w:val="001803FC"/>
    <w:rsid w:val="001815BE"/>
    <w:rsid w:val="00181912"/>
    <w:rsid w:val="0018203D"/>
    <w:rsid w:val="00182585"/>
    <w:rsid w:val="00182A25"/>
    <w:rsid w:val="001830A1"/>
    <w:rsid w:val="00183633"/>
    <w:rsid w:val="00183BB8"/>
    <w:rsid w:val="00183E45"/>
    <w:rsid w:val="00184075"/>
    <w:rsid w:val="00184714"/>
    <w:rsid w:val="001862F9"/>
    <w:rsid w:val="00186500"/>
    <w:rsid w:val="00187F30"/>
    <w:rsid w:val="0019052E"/>
    <w:rsid w:val="00191370"/>
    <w:rsid w:val="00192E05"/>
    <w:rsid w:val="00193CAE"/>
    <w:rsid w:val="00194D78"/>
    <w:rsid w:val="00194EA3"/>
    <w:rsid w:val="001950CC"/>
    <w:rsid w:val="00195A36"/>
    <w:rsid w:val="00195F4C"/>
    <w:rsid w:val="00196199"/>
    <w:rsid w:val="00196427"/>
    <w:rsid w:val="00196F87"/>
    <w:rsid w:val="00197078"/>
    <w:rsid w:val="001A0F56"/>
    <w:rsid w:val="001A1385"/>
    <w:rsid w:val="001A180F"/>
    <w:rsid w:val="001A33F8"/>
    <w:rsid w:val="001A3C0A"/>
    <w:rsid w:val="001A456E"/>
    <w:rsid w:val="001B0A66"/>
    <w:rsid w:val="001B1291"/>
    <w:rsid w:val="001B14CC"/>
    <w:rsid w:val="001B24DE"/>
    <w:rsid w:val="001B2700"/>
    <w:rsid w:val="001B2965"/>
    <w:rsid w:val="001B4328"/>
    <w:rsid w:val="001B67EA"/>
    <w:rsid w:val="001B71B2"/>
    <w:rsid w:val="001B7933"/>
    <w:rsid w:val="001B7D00"/>
    <w:rsid w:val="001B7F81"/>
    <w:rsid w:val="001C08CC"/>
    <w:rsid w:val="001C139D"/>
    <w:rsid w:val="001C1E7A"/>
    <w:rsid w:val="001C2483"/>
    <w:rsid w:val="001C2D10"/>
    <w:rsid w:val="001C3F35"/>
    <w:rsid w:val="001C55C3"/>
    <w:rsid w:val="001C5652"/>
    <w:rsid w:val="001C5977"/>
    <w:rsid w:val="001C5E8B"/>
    <w:rsid w:val="001C7315"/>
    <w:rsid w:val="001D0479"/>
    <w:rsid w:val="001D0857"/>
    <w:rsid w:val="001D0B7E"/>
    <w:rsid w:val="001D0FDA"/>
    <w:rsid w:val="001D2F24"/>
    <w:rsid w:val="001D2F62"/>
    <w:rsid w:val="001D4517"/>
    <w:rsid w:val="001D4535"/>
    <w:rsid w:val="001D4E73"/>
    <w:rsid w:val="001D5226"/>
    <w:rsid w:val="001D5FB4"/>
    <w:rsid w:val="001D6C93"/>
    <w:rsid w:val="001D6D28"/>
    <w:rsid w:val="001E0112"/>
    <w:rsid w:val="001E04DF"/>
    <w:rsid w:val="001E1B3B"/>
    <w:rsid w:val="001E1BA3"/>
    <w:rsid w:val="001E2148"/>
    <w:rsid w:val="001E2898"/>
    <w:rsid w:val="001E2944"/>
    <w:rsid w:val="001E301B"/>
    <w:rsid w:val="001E37BD"/>
    <w:rsid w:val="001E49E6"/>
    <w:rsid w:val="001E63BC"/>
    <w:rsid w:val="001E66E5"/>
    <w:rsid w:val="001F118E"/>
    <w:rsid w:val="001F12F4"/>
    <w:rsid w:val="001F1E18"/>
    <w:rsid w:val="001F2209"/>
    <w:rsid w:val="001F384B"/>
    <w:rsid w:val="001F3F77"/>
    <w:rsid w:val="001F3FCB"/>
    <w:rsid w:val="001F4E33"/>
    <w:rsid w:val="001F524F"/>
    <w:rsid w:val="001F67CE"/>
    <w:rsid w:val="001F6FD1"/>
    <w:rsid w:val="001F7681"/>
    <w:rsid w:val="001F76A5"/>
    <w:rsid w:val="00200ECA"/>
    <w:rsid w:val="00201062"/>
    <w:rsid w:val="002017E7"/>
    <w:rsid w:val="002021DA"/>
    <w:rsid w:val="0020224C"/>
    <w:rsid w:val="00202A83"/>
    <w:rsid w:val="002035A5"/>
    <w:rsid w:val="00204E46"/>
    <w:rsid w:val="0020630B"/>
    <w:rsid w:val="00206E6A"/>
    <w:rsid w:val="00207D49"/>
    <w:rsid w:val="00210628"/>
    <w:rsid w:val="00212166"/>
    <w:rsid w:val="002129C7"/>
    <w:rsid w:val="0021392A"/>
    <w:rsid w:val="002139DF"/>
    <w:rsid w:val="002140DE"/>
    <w:rsid w:val="00214908"/>
    <w:rsid w:val="00214EC8"/>
    <w:rsid w:val="00214F7F"/>
    <w:rsid w:val="00215503"/>
    <w:rsid w:val="00216163"/>
    <w:rsid w:val="00217481"/>
    <w:rsid w:val="00220202"/>
    <w:rsid w:val="0022067B"/>
    <w:rsid w:val="00220A90"/>
    <w:rsid w:val="002246AB"/>
    <w:rsid w:val="002254DB"/>
    <w:rsid w:val="00225C60"/>
    <w:rsid w:val="00225D1F"/>
    <w:rsid w:val="00225FA5"/>
    <w:rsid w:val="002265CD"/>
    <w:rsid w:val="00226A1D"/>
    <w:rsid w:val="002276FE"/>
    <w:rsid w:val="00227821"/>
    <w:rsid w:val="0023079C"/>
    <w:rsid w:val="00230DE8"/>
    <w:rsid w:val="00231385"/>
    <w:rsid w:val="0023218F"/>
    <w:rsid w:val="0023260B"/>
    <w:rsid w:val="002335C7"/>
    <w:rsid w:val="00233922"/>
    <w:rsid w:val="0023452F"/>
    <w:rsid w:val="00234848"/>
    <w:rsid w:val="00234B5E"/>
    <w:rsid w:val="00234BE9"/>
    <w:rsid w:val="00235AE0"/>
    <w:rsid w:val="0024036F"/>
    <w:rsid w:val="00240895"/>
    <w:rsid w:val="00240896"/>
    <w:rsid w:val="00241C68"/>
    <w:rsid w:val="00242DB9"/>
    <w:rsid w:val="00242EA6"/>
    <w:rsid w:val="0024318B"/>
    <w:rsid w:val="00246039"/>
    <w:rsid w:val="00246D70"/>
    <w:rsid w:val="002476F1"/>
    <w:rsid w:val="002477E7"/>
    <w:rsid w:val="002504D6"/>
    <w:rsid w:val="00250973"/>
    <w:rsid w:val="00251361"/>
    <w:rsid w:val="00251C66"/>
    <w:rsid w:val="00251DCE"/>
    <w:rsid w:val="00252F40"/>
    <w:rsid w:val="00253F77"/>
    <w:rsid w:val="00254051"/>
    <w:rsid w:val="0025574B"/>
    <w:rsid w:val="00255A74"/>
    <w:rsid w:val="002574A2"/>
    <w:rsid w:val="00257EAB"/>
    <w:rsid w:val="00260739"/>
    <w:rsid w:val="00261149"/>
    <w:rsid w:val="00261AC1"/>
    <w:rsid w:val="00262DF4"/>
    <w:rsid w:val="00262F0E"/>
    <w:rsid w:val="00263C12"/>
    <w:rsid w:val="002647E8"/>
    <w:rsid w:val="00264CEB"/>
    <w:rsid w:val="00265345"/>
    <w:rsid w:val="00266698"/>
    <w:rsid w:val="00266CD8"/>
    <w:rsid w:val="00266DC6"/>
    <w:rsid w:val="00267A97"/>
    <w:rsid w:val="00271A46"/>
    <w:rsid w:val="00272DD8"/>
    <w:rsid w:val="002731EB"/>
    <w:rsid w:val="0027519B"/>
    <w:rsid w:val="00275357"/>
    <w:rsid w:val="002762C9"/>
    <w:rsid w:val="00276564"/>
    <w:rsid w:val="00276D6F"/>
    <w:rsid w:val="0027739D"/>
    <w:rsid w:val="00280AD1"/>
    <w:rsid w:val="0028129B"/>
    <w:rsid w:val="002813B4"/>
    <w:rsid w:val="00281E1F"/>
    <w:rsid w:val="00283F68"/>
    <w:rsid w:val="002855C4"/>
    <w:rsid w:val="00285FAD"/>
    <w:rsid w:val="00286E12"/>
    <w:rsid w:val="00287511"/>
    <w:rsid w:val="002875AC"/>
    <w:rsid w:val="00290492"/>
    <w:rsid w:val="00290CA2"/>
    <w:rsid w:val="00291B43"/>
    <w:rsid w:val="00292634"/>
    <w:rsid w:val="00292820"/>
    <w:rsid w:val="00292E52"/>
    <w:rsid w:val="00293251"/>
    <w:rsid w:val="00293A3F"/>
    <w:rsid w:val="00293B76"/>
    <w:rsid w:val="00293D56"/>
    <w:rsid w:val="0029635E"/>
    <w:rsid w:val="00296451"/>
    <w:rsid w:val="002966E3"/>
    <w:rsid w:val="00296C8A"/>
    <w:rsid w:val="002976FB"/>
    <w:rsid w:val="002A0418"/>
    <w:rsid w:val="002A0889"/>
    <w:rsid w:val="002A0B5B"/>
    <w:rsid w:val="002A1E4B"/>
    <w:rsid w:val="002A234F"/>
    <w:rsid w:val="002A34A0"/>
    <w:rsid w:val="002A38BF"/>
    <w:rsid w:val="002A3A33"/>
    <w:rsid w:val="002A4151"/>
    <w:rsid w:val="002A546C"/>
    <w:rsid w:val="002A59D1"/>
    <w:rsid w:val="002A5B11"/>
    <w:rsid w:val="002A7A3F"/>
    <w:rsid w:val="002B088F"/>
    <w:rsid w:val="002B094A"/>
    <w:rsid w:val="002B0D62"/>
    <w:rsid w:val="002B107B"/>
    <w:rsid w:val="002B1502"/>
    <w:rsid w:val="002B1812"/>
    <w:rsid w:val="002B2D99"/>
    <w:rsid w:val="002B3C4F"/>
    <w:rsid w:val="002B3F46"/>
    <w:rsid w:val="002B44D9"/>
    <w:rsid w:val="002B746A"/>
    <w:rsid w:val="002B7CEC"/>
    <w:rsid w:val="002C086C"/>
    <w:rsid w:val="002C0A14"/>
    <w:rsid w:val="002C0CFB"/>
    <w:rsid w:val="002C108E"/>
    <w:rsid w:val="002C19D2"/>
    <w:rsid w:val="002C20CF"/>
    <w:rsid w:val="002C3539"/>
    <w:rsid w:val="002C3E87"/>
    <w:rsid w:val="002C4561"/>
    <w:rsid w:val="002C488F"/>
    <w:rsid w:val="002C5043"/>
    <w:rsid w:val="002C60B9"/>
    <w:rsid w:val="002D0F71"/>
    <w:rsid w:val="002D1521"/>
    <w:rsid w:val="002D15E1"/>
    <w:rsid w:val="002D15EE"/>
    <w:rsid w:val="002D1638"/>
    <w:rsid w:val="002D2BE4"/>
    <w:rsid w:val="002D3047"/>
    <w:rsid w:val="002D378F"/>
    <w:rsid w:val="002D424C"/>
    <w:rsid w:val="002D4EB4"/>
    <w:rsid w:val="002D541D"/>
    <w:rsid w:val="002D6057"/>
    <w:rsid w:val="002D6DE0"/>
    <w:rsid w:val="002E1211"/>
    <w:rsid w:val="002E1785"/>
    <w:rsid w:val="002E1D31"/>
    <w:rsid w:val="002E280F"/>
    <w:rsid w:val="002E4BC0"/>
    <w:rsid w:val="002E4FD8"/>
    <w:rsid w:val="002E5F04"/>
    <w:rsid w:val="002E64B2"/>
    <w:rsid w:val="002E7DF3"/>
    <w:rsid w:val="002F643B"/>
    <w:rsid w:val="002F6593"/>
    <w:rsid w:val="002F7316"/>
    <w:rsid w:val="002F7CBD"/>
    <w:rsid w:val="002F7D66"/>
    <w:rsid w:val="00300395"/>
    <w:rsid w:val="00301B99"/>
    <w:rsid w:val="00302B8C"/>
    <w:rsid w:val="00303988"/>
    <w:rsid w:val="003047A0"/>
    <w:rsid w:val="00306152"/>
    <w:rsid w:val="003062DB"/>
    <w:rsid w:val="00306B4B"/>
    <w:rsid w:val="00307627"/>
    <w:rsid w:val="003108B7"/>
    <w:rsid w:val="00310ECE"/>
    <w:rsid w:val="0031200A"/>
    <w:rsid w:val="003120F8"/>
    <w:rsid w:val="00312FE7"/>
    <w:rsid w:val="003132C8"/>
    <w:rsid w:val="00313C67"/>
    <w:rsid w:val="00314E55"/>
    <w:rsid w:val="003157B3"/>
    <w:rsid w:val="003157FD"/>
    <w:rsid w:val="00315BD7"/>
    <w:rsid w:val="003168F3"/>
    <w:rsid w:val="00317122"/>
    <w:rsid w:val="00317ECB"/>
    <w:rsid w:val="003207A0"/>
    <w:rsid w:val="003210F7"/>
    <w:rsid w:val="003219DC"/>
    <w:rsid w:val="003237C8"/>
    <w:rsid w:val="00323CCA"/>
    <w:rsid w:val="00324349"/>
    <w:rsid w:val="00324828"/>
    <w:rsid w:val="0032575D"/>
    <w:rsid w:val="00327699"/>
    <w:rsid w:val="00327812"/>
    <w:rsid w:val="003311A1"/>
    <w:rsid w:val="003311D7"/>
    <w:rsid w:val="00331451"/>
    <w:rsid w:val="003316A8"/>
    <w:rsid w:val="00331719"/>
    <w:rsid w:val="00331DDB"/>
    <w:rsid w:val="00332132"/>
    <w:rsid w:val="00332C46"/>
    <w:rsid w:val="0033371D"/>
    <w:rsid w:val="00334AE6"/>
    <w:rsid w:val="00334AFE"/>
    <w:rsid w:val="00334D4F"/>
    <w:rsid w:val="003355CE"/>
    <w:rsid w:val="0033671C"/>
    <w:rsid w:val="00337C52"/>
    <w:rsid w:val="003405AB"/>
    <w:rsid w:val="00340D9F"/>
    <w:rsid w:val="00341374"/>
    <w:rsid w:val="003417FE"/>
    <w:rsid w:val="00343456"/>
    <w:rsid w:val="00343A25"/>
    <w:rsid w:val="00344BAB"/>
    <w:rsid w:val="00344F63"/>
    <w:rsid w:val="003453CE"/>
    <w:rsid w:val="0034737B"/>
    <w:rsid w:val="00350306"/>
    <w:rsid w:val="00351249"/>
    <w:rsid w:val="0035192C"/>
    <w:rsid w:val="003520FC"/>
    <w:rsid w:val="00352C8E"/>
    <w:rsid w:val="00353B8E"/>
    <w:rsid w:val="00353DFF"/>
    <w:rsid w:val="003543F8"/>
    <w:rsid w:val="0035481F"/>
    <w:rsid w:val="00356A47"/>
    <w:rsid w:val="003570A3"/>
    <w:rsid w:val="00360173"/>
    <w:rsid w:val="0036083E"/>
    <w:rsid w:val="003616E9"/>
    <w:rsid w:val="003624EE"/>
    <w:rsid w:val="0036344E"/>
    <w:rsid w:val="003645F2"/>
    <w:rsid w:val="003654D5"/>
    <w:rsid w:val="0037064D"/>
    <w:rsid w:val="00371990"/>
    <w:rsid w:val="003720FB"/>
    <w:rsid w:val="00372A7E"/>
    <w:rsid w:val="00373412"/>
    <w:rsid w:val="003734B3"/>
    <w:rsid w:val="00373F39"/>
    <w:rsid w:val="0037437E"/>
    <w:rsid w:val="00374C48"/>
    <w:rsid w:val="00375165"/>
    <w:rsid w:val="00375570"/>
    <w:rsid w:val="00375699"/>
    <w:rsid w:val="00376372"/>
    <w:rsid w:val="0038012B"/>
    <w:rsid w:val="00380306"/>
    <w:rsid w:val="00380380"/>
    <w:rsid w:val="003803C5"/>
    <w:rsid w:val="003811D0"/>
    <w:rsid w:val="00381C3C"/>
    <w:rsid w:val="00381D6D"/>
    <w:rsid w:val="00383D4D"/>
    <w:rsid w:val="00384065"/>
    <w:rsid w:val="0038479B"/>
    <w:rsid w:val="00384915"/>
    <w:rsid w:val="003864AA"/>
    <w:rsid w:val="00386779"/>
    <w:rsid w:val="0038793E"/>
    <w:rsid w:val="003905EA"/>
    <w:rsid w:val="00390AD3"/>
    <w:rsid w:val="00390B78"/>
    <w:rsid w:val="00390EB4"/>
    <w:rsid w:val="00390F3E"/>
    <w:rsid w:val="00391B6F"/>
    <w:rsid w:val="003928B3"/>
    <w:rsid w:val="0039351A"/>
    <w:rsid w:val="00393C18"/>
    <w:rsid w:val="00394592"/>
    <w:rsid w:val="00396B2C"/>
    <w:rsid w:val="00397003"/>
    <w:rsid w:val="003970F8"/>
    <w:rsid w:val="00397BFD"/>
    <w:rsid w:val="003A047D"/>
    <w:rsid w:val="003A06CC"/>
    <w:rsid w:val="003A2DCC"/>
    <w:rsid w:val="003A3A84"/>
    <w:rsid w:val="003A3D31"/>
    <w:rsid w:val="003A3F08"/>
    <w:rsid w:val="003A43D2"/>
    <w:rsid w:val="003A4930"/>
    <w:rsid w:val="003A6BEB"/>
    <w:rsid w:val="003A741A"/>
    <w:rsid w:val="003A7D97"/>
    <w:rsid w:val="003B0B41"/>
    <w:rsid w:val="003B11A6"/>
    <w:rsid w:val="003B18EA"/>
    <w:rsid w:val="003B213B"/>
    <w:rsid w:val="003B2697"/>
    <w:rsid w:val="003B2AC1"/>
    <w:rsid w:val="003B3915"/>
    <w:rsid w:val="003B45F5"/>
    <w:rsid w:val="003B47F5"/>
    <w:rsid w:val="003B4967"/>
    <w:rsid w:val="003B4B24"/>
    <w:rsid w:val="003B4CC9"/>
    <w:rsid w:val="003B57FD"/>
    <w:rsid w:val="003B5EC2"/>
    <w:rsid w:val="003B630F"/>
    <w:rsid w:val="003B6392"/>
    <w:rsid w:val="003B6FDA"/>
    <w:rsid w:val="003B756E"/>
    <w:rsid w:val="003B7632"/>
    <w:rsid w:val="003B77BB"/>
    <w:rsid w:val="003C0BF5"/>
    <w:rsid w:val="003C1254"/>
    <w:rsid w:val="003C1471"/>
    <w:rsid w:val="003C1D99"/>
    <w:rsid w:val="003C23DE"/>
    <w:rsid w:val="003C3D34"/>
    <w:rsid w:val="003C3E88"/>
    <w:rsid w:val="003C556A"/>
    <w:rsid w:val="003C76C1"/>
    <w:rsid w:val="003C794A"/>
    <w:rsid w:val="003C7B52"/>
    <w:rsid w:val="003D0895"/>
    <w:rsid w:val="003D1442"/>
    <w:rsid w:val="003D237E"/>
    <w:rsid w:val="003D2B35"/>
    <w:rsid w:val="003D2C82"/>
    <w:rsid w:val="003D2CD2"/>
    <w:rsid w:val="003D300F"/>
    <w:rsid w:val="003D40E5"/>
    <w:rsid w:val="003D5827"/>
    <w:rsid w:val="003D59B0"/>
    <w:rsid w:val="003D5EB3"/>
    <w:rsid w:val="003D6063"/>
    <w:rsid w:val="003D6368"/>
    <w:rsid w:val="003E001A"/>
    <w:rsid w:val="003E01F9"/>
    <w:rsid w:val="003E020C"/>
    <w:rsid w:val="003E2223"/>
    <w:rsid w:val="003E2A36"/>
    <w:rsid w:val="003E32BF"/>
    <w:rsid w:val="003E35C5"/>
    <w:rsid w:val="003E3CD8"/>
    <w:rsid w:val="003E4550"/>
    <w:rsid w:val="003E4C3D"/>
    <w:rsid w:val="003E58CC"/>
    <w:rsid w:val="003E765B"/>
    <w:rsid w:val="003F0DF2"/>
    <w:rsid w:val="003F21C7"/>
    <w:rsid w:val="003F24E4"/>
    <w:rsid w:val="003F412F"/>
    <w:rsid w:val="003F5450"/>
    <w:rsid w:val="003F5A8C"/>
    <w:rsid w:val="003F621C"/>
    <w:rsid w:val="003F6C15"/>
    <w:rsid w:val="003F6D4A"/>
    <w:rsid w:val="003F7BD8"/>
    <w:rsid w:val="00402A16"/>
    <w:rsid w:val="00403AC4"/>
    <w:rsid w:val="00404293"/>
    <w:rsid w:val="0040454D"/>
    <w:rsid w:val="00404628"/>
    <w:rsid w:val="004059B4"/>
    <w:rsid w:val="00407D23"/>
    <w:rsid w:val="00410C3A"/>
    <w:rsid w:val="00410D16"/>
    <w:rsid w:val="00411436"/>
    <w:rsid w:val="004143B9"/>
    <w:rsid w:val="00414CB6"/>
    <w:rsid w:val="00415095"/>
    <w:rsid w:val="00415567"/>
    <w:rsid w:val="00415CBC"/>
    <w:rsid w:val="00416169"/>
    <w:rsid w:val="00417893"/>
    <w:rsid w:val="00422E27"/>
    <w:rsid w:val="0042326B"/>
    <w:rsid w:val="004246F6"/>
    <w:rsid w:val="00425F29"/>
    <w:rsid w:val="004301D7"/>
    <w:rsid w:val="00433BB8"/>
    <w:rsid w:val="0043420A"/>
    <w:rsid w:val="004354EE"/>
    <w:rsid w:val="00436385"/>
    <w:rsid w:val="0043638B"/>
    <w:rsid w:val="004365CE"/>
    <w:rsid w:val="0044086C"/>
    <w:rsid w:val="0044144A"/>
    <w:rsid w:val="00443063"/>
    <w:rsid w:val="00444F2D"/>
    <w:rsid w:val="004471D9"/>
    <w:rsid w:val="00452460"/>
    <w:rsid w:val="00452657"/>
    <w:rsid w:val="004529A5"/>
    <w:rsid w:val="00452A1B"/>
    <w:rsid w:val="00452A21"/>
    <w:rsid w:val="004530D3"/>
    <w:rsid w:val="00454F87"/>
    <w:rsid w:val="00455CA1"/>
    <w:rsid w:val="00456F59"/>
    <w:rsid w:val="00457C7F"/>
    <w:rsid w:val="00457CF7"/>
    <w:rsid w:val="00457EDC"/>
    <w:rsid w:val="0046096C"/>
    <w:rsid w:val="004610A4"/>
    <w:rsid w:val="00463534"/>
    <w:rsid w:val="00463624"/>
    <w:rsid w:val="0046389E"/>
    <w:rsid w:val="004640C6"/>
    <w:rsid w:val="00464EBD"/>
    <w:rsid w:val="004669E3"/>
    <w:rsid w:val="00467C2C"/>
    <w:rsid w:val="004712E9"/>
    <w:rsid w:val="0047223E"/>
    <w:rsid w:val="00472F68"/>
    <w:rsid w:val="0047306C"/>
    <w:rsid w:val="00473C6C"/>
    <w:rsid w:val="00473E43"/>
    <w:rsid w:val="00474089"/>
    <w:rsid w:val="00474E70"/>
    <w:rsid w:val="0047796D"/>
    <w:rsid w:val="00480535"/>
    <w:rsid w:val="00480548"/>
    <w:rsid w:val="004806AB"/>
    <w:rsid w:val="00481E7A"/>
    <w:rsid w:val="0048286A"/>
    <w:rsid w:val="00485142"/>
    <w:rsid w:val="00485256"/>
    <w:rsid w:val="00485A57"/>
    <w:rsid w:val="0048763B"/>
    <w:rsid w:val="0049097F"/>
    <w:rsid w:val="00491532"/>
    <w:rsid w:val="00491B9C"/>
    <w:rsid w:val="00491F65"/>
    <w:rsid w:val="004924CA"/>
    <w:rsid w:val="004928D0"/>
    <w:rsid w:val="00492A4E"/>
    <w:rsid w:val="00492E20"/>
    <w:rsid w:val="00493561"/>
    <w:rsid w:val="004946BC"/>
    <w:rsid w:val="004946F9"/>
    <w:rsid w:val="00494D26"/>
    <w:rsid w:val="00495551"/>
    <w:rsid w:val="00497D16"/>
    <w:rsid w:val="00497EA1"/>
    <w:rsid w:val="004A01CF"/>
    <w:rsid w:val="004A0FD4"/>
    <w:rsid w:val="004A12BA"/>
    <w:rsid w:val="004A1A32"/>
    <w:rsid w:val="004A1B7C"/>
    <w:rsid w:val="004A1E73"/>
    <w:rsid w:val="004A2C47"/>
    <w:rsid w:val="004A45D1"/>
    <w:rsid w:val="004A5B16"/>
    <w:rsid w:val="004A7225"/>
    <w:rsid w:val="004A7BD1"/>
    <w:rsid w:val="004B2192"/>
    <w:rsid w:val="004B23F0"/>
    <w:rsid w:val="004B3275"/>
    <w:rsid w:val="004B330E"/>
    <w:rsid w:val="004B3D61"/>
    <w:rsid w:val="004B3EA5"/>
    <w:rsid w:val="004B4262"/>
    <w:rsid w:val="004B4D01"/>
    <w:rsid w:val="004B5112"/>
    <w:rsid w:val="004B5C96"/>
    <w:rsid w:val="004B5F90"/>
    <w:rsid w:val="004B7446"/>
    <w:rsid w:val="004C1ACB"/>
    <w:rsid w:val="004C2F59"/>
    <w:rsid w:val="004C31B2"/>
    <w:rsid w:val="004C42B3"/>
    <w:rsid w:val="004C4C65"/>
    <w:rsid w:val="004C508A"/>
    <w:rsid w:val="004C5244"/>
    <w:rsid w:val="004C5641"/>
    <w:rsid w:val="004C5E94"/>
    <w:rsid w:val="004C71ED"/>
    <w:rsid w:val="004C7884"/>
    <w:rsid w:val="004C7D5A"/>
    <w:rsid w:val="004D0503"/>
    <w:rsid w:val="004D2425"/>
    <w:rsid w:val="004D2636"/>
    <w:rsid w:val="004D2BAE"/>
    <w:rsid w:val="004D3414"/>
    <w:rsid w:val="004D45BE"/>
    <w:rsid w:val="004D4A0F"/>
    <w:rsid w:val="004D54D5"/>
    <w:rsid w:val="004D598B"/>
    <w:rsid w:val="004D5BD5"/>
    <w:rsid w:val="004D616F"/>
    <w:rsid w:val="004D63DB"/>
    <w:rsid w:val="004D73D6"/>
    <w:rsid w:val="004D7C86"/>
    <w:rsid w:val="004E01A7"/>
    <w:rsid w:val="004E0889"/>
    <w:rsid w:val="004E0CD1"/>
    <w:rsid w:val="004E2292"/>
    <w:rsid w:val="004E2E10"/>
    <w:rsid w:val="004E3D01"/>
    <w:rsid w:val="004E437B"/>
    <w:rsid w:val="004E6219"/>
    <w:rsid w:val="004E64F3"/>
    <w:rsid w:val="004E6857"/>
    <w:rsid w:val="004E6DAE"/>
    <w:rsid w:val="004E7901"/>
    <w:rsid w:val="004E7BE2"/>
    <w:rsid w:val="004F0089"/>
    <w:rsid w:val="004F0AC9"/>
    <w:rsid w:val="004F11B6"/>
    <w:rsid w:val="004F13D9"/>
    <w:rsid w:val="004F2299"/>
    <w:rsid w:val="004F233A"/>
    <w:rsid w:val="004F284A"/>
    <w:rsid w:val="004F392D"/>
    <w:rsid w:val="004F4131"/>
    <w:rsid w:val="004F46B3"/>
    <w:rsid w:val="004F4B84"/>
    <w:rsid w:val="004F65E2"/>
    <w:rsid w:val="004F68C6"/>
    <w:rsid w:val="004F71EF"/>
    <w:rsid w:val="004F7566"/>
    <w:rsid w:val="004F787B"/>
    <w:rsid w:val="004F7CB5"/>
    <w:rsid w:val="00500167"/>
    <w:rsid w:val="00500C78"/>
    <w:rsid w:val="00501006"/>
    <w:rsid w:val="00501718"/>
    <w:rsid w:val="005034C2"/>
    <w:rsid w:val="00504A6D"/>
    <w:rsid w:val="00506EA5"/>
    <w:rsid w:val="00510E69"/>
    <w:rsid w:val="00510FF0"/>
    <w:rsid w:val="00511E9F"/>
    <w:rsid w:val="00511F0C"/>
    <w:rsid w:val="005147C9"/>
    <w:rsid w:val="00514F2A"/>
    <w:rsid w:val="0051570C"/>
    <w:rsid w:val="005165FF"/>
    <w:rsid w:val="00516832"/>
    <w:rsid w:val="00517352"/>
    <w:rsid w:val="00517B10"/>
    <w:rsid w:val="00520816"/>
    <w:rsid w:val="00521F06"/>
    <w:rsid w:val="00522147"/>
    <w:rsid w:val="00522F8F"/>
    <w:rsid w:val="0052401A"/>
    <w:rsid w:val="005242F5"/>
    <w:rsid w:val="00524539"/>
    <w:rsid w:val="00525AE5"/>
    <w:rsid w:val="005260C0"/>
    <w:rsid w:val="00526F9D"/>
    <w:rsid w:val="00530CFA"/>
    <w:rsid w:val="0053128D"/>
    <w:rsid w:val="00531EF1"/>
    <w:rsid w:val="00531FD4"/>
    <w:rsid w:val="0053275D"/>
    <w:rsid w:val="005327DA"/>
    <w:rsid w:val="00533644"/>
    <w:rsid w:val="0053486E"/>
    <w:rsid w:val="00534AE7"/>
    <w:rsid w:val="00535270"/>
    <w:rsid w:val="00536FF2"/>
    <w:rsid w:val="00537BD9"/>
    <w:rsid w:val="0054021A"/>
    <w:rsid w:val="00540986"/>
    <w:rsid w:val="005419F0"/>
    <w:rsid w:val="00542F22"/>
    <w:rsid w:val="00543464"/>
    <w:rsid w:val="00543A66"/>
    <w:rsid w:val="00543AF2"/>
    <w:rsid w:val="0054440B"/>
    <w:rsid w:val="00544F1B"/>
    <w:rsid w:val="00545DBA"/>
    <w:rsid w:val="00546724"/>
    <w:rsid w:val="005515AB"/>
    <w:rsid w:val="00551F7E"/>
    <w:rsid w:val="005520A6"/>
    <w:rsid w:val="0055355B"/>
    <w:rsid w:val="00553705"/>
    <w:rsid w:val="00553961"/>
    <w:rsid w:val="00553CF2"/>
    <w:rsid w:val="0055418A"/>
    <w:rsid w:val="00554DB9"/>
    <w:rsid w:val="00556AD8"/>
    <w:rsid w:val="00556E2F"/>
    <w:rsid w:val="005574CB"/>
    <w:rsid w:val="00560423"/>
    <w:rsid w:val="00560595"/>
    <w:rsid w:val="0056092C"/>
    <w:rsid w:val="00560D86"/>
    <w:rsid w:val="00560E31"/>
    <w:rsid w:val="00561047"/>
    <w:rsid w:val="00562C44"/>
    <w:rsid w:val="00563050"/>
    <w:rsid w:val="005637BC"/>
    <w:rsid w:val="00565DE7"/>
    <w:rsid w:val="00565F75"/>
    <w:rsid w:val="005664C1"/>
    <w:rsid w:val="00566D4F"/>
    <w:rsid w:val="005700D5"/>
    <w:rsid w:val="005708C3"/>
    <w:rsid w:val="00571689"/>
    <w:rsid w:val="00572A12"/>
    <w:rsid w:val="00572B2A"/>
    <w:rsid w:val="00572CB5"/>
    <w:rsid w:val="00572E8E"/>
    <w:rsid w:val="005747F6"/>
    <w:rsid w:val="0057624E"/>
    <w:rsid w:val="005776E9"/>
    <w:rsid w:val="0058009C"/>
    <w:rsid w:val="00580F5C"/>
    <w:rsid w:val="00581A38"/>
    <w:rsid w:val="00581B9B"/>
    <w:rsid w:val="005820A5"/>
    <w:rsid w:val="0058304F"/>
    <w:rsid w:val="0058338A"/>
    <w:rsid w:val="00583C36"/>
    <w:rsid w:val="005843A1"/>
    <w:rsid w:val="005843D7"/>
    <w:rsid w:val="00585558"/>
    <w:rsid w:val="00590C2B"/>
    <w:rsid w:val="00592760"/>
    <w:rsid w:val="00592E4D"/>
    <w:rsid w:val="0059448F"/>
    <w:rsid w:val="005945BE"/>
    <w:rsid w:val="0059468A"/>
    <w:rsid w:val="00596DC5"/>
    <w:rsid w:val="005A24E1"/>
    <w:rsid w:val="005A2BE6"/>
    <w:rsid w:val="005A3523"/>
    <w:rsid w:val="005A51B6"/>
    <w:rsid w:val="005A6E6F"/>
    <w:rsid w:val="005A6EF0"/>
    <w:rsid w:val="005A6FF7"/>
    <w:rsid w:val="005B015A"/>
    <w:rsid w:val="005B15EB"/>
    <w:rsid w:val="005B16EF"/>
    <w:rsid w:val="005B1A98"/>
    <w:rsid w:val="005B1D64"/>
    <w:rsid w:val="005B1FE5"/>
    <w:rsid w:val="005B2473"/>
    <w:rsid w:val="005B2F43"/>
    <w:rsid w:val="005B3BA7"/>
    <w:rsid w:val="005B413F"/>
    <w:rsid w:val="005B4859"/>
    <w:rsid w:val="005B4D1B"/>
    <w:rsid w:val="005B5822"/>
    <w:rsid w:val="005B5D67"/>
    <w:rsid w:val="005B61BD"/>
    <w:rsid w:val="005B6EBC"/>
    <w:rsid w:val="005B7FC5"/>
    <w:rsid w:val="005C04B1"/>
    <w:rsid w:val="005C122C"/>
    <w:rsid w:val="005C2F7D"/>
    <w:rsid w:val="005C339F"/>
    <w:rsid w:val="005C3D27"/>
    <w:rsid w:val="005C432C"/>
    <w:rsid w:val="005C4379"/>
    <w:rsid w:val="005C4B1C"/>
    <w:rsid w:val="005C6027"/>
    <w:rsid w:val="005C6536"/>
    <w:rsid w:val="005C689C"/>
    <w:rsid w:val="005C761F"/>
    <w:rsid w:val="005C78E9"/>
    <w:rsid w:val="005D1BA6"/>
    <w:rsid w:val="005D266D"/>
    <w:rsid w:val="005D2BEC"/>
    <w:rsid w:val="005D2F99"/>
    <w:rsid w:val="005D3B30"/>
    <w:rsid w:val="005D4071"/>
    <w:rsid w:val="005D4276"/>
    <w:rsid w:val="005D4D22"/>
    <w:rsid w:val="005D5CBD"/>
    <w:rsid w:val="005D6B14"/>
    <w:rsid w:val="005D6EF3"/>
    <w:rsid w:val="005E041F"/>
    <w:rsid w:val="005E176B"/>
    <w:rsid w:val="005E2710"/>
    <w:rsid w:val="005E28F8"/>
    <w:rsid w:val="005E3189"/>
    <w:rsid w:val="005E32CF"/>
    <w:rsid w:val="005E4B2F"/>
    <w:rsid w:val="005E5095"/>
    <w:rsid w:val="005E5244"/>
    <w:rsid w:val="005E6832"/>
    <w:rsid w:val="005E6AEF"/>
    <w:rsid w:val="005E7FE5"/>
    <w:rsid w:val="005F0150"/>
    <w:rsid w:val="005F0906"/>
    <w:rsid w:val="005F2E57"/>
    <w:rsid w:val="005F4509"/>
    <w:rsid w:val="005F4E7D"/>
    <w:rsid w:val="005F5D70"/>
    <w:rsid w:val="005F6455"/>
    <w:rsid w:val="005F748E"/>
    <w:rsid w:val="00600595"/>
    <w:rsid w:val="00600EDF"/>
    <w:rsid w:val="00601760"/>
    <w:rsid w:val="00601A34"/>
    <w:rsid w:val="00603119"/>
    <w:rsid w:val="006038A5"/>
    <w:rsid w:val="00605E77"/>
    <w:rsid w:val="006067B4"/>
    <w:rsid w:val="00607D42"/>
    <w:rsid w:val="00610E19"/>
    <w:rsid w:val="00612410"/>
    <w:rsid w:val="00612C14"/>
    <w:rsid w:val="00612C30"/>
    <w:rsid w:val="00613557"/>
    <w:rsid w:val="00614EB6"/>
    <w:rsid w:val="006150AC"/>
    <w:rsid w:val="006166A2"/>
    <w:rsid w:val="00616B7A"/>
    <w:rsid w:val="00620DA0"/>
    <w:rsid w:val="0062136B"/>
    <w:rsid w:val="00621499"/>
    <w:rsid w:val="00622970"/>
    <w:rsid w:val="00622BFF"/>
    <w:rsid w:val="00625265"/>
    <w:rsid w:val="00625745"/>
    <w:rsid w:val="00625F58"/>
    <w:rsid w:val="00626606"/>
    <w:rsid w:val="00626752"/>
    <w:rsid w:val="00626D16"/>
    <w:rsid w:val="00627013"/>
    <w:rsid w:val="00630144"/>
    <w:rsid w:val="006306C7"/>
    <w:rsid w:val="00630CAC"/>
    <w:rsid w:val="00632799"/>
    <w:rsid w:val="00632A26"/>
    <w:rsid w:val="00632D07"/>
    <w:rsid w:val="00634424"/>
    <w:rsid w:val="00635251"/>
    <w:rsid w:val="006355AE"/>
    <w:rsid w:val="006366B1"/>
    <w:rsid w:val="00636C04"/>
    <w:rsid w:val="00636ECE"/>
    <w:rsid w:val="0063768C"/>
    <w:rsid w:val="00637B52"/>
    <w:rsid w:val="00640EC9"/>
    <w:rsid w:val="00642308"/>
    <w:rsid w:val="006428B8"/>
    <w:rsid w:val="00642C67"/>
    <w:rsid w:val="006437AF"/>
    <w:rsid w:val="00644C5D"/>
    <w:rsid w:val="00644E22"/>
    <w:rsid w:val="00650BCA"/>
    <w:rsid w:val="00650CEB"/>
    <w:rsid w:val="00650D68"/>
    <w:rsid w:val="00651BE5"/>
    <w:rsid w:val="006526F1"/>
    <w:rsid w:val="0065358B"/>
    <w:rsid w:val="006535D4"/>
    <w:rsid w:val="00653CAD"/>
    <w:rsid w:val="00653FB4"/>
    <w:rsid w:val="0065456A"/>
    <w:rsid w:val="006556E9"/>
    <w:rsid w:val="006573EF"/>
    <w:rsid w:val="006575D7"/>
    <w:rsid w:val="00657A11"/>
    <w:rsid w:val="006603F1"/>
    <w:rsid w:val="00660AE6"/>
    <w:rsid w:val="00661009"/>
    <w:rsid w:val="00661CFC"/>
    <w:rsid w:val="00662304"/>
    <w:rsid w:val="006629EC"/>
    <w:rsid w:val="00662B23"/>
    <w:rsid w:val="0066474B"/>
    <w:rsid w:val="00665458"/>
    <w:rsid w:val="0067068D"/>
    <w:rsid w:val="006717D6"/>
    <w:rsid w:val="00671CE7"/>
    <w:rsid w:val="00672005"/>
    <w:rsid w:val="00675279"/>
    <w:rsid w:val="00676B3A"/>
    <w:rsid w:val="00676C2C"/>
    <w:rsid w:val="00676DF1"/>
    <w:rsid w:val="00677E52"/>
    <w:rsid w:val="00680C82"/>
    <w:rsid w:val="006817DA"/>
    <w:rsid w:val="0068360F"/>
    <w:rsid w:val="0068474B"/>
    <w:rsid w:val="006848CE"/>
    <w:rsid w:val="006851D9"/>
    <w:rsid w:val="00685D31"/>
    <w:rsid w:val="006864F2"/>
    <w:rsid w:val="00686FDC"/>
    <w:rsid w:val="0068714E"/>
    <w:rsid w:val="006909DE"/>
    <w:rsid w:val="00691078"/>
    <w:rsid w:val="00692000"/>
    <w:rsid w:val="006925C3"/>
    <w:rsid w:val="00694B40"/>
    <w:rsid w:val="00694CA5"/>
    <w:rsid w:val="00695216"/>
    <w:rsid w:val="00695D0B"/>
    <w:rsid w:val="006966A5"/>
    <w:rsid w:val="00696D1A"/>
    <w:rsid w:val="00697941"/>
    <w:rsid w:val="006A09E1"/>
    <w:rsid w:val="006A290D"/>
    <w:rsid w:val="006A293D"/>
    <w:rsid w:val="006A3761"/>
    <w:rsid w:val="006A39E5"/>
    <w:rsid w:val="006A3AB4"/>
    <w:rsid w:val="006A4257"/>
    <w:rsid w:val="006A4D53"/>
    <w:rsid w:val="006A541E"/>
    <w:rsid w:val="006A54E5"/>
    <w:rsid w:val="006A5F88"/>
    <w:rsid w:val="006A7F7F"/>
    <w:rsid w:val="006B0127"/>
    <w:rsid w:val="006B09B3"/>
    <w:rsid w:val="006B17CC"/>
    <w:rsid w:val="006B1B30"/>
    <w:rsid w:val="006B1C98"/>
    <w:rsid w:val="006B2BCD"/>
    <w:rsid w:val="006B538C"/>
    <w:rsid w:val="006B588F"/>
    <w:rsid w:val="006B5C7F"/>
    <w:rsid w:val="006B6237"/>
    <w:rsid w:val="006B751A"/>
    <w:rsid w:val="006B7A31"/>
    <w:rsid w:val="006B7DCD"/>
    <w:rsid w:val="006B7FBD"/>
    <w:rsid w:val="006C13A6"/>
    <w:rsid w:val="006C281A"/>
    <w:rsid w:val="006C3065"/>
    <w:rsid w:val="006C36B7"/>
    <w:rsid w:val="006C45C5"/>
    <w:rsid w:val="006C4749"/>
    <w:rsid w:val="006C67BA"/>
    <w:rsid w:val="006C6A27"/>
    <w:rsid w:val="006D0D59"/>
    <w:rsid w:val="006D0E8A"/>
    <w:rsid w:val="006D3F04"/>
    <w:rsid w:val="006D41EE"/>
    <w:rsid w:val="006D593F"/>
    <w:rsid w:val="006D59F1"/>
    <w:rsid w:val="006D5E20"/>
    <w:rsid w:val="006D6E86"/>
    <w:rsid w:val="006D6FA4"/>
    <w:rsid w:val="006D75C1"/>
    <w:rsid w:val="006E061A"/>
    <w:rsid w:val="006E0C9C"/>
    <w:rsid w:val="006E1119"/>
    <w:rsid w:val="006E1CFF"/>
    <w:rsid w:val="006E271C"/>
    <w:rsid w:val="006E31BD"/>
    <w:rsid w:val="006E62E8"/>
    <w:rsid w:val="006E6711"/>
    <w:rsid w:val="006E6EEA"/>
    <w:rsid w:val="006E7201"/>
    <w:rsid w:val="006E7B5A"/>
    <w:rsid w:val="006F190B"/>
    <w:rsid w:val="006F1AAC"/>
    <w:rsid w:val="006F1AC1"/>
    <w:rsid w:val="006F21AF"/>
    <w:rsid w:val="006F26CB"/>
    <w:rsid w:val="006F2DA8"/>
    <w:rsid w:val="006F36F5"/>
    <w:rsid w:val="006F3704"/>
    <w:rsid w:val="006F41B0"/>
    <w:rsid w:val="006F43FB"/>
    <w:rsid w:val="006F4C01"/>
    <w:rsid w:val="006F536B"/>
    <w:rsid w:val="006F710F"/>
    <w:rsid w:val="00700C22"/>
    <w:rsid w:val="007011C3"/>
    <w:rsid w:val="0070332C"/>
    <w:rsid w:val="00703FA4"/>
    <w:rsid w:val="0070535A"/>
    <w:rsid w:val="007059B1"/>
    <w:rsid w:val="00706446"/>
    <w:rsid w:val="00710622"/>
    <w:rsid w:val="00711711"/>
    <w:rsid w:val="007117A9"/>
    <w:rsid w:val="00714236"/>
    <w:rsid w:val="007143C9"/>
    <w:rsid w:val="007145C1"/>
    <w:rsid w:val="00716B12"/>
    <w:rsid w:val="0072131D"/>
    <w:rsid w:val="00723A78"/>
    <w:rsid w:val="00723FC1"/>
    <w:rsid w:val="007241F1"/>
    <w:rsid w:val="0072461A"/>
    <w:rsid w:val="00725034"/>
    <w:rsid w:val="00727198"/>
    <w:rsid w:val="00731352"/>
    <w:rsid w:val="00732A14"/>
    <w:rsid w:val="0073509B"/>
    <w:rsid w:val="0073595A"/>
    <w:rsid w:val="00735B49"/>
    <w:rsid w:val="00735EED"/>
    <w:rsid w:val="00735F66"/>
    <w:rsid w:val="007364B7"/>
    <w:rsid w:val="00736EBD"/>
    <w:rsid w:val="0073763B"/>
    <w:rsid w:val="00737DD5"/>
    <w:rsid w:val="007404BA"/>
    <w:rsid w:val="0074142E"/>
    <w:rsid w:val="0074173F"/>
    <w:rsid w:val="00742158"/>
    <w:rsid w:val="00742EBE"/>
    <w:rsid w:val="00743A97"/>
    <w:rsid w:val="00744899"/>
    <w:rsid w:val="00744E8B"/>
    <w:rsid w:val="00745929"/>
    <w:rsid w:val="0074684B"/>
    <w:rsid w:val="00746C4E"/>
    <w:rsid w:val="00746EFB"/>
    <w:rsid w:val="0074771B"/>
    <w:rsid w:val="00747CDC"/>
    <w:rsid w:val="00747F05"/>
    <w:rsid w:val="00750108"/>
    <w:rsid w:val="00750F8C"/>
    <w:rsid w:val="0075113D"/>
    <w:rsid w:val="00751554"/>
    <w:rsid w:val="007542DE"/>
    <w:rsid w:val="00754FF8"/>
    <w:rsid w:val="007567E6"/>
    <w:rsid w:val="007576AC"/>
    <w:rsid w:val="00757744"/>
    <w:rsid w:val="00760609"/>
    <w:rsid w:val="007609A9"/>
    <w:rsid w:val="007611C7"/>
    <w:rsid w:val="007611DB"/>
    <w:rsid w:val="00762760"/>
    <w:rsid w:val="007630D0"/>
    <w:rsid w:val="007634D1"/>
    <w:rsid w:val="00764595"/>
    <w:rsid w:val="00765248"/>
    <w:rsid w:val="00765C16"/>
    <w:rsid w:val="007662B4"/>
    <w:rsid w:val="00767171"/>
    <w:rsid w:val="007676EF"/>
    <w:rsid w:val="0076770D"/>
    <w:rsid w:val="00767E0A"/>
    <w:rsid w:val="00770142"/>
    <w:rsid w:val="0077109B"/>
    <w:rsid w:val="007711B5"/>
    <w:rsid w:val="00771FA4"/>
    <w:rsid w:val="0077221F"/>
    <w:rsid w:val="00773681"/>
    <w:rsid w:val="00774197"/>
    <w:rsid w:val="007741D7"/>
    <w:rsid w:val="007746F1"/>
    <w:rsid w:val="00774E83"/>
    <w:rsid w:val="00775BC3"/>
    <w:rsid w:val="00776296"/>
    <w:rsid w:val="00777E7B"/>
    <w:rsid w:val="00780C23"/>
    <w:rsid w:val="007814FC"/>
    <w:rsid w:val="00781571"/>
    <w:rsid w:val="00781ACF"/>
    <w:rsid w:val="007822A6"/>
    <w:rsid w:val="007827BD"/>
    <w:rsid w:val="0078431B"/>
    <w:rsid w:val="0078488C"/>
    <w:rsid w:val="007849D7"/>
    <w:rsid w:val="0078528B"/>
    <w:rsid w:val="00785503"/>
    <w:rsid w:val="007859CB"/>
    <w:rsid w:val="00785B36"/>
    <w:rsid w:val="007877D2"/>
    <w:rsid w:val="007877D5"/>
    <w:rsid w:val="00787AE0"/>
    <w:rsid w:val="00787E4C"/>
    <w:rsid w:val="007908C9"/>
    <w:rsid w:val="00791959"/>
    <w:rsid w:val="00791A86"/>
    <w:rsid w:val="00791CC6"/>
    <w:rsid w:val="007937A5"/>
    <w:rsid w:val="00793A6C"/>
    <w:rsid w:val="00796A37"/>
    <w:rsid w:val="0079747A"/>
    <w:rsid w:val="0079789B"/>
    <w:rsid w:val="0079790B"/>
    <w:rsid w:val="007A1381"/>
    <w:rsid w:val="007A3B46"/>
    <w:rsid w:val="007A3D29"/>
    <w:rsid w:val="007A57CD"/>
    <w:rsid w:val="007A597B"/>
    <w:rsid w:val="007A7566"/>
    <w:rsid w:val="007A7810"/>
    <w:rsid w:val="007A7ABB"/>
    <w:rsid w:val="007B1049"/>
    <w:rsid w:val="007B1215"/>
    <w:rsid w:val="007B1D1B"/>
    <w:rsid w:val="007B24B2"/>
    <w:rsid w:val="007B2D60"/>
    <w:rsid w:val="007B694D"/>
    <w:rsid w:val="007B7C08"/>
    <w:rsid w:val="007C0BFB"/>
    <w:rsid w:val="007C1CDD"/>
    <w:rsid w:val="007C2B74"/>
    <w:rsid w:val="007C30C8"/>
    <w:rsid w:val="007C43D1"/>
    <w:rsid w:val="007C4FF5"/>
    <w:rsid w:val="007C6692"/>
    <w:rsid w:val="007C699F"/>
    <w:rsid w:val="007D01C1"/>
    <w:rsid w:val="007D055F"/>
    <w:rsid w:val="007D081C"/>
    <w:rsid w:val="007D0C8B"/>
    <w:rsid w:val="007D1943"/>
    <w:rsid w:val="007D1BC6"/>
    <w:rsid w:val="007D2178"/>
    <w:rsid w:val="007D237B"/>
    <w:rsid w:val="007D3AA3"/>
    <w:rsid w:val="007D3E20"/>
    <w:rsid w:val="007D3FF8"/>
    <w:rsid w:val="007D415F"/>
    <w:rsid w:val="007D4CE5"/>
    <w:rsid w:val="007D5123"/>
    <w:rsid w:val="007D5578"/>
    <w:rsid w:val="007D5BAC"/>
    <w:rsid w:val="007D605E"/>
    <w:rsid w:val="007D6880"/>
    <w:rsid w:val="007D6ECD"/>
    <w:rsid w:val="007E0B0C"/>
    <w:rsid w:val="007E0CE0"/>
    <w:rsid w:val="007E1C97"/>
    <w:rsid w:val="007E234D"/>
    <w:rsid w:val="007E303C"/>
    <w:rsid w:val="007E371D"/>
    <w:rsid w:val="007E524F"/>
    <w:rsid w:val="007E61AF"/>
    <w:rsid w:val="007E6636"/>
    <w:rsid w:val="007E6B23"/>
    <w:rsid w:val="007E6F75"/>
    <w:rsid w:val="007E77B6"/>
    <w:rsid w:val="007E7FD6"/>
    <w:rsid w:val="007F0A5C"/>
    <w:rsid w:val="007F3C29"/>
    <w:rsid w:val="007F3C2A"/>
    <w:rsid w:val="007F3F03"/>
    <w:rsid w:val="007F3F81"/>
    <w:rsid w:val="007F4F2D"/>
    <w:rsid w:val="007F5072"/>
    <w:rsid w:val="007F53A2"/>
    <w:rsid w:val="007F5632"/>
    <w:rsid w:val="007F5B7D"/>
    <w:rsid w:val="007F6C6D"/>
    <w:rsid w:val="0080092F"/>
    <w:rsid w:val="00801283"/>
    <w:rsid w:val="00801AD7"/>
    <w:rsid w:val="00801BFF"/>
    <w:rsid w:val="00803722"/>
    <w:rsid w:val="00803DE3"/>
    <w:rsid w:val="0080412F"/>
    <w:rsid w:val="008056E7"/>
    <w:rsid w:val="00806160"/>
    <w:rsid w:val="00806B8A"/>
    <w:rsid w:val="00806C2B"/>
    <w:rsid w:val="00806CF1"/>
    <w:rsid w:val="008103B1"/>
    <w:rsid w:val="008104A3"/>
    <w:rsid w:val="008106B8"/>
    <w:rsid w:val="00811579"/>
    <w:rsid w:val="00811961"/>
    <w:rsid w:val="008131AC"/>
    <w:rsid w:val="008141B3"/>
    <w:rsid w:val="00814CAB"/>
    <w:rsid w:val="0081578F"/>
    <w:rsid w:val="008157D0"/>
    <w:rsid w:val="00815906"/>
    <w:rsid w:val="00815EC3"/>
    <w:rsid w:val="00817F99"/>
    <w:rsid w:val="0082104C"/>
    <w:rsid w:val="0082553F"/>
    <w:rsid w:val="00825E21"/>
    <w:rsid w:val="00827564"/>
    <w:rsid w:val="00827912"/>
    <w:rsid w:val="00827B52"/>
    <w:rsid w:val="00827D7C"/>
    <w:rsid w:val="0083040B"/>
    <w:rsid w:val="00830C5F"/>
    <w:rsid w:val="008314AD"/>
    <w:rsid w:val="00831D7D"/>
    <w:rsid w:val="0083205A"/>
    <w:rsid w:val="00832140"/>
    <w:rsid w:val="00832E2C"/>
    <w:rsid w:val="008336EE"/>
    <w:rsid w:val="0083416E"/>
    <w:rsid w:val="008360FD"/>
    <w:rsid w:val="008363B0"/>
    <w:rsid w:val="00836F28"/>
    <w:rsid w:val="00837138"/>
    <w:rsid w:val="00837168"/>
    <w:rsid w:val="008371E8"/>
    <w:rsid w:val="00837208"/>
    <w:rsid w:val="00837F88"/>
    <w:rsid w:val="0084028B"/>
    <w:rsid w:val="0084157B"/>
    <w:rsid w:val="0084268D"/>
    <w:rsid w:val="00842C92"/>
    <w:rsid w:val="00842D91"/>
    <w:rsid w:val="008450E8"/>
    <w:rsid w:val="0084524E"/>
    <w:rsid w:val="008455F5"/>
    <w:rsid w:val="00845DD1"/>
    <w:rsid w:val="00845EE0"/>
    <w:rsid w:val="00846B8F"/>
    <w:rsid w:val="00846EFB"/>
    <w:rsid w:val="00850B87"/>
    <w:rsid w:val="00853145"/>
    <w:rsid w:val="0085389F"/>
    <w:rsid w:val="00853CC1"/>
    <w:rsid w:val="00854EA9"/>
    <w:rsid w:val="0085511C"/>
    <w:rsid w:val="008551A6"/>
    <w:rsid w:val="00855D3A"/>
    <w:rsid w:val="00855F1A"/>
    <w:rsid w:val="008564A8"/>
    <w:rsid w:val="00857308"/>
    <w:rsid w:val="00857BEC"/>
    <w:rsid w:val="0086062F"/>
    <w:rsid w:val="00860787"/>
    <w:rsid w:val="008612CC"/>
    <w:rsid w:val="00861BFA"/>
    <w:rsid w:val="00862751"/>
    <w:rsid w:val="0086276B"/>
    <w:rsid w:val="00862B97"/>
    <w:rsid w:val="00866663"/>
    <w:rsid w:val="0086683B"/>
    <w:rsid w:val="00866F65"/>
    <w:rsid w:val="008674CA"/>
    <w:rsid w:val="00867895"/>
    <w:rsid w:val="00870735"/>
    <w:rsid w:val="00871A0A"/>
    <w:rsid w:val="00872640"/>
    <w:rsid w:val="00872CC4"/>
    <w:rsid w:val="00872DDC"/>
    <w:rsid w:val="00872F1A"/>
    <w:rsid w:val="00873271"/>
    <w:rsid w:val="0087381C"/>
    <w:rsid w:val="00873A0D"/>
    <w:rsid w:val="00873AEB"/>
    <w:rsid w:val="008742A3"/>
    <w:rsid w:val="00874BA9"/>
    <w:rsid w:val="00875DED"/>
    <w:rsid w:val="00876964"/>
    <w:rsid w:val="008776F8"/>
    <w:rsid w:val="00877E58"/>
    <w:rsid w:val="008802DC"/>
    <w:rsid w:val="008835BB"/>
    <w:rsid w:val="008848BB"/>
    <w:rsid w:val="0088496C"/>
    <w:rsid w:val="00886B29"/>
    <w:rsid w:val="008901DA"/>
    <w:rsid w:val="008904D7"/>
    <w:rsid w:val="00890AB1"/>
    <w:rsid w:val="00890E8A"/>
    <w:rsid w:val="00893308"/>
    <w:rsid w:val="008935EC"/>
    <w:rsid w:val="008938F7"/>
    <w:rsid w:val="00894AA6"/>
    <w:rsid w:val="0089520E"/>
    <w:rsid w:val="0089793B"/>
    <w:rsid w:val="00897C95"/>
    <w:rsid w:val="008A13CF"/>
    <w:rsid w:val="008A151D"/>
    <w:rsid w:val="008A212F"/>
    <w:rsid w:val="008A33C1"/>
    <w:rsid w:val="008A380E"/>
    <w:rsid w:val="008A49F8"/>
    <w:rsid w:val="008A514E"/>
    <w:rsid w:val="008A576D"/>
    <w:rsid w:val="008B0BF7"/>
    <w:rsid w:val="008B447A"/>
    <w:rsid w:val="008B4837"/>
    <w:rsid w:val="008B53F4"/>
    <w:rsid w:val="008B5651"/>
    <w:rsid w:val="008B632C"/>
    <w:rsid w:val="008B72FE"/>
    <w:rsid w:val="008B7BEE"/>
    <w:rsid w:val="008C05C0"/>
    <w:rsid w:val="008C1060"/>
    <w:rsid w:val="008C1568"/>
    <w:rsid w:val="008C15E2"/>
    <w:rsid w:val="008C19A6"/>
    <w:rsid w:val="008C1DD3"/>
    <w:rsid w:val="008C21F1"/>
    <w:rsid w:val="008C4DE2"/>
    <w:rsid w:val="008D06E2"/>
    <w:rsid w:val="008D163A"/>
    <w:rsid w:val="008D1D04"/>
    <w:rsid w:val="008D29B5"/>
    <w:rsid w:val="008D2BBA"/>
    <w:rsid w:val="008D3C4C"/>
    <w:rsid w:val="008D4C6F"/>
    <w:rsid w:val="008D51E4"/>
    <w:rsid w:val="008D6262"/>
    <w:rsid w:val="008D6F2F"/>
    <w:rsid w:val="008D7646"/>
    <w:rsid w:val="008E0151"/>
    <w:rsid w:val="008E1204"/>
    <w:rsid w:val="008E1E4F"/>
    <w:rsid w:val="008E2580"/>
    <w:rsid w:val="008E259C"/>
    <w:rsid w:val="008E3EF6"/>
    <w:rsid w:val="008E52CF"/>
    <w:rsid w:val="008E5761"/>
    <w:rsid w:val="008E6F98"/>
    <w:rsid w:val="008E7614"/>
    <w:rsid w:val="008F2A0D"/>
    <w:rsid w:val="008F3217"/>
    <w:rsid w:val="008F407D"/>
    <w:rsid w:val="008F49B7"/>
    <w:rsid w:val="008F4B61"/>
    <w:rsid w:val="008F5BE1"/>
    <w:rsid w:val="008F7AC9"/>
    <w:rsid w:val="008F7DEB"/>
    <w:rsid w:val="008F7E04"/>
    <w:rsid w:val="00900213"/>
    <w:rsid w:val="0090456D"/>
    <w:rsid w:val="009047BA"/>
    <w:rsid w:val="00905E49"/>
    <w:rsid w:val="00907EF9"/>
    <w:rsid w:val="00912B02"/>
    <w:rsid w:val="00912BAE"/>
    <w:rsid w:val="00914374"/>
    <w:rsid w:val="009161D6"/>
    <w:rsid w:val="00916F0F"/>
    <w:rsid w:val="00917211"/>
    <w:rsid w:val="00917531"/>
    <w:rsid w:val="00917822"/>
    <w:rsid w:val="00917905"/>
    <w:rsid w:val="0092042C"/>
    <w:rsid w:val="00920949"/>
    <w:rsid w:val="00924A9E"/>
    <w:rsid w:val="009250E6"/>
    <w:rsid w:val="00925AB1"/>
    <w:rsid w:val="00926289"/>
    <w:rsid w:val="009265A7"/>
    <w:rsid w:val="009268CB"/>
    <w:rsid w:val="0092736C"/>
    <w:rsid w:val="009300D4"/>
    <w:rsid w:val="00930DCE"/>
    <w:rsid w:val="009318F7"/>
    <w:rsid w:val="009321C8"/>
    <w:rsid w:val="009324A0"/>
    <w:rsid w:val="0093348A"/>
    <w:rsid w:val="00933B63"/>
    <w:rsid w:val="00933C52"/>
    <w:rsid w:val="00934823"/>
    <w:rsid w:val="00934879"/>
    <w:rsid w:val="0093528D"/>
    <w:rsid w:val="00935E9A"/>
    <w:rsid w:val="00937BDC"/>
    <w:rsid w:val="00940040"/>
    <w:rsid w:val="009409B0"/>
    <w:rsid w:val="00940BC8"/>
    <w:rsid w:val="0094191B"/>
    <w:rsid w:val="00942390"/>
    <w:rsid w:val="00942E03"/>
    <w:rsid w:val="00943F4D"/>
    <w:rsid w:val="00944055"/>
    <w:rsid w:val="0094484A"/>
    <w:rsid w:val="009458F1"/>
    <w:rsid w:val="009464D5"/>
    <w:rsid w:val="00947280"/>
    <w:rsid w:val="00947522"/>
    <w:rsid w:val="00950921"/>
    <w:rsid w:val="00951313"/>
    <w:rsid w:val="00951370"/>
    <w:rsid w:val="00951BC7"/>
    <w:rsid w:val="00951D76"/>
    <w:rsid w:val="009528D8"/>
    <w:rsid w:val="00953900"/>
    <w:rsid w:val="00954241"/>
    <w:rsid w:val="00954CC5"/>
    <w:rsid w:val="00954D2F"/>
    <w:rsid w:val="00955528"/>
    <w:rsid w:val="009559B2"/>
    <w:rsid w:val="009566DA"/>
    <w:rsid w:val="00956B51"/>
    <w:rsid w:val="00957D43"/>
    <w:rsid w:val="00957F0D"/>
    <w:rsid w:val="00960284"/>
    <w:rsid w:val="009612DF"/>
    <w:rsid w:val="00961EA7"/>
    <w:rsid w:val="0096204A"/>
    <w:rsid w:val="009625FD"/>
    <w:rsid w:val="00963BDB"/>
    <w:rsid w:val="00964076"/>
    <w:rsid w:val="009652E7"/>
    <w:rsid w:val="0096549C"/>
    <w:rsid w:val="00965A45"/>
    <w:rsid w:val="00966019"/>
    <w:rsid w:val="00966255"/>
    <w:rsid w:val="00966AB0"/>
    <w:rsid w:val="00966C30"/>
    <w:rsid w:val="00967B45"/>
    <w:rsid w:val="00970B9C"/>
    <w:rsid w:val="00970BB9"/>
    <w:rsid w:val="00970D7A"/>
    <w:rsid w:val="00971311"/>
    <w:rsid w:val="00971605"/>
    <w:rsid w:val="0097298A"/>
    <w:rsid w:val="00972A2E"/>
    <w:rsid w:val="00972FD6"/>
    <w:rsid w:val="009738BB"/>
    <w:rsid w:val="00974358"/>
    <w:rsid w:val="009743FA"/>
    <w:rsid w:val="00975997"/>
    <w:rsid w:val="00977017"/>
    <w:rsid w:val="0097754E"/>
    <w:rsid w:val="00977D47"/>
    <w:rsid w:val="00980360"/>
    <w:rsid w:val="00982506"/>
    <w:rsid w:val="00982B27"/>
    <w:rsid w:val="009833C3"/>
    <w:rsid w:val="009852BA"/>
    <w:rsid w:val="00985674"/>
    <w:rsid w:val="00985FF7"/>
    <w:rsid w:val="009867B4"/>
    <w:rsid w:val="00986952"/>
    <w:rsid w:val="009873A5"/>
    <w:rsid w:val="00987D52"/>
    <w:rsid w:val="00990C29"/>
    <w:rsid w:val="0099133B"/>
    <w:rsid w:val="009917B3"/>
    <w:rsid w:val="00992FC8"/>
    <w:rsid w:val="00993B9C"/>
    <w:rsid w:val="00994D66"/>
    <w:rsid w:val="009953AB"/>
    <w:rsid w:val="009953EF"/>
    <w:rsid w:val="0099593D"/>
    <w:rsid w:val="0099686E"/>
    <w:rsid w:val="00997A5C"/>
    <w:rsid w:val="00997E65"/>
    <w:rsid w:val="009A0CAB"/>
    <w:rsid w:val="009A460A"/>
    <w:rsid w:val="009A5297"/>
    <w:rsid w:val="009A543E"/>
    <w:rsid w:val="009A57A0"/>
    <w:rsid w:val="009A6F46"/>
    <w:rsid w:val="009A742E"/>
    <w:rsid w:val="009A7796"/>
    <w:rsid w:val="009B0386"/>
    <w:rsid w:val="009B0DA8"/>
    <w:rsid w:val="009B112E"/>
    <w:rsid w:val="009B30B3"/>
    <w:rsid w:val="009B439A"/>
    <w:rsid w:val="009B6622"/>
    <w:rsid w:val="009B700F"/>
    <w:rsid w:val="009B7D40"/>
    <w:rsid w:val="009C0576"/>
    <w:rsid w:val="009C2DD3"/>
    <w:rsid w:val="009C3001"/>
    <w:rsid w:val="009C36C7"/>
    <w:rsid w:val="009C3795"/>
    <w:rsid w:val="009C5100"/>
    <w:rsid w:val="009D03A7"/>
    <w:rsid w:val="009D05A1"/>
    <w:rsid w:val="009D06A5"/>
    <w:rsid w:val="009D1727"/>
    <w:rsid w:val="009D1D99"/>
    <w:rsid w:val="009D2642"/>
    <w:rsid w:val="009D32F7"/>
    <w:rsid w:val="009D336B"/>
    <w:rsid w:val="009D36C2"/>
    <w:rsid w:val="009D50E7"/>
    <w:rsid w:val="009D54F6"/>
    <w:rsid w:val="009D787F"/>
    <w:rsid w:val="009E0240"/>
    <w:rsid w:val="009E055B"/>
    <w:rsid w:val="009E1166"/>
    <w:rsid w:val="009E1B90"/>
    <w:rsid w:val="009E1C72"/>
    <w:rsid w:val="009E33CB"/>
    <w:rsid w:val="009E53C4"/>
    <w:rsid w:val="009E5D6D"/>
    <w:rsid w:val="009E656B"/>
    <w:rsid w:val="009E6F4B"/>
    <w:rsid w:val="009E75D5"/>
    <w:rsid w:val="009F0F8F"/>
    <w:rsid w:val="009F1154"/>
    <w:rsid w:val="009F1738"/>
    <w:rsid w:val="009F1768"/>
    <w:rsid w:val="009F2880"/>
    <w:rsid w:val="009F43D6"/>
    <w:rsid w:val="009F46B5"/>
    <w:rsid w:val="009F51E8"/>
    <w:rsid w:val="009F526A"/>
    <w:rsid w:val="009F61AF"/>
    <w:rsid w:val="009F698D"/>
    <w:rsid w:val="009F6B15"/>
    <w:rsid w:val="009F6F95"/>
    <w:rsid w:val="009F710C"/>
    <w:rsid w:val="00A00A2F"/>
    <w:rsid w:val="00A00BC6"/>
    <w:rsid w:val="00A01041"/>
    <w:rsid w:val="00A02C65"/>
    <w:rsid w:val="00A03504"/>
    <w:rsid w:val="00A03652"/>
    <w:rsid w:val="00A04E44"/>
    <w:rsid w:val="00A04E80"/>
    <w:rsid w:val="00A057D2"/>
    <w:rsid w:val="00A05F9B"/>
    <w:rsid w:val="00A06C09"/>
    <w:rsid w:val="00A06D0F"/>
    <w:rsid w:val="00A1216F"/>
    <w:rsid w:val="00A1282D"/>
    <w:rsid w:val="00A15E24"/>
    <w:rsid w:val="00A164A2"/>
    <w:rsid w:val="00A166F4"/>
    <w:rsid w:val="00A17C16"/>
    <w:rsid w:val="00A22A52"/>
    <w:rsid w:val="00A22BA6"/>
    <w:rsid w:val="00A23688"/>
    <w:rsid w:val="00A241EA"/>
    <w:rsid w:val="00A249F2"/>
    <w:rsid w:val="00A26171"/>
    <w:rsid w:val="00A272AA"/>
    <w:rsid w:val="00A272B0"/>
    <w:rsid w:val="00A304D1"/>
    <w:rsid w:val="00A30E98"/>
    <w:rsid w:val="00A30FBE"/>
    <w:rsid w:val="00A310FF"/>
    <w:rsid w:val="00A31107"/>
    <w:rsid w:val="00A31EAC"/>
    <w:rsid w:val="00A32543"/>
    <w:rsid w:val="00A32697"/>
    <w:rsid w:val="00A32E24"/>
    <w:rsid w:val="00A35377"/>
    <w:rsid w:val="00A369F1"/>
    <w:rsid w:val="00A36DE4"/>
    <w:rsid w:val="00A374BA"/>
    <w:rsid w:val="00A40048"/>
    <w:rsid w:val="00A40DA4"/>
    <w:rsid w:val="00A41BFD"/>
    <w:rsid w:val="00A41C10"/>
    <w:rsid w:val="00A41E0A"/>
    <w:rsid w:val="00A421B3"/>
    <w:rsid w:val="00A42563"/>
    <w:rsid w:val="00A4336F"/>
    <w:rsid w:val="00A441D7"/>
    <w:rsid w:val="00A447B1"/>
    <w:rsid w:val="00A44FBE"/>
    <w:rsid w:val="00A45E63"/>
    <w:rsid w:val="00A4603B"/>
    <w:rsid w:val="00A46B1C"/>
    <w:rsid w:val="00A47648"/>
    <w:rsid w:val="00A504EE"/>
    <w:rsid w:val="00A50541"/>
    <w:rsid w:val="00A5263E"/>
    <w:rsid w:val="00A535E6"/>
    <w:rsid w:val="00A54087"/>
    <w:rsid w:val="00A543D4"/>
    <w:rsid w:val="00A5588A"/>
    <w:rsid w:val="00A56924"/>
    <w:rsid w:val="00A56B72"/>
    <w:rsid w:val="00A56FC9"/>
    <w:rsid w:val="00A605BB"/>
    <w:rsid w:val="00A620E9"/>
    <w:rsid w:val="00A6370D"/>
    <w:rsid w:val="00A640EA"/>
    <w:rsid w:val="00A64428"/>
    <w:rsid w:val="00A65A44"/>
    <w:rsid w:val="00A668FF"/>
    <w:rsid w:val="00A6694B"/>
    <w:rsid w:val="00A6757F"/>
    <w:rsid w:val="00A704F1"/>
    <w:rsid w:val="00A7058D"/>
    <w:rsid w:val="00A72561"/>
    <w:rsid w:val="00A735E1"/>
    <w:rsid w:val="00A75078"/>
    <w:rsid w:val="00A750B9"/>
    <w:rsid w:val="00A7522C"/>
    <w:rsid w:val="00A7658C"/>
    <w:rsid w:val="00A76AB4"/>
    <w:rsid w:val="00A76F96"/>
    <w:rsid w:val="00A80C95"/>
    <w:rsid w:val="00A81141"/>
    <w:rsid w:val="00A8130D"/>
    <w:rsid w:val="00A81B1A"/>
    <w:rsid w:val="00A827C3"/>
    <w:rsid w:val="00A8304E"/>
    <w:rsid w:val="00A84979"/>
    <w:rsid w:val="00A862F1"/>
    <w:rsid w:val="00A86944"/>
    <w:rsid w:val="00A86B6F"/>
    <w:rsid w:val="00A86CD1"/>
    <w:rsid w:val="00A87B89"/>
    <w:rsid w:val="00A91037"/>
    <w:rsid w:val="00A91D86"/>
    <w:rsid w:val="00A926B6"/>
    <w:rsid w:val="00A928A7"/>
    <w:rsid w:val="00A92967"/>
    <w:rsid w:val="00A940E4"/>
    <w:rsid w:val="00A9445F"/>
    <w:rsid w:val="00A94878"/>
    <w:rsid w:val="00A95B7F"/>
    <w:rsid w:val="00A96823"/>
    <w:rsid w:val="00AA14B9"/>
    <w:rsid w:val="00AA16AD"/>
    <w:rsid w:val="00AA1B46"/>
    <w:rsid w:val="00AA1CF5"/>
    <w:rsid w:val="00AA3A91"/>
    <w:rsid w:val="00AA44D8"/>
    <w:rsid w:val="00AA49B4"/>
    <w:rsid w:val="00AA4C0E"/>
    <w:rsid w:val="00AA547B"/>
    <w:rsid w:val="00AA67B4"/>
    <w:rsid w:val="00AA6F75"/>
    <w:rsid w:val="00AA70CA"/>
    <w:rsid w:val="00AA72F6"/>
    <w:rsid w:val="00AA75EC"/>
    <w:rsid w:val="00AA7DF1"/>
    <w:rsid w:val="00AB0A0E"/>
    <w:rsid w:val="00AB1767"/>
    <w:rsid w:val="00AB1C22"/>
    <w:rsid w:val="00AB24C1"/>
    <w:rsid w:val="00AB265B"/>
    <w:rsid w:val="00AB27E7"/>
    <w:rsid w:val="00AB2DEC"/>
    <w:rsid w:val="00AB53C9"/>
    <w:rsid w:val="00AB546C"/>
    <w:rsid w:val="00AB5B81"/>
    <w:rsid w:val="00AB7448"/>
    <w:rsid w:val="00AC01D8"/>
    <w:rsid w:val="00AC0D05"/>
    <w:rsid w:val="00AC2B31"/>
    <w:rsid w:val="00AC3D68"/>
    <w:rsid w:val="00AC5A09"/>
    <w:rsid w:val="00AC5AE0"/>
    <w:rsid w:val="00AC5C9B"/>
    <w:rsid w:val="00AC660B"/>
    <w:rsid w:val="00AD0843"/>
    <w:rsid w:val="00AD19A6"/>
    <w:rsid w:val="00AD1EC9"/>
    <w:rsid w:val="00AD2697"/>
    <w:rsid w:val="00AD2C28"/>
    <w:rsid w:val="00AD3199"/>
    <w:rsid w:val="00AD3792"/>
    <w:rsid w:val="00AD3EC5"/>
    <w:rsid w:val="00AD3F8C"/>
    <w:rsid w:val="00AD4B33"/>
    <w:rsid w:val="00AD4CB0"/>
    <w:rsid w:val="00AD5D44"/>
    <w:rsid w:val="00AD6A9D"/>
    <w:rsid w:val="00AD7275"/>
    <w:rsid w:val="00AD732F"/>
    <w:rsid w:val="00AD7602"/>
    <w:rsid w:val="00AD78F3"/>
    <w:rsid w:val="00AE09C8"/>
    <w:rsid w:val="00AE0D38"/>
    <w:rsid w:val="00AE1447"/>
    <w:rsid w:val="00AE1D75"/>
    <w:rsid w:val="00AE27BC"/>
    <w:rsid w:val="00AE2A60"/>
    <w:rsid w:val="00AE2E46"/>
    <w:rsid w:val="00AE3B5D"/>
    <w:rsid w:val="00AE3B5F"/>
    <w:rsid w:val="00AE47E7"/>
    <w:rsid w:val="00AE6BAE"/>
    <w:rsid w:val="00AE70A1"/>
    <w:rsid w:val="00AE73E6"/>
    <w:rsid w:val="00AE7F86"/>
    <w:rsid w:val="00AE7FDC"/>
    <w:rsid w:val="00AF0647"/>
    <w:rsid w:val="00AF0A95"/>
    <w:rsid w:val="00AF35EB"/>
    <w:rsid w:val="00AF40DE"/>
    <w:rsid w:val="00AF4555"/>
    <w:rsid w:val="00AF47E1"/>
    <w:rsid w:val="00AF5E49"/>
    <w:rsid w:val="00AF7719"/>
    <w:rsid w:val="00AF7B80"/>
    <w:rsid w:val="00AF7D32"/>
    <w:rsid w:val="00AF7DDF"/>
    <w:rsid w:val="00AF7EA6"/>
    <w:rsid w:val="00B0020C"/>
    <w:rsid w:val="00B01B53"/>
    <w:rsid w:val="00B0344D"/>
    <w:rsid w:val="00B04E5A"/>
    <w:rsid w:val="00B06010"/>
    <w:rsid w:val="00B07A86"/>
    <w:rsid w:val="00B11DDD"/>
    <w:rsid w:val="00B14F11"/>
    <w:rsid w:val="00B14F4F"/>
    <w:rsid w:val="00B1516E"/>
    <w:rsid w:val="00B15CCA"/>
    <w:rsid w:val="00B15F79"/>
    <w:rsid w:val="00B178C0"/>
    <w:rsid w:val="00B17F7D"/>
    <w:rsid w:val="00B20764"/>
    <w:rsid w:val="00B2087D"/>
    <w:rsid w:val="00B2100B"/>
    <w:rsid w:val="00B21567"/>
    <w:rsid w:val="00B21D19"/>
    <w:rsid w:val="00B2219D"/>
    <w:rsid w:val="00B234E2"/>
    <w:rsid w:val="00B25963"/>
    <w:rsid w:val="00B25A4E"/>
    <w:rsid w:val="00B2658F"/>
    <w:rsid w:val="00B266DE"/>
    <w:rsid w:val="00B27B14"/>
    <w:rsid w:val="00B30D6A"/>
    <w:rsid w:val="00B322DC"/>
    <w:rsid w:val="00B329C2"/>
    <w:rsid w:val="00B34368"/>
    <w:rsid w:val="00B34389"/>
    <w:rsid w:val="00B343CA"/>
    <w:rsid w:val="00B34A4F"/>
    <w:rsid w:val="00B354DE"/>
    <w:rsid w:val="00B35683"/>
    <w:rsid w:val="00B36A0F"/>
    <w:rsid w:val="00B36ABC"/>
    <w:rsid w:val="00B41841"/>
    <w:rsid w:val="00B41A65"/>
    <w:rsid w:val="00B4226B"/>
    <w:rsid w:val="00B430F2"/>
    <w:rsid w:val="00B43C13"/>
    <w:rsid w:val="00B43D6F"/>
    <w:rsid w:val="00B45804"/>
    <w:rsid w:val="00B461A2"/>
    <w:rsid w:val="00B467FC"/>
    <w:rsid w:val="00B47182"/>
    <w:rsid w:val="00B47AE5"/>
    <w:rsid w:val="00B51037"/>
    <w:rsid w:val="00B5279A"/>
    <w:rsid w:val="00B52AE4"/>
    <w:rsid w:val="00B52D1E"/>
    <w:rsid w:val="00B5320E"/>
    <w:rsid w:val="00B53341"/>
    <w:rsid w:val="00B5344D"/>
    <w:rsid w:val="00B53794"/>
    <w:rsid w:val="00B53C7F"/>
    <w:rsid w:val="00B54670"/>
    <w:rsid w:val="00B55C77"/>
    <w:rsid w:val="00B5695E"/>
    <w:rsid w:val="00B56ABF"/>
    <w:rsid w:val="00B572B0"/>
    <w:rsid w:val="00B57446"/>
    <w:rsid w:val="00B607BF"/>
    <w:rsid w:val="00B61C07"/>
    <w:rsid w:val="00B62E2B"/>
    <w:rsid w:val="00B64E2F"/>
    <w:rsid w:val="00B66EAB"/>
    <w:rsid w:val="00B6766D"/>
    <w:rsid w:val="00B67B97"/>
    <w:rsid w:val="00B70C8E"/>
    <w:rsid w:val="00B70F9A"/>
    <w:rsid w:val="00B711FC"/>
    <w:rsid w:val="00B716F4"/>
    <w:rsid w:val="00B7187F"/>
    <w:rsid w:val="00B71D4A"/>
    <w:rsid w:val="00B72834"/>
    <w:rsid w:val="00B74450"/>
    <w:rsid w:val="00B75270"/>
    <w:rsid w:val="00B77086"/>
    <w:rsid w:val="00B775CF"/>
    <w:rsid w:val="00B77A00"/>
    <w:rsid w:val="00B80155"/>
    <w:rsid w:val="00B805F6"/>
    <w:rsid w:val="00B80E4A"/>
    <w:rsid w:val="00B80F86"/>
    <w:rsid w:val="00B81985"/>
    <w:rsid w:val="00B82051"/>
    <w:rsid w:val="00B845EF"/>
    <w:rsid w:val="00B84B19"/>
    <w:rsid w:val="00B8549D"/>
    <w:rsid w:val="00B85C7C"/>
    <w:rsid w:val="00B86157"/>
    <w:rsid w:val="00B8615B"/>
    <w:rsid w:val="00B87D62"/>
    <w:rsid w:val="00B90EC3"/>
    <w:rsid w:val="00B9113E"/>
    <w:rsid w:val="00B91EB0"/>
    <w:rsid w:val="00B92DF9"/>
    <w:rsid w:val="00B93284"/>
    <w:rsid w:val="00B93B04"/>
    <w:rsid w:val="00B93B36"/>
    <w:rsid w:val="00B93B98"/>
    <w:rsid w:val="00B949D6"/>
    <w:rsid w:val="00B950DD"/>
    <w:rsid w:val="00B95881"/>
    <w:rsid w:val="00B977EC"/>
    <w:rsid w:val="00BA0C54"/>
    <w:rsid w:val="00BA117B"/>
    <w:rsid w:val="00BA173B"/>
    <w:rsid w:val="00BA1C1E"/>
    <w:rsid w:val="00BA1F4A"/>
    <w:rsid w:val="00BA25FB"/>
    <w:rsid w:val="00BA2C88"/>
    <w:rsid w:val="00BA33D8"/>
    <w:rsid w:val="00BA396B"/>
    <w:rsid w:val="00BA3A64"/>
    <w:rsid w:val="00BA3D0E"/>
    <w:rsid w:val="00BA48A9"/>
    <w:rsid w:val="00BA4E3D"/>
    <w:rsid w:val="00BA615A"/>
    <w:rsid w:val="00BA7329"/>
    <w:rsid w:val="00BB15DC"/>
    <w:rsid w:val="00BB2A88"/>
    <w:rsid w:val="00BB2B00"/>
    <w:rsid w:val="00BB4BFB"/>
    <w:rsid w:val="00BB51DD"/>
    <w:rsid w:val="00BB5C37"/>
    <w:rsid w:val="00BB5EC5"/>
    <w:rsid w:val="00BB67A5"/>
    <w:rsid w:val="00BB6AF7"/>
    <w:rsid w:val="00BB6B16"/>
    <w:rsid w:val="00BB6CD3"/>
    <w:rsid w:val="00BB7346"/>
    <w:rsid w:val="00BB7433"/>
    <w:rsid w:val="00BC0F0B"/>
    <w:rsid w:val="00BC1CA0"/>
    <w:rsid w:val="00BC24CE"/>
    <w:rsid w:val="00BC2627"/>
    <w:rsid w:val="00BC2FD6"/>
    <w:rsid w:val="00BC3332"/>
    <w:rsid w:val="00BC374F"/>
    <w:rsid w:val="00BC4021"/>
    <w:rsid w:val="00BC5861"/>
    <w:rsid w:val="00BC5BF1"/>
    <w:rsid w:val="00BC5F0A"/>
    <w:rsid w:val="00BC687A"/>
    <w:rsid w:val="00BC7B0D"/>
    <w:rsid w:val="00BC7D84"/>
    <w:rsid w:val="00BC7E15"/>
    <w:rsid w:val="00BD0430"/>
    <w:rsid w:val="00BD0B93"/>
    <w:rsid w:val="00BD2D01"/>
    <w:rsid w:val="00BD3FE2"/>
    <w:rsid w:val="00BD488F"/>
    <w:rsid w:val="00BD4D5D"/>
    <w:rsid w:val="00BD5B1C"/>
    <w:rsid w:val="00BD5B53"/>
    <w:rsid w:val="00BD6307"/>
    <w:rsid w:val="00BD739E"/>
    <w:rsid w:val="00BD7776"/>
    <w:rsid w:val="00BE09A6"/>
    <w:rsid w:val="00BE10FA"/>
    <w:rsid w:val="00BE1636"/>
    <w:rsid w:val="00BE2729"/>
    <w:rsid w:val="00BE2F2E"/>
    <w:rsid w:val="00BE2F66"/>
    <w:rsid w:val="00BE2F71"/>
    <w:rsid w:val="00BE3096"/>
    <w:rsid w:val="00BE3246"/>
    <w:rsid w:val="00BE40AE"/>
    <w:rsid w:val="00BE4CFA"/>
    <w:rsid w:val="00BE5BB6"/>
    <w:rsid w:val="00BE64E8"/>
    <w:rsid w:val="00BE662B"/>
    <w:rsid w:val="00BE69EE"/>
    <w:rsid w:val="00BF06EF"/>
    <w:rsid w:val="00BF11F1"/>
    <w:rsid w:val="00BF2169"/>
    <w:rsid w:val="00BF2BF1"/>
    <w:rsid w:val="00BF2C23"/>
    <w:rsid w:val="00BF39C6"/>
    <w:rsid w:val="00BF40F8"/>
    <w:rsid w:val="00BF4394"/>
    <w:rsid w:val="00BF6445"/>
    <w:rsid w:val="00BF7602"/>
    <w:rsid w:val="00C0093B"/>
    <w:rsid w:val="00C00B89"/>
    <w:rsid w:val="00C00DF3"/>
    <w:rsid w:val="00C01E34"/>
    <w:rsid w:val="00C0265E"/>
    <w:rsid w:val="00C02DF1"/>
    <w:rsid w:val="00C0520F"/>
    <w:rsid w:val="00C06264"/>
    <w:rsid w:val="00C06522"/>
    <w:rsid w:val="00C06571"/>
    <w:rsid w:val="00C06F24"/>
    <w:rsid w:val="00C071B8"/>
    <w:rsid w:val="00C078B5"/>
    <w:rsid w:val="00C107CC"/>
    <w:rsid w:val="00C11820"/>
    <w:rsid w:val="00C11EE0"/>
    <w:rsid w:val="00C11FA8"/>
    <w:rsid w:val="00C1223C"/>
    <w:rsid w:val="00C1309E"/>
    <w:rsid w:val="00C130D7"/>
    <w:rsid w:val="00C13311"/>
    <w:rsid w:val="00C1360E"/>
    <w:rsid w:val="00C13B7F"/>
    <w:rsid w:val="00C1506D"/>
    <w:rsid w:val="00C15D8C"/>
    <w:rsid w:val="00C1650F"/>
    <w:rsid w:val="00C17073"/>
    <w:rsid w:val="00C17211"/>
    <w:rsid w:val="00C20022"/>
    <w:rsid w:val="00C20830"/>
    <w:rsid w:val="00C213AC"/>
    <w:rsid w:val="00C21775"/>
    <w:rsid w:val="00C23DF5"/>
    <w:rsid w:val="00C25D12"/>
    <w:rsid w:val="00C266DF"/>
    <w:rsid w:val="00C26EFB"/>
    <w:rsid w:val="00C274A4"/>
    <w:rsid w:val="00C27D9B"/>
    <w:rsid w:val="00C30AC1"/>
    <w:rsid w:val="00C321FD"/>
    <w:rsid w:val="00C33234"/>
    <w:rsid w:val="00C339DE"/>
    <w:rsid w:val="00C34BCA"/>
    <w:rsid w:val="00C35186"/>
    <w:rsid w:val="00C36078"/>
    <w:rsid w:val="00C37665"/>
    <w:rsid w:val="00C41BC9"/>
    <w:rsid w:val="00C41D92"/>
    <w:rsid w:val="00C41E88"/>
    <w:rsid w:val="00C42756"/>
    <w:rsid w:val="00C4368F"/>
    <w:rsid w:val="00C442E5"/>
    <w:rsid w:val="00C4456E"/>
    <w:rsid w:val="00C44815"/>
    <w:rsid w:val="00C44EA4"/>
    <w:rsid w:val="00C44F94"/>
    <w:rsid w:val="00C47A5E"/>
    <w:rsid w:val="00C501EB"/>
    <w:rsid w:val="00C509B2"/>
    <w:rsid w:val="00C52117"/>
    <w:rsid w:val="00C53822"/>
    <w:rsid w:val="00C53D4D"/>
    <w:rsid w:val="00C5414D"/>
    <w:rsid w:val="00C560A5"/>
    <w:rsid w:val="00C57632"/>
    <w:rsid w:val="00C57674"/>
    <w:rsid w:val="00C57718"/>
    <w:rsid w:val="00C57CEE"/>
    <w:rsid w:val="00C60057"/>
    <w:rsid w:val="00C61C55"/>
    <w:rsid w:val="00C623D0"/>
    <w:rsid w:val="00C62873"/>
    <w:rsid w:val="00C63B3D"/>
    <w:rsid w:val="00C63E35"/>
    <w:rsid w:val="00C64107"/>
    <w:rsid w:val="00C65814"/>
    <w:rsid w:val="00C65D3C"/>
    <w:rsid w:val="00C6778B"/>
    <w:rsid w:val="00C67AF4"/>
    <w:rsid w:val="00C70148"/>
    <w:rsid w:val="00C704DA"/>
    <w:rsid w:val="00C71404"/>
    <w:rsid w:val="00C7198F"/>
    <w:rsid w:val="00C721AF"/>
    <w:rsid w:val="00C73799"/>
    <w:rsid w:val="00C766D6"/>
    <w:rsid w:val="00C778EE"/>
    <w:rsid w:val="00C80994"/>
    <w:rsid w:val="00C814E3"/>
    <w:rsid w:val="00C819B8"/>
    <w:rsid w:val="00C81C79"/>
    <w:rsid w:val="00C838BF"/>
    <w:rsid w:val="00C8410C"/>
    <w:rsid w:val="00C84AFE"/>
    <w:rsid w:val="00C86872"/>
    <w:rsid w:val="00C86ABF"/>
    <w:rsid w:val="00C86E56"/>
    <w:rsid w:val="00C87D8A"/>
    <w:rsid w:val="00C9021D"/>
    <w:rsid w:val="00C902AE"/>
    <w:rsid w:val="00C90711"/>
    <w:rsid w:val="00C91664"/>
    <w:rsid w:val="00C93533"/>
    <w:rsid w:val="00C93C8A"/>
    <w:rsid w:val="00C95BEF"/>
    <w:rsid w:val="00C95F66"/>
    <w:rsid w:val="00C96B96"/>
    <w:rsid w:val="00C97938"/>
    <w:rsid w:val="00CA125D"/>
    <w:rsid w:val="00CA1277"/>
    <w:rsid w:val="00CA1749"/>
    <w:rsid w:val="00CA193D"/>
    <w:rsid w:val="00CA3CF3"/>
    <w:rsid w:val="00CA4B4E"/>
    <w:rsid w:val="00CA5004"/>
    <w:rsid w:val="00CA6685"/>
    <w:rsid w:val="00CA70BE"/>
    <w:rsid w:val="00CB06C1"/>
    <w:rsid w:val="00CB1BCE"/>
    <w:rsid w:val="00CB1C7F"/>
    <w:rsid w:val="00CB204B"/>
    <w:rsid w:val="00CB5322"/>
    <w:rsid w:val="00CB568C"/>
    <w:rsid w:val="00CB7142"/>
    <w:rsid w:val="00CB7189"/>
    <w:rsid w:val="00CC09C2"/>
    <w:rsid w:val="00CC1A09"/>
    <w:rsid w:val="00CC20C2"/>
    <w:rsid w:val="00CC2154"/>
    <w:rsid w:val="00CC4FF9"/>
    <w:rsid w:val="00CC57B5"/>
    <w:rsid w:val="00CC59D6"/>
    <w:rsid w:val="00CC70D3"/>
    <w:rsid w:val="00CC79E9"/>
    <w:rsid w:val="00CD437B"/>
    <w:rsid w:val="00CD4F12"/>
    <w:rsid w:val="00CD529B"/>
    <w:rsid w:val="00CD5699"/>
    <w:rsid w:val="00CD635C"/>
    <w:rsid w:val="00CD7A87"/>
    <w:rsid w:val="00CE0953"/>
    <w:rsid w:val="00CE22CD"/>
    <w:rsid w:val="00CE30C9"/>
    <w:rsid w:val="00CE375C"/>
    <w:rsid w:val="00CE3B64"/>
    <w:rsid w:val="00CE3BB4"/>
    <w:rsid w:val="00CE3D9C"/>
    <w:rsid w:val="00CE5358"/>
    <w:rsid w:val="00CE6E47"/>
    <w:rsid w:val="00CE7257"/>
    <w:rsid w:val="00CE7ACC"/>
    <w:rsid w:val="00CF08C9"/>
    <w:rsid w:val="00CF1885"/>
    <w:rsid w:val="00CF2726"/>
    <w:rsid w:val="00CF2C97"/>
    <w:rsid w:val="00CF3EAA"/>
    <w:rsid w:val="00D000C4"/>
    <w:rsid w:val="00D01B63"/>
    <w:rsid w:val="00D03763"/>
    <w:rsid w:val="00D03CDA"/>
    <w:rsid w:val="00D0424C"/>
    <w:rsid w:val="00D0474D"/>
    <w:rsid w:val="00D05552"/>
    <w:rsid w:val="00D057AB"/>
    <w:rsid w:val="00D05E0C"/>
    <w:rsid w:val="00D06993"/>
    <w:rsid w:val="00D06BCF"/>
    <w:rsid w:val="00D104F4"/>
    <w:rsid w:val="00D1396A"/>
    <w:rsid w:val="00D142E0"/>
    <w:rsid w:val="00D14553"/>
    <w:rsid w:val="00D14C7C"/>
    <w:rsid w:val="00D1561C"/>
    <w:rsid w:val="00D15745"/>
    <w:rsid w:val="00D15CF7"/>
    <w:rsid w:val="00D1629C"/>
    <w:rsid w:val="00D16B8C"/>
    <w:rsid w:val="00D16E1D"/>
    <w:rsid w:val="00D16EEC"/>
    <w:rsid w:val="00D202EF"/>
    <w:rsid w:val="00D21629"/>
    <w:rsid w:val="00D21F21"/>
    <w:rsid w:val="00D222B3"/>
    <w:rsid w:val="00D22AAD"/>
    <w:rsid w:val="00D238CB"/>
    <w:rsid w:val="00D250C5"/>
    <w:rsid w:val="00D25EB7"/>
    <w:rsid w:val="00D3107F"/>
    <w:rsid w:val="00D32F1D"/>
    <w:rsid w:val="00D3394E"/>
    <w:rsid w:val="00D34303"/>
    <w:rsid w:val="00D34B9A"/>
    <w:rsid w:val="00D34BDA"/>
    <w:rsid w:val="00D34FCC"/>
    <w:rsid w:val="00D35148"/>
    <w:rsid w:val="00D355DD"/>
    <w:rsid w:val="00D36461"/>
    <w:rsid w:val="00D36F07"/>
    <w:rsid w:val="00D414EB"/>
    <w:rsid w:val="00D4159A"/>
    <w:rsid w:val="00D423F6"/>
    <w:rsid w:val="00D42518"/>
    <w:rsid w:val="00D4305A"/>
    <w:rsid w:val="00D44080"/>
    <w:rsid w:val="00D442AC"/>
    <w:rsid w:val="00D4483A"/>
    <w:rsid w:val="00D44F48"/>
    <w:rsid w:val="00D4511A"/>
    <w:rsid w:val="00D467DE"/>
    <w:rsid w:val="00D46A64"/>
    <w:rsid w:val="00D4744E"/>
    <w:rsid w:val="00D47486"/>
    <w:rsid w:val="00D50BFC"/>
    <w:rsid w:val="00D50F86"/>
    <w:rsid w:val="00D54247"/>
    <w:rsid w:val="00D54655"/>
    <w:rsid w:val="00D54AB5"/>
    <w:rsid w:val="00D5545E"/>
    <w:rsid w:val="00D57068"/>
    <w:rsid w:val="00D5768B"/>
    <w:rsid w:val="00D576E2"/>
    <w:rsid w:val="00D60B77"/>
    <w:rsid w:val="00D6193A"/>
    <w:rsid w:val="00D61F69"/>
    <w:rsid w:val="00D61F9C"/>
    <w:rsid w:val="00D62AAD"/>
    <w:rsid w:val="00D63200"/>
    <w:rsid w:val="00D63398"/>
    <w:rsid w:val="00D6416C"/>
    <w:rsid w:val="00D641D4"/>
    <w:rsid w:val="00D64A61"/>
    <w:rsid w:val="00D65F81"/>
    <w:rsid w:val="00D66145"/>
    <w:rsid w:val="00D6615F"/>
    <w:rsid w:val="00D67C16"/>
    <w:rsid w:val="00D67E2D"/>
    <w:rsid w:val="00D708C5"/>
    <w:rsid w:val="00D71A97"/>
    <w:rsid w:val="00D72493"/>
    <w:rsid w:val="00D73494"/>
    <w:rsid w:val="00D74881"/>
    <w:rsid w:val="00D7789C"/>
    <w:rsid w:val="00D801F3"/>
    <w:rsid w:val="00D8091F"/>
    <w:rsid w:val="00D81DFA"/>
    <w:rsid w:val="00D81F83"/>
    <w:rsid w:val="00D81FC2"/>
    <w:rsid w:val="00D86066"/>
    <w:rsid w:val="00D868A9"/>
    <w:rsid w:val="00D87037"/>
    <w:rsid w:val="00D872B2"/>
    <w:rsid w:val="00D87467"/>
    <w:rsid w:val="00D87B82"/>
    <w:rsid w:val="00D9067D"/>
    <w:rsid w:val="00D911ED"/>
    <w:rsid w:val="00D91261"/>
    <w:rsid w:val="00D922F8"/>
    <w:rsid w:val="00D92372"/>
    <w:rsid w:val="00D9246B"/>
    <w:rsid w:val="00D926AC"/>
    <w:rsid w:val="00D92A16"/>
    <w:rsid w:val="00D92ED6"/>
    <w:rsid w:val="00D93023"/>
    <w:rsid w:val="00D94160"/>
    <w:rsid w:val="00D94C02"/>
    <w:rsid w:val="00D94FCB"/>
    <w:rsid w:val="00D95E41"/>
    <w:rsid w:val="00D96A1C"/>
    <w:rsid w:val="00D96CC6"/>
    <w:rsid w:val="00D97AE5"/>
    <w:rsid w:val="00DA0465"/>
    <w:rsid w:val="00DA09A3"/>
    <w:rsid w:val="00DA0E4F"/>
    <w:rsid w:val="00DA1DDA"/>
    <w:rsid w:val="00DA25C3"/>
    <w:rsid w:val="00DA46AC"/>
    <w:rsid w:val="00DA553E"/>
    <w:rsid w:val="00DA5925"/>
    <w:rsid w:val="00DA6F93"/>
    <w:rsid w:val="00DA7005"/>
    <w:rsid w:val="00DA7BC5"/>
    <w:rsid w:val="00DB15C8"/>
    <w:rsid w:val="00DB2287"/>
    <w:rsid w:val="00DB3039"/>
    <w:rsid w:val="00DB3282"/>
    <w:rsid w:val="00DB32D0"/>
    <w:rsid w:val="00DB360B"/>
    <w:rsid w:val="00DB4258"/>
    <w:rsid w:val="00DB5980"/>
    <w:rsid w:val="00DB79CE"/>
    <w:rsid w:val="00DC18DE"/>
    <w:rsid w:val="00DC29E6"/>
    <w:rsid w:val="00DC3950"/>
    <w:rsid w:val="00DC3B98"/>
    <w:rsid w:val="00DC4209"/>
    <w:rsid w:val="00DC54E0"/>
    <w:rsid w:val="00DC5586"/>
    <w:rsid w:val="00DD0E48"/>
    <w:rsid w:val="00DD11A7"/>
    <w:rsid w:val="00DD12DD"/>
    <w:rsid w:val="00DD2190"/>
    <w:rsid w:val="00DD22DA"/>
    <w:rsid w:val="00DD31DE"/>
    <w:rsid w:val="00DD4136"/>
    <w:rsid w:val="00DD4191"/>
    <w:rsid w:val="00DD5090"/>
    <w:rsid w:val="00DD6EF9"/>
    <w:rsid w:val="00DD78E8"/>
    <w:rsid w:val="00DE0575"/>
    <w:rsid w:val="00DE0ADC"/>
    <w:rsid w:val="00DE13C2"/>
    <w:rsid w:val="00DE15B6"/>
    <w:rsid w:val="00DE2125"/>
    <w:rsid w:val="00DE38A2"/>
    <w:rsid w:val="00DE3A23"/>
    <w:rsid w:val="00DE414B"/>
    <w:rsid w:val="00DE49E1"/>
    <w:rsid w:val="00DE4A0D"/>
    <w:rsid w:val="00DE5DF9"/>
    <w:rsid w:val="00DF16EE"/>
    <w:rsid w:val="00DF1F2C"/>
    <w:rsid w:val="00DF2943"/>
    <w:rsid w:val="00DF2AC4"/>
    <w:rsid w:val="00DF3324"/>
    <w:rsid w:val="00DF346D"/>
    <w:rsid w:val="00DF4AF7"/>
    <w:rsid w:val="00DF5E1B"/>
    <w:rsid w:val="00DF606B"/>
    <w:rsid w:val="00DF60F5"/>
    <w:rsid w:val="00DF7937"/>
    <w:rsid w:val="00E008A5"/>
    <w:rsid w:val="00E00D0B"/>
    <w:rsid w:val="00E00E49"/>
    <w:rsid w:val="00E010A9"/>
    <w:rsid w:val="00E01179"/>
    <w:rsid w:val="00E01968"/>
    <w:rsid w:val="00E03236"/>
    <w:rsid w:val="00E039B7"/>
    <w:rsid w:val="00E0653F"/>
    <w:rsid w:val="00E0670F"/>
    <w:rsid w:val="00E06F46"/>
    <w:rsid w:val="00E073FF"/>
    <w:rsid w:val="00E07BC7"/>
    <w:rsid w:val="00E11C2C"/>
    <w:rsid w:val="00E11DE8"/>
    <w:rsid w:val="00E12EBF"/>
    <w:rsid w:val="00E13F64"/>
    <w:rsid w:val="00E14302"/>
    <w:rsid w:val="00E15701"/>
    <w:rsid w:val="00E157AB"/>
    <w:rsid w:val="00E159C8"/>
    <w:rsid w:val="00E160F4"/>
    <w:rsid w:val="00E1641A"/>
    <w:rsid w:val="00E16832"/>
    <w:rsid w:val="00E16B1F"/>
    <w:rsid w:val="00E16BAF"/>
    <w:rsid w:val="00E17834"/>
    <w:rsid w:val="00E17CE6"/>
    <w:rsid w:val="00E17EF4"/>
    <w:rsid w:val="00E2157F"/>
    <w:rsid w:val="00E218FC"/>
    <w:rsid w:val="00E21DBB"/>
    <w:rsid w:val="00E223E6"/>
    <w:rsid w:val="00E227B2"/>
    <w:rsid w:val="00E228B8"/>
    <w:rsid w:val="00E23235"/>
    <w:rsid w:val="00E240AE"/>
    <w:rsid w:val="00E24346"/>
    <w:rsid w:val="00E24C94"/>
    <w:rsid w:val="00E2589A"/>
    <w:rsid w:val="00E25E15"/>
    <w:rsid w:val="00E2695E"/>
    <w:rsid w:val="00E26F64"/>
    <w:rsid w:val="00E279B7"/>
    <w:rsid w:val="00E3038B"/>
    <w:rsid w:val="00E31B2F"/>
    <w:rsid w:val="00E31F0F"/>
    <w:rsid w:val="00E3294E"/>
    <w:rsid w:val="00E3370C"/>
    <w:rsid w:val="00E34CE6"/>
    <w:rsid w:val="00E36554"/>
    <w:rsid w:val="00E3738D"/>
    <w:rsid w:val="00E3749B"/>
    <w:rsid w:val="00E37C05"/>
    <w:rsid w:val="00E37D1E"/>
    <w:rsid w:val="00E40394"/>
    <w:rsid w:val="00E40B88"/>
    <w:rsid w:val="00E40BA8"/>
    <w:rsid w:val="00E42369"/>
    <w:rsid w:val="00E42E8C"/>
    <w:rsid w:val="00E4359B"/>
    <w:rsid w:val="00E436F1"/>
    <w:rsid w:val="00E43FE8"/>
    <w:rsid w:val="00E44548"/>
    <w:rsid w:val="00E45B45"/>
    <w:rsid w:val="00E45D05"/>
    <w:rsid w:val="00E475A6"/>
    <w:rsid w:val="00E500E0"/>
    <w:rsid w:val="00E50C7A"/>
    <w:rsid w:val="00E5159E"/>
    <w:rsid w:val="00E51C27"/>
    <w:rsid w:val="00E52182"/>
    <w:rsid w:val="00E52EA2"/>
    <w:rsid w:val="00E53450"/>
    <w:rsid w:val="00E54071"/>
    <w:rsid w:val="00E5485C"/>
    <w:rsid w:val="00E55635"/>
    <w:rsid w:val="00E55655"/>
    <w:rsid w:val="00E56598"/>
    <w:rsid w:val="00E5705D"/>
    <w:rsid w:val="00E60AEA"/>
    <w:rsid w:val="00E64648"/>
    <w:rsid w:val="00E65187"/>
    <w:rsid w:val="00E6585C"/>
    <w:rsid w:val="00E66763"/>
    <w:rsid w:val="00E66AD8"/>
    <w:rsid w:val="00E66EBC"/>
    <w:rsid w:val="00E67005"/>
    <w:rsid w:val="00E673D5"/>
    <w:rsid w:val="00E67952"/>
    <w:rsid w:val="00E705D0"/>
    <w:rsid w:val="00E713AF"/>
    <w:rsid w:val="00E716D6"/>
    <w:rsid w:val="00E72006"/>
    <w:rsid w:val="00E72E3A"/>
    <w:rsid w:val="00E73316"/>
    <w:rsid w:val="00E73EC9"/>
    <w:rsid w:val="00E74CCE"/>
    <w:rsid w:val="00E76BB0"/>
    <w:rsid w:val="00E76EEB"/>
    <w:rsid w:val="00E77918"/>
    <w:rsid w:val="00E77F57"/>
    <w:rsid w:val="00E817E8"/>
    <w:rsid w:val="00E81C6A"/>
    <w:rsid w:val="00E81CF8"/>
    <w:rsid w:val="00E8299B"/>
    <w:rsid w:val="00E8514A"/>
    <w:rsid w:val="00E86655"/>
    <w:rsid w:val="00E87583"/>
    <w:rsid w:val="00E87D02"/>
    <w:rsid w:val="00E90953"/>
    <w:rsid w:val="00E90FEC"/>
    <w:rsid w:val="00E91D8D"/>
    <w:rsid w:val="00E91FF3"/>
    <w:rsid w:val="00E9389F"/>
    <w:rsid w:val="00E97DD5"/>
    <w:rsid w:val="00EA2E91"/>
    <w:rsid w:val="00EA43F7"/>
    <w:rsid w:val="00EA54A0"/>
    <w:rsid w:val="00EA6FA3"/>
    <w:rsid w:val="00EA7210"/>
    <w:rsid w:val="00EB03DD"/>
    <w:rsid w:val="00EB1296"/>
    <w:rsid w:val="00EB142E"/>
    <w:rsid w:val="00EB2B40"/>
    <w:rsid w:val="00EB2E53"/>
    <w:rsid w:val="00EB4163"/>
    <w:rsid w:val="00EB4EF5"/>
    <w:rsid w:val="00EB5FCA"/>
    <w:rsid w:val="00EB618D"/>
    <w:rsid w:val="00EB72C7"/>
    <w:rsid w:val="00EC046D"/>
    <w:rsid w:val="00EC0C32"/>
    <w:rsid w:val="00EC0F3C"/>
    <w:rsid w:val="00EC37E8"/>
    <w:rsid w:val="00EC4FC1"/>
    <w:rsid w:val="00EC4FE2"/>
    <w:rsid w:val="00EC53A3"/>
    <w:rsid w:val="00EC636E"/>
    <w:rsid w:val="00EC6A16"/>
    <w:rsid w:val="00EC759F"/>
    <w:rsid w:val="00ED0089"/>
    <w:rsid w:val="00ED047F"/>
    <w:rsid w:val="00ED0765"/>
    <w:rsid w:val="00ED1126"/>
    <w:rsid w:val="00ED11A9"/>
    <w:rsid w:val="00ED1BC2"/>
    <w:rsid w:val="00ED2E1C"/>
    <w:rsid w:val="00ED4268"/>
    <w:rsid w:val="00ED46C3"/>
    <w:rsid w:val="00ED527B"/>
    <w:rsid w:val="00ED5348"/>
    <w:rsid w:val="00ED54BB"/>
    <w:rsid w:val="00ED5644"/>
    <w:rsid w:val="00ED5C4E"/>
    <w:rsid w:val="00ED77C3"/>
    <w:rsid w:val="00EE00FC"/>
    <w:rsid w:val="00EE0184"/>
    <w:rsid w:val="00EE14A9"/>
    <w:rsid w:val="00EE2BAD"/>
    <w:rsid w:val="00EE39CC"/>
    <w:rsid w:val="00EE3BD3"/>
    <w:rsid w:val="00EE480A"/>
    <w:rsid w:val="00EE5C5A"/>
    <w:rsid w:val="00EE5F0F"/>
    <w:rsid w:val="00EE5F1B"/>
    <w:rsid w:val="00EE619D"/>
    <w:rsid w:val="00EE6CC0"/>
    <w:rsid w:val="00EE6E38"/>
    <w:rsid w:val="00EE76B0"/>
    <w:rsid w:val="00EE7BC2"/>
    <w:rsid w:val="00EE7FC6"/>
    <w:rsid w:val="00EF08E6"/>
    <w:rsid w:val="00EF1F68"/>
    <w:rsid w:val="00EF3115"/>
    <w:rsid w:val="00EF38ED"/>
    <w:rsid w:val="00EF53B6"/>
    <w:rsid w:val="00EF542C"/>
    <w:rsid w:val="00EF5C51"/>
    <w:rsid w:val="00EF5E7A"/>
    <w:rsid w:val="00EF63CF"/>
    <w:rsid w:val="00EF749F"/>
    <w:rsid w:val="00EF74AD"/>
    <w:rsid w:val="00EF7E9D"/>
    <w:rsid w:val="00F0045F"/>
    <w:rsid w:val="00F005E1"/>
    <w:rsid w:val="00F0148D"/>
    <w:rsid w:val="00F0159D"/>
    <w:rsid w:val="00F02511"/>
    <w:rsid w:val="00F05874"/>
    <w:rsid w:val="00F05F8B"/>
    <w:rsid w:val="00F06053"/>
    <w:rsid w:val="00F07157"/>
    <w:rsid w:val="00F074C3"/>
    <w:rsid w:val="00F079E3"/>
    <w:rsid w:val="00F1042A"/>
    <w:rsid w:val="00F10ED8"/>
    <w:rsid w:val="00F10F38"/>
    <w:rsid w:val="00F10FA6"/>
    <w:rsid w:val="00F12A9E"/>
    <w:rsid w:val="00F1516C"/>
    <w:rsid w:val="00F16B50"/>
    <w:rsid w:val="00F20A87"/>
    <w:rsid w:val="00F23148"/>
    <w:rsid w:val="00F235A7"/>
    <w:rsid w:val="00F2395C"/>
    <w:rsid w:val="00F2398E"/>
    <w:rsid w:val="00F2486F"/>
    <w:rsid w:val="00F24E0C"/>
    <w:rsid w:val="00F2510C"/>
    <w:rsid w:val="00F254B6"/>
    <w:rsid w:val="00F25D87"/>
    <w:rsid w:val="00F26BF6"/>
    <w:rsid w:val="00F27945"/>
    <w:rsid w:val="00F27F13"/>
    <w:rsid w:val="00F27FE1"/>
    <w:rsid w:val="00F30010"/>
    <w:rsid w:val="00F3060D"/>
    <w:rsid w:val="00F30F89"/>
    <w:rsid w:val="00F31EEB"/>
    <w:rsid w:val="00F33749"/>
    <w:rsid w:val="00F33B2A"/>
    <w:rsid w:val="00F33F28"/>
    <w:rsid w:val="00F34A03"/>
    <w:rsid w:val="00F357AB"/>
    <w:rsid w:val="00F36057"/>
    <w:rsid w:val="00F3628C"/>
    <w:rsid w:val="00F3773D"/>
    <w:rsid w:val="00F37BF2"/>
    <w:rsid w:val="00F37F58"/>
    <w:rsid w:val="00F404A3"/>
    <w:rsid w:val="00F40B63"/>
    <w:rsid w:val="00F40F99"/>
    <w:rsid w:val="00F41ADC"/>
    <w:rsid w:val="00F41D05"/>
    <w:rsid w:val="00F42D25"/>
    <w:rsid w:val="00F43032"/>
    <w:rsid w:val="00F44A5D"/>
    <w:rsid w:val="00F44C3C"/>
    <w:rsid w:val="00F44E5F"/>
    <w:rsid w:val="00F450F4"/>
    <w:rsid w:val="00F4550C"/>
    <w:rsid w:val="00F464AE"/>
    <w:rsid w:val="00F4743D"/>
    <w:rsid w:val="00F50859"/>
    <w:rsid w:val="00F516F0"/>
    <w:rsid w:val="00F51CC3"/>
    <w:rsid w:val="00F531BB"/>
    <w:rsid w:val="00F534AA"/>
    <w:rsid w:val="00F539A0"/>
    <w:rsid w:val="00F53C79"/>
    <w:rsid w:val="00F5403E"/>
    <w:rsid w:val="00F54EE9"/>
    <w:rsid w:val="00F550F6"/>
    <w:rsid w:val="00F56F4B"/>
    <w:rsid w:val="00F57518"/>
    <w:rsid w:val="00F579D1"/>
    <w:rsid w:val="00F605D6"/>
    <w:rsid w:val="00F6107C"/>
    <w:rsid w:val="00F6195D"/>
    <w:rsid w:val="00F61EDD"/>
    <w:rsid w:val="00F621B9"/>
    <w:rsid w:val="00F622D2"/>
    <w:rsid w:val="00F623AF"/>
    <w:rsid w:val="00F62C2E"/>
    <w:rsid w:val="00F63631"/>
    <w:rsid w:val="00F636AD"/>
    <w:rsid w:val="00F65026"/>
    <w:rsid w:val="00F66756"/>
    <w:rsid w:val="00F66A64"/>
    <w:rsid w:val="00F7005B"/>
    <w:rsid w:val="00F710F0"/>
    <w:rsid w:val="00F71D52"/>
    <w:rsid w:val="00F72C8F"/>
    <w:rsid w:val="00F72D24"/>
    <w:rsid w:val="00F72DDB"/>
    <w:rsid w:val="00F73ECD"/>
    <w:rsid w:val="00F74134"/>
    <w:rsid w:val="00F74C7A"/>
    <w:rsid w:val="00F7601C"/>
    <w:rsid w:val="00F77433"/>
    <w:rsid w:val="00F804CB"/>
    <w:rsid w:val="00F820E7"/>
    <w:rsid w:val="00F8317E"/>
    <w:rsid w:val="00F844C2"/>
    <w:rsid w:val="00F858D9"/>
    <w:rsid w:val="00F8663E"/>
    <w:rsid w:val="00F867C6"/>
    <w:rsid w:val="00F86991"/>
    <w:rsid w:val="00F86EED"/>
    <w:rsid w:val="00F90508"/>
    <w:rsid w:val="00F913AD"/>
    <w:rsid w:val="00F917B6"/>
    <w:rsid w:val="00F93441"/>
    <w:rsid w:val="00F93A0F"/>
    <w:rsid w:val="00F95BE6"/>
    <w:rsid w:val="00F9621E"/>
    <w:rsid w:val="00F97651"/>
    <w:rsid w:val="00FA03A5"/>
    <w:rsid w:val="00FA0C20"/>
    <w:rsid w:val="00FA27AA"/>
    <w:rsid w:val="00FA3444"/>
    <w:rsid w:val="00FA3C5D"/>
    <w:rsid w:val="00FA3C9F"/>
    <w:rsid w:val="00FA46F4"/>
    <w:rsid w:val="00FA4782"/>
    <w:rsid w:val="00FA549B"/>
    <w:rsid w:val="00FA5F64"/>
    <w:rsid w:val="00FA620B"/>
    <w:rsid w:val="00FA6495"/>
    <w:rsid w:val="00FB0AD5"/>
    <w:rsid w:val="00FB2E1E"/>
    <w:rsid w:val="00FB4456"/>
    <w:rsid w:val="00FB5BB0"/>
    <w:rsid w:val="00FB5E48"/>
    <w:rsid w:val="00FB603D"/>
    <w:rsid w:val="00FB7360"/>
    <w:rsid w:val="00FB76E8"/>
    <w:rsid w:val="00FB7961"/>
    <w:rsid w:val="00FC0769"/>
    <w:rsid w:val="00FC0B5F"/>
    <w:rsid w:val="00FC104B"/>
    <w:rsid w:val="00FC1AF6"/>
    <w:rsid w:val="00FC26C8"/>
    <w:rsid w:val="00FC5E95"/>
    <w:rsid w:val="00FC6015"/>
    <w:rsid w:val="00FC67ED"/>
    <w:rsid w:val="00FD02C0"/>
    <w:rsid w:val="00FD051F"/>
    <w:rsid w:val="00FD0721"/>
    <w:rsid w:val="00FD0A26"/>
    <w:rsid w:val="00FD0ABE"/>
    <w:rsid w:val="00FD138E"/>
    <w:rsid w:val="00FD17BB"/>
    <w:rsid w:val="00FD193C"/>
    <w:rsid w:val="00FD37C4"/>
    <w:rsid w:val="00FD3EC8"/>
    <w:rsid w:val="00FD5EC1"/>
    <w:rsid w:val="00FD667F"/>
    <w:rsid w:val="00FD6832"/>
    <w:rsid w:val="00FE0B89"/>
    <w:rsid w:val="00FE15F9"/>
    <w:rsid w:val="00FE2499"/>
    <w:rsid w:val="00FE3594"/>
    <w:rsid w:val="00FE3A71"/>
    <w:rsid w:val="00FE4A36"/>
    <w:rsid w:val="00FE4EC4"/>
    <w:rsid w:val="00FE4FEA"/>
    <w:rsid w:val="00FE565D"/>
    <w:rsid w:val="00FE5773"/>
    <w:rsid w:val="00FE5DCF"/>
    <w:rsid w:val="00FE61E2"/>
    <w:rsid w:val="00FE6C0F"/>
    <w:rsid w:val="00FE6E39"/>
    <w:rsid w:val="00FE7435"/>
    <w:rsid w:val="00FF0B31"/>
    <w:rsid w:val="00FF0E29"/>
    <w:rsid w:val="00FF3872"/>
    <w:rsid w:val="00FF3B70"/>
    <w:rsid w:val="00FF441A"/>
    <w:rsid w:val="00FF4531"/>
    <w:rsid w:val="00FF5352"/>
    <w:rsid w:val="00FF67AF"/>
    <w:rsid w:val="00FF68E9"/>
    <w:rsid w:val="00FF6EC5"/>
    <w:rsid w:val="00FF75EE"/>
    <w:rsid w:val="0478D0CA"/>
    <w:rsid w:val="1FAFAB96"/>
    <w:rsid w:val="309BEAEF"/>
    <w:rsid w:val="519311B5"/>
    <w:rsid w:val="54AE272E"/>
    <w:rsid w:val="75F56C7D"/>
    <w:rsid w:val="791D351F"/>
    <w:rsid w:val="7AC81DC5"/>
    <w:rsid w:val="7DAFD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A9CE8"/>
  <w15:docId w15:val="{C2E63830-7CF5-494C-A607-2344AA09C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HEA Grapalat" w:eastAsiaTheme="minorHAnsi" w:hAnsi="GHEA Grapalat"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19D"/>
    <w:pPr>
      <w:spacing w:after="0" w:line="240" w:lineRule="auto"/>
    </w:pPr>
    <w:rPr>
      <w:rFonts w:ascii="Times LatArm" w:eastAsia="Times New Roman" w:hAnsi="Times LatArm" w:cs="Times New Roman"/>
      <w:sz w:val="24"/>
      <w:szCs w:val="24"/>
    </w:rPr>
  </w:style>
  <w:style w:type="paragraph" w:styleId="Heading1">
    <w:name w:val="heading 1"/>
    <w:basedOn w:val="Normal"/>
    <w:next w:val="Normal"/>
    <w:link w:val="Heading1Char"/>
    <w:qFormat/>
    <w:rsid w:val="00F40F99"/>
    <w:pPr>
      <w:keepNext/>
      <w:spacing w:line="360" w:lineRule="auto"/>
      <w:jc w:val="both"/>
      <w:outlineLvl w:val="0"/>
    </w:pPr>
    <w:rPr>
      <w:rFonts w:ascii="Times Armenian" w:hAnsi="Times Armenian"/>
      <w:b/>
      <w:color w:val="000000"/>
      <w:sz w:val="26"/>
      <w:szCs w:val="26"/>
      <w:u w:val="single"/>
      <w:lang w:val="hy-AM"/>
    </w:rPr>
  </w:style>
  <w:style w:type="paragraph" w:styleId="Heading2">
    <w:name w:val="heading 2"/>
    <w:basedOn w:val="Normal"/>
    <w:next w:val="Normal"/>
    <w:link w:val="Heading2Char"/>
    <w:qFormat/>
    <w:rsid w:val="00F40F99"/>
    <w:pPr>
      <w:keepNext/>
      <w:spacing w:line="360" w:lineRule="auto"/>
      <w:ind w:firstLine="540"/>
      <w:jc w:val="right"/>
      <w:outlineLvl w:val="1"/>
    </w:pPr>
    <w:rPr>
      <w:rFonts w:ascii="Times Armenian" w:hAnsi="Times Armenian" w:cs="Arial"/>
      <w:i/>
      <w:iCs/>
      <w:color w:val="000000"/>
      <w:szCs w:val="20"/>
      <w:lang w:val="hy-AM"/>
    </w:rPr>
  </w:style>
  <w:style w:type="paragraph" w:styleId="Heading5">
    <w:name w:val="heading 5"/>
    <w:basedOn w:val="Normal"/>
    <w:next w:val="Normal"/>
    <w:link w:val="Heading5Char"/>
    <w:uiPriority w:val="9"/>
    <w:unhideWhenUsed/>
    <w:qFormat/>
    <w:rsid w:val="00C00B89"/>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F40F99"/>
    <w:pPr>
      <w:keepNext/>
      <w:spacing w:line="360" w:lineRule="auto"/>
      <w:ind w:left="1701"/>
      <w:jc w:val="center"/>
      <w:outlineLvl w:val="6"/>
    </w:pPr>
    <w:rPr>
      <w:rFonts w:ascii="Arial Armenian" w:hAnsi="Arial Armenian"/>
      <w:b/>
      <w:spacing w:val="40"/>
      <w:sz w:val="2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ngtext">
    <w:name w:val="long_text"/>
    <w:rsid w:val="00EE619D"/>
  </w:style>
  <w:style w:type="paragraph" w:styleId="ListParagraph">
    <w:name w:val="List Paragraph"/>
    <w:basedOn w:val="Normal"/>
    <w:uiPriority w:val="34"/>
    <w:qFormat/>
    <w:rsid w:val="00EE619D"/>
    <w:pPr>
      <w:ind w:left="720"/>
      <w:contextualSpacing/>
    </w:pPr>
  </w:style>
  <w:style w:type="table" w:styleId="TableGrid">
    <w:name w:val="Table Grid"/>
    <w:basedOn w:val="TableNormal"/>
    <w:uiPriority w:val="39"/>
    <w:rsid w:val="00EE6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EE619D"/>
    <w:rPr>
      <w:sz w:val="20"/>
      <w:szCs w:val="20"/>
    </w:rPr>
  </w:style>
  <w:style w:type="character" w:customStyle="1" w:styleId="FootnoteTextChar">
    <w:name w:val="Footnote Text Char"/>
    <w:basedOn w:val="DefaultParagraphFont"/>
    <w:link w:val="FootnoteText"/>
    <w:uiPriority w:val="99"/>
    <w:rsid w:val="00EE619D"/>
    <w:rPr>
      <w:rFonts w:ascii="Times LatArm" w:eastAsia="Times New Roman" w:hAnsi="Times LatArm" w:cs="Times New Roman"/>
      <w:sz w:val="20"/>
      <w:szCs w:val="20"/>
    </w:rPr>
  </w:style>
  <w:style w:type="character" w:styleId="FootnoteReference">
    <w:name w:val="footnote reference"/>
    <w:basedOn w:val="DefaultParagraphFont"/>
    <w:uiPriority w:val="99"/>
    <w:unhideWhenUsed/>
    <w:rsid w:val="00EE619D"/>
    <w:rPr>
      <w:vertAlign w:val="superscript"/>
    </w:rPr>
  </w:style>
  <w:style w:type="character" w:customStyle="1" w:styleId="Heading1Char">
    <w:name w:val="Heading 1 Char"/>
    <w:basedOn w:val="DefaultParagraphFont"/>
    <w:link w:val="Heading1"/>
    <w:rsid w:val="00F40F99"/>
    <w:rPr>
      <w:rFonts w:ascii="Times Armenian" w:eastAsia="Times New Roman" w:hAnsi="Times Armenian" w:cs="Times New Roman"/>
      <w:b/>
      <w:color w:val="000000"/>
      <w:sz w:val="26"/>
      <w:szCs w:val="26"/>
      <w:u w:val="single"/>
      <w:lang w:val="hy-AM"/>
    </w:rPr>
  </w:style>
  <w:style w:type="character" w:customStyle="1" w:styleId="Heading2Char">
    <w:name w:val="Heading 2 Char"/>
    <w:basedOn w:val="DefaultParagraphFont"/>
    <w:link w:val="Heading2"/>
    <w:rsid w:val="00F40F99"/>
    <w:rPr>
      <w:rFonts w:ascii="Times Armenian" w:eastAsia="Times New Roman" w:hAnsi="Times Armenian" w:cs="Arial"/>
      <w:i/>
      <w:iCs/>
      <w:color w:val="000000"/>
      <w:sz w:val="24"/>
      <w:szCs w:val="20"/>
      <w:lang w:val="hy-AM"/>
    </w:rPr>
  </w:style>
  <w:style w:type="character" w:customStyle="1" w:styleId="Heading7Char">
    <w:name w:val="Heading 7 Char"/>
    <w:basedOn w:val="DefaultParagraphFont"/>
    <w:link w:val="Heading7"/>
    <w:rsid w:val="00F40F99"/>
    <w:rPr>
      <w:rFonts w:ascii="Arial Armenian" w:eastAsia="Times New Roman" w:hAnsi="Arial Armenian" w:cs="Times New Roman"/>
      <w:b/>
      <w:spacing w:val="40"/>
      <w:szCs w:val="23"/>
    </w:rPr>
  </w:style>
  <w:style w:type="character" w:customStyle="1" w:styleId="FootnoteTextChar2">
    <w:name w:val="Footnote Text Char2"/>
    <w:rsid w:val="00F40F99"/>
    <w:rPr>
      <w:rFonts w:ascii="Times Armenian" w:hAnsi="Times Armenian"/>
      <w:lang w:val="en-US" w:eastAsia="en-US" w:bidi="ar-SA"/>
    </w:rPr>
  </w:style>
  <w:style w:type="character" w:styleId="Hyperlink">
    <w:name w:val="Hyperlink"/>
    <w:uiPriority w:val="99"/>
    <w:rsid w:val="00F40F99"/>
    <w:rPr>
      <w:color w:val="0000FF"/>
      <w:u w:val="single"/>
    </w:rPr>
  </w:style>
  <w:style w:type="paragraph" w:styleId="Header">
    <w:name w:val="header"/>
    <w:aliases w:val="hd"/>
    <w:basedOn w:val="Normal"/>
    <w:link w:val="HeaderChar"/>
    <w:uiPriority w:val="99"/>
    <w:unhideWhenUsed/>
    <w:rsid w:val="00F40F99"/>
    <w:pPr>
      <w:tabs>
        <w:tab w:val="center" w:pos="4680"/>
        <w:tab w:val="right" w:pos="9360"/>
      </w:tabs>
    </w:pPr>
  </w:style>
  <w:style w:type="character" w:customStyle="1" w:styleId="HeaderChar">
    <w:name w:val="Header Char"/>
    <w:aliases w:val="hd Char"/>
    <w:basedOn w:val="DefaultParagraphFont"/>
    <w:link w:val="Header"/>
    <w:uiPriority w:val="99"/>
    <w:rsid w:val="00F40F99"/>
    <w:rPr>
      <w:rFonts w:ascii="Times LatArm" w:eastAsia="Times New Roman" w:hAnsi="Times LatArm" w:cs="Times New Roman"/>
      <w:sz w:val="24"/>
      <w:szCs w:val="24"/>
    </w:rPr>
  </w:style>
  <w:style w:type="paragraph" w:styleId="Footer">
    <w:name w:val="footer"/>
    <w:basedOn w:val="Normal"/>
    <w:link w:val="FooterChar"/>
    <w:uiPriority w:val="99"/>
    <w:unhideWhenUsed/>
    <w:rsid w:val="00F40F99"/>
    <w:pPr>
      <w:tabs>
        <w:tab w:val="center" w:pos="4680"/>
        <w:tab w:val="right" w:pos="9360"/>
      </w:tabs>
    </w:pPr>
  </w:style>
  <w:style w:type="character" w:customStyle="1" w:styleId="FooterChar">
    <w:name w:val="Footer Char"/>
    <w:basedOn w:val="DefaultParagraphFont"/>
    <w:link w:val="Footer"/>
    <w:uiPriority w:val="99"/>
    <w:rsid w:val="00F40F99"/>
    <w:rPr>
      <w:rFonts w:ascii="Times LatArm" w:eastAsia="Times New Roman" w:hAnsi="Times LatArm" w:cs="Times New Roman"/>
      <w:sz w:val="24"/>
      <w:szCs w:val="24"/>
    </w:rPr>
  </w:style>
  <w:style w:type="character" w:customStyle="1" w:styleId="apple-converted-space">
    <w:name w:val="apple-converted-space"/>
    <w:basedOn w:val="DefaultParagraphFont"/>
    <w:rsid w:val="00F40F99"/>
  </w:style>
  <w:style w:type="paragraph" w:styleId="BodyText">
    <w:name w:val="Body Text"/>
    <w:basedOn w:val="Normal"/>
    <w:link w:val="BodyTextChar"/>
    <w:uiPriority w:val="99"/>
    <w:unhideWhenUsed/>
    <w:rsid w:val="00F40F99"/>
    <w:pPr>
      <w:spacing w:after="120" w:line="276" w:lineRule="auto"/>
    </w:pPr>
    <w:rPr>
      <w:rFonts w:ascii="GHEA Grapalat" w:eastAsia="Calibri" w:hAnsi="GHEA Grapalat"/>
      <w:sz w:val="22"/>
      <w:szCs w:val="22"/>
    </w:rPr>
  </w:style>
  <w:style w:type="character" w:customStyle="1" w:styleId="BodyTextChar">
    <w:name w:val="Body Text Char"/>
    <w:basedOn w:val="DefaultParagraphFont"/>
    <w:link w:val="BodyText"/>
    <w:uiPriority w:val="99"/>
    <w:rsid w:val="00F40F99"/>
    <w:rPr>
      <w:rFonts w:eastAsia="Calibri" w:cs="Times New Roman"/>
    </w:rPr>
  </w:style>
  <w:style w:type="character" w:customStyle="1" w:styleId="Heading5Char">
    <w:name w:val="Heading 5 Char"/>
    <w:basedOn w:val="DefaultParagraphFont"/>
    <w:link w:val="Heading5"/>
    <w:uiPriority w:val="9"/>
    <w:rsid w:val="00C00B89"/>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4D73D6"/>
    <w:rPr>
      <w:sz w:val="16"/>
      <w:szCs w:val="16"/>
    </w:rPr>
  </w:style>
  <w:style w:type="paragraph" w:styleId="CommentText">
    <w:name w:val="annotation text"/>
    <w:basedOn w:val="Normal"/>
    <w:link w:val="CommentTextChar"/>
    <w:uiPriority w:val="99"/>
    <w:semiHidden/>
    <w:unhideWhenUsed/>
    <w:rsid w:val="004D73D6"/>
    <w:rPr>
      <w:sz w:val="20"/>
      <w:szCs w:val="20"/>
    </w:rPr>
  </w:style>
  <w:style w:type="character" w:customStyle="1" w:styleId="CommentTextChar">
    <w:name w:val="Comment Text Char"/>
    <w:basedOn w:val="DefaultParagraphFont"/>
    <w:link w:val="CommentText"/>
    <w:uiPriority w:val="99"/>
    <w:semiHidden/>
    <w:rsid w:val="004D73D6"/>
    <w:rPr>
      <w:rFonts w:ascii="Times LatArm" w:eastAsia="Times New Roman" w:hAnsi="Times LatArm" w:cs="Times New Roman"/>
      <w:sz w:val="20"/>
      <w:szCs w:val="20"/>
    </w:rPr>
  </w:style>
  <w:style w:type="paragraph" w:styleId="CommentSubject">
    <w:name w:val="annotation subject"/>
    <w:basedOn w:val="CommentText"/>
    <w:next w:val="CommentText"/>
    <w:link w:val="CommentSubjectChar"/>
    <w:uiPriority w:val="99"/>
    <w:semiHidden/>
    <w:unhideWhenUsed/>
    <w:rsid w:val="004D73D6"/>
    <w:rPr>
      <w:b/>
      <w:bCs/>
    </w:rPr>
  </w:style>
  <w:style w:type="character" w:customStyle="1" w:styleId="CommentSubjectChar">
    <w:name w:val="Comment Subject Char"/>
    <w:basedOn w:val="CommentTextChar"/>
    <w:link w:val="CommentSubject"/>
    <w:uiPriority w:val="99"/>
    <w:semiHidden/>
    <w:rsid w:val="004D73D6"/>
    <w:rPr>
      <w:rFonts w:ascii="Times LatArm" w:eastAsia="Times New Roman" w:hAnsi="Times LatArm" w:cs="Times New Roman"/>
      <w:b/>
      <w:bCs/>
      <w:sz w:val="20"/>
      <w:szCs w:val="20"/>
    </w:rPr>
  </w:style>
  <w:style w:type="paragraph" w:styleId="BalloonText">
    <w:name w:val="Balloon Text"/>
    <w:basedOn w:val="Normal"/>
    <w:link w:val="BalloonTextChar"/>
    <w:uiPriority w:val="99"/>
    <w:semiHidden/>
    <w:unhideWhenUsed/>
    <w:rsid w:val="004D73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73D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mstat.am/file/article/sv_04_19a_112.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F4F08F-77BC-468A-931F-8F5E359D0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25</Pages>
  <Words>9812</Words>
  <Characters>55930</Characters>
  <Application>Microsoft Office Word</Application>
  <DocSecurity>0</DocSecurity>
  <Lines>466</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c:creator>
  <cp:lastModifiedBy>Սուսաննա Քարտաշյան</cp:lastModifiedBy>
  <cp:revision>4</cp:revision>
  <dcterms:created xsi:type="dcterms:W3CDTF">2020-04-28T11:58:00Z</dcterms:created>
  <dcterms:modified xsi:type="dcterms:W3CDTF">2024-02-02T13:43:00Z</dcterms:modified>
</cp:coreProperties>
</file>