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3C8BC" w14:textId="77777777" w:rsidR="004F213F" w:rsidRDefault="004F213F" w:rsidP="004F213F">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8B447A">
        <w:rPr>
          <w:rFonts w:ascii="Garamond" w:hAnsi="Garamond"/>
          <w:sz w:val="22"/>
          <w:szCs w:val="22"/>
        </w:rPr>
        <w:t xml:space="preserve">he Armenian economy and </w:t>
      </w:r>
      <w:r>
        <w:rPr>
          <w:rFonts w:ascii="Garamond" w:hAnsi="Garamond"/>
          <w:sz w:val="22"/>
          <w:szCs w:val="22"/>
        </w:rPr>
        <w:t xml:space="preserve">global economy continue to be affected by the </w:t>
      </w:r>
      <w:r w:rsidRPr="008B447A">
        <w:rPr>
          <w:rFonts w:ascii="Garamond" w:hAnsi="Garamond"/>
          <w:sz w:val="22"/>
          <w:szCs w:val="22"/>
        </w:rPr>
        <w:t xml:space="preserve">shock, but </w:t>
      </w:r>
      <w:r>
        <w:rPr>
          <w:rFonts w:ascii="Garamond" w:hAnsi="Garamond"/>
          <w:sz w:val="22"/>
          <w:szCs w:val="22"/>
        </w:rPr>
        <w:t>the</w:t>
      </w:r>
      <w:r w:rsidRPr="008B447A">
        <w:rPr>
          <w:rFonts w:ascii="Garamond" w:hAnsi="Garamond"/>
          <w:sz w:val="22"/>
          <w:szCs w:val="22"/>
        </w:rPr>
        <w:t xml:space="preserve"> statistic</w:t>
      </w:r>
      <w:r>
        <w:rPr>
          <w:rFonts w:ascii="Garamond" w:hAnsi="Garamond"/>
          <w:sz w:val="22"/>
          <w:szCs w:val="22"/>
        </w:rPr>
        <w:t>al</w:t>
      </w:r>
      <w:r w:rsidRPr="008B447A">
        <w:rPr>
          <w:rFonts w:ascii="Garamond" w:hAnsi="Garamond"/>
          <w:sz w:val="22"/>
          <w:szCs w:val="22"/>
        </w:rPr>
        <w:t xml:space="preserve"> </w:t>
      </w:r>
      <w:r>
        <w:rPr>
          <w:rFonts w:ascii="Garamond" w:hAnsi="Garamond"/>
          <w:sz w:val="22"/>
          <w:szCs w:val="22"/>
        </w:rPr>
        <w:t>data we have do not</w:t>
      </w:r>
      <w:r w:rsidRPr="008B447A">
        <w:rPr>
          <w:rFonts w:ascii="Garamond" w:hAnsi="Garamond"/>
          <w:sz w:val="22"/>
          <w:szCs w:val="22"/>
        </w:rPr>
        <w:t xml:space="preserve"> </w:t>
      </w:r>
      <w:r>
        <w:rPr>
          <w:rFonts w:ascii="Garamond" w:hAnsi="Garamond"/>
          <w:sz w:val="22"/>
          <w:szCs w:val="22"/>
        </w:rPr>
        <w:t xml:space="preserve">so far enable </w:t>
      </w:r>
      <w:r w:rsidRPr="008B447A">
        <w:rPr>
          <w:rFonts w:ascii="Garamond" w:hAnsi="Garamond"/>
          <w:sz w:val="22"/>
          <w:szCs w:val="22"/>
        </w:rPr>
        <w:t xml:space="preserve">to </w:t>
      </w:r>
      <w:r>
        <w:rPr>
          <w:rFonts w:ascii="Garamond" w:hAnsi="Garamond"/>
          <w:sz w:val="22"/>
          <w:szCs w:val="22"/>
        </w:rPr>
        <w:t xml:space="preserve">make the smallest </w:t>
      </w:r>
      <w:proofErr w:type="gramStart"/>
      <w:r>
        <w:rPr>
          <w:rFonts w:ascii="Garamond" w:hAnsi="Garamond"/>
          <w:sz w:val="22"/>
          <w:szCs w:val="22"/>
        </w:rPr>
        <w:t>amount</w:t>
      </w:r>
      <w:proofErr w:type="gramEnd"/>
      <w:r w:rsidRPr="008B447A">
        <w:rPr>
          <w:rFonts w:ascii="Garamond" w:hAnsi="Garamond"/>
          <w:sz w:val="22"/>
          <w:szCs w:val="22"/>
        </w:rPr>
        <w:t xml:space="preserve"> </w:t>
      </w:r>
      <w:r>
        <w:rPr>
          <w:rFonts w:ascii="Garamond" w:hAnsi="Garamond"/>
          <w:sz w:val="22"/>
          <w:szCs w:val="22"/>
        </w:rPr>
        <w:t xml:space="preserve">of </w:t>
      </w:r>
      <w:r w:rsidRPr="008B447A">
        <w:rPr>
          <w:rFonts w:ascii="Garamond" w:hAnsi="Garamond"/>
          <w:sz w:val="22"/>
          <w:szCs w:val="22"/>
        </w:rPr>
        <w:t xml:space="preserve">preliminary estimates of the economic impact of the shock, at least on </w:t>
      </w:r>
      <w:r>
        <w:rPr>
          <w:rFonts w:ascii="Garamond" w:hAnsi="Garamond"/>
          <w:sz w:val="22"/>
          <w:szCs w:val="22"/>
        </w:rPr>
        <w:t xml:space="preserve">the example of other countries. </w:t>
      </w:r>
      <w:r w:rsidRPr="008B447A">
        <w:rPr>
          <w:rFonts w:ascii="Garamond" w:hAnsi="Garamond"/>
          <w:sz w:val="22"/>
          <w:szCs w:val="22"/>
        </w:rPr>
        <w:t xml:space="preserve">That is why the current forecasts in Armenia and around the world </w:t>
      </w:r>
      <w:r>
        <w:rPr>
          <w:rFonts w:ascii="Garamond" w:hAnsi="Garamond"/>
          <w:sz w:val="22"/>
          <w:szCs w:val="22"/>
        </w:rPr>
        <w:t xml:space="preserve">will, </w:t>
      </w:r>
      <w:r w:rsidRPr="008B447A">
        <w:rPr>
          <w:rFonts w:ascii="Garamond" w:hAnsi="Garamond"/>
          <w:sz w:val="22"/>
          <w:szCs w:val="22"/>
        </w:rPr>
        <w:t>after the publication of the data for the first quarter</w:t>
      </w:r>
      <w:r>
        <w:rPr>
          <w:rFonts w:ascii="Garamond" w:hAnsi="Garamond"/>
          <w:sz w:val="22"/>
          <w:szCs w:val="22"/>
        </w:rPr>
        <w:t>,</w:t>
      </w:r>
      <w:r w:rsidRPr="008B447A">
        <w:rPr>
          <w:rFonts w:ascii="Garamond" w:hAnsi="Garamond"/>
          <w:sz w:val="22"/>
          <w:szCs w:val="22"/>
        </w:rPr>
        <w:t xml:space="preserve"> most likely be subject to significant adjustments. Under the </w:t>
      </w:r>
      <w:proofErr w:type="gramStart"/>
      <w:r w:rsidRPr="008B447A">
        <w:rPr>
          <w:rFonts w:ascii="Garamond" w:hAnsi="Garamond"/>
          <w:sz w:val="22"/>
          <w:szCs w:val="22"/>
        </w:rPr>
        <w:t>forecasts</w:t>
      </w:r>
      <w:proofErr w:type="gramEnd"/>
      <w:r w:rsidRPr="008B447A">
        <w:rPr>
          <w:rFonts w:ascii="Garamond" w:hAnsi="Garamond"/>
          <w:sz w:val="22"/>
          <w:szCs w:val="22"/>
        </w:rPr>
        <w:t xml:space="preserve">, </w:t>
      </w:r>
      <w:r>
        <w:rPr>
          <w:rFonts w:ascii="Garamond" w:hAnsi="Garamond"/>
          <w:sz w:val="22"/>
          <w:szCs w:val="22"/>
        </w:rPr>
        <w:t xml:space="preserve">increased vagueness is </w:t>
      </w:r>
      <w:r w:rsidRPr="008B447A">
        <w:rPr>
          <w:rFonts w:ascii="Garamond" w:hAnsi="Garamond"/>
          <w:sz w:val="22"/>
          <w:szCs w:val="22"/>
        </w:rPr>
        <w:t>reflect</w:t>
      </w:r>
      <w:r>
        <w:rPr>
          <w:rFonts w:ascii="Garamond" w:hAnsi="Garamond"/>
          <w:sz w:val="22"/>
          <w:szCs w:val="22"/>
        </w:rPr>
        <w:t xml:space="preserve">ing even </w:t>
      </w:r>
      <w:r w:rsidRPr="008B447A">
        <w:rPr>
          <w:rFonts w:ascii="Garamond" w:hAnsi="Garamond"/>
          <w:sz w:val="22"/>
          <w:szCs w:val="22"/>
        </w:rPr>
        <w:t xml:space="preserve">a </w:t>
      </w:r>
      <w:r>
        <w:rPr>
          <w:rFonts w:ascii="Garamond" w:hAnsi="Garamond"/>
          <w:sz w:val="22"/>
          <w:szCs w:val="22"/>
        </w:rPr>
        <w:t xml:space="preserve">wider </w:t>
      </w:r>
      <w:r w:rsidRPr="008B447A">
        <w:rPr>
          <w:rFonts w:ascii="Garamond" w:hAnsi="Garamond"/>
          <w:sz w:val="22"/>
          <w:szCs w:val="22"/>
        </w:rPr>
        <w:t xml:space="preserve">range of uncertainty </w:t>
      </w:r>
      <w:r>
        <w:rPr>
          <w:rFonts w:ascii="Garamond" w:hAnsi="Garamond"/>
          <w:sz w:val="22"/>
          <w:szCs w:val="22"/>
        </w:rPr>
        <w:t>over i</w:t>
      </w:r>
      <w:r w:rsidRPr="008B447A">
        <w:rPr>
          <w:rFonts w:ascii="Garamond" w:hAnsi="Garamond"/>
          <w:sz w:val="22"/>
          <w:szCs w:val="22"/>
        </w:rPr>
        <w:t>nflation and other key macro-</w:t>
      </w:r>
      <w:r>
        <w:rPr>
          <w:rFonts w:ascii="Garamond" w:hAnsi="Garamond"/>
          <w:sz w:val="22"/>
          <w:szCs w:val="22"/>
        </w:rPr>
        <w:t>indicators</w:t>
      </w:r>
      <w:r w:rsidRPr="008B447A">
        <w:rPr>
          <w:rFonts w:ascii="Garamond" w:hAnsi="Garamond"/>
          <w:sz w:val="22"/>
          <w:szCs w:val="22"/>
        </w:rPr>
        <w:t>.</w:t>
      </w:r>
      <w:r>
        <w:rPr>
          <w:rFonts w:ascii="Garamond" w:hAnsi="Garamond"/>
          <w:sz w:val="22"/>
          <w:szCs w:val="22"/>
        </w:rPr>
        <w:t xml:space="preserve"> </w:t>
      </w:r>
    </w:p>
    <w:p w14:paraId="01BCA029" w14:textId="77777777" w:rsidR="004F213F" w:rsidRPr="005B47C1" w:rsidRDefault="004F213F" w:rsidP="004F213F">
      <w:pPr>
        <w:autoSpaceDE w:val="0"/>
        <w:autoSpaceDN w:val="0"/>
        <w:adjustRightInd w:val="0"/>
        <w:spacing w:after="120" w:line="340" w:lineRule="atLeast"/>
        <w:jc w:val="center"/>
        <w:rPr>
          <w:rFonts w:ascii="GHEA Grapalat" w:hAnsi="GHEA Grapalat" w:cs="Sylfaen"/>
          <w:i/>
          <w:sz w:val="22"/>
          <w:szCs w:val="22"/>
          <w:lang w:val="hy-AM"/>
        </w:rPr>
      </w:pPr>
      <w:r w:rsidRPr="005B47C1">
        <w:rPr>
          <w:rFonts w:ascii="GHEA Grapalat" w:hAnsi="GHEA Grapalat" w:cs="Sylfaen"/>
          <w:i/>
          <w:sz w:val="22"/>
          <w:szCs w:val="22"/>
          <w:lang w:val="hy-AM"/>
        </w:rPr>
        <w:t>The inflation targeting strategy of the Central Bank of Armenia highlights the importance of communicating of the Bank to the general public by publishing, inter alia, quarterly inflation reports.</w:t>
      </w:r>
    </w:p>
    <w:p w14:paraId="3C58F633" w14:textId="77777777" w:rsidR="004F213F" w:rsidRPr="005B47C1" w:rsidRDefault="004F213F" w:rsidP="004F213F">
      <w:pPr>
        <w:autoSpaceDE w:val="0"/>
        <w:autoSpaceDN w:val="0"/>
        <w:adjustRightInd w:val="0"/>
        <w:spacing w:after="120" w:line="340" w:lineRule="atLeast"/>
        <w:jc w:val="center"/>
        <w:rPr>
          <w:rFonts w:ascii="GHEA Grapalat" w:hAnsi="GHEA Grapalat" w:cs="Sylfaen"/>
          <w:i/>
          <w:sz w:val="22"/>
          <w:szCs w:val="22"/>
          <w:lang w:val="hy-AM"/>
        </w:rPr>
      </w:pPr>
      <w:r w:rsidRPr="005B47C1">
        <w:rPr>
          <w:rFonts w:ascii="GHEA Grapalat" w:hAnsi="GHEA Grapalat" w:cs="Sylfaen"/>
          <w:i/>
          <w:sz w:val="22"/>
          <w:szCs w:val="22"/>
          <w:lang w:val="hy-AM"/>
        </w:rPr>
        <w:t>The first section of the inflation report includes the Monetary Policy Program that provides main directions of the monetary policy in the forecast horizon as well as forecasts of inflation and other macroeconomic indicators. These forecasts are based on the Bank’s assessment of the current situation and future assumptions by the Bank, which also include the impact of the Bank operations.</w:t>
      </w:r>
    </w:p>
    <w:p w14:paraId="3BE9C9F0" w14:textId="77777777" w:rsidR="004F213F" w:rsidRPr="005B47C1" w:rsidRDefault="004F213F" w:rsidP="004F213F">
      <w:pPr>
        <w:autoSpaceDE w:val="0"/>
        <w:autoSpaceDN w:val="0"/>
        <w:adjustRightInd w:val="0"/>
        <w:spacing w:after="120" w:line="340" w:lineRule="atLeast"/>
        <w:jc w:val="center"/>
        <w:rPr>
          <w:rFonts w:ascii="GHEA Grapalat" w:hAnsi="GHEA Grapalat" w:cs="Sylfaen"/>
          <w:i/>
          <w:sz w:val="22"/>
          <w:szCs w:val="22"/>
          <w:lang w:val="hy-AM"/>
        </w:rPr>
      </w:pPr>
      <w:r w:rsidRPr="005B47C1">
        <w:rPr>
          <w:rFonts w:ascii="GHEA Grapalat" w:hAnsi="GHEA Grapalat" w:cs="Sylfaen"/>
          <w:i/>
          <w:sz w:val="22"/>
          <w:szCs w:val="22"/>
          <w:lang w:val="hy-AM"/>
        </w:rPr>
        <w:t xml:space="preserve">The second section includes </w:t>
      </w:r>
      <w:r>
        <w:rPr>
          <w:rFonts w:ascii="GHEA Grapalat" w:hAnsi="GHEA Grapalat" w:cs="Sylfaen"/>
          <w:i/>
          <w:sz w:val="22"/>
          <w:szCs w:val="22"/>
        </w:rPr>
        <w:t>the S</w:t>
      </w:r>
      <w:r w:rsidRPr="005B47C1">
        <w:rPr>
          <w:rFonts w:ascii="GHEA Grapalat" w:hAnsi="GHEA Grapalat" w:cs="Sylfaen"/>
          <w:i/>
          <w:sz w:val="22"/>
          <w:szCs w:val="22"/>
          <w:lang w:val="hy-AM"/>
        </w:rPr>
        <w:t xml:space="preserve">tatus </w:t>
      </w:r>
      <w:r>
        <w:rPr>
          <w:rFonts w:ascii="GHEA Grapalat" w:hAnsi="GHEA Grapalat" w:cs="Sylfaen"/>
          <w:i/>
          <w:sz w:val="22"/>
          <w:szCs w:val="22"/>
        </w:rPr>
        <w:t>R</w:t>
      </w:r>
      <w:r w:rsidRPr="005B47C1">
        <w:rPr>
          <w:rFonts w:ascii="GHEA Grapalat" w:hAnsi="GHEA Grapalat" w:cs="Sylfaen"/>
          <w:i/>
          <w:sz w:val="22"/>
          <w:szCs w:val="22"/>
          <w:lang w:val="hy-AM"/>
        </w:rPr>
        <w:t>eport on implementation of the monetary policy program of the previous quarter, which presents the results of monetary policy implementation and covers the actual developments in the domestic economy.</w:t>
      </w:r>
    </w:p>
    <w:p w14:paraId="12F4CAA4" w14:textId="77777777" w:rsidR="004F213F" w:rsidRPr="005B47C1" w:rsidRDefault="004F213F" w:rsidP="004F213F">
      <w:pPr>
        <w:autoSpaceDE w:val="0"/>
        <w:autoSpaceDN w:val="0"/>
        <w:adjustRightInd w:val="0"/>
        <w:spacing w:after="120" w:line="340" w:lineRule="atLeast"/>
        <w:jc w:val="center"/>
        <w:rPr>
          <w:rFonts w:ascii="GHEA Grapalat" w:hAnsi="GHEA Grapalat" w:cs="Sylfaen"/>
          <w:i/>
          <w:sz w:val="22"/>
          <w:szCs w:val="22"/>
          <w:lang w:val="hy-AM"/>
        </w:rPr>
      </w:pPr>
      <w:r w:rsidRPr="005B47C1">
        <w:rPr>
          <w:rFonts w:ascii="GHEA Grapalat" w:hAnsi="GHEA Grapalat" w:cs="Sylfaen"/>
          <w:i/>
          <w:sz w:val="22"/>
          <w:szCs w:val="22"/>
          <w:lang w:val="hy-AM"/>
        </w:rPr>
        <w:t>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w:t>
      </w:r>
    </w:p>
    <w:p w14:paraId="540EAFDF" w14:textId="77777777" w:rsidR="004F213F" w:rsidRPr="005B47C1" w:rsidRDefault="004F213F" w:rsidP="004F213F">
      <w:pPr>
        <w:autoSpaceDE w:val="0"/>
        <w:autoSpaceDN w:val="0"/>
        <w:adjustRightInd w:val="0"/>
        <w:spacing w:after="120" w:line="340" w:lineRule="atLeast"/>
        <w:jc w:val="center"/>
        <w:rPr>
          <w:rFonts w:ascii="GHEA Grapalat" w:hAnsi="GHEA Grapalat" w:cs="Sylfaen"/>
          <w:i/>
          <w:sz w:val="22"/>
          <w:szCs w:val="22"/>
          <w:lang w:val="hy-AM"/>
        </w:rPr>
      </w:pPr>
      <w:r w:rsidRPr="005B47C1">
        <w:rPr>
          <w:rFonts w:ascii="GHEA Grapalat" w:hAnsi="GHEA Grapalat" w:cs="Sylfaen"/>
          <w:i/>
          <w:sz w:val="22"/>
          <w:szCs w:val="22"/>
          <w:lang w:val="hy-AM"/>
        </w:rPr>
        <w:t>According to the rule of monetary policy, the policy is aimed at minimizing the deviations between the 4% target and the inflation forecasts. The path to inflation rate shaped as a result of projected policy directions is published as a forecast probability distribution chart for the 12-quarter time horizon.</w:t>
      </w:r>
    </w:p>
    <w:p w14:paraId="527DE3FD" w14:textId="77777777" w:rsidR="004F213F" w:rsidRPr="005B47C1" w:rsidRDefault="004F213F" w:rsidP="004F213F">
      <w:pPr>
        <w:autoSpaceDE w:val="0"/>
        <w:autoSpaceDN w:val="0"/>
        <w:adjustRightInd w:val="0"/>
        <w:spacing w:after="120" w:line="340" w:lineRule="atLeast"/>
        <w:jc w:val="center"/>
        <w:rPr>
          <w:rFonts w:ascii="GHEA Grapalat" w:hAnsi="GHEA Grapalat" w:cs="Sylfaen"/>
          <w:i/>
          <w:sz w:val="22"/>
          <w:szCs w:val="22"/>
          <w:lang w:val="hy-AM"/>
        </w:rPr>
      </w:pPr>
      <w:r w:rsidRPr="005B47C1">
        <w:rPr>
          <w:rFonts w:ascii="GHEA Grapalat" w:hAnsi="GHEA Grapalat" w:cs="Sylfaen"/>
          <w:i/>
          <w:sz w:val="22"/>
          <w:szCs w:val="22"/>
          <w:lang w:val="hy-AM"/>
        </w:rPr>
        <w:t xml:space="preserve">Projections in this report are based on the actual information available by </w:t>
      </w:r>
      <w:r>
        <w:rPr>
          <w:rFonts w:ascii="GHEA Grapalat" w:hAnsi="GHEA Grapalat" w:cs="Sylfaen"/>
          <w:i/>
          <w:sz w:val="22"/>
          <w:szCs w:val="22"/>
        </w:rPr>
        <w:t>June</w:t>
      </w:r>
      <w:r w:rsidRPr="005B47C1">
        <w:rPr>
          <w:rFonts w:ascii="GHEA Grapalat" w:hAnsi="GHEA Grapalat" w:cs="Sylfaen"/>
          <w:i/>
          <w:sz w:val="22"/>
          <w:szCs w:val="22"/>
          <w:lang w:val="hy-AM"/>
        </w:rPr>
        <w:t xml:space="preserve"> 1</w:t>
      </w:r>
      <w:r>
        <w:rPr>
          <w:rFonts w:ascii="GHEA Grapalat" w:hAnsi="GHEA Grapalat" w:cs="Sylfaen"/>
          <w:i/>
          <w:sz w:val="22"/>
          <w:szCs w:val="22"/>
        </w:rPr>
        <w:t>6</w:t>
      </w:r>
      <w:r w:rsidRPr="005B47C1">
        <w:rPr>
          <w:rFonts w:ascii="GHEA Grapalat" w:hAnsi="GHEA Grapalat" w:cs="Sylfaen"/>
          <w:i/>
          <w:sz w:val="22"/>
          <w:szCs w:val="22"/>
          <w:lang w:val="hy-AM"/>
        </w:rPr>
        <w:t>, 2020, i.e. the day on which the refinancing</w:t>
      </w:r>
      <w:r>
        <w:rPr>
          <w:rFonts w:ascii="GHEA Grapalat" w:hAnsi="GHEA Grapalat" w:cs="Sylfaen"/>
          <w:i/>
          <w:sz w:val="22"/>
          <w:szCs w:val="22"/>
          <w:lang w:val="hy-AM"/>
        </w:rPr>
        <w:t xml:space="preserve"> rate was set, the results of </w:t>
      </w:r>
      <w:r w:rsidRPr="005B47C1">
        <w:rPr>
          <w:rFonts w:ascii="GHEA Grapalat" w:hAnsi="GHEA Grapalat" w:cs="Sylfaen"/>
          <w:i/>
          <w:sz w:val="22"/>
          <w:szCs w:val="22"/>
          <w:lang w:val="hy-AM"/>
        </w:rPr>
        <w:t>survey conducted by the Bank and the judgment made pursuant to the information on future developments of the macroeconomic environment.</w:t>
      </w:r>
    </w:p>
    <w:p w14:paraId="42A042EB" w14:textId="77777777" w:rsidR="004F213F" w:rsidRDefault="004F213F" w:rsidP="004F213F">
      <w:pPr>
        <w:autoSpaceDE w:val="0"/>
        <w:autoSpaceDN w:val="0"/>
        <w:adjustRightInd w:val="0"/>
        <w:spacing w:after="120" w:line="340" w:lineRule="atLeast"/>
        <w:jc w:val="center"/>
        <w:rPr>
          <w:rFonts w:ascii="GHEA Grapalat" w:hAnsi="GHEA Grapalat" w:cs="Sylfaen"/>
          <w:i/>
          <w:sz w:val="22"/>
          <w:szCs w:val="22"/>
          <w:lang w:val="hy-AM"/>
        </w:rPr>
      </w:pPr>
      <w:r w:rsidRPr="005B47C1">
        <w:rPr>
          <w:rFonts w:ascii="GHEA Grapalat" w:hAnsi="GHEA Grapalat" w:cs="Sylfaen"/>
          <w:i/>
          <w:sz w:val="22"/>
          <w:szCs w:val="22"/>
          <w:lang w:val="hy-AM"/>
        </w:rPr>
        <w:t>All inflation reports which have been published to date are available on the Bank’s website (www.cba.am) which also contains all press-releases and other monetary policy-related publications.</w:t>
      </w:r>
    </w:p>
    <w:p w14:paraId="1933FB54" w14:textId="77777777" w:rsidR="004F213F" w:rsidRDefault="004F213F" w:rsidP="004F213F">
      <w:pPr>
        <w:spacing w:after="160" w:line="259" w:lineRule="auto"/>
        <w:rPr>
          <w:rFonts w:ascii="GHEA Grapalat" w:hAnsi="GHEA Grapalat" w:cs="Sylfaen"/>
          <w:i/>
          <w:sz w:val="22"/>
          <w:szCs w:val="22"/>
          <w:lang w:val="hy-AM"/>
        </w:rPr>
      </w:pPr>
    </w:p>
    <w:p w14:paraId="3C795727" w14:textId="77777777" w:rsidR="004F213F" w:rsidRDefault="004F213F" w:rsidP="004F213F">
      <w:pPr>
        <w:pStyle w:val="ListParagraph"/>
        <w:numPr>
          <w:ilvl w:val="0"/>
          <w:numId w:val="1"/>
        </w:numPr>
        <w:spacing w:after="160" w:line="259" w:lineRule="auto"/>
        <w:rPr>
          <w:rFonts w:cs="Sylfaen"/>
          <w:i/>
          <w:lang w:val="hy-AM"/>
        </w:rPr>
      </w:pPr>
      <w:r>
        <w:rPr>
          <w:rFonts w:cs="Sylfaen"/>
          <w:i/>
          <w:lang w:val="hy-AM"/>
        </w:rPr>
        <w:t>Executive summary</w:t>
      </w:r>
    </w:p>
    <w:p w14:paraId="1611496A" w14:textId="0E31AEDA" w:rsidR="004F213F" w:rsidRDefault="004F213F" w:rsidP="004F213F">
      <w:pPr>
        <w:spacing w:before="120" w:line="340" w:lineRule="atLeast"/>
        <w:ind w:firstLine="284"/>
        <w:rPr>
          <w:rFonts w:ascii="GHEA Grapalat" w:hAnsi="GHEA Grapalat"/>
          <w:sz w:val="20"/>
          <w:szCs w:val="20"/>
        </w:rPr>
      </w:pPr>
      <w:r w:rsidRPr="002C56F5">
        <w:rPr>
          <w:rFonts w:ascii="GHEA Grapalat" w:hAnsi="GHEA Grapalat"/>
          <w:sz w:val="20"/>
          <w:szCs w:val="20"/>
        </w:rPr>
        <w:t xml:space="preserve">During the second </w:t>
      </w:r>
      <w:r w:rsidRPr="002C56F5">
        <w:rPr>
          <w:rFonts w:ascii="GHEA Grapalat" w:hAnsi="GHEA Grapalat"/>
          <w:sz w:val="20"/>
          <w:szCs w:val="20"/>
        </w:rPr>
        <w:t>quarter</w:t>
      </w:r>
      <w:r w:rsidRPr="002C56F5">
        <w:rPr>
          <w:rFonts w:ascii="GHEA Grapalat" w:hAnsi="GHEA Grapalat"/>
          <w:sz w:val="20"/>
          <w:szCs w:val="20"/>
        </w:rPr>
        <w:t xml:space="preserve"> of 2020 the rate of coronavirus spread worldwide, including in Armenia, </w:t>
      </w:r>
      <w:r w:rsidRPr="002C56F5">
        <w:rPr>
          <w:rFonts w:ascii="GHEA Grapalat" w:hAnsi="GHEA Grapalat"/>
          <w:sz w:val="20"/>
          <w:szCs w:val="20"/>
        </w:rPr>
        <w:t>accelerated</w:t>
      </w:r>
      <w:r w:rsidRPr="002C56F5">
        <w:rPr>
          <w:rFonts w:ascii="GHEA Grapalat" w:hAnsi="GHEA Grapalat"/>
          <w:sz w:val="20"/>
          <w:szCs w:val="20"/>
        </w:rPr>
        <w:t xml:space="preserve"> significantly. </w:t>
      </w:r>
      <w:r w:rsidRPr="002C56F5">
        <w:rPr>
          <w:rFonts w:ascii="GHEA Grapalat" w:hAnsi="GHEA Grapalat"/>
          <w:sz w:val="20"/>
          <w:szCs w:val="20"/>
        </w:rPr>
        <w:t>Consequently, state</w:t>
      </w:r>
      <w:r w:rsidRPr="002C56F5">
        <w:rPr>
          <w:rFonts w:ascii="GHEA Grapalat" w:hAnsi="GHEA Grapalat"/>
          <w:sz w:val="20"/>
          <w:szCs w:val="20"/>
        </w:rPr>
        <w:t xml:space="preserve"> of </w:t>
      </w:r>
      <w:r w:rsidRPr="002C56F5">
        <w:rPr>
          <w:rFonts w:ascii="GHEA Grapalat" w:hAnsi="GHEA Grapalat"/>
          <w:sz w:val="20"/>
          <w:szCs w:val="20"/>
        </w:rPr>
        <w:t>emergency</w:t>
      </w:r>
      <w:r w:rsidRPr="002C56F5">
        <w:rPr>
          <w:rFonts w:ascii="GHEA Grapalat" w:hAnsi="GHEA Grapalat"/>
          <w:sz w:val="20"/>
          <w:szCs w:val="20"/>
        </w:rPr>
        <w:t xml:space="preserve"> was extended phase by phase in almost all countries of the world, while adhering to </w:t>
      </w:r>
      <w:proofErr w:type="gramStart"/>
      <w:r w:rsidRPr="002C56F5">
        <w:rPr>
          <w:rFonts w:ascii="GHEA Grapalat" w:hAnsi="GHEA Grapalat"/>
          <w:sz w:val="20"/>
          <w:szCs w:val="20"/>
        </w:rPr>
        <w:t>healthcare</w:t>
      </w:r>
      <w:r w:rsidRPr="002C56F5">
        <w:rPr>
          <w:rFonts w:ascii="GHEA Grapalat" w:hAnsi="GHEA Grapalat"/>
          <w:sz w:val="20"/>
          <w:szCs w:val="20"/>
        </w:rPr>
        <w:t xml:space="preserve"> </w:t>
      </w:r>
      <w:r>
        <w:rPr>
          <w:rFonts w:ascii="GHEA Grapalat" w:hAnsi="GHEA Grapalat"/>
          <w:sz w:val="20"/>
          <w:szCs w:val="20"/>
        </w:rPr>
        <w:t xml:space="preserve"> </w:t>
      </w:r>
      <w:r w:rsidRPr="002C56F5">
        <w:rPr>
          <w:rFonts w:ascii="GHEA Grapalat" w:hAnsi="GHEA Grapalat"/>
          <w:sz w:val="20"/>
          <w:szCs w:val="20"/>
        </w:rPr>
        <w:t>and</w:t>
      </w:r>
      <w:proofErr w:type="gramEnd"/>
      <w:r w:rsidRPr="002C56F5">
        <w:rPr>
          <w:rFonts w:ascii="GHEA Grapalat" w:hAnsi="GHEA Grapalat"/>
          <w:sz w:val="20"/>
          <w:szCs w:val="20"/>
        </w:rPr>
        <w:t xml:space="preserve"> economic restrictions. As a result, compared to the forecasts </w:t>
      </w:r>
      <w:r w:rsidRPr="002C56F5">
        <w:rPr>
          <w:rFonts w:ascii="GHEA Grapalat" w:hAnsi="GHEA Grapalat"/>
          <w:sz w:val="20"/>
          <w:szCs w:val="20"/>
        </w:rPr>
        <w:lastRenderedPageBreak/>
        <w:t xml:space="preserve">made in March under big uncertainty, the second quarter registered much deeper-than-expected declines in global economic activity and economic activity in Armenia, significant weakening of aggregate demand, deflationary patterns in key commodity markets, and uncertainty over the </w:t>
      </w:r>
      <w:r>
        <w:rPr>
          <w:rFonts w:ascii="GHEA Grapalat" w:hAnsi="GHEA Grapalat"/>
          <w:sz w:val="20"/>
          <w:szCs w:val="20"/>
        </w:rPr>
        <w:t xml:space="preserve">duration of the pandemic and economic growth outlook increased. In this situation, the world’s major financial institutions and central banks have adjusted and revised their estimates of main macroeconomic indicators downside. </w:t>
      </w:r>
      <w:r>
        <w:rPr>
          <w:rFonts w:ascii="GHEA Grapalat" w:hAnsi="GHEA Grapalat"/>
          <w:sz w:val="20"/>
          <w:szCs w:val="20"/>
        </w:rPr>
        <w:t>Accordingly</w:t>
      </w:r>
      <w:r>
        <w:rPr>
          <w:rFonts w:ascii="GHEA Grapalat" w:hAnsi="GHEA Grapalat"/>
          <w:sz w:val="20"/>
          <w:szCs w:val="20"/>
        </w:rPr>
        <w:t xml:space="preserve">, the central banks continued to pursue a stimulative monetary policy during the quarter to ensure the recovery of demand and price stability. </w:t>
      </w:r>
    </w:p>
    <w:p w14:paraId="303A1D9B" w14:textId="1B8C539C" w:rsidR="004F213F" w:rsidRDefault="004F213F" w:rsidP="004F213F">
      <w:pPr>
        <w:spacing w:before="120" w:line="340" w:lineRule="atLeast"/>
        <w:ind w:firstLine="284"/>
        <w:rPr>
          <w:rFonts w:ascii="GHEA Grapalat" w:hAnsi="GHEA Grapalat"/>
          <w:sz w:val="20"/>
          <w:szCs w:val="20"/>
        </w:rPr>
      </w:pPr>
      <w:r>
        <w:rPr>
          <w:rFonts w:ascii="GHEA Grapalat" w:hAnsi="GHEA Grapalat"/>
          <w:sz w:val="20"/>
          <w:szCs w:val="20"/>
        </w:rPr>
        <w:t xml:space="preserve">The Central Bank of Armenia also significantly revised its 2020 economic growth outlook from 0.7% </w:t>
      </w:r>
      <w:r>
        <w:rPr>
          <w:rFonts w:ascii="GHEA Grapalat" w:hAnsi="GHEA Grapalat"/>
          <w:sz w:val="20"/>
          <w:szCs w:val="20"/>
        </w:rPr>
        <w:t>projected</w:t>
      </w:r>
      <w:r>
        <w:rPr>
          <w:rFonts w:ascii="GHEA Grapalat" w:hAnsi="GHEA Grapalat"/>
          <w:sz w:val="20"/>
          <w:szCs w:val="20"/>
        </w:rPr>
        <w:t xml:space="preserve"> in the previous quarter to -4.0%. This is determined by both an intensification of economic decline in the second quarter and anticipation of a slower recovery in the future, with economic growth in the medium term to reside below the long-term steady state. At the same time, in the face of low external demand and big uncertainty, private demand is expected to weaken. </w:t>
      </w:r>
      <w:proofErr w:type="gramStart"/>
      <w:r>
        <w:rPr>
          <w:rFonts w:ascii="GHEA Grapalat" w:hAnsi="GHEA Grapalat"/>
          <w:sz w:val="20"/>
          <w:szCs w:val="20"/>
        </w:rPr>
        <w:t>In order to</w:t>
      </w:r>
      <w:proofErr w:type="gramEnd"/>
      <w:r>
        <w:rPr>
          <w:rFonts w:ascii="GHEA Grapalat" w:hAnsi="GHEA Grapalat"/>
          <w:sz w:val="20"/>
          <w:szCs w:val="20"/>
        </w:rPr>
        <w:t xml:space="preserve"> neutralize this deflationary effect, the Central Bank decided to cut the refinancing rate this time in a larger step, assessing that under such </w:t>
      </w:r>
      <w:r>
        <w:rPr>
          <w:rFonts w:ascii="GHEA Grapalat" w:hAnsi="GHEA Grapalat"/>
          <w:sz w:val="20"/>
          <w:szCs w:val="20"/>
        </w:rPr>
        <w:t>circumstances</w:t>
      </w:r>
      <w:r>
        <w:rPr>
          <w:rFonts w:ascii="GHEA Grapalat" w:hAnsi="GHEA Grapalat"/>
          <w:sz w:val="20"/>
          <w:szCs w:val="20"/>
        </w:rPr>
        <w:t xml:space="preserve"> the </w:t>
      </w:r>
      <w:r>
        <w:rPr>
          <w:rFonts w:ascii="GHEA Grapalat" w:hAnsi="GHEA Grapalat"/>
          <w:sz w:val="20"/>
          <w:szCs w:val="20"/>
        </w:rPr>
        <w:t>monetary</w:t>
      </w:r>
      <w:r>
        <w:rPr>
          <w:rFonts w:ascii="GHEA Grapalat" w:hAnsi="GHEA Grapalat"/>
          <w:sz w:val="20"/>
          <w:szCs w:val="20"/>
        </w:rPr>
        <w:t xml:space="preserve"> conditions will need to remain expansionary in the medium run as well. </w:t>
      </w:r>
    </w:p>
    <w:p w14:paraId="408EA2B1" w14:textId="7C115732" w:rsidR="004F213F" w:rsidRDefault="004F213F" w:rsidP="004F213F">
      <w:pPr>
        <w:spacing w:before="120" w:line="340" w:lineRule="atLeast"/>
        <w:ind w:firstLine="284"/>
        <w:rPr>
          <w:rFonts w:ascii="GHEA Grapalat" w:hAnsi="GHEA Grapalat"/>
          <w:sz w:val="20"/>
          <w:szCs w:val="20"/>
        </w:rPr>
      </w:pPr>
      <w:r>
        <w:rPr>
          <w:rFonts w:ascii="GHEA Grapalat" w:hAnsi="GHEA Grapalat"/>
          <w:sz w:val="20"/>
          <w:szCs w:val="20"/>
        </w:rPr>
        <w:t xml:space="preserve">As a result, 12-month inflation will still be persisting low in near future, as the effects of weak private demand in the short term will </w:t>
      </w:r>
      <w:r>
        <w:rPr>
          <w:rFonts w:ascii="GHEA Grapalat" w:hAnsi="GHEA Grapalat"/>
          <w:sz w:val="20"/>
          <w:szCs w:val="20"/>
        </w:rPr>
        <w:t>outweigh</w:t>
      </w:r>
      <w:r>
        <w:rPr>
          <w:rFonts w:ascii="GHEA Grapalat" w:hAnsi="GHEA Grapalat"/>
          <w:sz w:val="20"/>
          <w:szCs w:val="20"/>
        </w:rPr>
        <w:t xml:space="preserve"> the expansionary impact of the fiscal policy. In the medium term, the inflation, driven by a</w:t>
      </w:r>
      <w:r>
        <w:rPr>
          <w:rFonts w:ascii="GHEA Grapalat" w:hAnsi="GHEA Grapalat"/>
          <w:sz w:val="20"/>
          <w:szCs w:val="20"/>
        </w:rPr>
        <w:t>n</w:t>
      </w:r>
      <w:r>
        <w:rPr>
          <w:rFonts w:ascii="GHEA Grapalat" w:hAnsi="GHEA Grapalat"/>
          <w:sz w:val="20"/>
          <w:szCs w:val="20"/>
        </w:rPr>
        <w:t xml:space="preserve"> expansionary monetary policy, will gradually recover, stabilizing around the target at the end of the forecast horizon. </w:t>
      </w:r>
    </w:p>
    <w:p w14:paraId="3B0442E8" w14:textId="77777777" w:rsidR="004F213F" w:rsidRPr="002C56F5" w:rsidRDefault="004F213F" w:rsidP="004F213F">
      <w:pPr>
        <w:spacing w:before="120" w:line="340" w:lineRule="atLeast"/>
        <w:ind w:firstLine="284"/>
        <w:rPr>
          <w:rFonts w:ascii="GHEA Grapalat" w:hAnsi="GHEA Grapalat"/>
          <w:sz w:val="20"/>
          <w:szCs w:val="20"/>
        </w:rPr>
      </w:pPr>
      <w:r>
        <w:rPr>
          <w:rFonts w:ascii="GHEA Grapalat" w:hAnsi="GHEA Grapalat"/>
          <w:sz w:val="20"/>
          <w:szCs w:val="20"/>
        </w:rPr>
        <w:t xml:space="preserve">The inflation and economic growth scenario risks in the forecast horizon are primarily downside due to possibly longer duration of the pandemic and deeper negative economic effects. If existing risks materialize, the Central Bank stands ready to adjust the monetary conditions accordingly while ensuring the price stability in the medium run. </w:t>
      </w:r>
    </w:p>
    <w:p w14:paraId="5D25FAAB" w14:textId="77777777" w:rsidR="004F213F" w:rsidRDefault="004F213F"/>
    <w:p w14:paraId="0084EB5D" w14:textId="77777777" w:rsidR="004F213F" w:rsidRPr="00176E10" w:rsidRDefault="004F213F" w:rsidP="004F213F">
      <w:pPr>
        <w:pStyle w:val="BodyText3"/>
        <w:pageBreakBefore/>
        <w:spacing w:line="300" w:lineRule="atLeast"/>
        <w:jc w:val="left"/>
        <w:rPr>
          <w:rFonts w:ascii="GHEA Grapalat" w:hAnsi="GHEA Grapalat"/>
          <w:b w:val="0"/>
          <w:color w:val="1F497D"/>
          <w:spacing w:val="20"/>
          <w:szCs w:val="20"/>
          <w:vertAlign w:val="superscript"/>
          <w:lang w:val="es-AR"/>
        </w:rPr>
      </w:pPr>
      <w:r w:rsidRPr="009F5B13">
        <w:rPr>
          <w:rFonts w:ascii="GHEA Grapalat" w:hAnsi="GHEA Grapalat" w:cs="GHEA Grapalat"/>
          <w:color w:val="1F497D"/>
          <w:spacing w:val="40"/>
          <w:sz w:val="22"/>
          <w:szCs w:val="22"/>
          <w:lang w:val="es-AR"/>
        </w:rPr>
        <w:lastRenderedPageBreak/>
        <w:t xml:space="preserve">2. </w:t>
      </w:r>
      <w:r w:rsidRPr="00E7420D">
        <w:rPr>
          <w:rFonts w:ascii="GHEA Grapalat" w:hAnsi="GHEA Grapalat" w:cs="GHEA Grapalat"/>
          <w:color w:val="1F497D"/>
          <w:spacing w:val="40"/>
          <w:sz w:val="22"/>
          <w:szCs w:val="22"/>
          <w:lang w:val="es-AR"/>
        </w:rPr>
        <w:t>FORECAST, FORECAST CHANGES AND RISKS</w:t>
      </w:r>
    </w:p>
    <w:p w14:paraId="06460C9B" w14:textId="77777777" w:rsidR="004F213F" w:rsidRPr="004F213F" w:rsidRDefault="004F213F" w:rsidP="004F213F">
      <w:pPr>
        <w:spacing w:before="120" w:line="340" w:lineRule="atLeast"/>
        <w:ind w:firstLine="284"/>
        <w:rPr>
          <w:rFonts w:ascii="GHEA Grapalat" w:hAnsi="GHEA Grapalat"/>
          <w:b/>
          <w:i/>
          <w:sz w:val="20"/>
          <w:szCs w:val="20"/>
        </w:rPr>
      </w:pPr>
      <w:r w:rsidRPr="004F213F">
        <w:rPr>
          <w:rFonts w:ascii="GHEA Grapalat" w:hAnsi="GHEA Grapalat"/>
          <w:b/>
          <w:i/>
          <w:sz w:val="20"/>
          <w:szCs w:val="20"/>
        </w:rPr>
        <w:t>2.1. External environment developments</w:t>
      </w:r>
    </w:p>
    <w:p w14:paraId="485E442A" w14:textId="77777777" w:rsidR="004F213F" w:rsidRPr="00F535EF" w:rsidRDefault="004F213F" w:rsidP="004F213F">
      <w:pPr>
        <w:spacing w:line="340" w:lineRule="atLeast"/>
        <w:ind w:firstLine="284"/>
        <w:rPr>
          <w:rFonts w:ascii="GHEA Grapalat" w:hAnsi="GHEA Grapalat"/>
          <w:b/>
          <w:i/>
          <w:sz w:val="20"/>
          <w:szCs w:val="20"/>
          <w:lang w:val="hy-AM"/>
        </w:rPr>
      </w:pPr>
      <w:r w:rsidRPr="00DA7623">
        <w:rPr>
          <w:rFonts w:ascii="GHEA Grapalat" w:hAnsi="GHEA Grapalat"/>
          <w:b/>
          <w:i/>
          <w:sz w:val="20"/>
          <w:szCs w:val="20"/>
        </w:rPr>
        <w:t>With t</w:t>
      </w:r>
      <w:r>
        <w:rPr>
          <w:rFonts w:ascii="GHEA Grapalat" w:hAnsi="GHEA Grapalat"/>
          <w:b/>
          <w:i/>
          <w:sz w:val="20"/>
          <w:szCs w:val="20"/>
        </w:rPr>
        <w:t>he spread of the coronavirus pan</w:t>
      </w:r>
      <w:r w:rsidRPr="00DA7623">
        <w:rPr>
          <w:rFonts w:ascii="GHEA Grapalat" w:hAnsi="GHEA Grapalat"/>
          <w:b/>
          <w:i/>
          <w:sz w:val="20"/>
          <w:szCs w:val="20"/>
        </w:rPr>
        <w:t xml:space="preserve">demic in the world since the beginning of </w:t>
      </w:r>
      <w:r>
        <w:rPr>
          <w:rFonts w:ascii="GHEA Grapalat" w:hAnsi="GHEA Grapalat"/>
          <w:b/>
          <w:i/>
          <w:sz w:val="20"/>
          <w:szCs w:val="20"/>
        </w:rPr>
        <w:t>2020</w:t>
      </w:r>
      <w:r w:rsidRPr="00DA7623">
        <w:rPr>
          <w:rFonts w:ascii="GHEA Grapalat" w:hAnsi="GHEA Grapalat"/>
          <w:b/>
          <w:i/>
          <w:sz w:val="20"/>
          <w:szCs w:val="20"/>
        </w:rPr>
        <w:t xml:space="preserve">, the </w:t>
      </w:r>
      <w:r>
        <w:rPr>
          <w:rFonts w:ascii="GHEA Grapalat" w:hAnsi="GHEA Grapalat"/>
          <w:b/>
          <w:i/>
          <w:sz w:val="20"/>
          <w:szCs w:val="20"/>
        </w:rPr>
        <w:t>pace at which the</w:t>
      </w:r>
      <w:r w:rsidRPr="00DA7623">
        <w:rPr>
          <w:rFonts w:ascii="GHEA Grapalat" w:hAnsi="GHEA Grapalat"/>
          <w:b/>
          <w:i/>
          <w:sz w:val="20"/>
          <w:szCs w:val="20"/>
        </w:rPr>
        <w:t xml:space="preserve"> world economy </w:t>
      </w:r>
      <w:r>
        <w:rPr>
          <w:rFonts w:ascii="GHEA Grapalat" w:hAnsi="GHEA Grapalat"/>
          <w:b/>
          <w:i/>
          <w:sz w:val="20"/>
          <w:szCs w:val="20"/>
        </w:rPr>
        <w:t xml:space="preserve">advanced </w:t>
      </w:r>
      <w:r w:rsidRPr="00DA7623">
        <w:rPr>
          <w:rFonts w:ascii="GHEA Grapalat" w:hAnsi="GHEA Grapalat"/>
          <w:b/>
          <w:i/>
          <w:sz w:val="20"/>
          <w:szCs w:val="20"/>
        </w:rPr>
        <w:t>has changed significantly, which is reflected in actual developments and large decrease</w:t>
      </w:r>
      <w:r>
        <w:rPr>
          <w:rFonts w:ascii="GHEA Grapalat" w:hAnsi="GHEA Grapalat"/>
          <w:b/>
          <w:i/>
          <w:sz w:val="20"/>
          <w:szCs w:val="20"/>
        </w:rPr>
        <w:t>s</w:t>
      </w:r>
      <w:r w:rsidRPr="00DA7623">
        <w:rPr>
          <w:rFonts w:ascii="GHEA Grapalat" w:hAnsi="GHEA Grapalat"/>
          <w:b/>
          <w:i/>
          <w:sz w:val="20"/>
          <w:szCs w:val="20"/>
        </w:rPr>
        <w:t xml:space="preserve"> in the lead</w:t>
      </w:r>
      <w:r>
        <w:rPr>
          <w:rFonts w:ascii="GHEA Grapalat" w:hAnsi="GHEA Grapalat"/>
          <w:b/>
          <w:i/>
          <w:sz w:val="20"/>
          <w:szCs w:val="20"/>
        </w:rPr>
        <w:t>ing</w:t>
      </w:r>
      <w:r w:rsidRPr="00DA7623">
        <w:rPr>
          <w:rFonts w:ascii="GHEA Grapalat" w:hAnsi="GHEA Grapalat"/>
          <w:b/>
          <w:i/>
          <w:sz w:val="20"/>
          <w:szCs w:val="20"/>
        </w:rPr>
        <w:t xml:space="preserve"> indicators of the countries during the second quarter.</w:t>
      </w:r>
      <w:r>
        <w:rPr>
          <w:rFonts w:ascii="GHEA Grapalat" w:hAnsi="GHEA Grapalat"/>
          <w:b/>
          <w:i/>
          <w:sz w:val="20"/>
          <w:szCs w:val="20"/>
        </w:rPr>
        <w:t xml:space="preserve"> T</w:t>
      </w:r>
      <w:r w:rsidRPr="001B277C">
        <w:rPr>
          <w:rFonts w:ascii="GHEA Grapalat" w:hAnsi="GHEA Grapalat"/>
          <w:b/>
          <w:i/>
          <w:sz w:val="20"/>
          <w:szCs w:val="20"/>
        </w:rPr>
        <w:t xml:space="preserve">he global economic downturn is expected to continue </w:t>
      </w:r>
      <w:r>
        <w:rPr>
          <w:rFonts w:ascii="GHEA Grapalat" w:hAnsi="GHEA Grapalat"/>
          <w:b/>
          <w:i/>
          <w:sz w:val="20"/>
          <w:szCs w:val="20"/>
        </w:rPr>
        <w:t xml:space="preserve">up </w:t>
      </w:r>
      <w:r w:rsidRPr="001B277C">
        <w:rPr>
          <w:rFonts w:ascii="GHEA Grapalat" w:hAnsi="GHEA Grapalat"/>
          <w:b/>
          <w:i/>
          <w:sz w:val="20"/>
          <w:szCs w:val="20"/>
        </w:rPr>
        <w:t xml:space="preserve">until </w:t>
      </w:r>
      <w:r>
        <w:rPr>
          <w:rFonts w:ascii="GHEA Grapalat" w:hAnsi="GHEA Grapalat"/>
          <w:b/>
          <w:i/>
          <w:sz w:val="20"/>
          <w:szCs w:val="20"/>
        </w:rPr>
        <w:t xml:space="preserve">the end of </w:t>
      </w:r>
      <w:r w:rsidRPr="001B277C">
        <w:rPr>
          <w:rFonts w:ascii="GHEA Grapalat" w:hAnsi="GHEA Grapalat"/>
          <w:b/>
          <w:i/>
          <w:sz w:val="20"/>
          <w:szCs w:val="20"/>
        </w:rPr>
        <w:t xml:space="preserve">the first half of 2020, and </w:t>
      </w:r>
      <w:proofErr w:type="gramStart"/>
      <w:r w:rsidRPr="001B277C">
        <w:rPr>
          <w:rFonts w:ascii="GHEA Grapalat" w:hAnsi="GHEA Grapalat"/>
          <w:b/>
          <w:i/>
          <w:sz w:val="20"/>
          <w:szCs w:val="20"/>
        </w:rPr>
        <w:t xml:space="preserve">in </w:t>
      </w:r>
      <w:r>
        <w:rPr>
          <w:rFonts w:ascii="GHEA Grapalat" w:hAnsi="GHEA Grapalat"/>
          <w:b/>
          <w:i/>
          <w:sz w:val="20"/>
          <w:szCs w:val="20"/>
        </w:rPr>
        <w:t>the course of</w:t>
      </w:r>
      <w:proofErr w:type="gramEnd"/>
      <w:r w:rsidRPr="001B277C">
        <w:rPr>
          <w:rFonts w:ascii="GHEA Grapalat" w:hAnsi="GHEA Grapalat"/>
          <w:b/>
          <w:i/>
          <w:sz w:val="20"/>
          <w:szCs w:val="20"/>
        </w:rPr>
        <w:t xml:space="preserve"> the second half</w:t>
      </w:r>
      <w:r>
        <w:rPr>
          <w:rFonts w:ascii="GHEA Grapalat" w:hAnsi="GHEA Grapalat"/>
          <w:b/>
          <w:i/>
          <w:sz w:val="20"/>
          <w:szCs w:val="20"/>
        </w:rPr>
        <w:t xml:space="preserve"> </w:t>
      </w:r>
      <w:r w:rsidRPr="001B277C">
        <w:rPr>
          <w:rFonts w:ascii="GHEA Grapalat" w:hAnsi="GHEA Grapalat"/>
          <w:b/>
          <w:i/>
          <w:sz w:val="20"/>
          <w:szCs w:val="20"/>
        </w:rPr>
        <w:t xml:space="preserve">the rate of </w:t>
      </w:r>
      <w:r>
        <w:rPr>
          <w:rFonts w:ascii="GHEA Grapalat" w:hAnsi="GHEA Grapalat"/>
          <w:b/>
          <w:i/>
          <w:sz w:val="20"/>
          <w:szCs w:val="20"/>
        </w:rPr>
        <w:t xml:space="preserve">decline </w:t>
      </w:r>
      <w:r w:rsidRPr="001B277C">
        <w:rPr>
          <w:rFonts w:ascii="GHEA Grapalat" w:hAnsi="GHEA Grapalat"/>
          <w:b/>
          <w:i/>
          <w:sz w:val="20"/>
          <w:szCs w:val="20"/>
        </w:rPr>
        <w:t>of the world economy will slow down under the assumption</w:t>
      </w:r>
      <w:r>
        <w:rPr>
          <w:rFonts w:ascii="GHEA Grapalat" w:hAnsi="GHEA Grapalat"/>
          <w:b/>
          <w:i/>
          <w:sz w:val="20"/>
          <w:szCs w:val="20"/>
        </w:rPr>
        <w:t xml:space="preserve"> that at the end of the year the pandemic would subdue</w:t>
      </w:r>
      <w:r w:rsidRPr="001B277C">
        <w:rPr>
          <w:rFonts w:ascii="GHEA Grapalat" w:hAnsi="GHEA Grapalat"/>
          <w:b/>
          <w:i/>
          <w:sz w:val="20"/>
          <w:szCs w:val="20"/>
        </w:rPr>
        <w:t>.</w:t>
      </w:r>
      <w:r>
        <w:rPr>
          <w:rFonts w:ascii="GHEA Grapalat" w:hAnsi="GHEA Grapalat"/>
          <w:b/>
          <w:i/>
          <w:sz w:val="20"/>
          <w:szCs w:val="20"/>
        </w:rPr>
        <w:t xml:space="preserve"> Specifically</w:t>
      </w:r>
      <w:r w:rsidRPr="00F535EF">
        <w:rPr>
          <w:rFonts w:ascii="GHEA Grapalat" w:hAnsi="GHEA Grapalat"/>
          <w:b/>
          <w:i/>
          <w:sz w:val="20"/>
          <w:szCs w:val="20"/>
        </w:rPr>
        <w:t xml:space="preserve">, economic </w:t>
      </w:r>
      <w:r>
        <w:rPr>
          <w:rFonts w:ascii="GHEA Grapalat" w:hAnsi="GHEA Grapalat"/>
          <w:b/>
          <w:i/>
          <w:sz w:val="20"/>
          <w:szCs w:val="20"/>
        </w:rPr>
        <w:t xml:space="preserve">decline will be registered </w:t>
      </w:r>
      <w:r w:rsidRPr="00F535EF">
        <w:rPr>
          <w:rFonts w:ascii="GHEA Grapalat" w:hAnsi="GHEA Grapalat"/>
          <w:b/>
          <w:i/>
          <w:sz w:val="20"/>
          <w:szCs w:val="20"/>
        </w:rPr>
        <w:t xml:space="preserve">in the United States, </w:t>
      </w:r>
      <w:proofErr w:type="gramStart"/>
      <w:r w:rsidRPr="00F535EF">
        <w:rPr>
          <w:rFonts w:ascii="GHEA Grapalat" w:hAnsi="GHEA Grapalat"/>
          <w:b/>
          <w:i/>
          <w:sz w:val="20"/>
          <w:szCs w:val="20"/>
        </w:rPr>
        <w:t>Eurozone</w:t>
      </w:r>
      <w:proofErr w:type="gramEnd"/>
      <w:r w:rsidRPr="00F535EF">
        <w:rPr>
          <w:rFonts w:ascii="GHEA Grapalat" w:hAnsi="GHEA Grapalat"/>
          <w:b/>
          <w:i/>
          <w:sz w:val="20"/>
          <w:szCs w:val="20"/>
        </w:rPr>
        <w:t xml:space="preserve"> and Russia - main trade partners to Armenia - in the first half of 2020 and </w:t>
      </w:r>
      <w:r>
        <w:rPr>
          <w:rFonts w:ascii="GHEA Grapalat" w:hAnsi="GHEA Grapalat"/>
          <w:b/>
          <w:i/>
          <w:sz w:val="20"/>
          <w:szCs w:val="20"/>
        </w:rPr>
        <w:t xml:space="preserve">some recovery </w:t>
      </w:r>
      <w:r w:rsidRPr="00F535EF">
        <w:rPr>
          <w:rFonts w:ascii="GHEA Grapalat" w:hAnsi="GHEA Grapalat"/>
          <w:b/>
          <w:i/>
          <w:sz w:val="20"/>
          <w:szCs w:val="20"/>
        </w:rPr>
        <w:t>will b</w:t>
      </w:r>
      <w:r>
        <w:rPr>
          <w:rFonts w:ascii="GHEA Grapalat" w:hAnsi="GHEA Grapalat"/>
          <w:b/>
          <w:i/>
          <w:sz w:val="20"/>
          <w:szCs w:val="20"/>
        </w:rPr>
        <w:t xml:space="preserve">e seen in the </w:t>
      </w:r>
      <w:r w:rsidRPr="00F535EF">
        <w:rPr>
          <w:rFonts w:ascii="GHEA Grapalat" w:hAnsi="GHEA Grapalat"/>
          <w:b/>
          <w:i/>
          <w:sz w:val="20"/>
          <w:szCs w:val="20"/>
        </w:rPr>
        <w:t>second.</w:t>
      </w:r>
      <w:r>
        <w:rPr>
          <w:rFonts w:ascii="GHEA Grapalat" w:hAnsi="GHEA Grapalat"/>
          <w:b/>
          <w:i/>
          <w:sz w:val="20"/>
          <w:szCs w:val="20"/>
        </w:rPr>
        <w:t xml:space="preserve"> </w:t>
      </w:r>
      <w:r w:rsidRPr="00CE4F66">
        <w:rPr>
          <w:rFonts w:ascii="GHEA Grapalat" w:hAnsi="GHEA Grapalat"/>
          <w:b/>
          <w:i/>
          <w:sz w:val="20"/>
          <w:szCs w:val="20"/>
        </w:rPr>
        <w:t xml:space="preserve">Amid </w:t>
      </w:r>
      <w:r>
        <w:rPr>
          <w:rFonts w:ascii="GHEA Grapalat" w:hAnsi="GHEA Grapalat"/>
          <w:b/>
          <w:i/>
          <w:sz w:val="20"/>
          <w:szCs w:val="20"/>
        </w:rPr>
        <w:t xml:space="preserve">a lasting </w:t>
      </w:r>
      <w:r w:rsidRPr="00CE4F66">
        <w:rPr>
          <w:rFonts w:ascii="GHEA Grapalat" w:hAnsi="GHEA Grapalat"/>
          <w:b/>
          <w:i/>
          <w:sz w:val="20"/>
          <w:szCs w:val="20"/>
        </w:rPr>
        <w:t xml:space="preserve">uncertainty, the </w:t>
      </w:r>
      <w:r>
        <w:rPr>
          <w:rFonts w:ascii="GHEA Grapalat" w:hAnsi="GHEA Grapalat"/>
          <w:b/>
          <w:i/>
          <w:sz w:val="20"/>
          <w:szCs w:val="20"/>
        </w:rPr>
        <w:t xml:space="preserve">pace of </w:t>
      </w:r>
      <w:r w:rsidRPr="00CE4F66">
        <w:rPr>
          <w:rFonts w:ascii="GHEA Grapalat" w:hAnsi="GHEA Grapalat"/>
          <w:b/>
          <w:i/>
          <w:sz w:val="20"/>
          <w:szCs w:val="20"/>
        </w:rPr>
        <w:t xml:space="preserve">recovery of the world economy and </w:t>
      </w:r>
      <w:r>
        <w:rPr>
          <w:rFonts w:ascii="GHEA Grapalat" w:hAnsi="GHEA Grapalat"/>
          <w:b/>
          <w:i/>
          <w:sz w:val="20"/>
          <w:szCs w:val="20"/>
        </w:rPr>
        <w:t xml:space="preserve">that of </w:t>
      </w:r>
      <w:r w:rsidRPr="00CE4F66">
        <w:rPr>
          <w:rFonts w:ascii="GHEA Grapalat" w:hAnsi="GHEA Grapalat"/>
          <w:b/>
          <w:i/>
          <w:sz w:val="20"/>
          <w:szCs w:val="20"/>
        </w:rPr>
        <w:t xml:space="preserve">partner countries is </w:t>
      </w:r>
      <w:r>
        <w:rPr>
          <w:rFonts w:ascii="GHEA Grapalat" w:hAnsi="GHEA Grapalat"/>
          <w:b/>
          <w:i/>
          <w:sz w:val="20"/>
          <w:szCs w:val="20"/>
        </w:rPr>
        <w:t xml:space="preserve">anticipated to </w:t>
      </w:r>
      <w:r w:rsidRPr="00CE4F66">
        <w:rPr>
          <w:rFonts w:ascii="GHEA Grapalat" w:hAnsi="GHEA Grapalat"/>
          <w:b/>
          <w:i/>
          <w:sz w:val="20"/>
          <w:szCs w:val="20"/>
        </w:rPr>
        <w:t xml:space="preserve">be slower </w:t>
      </w:r>
      <w:r>
        <w:rPr>
          <w:rFonts w:ascii="GHEA Grapalat" w:hAnsi="GHEA Grapalat"/>
          <w:b/>
          <w:i/>
          <w:sz w:val="20"/>
          <w:szCs w:val="20"/>
        </w:rPr>
        <w:t xml:space="preserve">also </w:t>
      </w:r>
      <w:r w:rsidRPr="00CE4F66">
        <w:rPr>
          <w:rFonts w:ascii="GHEA Grapalat" w:hAnsi="GHEA Grapalat"/>
          <w:b/>
          <w:i/>
          <w:sz w:val="20"/>
          <w:szCs w:val="20"/>
        </w:rPr>
        <w:t>in the medium term.</w:t>
      </w:r>
      <w:r>
        <w:rPr>
          <w:rFonts w:ascii="GHEA Grapalat" w:hAnsi="GHEA Grapalat"/>
          <w:b/>
          <w:i/>
          <w:sz w:val="20"/>
          <w:szCs w:val="20"/>
        </w:rPr>
        <w:t xml:space="preserve"> </w:t>
      </w:r>
    </w:p>
    <w:p w14:paraId="6369EAE4" w14:textId="77777777" w:rsidR="004F213F" w:rsidRPr="003D0292" w:rsidRDefault="004F213F" w:rsidP="004F213F">
      <w:pPr>
        <w:spacing w:before="120" w:line="340" w:lineRule="atLeast"/>
        <w:ind w:firstLine="284"/>
        <w:rPr>
          <w:rFonts w:ascii="GHEA Grapalat" w:hAnsi="GHEA Grapalat"/>
          <w:sz w:val="20"/>
          <w:szCs w:val="20"/>
          <w:lang w:val="hy-AM"/>
        </w:rPr>
      </w:pPr>
      <w:r w:rsidRPr="00F535EF">
        <w:rPr>
          <w:rFonts w:ascii="GHEA Grapalat" w:hAnsi="GHEA Grapalat"/>
          <w:b/>
          <w:i/>
          <w:sz w:val="20"/>
          <w:szCs w:val="20"/>
        </w:rPr>
        <w:t>Economic developments in the United States:</w:t>
      </w:r>
      <w:r w:rsidRPr="00B02DC0">
        <w:rPr>
          <w:rFonts w:ascii="GHEA Grapalat" w:hAnsi="GHEA Grapalat"/>
          <w:sz w:val="20"/>
          <w:szCs w:val="20"/>
        </w:rPr>
        <w:t xml:space="preserve"> According to the U.S. Bureau of Economic Analysis estimate, economic growth in the USA in the f</w:t>
      </w:r>
      <w:r>
        <w:rPr>
          <w:rFonts w:ascii="GHEA Grapalat" w:hAnsi="GHEA Grapalat"/>
          <w:sz w:val="20"/>
          <w:szCs w:val="20"/>
        </w:rPr>
        <w:t xml:space="preserve">irst </w:t>
      </w:r>
      <w:r w:rsidRPr="00B02DC0">
        <w:rPr>
          <w:rFonts w:ascii="GHEA Grapalat" w:hAnsi="GHEA Grapalat"/>
          <w:sz w:val="20"/>
          <w:szCs w:val="20"/>
        </w:rPr>
        <w:t>quarter of 20</w:t>
      </w:r>
      <w:r>
        <w:rPr>
          <w:rFonts w:ascii="GHEA Grapalat" w:hAnsi="GHEA Grapalat"/>
          <w:sz w:val="20"/>
          <w:szCs w:val="20"/>
        </w:rPr>
        <w:t>20</w:t>
      </w:r>
      <w:r w:rsidRPr="00B02DC0">
        <w:rPr>
          <w:rFonts w:ascii="GHEA Grapalat" w:hAnsi="GHEA Grapalat"/>
          <w:sz w:val="20"/>
          <w:szCs w:val="20"/>
        </w:rPr>
        <w:t xml:space="preserve"> was </w:t>
      </w:r>
      <w:r>
        <w:rPr>
          <w:rFonts w:ascii="GHEA Grapalat" w:hAnsi="GHEA Grapalat"/>
          <w:sz w:val="20"/>
          <w:szCs w:val="20"/>
        </w:rPr>
        <w:t>a mere 0</w:t>
      </w:r>
      <w:r w:rsidRPr="00B02DC0">
        <w:rPr>
          <w:rFonts w:ascii="GHEA Grapalat" w:hAnsi="GHEA Grapalat"/>
          <w:sz w:val="20"/>
          <w:szCs w:val="20"/>
        </w:rPr>
        <w:t>.</w:t>
      </w:r>
      <w:r>
        <w:rPr>
          <w:rFonts w:ascii="GHEA Grapalat" w:hAnsi="GHEA Grapalat"/>
          <w:sz w:val="20"/>
          <w:szCs w:val="20"/>
        </w:rPr>
        <w:t>25</w:t>
      </w:r>
      <w:r w:rsidRPr="00B02DC0">
        <w:rPr>
          <w:rFonts w:ascii="GHEA Grapalat" w:hAnsi="GHEA Grapalat"/>
          <w:sz w:val="20"/>
          <w:szCs w:val="20"/>
        </w:rPr>
        <w:t xml:space="preserve">% y/y, </w:t>
      </w:r>
      <w:r>
        <w:rPr>
          <w:rFonts w:ascii="GHEA Grapalat" w:hAnsi="GHEA Grapalat"/>
          <w:sz w:val="20"/>
          <w:szCs w:val="20"/>
        </w:rPr>
        <w:t xml:space="preserve">determined </w:t>
      </w:r>
      <w:r w:rsidRPr="00B02DC0">
        <w:rPr>
          <w:rFonts w:ascii="GHEA Grapalat" w:hAnsi="GHEA Grapalat"/>
          <w:sz w:val="20"/>
          <w:szCs w:val="20"/>
        </w:rPr>
        <w:t xml:space="preserve">mainly by </w:t>
      </w:r>
      <w:r>
        <w:rPr>
          <w:rFonts w:ascii="GHEA Grapalat" w:hAnsi="GHEA Grapalat"/>
          <w:sz w:val="20"/>
          <w:szCs w:val="20"/>
        </w:rPr>
        <w:t>t</w:t>
      </w:r>
      <w:r w:rsidRPr="000925B0">
        <w:rPr>
          <w:rFonts w:ascii="GHEA Grapalat" w:hAnsi="GHEA Grapalat"/>
          <w:sz w:val="20"/>
          <w:szCs w:val="20"/>
        </w:rPr>
        <w:t>he US government</w:t>
      </w:r>
      <w:r>
        <w:rPr>
          <w:rFonts w:ascii="GHEA Grapalat" w:hAnsi="GHEA Grapalat"/>
          <w:sz w:val="20"/>
          <w:szCs w:val="20"/>
        </w:rPr>
        <w:t>’s</w:t>
      </w:r>
      <w:r w:rsidRPr="000925B0">
        <w:rPr>
          <w:rFonts w:ascii="GHEA Grapalat" w:hAnsi="GHEA Grapalat"/>
          <w:sz w:val="20"/>
          <w:szCs w:val="20"/>
        </w:rPr>
        <w:t xml:space="preserve"> </w:t>
      </w:r>
      <w:r>
        <w:rPr>
          <w:rFonts w:ascii="GHEA Grapalat" w:hAnsi="GHEA Grapalat"/>
          <w:sz w:val="20"/>
          <w:szCs w:val="20"/>
        </w:rPr>
        <w:t>action</w:t>
      </w:r>
      <w:r w:rsidRPr="000925B0">
        <w:rPr>
          <w:rFonts w:ascii="GHEA Grapalat" w:hAnsi="GHEA Grapalat"/>
          <w:sz w:val="20"/>
          <w:szCs w:val="20"/>
        </w:rPr>
        <w:t>s</w:t>
      </w:r>
      <w:r>
        <w:rPr>
          <w:rFonts w:ascii="GHEA Grapalat" w:hAnsi="GHEA Grapalat"/>
          <w:sz w:val="20"/>
          <w:szCs w:val="20"/>
        </w:rPr>
        <w:t xml:space="preserve"> </w:t>
      </w:r>
      <w:r w:rsidRPr="000925B0">
        <w:rPr>
          <w:rFonts w:ascii="GHEA Grapalat" w:hAnsi="GHEA Grapalat"/>
          <w:sz w:val="20"/>
          <w:szCs w:val="20"/>
        </w:rPr>
        <w:t xml:space="preserve">to prevent the spread of the </w:t>
      </w:r>
      <w:r>
        <w:rPr>
          <w:rFonts w:ascii="GHEA Grapalat" w:hAnsi="GHEA Grapalat"/>
          <w:sz w:val="20"/>
          <w:szCs w:val="20"/>
        </w:rPr>
        <w:t xml:space="preserve">pandemic </w:t>
      </w:r>
      <w:r w:rsidRPr="000925B0">
        <w:rPr>
          <w:rFonts w:ascii="GHEA Grapalat" w:hAnsi="GHEA Grapalat"/>
          <w:sz w:val="20"/>
          <w:szCs w:val="20"/>
        </w:rPr>
        <w:t>since March.</w:t>
      </w:r>
      <w:r>
        <w:rPr>
          <w:rFonts w:ascii="GHEA Grapalat" w:hAnsi="GHEA Grapalat"/>
          <w:sz w:val="20"/>
          <w:szCs w:val="20"/>
        </w:rPr>
        <w:t xml:space="preserve"> I</w:t>
      </w:r>
      <w:r w:rsidRPr="00216E75">
        <w:rPr>
          <w:rFonts w:ascii="GHEA Grapalat" w:hAnsi="GHEA Grapalat"/>
          <w:sz w:val="20"/>
          <w:szCs w:val="20"/>
        </w:rPr>
        <w:t>n the first quarter of</w:t>
      </w:r>
      <w:r>
        <w:rPr>
          <w:rFonts w:ascii="GHEA Grapalat" w:hAnsi="GHEA Grapalat"/>
          <w:sz w:val="20"/>
          <w:szCs w:val="20"/>
        </w:rPr>
        <w:t xml:space="preserve"> 2020 the u</w:t>
      </w:r>
      <w:r w:rsidRPr="00216E75">
        <w:rPr>
          <w:rFonts w:ascii="GHEA Grapalat" w:hAnsi="GHEA Grapalat"/>
          <w:sz w:val="20"/>
          <w:szCs w:val="20"/>
        </w:rPr>
        <w:t xml:space="preserve">nemployment </w:t>
      </w:r>
      <w:r>
        <w:rPr>
          <w:rFonts w:ascii="GHEA Grapalat" w:hAnsi="GHEA Grapalat"/>
          <w:sz w:val="20"/>
          <w:szCs w:val="20"/>
        </w:rPr>
        <w:t xml:space="preserve">rate </w:t>
      </w:r>
      <w:r w:rsidRPr="00216E75">
        <w:rPr>
          <w:rFonts w:ascii="GHEA Grapalat" w:hAnsi="GHEA Grapalat"/>
          <w:sz w:val="20"/>
          <w:szCs w:val="20"/>
        </w:rPr>
        <w:t xml:space="preserve">rose slightly to 3.8% from 3.5% </w:t>
      </w:r>
      <w:r>
        <w:rPr>
          <w:rFonts w:ascii="GHEA Grapalat" w:hAnsi="GHEA Grapalat"/>
          <w:sz w:val="20"/>
          <w:szCs w:val="20"/>
        </w:rPr>
        <w:t xml:space="preserve">reported </w:t>
      </w:r>
      <w:r w:rsidRPr="00216E75">
        <w:rPr>
          <w:rFonts w:ascii="GHEA Grapalat" w:hAnsi="GHEA Grapalat"/>
          <w:sz w:val="20"/>
          <w:szCs w:val="20"/>
        </w:rPr>
        <w:t xml:space="preserve">in the fourth quarter of last year, and in April, </w:t>
      </w:r>
      <w:r>
        <w:rPr>
          <w:rFonts w:ascii="GHEA Grapalat" w:hAnsi="GHEA Grapalat"/>
          <w:sz w:val="20"/>
          <w:szCs w:val="20"/>
        </w:rPr>
        <w:t xml:space="preserve">in the middle of </w:t>
      </w:r>
      <w:r w:rsidRPr="00216E75">
        <w:rPr>
          <w:rFonts w:ascii="GHEA Grapalat" w:hAnsi="GHEA Grapalat"/>
          <w:sz w:val="20"/>
          <w:szCs w:val="20"/>
        </w:rPr>
        <w:t xml:space="preserve">full restrictions, </w:t>
      </w:r>
      <w:r>
        <w:rPr>
          <w:rFonts w:ascii="GHEA Grapalat" w:hAnsi="GHEA Grapalat"/>
          <w:sz w:val="20"/>
          <w:szCs w:val="20"/>
        </w:rPr>
        <w:t xml:space="preserve">the </w:t>
      </w:r>
      <w:r w:rsidRPr="00216E75">
        <w:rPr>
          <w:rFonts w:ascii="GHEA Grapalat" w:hAnsi="GHEA Grapalat"/>
          <w:sz w:val="20"/>
          <w:szCs w:val="20"/>
        </w:rPr>
        <w:t xml:space="preserve">unemployment </w:t>
      </w:r>
      <w:r>
        <w:rPr>
          <w:rFonts w:ascii="GHEA Grapalat" w:hAnsi="GHEA Grapalat"/>
          <w:sz w:val="20"/>
          <w:szCs w:val="20"/>
        </w:rPr>
        <w:t xml:space="preserve">went up </w:t>
      </w:r>
      <w:r w:rsidRPr="00216E75">
        <w:rPr>
          <w:rFonts w:ascii="GHEA Grapalat" w:hAnsi="GHEA Grapalat"/>
          <w:sz w:val="20"/>
          <w:szCs w:val="20"/>
        </w:rPr>
        <w:t xml:space="preserve">sharply to 14.4%. In 2020, with the global economy </w:t>
      </w:r>
      <w:r>
        <w:rPr>
          <w:rFonts w:ascii="GHEA Grapalat" w:hAnsi="GHEA Grapalat"/>
          <w:sz w:val="20"/>
          <w:szCs w:val="20"/>
        </w:rPr>
        <w:t>reducing</w:t>
      </w:r>
      <w:r w:rsidRPr="00216E75">
        <w:rPr>
          <w:rFonts w:ascii="GHEA Grapalat" w:hAnsi="GHEA Grapalat"/>
          <w:sz w:val="20"/>
          <w:szCs w:val="20"/>
        </w:rPr>
        <w:t>, the US economy is pr</w:t>
      </w:r>
      <w:r>
        <w:rPr>
          <w:rFonts w:ascii="GHEA Grapalat" w:hAnsi="GHEA Grapalat"/>
          <w:sz w:val="20"/>
          <w:szCs w:val="20"/>
        </w:rPr>
        <w:t xml:space="preserve">edicted </w:t>
      </w:r>
      <w:r w:rsidRPr="00216E75">
        <w:rPr>
          <w:rFonts w:ascii="GHEA Grapalat" w:hAnsi="GHEA Grapalat"/>
          <w:sz w:val="20"/>
          <w:szCs w:val="20"/>
        </w:rPr>
        <w:t xml:space="preserve">to </w:t>
      </w:r>
      <w:r>
        <w:rPr>
          <w:rFonts w:ascii="GHEA Grapalat" w:hAnsi="GHEA Grapalat"/>
          <w:sz w:val="20"/>
          <w:szCs w:val="20"/>
        </w:rPr>
        <w:t>slump</w:t>
      </w:r>
      <w:r w:rsidRPr="00216E75">
        <w:rPr>
          <w:rFonts w:ascii="GHEA Grapalat" w:hAnsi="GHEA Grapalat"/>
          <w:sz w:val="20"/>
          <w:szCs w:val="20"/>
        </w:rPr>
        <w:t xml:space="preserve"> by 6.2%</w:t>
      </w:r>
      <w:r>
        <w:rPr>
          <w:rFonts w:ascii="GHEA Grapalat" w:hAnsi="GHEA Grapalat"/>
          <w:sz w:val="20"/>
          <w:szCs w:val="20"/>
        </w:rPr>
        <w:t xml:space="preserve">; </w:t>
      </w:r>
      <w:r w:rsidRPr="00216E75">
        <w:rPr>
          <w:rFonts w:ascii="GHEA Grapalat" w:hAnsi="GHEA Grapalat"/>
          <w:sz w:val="20"/>
          <w:szCs w:val="20"/>
        </w:rPr>
        <w:t>the risks are m</w:t>
      </w:r>
      <w:r>
        <w:rPr>
          <w:rFonts w:ascii="GHEA Grapalat" w:hAnsi="GHEA Grapalat"/>
          <w:sz w:val="20"/>
          <w:szCs w:val="20"/>
        </w:rPr>
        <w:t xml:space="preserve">ostly downside </w:t>
      </w:r>
      <w:r w:rsidRPr="00216E75">
        <w:rPr>
          <w:rFonts w:ascii="GHEA Grapalat" w:hAnsi="GHEA Grapalat"/>
          <w:sz w:val="20"/>
          <w:szCs w:val="20"/>
        </w:rPr>
        <w:t xml:space="preserve">due to </w:t>
      </w:r>
      <w:r>
        <w:rPr>
          <w:rFonts w:ascii="GHEA Grapalat" w:hAnsi="GHEA Grapalat"/>
          <w:sz w:val="20"/>
          <w:szCs w:val="20"/>
        </w:rPr>
        <w:t>high u</w:t>
      </w:r>
      <w:r w:rsidRPr="00216E75">
        <w:rPr>
          <w:rFonts w:ascii="GHEA Grapalat" w:hAnsi="GHEA Grapalat"/>
          <w:sz w:val="20"/>
          <w:szCs w:val="20"/>
        </w:rPr>
        <w:t>ncertainty</w:t>
      </w:r>
      <w:r>
        <w:rPr>
          <w:rFonts w:ascii="GHEA Grapalat" w:hAnsi="GHEA Grapalat"/>
          <w:sz w:val="20"/>
          <w:szCs w:val="20"/>
        </w:rPr>
        <w:t xml:space="preserve"> </w:t>
      </w:r>
      <w:proofErr w:type="gramStart"/>
      <w:r>
        <w:rPr>
          <w:rFonts w:ascii="GHEA Grapalat" w:hAnsi="GHEA Grapalat"/>
          <w:sz w:val="20"/>
          <w:szCs w:val="20"/>
        </w:rPr>
        <w:t>at the moment</w:t>
      </w:r>
      <w:proofErr w:type="gramEnd"/>
      <w:r w:rsidRPr="00216E75">
        <w:rPr>
          <w:rFonts w:ascii="GHEA Grapalat" w:hAnsi="GHEA Grapalat"/>
          <w:sz w:val="20"/>
          <w:szCs w:val="20"/>
        </w:rPr>
        <w:t>.</w:t>
      </w:r>
      <w:r>
        <w:rPr>
          <w:rFonts w:ascii="GHEA Grapalat" w:hAnsi="GHEA Grapalat"/>
          <w:sz w:val="20"/>
          <w:szCs w:val="20"/>
        </w:rPr>
        <w:t xml:space="preserve"> </w:t>
      </w:r>
    </w:p>
    <w:p w14:paraId="71651713" w14:textId="77777777" w:rsidR="004F213F" w:rsidRPr="003D0292" w:rsidRDefault="004F213F" w:rsidP="004F213F">
      <w:pPr>
        <w:spacing w:line="340" w:lineRule="atLeast"/>
        <w:ind w:firstLine="284"/>
        <w:rPr>
          <w:rFonts w:ascii="GHEA Grapalat" w:hAnsi="GHEA Grapalat"/>
          <w:sz w:val="20"/>
          <w:szCs w:val="20"/>
          <w:lang w:val="hy-AM"/>
        </w:rPr>
      </w:pPr>
      <w:r w:rsidRPr="00B02DC0">
        <w:rPr>
          <w:rFonts w:ascii="GHEA Grapalat" w:hAnsi="GHEA Grapalat"/>
          <w:sz w:val="20"/>
          <w:szCs w:val="20"/>
        </w:rPr>
        <w:t>In the USA in the f</w:t>
      </w:r>
      <w:r>
        <w:rPr>
          <w:rFonts w:ascii="GHEA Grapalat" w:hAnsi="GHEA Grapalat"/>
          <w:sz w:val="20"/>
          <w:szCs w:val="20"/>
        </w:rPr>
        <w:t>irst</w:t>
      </w:r>
      <w:r w:rsidRPr="00B02DC0">
        <w:rPr>
          <w:rFonts w:ascii="GHEA Grapalat" w:hAnsi="GHEA Grapalat"/>
          <w:sz w:val="20"/>
          <w:szCs w:val="20"/>
        </w:rPr>
        <w:t xml:space="preserve"> quarter of 20</w:t>
      </w:r>
      <w:r>
        <w:rPr>
          <w:rFonts w:ascii="GHEA Grapalat" w:hAnsi="GHEA Grapalat"/>
          <w:sz w:val="20"/>
          <w:szCs w:val="20"/>
        </w:rPr>
        <w:t>20</w:t>
      </w:r>
      <w:r w:rsidRPr="00B02DC0">
        <w:rPr>
          <w:rFonts w:ascii="GHEA Grapalat" w:hAnsi="GHEA Grapalat"/>
          <w:sz w:val="20"/>
          <w:szCs w:val="20"/>
        </w:rPr>
        <w:t xml:space="preserve">, the quarterly </w:t>
      </w:r>
      <w:r w:rsidRPr="00B02DC0">
        <w:rPr>
          <w:rFonts w:ascii="GHEA Grapalat" w:hAnsi="GHEA Grapalat" w:cs="Arial"/>
          <w:color w:val="222222"/>
          <w:sz w:val="20"/>
          <w:szCs w:val="20"/>
          <w:shd w:val="clear" w:color="auto" w:fill="FFFFFF"/>
        </w:rPr>
        <w:t>personal consumption expenditure price index</w:t>
      </w:r>
      <w:r>
        <w:rPr>
          <w:rStyle w:val="FootnoteReference"/>
          <w:rFonts w:ascii="GHEA Grapalat" w:hAnsi="GHEA Grapalat" w:cs="Arial"/>
          <w:color w:val="222222"/>
          <w:shd w:val="clear" w:color="auto" w:fill="FFFFFF"/>
        </w:rPr>
        <w:footnoteReference w:customMarkFollows="1" w:id="1"/>
        <w:t>2</w:t>
      </w:r>
      <w:r w:rsidRPr="00B02DC0">
        <w:rPr>
          <w:rFonts w:ascii="GHEA Grapalat" w:hAnsi="GHEA Grapalat" w:cs="Arial"/>
          <w:color w:val="222222"/>
          <w:sz w:val="20"/>
          <w:szCs w:val="20"/>
          <w:shd w:val="clear" w:color="auto" w:fill="FFFFFF"/>
        </w:rPr>
        <w:t xml:space="preserve"> a</w:t>
      </w:r>
      <w:r>
        <w:rPr>
          <w:rFonts w:ascii="GHEA Grapalat" w:hAnsi="GHEA Grapalat" w:cs="Arial"/>
          <w:color w:val="222222"/>
          <w:sz w:val="20"/>
          <w:szCs w:val="20"/>
          <w:shd w:val="clear" w:color="auto" w:fill="FFFFFF"/>
        </w:rPr>
        <w:t xml:space="preserve">mounted to </w:t>
      </w:r>
      <w:r w:rsidRPr="00B02DC0">
        <w:rPr>
          <w:rFonts w:ascii="GHEA Grapalat" w:hAnsi="GHEA Grapalat"/>
          <w:sz w:val="20"/>
          <w:szCs w:val="20"/>
        </w:rPr>
        <w:t>1.</w:t>
      </w:r>
      <w:r>
        <w:rPr>
          <w:rFonts w:ascii="GHEA Grapalat" w:hAnsi="GHEA Grapalat"/>
          <w:sz w:val="20"/>
          <w:szCs w:val="20"/>
        </w:rPr>
        <w:t>6</w:t>
      </w:r>
      <w:r w:rsidRPr="00B02DC0">
        <w:rPr>
          <w:rFonts w:ascii="GHEA Grapalat" w:hAnsi="GHEA Grapalat"/>
          <w:sz w:val="20"/>
          <w:szCs w:val="20"/>
        </w:rPr>
        <w:t>%</w:t>
      </w:r>
      <w:r>
        <w:rPr>
          <w:rFonts w:ascii="GHEA Grapalat" w:hAnsi="GHEA Grapalat"/>
          <w:sz w:val="20"/>
          <w:szCs w:val="20"/>
        </w:rPr>
        <w:t xml:space="preserve"> y/y</w:t>
      </w:r>
      <w:r w:rsidRPr="00B02DC0">
        <w:rPr>
          <w:rFonts w:ascii="GHEA Grapalat" w:hAnsi="GHEA Grapalat"/>
          <w:sz w:val="20"/>
          <w:szCs w:val="20"/>
        </w:rPr>
        <w:t xml:space="preserve">, </w:t>
      </w:r>
      <w:r>
        <w:rPr>
          <w:rFonts w:ascii="GHEA Grapalat" w:hAnsi="GHEA Grapalat"/>
          <w:sz w:val="20"/>
          <w:szCs w:val="20"/>
        </w:rPr>
        <w:t xml:space="preserve">running </w:t>
      </w:r>
      <w:r w:rsidRPr="00B02DC0">
        <w:rPr>
          <w:rFonts w:ascii="GHEA Grapalat" w:hAnsi="GHEA Grapalat"/>
          <w:sz w:val="20"/>
          <w:szCs w:val="20"/>
        </w:rPr>
        <w:t>below the US Fed’s medium-term target</w:t>
      </w:r>
      <w:r>
        <w:rPr>
          <w:rFonts w:ascii="GHEA Grapalat" w:hAnsi="GHEA Grapalat"/>
          <w:sz w:val="20"/>
          <w:szCs w:val="20"/>
        </w:rPr>
        <w:t xml:space="preserve">, </w:t>
      </w:r>
      <w:r w:rsidRPr="002F3A7D">
        <w:rPr>
          <w:rFonts w:ascii="GHEA Grapalat" w:hAnsi="GHEA Grapalat"/>
          <w:sz w:val="20"/>
          <w:szCs w:val="20"/>
        </w:rPr>
        <w:t>and in April it slowed to 0.5%, mainly due to lower energy prices.</w:t>
      </w:r>
      <w:r w:rsidRPr="00B02DC0">
        <w:rPr>
          <w:rFonts w:ascii="GHEA Grapalat" w:hAnsi="GHEA Grapalat"/>
          <w:sz w:val="20"/>
          <w:szCs w:val="20"/>
        </w:rPr>
        <w:t xml:space="preserve"> Given current growth developments and </w:t>
      </w:r>
      <w:r>
        <w:rPr>
          <w:rFonts w:ascii="GHEA Grapalat" w:hAnsi="GHEA Grapalat"/>
          <w:sz w:val="20"/>
          <w:szCs w:val="20"/>
        </w:rPr>
        <w:t>persisting uncertainties</w:t>
      </w:r>
      <w:r w:rsidRPr="00B02DC0">
        <w:rPr>
          <w:rFonts w:ascii="GHEA Grapalat" w:hAnsi="GHEA Grapalat"/>
          <w:sz w:val="20"/>
          <w:szCs w:val="20"/>
        </w:rPr>
        <w:t xml:space="preserve">, the Fed </w:t>
      </w:r>
      <w:r>
        <w:rPr>
          <w:rFonts w:ascii="GHEA Grapalat" w:hAnsi="GHEA Grapalat"/>
          <w:sz w:val="20"/>
          <w:szCs w:val="20"/>
        </w:rPr>
        <w:t xml:space="preserve">cut the policy rate during the first quarter of 2020 first by 0.5 pp and then by another 1.0 pp, </w:t>
      </w:r>
      <w:r w:rsidRPr="00B02DC0">
        <w:rPr>
          <w:rFonts w:ascii="GHEA Grapalat" w:hAnsi="GHEA Grapalat"/>
          <w:sz w:val="20"/>
          <w:szCs w:val="20"/>
        </w:rPr>
        <w:t>setting it in the range of 0.0-0.25%, and announced a USD 700</w:t>
      </w:r>
      <w:r>
        <w:rPr>
          <w:rFonts w:ascii="GHEA Grapalat" w:hAnsi="GHEA Grapalat"/>
          <w:sz w:val="20"/>
          <w:szCs w:val="20"/>
        </w:rPr>
        <w:t>.0</w:t>
      </w:r>
      <w:r w:rsidRPr="00B02DC0">
        <w:rPr>
          <w:rFonts w:ascii="GHEA Grapalat" w:hAnsi="GHEA Grapalat"/>
          <w:sz w:val="20"/>
          <w:szCs w:val="20"/>
        </w:rPr>
        <w:t xml:space="preserve"> billion-worth quantitative easing program.</w:t>
      </w:r>
      <w:r>
        <w:rPr>
          <w:rFonts w:ascii="GHEA Grapalat" w:hAnsi="GHEA Grapalat"/>
          <w:sz w:val="20"/>
          <w:szCs w:val="20"/>
        </w:rPr>
        <w:t xml:space="preserve"> </w:t>
      </w:r>
      <w:r w:rsidRPr="00B02DC0">
        <w:rPr>
          <w:rFonts w:ascii="GHEA Grapalat" w:hAnsi="GHEA Grapalat"/>
          <w:sz w:val="20"/>
          <w:szCs w:val="20"/>
        </w:rPr>
        <w:t xml:space="preserve">The policy rate </w:t>
      </w:r>
      <w:proofErr w:type="gramStart"/>
      <w:r w:rsidRPr="00B02DC0">
        <w:rPr>
          <w:rFonts w:ascii="GHEA Grapalat" w:hAnsi="GHEA Grapalat"/>
          <w:sz w:val="20"/>
          <w:szCs w:val="20"/>
        </w:rPr>
        <w:t>cut</w:t>
      </w:r>
      <w:proofErr w:type="gramEnd"/>
      <w:r>
        <w:rPr>
          <w:rFonts w:ascii="GHEA Grapalat" w:hAnsi="GHEA Grapalat"/>
          <w:sz w:val="20"/>
          <w:szCs w:val="20"/>
        </w:rPr>
        <w:t xml:space="preserve"> and the adoption of QE</w:t>
      </w:r>
      <w:r w:rsidRPr="00B02DC0">
        <w:rPr>
          <w:rFonts w:ascii="GHEA Grapalat" w:hAnsi="GHEA Grapalat"/>
          <w:sz w:val="20"/>
          <w:szCs w:val="20"/>
        </w:rPr>
        <w:t xml:space="preserve"> w</w:t>
      </w:r>
      <w:r>
        <w:rPr>
          <w:rFonts w:ascii="GHEA Grapalat" w:hAnsi="GHEA Grapalat"/>
          <w:sz w:val="20"/>
          <w:szCs w:val="20"/>
        </w:rPr>
        <w:t>ere</w:t>
      </w:r>
      <w:r w:rsidRPr="00B02DC0">
        <w:rPr>
          <w:rFonts w:ascii="GHEA Grapalat" w:hAnsi="GHEA Grapalat"/>
          <w:sz w:val="20"/>
          <w:szCs w:val="20"/>
        </w:rPr>
        <w:t xml:space="preserve"> </w:t>
      </w:r>
      <w:r>
        <w:rPr>
          <w:rFonts w:ascii="GHEA Grapalat" w:hAnsi="GHEA Grapalat"/>
          <w:sz w:val="20"/>
          <w:szCs w:val="20"/>
        </w:rPr>
        <w:t xml:space="preserve">steered to meet </w:t>
      </w:r>
      <w:r w:rsidRPr="00B02DC0">
        <w:rPr>
          <w:rFonts w:ascii="GHEA Grapalat" w:hAnsi="GHEA Grapalat"/>
          <w:sz w:val="20"/>
          <w:szCs w:val="20"/>
        </w:rPr>
        <w:t>high demand for liquidity by financial markets amid increasing economic uncertainties</w:t>
      </w:r>
      <w:r>
        <w:rPr>
          <w:rFonts w:ascii="GHEA Grapalat" w:hAnsi="GHEA Grapalat"/>
          <w:sz w:val="20"/>
          <w:szCs w:val="20"/>
        </w:rPr>
        <w:t xml:space="preserve"> due to the pandemic</w:t>
      </w:r>
      <w:r w:rsidRPr="00B02DC0">
        <w:rPr>
          <w:rFonts w:ascii="GHEA Grapalat" w:hAnsi="GHEA Grapalat"/>
          <w:sz w:val="20"/>
          <w:szCs w:val="20"/>
        </w:rPr>
        <w:t xml:space="preserve">. </w:t>
      </w:r>
      <w:r>
        <w:rPr>
          <w:rFonts w:ascii="GHEA Grapalat" w:hAnsi="GHEA Grapalat"/>
          <w:sz w:val="20"/>
          <w:szCs w:val="20"/>
        </w:rPr>
        <w:t xml:space="preserve">It is expected that April’s </w:t>
      </w:r>
      <w:r w:rsidRPr="00B02DC0">
        <w:rPr>
          <w:rFonts w:ascii="GHEA Grapalat" w:hAnsi="GHEA Grapalat"/>
          <w:sz w:val="20"/>
          <w:szCs w:val="20"/>
        </w:rPr>
        <w:t>inflation</w:t>
      </w:r>
      <w:r>
        <w:rPr>
          <w:rFonts w:ascii="GHEA Grapalat" w:hAnsi="GHEA Grapalat"/>
          <w:sz w:val="20"/>
          <w:szCs w:val="20"/>
        </w:rPr>
        <w:t xml:space="preserve">, which was low because of </w:t>
      </w:r>
      <w:r w:rsidRPr="00B02DC0">
        <w:rPr>
          <w:rFonts w:ascii="GHEA Grapalat" w:hAnsi="GHEA Grapalat"/>
          <w:sz w:val="20"/>
          <w:szCs w:val="20"/>
        </w:rPr>
        <w:t>fall</w:t>
      </w:r>
      <w:r>
        <w:rPr>
          <w:rFonts w:ascii="GHEA Grapalat" w:hAnsi="GHEA Grapalat"/>
          <w:sz w:val="20"/>
          <w:szCs w:val="20"/>
        </w:rPr>
        <w:t xml:space="preserve">en </w:t>
      </w:r>
      <w:r w:rsidRPr="00B02DC0">
        <w:rPr>
          <w:rFonts w:ascii="GHEA Grapalat" w:hAnsi="GHEA Grapalat"/>
          <w:sz w:val="20"/>
          <w:szCs w:val="20"/>
        </w:rPr>
        <w:t xml:space="preserve">commodity prices and </w:t>
      </w:r>
      <w:r>
        <w:rPr>
          <w:rFonts w:ascii="GHEA Grapalat" w:hAnsi="GHEA Grapalat"/>
          <w:sz w:val="20"/>
          <w:szCs w:val="20"/>
        </w:rPr>
        <w:t xml:space="preserve">weak </w:t>
      </w:r>
      <w:r w:rsidRPr="00B02DC0">
        <w:rPr>
          <w:rFonts w:ascii="GHEA Grapalat" w:hAnsi="GHEA Grapalat"/>
          <w:sz w:val="20"/>
          <w:szCs w:val="20"/>
        </w:rPr>
        <w:t>demand</w:t>
      </w:r>
      <w:r>
        <w:rPr>
          <w:rFonts w:ascii="GHEA Grapalat" w:hAnsi="GHEA Grapalat"/>
          <w:sz w:val="20"/>
          <w:szCs w:val="20"/>
        </w:rPr>
        <w:t xml:space="preserve">, will be persisting. </w:t>
      </w:r>
      <w:r w:rsidRPr="00B02DC0">
        <w:rPr>
          <w:rFonts w:ascii="GHEA Grapalat" w:hAnsi="GHEA Grapalat"/>
          <w:sz w:val="20"/>
          <w:szCs w:val="20"/>
        </w:rPr>
        <w:t>Given such developments in the economy, the US Federal Reserve will continue pursuing a low interest rate policy.</w:t>
      </w:r>
    </w:p>
    <w:p w14:paraId="4E332378" w14:textId="77777777" w:rsidR="004F213F" w:rsidRPr="003D0292" w:rsidRDefault="004F213F" w:rsidP="004F213F">
      <w:pPr>
        <w:spacing w:before="120" w:line="340" w:lineRule="exact"/>
        <w:ind w:firstLine="284"/>
        <w:rPr>
          <w:rFonts w:ascii="GHEA Grapalat" w:hAnsi="GHEA Grapalat"/>
          <w:sz w:val="20"/>
          <w:szCs w:val="20"/>
          <w:lang w:val="hy-AM"/>
        </w:rPr>
      </w:pPr>
      <w:r w:rsidRPr="00F535EF">
        <w:rPr>
          <w:rFonts w:ascii="GHEA Grapalat" w:hAnsi="GHEA Grapalat"/>
          <w:b/>
          <w:i/>
          <w:sz w:val="20"/>
          <w:szCs w:val="20"/>
        </w:rPr>
        <w:t>Economic developments in the Eurozone:</w:t>
      </w:r>
      <w:r>
        <w:rPr>
          <w:rFonts w:ascii="GHEA Grapalat" w:hAnsi="GHEA Grapalat"/>
          <w:sz w:val="20"/>
          <w:szCs w:val="20"/>
        </w:rPr>
        <w:t xml:space="preserve">  </w:t>
      </w:r>
      <w:r w:rsidRPr="005200B5">
        <w:rPr>
          <w:rFonts w:ascii="GHEA Grapalat" w:hAnsi="GHEA Grapalat"/>
          <w:sz w:val="20"/>
          <w:szCs w:val="20"/>
        </w:rPr>
        <w:t xml:space="preserve">The measures taken </w:t>
      </w:r>
      <w:r>
        <w:rPr>
          <w:rFonts w:ascii="GHEA Grapalat" w:hAnsi="GHEA Grapalat"/>
          <w:sz w:val="20"/>
          <w:szCs w:val="20"/>
        </w:rPr>
        <w:t xml:space="preserve">against the outbreak of </w:t>
      </w:r>
      <w:r w:rsidRPr="005200B5">
        <w:rPr>
          <w:rFonts w:ascii="GHEA Grapalat" w:hAnsi="GHEA Grapalat"/>
          <w:sz w:val="20"/>
          <w:szCs w:val="20"/>
        </w:rPr>
        <w:t xml:space="preserve">coronavirus and its spread have </w:t>
      </w:r>
      <w:r>
        <w:rPr>
          <w:rFonts w:ascii="GHEA Grapalat" w:hAnsi="GHEA Grapalat"/>
          <w:sz w:val="20"/>
          <w:szCs w:val="20"/>
        </w:rPr>
        <w:t xml:space="preserve">had a considerable </w:t>
      </w:r>
      <w:r w:rsidRPr="005200B5">
        <w:rPr>
          <w:rFonts w:ascii="GHEA Grapalat" w:hAnsi="GHEA Grapalat"/>
          <w:sz w:val="20"/>
          <w:szCs w:val="20"/>
        </w:rPr>
        <w:t>i</w:t>
      </w:r>
      <w:r>
        <w:rPr>
          <w:rFonts w:ascii="GHEA Grapalat" w:hAnsi="GHEA Grapalat"/>
          <w:sz w:val="20"/>
          <w:szCs w:val="20"/>
        </w:rPr>
        <w:t xml:space="preserve">mpact </w:t>
      </w:r>
      <w:r w:rsidRPr="005200B5">
        <w:rPr>
          <w:rFonts w:ascii="GHEA Grapalat" w:hAnsi="GHEA Grapalat"/>
          <w:sz w:val="20"/>
          <w:szCs w:val="20"/>
        </w:rPr>
        <w:t xml:space="preserve">on the economic activity </w:t>
      </w:r>
      <w:r>
        <w:rPr>
          <w:rFonts w:ascii="GHEA Grapalat" w:hAnsi="GHEA Grapalat"/>
          <w:sz w:val="20"/>
          <w:szCs w:val="20"/>
        </w:rPr>
        <w:t xml:space="preserve">in </w:t>
      </w:r>
      <w:r w:rsidRPr="005200B5">
        <w:rPr>
          <w:rFonts w:ascii="GHEA Grapalat" w:hAnsi="GHEA Grapalat"/>
          <w:sz w:val="20"/>
          <w:szCs w:val="20"/>
        </w:rPr>
        <w:t>the Eurozone.</w:t>
      </w:r>
      <w:r>
        <w:rPr>
          <w:rFonts w:ascii="GHEA Grapalat" w:hAnsi="GHEA Grapalat"/>
          <w:sz w:val="20"/>
          <w:szCs w:val="20"/>
        </w:rPr>
        <w:t xml:space="preserve"> A</w:t>
      </w:r>
      <w:r w:rsidRPr="00B02DC0">
        <w:rPr>
          <w:rFonts w:ascii="GHEA Grapalat" w:hAnsi="GHEA Grapalat"/>
          <w:sz w:val="20"/>
          <w:szCs w:val="20"/>
        </w:rPr>
        <w:t>ccording to preliminary estimates by the Eurostat, economic growth in the</w:t>
      </w:r>
      <w:r w:rsidRPr="00B02DC0">
        <w:rPr>
          <w:rFonts w:ascii="GHEA Grapalat" w:hAnsi="GHEA Grapalat"/>
          <w:sz w:val="20"/>
          <w:szCs w:val="20"/>
          <w:lang w:val="hy-AM"/>
        </w:rPr>
        <w:t xml:space="preserve"> </w:t>
      </w:r>
      <w:r w:rsidRPr="00B02DC0">
        <w:rPr>
          <w:rFonts w:ascii="GHEA Grapalat" w:hAnsi="GHEA Grapalat"/>
          <w:sz w:val="20"/>
          <w:szCs w:val="20"/>
        </w:rPr>
        <w:t>Eurozone</w:t>
      </w:r>
      <w:r w:rsidRPr="00B02DC0">
        <w:rPr>
          <w:rFonts w:ascii="GHEA Grapalat" w:hAnsi="GHEA Grapalat"/>
          <w:b/>
          <w:sz w:val="20"/>
          <w:szCs w:val="20"/>
          <w:lang w:val="hy-AM"/>
        </w:rPr>
        <w:t xml:space="preserve"> </w:t>
      </w:r>
      <w:r w:rsidRPr="00B02DC0">
        <w:rPr>
          <w:rFonts w:ascii="GHEA Grapalat" w:hAnsi="GHEA Grapalat"/>
          <w:sz w:val="20"/>
          <w:szCs w:val="20"/>
        </w:rPr>
        <w:t>in the f</w:t>
      </w:r>
      <w:r>
        <w:rPr>
          <w:rFonts w:ascii="GHEA Grapalat" w:hAnsi="GHEA Grapalat"/>
          <w:sz w:val="20"/>
          <w:szCs w:val="20"/>
        </w:rPr>
        <w:t>irst</w:t>
      </w:r>
      <w:r w:rsidRPr="00B02DC0">
        <w:rPr>
          <w:rFonts w:ascii="GHEA Grapalat" w:hAnsi="GHEA Grapalat"/>
          <w:sz w:val="20"/>
          <w:szCs w:val="20"/>
        </w:rPr>
        <w:t xml:space="preserve"> quarter of 20</w:t>
      </w:r>
      <w:r>
        <w:rPr>
          <w:rFonts w:ascii="GHEA Grapalat" w:hAnsi="GHEA Grapalat"/>
          <w:sz w:val="20"/>
          <w:szCs w:val="20"/>
        </w:rPr>
        <w:t>20</w:t>
      </w:r>
      <w:r w:rsidRPr="00B02DC0">
        <w:rPr>
          <w:rFonts w:ascii="GHEA Grapalat" w:hAnsi="GHEA Grapalat"/>
          <w:sz w:val="20"/>
          <w:szCs w:val="20"/>
          <w:lang w:val="hy-AM"/>
        </w:rPr>
        <w:t xml:space="preserve"> </w:t>
      </w:r>
      <w:r>
        <w:rPr>
          <w:rFonts w:ascii="GHEA Grapalat" w:hAnsi="GHEA Grapalat"/>
          <w:sz w:val="20"/>
          <w:szCs w:val="20"/>
        </w:rPr>
        <w:t>amounted to</w:t>
      </w:r>
      <w:r w:rsidRPr="00B02DC0">
        <w:rPr>
          <w:rFonts w:ascii="GHEA Grapalat" w:hAnsi="GHEA Grapalat"/>
          <w:sz w:val="20"/>
          <w:szCs w:val="20"/>
        </w:rPr>
        <w:t xml:space="preserve"> </w:t>
      </w:r>
      <w:r>
        <w:rPr>
          <w:rFonts w:ascii="GHEA Grapalat" w:hAnsi="GHEA Grapalat"/>
          <w:sz w:val="20"/>
          <w:szCs w:val="20"/>
        </w:rPr>
        <w:t>-3</w:t>
      </w:r>
      <w:r w:rsidRPr="00B02DC0">
        <w:rPr>
          <w:rFonts w:ascii="GHEA Grapalat" w:hAnsi="GHEA Grapalat"/>
          <w:sz w:val="20"/>
          <w:szCs w:val="20"/>
        </w:rPr>
        <w:t>.</w:t>
      </w:r>
      <w:r>
        <w:rPr>
          <w:rFonts w:ascii="GHEA Grapalat" w:hAnsi="GHEA Grapalat"/>
          <w:sz w:val="20"/>
          <w:szCs w:val="20"/>
        </w:rPr>
        <w:t>2</w:t>
      </w:r>
      <w:r w:rsidRPr="00B02DC0">
        <w:rPr>
          <w:rFonts w:ascii="GHEA Grapalat" w:hAnsi="GHEA Grapalat"/>
          <w:sz w:val="20"/>
          <w:szCs w:val="20"/>
        </w:rPr>
        <w:t>% y/y</w:t>
      </w:r>
      <w:r>
        <w:rPr>
          <w:rFonts w:ascii="GHEA Grapalat" w:hAnsi="GHEA Grapalat"/>
          <w:sz w:val="20"/>
          <w:szCs w:val="20"/>
        </w:rPr>
        <w:t>. T</w:t>
      </w:r>
      <w:r w:rsidRPr="004D179C">
        <w:rPr>
          <w:rFonts w:ascii="GHEA Grapalat" w:hAnsi="GHEA Grapalat"/>
          <w:sz w:val="20"/>
          <w:szCs w:val="20"/>
        </w:rPr>
        <w:t>he first quarter</w:t>
      </w:r>
      <w:r>
        <w:rPr>
          <w:rFonts w:ascii="GHEA Grapalat" w:hAnsi="GHEA Grapalat"/>
          <w:sz w:val="20"/>
          <w:szCs w:val="20"/>
        </w:rPr>
        <w:t xml:space="preserve">’s </w:t>
      </w:r>
      <w:r w:rsidRPr="004D179C">
        <w:rPr>
          <w:rFonts w:ascii="GHEA Grapalat" w:hAnsi="GHEA Grapalat"/>
          <w:sz w:val="20"/>
          <w:szCs w:val="20"/>
        </w:rPr>
        <w:t>economic d</w:t>
      </w:r>
      <w:r>
        <w:rPr>
          <w:rFonts w:ascii="GHEA Grapalat" w:hAnsi="GHEA Grapalat"/>
          <w:sz w:val="20"/>
          <w:szCs w:val="20"/>
        </w:rPr>
        <w:t xml:space="preserve">ecline </w:t>
      </w:r>
      <w:r w:rsidRPr="004D179C">
        <w:rPr>
          <w:rFonts w:ascii="GHEA Grapalat" w:hAnsi="GHEA Grapalat"/>
          <w:sz w:val="20"/>
          <w:szCs w:val="20"/>
        </w:rPr>
        <w:t xml:space="preserve">was due to </w:t>
      </w:r>
      <w:r>
        <w:rPr>
          <w:rFonts w:ascii="GHEA Grapalat" w:hAnsi="GHEA Grapalat"/>
          <w:sz w:val="20"/>
          <w:szCs w:val="20"/>
        </w:rPr>
        <w:t>sluggish d</w:t>
      </w:r>
      <w:r w:rsidRPr="004D179C">
        <w:rPr>
          <w:rFonts w:ascii="GHEA Grapalat" w:hAnsi="GHEA Grapalat"/>
          <w:sz w:val="20"/>
          <w:szCs w:val="20"/>
        </w:rPr>
        <w:t>omestic demand, while net foreign trade had a small positive effect. It is expected th</w:t>
      </w:r>
      <w:r>
        <w:rPr>
          <w:rFonts w:ascii="GHEA Grapalat" w:hAnsi="GHEA Grapalat"/>
          <w:sz w:val="20"/>
          <w:szCs w:val="20"/>
        </w:rPr>
        <w:t>at the heaviest impact of pandemic on the E</w:t>
      </w:r>
      <w:r w:rsidRPr="004D179C">
        <w:rPr>
          <w:rFonts w:ascii="GHEA Grapalat" w:hAnsi="GHEA Grapalat"/>
          <w:sz w:val="20"/>
          <w:szCs w:val="20"/>
        </w:rPr>
        <w:t xml:space="preserve">urozone economy will be </w:t>
      </w:r>
      <w:r>
        <w:rPr>
          <w:rFonts w:ascii="GHEA Grapalat" w:hAnsi="GHEA Grapalat"/>
          <w:sz w:val="20"/>
          <w:szCs w:val="20"/>
        </w:rPr>
        <w:t>observed in t</w:t>
      </w:r>
      <w:r w:rsidRPr="004D179C">
        <w:rPr>
          <w:rFonts w:ascii="GHEA Grapalat" w:hAnsi="GHEA Grapalat"/>
          <w:sz w:val="20"/>
          <w:szCs w:val="20"/>
        </w:rPr>
        <w:t>he second quarter</w:t>
      </w:r>
      <w:r>
        <w:rPr>
          <w:rFonts w:ascii="GHEA Grapalat" w:hAnsi="GHEA Grapalat"/>
          <w:sz w:val="20"/>
          <w:szCs w:val="20"/>
        </w:rPr>
        <w:t xml:space="preserve"> of 2020</w:t>
      </w:r>
      <w:r w:rsidRPr="004D179C">
        <w:rPr>
          <w:rFonts w:ascii="GHEA Grapalat" w:hAnsi="GHEA Grapalat"/>
          <w:sz w:val="20"/>
          <w:szCs w:val="20"/>
        </w:rPr>
        <w:t>,</w:t>
      </w:r>
      <w:r>
        <w:rPr>
          <w:rFonts w:ascii="GHEA Grapalat" w:hAnsi="GHEA Grapalat"/>
          <w:sz w:val="20"/>
          <w:szCs w:val="20"/>
        </w:rPr>
        <w:t xml:space="preserve"> and the 2020 </w:t>
      </w:r>
      <w:r w:rsidRPr="004D179C">
        <w:rPr>
          <w:rFonts w:ascii="GHEA Grapalat" w:hAnsi="GHEA Grapalat"/>
          <w:sz w:val="20"/>
          <w:szCs w:val="20"/>
        </w:rPr>
        <w:t xml:space="preserve">economic decline will </w:t>
      </w:r>
      <w:r>
        <w:rPr>
          <w:rFonts w:ascii="GHEA Grapalat" w:hAnsi="GHEA Grapalat"/>
          <w:sz w:val="20"/>
          <w:szCs w:val="20"/>
        </w:rPr>
        <w:t xml:space="preserve">reach </w:t>
      </w:r>
      <w:r w:rsidRPr="004D179C">
        <w:rPr>
          <w:rFonts w:ascii="GHEA Grapalat" w:hAnsi="GHEA Grapalat"/>
          <w:sz w:val="20"/>
          <w:szCs w:val="20"/>
        </w:rPr>
        <w:t xml:space="preserve">7.4%. </w:t>
      </w:r>
      <w:r>
        <w:rPr>
          <w:rFonts w:ascii="GHEA Grapalat" w:hAnsi="GHEA Grapalat"/>
          <w:sz w:val="20"/>
          <w:szCs w:val="20"/>
        </w:rPr>
        <w:t>The u</w:t>
      </w:r>
      <w:r w:rsidRPr="004D179C">
        <w:rPr>
          <w:rFonts w:ascii="GHEA Grapalat" w:hAnsi="GHEA Grapalat"/>
          <w:sz w:val="20"/>
          <w:szCs w:val="20"/>
        </w:rPr>
        <w:t xml:space="preserve">nemployment </w:t>
      </w:r>
      <w:r>
        <w:rPr>
          <w:rFonts w:ascii="GHEA Grapalat" w:hAnsi="GHEA Grapalat"/>
          <w:sz w:val="20"/>
          <w:szCs w:val="20"/>
        </w:rPr>
        <w:t xml:space="preserve">rate </w:t>
      </w:r>
      <w:r w:rsidRPr="004D179C">
        <w:rPr>
          <w:rFonts w:ascii="GHEA Grapalat" w:hAnsi="GHEA Grapalat"/>
          <w:sz w:val="20"/>
          <w:szCs w:val="20"/>
        </w:rPr>
        <w:t xml:space="preserve">in the </w:t>
      </w:r>
      <w:r>
        <w:rPr>
          <w:rFonts w:ascii="GHEA Grapalat" w:hAnsi="GHEA Grapalat"/>
          <w:sz w:val="20"/>
          <w:szCs w:val="20"/>
        </w:rPr>
        <w:t>E</w:t>
      </w:r>
      <w:r w:rsidRPr="004D179C">
        <w:rPr>
          <w:rFonts w:ascii="GHEA Grapalat" w:hAnsi="GHEA Grapalat"/>
          <w:sz w:val="20"/>
          <w:szCs w:val="20"/>
        </w:rPr>
        <w:t>urozone in the first quarter</w:t>
      </w:r>
      <w:r>
        <w:rPr>
          <w:rFonts w:ascii="GHEA Grapalat" w:hAnsi="GHEA Grapalat"/>
          <w:sz w:val="20"/>
          <w:szCs w:val="20"/>
        </w:rPr>
        <w:t xml:space="preserve"> of 2020</w:t>
      </w:r>
      <w:r w:rsidRPr="004D179C">
        <w:rPr>
          <w:rFonts w:ascii="GHEA Grapalat" w:hAnsi="GHEA Grapalat"/>
          <w:sz w:val="20"/>
          <w:szCs w:val="20"/>
        </w:rPr>
        <w:t xml:space="preserve"> </w:t>
      </w:r>
      <w:r>
        <w:rPr>
          <w:rFonts w:ascii="GHEA Grapalat" w:hAnsi="GHEA Grapalat"/>
          <w:sz w:val="20"/>
          <w:szCs w:val="20"/>
        </w:rPr>
        <w:t>remained at</w:t>
      </w:r>
      <w:r w:rsidRPr="004D179C">
        <w:rPr>
          <w:rFonts w:ascii="GHEA Grapalat" w:hAnsi="GHEA Grapalat"/>
          <w:sz w:val="20"/>
          <w:szCs w:val="20"/>
        </w:rPr>
        <w:t xml:space="preserve"> the previous quarter</w:t>
      </w:r>
      <w:r>
        <w:rPr>
          <w:rFonts w:ascii="GHEA Grapalat" w:hAnsi="GHEA Grapalat"/>
          <w:sz w:val="20"/>
          <w:szCs w:val="20"/>
        </w:rPr>
        <w:t xml:space="preserve">’s level, </w:t>
      </w:r>
      <w:r w:rsidRPr="004D179C">
        <w:rPr>
          <w:rFonts w:ascii="GHEA Grapalat" w:hAnsi="GHEA Grapalat"/>
          <w:sz w:val="20"/>
          <w:szCs w:val="20"/>
        </w:rPr>
        <w:t xml:space="preserve">7.4%. </w:t>
      </w:r>
      <w:r>
        <w:rPr>
          <w:rFonts w:ascii="GHEA Grapalat" w:hAnsi="GHEA Grapalat"/>
          <w:sz w:val="20"/>
          <w:szCs w:val="20"/>
        </w:rPr>
        <w:t>Yet</w:t>
      </w:r>
      <w:r w:rsidRPr="004D179C">
        <w:rPr>
          <w:rFonts w:ascii="GHEA Grapalat" w:hAnsi="GHEA Grapalat"/>
          <w:sz w:val="20"/>
          <w:szCs w:val="20"/>
        </w:rPr>
        <w:t xml:space="preserve">, </w:t>
      </w:r>
      <w:r>
        <w:rPr>
          <w:rFonts w:ascii="GHEA Grapalat" w:hAnsi="GHEA Grapalat"/>
          <w:sz w:val="20"/>
          <w:szCs w:val="20"/>
        </w:rPr>
        <w:t xml:space="preserve">taking into account </w:t>
      </w:r>
      <w:r w:rsidRPr="004D179C">
        <w:rPr>
          <w:rFonts w:ascii="GHEA Grapalat" w:hAnsi="GHEA Grapalat"/>
          <w:sz w:val="20"/>
          <w:szCs w:val="20"/>
        </w:rPr>
        <w:lastRenderedPageBreak/>
        <w:t xml:space="preserve">the current uncertainty, the risks of a </w:t>
      </w:r>
      <w:r>
        <w:rPr>
          <w:rFonts w:ascii="GHEA Grapalat" w:hAnsi="GHEA Grapalat"/>
          <w:sz w:val="20"/>
          <w:szCs w:val="20"/>
        </w:rPr>
        <w:t xml:space="preserve">deeper slowdown in the individual economies of </w:t>
      </w:r>
      <w:r w:rsidRPr="004D179C">
        <w:rPr>
          <w:rFonts w:ascii="GHEA Grapalat" w:hAnsi="GHEA Grapalat"/>
          <w:sz w:val="20"/>
          <w:szCs w:val="20"/>
        </w:rPr>
        <w:t xml:space="preserve">member states </w:t>
      </w:r>
      <w:r>
        <w:rPr>
          <w:rFonts w:ascii="GHEA Grapalat" w:hAnsi="GHEA Grapalat"/>
          <w:sz w:val="20"/>
          <w:szCs w:val="20"/>
        </w:rPr>
        <w:t>across E</w:t>
      </w:r>
      <w:r w:rsidRPr="004D179C">
        <w:rPr>
          <w:rFonts w:ascii="GHEA Grapalat" w:hAnsi="GHEA Grapalat"/>
          <w:sz w:val="20"/>
          <w:szCs w:val="20"/>
        </w:rPr>
        <w:t xml:space="preserve">urozone </w:t>
      </w:r>
      <w:r>
        <w:rPr>
          <w:rFonts w:ascii="GHEA Grapalat" w:hAnsi="GHEA Grapalat"/>
          <w:sz w:val="20"/>
          <w:szCs w:val="20"/>
        </w:rPr>
        <w:t>a</w:t>
      </w:r>
      <w:r w:rsidRPr="004D179C">
        <w:rPr>
          <w:rFonts w:ascii="GHEA Grapalat" w:hAnsi="GHEA Grapalat"/>
          <w:sz w:val="20"/>
          <w:szCs w:val="20"/>
        </w:rPr>
        <w:t>re</w:t>
      </w:r>
      <w:r>
        <w:rPr>
          <w:rFonts w:ascii="GHEA Grapalat" w:hAnsi="GHEA Grapalat"/>
          <w:sz w:val="20"/>
          <w:szCs w:val="20"/>
        </w:rPr>
        <w:t xml:space="preserve"> persisting</w:t>
      </w:r>
      <w:r w:rsidRPr="004D179C">
        <w:rPr>
          <w:rFonts w:ascii="GHEA Grapalat" w:hAnsi="GHEA Grapalat"/>
          <w:sz w:val="20"/>
          <w:szCs w:val="20"/>
        </w:rPr>
        <w:t>.</w:t>
      </w:r>
      <w:r w:rsidRPr="00B02DC0">
        <w:rPr>
          <w:rFonts w:ascii="GHEA Grapalat" w:hAnsi="GHEA Grapalat"/>
          <w:sz w:val="20"/>
          <w:szCs w:val="20"/>
        </w:rPr>
        <w:t xml:space="preserve"> </w:t>
      </w:r>
    </w:p>
    <w:p w14:paraId="1AE49E45" w14:textId="15577502" w:rsidR="004F213F" w:rsidRPr="003D0292" w:rsidRDefault="004F213F" w:rsidP="004F213F">
      <w:pPr>
        <w:spacing w:line="348" w:lineRule="exact"/>
        <w:ind w:firstLine="284"/>
        <w:rPr>
          <w:rFonts w:ascii="GHEA Grapalat" w:hAnsi="GHEA Grapalat"/>
          <w:sz w:val="20"/>
          <w:szCs w:val="20"/>
          <w:lang w:val="hy-AM"/>
        </w:rPr>
      </w:pPr>
      <w:r w:rsidRPr="00B02DC0">
        <w:rPr>
          <w:rFonts w:ascii="GHEA Grapalat" w:hAnsi="GHEA Grapalat"/>
          <w:sz w:val="20"/>
          <w:szCs w:val="20"/>
        </w:rPr>
        <w:t>In the Eurozone in the f</w:t>
      </w:r>
      <w:r>
        <w:rPr>
          <w:rFonts w:ascii="GHEA Grapalat" w:hAnsi="GHEA Grapalat"/>
          <w:sz w:val="20"/>
          <w:szCs w:val="20"/>
        </w:rPr>
        <w:t xml:space="preserve">irst </w:t>
      </w:r>
      <w:r w:rsidRPr="00B02DC0">
        <w:rPr>
          <w:rFonts w:ascii="GHEA Grapalat" w:hAnsi="GHEA Grapalat"/>
          <w:sz w:val="20"/>
          <w:szCs w:val="20"/>
        </w:rPr>
        <w:t>quarter of 20</w:t>
      </w:r>
      <w:r>
        <w:rPr>
          <w:rFonts w:ascii="GHEA Grapalat" w:hAnsi="GHEA Grapalat"/>
          <w:sz w:val="20"/>
          <w:szCs w:val="20"/>
        </w:rPr>
        <w:t>20</w:t>
      </w:r>
      <w:r w:rsidRPr="00B02DC0">
        <w:rPr>
          <w:rFonts w:ascii="GHEA Grapalat" w:hAnsi="GHEA Grapalat"/>
          <w:sz w:val="20"/>
          <w:szCs w:val="20"/>
        </w:rPr>
        <w:t xml:space="preserve">, the </w:t>
      </w:r>
      <w:r>
        <w:rPr>
          <w:rFonts w:ascii="GHEA Grapalat" w:hAnsi="GHEA Grapalat"/>
          <w:sz w:val="20"/>
          <w:szCs w:val="20"/>
        </w:rPr>
        <w:t xml:space="preserve">average </w:t>
      </w:r>
      <w:r w:rsidRPr="00B02DC0">
        <w:rPr>
          <w:rFonts w:ascii="GHEA Grapalat" w:hAnsi="GHEA Grapalat"/>
          <w:sz w:val="20"/>
          <w:szCs w:val="20"/>
        </w:rPr>
        <w:t xml:space="preserve">quarterly inflation </w:t>
      </w:r>
      <w:r>
        <w:rPr>
          <w:rFonts w:ascii="GHEA Grapalat" w:hAnsi="GHEA Grapalat"/>
          <w:sz w:val="20"/>
          <w:szCs w:val="20"/>
        </w:rPr>
        <w:t xml:space="preserve">reached </w:t>
      </w:r>
      <w:r w:rsidRPr="00B02DC0">
        <w:rPr>
          <w:rFonts w:ascii="GHEA Grapalat" w:hAnsi="GHEA Grapalat"/>
          <w:sz w:val="20"/>
          <w:szCs w:val="20"/>
        </w:rPr>
        <w:t>1.</w:t>
      </w:r>
      <w:r>
        <w:rPr>
          <w:rFonts w:ascii="GHEA Grapalat" w:hAnsi="GHEA Grapalat"/>
          <w:sz w:val="20"/>
          <w:szCs w:val="20"/>
        </w:rPr>
        <w:t>1</w:t>
      </w:r>
      <w:r w:rsidRPr="00B02DC0">
        <w:rPr>
          <w:rFonts w:ascii="GHEA Grapalat" w:hAnsi="GHEA Grapalat"/>
          <w:sz w:val="20"/>
          <w:szCs w:val="20"/>
        </w:rPr>
        <w:t>%</w:t>
      </w:r>
      <w:r>
        <w:rPr>
          <w:rFonts w:ascii="GHEA Grapalat" w:hAnsi="GHEA Grapalat"/>
          <w:sz w:val="20"/>
          <w:szCs w:val="20"/>
        </w:rPr>
        <w:t xml:space="preserve"> y/y</w:t>
      </w:r>
      <w:r w:rsidRPr="00B02DC0">
        <w:rPr>
          <w:rFonts w:ascii="GHEA Grapalat" w:hAnsi="GHEA Grapalat"/>
          <w:sz w:val="20"/>
          <w:szCs w:val="20"/>
        </w:rPr>
        <w:t>, running below the European Central Bank’s target</w:t>
      </w:r>
      <w:r>
        <w:rPr>
          <w:rFonts w:ascii="GHEA Grapalat" w:hAnsi="GHEA Grapalat"/>
          <w:sz w:val="20"/>
          <w:szCs w:val="20"/>
        </w:rPr>
        <w:t>, and the first quarter’s core inflation averaged 1.25%</w:t>
      </w:r>
      <w:r w:rsidRPr="00B02DC0">
        <w:rPr>
          <w:rFonts w:ascii="GHEA Grapalat" w:hAnsi="GHEA Grapalat"/>
          <w:sz w:val="20"/>
          <w:szCs w:val="20"/>
        </w:rPr>
        <w:t xml:space="preserve">. </w:t>
      </w:r>
      <w:r>
        <w:rPr>
          <w:rFonts w:ascii="GHEA Grapalat" w:hAnsi="GHEA Grapalat"/>
          <w:sz w:val="20"/>
          <w:szCs w:val="20"/>
        </w:rPr>
        <w:t>In April, t</w:t>
      </w:r>
      <w:r w:rsidRPr="00B02DC0">
        <w:rPr>
          <w:rFonts w:ascii="GHEA Grapalat" w:hAnsi="GHEA Grapalat"/>
          <w:sz w:val="20"/>
          <w:szCs w:val="20"/>
        </w:rPr>
        <w:t xml:space="preserve">he </w:t>
      </w:r>
      <w:r>
        <w:rPr>
          <w:rFonts w:ascii="GHEA Grapalat" w:hAnsi="GHEA Grapalat"/>
          <w:sz w:val="20"/>
          <w:szCs w:val="20"/>
        </w:rPr>
        <w:t>inflation notably decelerated to 0.4%, driven</w:t>
      </w:r>
      <w:r w:rsidRPr="00B02DC0">
        <w:rPr>
          <w:rFonts w:ascii="GHEA Grapalat" w:hAnsi="GHEA Grapalat"/>
          <w:sz w:val="20"/>
          <w:szCs w:val="20"/>
        </w:rPr>
        <w:t xml:space="preserve"> primarily </w:t>
      </w:r>
      <w:r>
        <w:rPr>
          <w:rFonts w:ascii="GHEA Grapalat" w:hAnsi="GHEA Grapalat"/>
          <w:sz w:val="20"/>
          <w:szCs w:val="20"/>
        </w:rPr>
        <w:t>by</w:t>
      </w:r>
      <w:r w:rsidRPr="00B02DC0">
        <w:rPr>
          <w:rFonts w:ascii="GHEA Grapalat" w:hAnsi="GHEA Grapalat"/>
          <w:sz w:val="20"/>
          <w:szCs w:val="20"/>
        </w:rPr>
        <w:t xml:space="preserve"> low energy prices</w:t>
      </w:r>
      <w:r>
        <w:rPr>
          <w:rFonts w:ascii="GHEA Grapalat" w:hAnsi="GHEA Grapalat"/>
          <w:sz w:val="20"/>
          <w:szCs w:val="20"/>
        </w:rPr>
        <w:t xml:space="preserve"> and weak demand</w:t>
      </w:r>
      <w:r w:rsidRPr="00B02DC0">
        <w:rPr>
          <w:rFonts w:ascii="GHEA Grapalat" w:hAnsi="GHEA Grapalat"/>
          <w:sz w:val="20"/>
          <w:szCs w:val="20"/>
        </w:rPr>
        <w:t xml:space="preserve">. In anticipation of low inflation and </w:t>
      </w:r>
      <w:r>
        <w:rPr>
          <w:rFonts w:ascii="GHEA Grapalat" w:hAnsi="GHEA Grapalat"/>
          <w:sz w:val="20"/>
          <w:szCs w:val="20"/>
        </w:rPr>
        <w:t>e</w:t>
      </w:r>
      <w:r w:rsidRPr="00B02DC0">
        <w:rPr>
          <w:rFonts w:ascii="GHEA Grapalat" w:hAnsi="GHEA Grapalat"/>
          <w:sz w:val="20"/>
          <w:szCs w:val="20"/>
        </w:rPr>
        <w:t xml:space="preserve">conomic </w:t>
      </w:r>
      <w:r>
        <w:rPr>
          <w:rFonts w:ascii="GHEA Grapalat" w:hAnsi="GHEA Grapalat"/>
          <w:sz w:val="20"/>
          <w:szCs w:val="20"/>
        </w:rPr>
        <w:t>decline</w:t>
      </w:r>
      <w:r w:rsidRPr="00B02DC0">
        <w:rPr>
          <w:rFonts w:ascii="GHEA Grapalat" w:hAnsi="GHEA Grapalat"/>
          <w:sz w:val="20"/>
          <w:szCs w:val="20"/>
        </w:rPr>
        <w:t xml:space="preserve">, the ECB </w:t>
      </w:r>
      <w:r>
        <w:rPr>
          <w:rFonts w:ascii="GHEA Grapalat" w:hAnsi="GHEA Grapalat"/>
          <w:sz w:val="20"/>
          <w:szCs w:val="20"/>
        </w:rPr>
        <w:t xml:space="preserve">will </w:t>
      </w:r>
      <w:r w:rsidRPr="00B02DC0">
        <w:rPr>
          <w:rFonts w:ascii="GHEA Grapalat" w:hAnsi="GHEA Grapalat"/>
          <w:sz w:val="20"/>
          <w:szCs w:val="20"/>
        </w:rPr>
        <w:t>further pursue a low interest rate policy</w:t>
      </w:r>
      <w:r>
        <w:rPr>
          <w:rFonts w:ascii="GHEA Grapalat" w:hAnsi="GHEA Grapalat"/>
          <w:sz w:val="20"/>
          <w:szCs w:val="20"/>
        </w:rPr>
        <w:t xml:space="preserve"> while announcing a program of EUR 20.0 billion-worth of assets purchases per month</w:t>
      </w:r>
      <w:r w:rsidRPr="00B02DC0">
        <w:rPr>
          <w:rFonts w:ascii="GHEA Grapalat" w:hAnsi="GHEA Grapalat"/>
          <w:sz w:val="20"/>
          <w:szCs w:val="20"/>
        </w:rPr>
        <w:t>.</w:t>
      </w:r>
    </w:p>
    <w:p w14:paraId="4F987137" w14:textId="77777777" w:rsidR="004F213F" w:rsidRPr="003D0292" w:rsidRDefault="004F213F" w:rsidP="004F213F">
      <w:pPr>
        <w:spacing w:before="120" w:line="320" w:lineRule="atLeast"/>
        <w:ind w:firstLine="284"/>
        <w:rPr>
          <w:rFonts w:ascii="GHEA Grapalat" w:hAnsi="GHEA Grapalat"/>
          <w:sz w:val="20"/>
          <w:szCs w:val="20"/>
          <w:lang w:val="hy-AM"/>
        </w:rPr>
      </w:pPr>
      <w:r w:rsidRPr="00F535EF">
        <w:rPr>
          <w:rFonts w:ascii="GHEA Grapalat" w:hAnsi="GHEA Grapalat"/>
          <w:b/>
          <w:i/>
          <w:sz w:val="20"/>
          <w:szCs w:val="20"/>
        </w:rPr>
        <w:t>Economic developments in Russia:</w:t>
      </w:r>
      <w:r w:rsidRPr="00B02DC0">
        <w:rPr>
          <w:rFonts w:ascii="GHEA Grapalat" w:hAnsi="GHEA Grapalat"/>
          <w:b/>
          <w:sz w:val="20"/>
          <w:szCs w:val="20"/>
        </w:rPr>
        <w:t xml:space="preserve"> </w:t>
      </w:r>
      <w:r>
        <w:rPr>
          <w:rFonts w:ascii="GHEA Grapalat" w:hAnsi="GHEA Grapalat"/>
          <w:sz w:val="20"/>
          <w:szCs w:val="20"/>
        </w:rPr>
        <w:t>E</w:t>
      </w:r>
      <w:r w:rsidRPr="00B02DC0">
        <w:rPr>
          <w:rFonts w:ascii="GHEA Grapalat" w:hAnsi="GHEA Grapalat"/>
          <w:sz w:val="20"/>
          <w:szCs w:val="20"/>
        </w:rPr>
        <w:t xml:space="preserve">conomic growth in </w:t>
      </w:r>
      <w:r>
        <w:rPr>
          <w:rFonts w:ascii="GHEA Grapalat" w:hAnsi="GHEA Grapalat"/>
          <w:sz w:val="20"/>
          <w:szCs w:val="20"/>
        </w:rPr>
        <w:t xml:space="preserve">Russia in </w:t>
      </w:r>
      <w:r w:rsidRPr="00B02DC0">
        <w:rPr>
          <w:rFonts w:ascii="GHEA Grapalat" w:hAnsi="GHEA Grapalat"/>
          <w:sz w:val="20"/>
          <w:szCs w:val="20"/>
        </w:rPr>
        <w:t>the f</w:t>
      </w:r>
      <w:r>
        <w:rPr>
          <w:rFonts w:ascii="GHEA Grapalat" w:hAnsi="GHEA Grapalat"/>
          <w:sz w:val="20"/>
          <w:szCs w:val="20"/>
        </w:rPr>
        <w:t xml:space="preserve">irst </w:t>
      </w:r>
      <w:r w:rsidRPr="00B02DC0">
        <w:rPr>
          <w:rFonts w:ascii="GHEA Grapalat" w:hAnsi="GHEA Grapalat"/>
          <w:sz w:val="20"/>
          <w:szCs w:val="20"/>
        </w:rPr>
        <w:t>quarter of 20</w:t>
      </w:r>
      <w:r>
        <w:rPr>
          <w:rFonts w:ascii="GHEA Grapalat" w:hAnsi="GHEA Grapalat"/>
          <w:sz w:val="20"/>
          <w:szCs w:val="20"/>
        </w:rPr>
        <w:t>20</w:t>
      </w:r>
      <w:r w:rsidRPr="00B02DC0">
        <w:rPr>
          <w:rFonts w:ascii="GHEA Grapalat" w:hAnsi="GHEA Grapalat"/>
          <w:sz w:val="20"/>
          <w:szCs w:val="20"/>
        </w:rPr>
        <w:t xml:space="preserve"> was </w:t>
      </w:r>
      <w:r>
        <w:rPr>
          <w:rFonts w:ascii="GHEA Grapalat" w:hAnsi="GHEA Grapalat"/>
          <w:sz w:val="20"/>
          <w:szCs w:val="20"/>
        </w:rPr>
        <w:t>1.6</w:t>
      </w:r>
      <w:r w:rsidRPr="00B02DC0">
        <w:rPr>
          <w:rFonts w:ascii="GHEA Grapalat" w:hAnsi="GHEA Grapalat"/>
          <w:sz w:val="20"/>
          <w:szCs w:val="20"/>
        </w:rPr>
        <w:t>% y/y</w:t>
      </w:r>
      <w:r>
        <w:rPr>
          <w:rFonts w:ascii="GHEA Grapalat" w:hAnsi="GHEA Grapalat"/>
          <w:sz w:val="20"/>
          <w:szCs w:val="20"/>
        </w:rPr>
        <w:t>,</w:t>
      </w:r>
      <w:r w:rsidRPr="00B02DC0">
        <w:rPr>
          <w:rFonts w:ascii="GHEA Grapalat" w:hAnsi="GHEA Grapalat"/>
          <w:sz w:val="20"/>
          <w:szCs w:val="20"/>
        </w:rPr>
        <w:t xml:space="preserve"> </w:t>
      </w:r>
      <w:r>
        <w:rPr>
          <w:rFonts w:ascii="GHEA Grapalat" w:hAnsi="GHEA Grapalat"/>
          <w:sz w:val="20"/>
          <w:szCs w:val="20"/>
        </w:rPr>
        <w:t>a</w:t>
      </w:r>
      <w:r w:rsidRPr="00B02DC0">
        <w:rPr>
          <w:rFonts w:ascii="GHEA Grapalat" w:hAnsi="GHEA Grapalat"/>
          <w:sz w:val="20"/>
          <w:szCs w:val="20"/>
        </w:rPr>
        <w:t xml:space="preserve">ccording to </w:t>
      </w:r>
      <w:r>
        <w:rPr>
          <w:rFonts w:ascii="GHEA Grapalat" w:hAnsi="GHEA Grapalat"/>
          <w:sz w:val="20"/>
          <w:szCs w:val="20"/>
        </w:rPr>
        <w:t xml:space="preserve">preliminary estimates by </w:t>
      </w:r>
      <w:r w:rsidRPr="00B02DC0">
        <w:rPr>
          <w:rFonts w:ascii="GHEA Grapalat" w:hAnsi="GHEA Grapalat"/>
          <w:sz w:val="20"/>
          <w:szCs w:val="20"/>
        </w:rPr>
        <w:t>the</w:t>
      </w:r>
      <w:r>
        <w:rPr>
          <w:rFonts w:ascii="GHEA Grapalat" w:hAnsi="GHEA Grapalat"/>
          <w:sz w:val="20"/>
          <w:szCs w:val="20"/>
        </w:rPr>
        <w:t xml:space="preserve"> State Statistics Service of Russia</w:t>
      </w:r>
      <w:r w:rsidRPr="00B02DC0">
        <w:rPr>
          <w:rFonts w:ascii="GHEA Grapalat" w:hAnsi="GHEA Grapalat"/>
          <w:sz w:val="20"/>
          <w:szCs w:val="20"/>
        </w:rPr>
        <w:t xml:space="preserve">. The </w:t>
      </w:r>
      <w:r>
        <w:rPr>
          <w:rFonts w:ascii="GHEA Grapalat" w:hAnsi="GHEA Grapalat"/>
          <w:sz w:val="20"/>
          <w:szCs w:val="20"/>
        </w:rPr>
        <w:t>u</w:t>
      </w:r>
      <w:r w:rsidRPr="00B02DC0">
        <w:rPr>
          <w:rFonts w:ascii="GHEA Grapalat" w:hAnsi="GHEA Grapalat"/>
          <w:sz w:val="20"/>
          <w:szCs w:val="20"/>
        </w:rPr>
        <w:t>nemployment in Russia in the f</w:t>
      </w:r>
      <w:r>
        <w:rPr>
          <w:rFonts w:ascii="GHEA Grapalat" w:hAnsi="GHEA Grapalat"/>
          <w:sz w:val="20"/>
          <w:szCs w:val="20"/>
        </w:rPr>
        <w:t xml:space="preserve">irst </w:t>
      </w:r>
      <w:r w:rsidRPr="00B02DC0">
        <w:rPr>
          <w:rFonts w:ascii="GHEA Grapalat" w:hAnsi="GHEA Grapalat"/>
          <w:sz w:val="20"/>
          <w:szCs w:val="20"/>
        </w:rPr>
        <w:t xml:space="preserve">quarter </w:t>
      </w:r>
      <w:r>
        <w:rPr>
          <w:rFonts w:ascii="GHEA Grapalat" w:hAnsi="GHEA Grapalat"/>
          <w:sz w:val="20"/>
          <w:szCs w:val="20"/>
        </w:rPr>
        <w:t xml:space="preserve">remained at the previous quarter’s level of </w:t>
      </w:r>
      <w:r w:rsidRPr="00B02DC0">
        <w:rPr>
          <w:rFonts w:ascii="GHEA Grapalat" w:hAnsi="GHEA Grapalat"/>
          <w:sz w:val="20"/>
          <w:szCs w:val="20"/>
        </w:rPr>
        <w:t xml:space="preserve">4.6%. </w:t>
      </w:r>
      <w:r w:rsidRPr="0038735D">
        <w:rPr>
          <w:rFonts w:ascii="GHEA Grapalat" w:hAnsi="GHEA Grapalat"/>
          <w:sz w:val="20"/>
          <w:szCs w:val="20"/>
        </w:rPr>
        <w:t xml:space="preserve">However, </w:t>
      </w:r>
      <w:r>
        <w:rPr>
          <w:rFonts w:ascii="GHEA Grapalat" w:hAnsi="GHEA Grapalat"/>
          <w:sz w:val="20"/>
          <w:szCs w:val="20"/>
        </w:rPr>
        <w:t xml:space="preserve">already in April, </w:t>
      </w:r>
      <w:r w:rsidRPr="0038735D">
        <w:rPr>
          <w:rFonts w:ascii="GHEA Grapalat" w:hAnsi="GHEA Grapalat"/>
          <w:sz w:val="20"/>
          <w:szCs w:val="20"/>
        </w:rPr>
        <w:t xml:space="preserve">unemployment </w:t>
      </w:r>
      <w:r>
        <w:rPr>
          <w:rFonts w:ascii="GHEA Grapalat" w:hAnsi="GHEA Grapalat"/>
          <w:sz w:val="20"/>
          <w:szCs w:val="20"/>
        </w:rPr>
        <w:t>rose to 5.8%. Russia’</w:t>
      </w:r>
      <w:r w:rsidRPr="0038735D">
        <w:rPr>
          <w:rFonts w:ascii="GHEA Grapalat" w:hAnsi="GHEA Grapalat"/>
          <w:sz w:val="20"/>
          <w:szCs w:val="20"/>
        </w:rPr>
        <w:t xml:space="preserve">s economic </w:t>
      </w:r>
      <w:r>
        <w:rPr>
          <w:rFonts w:ascii="GHEA Grapalat" w:hAnsi="GHEA Grapalat"/>
          <w:sz w:val="20"/>
          <w:szCs w:val="20"/>
        </w:rPr>
        <w:t xml:space="preserve">slowdown </w:t>
      </w:r>
      <w:r w:rsidRPr="0038735D">
        <w:rPr>
          <w:rFonts w:ascii="GHEA Grapalat" w:hAnsi="GHEA Grapalat"/>
          <w:sz w:val="20"/>
          <w:szCs w:val="20"/>
        </w:rPr>
        <w:t>in 2020 is projected at 5.3%, with downside risks pre</w:t>
      </w:r>
      <w:r>
        <w:rPr>
          <w:rFonts w:ascii="GHEA Grapalat" w:hAnsi="GHEA Grapalat"/>
          <w:sz w:val="20"/>
          <w:szCs w:val="20"/>
        </w:rPr>
        <w:t>vailing</w:t>
      </w:r>
      <w:r w:rsidRPr="0038735D">
        <w:rPr>
          <w:rFonts w:ascii="GHEA Grapalat" w:hAnsi="GHEA Grapalat"/>
          <w:sz w:val="20"/>
          <w:szCs w:val="20"/>
        </w:rPr>
        <w:t>.</w:t>
      </w:r>
      <w:r>
        <w:rPr>
          <w:rFonts w:ascii="GHEA Grapalat" w:hAnsi="GHEA Grapalat"/>
          <w:sz w:val="20"/>
          <w:szCs w:val="20"/>
        </w:rPr>
        <w:t xml:space="preserve"> </w:t>
      </w:r>
    </w:p>
    <w:p w14:paraId="263C3502" w14:textId="1026104F" w:rsidR="004F213F" w:rsidRPr="003D0292" w:rsidRDefault="004F213F" w:rsidP="004F213F">
      <w:pPr>
        <w:spacing w:line="320" w:lineRule="atLeast"/>
        <w:ind w:firstLine="284"/>
        <w:rPr>
          <w:rFonts w:ascii="GHEA Grapalat" w:hAnsi="GHEA Grapalat"/>
          <w:sz w:val="20"/>
          <w:szCs w:val="20"/>
          <w:lang w:val="hy-AM"/>
        </w:rPr>
      </w:pPr>
      <w:r w:rsidRPr="00B02DC0">
        <w:rPr>
          <w:rFonts w:ascii="GHEA Grapalat" w:hAnsi="GHEA Grapalat"/>
          <w:sz w:val="20"/>
          <w:szCs w:val="20"/>
        </w:rPr>
        <w:t xml:space="preserve">In the </w:t>
      </w:r>
      <w:r>
        <w:rPr>
          <w:rFonts w:ascii="GHEA Grapalat" w:hAnsi="GHEA Grapalat"/>
          <w:sz w:val="20"/>
          <w:szCs w:val="20"/>
        </w:rPr>
        <w:t xml:space="preserve">first </w:t>
      </w:r>
      <w:r w:rsidRPr="00B02DC0">
        <w:rPr>
          <w:rFonts w:ascii="GHEA Grapalat" w:hAnsi="GHEA Grapalat"/>
          <w:sz w:val="20"/>
          <w:szCs w:val="20"/>
        </w:rPr>
        <w:t>quarter of 20</w:t>
      </w:r>
      <w:r>
        <w:rPr>
          <w:rFonts w:ascii="GHEA Grapalat" w:hAnsi="GHEA Grapalat"/>
          <w:sz w:val="20"/>
          <w:szCs w:val="20"/>
        </w:rPr>
        <w:t>20</w:t>
      </w:r>
      <w:r w:rsidRPr="00B02DC0">
        <w:rPr>
          <w:rFonts w:ascii="GHEA Grapalat" w:hAnsi="GHEA Grapalat"/>
          <w:sz w:val="20"/>
          <w:szCs w:val="20"/>
        </w:rPr>
        <w:t xml:space="preserve"> the average quarterly inflation in Russia slowed to </w:t>
      </w:r>
      <w:r>
        <w:rPr>
          <w:rFonts w:ascii="GHEA Grapalat" w:hAnsi="GHEA Grapalat"/>
          <w:sz w:val="20"/>
          <w:szCs w:val="20"/>
        </w:rPr>
        <w:t>2</w:t>
      </w:r>
      <w:r w:rsidRPr="00B02DC0">
        <w:rPr>
          <w:rFonts w:ascii="GHEA Grapalat" w:hAnsi="GHEA Grapalat"/>
          <w:sz w:val="20"/>
          <w:szCs w:val="20"/>
        </w:rPr>
        <w:t xml:space="preserve">.4% </w:t>
      </w:r>
      <w:r>
        <w:rPr>
          <w:rFonts w:ascii="GHEA Grapalat" w:hAnsi="GHEA Grapalat"/>
          <w:sz w:val="20"/>
          <w:szCs w:val="20"/>
        </w:rPr>
        <w:t xml:space="preserve">y/y </w:t>
      </w:r>
      <w:r w:rsidRPr="00B02DC0">
        <w:rPr>
          <w:rFonts w:ascii="GHEA Grapalat" w:hAnsi="GHEA Grapalat"/>
          <w:sz w:val="20"/>
          <w:szCs w:val="20"/>
        </w:rPr>
        <w:t xml:space="preserve">from that of </w:t>
      </w:r>
      <w:r>
        <w:rPr>
          <w:rFonts w:ascii="GHEA Grapalat" w:hAnsi="GHEA Grapalat"/>
          <w:sz w:val="20"/>
          <w:szCs w:val="20"/>
        </w:rPr>
        <w:t>3</w:t>
      </w:r>
      <w:r w:rsidRPr="00B02DC0">
        <w:rPr>
          <w:rFonts w:ascii="GHEA Grapalat" w:hAnsi="GHEA Grapalat"/>
          <w:sz w:val="20"/>
          <w:szCs w:val="20"/>
        </w:rPr>
        <w:t>.</w:t>
      </w:r>
      <w:r>
        <w:rPr>
          <w:rFonts w:ascii="GHEA Grapalat" w:hAnsi="GHEA Grapalat"/>
          <w:sz w:val="20"/>
          <w:szCs w:val="20"/>
        </w:rPr>
        <w:t>4</w:t>
      </w:r>
      <w:r w:rsidRPr="00B02DC0">
        <w:rPr>
          <w:rFonts w:ascii="GHEA Grapalat" w:hAnsi="GHEA Grapalat"/>
          <w:sz w:val="20"/>
          <w:szCs w:val="20"/>
        </w:rPr>
        <w:t>% reported in the previous quarter, r</w:t>
      </w:r>
      <w:r>
        <w:rPr>
          <w:rFonts w:ascii="GHEA Grapalat" w:hAnsi="GHEA Grapalat"/>
          <w:sz w:val="20"/>
          <w:szCs w:val="20"/>
        </w:rPr>
        <w:t xml:space="preserve">esiding </w:t>
      </w:r>
      <w:r w:rsidRPr="00B02DC0">
        <w:rPr>
          <w:rFonts w:ascii="GHEA Grapalat" w:hAnsi="GHEA Grapalat"/>
          <w:sz w:val="20"/>
          <w:szCs w:val="20"/>
        </w:rPr>
        <w:t xml:space="preserve">below </w:t>
      </w:r>
      <w:r>
        <w:rPr>
          <w:rFonts w:ascii="GHEA Grapalat" w:hAnsi="GHEA Grapalat"/>
          <w:sz w:val="20"/>
          <w:szCs w:val="20"/>
        </w:rPr>
        <w:t xml:space="preserve">its </w:t>
      </w:r>
      <w:r w:rsidRPr="00B02DC0">
        <w:rPr>
          <w:rFonts w:ascii="GHEA Grapalat" w:hAnsi="GHEA Grapalat"/>
          <w:sz w:val="20"/>
          <w:szCs w:val="20"/>
        </w:rPr>
        <w:t xml:space="preserve">target value of 4%. </w:t>
      </w:r>
      <w:r>
        <w:rPr>
          <w:rFonts w:ascii="GHEA Grapalat" w:hAnsi="GHEA Grapalat"/>
          <w:sz w:val="20"/>
          <w:szCs w:val="20"/>
        </w:rPr>
        <w:t>Note that i</w:t>
      </w:r>
      <w:r w:rsidRPr="0038735D">
        <w:rPr>
          <w:rFonts w:ascii="GHEA Grapalat" w:hAnsi="GHEA Grapalat"/>
          <w:sz w:val="20"/>
          <w:szCs w:val="20"/>
        </w:rPr>
        <w:t xml:space="preserve">nflation rates </w:t>
      </w:r>
      <w:r>
        <w:rPr>
          <w:rFonts w:ascii="GHEA Grapalat" w:hAnsi="GHEA Grapalat"/>
          <w:sz w:val="20"/>
          <w:szCs w:val="20"/>
        </w:rPr>
        <w:t xml:space="preserve">somewhat </w:t>
      </w:r>
      <w:r w:rsidRPr="0038735D">
        <w:rPr>
          <w:rFonts w:ascii="GHEA Grapalat" w:hAnsi="GHEA Grapalat"/>
          <w:sz w:val="20"/>
          <w:szCs w:val="20"/>
        </w:rPr>
        <w:t>ac</w:t>
      </w:r>
      <w:r>
        <w:rPr>
          <w:rFonts w:ascii="GHEA Grapalat" w:hAnsi="GHEA Grapalat"/>
          <w:sz w:val="20"/>
          <w:szCs w:val="20"/>
        </w:rPr>
        <w:t xml:space="preserve">celerated in April due to the </w:t>
      </w:r>
      <w:r w:rsidRPr="0038735D">
        <w:rPr>
          <w:rFonts w:ascii="GHEA Grapalat" w:hAnsi="GHEA Grapalat"/>
          <w:sz w:val="20"/>
          <w:szCs w:val="20"/>
        </w:rPr>
        <w:t xml:space="preserve">ruble </w:t>
      </w:r>
      <w:r>
        <w:rPr>
          <w:rFonts w:ascii="GHEA Grapalat" w:hAnsi="GHEA Grapalat"/>
          <w:sz w:val="20"/>
          <w:szCs w:val="20"/>
        </w:rPr>
        <w:t xml:space="preserve">depreciation </w:t>
      </w:r>
      <w:r w:rsidRPr="0038735D">
        <w:rPr>
          <w:rFonts w:ascii="GHEA Grapalat" w:hAnsi="GHEA Grapalat"/>
          <w:sz w:val="20"/>
          <w:szCs w:val="20"/>
        </w:rPr>
        <w:t xml:space="preserve">and </w:t>
      </w:r>
      <w:r>
        <w:rPr>
          <w:rFonts w:ascii="GHEA Grapalat" w:hAnsi="GHEA Grapalat"/>
          <w:sz w:val="20"/>
          <w:szCs w:val="20"/>
        </w:rPr>
        <w:t xml:space="preserve">growing </w:t>
      </w:r>
      <w:r w:rsidRPr="0038735D">
        <w:rPr>
          <w:rFonts w:ascii="GHEA Grapalat" w:hAnsi="GHEA Grapalat"/>
          <w:sz w:val="20"/>
          <w:szCs w:val="20"/>
        </w:rPr>
        <w:t>demand for some goods, but this was temporary</w:t>
      </w:r>
      <w:r>
        <w:rPr>
          <w:rFonts w:ascii="GHEA Grapalat" w:hAnsi="GHEA Grapalat"/>
          <w:sz w:val="20"/>
          <w:szCs w:val="20"/>
        </w:rPr>
        <w:t xml:space="preserve"> as </w:t>
      </w:r>
      <w:r w:rsidRPr="0038735D">
        <w:rPr>
          <w:rFonts w:ascii="GHEA Grapalat" w:hAnsi="GHEA Grapalat"/>
          <w:sz w:val="20"/>
          <w:szCs w:val="20"/>
        </w:rPr>
        <w:t xml:space="preserve">already in May inflation </w:t>
      </w:r>
      <w:r>
        <w:rPr>
          <w:rFonts w:ascii="GHEA Grapalat" w:hAnsi="GHEA Grapalat"/>
          <w:sz w:val="20"/>
          <w:szCs w:val="20"/>
        </w:rPr>
        <w:t xml:space="preserve">rates subsided to </w:t>
      </w:r>
      <w:r w:rsidRPr="0038735D">
        <w:rPr>
          <w:rFonts w:ascii="GHEA Grapalat" w:hAnsi="GHEA Grapalat"/>
          <w:sz w:val="20"/>
          <w:szCs w:val="20"/>
        </w:rPr>
        <w:t xml:space="preserve">3.0% </w:t>
      </w:r>
      <w:r>
        <w:rPr>
          <w:rFonts w:ascii="GHEA Grapalat" w:hAnsi="GHEA Grapalat"/>
          <w:sz w:val="20"/>
          <w:szCs w:val="20"/>
        </w:rPr>
        <w:t>from</w:t>
      </w:r>
      <w:r w:rsidRPr="0038735D">
        <w:rPr>
          <w:rFonts w:ascii="GHEA Grapalat" w:hAnsi="GHEA Grapalat"/>
          <w:sz w:val="20"/>
          <w:szCs w:val="20"/>
        </w:rPr>
        <w:t xml:space="preserve"> </w:t>
      </w:r>
      <w:r>
        <w:rPr>
          <w:rFonts w:ascii="GHEA Grapalat" w:hAnsi="GHEA Grapalat"/>
          <w:sz w:val="20"/>
          <w:szCs w:val="20"/>
        </w:rPr>
        <w:t xml:space="preserve">those of </w:t>
      </w:r>
      <w:r w:rsidRPr="0038735D">
        <w:rPr>
          <w:rFonts w:ascii="GHEA Grapalat" w:hAnsi="GHEA Grapalat"/>
          <w:sz w:val="20"/>
          <w:szCs w:val="20"/>
        </w:rPr>
        <w:t>3.1% in April.</w:t>
      </w:r>
      <w:r>
        <w:rPr>
          <w:rFonts w:ascii="GHEA Grapalat" w:hAnsi="GHEA Grapalat"/>
          <w:sz w:val="20"/>
          <w:szCs w:val="20"/>
        </w:rPr>
        <w:t xml:space="preserve"> </w:t>
      </w:r>
      <w:r w:rsidRPr="00B02DC0">
        <w:rPr>
          <w:rFonts w:ascii="GHEA Grapalat" w:hAnsi="GHEA Grapalat"/>
          <w:sz w:val="20"/>
          <w:szCs w:val="20"/>
        </w:rPr>
        <w:t xml:space="preserve">With inflation decelerating, the Bank of Russia cut the policy rate </w:t>
      </w:r>
      <w:r>
        <w:rPr>
          <w:rFonts w:ascii="GHEA Grapalat" w:hAnsi="GHEA Grapalat"/>
          <w:sz w:val="20"/>
          <w:szCs w:val="20"/>
        </w:rPr>
        <w:t xml:space="preserve">in </w:t>
      </w:r>
      <w:r w:rsidRPr="00B02DC0">
        <w:rPr>
          <w:rFonts w:ascii="GHEA Grapalat" w:hAnsi="GHEA Grapalat"/>
          <w:sz w:val="20"/>
          <w:szCs w:val="20"/>
        </w:rPr>
        <w:t xml:space="preserve">the </w:t>
      </w:r>
      <w:r>
        <w:rPr>
          <w:rFonts w:ascii="GHEA Grapalat" w:hAnsi="GHEA Grapalat"/>
          <w:sz w:val="20"/>
          <w:szCs w:val="20"/>
        </w:rPr>
        <w:t xml:space="preserve">first </w:t>
      </w:r>
      <w:r w:rsidRPr="00B02DC0">
        <w:rPr>
          <w:rFonts w:ascii="GHEA Grapalat" w:hAnsi="GHEA Grapalat"/>
          <w:sz w:val="20"/>
          <w:szCs w:val="20"/>
        </w:rPr>
        <w:t>quarter of 20</w:t>
      </w:r>
      <w:r>
        <w:rPr>
          <w:rFonts w:ascii="GHEA Grapalat" w:hAnsi="GHEA Grapalat"/>
          <w:sz w:val="20"/>
          <w:szCs w:val="20"/>
        </w:rPr>
        <w:t>20 by 0.</w:t>
      </w:r>
      <w:r w:rsidRPr="00B02DC0">
        <w:rPr>
          <w:rFonts w:ascii="GHEA Grapalat" w:hAnsi="GHEA Grapalat"/>
          <w:sz w:val="20"/>
          <w:szCs w:val="20"/>
        </w:rPr>
        <w:t xml:space="preserve">5 pp (another 0.5 pp was </w:t>
      </w:r>
      <w:r>
        <w:rPr>
          <w:rFonts w:ascii="GHEA Grapalat" w:hAnsi="GHEA Grapalat"/>
          <w:sz w:val="20"/>
          <w:szCs w:val="20"/>
        </w:rPr>
        <w:t xml:space="preserve">also </w:t>
      </w:r>
      <w:r w:rsidRPr="00B02DC0">
        <w:rPr>
          <w:rFonts w:ascii="GHEA Grapalat" w:hAnsi="GHEA Grapalat"/>
          <w:sz w:val="20"/>
          <w:szCs w:val="20"/>
        </w:rPr>
        <w:t xml:space="preserve">lowered in </w:t>
      </w:r>
      <w:r>
        <w:rPr>
          <w:rFonts w:ascii="GHEA Grapalat" w:hAnsi="GHEA Grapalat"/>
          <w:sz w:val="20"/>
          <w:szCs w:val="20"/>
        </w:rPr>
        <w:t xml:space="preserve">April </w:t>
      </w:r>
      <w:r w:rsidRPr="00B02DC0">
        <w:rPr>
          <w:rFonts w:ascii="GHEA Grapalat" w:hAnsi="GHEA Grapalat"/>
          <w:sz w:val="20"/>
          <w:szCs w:val="20"/>
        </w:rPr>
        <w:t xml:space="preserve">2020) to </w:t>
      </w:r>
      <w:r>
        <w:rPr>
          <w:rFonts w:ascii="GHEA Grapalat" w:hAnsi="GHEA Grapalat"/>
          <w:sz w:val="20"/>
          <w:szCs w:val="20"/>
        </w:rPr>
        <w:t>5</w:t>
      </w:r>
      <w:r w:rsidRPr="00B02DC0">
        <w:rPr>
          <w:rFonts w:ascii="GHEA Grapalat" w:hAnsi="GHEA Grapalat"/>
          <w:sz w:val="20"/>
          <w:szCs w:val="20"/>
        </w:rPr>
        <w:t>.</w:t>
      </w:r>
      <w:r>
        <w:rPr>
          <w:rFonts w:ascii="GHEA Grapalat" w:hAnsi="GHEA Grapalat"/>
          <w:sz w:val="20"/>
          <w:szCs w:val="20"/>
        </w:rPr>
        <w:t>5</w:t>
      </w:r>
      <w:r w:rsidRPr="00B02DC0">
        <w:rPr>
          <w:rFonts w:ascii="GHEA Grapalat" w:hAnsi="GHEA Grapalat"/>
          <w:sz w:val="20"/>
          <w:szCs w:val="20"/>
        </w:rPr>
        <w:t xml:space="preserve">%. </w:t>
      </w:r>
      <w:r>
        <w:rPr>
          <w:rFonts w:ascii="GHEA Grapalat" w:hAnsi="GHEA Grapalat"/>
          <w:sz w:val="20"/>
          <w:szCs w:val="20"/>
        </w:rPr>
        <w:t>Although the i</w:t>
      </w:r>
      <w:r w:rsidRPr="002839F9">
        <w:rPr>
          <w:rFonts w:ascii="GHEA Grapalat" w:hAnsi="GHEA Grapalat"/>
          <w:sz w:val="20"/>
          <w:szCs w:val="20"/>
        </w:rPr>
        <w:t xml:space="preserve">nflation expectations </w:t>
      </w:r>
      <w:r>
        <w:rPr>
          <w:rFonts w:ascii="GHEA Grapalat" w:hAnsi="GHEA Grapalat"/>
          <w:sz w:val="20"/>
          <w:szCs w:val="20"/>
        </w:rPr>
        <w:t xml:space="preserve">were somehow high early in the year, </w:t>
      </w:r>
      <w:r w:rsidRPr="002839F9">
        <w:rPr>
          <w:rFonts w:ascii="GHEA Grapalat" w:hAnsi="GHEA Grapalat"/>
          <w:sz w:val="20"/>
          <w:szCs w:val="20"/>
        </w:rPr>
        <w:t xml:space="preserve">this is </w:t>
      </w:r>
      <w:r>
        <w:rPr>
          <w:rFonts w:ascii="GHEA Grapalat" w:hAnsi="GHEA Grapalat"/>
          <w:sz w:val="20"/>
          <w:szCs w:val="20"/>
        </w:rPr>
        <w:t>estimated as</w:t>
      </w:r>
      <w:r w:rsidRPr="002839F9">
        <w:rPr>
          <w:rFonts w:ascii="GHEA Grapalat" w:hAnsi="GHEA Grapalat"/>
          <w:sz w:val="20"/>
          <w:szCs w:val="20"/>
        </w:rPr>
        <w:t xml:space="preserve"> temporary</w:t>
      </w:r>
      <w:r>
        <w:rPr>
          <w:rFonts w:ascii="GHEA Grapalat" w:hAnsi="GHEA Grapalat"/>
          <w:sz w:val="20"/>
          <w:szCs w:val="20"/>
        </w:rPr>
        <w:t>, too</w:t>
      </w:r>
      <w:r w:rsidRPr="002839F9">
        <w:rPr>
          <w:rFonts w:ascii="GHEA Grapalat" w:hAnsi="GHEA Grapalat"/>
          <w:sz w:val="20"/>
          <w:szCs w:val="20"/>
        </w:rPr>
        <w:t>. Given further inflation and econom</w:t>
      </w:r>
      <w:r>
        <w:rPr>
          <w:rFonts w:ascii="GHEA Grapalat" w:hAnsi="GHEA Grapalat"/>
          <w:sz w:val="20"/>
          <w:szCs w:val="20"/>
        </w:rPr>
        <w:t>ic developments</w:t>
      </w:r>
      <w:r w:rsidRPr="002839F9">
        <w:rPr>
          <w:rFonts w:ascii="GHEA Grapalat" w:hAnsi="GHEA Grapalat"/>
          <w:sz w:val="20"/>
          <w:szCs w:val="20"/>
        </w:rPr>
        <w:t>, as well as the risks associated with the global economy</w:t>
      </w:r>
      <w:r w:rsidRPr="00B02DC0">
        <w:rPr>
          <w:rFonts w:ascii="GHEA Grapalat" w:hAnsi="GHEA Grapalat"/>
          <w:sz w:val="20"/>
          <w:szCs w:val="20"/>
        </w:rPr>
        <w:t xml:space="preserve">, the Bank of Russia is expected to continue </w:t>
      </w:r>
      <w:r>
        <w:rPr>
          <w:rFonts w:ascii="GHEA Grapalat" w:hAnsi="GHEA Grapalat"/>
          <w:sz w:val="20"/>
          <w:szCs w:val="20"/>
        </w:rPr>
        <w:t xml:space="preserve">a rapid </w:t>
      </w:r>
      <w:r w:rsidRPr="00B02DC0">
        <w:rPr>
          <w:rFonts w:ascii="GHEA Grapalat" w:hAnsi="GHEA Grapalat"/>
          <w:sz w:val="20"/>
          <w:szCs w:val="20"/>
        </w:rPr>
        <w:t xml:space="preserve">easing </w:t>
      </w:r>
      <w:r>
        <w:rPr>
          <w:rFonts w:ascii="GHEA Grapalat" w:hAnsi="GHEA Grapalat"/>
          <w:sz w:val="20"/>
          <w:szCs w:val="20"/>
        </w:rPr>
        <w:t xml:space="preserve">of </w:t>
      </w:r>
      <w:r w:rsidRPr="00B02DC0">
        <w:rPr>
          <w:rFonts w:ascii="GHEA Grapalat" w:hAnsi="GHEA Grapalat"/>
          <w:sz w:val="20"/>
          <w:szCs w:val="20"/>
        </w:rPr>
        <w:t>monetary conditions.</w:t>
      </w:r>
    </w:p>
    <w:p w14:paraId="6ECA4206" w14:textId="097EFDD6" w:rsidR="004F213F" w:rsidRPr="005830D2" w:rsidRDefault="004F213F" w:rsidP="004F213F">
      <w:pPr>
        <w:spacing w:before="120" w:line="330" w:lineRule="atLeast"/>
        <w:ind w:firstLine="284"/>
        <w:rPr>
          <w:rFonts w:ascii="GHEA Grapalat" w:hAnsi="GHEA Grapalat"/>
          <w:i/>
          <w:sz w:val="20"/>
          <w:szCs w:val="20"/>
          <w:lang w:val="hy-AM"/>
        </w:rPr>
      </w:pPr>
      <w:r w:rsidRPr="00F535EF">
        <w:rPr>
          <w:rFonts w:ascii="GHEA Grapalat" w:hAnsi="GHEA Grapalat"/>
          <w:b/>
          <w:i/>
          <w:sz w:val="20"/>
          <w:szCs w:val="20"/>
        </w:rPr>
        <w:t>Developments in world commodity and food product markets:</w:t>
      </w:r>
      <w:r>
        <w:rPr>
          <w:rFonts w:ascii="GHEA Grapalat" w:hAnsi="GHEA Grapalat"/>
          <w:sz w:val="20"/>
          <w:szCs w:val="20"/>
        </w:rPr>
        <w:t xml:space="preserve"> The coronavirus pan</w:t>
      </w:r>
      <w:r w:rsidRPr="00AD073F">
        <w:rPr>
          <w:rFonts w:ascii="GHEA Grapalat" w:hAnsi="GHEA Grapalat"/>
          <w:sz w:val="20"/>
          <w:szCs w:val="20"/>
        </w:rPr>
        <w:t xml:space="preserve">demic has </w:t>
      </w:r>
      <w:r>
        <w:rPr>
          <w:rFonts w:ascii="GHEA Grapalat" w:hAnsi="GHEA Grapalat"/>
          <w:sz w:val="20"/>
          <w:szCs w:val="20"/>
        </w:rPr>
        <w:t xml:space="preserve">adversely </w:t>
      </w:r>
      <w:r w:rsidRPr="00AD073F">
        <w:rPr>
          <w:rFonts w:ascii="GHEA Grapalat" w:hAnsi="GHEA Grapalat"/>
          <w:sz w:val="20"/>
          <w:szCs w:val="20"/>
        </w:rPr>
        <w:t>affected both demand and supply in commodity markets.</w:t>
      </w:r>
      <w:r>
        <w:rPr>
          <w:rFonts w:ascii="GHEA Grapalat" w:hAnsi="GHEA Grapalat"/>
          <w:sz w:val="20"/>
          <w:szCs w:val="20"/>
        </w:rPr>
        <w:t xml:space="preserve"> </w:t>
      </w:r>
      <w:r w:rsidRPr="00AD073F">
        <w:rPr>
          <w:rFonts w:ascii="GHEA Grapalat" w:hAnsi="GHEA Grapalat"/>
          <w:sz w:val="20"/>
          <w:szCs w:val="20"/>
        </w:rPr>
        <w:t xml:space="preserve">The primary impact </w:t>
      </w:r>
      <w:r>
        <w:rPr>
          <w:rFonts w:ascii="GHEA Grapalat" w:hAnsi="GHEA Grapalat"/>
          <w:sz w:val="20"/>
          <w:szCs w:val="20"/>
        </w:rPr>
        <w:t xml:space="preserve">incurred by </w:t>
      </w:r>
      <w:r w:rsidRPr="00AD073F">
        <w:rPr>
          <w:rFonts w:ascii="GHEA Grapalat" w:hAnsi="GHEA Grapalat"/>
          <w:sz w:val="20"/>
          <w:szCs w:val="20"/>
        </w:rPr>
        <w:t xml:space="preserve">markets </w:t>
      </w:r>
      <w:r>
        <w:rPr>
          <w:rFonts w:ascii="GHEA Grapalat" w:hAnsi="GHEA Grapalat"/>
          <w:sz w:val="20"/>
          <w:szCs w:val="20"/>
        </w:rPr>
        <w:t>has been a result of</w:t>
      </w:r>
      <w:r w:rsidRPr="00AD073F">
        <w:rPr>
          <w:rFonts w:ascii="GHEA Grapalat" w:hAnsi="GHEA Grapalat"/>
          <w:sz w:val="20"/>
          <w:szCs w:val="20"/>
        </w:rPr>
        <w:t xml:space="preserve"> country</w:t>
      </w:r>
      <w:r>
        <w:rPr>
          <w:rFonts w:ascii="GHEA Grapalat" w:hAnsi="GHEA Grapalat"/>
          <w:sz w:val="20"/>
          <w:szCs w:val="20"/>
        </w:rPr>
        <w:t xml:space="preserve"> lockdowns </w:t>
      </w:r>
      <w:r w:rsidRPr="00AD073F">
        <w:rPr>
          <w:rFonts w:ascii="GHEA Grapalat" w:hAnsi="GHEA Grapalat"/>
          <w:sz w:val="20"/>
          <w:szCs w:val="20"/>
        </w:rPr>
        <w:t xml:space="preserve">and </w:t>
      </w:r>
      <w:r>
        <w:rPr>
          <w:rFonts w:ascii="GHEA Grapalat" w:hAnsi="GHEA Grapalat"/>
          <w:sz w:val="20"/>
          <w:szCs w:val="20"/>
        </w:rPr>
        <w:t xml:space="preserve">disrupted </w:t>
      </w:r>
      <w:r w:rsidRPr="00AD073F">
        <w:rPr>
          <w:rFonts w:ascii="GHEA Grapalat" w:hAnsi="GHEA Grapalat"/>
          <w:sz w:val="20"/>
          <w:szCs w:val="20"/>
        </w:rPr>
        <w:t>production chains, and the secondary impact was due to the slowdown in global economic growth.</w:t>
      </w:r>
      <w:r>
        <w:rPr>
          <w:rFonts w:ascii="GHEA Grapalat" w:hAnsi="GHEA Grapalat"/>
          <w:sz w:val="20"/>
          <w:szCs w:val="20"/>
        </w:rPr>
        <w:t xml:space="preserve"> Prices in</w:t>
      </w:r>
      <w:r w:rsidRPr="00B02DC0">
        <w:rPr>
          <w:rFonts w:ascii="GHEA Grapalat" w:hAnsi="GHEA Grapalat"/>
          <w:sz w:val="20"/>
          <w:szCs w:val="20"/>
        </w:rPr>
        <w:t xml:space="preserve"> </w:t>
      </w:r>
      <w:r>
        <w:rPr>
          <w:rFonts w:ascii="GHEA Grapalat" w:hAnsi="GHEA Grapalat"/>
          <w:sz w:val="20"/>
          <w:szCs w:val="20"/>
        </w:rPr>
        <w:t xml:space="preserve">major </w:t>
      </w:r>
      <w:r w:rsidRPr="00B02DC0">
        <w:rPr>
          <w:rFonts w:ascii="GHEA Grapalat" w:hAnsi="GHEA Grapalat"/>
          <w:sz w:val="20"/>
          <w:szCs w:val="20"/>
        </w:rPr>
        <w:t xml:space="preserve">commodity and food product </w:t>
      </w:r>
      <w:r>
        <w:rPr>
          <w:rFonts w:ascii="GHEA Grapalat" w:hAnsi="GHEA Grapalat"/>
          <w:sz w:val="20"/>
          <w:szCs w:val="20"/>
        </w:rPr>
        <w:t xml:space="preserve">groups in </w:t>
      </w:r>
      <w:r w:rsidRPr="00B02DC0">
        <w:rPr>
          <w:rFonts w:ascii="GHEA Grapalat" w:hAnsi="GHEA Grapalat"/>
          <w:sz w:val="20"/>
          <w:szCs w:val="20"/>
        </w:rPr>
        <w:t>the f</w:t>
      </w:r>
      <w:r>
        <w:rPr>
          <w:rFonts w:ascii="GHEA Grapalat" w:hAnsi="GHEA Grapalat"/>
          <w:sz w:val="20"/>
          <w:szCs w:val="20"/>
        </w:rPr>
        <w:t>irst</w:t>
      </w:r>
      <w:r w:rsidRPr="00B02DC0">
        <w:rPr>
          <w:rFonts w:ascii="GHEA Grapalat" w:hAnsi="GHEA Grapalat"/>
          <w:sz w:val="20"/>
          <w:szCs w:val="20"/>
        </w:rPr>
        <w:t xml:space="preserve"> quarter of 20</w:t>
      </w:r>
      <w:r>
        <w:rPr>
          <w:rFonts w:ascii="GHEA Grapalat" w:hAnsi="GHEA Grapalat"/>
          <w:sz w:val="20"/>
          <w:szCs w:val="20"/>
        </w:rPr>
        <w:t xml:space="preserve">20 followed a downward path relative to the previous quarter. </w:t>
      </w:r>
      <w:r w:rsidRPr="005E50B0">
        <w:rPr>
          <w:rFonts w:ascii="GHEA Grapalat" w:hAnsi="GHEA Grapalat"/>
          <w:sz w:val="20"/>
          <w:szCs w:val="20"/>
        </w:rPr>
        <w:t xml:space="preserve">Price </w:t>
      </w:r>
      <w:r>
        <w:rPr>
          <w:rFonts w:ascii="GHEA Grapalat" w:hAnsi="GHEA Grapalat"/>
          <w:sz w:val="20"/>
          <w:szCs w:val="20"/>
        </w:rPr>
        <w:t xml:space="preserve">falling </w:t>
      </w:r>
      <w:r w:rsidRPr="005E50B0">
        <w:rPr>
          <w:rFonts w:ascii="GHEA Grapalat" w:hAnsi="GHEA Grapalat"/>
          <w:sz w:val="20"/>
          <w:szCs w:val="20"/>
        </w:rPr>
        <w:t xml:space="preserve">continued </w:t>
      </w:r>
      <w:r>
        <w:rPr>
          <w:rFonts w:ascii="GHEA Grapalat" w:hAnsi="GHEA Grapalat"/>
          <w:sz w:val="20"/>
          <w:szCs w:val="20"/>
        </w:rPr>
        <w:t xml:space="preserve">also </w:t>
      </w:r>
      <w:r w:rsidRPr="005E50B0">
        <w:rPr>
          <w:rFonts w:ascii="GHEA Grapalat" w:hAnsi="GHEA Grapalat"/>
          <w:sz w:val="20"/>
          <w:szCs w:val="20"/>
        </w:rPr>
        <w:t xml:space="preserve">in April 2020, but </w:t>
      </w:r>
      <w:r>
        <w:rPr>
          <w:rFonts w:ascii="GHEA Grapalat" w:hAnsi="GHEA Grapalat"/>
          <w:sz w:val="20"/>
          <w:szCs w:val="20"/>
        </w:rPr>
        <w:t>they tended to stabilize during</w:t>
      </w:r>
      <w:r w:rsidRPr="005E50B0">
        <w:rPr>
          <w:rFonts w:ascii="GHEA Grapalat" w:hAnsi="GHEA Grapalat"/>
          <w:sz w:val="20"/>
          <w:szCs w:val="20"/>
        </w:rPr>
        <w:t xml:space="preserve"> May.</w:t>
      </w:r>
    </w:p>
    <w:p w14:paraId="6053D823" w14:textId="6B5D87D9" w:rsidR="004F213F" w:rsidRDefault="004F213F" w:rsidP="004F213F">
      <w:pPr>
        <w:spacing w:line="330" w:lineRule="atLeast"/>
        <w:ind w:firstLine="284"/>
        <w:rPr>
          <w:rFonts w:ascii="GHEA Grapalat" w:hAnsi="GHEA Grapalat"/>
          <w:sz w:val="20"/>
          <w:szCs w:val="20"/>
        </w:rPr>
      </w:pPr>
      <w:r>
        <w:rPr>
          <w:rFonts w:ascii="GHEA Grapalat" w:hAnsi="GHEA Grapalat"/>
          <w:sz w:val="20"/>
          <w:szCs w:val="20"/>
        </w:rPr>
        <w:t xml:space="preserve">The first quarter of 2020 saw copper prices fallen by 4.6% q/q </w:t>
      </w:r>
      <w:r w:rsidRPr="00B02DC0">
        <w:rPr>
          <w:rFonts w:ascii="GHEA Grapalat" w:hAnsi="GHEA Grapalat"/>
          <w:sz w:val="20"/>
          <w:szCs w:val="20"/>
        </w:rPr>
        <w:t xml:space="preserve">in the </w:t>
      </w:r>
      <w:r>
        <w:rPr>
          <w:rFonts w:ascii="GHEA Grapalat" w:hAnsi="GHEA Grapalat"/>
          <w:sz w:val="20"/>
          <w:szCs w:val="20"/>
        </w:rPr>
        <w:t xml:space="preserve">international market after the Chinese economy </w:t>
      </w:r>
      <w:r w:rsidRPr="00B02DC0">
        <w:rPr>
          <w:rFonts w:ascii="GHEA Grapalat" w:hAnsi="GHEA Grapalat"/>
          <w:sz w:val="20"/>
          <w:szCs w:val="20"/>
        </w:rPr>
        <w:t xml:space="preserve">slackened amid </w:t>
      </w:r>
      <w:r>
        <w:rPr>
          <w:rFonts w:ascii="GHEA Grapalat" w:hAnsi="GHEA Grapalat"/>
          <w:sz w:val="20"/>
          <w:szCs w:val="20"/>
        </w:rPr>
        <w:t xml:space="preserve">a spread of the pandemic. The </w:t>
      </w:r>
      <w:r w:rsidRPr="00822CEB">
        <w:rPr>
          <w:rFonts w:ascii="GHEA Grapalat" w:hAnsi="GHEA Grapalat"/>
          <w:sz w:val="20"/>
          <w:szCs w:val="20"/>
        </w:rPr>
        <w:t xml:space="preserve">copper prices </w:t>
      </w:r>
      <w:r>
        <w:rPr>
          <w:rFonts w:ascii="GHEA Grapalat" w:hAnsi="GHEA Grapalat"/>
          <w:sz w:val="20"/>
          <w:szCs w:val="20"/>
        </w:rPr>
        <w:t xml:space="preserve">somehow rebounded in April as </w:t>
      </w:r>
      <w:r w:rsidRPr="00822CEB">
        <w:rPr>
          <w:rFonts w:ascii="GHEA Grapalat" w:hAnsi="GHEA Grapalat"/>
          <w:sz w:val="20"/>
          <w:szCs w:val="20"/>
        </w:rPr>
        <w:t>the Chinese economy</w:t>
      </w:r>
      <w:r>
        <w:rPr>
          <w:rFonts w:ascii="GHEA Grapalat" w:hAnsi="GHEA Grapalat"/>
          <w:sz w:val="20"/>
          <w:szCs w:val="20"/>
        </w:rPr>
        <w:t xml:space="preserve"> showed signs of recovery</w:t>
      </w:r>
      <w:r w:rsidRPr="00822CEB">
        <w:rPr>
          <w:rFonts w:ascii="GHEA Grapalat" w:hAnsi="GHEA Grapalat"/>
          <w:sz w:val="20"/>
          <w:szCs w:val="20"/>
        </w:rPr>
        <w:t>.</w:t>
      </w:r>
      <w:r w:rsidRPr="00B02DC0">
        <w:rPr>
          <w:rFonts w:ascii="GHEA Grapalat" w:hAnsi="GHEA Grapalat"/>
          <w:sz w:val="20"/>
          <w:szCs w:val="20"/>
        </w:rPr>
        <w:t xml:space="preserve"> </w:t>
      </w:r>
      <w:r w:rsidRPr="00176635">
        <w:rPr>
          <w:rFonts w:ascii="GHEA Grapalat" w:hAnsi="GHEA Grapalat"/>
          <w:sz w:val="20"/>
          <w:szCs w:val="20"/>
        </w:rPr>
        <w:t xml:space="preserve">In the first quarter of </w:t>
      </w:r>
      <w:r>
        <w:rPr>
          <w:rFonts w:ascii="GHEA Grapalat" w:hAnsi="GHEA Grapalat"/>
          <w:sz w:val="20"/>
          <w:szCs w:val="20"/>
        </w:rPr>
        <w:t>2020</w:t>
      </w:r>
      <w:r w:rsidRPr="00176635">
        <w:rPr>
          <w:rFonts w:ascii="GHEA Grapalat" w:hAnsi="GHEA Grapalat"/>
          <w:sz w:val="20"/>
          <w:szCs w:val="20"/>
        </w:rPr>
        <w:t xml:space="preserve">, </w:t>
      </w:r>
      <w:r>
        <w:rPr>
          <w:rFonts w:ascii="GHEA Grapalat" w:hAnsi="GHEA Grapalat"/>
          <w:sz w:val="20"/>
          <w:szCs w:val="20"/>
        </w:rPr>
        <w:t xml:space="preserve">relative </w:t>
      </w:r>
      <w:r w:rsidRPr="00176635">
        <w:rPr>
          <w:rFonts w:ascii="GHEA Grapalat" w:hAnsi="GHEA Grapalat"/>
          <w:sz w:val="20"/>
          <w:szCs w:val="20"/>
        </w:rPr>
        <w:t xml:space="preserve">to the previous quarter, international oil prices </w:t>
      </w:r>
      <w:r>
        <w:rPr>
          <w:rFonts w:ascii="GHEA Grapalat" w:hAnsi="GHEA Grapalat"/>
          <w:sz w:val="20"/>
          <w:szCs w:val="20"/>
        </w:rPr>
        <w:t xml:space="preserve">had plunged </w:t>
      </w:r>
      <w:r w:rsidRPr="00176635">
        <w:rPr>
          <w:rFonts w:ascii="GHEA Grapalat" w:hAnsi="GHEA Grapalat"/>
          <w:sz w:val="20"/>
          <w:szCs w:val="20"/>
        </w:rPr>
        <w:t>by 22.2%</w:t>
      </w:r>
      <w:r>
        <w:rPr>
          <w:rFonts w:ascii="GHEA Grapalat" w:hAnsi="GHEA Grapalat"/>
          <w:sz w:val="20"/>
          <w:szCs w:val="20"/>
        </w:rPr>
        <w:t xml:space="preserve"> q/q</w:t>
      </w:r>
      <w:r w:rsidRPr="00176635">
        <w:rPr>
          <w:rFonts w:ascii="GHEA Grapalat" w:hAnsi="GHEA Grapalat"/>
          <w:sz w:val="20"/>
          <w:szCs w:val="20"/>
        </w:rPr>
        <w:t xml:space="preserve"> </w:t>
      </w:r>
      <w:r>
        <w:rPr>
          <w:rFonts w:ascii="GHEA Grapalat" w:hAnsi="GHEA Grapalat"/>
          <w:sz w:val="20"/>
          <w:szCs w:val="20"/>
        </w:rPr>
        <w:t xml:space="preserve">after a </w:t>
      </w:r>
      <w:r w:rsidRPr="00176635">
        <w:rPr>
          <w:rFonts w:ascii="GHEA Grapalat" w:hAnsi="GHEA Grapalat"/>
          <w:sz w:val="20"/>
          <w:szCs w:val="20"/>
        </w:rPr>
        <w:t xml:space="preserve">sharp decline in demand for oil products </w:t>
      </w:r>
      <w:r>
        <w:rPr>
          <w:rFonts w:ascii="GHEA Grapalat" w:hAnsi="GHEA Grapalat"/>
          <w:sz w:val="20"/>
          <w:szCs w:val="20"/>
        </w:rPr>
        <w:t xml:space="preserve">due to </w:t>
      </w:r>
      <w:r w:rsidRPr="00176635">
        <w:rPr>
          <w:rFonts w:ascii="GHEA Grapalat" w:hAnsi="GHEA Grapalat"/>
          <w:sz w:val="20"/>
          <w:szCs w:val="20"/>
        </w:rPr>
        <w:t>cancell</w:t>
      </w:r>
      <w:r>
        <w:rPr>
          <w:rFonts w:ascii="GHEA Grapalat" w:hAnsi="GHEA Grapalat"/>
          <w:sz w:val="20"/>
          <w:szCs w:val="20"/>
        </w:rPr>
        <w:t xml:space="preserve">ed </w:t>
      </w:r>
      <w:r w:rsidRPr="00176635">
        <w:rPr>
          <w:rFonts w:ascii="GHEA Grapalat" w:hAnsi="GHEA Grapalat"/>
          <w:sz w:val="20"/>
          <w:szCs w:val="20"/>
        </w:rPr>
        <w:t xml:space="preserve">flights </w:t>
      </w:r>
      <w:r>
        <w:rPr>
          <w:rFonts w:ascii="GHEA Grapalat" w:hAnsi="GHEA Grapalat"/>
          <w:sz w:val="20"/>
          <w:szCs w:val="20"/>
        </w:rPr>
        <w:t xml:space="preserve">between </w:t>
      </w:r>
      <w:r w:rsidRPr="00176635">
        <w:rPr>
          <w:rFonts w:ascii="GHEA Grapalat" w:hAnsi="GHEA Grapalat"/>
          <w:sz w:val="20"/>
          <w:szCs w:val="20"/>
        </w:rPr>
        <w:t>countries under the pandemic</w:t>
      </w:r>
      <w:r>
        <w:rPr>
          <w:rFonts w:ascii="GHEA Grapalat" w:hAnsi="GHEA Grapalat"/>
          <w:sz w:val="20"/>
          <w:szCs w:val="20"/>
        </w:rPr>
        <w:t xml:space="preserve"> on the one </w:t>
      </w:r>
      <w:r>
        <w:rPr>
          <w:rFonts w:ascii="GHEA Grapalat" w:hAnsi="GHEA Grapalat"/>
          <w:sz w:val="20"/>
          <w:szCs w:val="20"/>
        </w:rPr>
        <w:t>hand and</w:t>
      </w:r>
      <w:r>
        <w:rPr>
          <w:rFonts w:ascii="GHEA Grapalat" w:hAnsi="GHEA Grapalat"/>
          <w:sz w:val="20"/>
          <w:szCs w:val="20"/>
        </w:rPr>
        <w:t xml:space="preserve"> following </w:t>
      </w:r>
      <w:r w:rsidRPr="00176635">
        <w:rPr>
          <w:rFonts w:ascii="GHEA Grapalat" w:hAnsi="GHEA Grapalat"/>
          <w:sz w:val="20"/>
          <w:szCs w:val="20"/>
        </w:rPr>
        <w:t>the disagreement over the reduction of</w:t>
      </w:r>
      <w:r>
        <w:rPr>
          <w:rFonts w:ascii="GHEA Grapalat" w:hAnsi="GHEA Grapalat"/>
          <w:sz w:val="20"/>
          <w:szCs w:val="20"/>
        </w:rPr>
        <w:t xml:space="preserve"> supply in OPEC + member states </w:t>
      </w:r>
      <w:r w:rsidRPr="00176635">
        <w:rPr>
          <w:rFonts w:ascii="GHEA Grapalat" w:hAnsi="GHEA Grapalat"/>
          <w:sz w:val="20"/>
          <w:szCs w:val="20"/>
        </w:rPr>
        <w:t>during the first quarter</w:t>
      </w:r>
      <w:r>
        <w:rPr>
          <w:rFonts w:ascii="GHEA Grapalat" w:hAnsi="GHEA Grapalat"/>
          <w:sz w:val="20"/>
          <w:szCs w:val="20"/>
        </w:rPr>
        <w:t xml:space="preserve">, on the other. Albeit kept on dropping </w:t>
      </w:r>
      <w:r w:rsidRPr="00083393">
        <w:rPr>
          <w:rFonts w:ascii="GHEA Grapalat" w:hAnsi="GHEA Grapalat"/>
          <w:sz w:val="20"/>
          <w:szCs w:val="20"/>
        </w:rPr>
        <w:t xml:space="preserve">in April, </w:t>
      </w:r>
      <w:r>
        <w:rPr>
          <w:rFonts w:ascii="GHEA Grapalat" w:hAnsi="GHEA Grapalat"/>
          <w:sz w:val="20"/>
          <w:szCs w:val="20"/>
        </w:rPr>
        <w:t xml:space="preserve">oil prices restored to some extent during </w:t>
      </w:r>
      <w:r w:rsidRPr="00083393">
        <w:rPr>
          <w:rFonts w:ascii="GHEA Grapalat" w:hAnsi="GHEA Grapalat"/>
          <w:sz w:val="20"/>
          <w:szCs w:val="20"/>
        </w:rPr>
        <w:t xml:space="preserve">May </w:t>
      </w:r>
      <w:r>
        <w:rPr>
          <w:rFonts w:ascii="GHEA Grapalat" w:hAnsi="GHEA Grapalat"/>
          <w:sz w:val="20"/>
          <w:szCs w:val="20"/>
        </w:rPr>
        <w:t xml:space="preserve">as terms of </w:t>
      </w:r>
      <w:r w:rsidRPr="00083393">
        <w:rPr>
          <w:rFonts w:ascii="GHEA Grapalat" w:hAnsi="GHEA Grapalat"/>
          <w:sz w:val="20"/>
          <w:szCs w:val="20"/>
        </w:rPr>
        <w:t xml:space="preserve">agreement reached between OPEC + member states </w:t>
      </w:r>
      <w:r>
        <w:rPr>
          <w:rFonts w:ascii="GHEA Grapalat" w:hAnsi="GHEA Grapalat"/>
          <w:sz w:val="20"/>
          <w:szCs w:val="20"/>
        </w:rPr>
        <w:t xml:space="preserve">over reduction of supply were extended further. </w:t>
      </w:r>
      <w:r w:rsidRPr="00083393">
        <w:rPr>
          <w:rFonts w:ascii="GHEA Grapalat" w:hAnsi="GHEA Grapalat"/>
          <w:sz w:val="20"/>
          <w:szCs w:val="20"/>
        </w:rPr>
        <w:t>In 2020</w:t>
      </w:r>
      <w:r>
        <w:rPr>
          <w:rFonts w:ascii="GHEA Grapalat" w:hAnsi="GHEA Grapalat"/>
          <w:sz w:val="20"/>
          <w:szCs w:val="20"/>
        </w:rPr>
        <w:t xml:space="preserve"> </w:t>
      </w:r>
      <w:r w:rsidRPr="00083393">
        <w:rPr>
          <w:rFonts w:ascii="GHEA Grapalat" w:hAnsi="GHEA Grapalat"/>
          <w:sz w:val="20"/>
          <w:szCs w:val="20"/>
        </w:rPr>
        <w:t xml:space="preserve">international prices </w:t>
      </w:r>
      <w:r>
        <w:rPr>
          <w:rFonts w:ascii="GHEA Grapalat" w:hAnsi="GHEA Grapalat"/>
          <w:sz w:val="20"/>
          <w:szCs w:val="20"/>
        </w:rPr>
        <w:t xml:space="preserve">of </w:t>
      </w:r>
      <w:r w:rsidRPr="00083393">
        <w:rPr>
          <w:rFonts w:ascii="GHEA Grapalat" w:hAnsi="GHEA Grapalat"/>
          <w:sz w:val="20"/>
          <w:szCs w:val="20"/>
        </w:rPr>
        <w:t xml:space="preserve">raw materials, particularly copper and oil, will remain </w:t>
      </w:r>
      <w:r>
        <w:rPr>
          <w:rFonts w:ascii="GHEA Grapalat" w:hAnsi="GHEA Grapalat"/>
          <w:sz w:val="20"/>
          <w:szCs w:val="20"/>
        </w:rPr>
        <w:t>at their lows</w:t>
      </w:r>
      <w:r w:rsidRPr="00083393">
        <w:rPr>
          <w:rFonts w:ascii="GHEA Grapalat" w:hAnsi="GHEA Grapalat"/>
          <w:sz w:val="20"/>
          <w:szCs w:val="20"/>
        </w:rPr>
        <w:t>.</w:t>
      </w:r>
    </w:p>
    <w:p w14:paraId="0B97AF94" w14:textId="77777777" w:rsidR="004F213F" w:rsidRDefault="004F213F" w:rsidP="004F213F">
      <w:pPr>
        <w:spacing w:line="330" w:lineRule="atLeast"/>
        <w:ind w:firstLine="284"/>
        <w:rPr>
          <w:rFonts w:ascii="GHEA Grapalat" w:hAnsi="GHEA Grapalat"/>
          <w:sz w:val="20"/>
          <w:szCs w:val="20"/>
        </w:rPr>
      </w:pPr>
      <w:r>
        <w:rPr>
          <w:rFonts w:ascii="GHEA Grapalat" w:hAnsi="GHEA Grapalat"/>
          <w:sz w:val="20"/>
          <w:szCs w:val="20"/>
        </w:rPr>
        <w:t xml:space="preserve">During </w:t>
      </w:r>
      <w:r w:rsidRPr="007C0D64">
        <w:rPr>
          <w:rFonts w:ascii="GHEA Grapalat" w:hAnsi="GHEA Grapalat"/>
          <w:sz w:val="20"/>
          <w:szCs w:val="20"/>
        </w:rPr>
        <w:t>the first quarter</w:t>
      </w:r>
      <w:r>
        <w:rPr>
          <w:rFonts w:ascii="GHEA Grapalat" w:hAnsi="GHEA Grapalat"/>
          <w:sz w:val="20"/>
          <w:szCs w:val="20"/>
        </w:rPr>
        <w:t xml:space="preserve"> of 2020,</w:t>
      </w:r>
      <w:r w:rsidRPr="007C0D64">
        <w:rPr>
          <w:rFonts w:ascii="GHEA Grapalat" w:hAnsi="GHEA Grapalat"/>
          <w:sz w:val="20"/>
          <w:szCs w:val="20"/>
        </w:rPr>
        <w:t xml:space="preserve"> </w:t>
      </w:r>
      <w:r>
        <w:rPr>
          <w:rFonts w:ascii="GHEA Grapalat" w:hAnsi="GHEA Grapalat"/>
          <w:sz w:val="20"/>
          <w:szCs w:val="20"/>
        </w:rPr>
        <w:t xml:space="preserve">a fall in prices since February was observable in the food product market. During the second quarter </w:t>
      </w:r>
      <w:r w:rsidRPr="007C0D64">
        <w:rPr>
          <w:rFonts w:ascii="GHEA Grapalat" w:hAnsi="GHEA Grapalat"/>
          <w:sz w:val="20"/>
          <w:szCs w:val="20"/>
        </w:rPr>
        <w:t xml:space="preserve">(April-May), these trends continued, and if the uncertainties in the world economy persist, they will </w:t>
      </w:r>
      <w:r>
        <w:rPr>
          <w:rFonts w:ascii="GHEA Grapalat" w:hAnsi="GHEA Grapalat"/>
          <w:sz w:val="20"/>
          <w:szCs w:val="20"/>
        </w:rPr>
        <w:t xml:space="preserve">carry on </w:t>
      </w:r>
      <w:r w:rsidRPr="007C0D64">
        <w:rPr>
          <w:rFonts w:ascii="GHEA Grapalat" w:hAnsi="GHEA Grapalat"/>
          <w:sz w:val="20"/>
          <w:szCs w:val="20"/>
        </w:rPr>
        <w:t>in the short term</w:t>
      </w:r>
      <w:r>
        <w:rPr>
          <w:rFonts w:ascii="GHEA Grapalat" w:hAnsi="GHEA Grapalat"/>
          <w:sz w:val="20"/>
          <w:szCs w:val="20"/>
        </w:rPr>
        <w:t xml:space="preserve"> as well</w:t>
      </w:r>
      <w:r w:rsidRPr="007C0D64">
        <w:rPr>
          <w:rFonts w:ascii="GHEA Grapalat" w:hAnsi="GHEA Grapalat"/>
          <w:sz w:val="20"/>
          <w:szCs w:val="20"/>
        </w:rPr>
        <w:t>.</w:t>
      </w:r>
    </w:p>
    <w:p w14:paraId="553773B7" w14:textId="77777777" w:rsidR="004F213F" w:rsidRPr="005830D2" w:rsidRDefault="004F213F" w:rsidP="004F213F">
      <w:pPr>
        <w:spacing w:line="330" w:lineRule="atLeast"/>
        <w:ind w:firstLine="284"/>
        <w:rPr>
          <w:rFonts w:ascii="GHEA Grapalat" w:hAnsi="GHEA Grapalat"/>
          <w:sz w:val="20"/>
          <w:szCs w:val="20"/>
          <w:lang w:val="hy-AM"/>
        </w:rPr>
      </w:pPr>
    </w:p>
    <w:p w14:paraId="4B5F211A" w14:textId="77777777" w:rsidR="004F213F" w:rsidRPr="00D35E1A" w:rsidRDefault="004F213F" w:rsidP="004F213F">
      <w:pPr>
        <w:autoSpaceDE w:val="0"/>
        <w:autoSpaceDN w:val="0"/>
        <w:adjustRightInd w:val="0"/>
        <w:spacing w:line="290" w:lineRule="atLeast"/>
        <w:rPr>
          <w:rFonts w:ascii="GHEA Grapalat" w:hAnsi="GHEA Grapalat"/>
          <w:b/>
          <w:color w:val="1F497D"/>
          <w:spacing w:val="20"/>
          <w:sz w:val="20"/>
          <w:szCs w:val="20"/>
          <w:lang w:val="hy-AM"/>
        </w:rPr>
      </w:pPr>
    </w:p>
    <w:p w14:paraId="1B85B252" w14:textId="77777777" w:rsidR="004F213F" w:rsidRDefault="004F213F" w:rsidP="004F213F">
      <w:pPr>
        <w:autoSpaceDE w:val="0"/>
        <w:autoSpaceDN w:val="0"/>
        <w:adjustRightInd w:val="0"/>
        <w:spacing w:line="290" w:lineRule="atLeast"/>
        <w:jc w:val="both"/>
        <w:rPr>
          <w:rFonts w:ascii="GHEA Grapalat" w:hAnsi="GHEA Grapalat"/>
          <w:b/>
          <w:color w:val="1F497D"/>
          <w:spacing w:val="20"/>
          <w:sz w:val="20"/>
          <w:szCs w:val="20"/>
          <w:lang w:val="es-AR"/>
        </w:rPr>
      </w:pPr>
      <w:r w:rsidRPr="0049058F">
        <w:rPr>
          <w:rFonts w:ascii="GHEA Grapalat" w:hAnsi="GHEA Grapalat"/>
          <w:b/>
          <w:color w:val="1F497D"/>
          <w:spacing w:val="20"/>
          <w:sz w:val="20"/>
          <w:szCs w:val="20"/>
          <w:lang w:val="es-AR"/>
        </w:rPr>
        <w:t>2.2. Forecasts</w:t>
      </w:r>
    </w:p>
    <w:p w14:paraId="7316BF64" w14:textId="4C3EF429" w:rsidR="004F213F" w:rsidRPr="007A0C80" w:rsidRDefault="004F213F" w:rsidP="004F213F">
      <w:pPr>
        <w:autoSpaceDE w:val="0"/>
        <w:autoSpaceDN w:val="0"/>
        <w:adjustRightInd w:val="0"/>
        <w:spacing w:line="290" w:lineRule="atLeast"/>
        <w:jc w:val="both"/>
        <w:rPr>
          <w:rFonts w:ascii="GHEA Grapalat" w:hAnsi="GHEA Grapalat"/>
          <w:b/>
          <w:color w:val="1F497D"/>
          <w:sz w:val="12"/>
          <w:szCs w:val="20"/>
          <w:lang w:val="hy-AM"/>
        </w:rPr>
      </w:pPr>
      <w:r w:rsidRPr="0049058F">
        <w:rPr>
          <w:rFonts w:ascii="GHEA Grapalat" w:hAnsi="GHEA Grapalat"/>
          <w:b/>
          <w:color w:val="1F497D"/>
          <w:spacing w:val="20"/>
          <w:sz w:val="20"/>
          <w:szCs w:val="20"/>
          <w:lang w:val="es-AR"/>
        </w:rPr>
        <w:t>2.2.</w:t>
      </w:r>
      <w:r w:rsidRPr="004F213F">
        <w:rPr>
          <w:rFonts w:ascii="GHEA Grapalat" w:hAnsi="GHEA Grapalat"/>
          <w:b/>
          <w:i/>
          <w:sz w:val="20"/>
          <w:szCs w:val="20"/>
        </w:rPr>
        <w:t xml:space="preserve">1. </w:t>
      </w:r>
      <w:r w:rsidRPr="004F213F">
        <w:rPr>
          <w:rFonts w:ascii="GHEA Grapalat" w:hAnsi="GHEA Grapalat"/>
          <w:b/>
          <w:i/>
          <w:sz w:val="20"/>
          <w:szCs w:val="20"/>
        </w:rPr>
        <w:t>Inflación</w:t>
      </w:r>
      <w:r w:rsidRPr="004F213F">
        <w:rPr>
          <w:rFonts w:ascii="GHEA Grapalat" w:hAnsi="GHEA Grapalat"/>
          <w:b/>
          <w:i/>
          <w:sz w:val="20"/>
          <w:szCs w:val="20"/>
        </w:rPr>
        <w:t xml:space="preserve"> and monetary policy</w:t>
      </w:r>
    </w:p>
    <w:p w14:paraId="4AB943BB" w14:textId="77777777" w:rsidR="004F213F" w:rsidRPr="005C2C15" w:rsidRDefault="004F213F" w:rsidP="004F213F">
      <w:pPr>
        <w:spacing w:line="340" w:lineRule="atLeast"/>
        <w:ind w:firstLine="284"/>
        <w:rPr>
          <w:rFonts w:ascii="GHEA Grapalat" w:hAnsi="GHEA Grapalat"/>
          <w:b/>
          <w:i/>
          <w:sz w:val="20"/>
          <w:szCs w:val="20"/>
        </w:rPr>
      </w:pPr>
      <w:r w:rsidRPr="00D8245E">
        <w:rPr>
          <w:rFonts w:ascii="GHEA Grapalat" w:hAnsi="GHEA Grapalat"/>
          <w:b/>
          <w:i/>
          <w:sz w:val="20"/>
          <w:szCs w:val="20"/>
        </w:rPr>
        <w:t xml:space="preserve">Inflation remained </w:t>
      </w:r>
      <w:r>
        <w:rPr>
          <w:rFonts w:ascii="GHEA Grapalat" w:hAnsi="GHEA Grapalat"/>
          <w:b/>
          <w:i/>
          <w:sz w:val="20"/>
          <w:szCs w:val="20"/>
        </w:rPr>
        <w:t xml:space="preserve">at a relatively </w:t>
      </w:r>
      <w:r w:rsidRPr="00D8245E">
        <w:rPr>
          <w:rFonts w:ascii="GHEA Grapalat" w:hAnsi="GHEA Grapalat"/>
          <w:b/>
          <w:i/>
          <w:sz w:val="20"/>
          <w:szCs w:val="20"/>
        </w:rPr>
        <w:t xml:space="preserve">low </w:t>
      </w:r>
      <w:r>
        <w:rPr>
          <w:rFonts w:ascii="GHEA Grapalat" w:hAnsi="GHEA Grapalat"/>
          <w:b/>
          <w:i/>
          <w:sz w:val="20"/>
          <w:szCs w:val="20"/>
        </w:rPr>
        <w:t xml:space="preserve">level </w:t>
      </w:r>
      <w:r w:rsidRPr="00D8245E">
        <w:rPr>
          <w:rFonts w:ascii="GHEA Grapalat" w:hAnsi="GHEA Grapalat"/>
          <w:b/>
          <w:i/>
          <w:sz w:val="20"/>
          <w:szCs w:val="20"/>
        </w:rPr>
        <w:t xml:space="preserve">during this quarter. The </w:t>
      </w:r>
      <w:r>
        <w:rPr>
          <w:rFonts w:ascii="GHEA Grapalat" w:hAnsi="GHEA Grapalat"/>
          <w:b/>
          <w:i/>
          <w:sz w:val="20"/>
          <w:szCs w:val="20"/>
        </w:rPr>
        <w:t xml:space="preserve">Central Bank estimates that </w:t>
      </w:r>
      <w:r w:rsidRPr="0049058F">
        <w:rPr>
          <w:rFonts w:ascii="GHEA Grapalat" w:hAnsi="GHEA Grapalat"/>
          <w:b/>
          <w:i/>
          <w:sz w:val="20"/>
          <w:szCs w:val="20"/>
        </w:rPr>
        <w:t xml:space="preserve">the second quarter </w:t>
      </w:r>
      <w:r>
        <w:rPr>
          <w:rFonts w:ascii="GHEA Grapalat" w:hAnsi="GHEA Grapalat"/>
          <w:b/>
          <w:i/>
          <w:sz w:val="20"/>
          <w:szCs w:val="20"/>
        </w:rPr>
        <w:t>will register o</w:t>
      </w:r>
      <w:r w:rsidRPr="0049058F">
        <w:rPr>
          <w:rFonts w:ascii="GHEA Grapalat" w:hAnsi="GHEA Grapalat"/>
          <w:b/>
          <w:i/>
          <w:sz w:val="20"/>
          <w:szCs w:val="20"/>
        </w:rPr>
        <w:t xml:space="preserve">ne of the deepest </w:t>
      </w:r>
      <w:r>
        <w:rPr>
          <w:rFonts w:ascii="GHEA Grapalat" w:hAnsi="GHEA Grapalat"/>
          <w:b/>
          <w:i/>
          <w:sz w:val="20"/>
          <w:szCs w:val="20"/>
        </w:rPr>
        <w:t>economic declines ever i</w:t>
      </w:r>
      <w:r w:rsidRPr="0049058F">
        <w:rPr>
          <w:rFonts w:ascii="GHEA Grapalat" w:hAnsi="GHEA Grapalat"/>
          <w:b/>
          <w:i/>
          <w:sz w:val="20"/>
          <w:szCs w:val="20"/>
        </w:rPr>
        <w:t xml:space="preserve">n the </w:t>
      </w:r>
      <w:r>
        <w:rPr>
          <w:rFonts w:ascii="GHEA Grapalat" w:hAnsi="GHEA Grapalat"/>
          <w:b/>
          <w:i/>
          <w:sz w:val="20"/>
          <w:szCs w:val="20"/>
        </w:rPr>
        <w:t>external sector</w:t>
      </w:r>
      <w:r w:rsidRPr="0049058F">
        <w:rPr>
          <w:rFonts w:ascii="GHEA Grapalat" w:hAnsi="GHEA Grapalat"/>
          <w:b/>
          <w:i/>
          <w:sz w:val="20"/>
          <w:szCs w:val="20"/>
        </w:rPr>
        <w:t xml:space="preserve">, which will cause deflationary pressures </w:t>
      </w:r>
      <w:r>
        <w:rPr>
          <w:rFonts w:ascii="GHEA Grapalat" w:hAnsi="GHEA Grapalat"/>
          <w:b/>
          <w:i/>
          <w:sz w:val="20"/>
          <w:szCs w:val="20"/>
        </w:rPr>
        <w:t>on</w:t>
      </w:r>
      <w:r w:rsidRPr="0049058F">
        <w:rPr>
          <w:rFonts w:ascii="GHEA Grapalat" w:hAnsi="GHEA Grapalat"/>
          <w:b/>
          <w:i/>
          <w:sz w:val="20"/>
          <w:szCs w:val="20"/>
        </w:rPr>
        <w:t xml:space="preserve"> the Armenian economy.</w:t>
      </w:r>
      <w:r>
        <w:rPr>
          <w:rFonts w:ascii="GHEA Grapalat" w:hAnsi="GHEA Grapalat"/>
          <w:b/>
          <w:i/>
          <w:sz w:val="20"/>
          <w:szCs w:val="20"/>
        </w:rPr>
        <w:t xml:space="preserve"> </w:t>
      </w:r>
      <w:r w:rsidRPr="00D8245E">
        <w:rPr>
          <w:rFonts w:ascii="GHEA Grapalat" w:hAnsi="GHEA Grapalat"/>
          <w:b/>
          <w:i/>
          <w:sz w:val="20"/>
          <w:szCs w:val="20"/>
        </w:rPr>
        <w:t xml:space="preserve">At the same time, </w:t>
      </w:r>
      <w:r>
        <w:rPr>
          <w:rFonts w:ascii="GHEA Grapalat" w:hAnsi="GHEA Grapalat"/>
          <w:b/>
          <w:i/>
          <w:sz w:val="20"/>
          <w:szCs w:val="20"/>
        </w:rPr>
        <w:t>according to current estimates, t</w:t>
      </w:r>
      <w:r w:rsidRPr="00367077">
        <w:rPr>
          <w:rFonts w:ascii="GHEA Grapalat" w:hAnsi="GHEA Grapalat"/>
          <w:b/>
          <w:i/>
          <w:sz w:val="20"/>
          <w:szCs w:val="20"/>
        </w:rPr>
        <w:t xml:space="preserve">he </w:t>
      </w:r>
      <w:r>
        <w:rPr>
          <w:rFonts w:ascii="GHEA Grapalat" w:hAnsi="GHEA Grapalat"/>
          <w:b/>
          <w:i/>
          <w:sz w:val="20"/>
          <w:szCs w:val="20"/>
        </w:rPr>
        <w:t xml:space="preserve">2020 forecast for </w:t>
      </w:r>
      <w:r w:rsidRPr="00367077">
        <w:rPr>
          <w:rFonts w:ascii="GHEA Grapalat" w:hAnsi="GHEA Grapalat"/>
          <w:b/>
          <w:i/>
          <w:sz w:val="20"/>
          <w:szCs w:val="20"/>
        </w:rPr>
        <w:t xml:space="preserve">annual growth rate of the Armenian economy has been </w:t>
      </w:r>
      <w:r>
        <w:rPr>
          <w:rFonts w:ascii="GHEA Grapalat" w:hAnsi="GHEA Grapalat"/>
          <w:b/>
          <w:i/>
          <w:sz w:val="20"/>
          <w:szCs w:val="20"/>
        </w:rPr>
        <w:t>lowered considerably from 0.</w:t>
      </w:r>
      <w:r w:rsidRPr="00367077">
        <w:rPr>
          <w:rFonts w:ascii="GHEA Grapalat" w:hAnsi="GHEA Grapalat"/>
          <w:b/>
          <w:i/>
          <w:sz w:val="20"/>
          <w:szCs w:val="20"/>
        </w:rPr>
        <w:t xml:space="preserve">7% in the previous quarter to -4.0%, which is </w:t>
      </w:r>
      <w:r>
        <w:rPr>
          <w:rFonts w:ascii="GHEA Grapalat" w:hAnsi="GHEA Grapalat"/>
          <w:b/>
          <w:i/>
          <w:sz w:val="20"/>
          <w:szCs w:val="20"/>
        </w:rPr>
        <w:t xml:space="preserve">attributable not only to a deeper </w:t>
      </w:r>
      <w:r w:rsidRPr="00367077">
        <w:rPr>
          <w:rFonts w:ascii="GHEA Grapalat" w:hAnsi="GHEA Grapalat"/>
          <w:b/>
          <w:i/>
          <w:sz w:val="20"/>
          <w:szCs w:val="20"/>
        </w:rPr>
        <w:t xml:space="preserve">decline in economic </w:t>
      </w:r>
      <w:r>
        <w:rPr>
          <w:rFonts w:ascii="GHEA Grapalat" w:hAnsi="GHEA Grapalat"/>
          <w:b/>
          <w:i/>
          <w:sz w:val="20"/>
          <w:szCs w:val="20"/>
        </w:rPr>
        <w:t xml:space="preserve">activity in the second quarter but also expectations of a much slower </w:t>
      </w:r>
      <w:r w:rsidRPr="00367077">
        <w:rPr>
          <w:rFonts w:ascii="GHEA Grapalat" w:hAnsi="GHEA Grapalat"/>
          <w:b/>
          <w:i/>
          <w:sz w:val="20"/>
          <w:szCs w:val="20"/>
        </w:rPr>
        <w:t>recovery</w:t>
      </w:r>
      <w:r>
        <w:rPr>
          <w:rFonts w:ascii="GHEA Grapalat" w:hAnsi="GHEA Grapalat"/>
          <w:b/>
          <w:i/>
          <w:sz w:val="20"/>
          <w:szCs w:val="20"/>
        </w:rPr>
        <w:t xml:space="preserve"> in future</w:t>
      </w:r>
      <w:r w:rsidRPr="00367077">
        <w:rPr>
          <w:rFonts w:ascii="GHEA Grapalat" w:hAnsi="GHEA Grapalat"/>
          <w:b/>
          <w:i/>
          <w:sz w:val="20"/>
          <w:szCs w:val="20"/>
        </w:rPr>
        <w:t>.</w:t>
      </w:r>
      <w:r>
        <w:rPr>
          <w:rFonts w:ascii="GHEA Grapalat" w:hAnsi="GHEA Grapalat"/>
          <w:b/>
          <w:i/>
          <w:sz w:val="20"/>
          <w:szCs w:val="20"/>
        </w:rPr>
        <w:t xml:space="preserve"> Moreover, the Central Bank estimates that, </w:t>
      </w:r>
      <w:r w:rsidRPr="00D8245E">
        <w:rPr>
          <w:rFonts w:ascii="GHEA Grapalat" w:hAnsi="GHEA Grapalat"/>
          <w:b/>
          <w:i/>
          <w:sz w:val="20"/>
          <w:szCs w:val="20"/>
        </w:rPr>
        <w:t xml:space="preserve">in view of </w:t>
      </w:r>
      <w:r>
        <w:rPr>
          <w:rFonts w:ascii="GHEA Grapalat" w:hAnsi="GHEA Grapalat"/>
          <w:b/>
          <w:i/>
          <w:sz w:val="20"/>
          <w:szCs w:val="20"/>
        </w:rPr>
        <w:t xml:space="preserve">high </w:t>
      </w:r>
      <w:r w:rsidRPr="005C2C15">
        <w:rPr>
          <w:rFonts w:ascii="GHEA Grapalat" w:hAnsi="GHEA Grapalat"/>
          <w:b/>
          <w:i/>
          <w:sz w:val="20"/>
          <w:szCs w:val="20"/>
        </w:rPr>
        <w:t>uncertaint</w:t>
      </w:r>
      <w:r>
        <w:rPr>
          <w:rFonts w:ascii="GHEA Grapalat" w:hAnsi="GHEA Grapalat"/>
          <w:b/>
          <w:i/>
          <w:sz w:val="20"/>
          <w:szCs w:val="20"/>
        </w:rPr>
        <w:t>y</w:t>
      </w:r>
      <w:r w:rsidRPr="005C2C15">
        <w:rPr>
          <w:rFonts w:ascii="GHEA Grapalat" w:hAnsi="GHEA Grapalat"/>
          <w:b/>
          <w:i/>
          <w:sz w:val="20"/>
          <w:szCs w:val="20"/>
        </w:rPr>
        <w:t xml:space="preserve">, private demand </w:t>
      </w:r>
      <w:r>
        <w:rPr>
          <w:rFonts w:ascii="GHEA Grapalat" w:hAnsi="GHEA Grapalat"/>
          <w:b/>
          <w:i/>
          <w:sz w:val="20"/>
          <w:szCs w:val="20"/>
        </w:rPr>
        <w:t xml:space="preserve">will incur </w:t>
      </w:r>
      <w:r w:rsidRPr="005C2C15">
        <w:rPr>
          <w:rFonts w:ascii="GHEA Grapalat" w:hAnsi="GHEA Grapalat"/>
          <w:b/>
          <w:i/>
          <w:sz w:val="20"/>
          <w:szCs w:val="20"/>
        </w:rPr>
        <w:t xml:space="preserve">additional negative pressures, so </w:t>
      </w:r>
      <w:r>
        <w:rPr>
          <w:rFonts w:ascii="GHEA Grapalat" w:hAnsi="GHEA Grapalat"/>
          <w:b/>
          <w:i/>
          <w:sz w:val="20"/>
          <w:szCs w:val="20"/>
        </w:rPr>
        <w:t>it</w:t>
      </w:r>
      <w:r w:rsidRPr="005C2C15">
        <w:rPr>
          <w:rFonts w:ascii="GHEA Grapalat" w:hAnsi="GHEA Grapalat"/>
          <w:b/>
          <w:i/>
          <w:sz w:val="20"/>
          <w:szCs w:val="20"/>
        </w:rPr>
        <w:t xml:space="preserve"> decided to re</w:t>
      </w:r>
      <w:r>
        <w:rPr>
          <w:rFonts w:ascii="GHEA Grapalat" w:hAnsi="GHEA Grapalat"/>
          <w:b/>
          <w:i/>
          <w:sz w:val="20"/>
          <w:szCs w:val="20"/>
        </w:rPr>
        <w:t xml:space="preserve">act </w:t>
      </w:r>
      <w:r w:rsidRPr="005C2C15">
        <w:rPr>
          <w:rFonts w:ascii="GHEA Grapalat" w:hAnsi="GHEA Grapalat"/>
          <w:b/>
          <w:i/>
          <w:sz w:val="20"/>
          <w:szCs w:val="20"/>
        </w:rPr>
        <w:t xml:space="preserve">to a greater extent by </w:t>
      </w:r>
      <w:r>
        <w:rPr>
          <w:rFonts w:ascii="GHEA Grapalat" w:hAnsi="GHEA Grapalat"/>
          <w:b/>
          <w:i/>
          <w:sz w:val="20"/>
          <w:szCs w:val="20"/>
        </w:rPr>
        <w:t xml:space="preserve">cutting </w:t>
      </w:r>
      <w:r w:rsidRPr="005C2C15">
        <w:rPr>
          <w:rFonts w:ascii="GHEA Grapalat" w:hAnsi="GHEA Grapalat"/>
          <w:b/>
          <w:i/>
          <w:sz w:val="20"/>
          <w:szCs w:val="20"/>
        </w:rPr>
        <w:t>the refinancing rate by 0.5 p</w:t>
      </w:r>
      <w:r>
        <w:rPr>
          <w:rFonts w:ascii="GHEA Grapalat" w:hAnsi="GHEA Grapalat"/>
          <w:b/>
          <w:i/>
          <w:sz w:val="20"/>
          <w:szCs w:val="20"/>
        </w:rPr>
        <w:t xml:space="preserve">p. As a result, the </w:t>
      </w:r>
      <w:r w:rsidRPr="005C2C15">
        <w:rPr>
          <w:rFonts w:ascii="GHEA Grapalat" w:hAnsi="GHEA Grapalat"/>
          <w:b/>
          <w:i/>
          <w:sz w:val="20"/>
          <w:szCs w:val="20"/>
        </w:rPr>
        <w:t>inflation</w:t>
      </w:r>
      <w:r>
        <w:rPr>
          <w:rFonts w:ascii="GHEA Grapalat" w:hAnsi="GHEA Grapalat"/>
          <w:b/>
          <w:i/>
          <w:sz w:val="20"/>
          <w:szCs w:val="20"/>
        </w:rPr>
        <w:t>,</w:t>
      </w:r>
      <w:r w:rsidRPr="005C2C15">
        <w:rPr>
          <w:rFonts w:ascii="GHEA Grapalat" w:hAnsi="GHEA Grapalat"/>
          <w:b/>
          <w:i/>
          <w:sz w:val="20"/>
          <w:szCs w:val="20"/>
        </w:rPr>
        <w:t xml:space="preserve"> </w:t>
      </w:r>
      <w:r>
        <w:rPr>
          <w:rFonts w:ascii="GHEA Grapalat" w:hAnsi="GHEA Grapalat"/>
          <w:b/>
          <w:i/>
          <w:sz w:val="20"/>
          <w:szCs w:val="20"/>
        </w:rPr>
        <w:t xml:space="preserve">residing below </w:t>
      </w:r>
      <w:r w:rsidRPr="005C2C15">
        <w:rPr>
          <w:rFonts w:ascii="GHEA Grapalat" w:hAnsi="GHEA Grapalat"/>
          <w:b/>
          <w:i/>
          <w:sz w:val="20"/>
          <w:szCs w:val="20"/>
        </w:rPr>
        <w:t xml:space="preserve">the target in the </w:t>
      </w:r>
      <w:r>
        <w:rPr>
          <w:rFonts w:ascii="GHEA Grapalat" w:hAnsi="GHEA Grapalat"/>
          <w:b/>
          <w:i/>
          <w:sz w:val="20"/>
          <w:szCs w:val="20"/>
        </w:rPr>
        <w:t>up</w:t>
      </w:r>
      <w:r w:rsidRPr="005C2C15">
        <w:rPr>
          <w:rFonts w:ascii="GHEA Grapalat" w:hAnsi="GHEA Grapalat"/>
          <w:b/>
          <w:i/>
          <w:sz w:val="20"/>
          <w:szCs w:val="20"/>
        </w:rPr>
        <w:t>coming months</w:t>
      </w:r>
      <w:r>
        <w:rPr>
          <w:rFonts w:ascii="GHEA Grapalat" w:hAnsi="GHEA Grapalat"/>
          <w:b/>
          <w:i/>
          <w:sz w:val="20"/>
          <w:szCs w:val="20"/>
        </w:rPr>
        <w:t>,</w:t>
      </w:r>
      <w:r w:rsidRPr="005C2C15">
        <w:rPr>
          <w:rFonts w:ascii="GHEA Grapalat" w:hAnsi="GHEA Grapalat"/>
          <w:b/>
          <w:i/>
          <w:sz w:val="20"/>
          <w:szCs w:val="20"/>
        </w:rPr>
        <w:t xml:space="preserve"> will gradually stabilize </w:t>
      </w:r>
      <w:r>
        <w:rPr>
          <w:rFonts w:ascii="GHEA Grapalat" w:hAnsi="GHEA Grapalat"/>
          <w:b/>
          <w:i/>
          <w:sz w:val="20"/>
          <w:szCs w:val="20"/>
        </w:rPr>
        <w:t xml:space="preserve">around it in </w:t>
      </w:r>
      <w:r w:rsidRPr="005C2C15">
        <w:rPr>
          <w:rFonts w:ascii="GHEA Grapalat" w:hAnsi="GHEA Grapalat"/>
          <w:b/>
          <w:i/>
          <w:sz w:val="20"/>
          <w:szCs w:val="20"/>
        </w:rPr>
        <w:t xml:space="preserve">the medium </w:t>
      </w:r>
      <w:r>
        <w:rPr>
          <w:rFonts w:ascii="GHEA Grapalat" w:hAnsi="GHEA Grapalat"/>
          <w:b/>
          <w:i/>
          <w:sz w:val="20"/>
          <w:szCs w:val="20"/>
        </w:rPr>
        <w:t xml:space="preserve">run. </w:t>
      </w:r>
    </w:p>
    <w:p w14:paraId="4068460F" w14:textId="4EADC7B6" w:rsidR="004F213F" w:rsidRPr="00D8245E" w:rsidRDefault="004F213F" w:rsidP="004F213F">
      <w:pPr>
        <w:spacing w:before="240" w:line="340" w:lineRule="atLeast"/>
        <w:ind w:firstLine="284"/>
        <w:rPr>
          <w:rFonts w:ascii="GHEA Grapalat" w:hAnsi="GHEA Grapalat"/>
          <w:b/>
          <w:i/>
          <w:sz w:val="20"/>
          <w:szCs w:val="20"/>
        </w:rPr>
      </w:pPr>
      <w:r w:rsidRPr="001923F4">
        <w:rPr>
          <w:rFonts w:ascii="GHEA Grapalat" w:hAnsi="GHEA Grapalat"/>
          <w:sz w:val="20"/>
          <w:szCs w:val="20"/>
        </w:rPr>
        <w:t>According to current estimates of the Central Bank</w:t>
      </w:r>
      <w:r>
        <w:rPr>
          <w:rFonts w:ascii="GHEA Grapalat" w:hAnsi="GHEA Grapalat"/>
          <w:sz w:val="20"/>
          <w:szCs w:val="20"/>
        </w:rPr>
        <w:t>, i</w:t>
      </w:r>
      <w:r w:rsidRPr="001923F4">
        <w:rPr>
          <w:rFonts w:ascii="GHEA Grapalat" w:hAnsi="GHEA Grapalat"/>
          <w:sz w:val="20"/>
          <w:szCs w:val="20"/>
        </w:rPr>
        <w:t>n the second quarter of the year the dec</w:t>
      </w:r>
      <w:r>
        <w:rPr>
          <w:rFonts w:ascii="GHEA Grapalat" w:hAnsi="GHEA Grapalat"/>
          <w:sz w:val="20"/>
          <w:szCs w:val="20"/>
        </w:rPr>
        <w:t>line</w:t>
      </w:r>
      <w:r w:rsidRPr="001923F4">
        <w:rPr>
          <w:rFonts w:ascii="GHEA Grapalat" w:hAnsi="GHEA Grapalat"/>
          <w:sz w:val="20"/>
          <w:szCs w:val="20"/>
        </w:rPr>
        <w:t xml:space="preserve"> in economic activity will deepen due to the influence of supply and demand factors. </w:t>
      </w:r>
      <w:r>
        <w:rPr>
          <w:rFonts w:ascii="GHEA Grapalat" w:hAnsi="GHEA Grapalat"/>
          <w:sz w:val="20"/>
          <w:szCs w:val="20"/>
        </w:rPr>
        <w:t xml:space="preserve">In the supply </w:t>
      </w:r>
      <w:r w:rsidRPr="001923F4">
        <w:rPr>
          <w:rFonts w:ascii="GHEA Grapalat" w:hAnsi="GHEA Grapalat"/>
          <w:sz w:val="20"/>
          <w:szCs w:val="20"/>
        </w:rPr>
        <w:t>point of view, the decline is m</w:t>
      </w:r>
      <w:r>
        <w:rPr>
          <w:rFonts w:ascii="GHEA Grapalat" w:hAnsi="GHEA Grapalat"/>
          <w:sz w:val="20"/>
          <w:szCs w:val="20"/>
        </w:rPr>
        <w:t xml:space="preserve">ostly conditioned by notable decreases in output </w:t>
      </w:r>
      <w:r w:rsidRPr="001923F4">
        <w:rPr>
          <w:rFonts w:ascii="GHEA Grapalat" w:hAnsi="GHEA Grapalat"/>
          <w:sz w:val="20"/>
          <w:szCs w:val="20"/>
        </w:rPr>
        <w:t xml:space="preserve">volumes in construction and services sectors. In terms of demand, the decline will be reflected in </w:t>
      </w:r>
      <w:r>
        <w:rPr>
          <w:rFonts w:ascii="GHEA Grapalat" w:hAnsi="GHEA Grapalat"/>
          <w:sz w:val="20"/>
          <w:szCs w:val="20"/>
        </w:rPr>
        <w:t>r</w:t>
      </w:r>
      <w:r w:rsidRPr="001923F4">
        <w:rPr>
          <w:rFonts w:ascii="GHEA Grapalat" w:hAnsi="GHEA Grapalat"/>
          <w:sz w:val="20"/>
          <w:szCs w:val="20"/>
        </w:rPr>
        <w:t>educ</w:t>
      </w:r>
      <w:r>
        <w:rPr>
          <w:rFonts w:ascii="GHEA Grapalat" w:hAnsi="GHEA Grapalat"/>
          <w:sz w:val="20"/>
          <w:szCs w:val="20"/>
        </w:rPr>
        <w:t xml:space="preserve">tion of </w:t>
      </w:r>
      <w:r w:rsidRPr="001923F4">
        <w:rPr>
          <w:rFonts w:ascii="GHEA Grapalat" w:hAnsi="GHEA Grapalat"/>
          <w:sz w:val="20"/>
          <w:szCs w:val="20"/>
        </w:rPr>
        <w:t xml:space="preserve">total private </w:t>
      </w:r>
      <w:r>
        <w:rPr>
          <w:rFonts w:ascii="GHEA Grapalat" w:hAnsi="GHEA Grapalat"/>
          <w:sz w:val="20"/>
          <w:szCs w:val="20"/>
        </w:rPr>
        <w:t xml:space="preserve">expenditures </w:t>
      </w:r>
      <w:r w:rsidRPr="001923F4">
        <w:rPr>
          <w:rFonts w:ascii="GHEA Grapalat" w:hAnsi="GHEA Grapalat"/>
          <w:sz w:val="20"/>
          <w:szCs w:val="20"/>
        </w:rPr>
        <w:t xml:space="preserve">and may </w:t>
      </w:r>
      <w:r>
        <w:rPr>
          <w:rFonts w:ascii="GHEA Grapalat" w:hAnsi="GHEA Grapalat"/>
          <w:sz w:val="20"/>
          <w:szCs w:val="20"/>
        </w:rPr>
        <w:t>be lengthier</w:t>
      </w:r>
      <w:r w:rsidRPr="001923F4">
        <w:rPr>
          <w:rFonts w:ascii="GHEA Grapalat" w:hAnsi="GHEA Grapalat"/>
          <w:sz w:val="20"/>
          <w:szCs w:val="20"/>
        </w:rPr>
        <w:t xml:space="preserve"> </w:t>
      </w:r>
      <w:r>
        <w:rPr>
          <w:rFonts w:ascii="GHEA Grapalat" w:hAnsi="GHEA Grapalat"/>
          <w:sz w:val="20"/>
          <w:szCs w:val="20"/>
        </w:rPr>
        <w:t xml:space="preserve">if </w:t>
      </w:r>
      <w:r w:rsidRPr="001923F4">
        <w:rPr>
          <w:rFonts w:ascii="GHEA Grapalat" w:hAnsi="GHEA Grapalat"/>
          <w:sz w:val="20"/>
          <w:szCs w:val="20"/>
        </w:rPr>
        <w:t>uncertainties</w:t>
      </w:r>
      <w:r>
        <w:rPr>
          <w:rFonts w:ascii="GHEA Grapalat" w:hAnsi="GHEA Grapalat"/>
          <w:sz w:val="20"/>
          <w:szCs w:val="20"/>
        </w:rPr>
        <w:t xml:space="preserve"> carry on longer</w:t>
      </w:r>
      <w:r w:rsidRPr="001923F4">
        <w:rPr>
          <w:rFonts w:ascii="GHEA Grapalat" w:hAnsi="GHEA Grapalat"/>
          <w:sz w:val="20"/>
          <w:szCs w:val="20"/>
        </w:rPr>
        <w:t>. At the same time, the impact of fiscal policy will be stimulati</w:t>
      </w:r>
      <w:r>
        <w:rPr>
          <w:rFonts w:ascii="GHEA Grapalat" w:hAnsi="GHEA Grapalat"/>
          <w:sz w:val="20"/>
          <w:szCs w:val="20"/>
        </w:rPr>
        <w:t>ve</w:t>
      </w:r>
      <w:r w:rsidRPr="001923F4">
        <w:rPr>
          <w:rFonts w:ascii="GHEA Grapalat" w:hAnsi="GHEA Grapalat"/>
          <w:sz w:val="20"/>
          <w:szCs w:val="20"/>
        </w:rPr>
        <w:t xml:space="preserve"> in the second quarter of 2020 </w:t>
      </w:r>
      <w:r>
        <w:rPr>
          <w:rFonts w:ascii="GHEA Grapalat" w:hAnsi="GHEA Grapalat"/>
          <w:sz w:val="20"/>
          <w:szCs w:val="20"/>
        </w:rPr>
        <w:t xml:space="preserve">and </w:t>
      </w:r>
      <w:r w:rsidRPr="001923F4">
        <w:rPr>
          <w:rFonts w:ascii="GHEA Grapalat" w:hAnsi="GHEA Grapalat"/>
          <w:sz w:val="20"/>
          <w:szCs w:val="20"/>
        </w:rPr>
        <w:t xml:space="preserve">throughout the year. As a result, the GDP </w:t>
      </w:r>
      <w:r>
        <w:rPr>
          <w:rFonts w:ascii="GHEA Grapalat" w:hAnsi="GHEA Grapalat"/>
          <w:sz w:val="20"/>
          <w:szCs w:val="20"/>
        </w:rPr>
        <w:t xml:space="preserve">gap </w:t>
      </w:r>
      <w:r w:rsidRPr="001923F4">
        <w:rPr>
          <w:rFonts w:ascii="GHEA Grapalat" w:hAnsi="GHEA Grapalat"/>
          <w:sz w:val="20"/>
          <w:szCs w:val="20"/>
        </w:rPr>
        <w:t xml:space="preserve">is estimated </w:t>
      </w:r>
      <w:r>
        <w:rPr>
          <w:rFonts w:ascii="GHEA Grapalat" w:hAnsi="GHEA Grapalat"/>
          <w:sz w:val="20"/>
          <w:szCs w:val="20"/>
        </w:rPr>
        <w:t xml:space="preserve">considerably </w:t>
      </w:r>
      <w:r w:rsidRPr="001923F4">
        <w:rPr>
          <w:rFonts w:ascii="GHEA Grapalat" w:hAnsi="GHEA Grapalat"/>
          <w:sz w:val="20"/>
          <w:szCs w:val="20"/>
        </w:rPr>
        <w:t>negative</w:t>
      </w:r>
      <w:r>
        <w:rPr>
          <w:rFonts w:ascii="GHEA Grapalat" w:hAnsi="GHEA Grapalat"/>
          <w:sz w:val="20"/>
          <w:szCs w:val="20"/>
        </w:rPr>
        <w:t xml:space="preserve"> </w:t>
      </w:r>
      <w:r w:rsidRPr="001923F4">
        <w:rPr>
          <w:rFonts w:ascii="GHEA Grapalat" w:hAnsi="GHEA Grapalat"/>
          <w:sz w:val="20"/>
          <w:szCs w:val="20"/>
        </w:rPr>
        <w:t>for the second quarter of 2020</w:t>
      </w:r>
      <w:r>
        <w:rPr>
          <w:rFonts w:ascii="GHEA Grapalat" w:hAnsi="GHEA Grapalat"/>
          <w:sz w:val="20"/>
          <w:szCs w:val="20"/>
        </w:rPr>
        <w:t>,</w:t>
      </w:r>
      <w:r w:rsidRPr="001923F4">
        <w:rPr>
          <w:rFonts w:ascii="GHEA Grapalat" w:hAnsi="GHEA Grapalat"/>
          <w:sz w:val="20"/>
          <w:szCs w:val="20"/>
        </w:rPr>
        <w:t xml:space="preserve"> and next year, under the influence of </w:t>
      </w:r>
      <w:r>
        <w:rPr>
          <w:rFonts w:ascii="GHEA Grapalat" w:hAnsi="GHEA Grapalat"/>
          <w:sz w:val="20"/>
          <w:szCs w:val="20"/>
        </w:rPr>
        <w:t xml:space="preserve">expansionary </w:t>
      </w:r>
      <w:r w:rsidRPr="001923F4">
        <w:rPr>
          <w:rFonts w:ascii="GHEA Grapalat" w:hAnsi="GHEA Grapalat"/>
          <w:sz w:val="20"/>
          <w:szCs w:val="20"/>
        </w:rPr>
        <w:t xml:space="preserve">monetary and fiscal policies, it will gradually close, in which case deflationary pressures on inflation will gradually </w:t>
      </w:r>
      <w:r>
        <w:rPr>
          <w:rFonts w:ascii="GHEA Grapalat" w:hAnsi="GHEA Grapalat"/>
          <w:sz w:val="20"/>
          <w:szCs w:val="20"/>
        </w:rPr>
        <w:t>phase out</w:t>
      </w:r>
      <w:r w:rsidRPr="001923F4">
        <w:rPr>
          <w:rFonts w:ascii="GHEA Grapalat" w:hAnsi="GHEA Grapalat"/>
          <w:sz w:val="20"/>
          <w:szCs w:val="20"/>
        </w:rPr>
        <w:t xml:space="preserve">. </w:t>
      </w:r>
      <w:r>
        <w:rPr>
          <w:rFonts w:ascii="GHEA Grapalat" w:hAnsi="GHEA Grapalat"/>
          <w:sz w:val="20"/>
          <w:szCs w:val="20"/>
        </w:rPr>
        <w:t>I</w:t>
      </w:r>
      <w:r w:rsidRPr="001923F4">
        <w:rPr>
          <w:rFonts w:ascii="GHEA Grapalat" w:hAnsi="GHEA Grapalat"/>
          <w:sz w:val="20"/>
          <w:szCs w:val="20"/>
        </w:rPr>
        <w:t xml:space="preserve">n </w:t>
      </w:r>
      <w:r>
        <w:rPr>
          <w:rFonts w:ascii="GHEA Grapalat" w:hAnsi="GHEA Grapalat"/>
          <w:sz w:val="20"/>
          <w:szCs w:val="20"/>
        </w:rPr>
        <w:t xml:space="preserve">view of </w:t>
      </w:r>
      <w:r w:rsidRPr="001923F4">
        <w:rPr>
          <w:rFonts w:ascii="GHEA Grapalat" w:hAnsi="GHEA Grapalat"/>
          <w:sz w:val="20"/>
          <w:szCs w:val="20"/>
        </w:rPr>
        <w:t xml:space="preserve">the </w:t>
      </w:r>
      <w:proofErr w:type="gramStart"/>
      <w:r w:rsidRPr="001923F4">
        <w:rPr>
          <w:rFonts w:ascii="GHEA Grapalat" w:hAnsi="GHEA Grapalat"/>
          <w:sz w:val="20"/>
          <w:szCs w:val="20"/>
        </w:rPr>
        <w:t>a</w:t>
      </w:r>
      <w:r>
        <w:rPr>
          <w:rFonts w:ascii="GHEA Grapalat" w:hAnsi="GHEA Grapalat"/>
          <w:sz w:val="20"/>
          <w:szCs w:val="20"/>
        </w:rPr>
        <w:t xml:space="preserve">forementioned </w:t>
      </w:r>
      <w:r w:rsidRPr="001923F4">
        <w:rPr>
          <w:rFonts w:ascii="GHEA Grapalat" w:hAnsi="GHEA Grapalat"/>
          <w:sz w:val="20"/>
          <w:szCs w:val="20"/>
        </w:rPr>
        <w:t>monetary</w:t>
      </w:r>
      <w:proofErr w:type="gramEnd"/>
      <w:r w:rsidRPr="001923F4">
        <w:rPr>
          <w:rFonts w:ascii="GHEA Grapalat" w:hAnsi="GHEA Grapalat"/>
          <w:sz w:val="20"/>
          <w:szCs w:val="20"/>
        </w:rPr>
        <w:t xml:space="preserve"> and fiscal policies, </w:t>
      </w:r>
      <w:r>
        <w:rPr>
          <w:rFonts w:ascii="GHEA Grapalat" w:hAnsi="GHEA Grapalat"/>
          <w:sz w:val="20"/>
          <w:szCs w:val="20"/>
        </w:rPr>
        <w:t xml:space="preserve">the inflation </w:t>
      </w:r>
      <w:r w:rsidRPr="001923F4">
        <w:rPr>
          <w:rFonts w:ascii="GHEA Grapalat" w:hAnsi="GHEA Grapalat"/>
          <w:sz w:val="20"/>
          <w:szCs w:val="20"/>
        </w:rPr>
        <w:t xml:space="preserve">will </w:t>
      </w:r>
      <w:r>
        <w:rPr>
          <w:rFonts w:ascii="GHEA Grapalat" w:hAnsi="GHEA Grapalat"/>
          <w:sz w:val="20"/>
          <w:szCs w:val="20"/>
        </w:rPr>
        <w:t xml:space="preserve">begin recovering </w:t>
      </w:r>
      <w:r w:rsidRPr="001923F4">
        <w:rPr>
          <w:rFonts w:ascii="GHEA Grapalat" w:hAnsi="GHEA Grapalat"/>
          <w:sz w:val="20"/>
          <w:szCs w:val="20"/>
        </w:rPr>
        <w:t>gradually</w:t>
      </w:r>
      <w:r>
        <w:rPr>
          <w:rFonts w:ascii="GHEA Grapalat" w:hAnsi="GHEA Grapalat"/>
          <w:sz w:val="20"/>
          <w:szCs w:val="20"/>
        </w:rPr>
        <w:t xml:space="preserve"> i</w:t>
      </w:r>
      <w:r w:rsidRPr="001923F4">
        <w:rPr>
          <w:rFonts w:ascii="GHEA Grapalat" w:hAnsi="GHEA Grapalat"/>
          <w:sz w:val="20"/>
          <w:szCs w:val="20"/>
        </w:rPr>
        <w:t xml:space="preserve">n the </w:t>
      </w:r>
      <w:r>
        <w:rPr>
          <w:rFonts w:ascii="GHEA Grapalat" w:hAnsi="GHEA Grapalat"/>
          <w:sz w:val="20"/>
          <w:szCs w:val="20"/>
        </w:rPr>
        <w:t>up</w:t>
      </w:r>
      <w:r w:rsidRPr="001923F4">
        <w:rPr>
          <w:rFonts w:ascii="GHEA Grapalat" w:hAnsi="GHEA Grapalat"/>
          <w:sz w:val="20"/>
          <w:szCs w:val="20"/>
        </w:rPr>
        <w:t>coming quarters</w:t>
      </w:r>
      <w:r>
        <w:rPr>
          <w:rFonts w:ascii="GHEA Grapalat" w:hAnsi="GHEA Grapalat"/>
          <w:sz w:val="20"/>
          <w:szCs w:val="20"/>
        </w:rPr>
        <w:t xml:space="preserve"> after having remained low</w:t>
      </w:r>
      <w:r w:rsidRPr="001923F4">
        <w:rPr>
          <w:rFonts w:ascii="GHEA Grapalat" w:hAnsi="GHEA Grapalat"/>
          <w:sz w:val="20"/>
          <w:szCs w:val="20"/>
        </w:rPr>
        <w:t xml:space="preserve">. It is estimated that </w:t>
      </w:r>
      <w:r>
        <w:rPr>
          <w:rFonts w:ascii="GHEA Grapalat" w:hAnsi="GHEA Grapalat"/>
          <w:sz w:val="20"/>
          <w:szCs w:val="20"/>
        </w:rPr>
        <w:t xml:space="preserve">population’s </w:t>
      </w:r>
      <w:r w:rsidRPr="001923F4">
        <w:rPr>
          <w:rFonts w:ascii="GHEA Grapalat" w:hAnsi="GHEA Grapalat"/>
          <w:sz w:val="20"/>
          <w:szCs w:val="20"/>
        </w:rPr>
        <w:t>short-term inflation expectations</w:t>
      </w:r>
      <w:r>
        <w:rPr>
          <w:rFonts w:ascii="GHEA Grapalat" w:hAnsi="GHEA Grapalat"/>
          <w:sz w:val="20"/>
          <w:szCs w:val="20"/>
        </w:rPr>
        <w:t xml:space="preserve"> </w:t>
      </w:r>
      <w:r w:rsidRPr="001923F4">
        <w:rPr>
          <w:rFonts w:ascii="GHEA Grapalat" w:hAnsi="GHEA Grapalat"/>
          <w:sz w:val="20"/>
          <w:szCs w:val="20"/>
        </w:rPr>
        <w:t>have</w:t>
      </w:r>
      <w:r>
        <w:rPr>
          <w:rFonts w:ascii="GHEA Grapalat" w:hAnsi="GHEA Grapalat"/>
          <w:sz w:val="20"/>
          <w:szCs w:val="20"/>
        </w:rPr>
        <w:t xml:space="preserve"> </w:t>
      </w:r>
      <w:r w:rsidRPr="001923F4">
        <w:rPr>
          <w:rFonts w:ascii="GHEA Grapalat" w:hAnsi="GHEA Grapalat"/>
          <w:sz w:val="20"/>
          <w:szCs w:val="20"/>
        </w:rPr>
        <w:t>somewhat</w:t>
      </w:r>
      <w:r>
        <w:rPr>
          <w:rFonts w:ascii="GHEA Grapalat" w:hAnsi="GHEA Grapalat"/>
          <w:sz w:val="20"/>
          <w:szCs w:val="20"/>
        </w:rPr>
        <w:t xml:space="preserve"> reduced amid </w:t>
      </w:r>
      <w:r w:rsidRPr="001923F4">
        <w:rPr>
          <w:rFonts w:ascii="GHEA Grapalat" w:hAnsi="GHEA Grapalat"/>
          <w:sz w:val="20"/>
          <w:szCs w:val="20"/>
        </w:rPr>
        <w:t xml:space="preserve">increasing uncertainties </w:t>
      </w:r>
      <w:proofErr w:type="gramStart"/>
      <w:r>
        <w:rPr>
          <w:rFonts w:ascii="GHEA Grapalat" w:hAnsi="GHEA Grapalat"/>
          <w:sz w:val="20"/>
          <w:szCs w:val="20"/>
        </w:rPr>
        <w:t>at the moment</w:t>
      </w:r>
      <w:proofErr w:type="gramEnd"/>
      <w:r>
        <w:rPr>
          <w:rFonts w:ascii="GHEA Grapalat" w:hAnsi="GHEA Grapalat"/>
          <w:sz w:val="20"/>
          <w:szCs w:val="20"/>
        </w:rPr>
        <w:t xml:space="preserve"> </w:t>
      </w:r>
      <w:r w:rsidRPr="001923F4">
        <w:rPr>
          <w:rFonts w:ascii="GHEA Grapalat" w:hAnsi="GHEA Grapalat"/>
          <w:sz w:val="20"/>
          <w:szCs w:val="20"/>
        </w:rPr>
        <w:t xml:space="preserve">and </w:t>
      </w:r>
      <w:r>
        <w:rPr>
          <w:rFonts w:ascii="GHEA Grapalat" w:hAnsi="GHEA Grapalat"/>
          <w:sz w:val="20"/>
          <w:szCs w:val="20"/>
        </w:rPr>
        <w:t>in anticipation that demand would restore at a weaker pace</w:t>
      </w:r>
      <w:r w:rsidRPr="001923F4">
        <w:rPr>
          <w:rFonts w:ascii="GHEA Grapalat" w:hAnsi="GHEA Grapalat"/>
          <w:sz w:val="20"/>
          <w:szCs w:val="20"/>
        </w:rPr>
        <w:t>. However, inflation</w:t>
      </w:r>
      <w:r>
        <w:rPr>
          <w:rFonts w:ascii="GHEA Grapalat" w:hAnsi="GHEA Grapalat"/>
          <w:sz w:val="20"/>
          <w:szCs w:val="20"/>
        </w:rPr>
        <w:t xml:space="preserve"> </w:t>
      </w:r>
      <w:r w:rsidRPr="001923F4">
        <w:rPr>
          <w:rFonts w:ascii="GHEA Grapalat" w:hAnsi="GHEA Grapalat"/>
          <w:sz w:val="20"/>
          <w:szCs w:val="20"/>
        </w:rPr>
        <w:t xml:space="preserve">expectations are </w:t>
      </w:r>
      <w:r>
        <w:rPr>
          <w:rFonts w:ascii="GHEA Grapalat" w:hAnsi="GHEA Grapalat"/>
          <w:sz w:val="20"/>
          <w:szCs w:val="20"/>
        </w:rPr>
        <w:t xml:space="preserve">likely </w:t>
      </w:r>
      <w:r w:rsidRPr="001923F4">
        <w:rPr>
          <w:rFonts w:ascii="GHEA Grapalat" w:hAnsi="GHEA Grapalat"/>
          <w:sz w:val="20"/>
          <w:szCs w:val="20"/>
        </w:rPr>
        <w:t xml:space="preserve">to stabilize in the medium term as inflation recovers, </w:t>
      </w:r>
      <w:r>
        <w:rPr>
          <w:rFonts w:ascii="GHEA Grapalat" w:hAnsi="GHEA Grapalat"/>
          <w:sz w:val="20"/>
          <w:szCs w:val="20"/>
        </w:rPr>
        <w:t>while</w:t>
      </w:r>
      <w:r w:rsidRPr="001923F4">
        <w:rPr>
          <w:rFonts w:ascii="GHEA Grapalat" w:hAnsi="GHEA Grapalat"/>
          <w:sz w:val="20"/>
          <w:szCs w:val="20"/>
        </w:rPr>
        <w:t xml:space="preserve"> high uncertainty over </w:t>
      </w:r>
      <w:r>
        <w:rPr>
          <w:rFonts w:ascii="GHEA Grapalat" w:hAnsi="GHEA Grapalat"/>
          <w:sz w:val="20"/>
          <w:szCs w:val="20"/>
        </w:rPr>
        <w:t xml:space="preserve">such expectations </w:t>
      </w:r>
      <w:r w:rsidRPr="001923F4">
        <w:rPr>
          <w:rFonts w:ascii="GHEA Grapalat" w:hAnsi="GHEA Grapalat"/>
          <w:sz w:val="20"/>
          <w:szCs w:val="20"/>
        </w:rPr>
        <w:t xml:space="preserve">will gradually </w:t>
      </w:r>
      <w:r>
        <w:rPr>
          <w:rFonts w:ascii="GHEA Grapalat" w:hAnsi="GHEA Grapalat"/>
          <w:sz w:val="20"/>
          <w:szCs w:val="20"/>
        </w:rPr>
        <w:t>neutralize as the situation with the pandemic stabilizes</w:t>
      </w:r>
      <w:r w:rsidRPr="001923F4">
        <w:rPr>
          <w:rFonts w:ascii="GHEA Grapalat" w:hAnsi="GHEA Grapalat"/>
          <w:sz w:val="20"/>
          <w:szCs w:val="20"/>
        </w:rPr>
        <w:t xml:space="preserve">. Taking into account </w:t>
      </w:r>
      <w:r>
        <w:rPr>
          <w:rFonts w:ascii="GHEA Grapalat" w:hAnsi="GHEA Grapalat"/>
          <w:sz w:val="20"/>
          <w:szCs w:val="20"/>
        </w:rPr>
        <w:t xml:space="preserve">the </w:t>
      </w:r>
      <w:r w:rsidRPr="001923F4">
        <w:rPr>
          <w:rFonts w:ascii="GHEA Grapalat" w:hAnsi="GHEA Grapalat"/>
          <w:sz w:val="20"/>
          <w:szCs w:val="20"/>
        </w:rPr>
        <w:t xml:space="preserve">significant weakening of external and </w:t>
      </w:r>
      <w:r>
        <w:rPr>
          <w:rFonts w:ascii="GHEA Grapalat" w:hAnsi="GHEA Grapalat"/>
          <w:sz w:val="20"/>
          <w:szCs w:val="20"/>
        </w:rPr>
        <w:t xml:space="preserve">domestic </w:t>
      </w:r>
      <w:r w:rsidRPr="001923F4">
        <w:rPr>
          <w:rFonts w:ascii="GHEA Grapalat" w:hAnsi="GHEA Grapalat"/>
          <w:sz w:val="20"/>
          <w:szCs w:val="20"/>
        </w:rPr>
        <w:t xml:space="preserve">demand and possible slowdown in recovery, as well as the negative effects of uncertainty </w:t>
      </w:r>
      <w:r>
        <w:rPr>
          <w:rFonts w:ascii="GHEA Grapalat" w:hAnsi="GHEA Grapalat"/>
          <w:sz w:val="20"/>
          <w:szCs w:val="20"/>
        </w:rPr>
        <w:t>caused by c</w:t>
      </w:r>
      <w:r w:rsidRPr="001923F4">
        <w:rPr>
          <w:rFonts w:ascii="GHEA Grapalat" w:hAnsi="GHEA Grapalat"/>
          <w:sz w:val="20"/>
          <w:szCs w:val="20"/>
        </w:rPr>
        <w:t xml:space="preserve">urrent developments </w:t>
      </w:r>
      <w:r>
        <w:rPr>
          <w:rFonts w:ascii="GHEA Grapalat" w:hAnsi="GHEA Grapalat"/>
          <w:sz w:val="20"/>
          <w:szCs w:val="20"/>
        </w:rPr>
        <w:t>with pandemic</w:t>
      </w:r>
      <w:r w:rsidRPr="001923F4">
        <w:rPr>
          <w:rFonts w:ascii="GHEA Grapalat" w:hAnsi="GHEA Grapalat"/>
          <w:sz w:val="20"/>
          <w:szCs w:val="20"/>
        </w:rPr>
        <w:t xml:space="preserve">, the </w:t>
      </w:r>
      <w:r>
        <w:rPr>
          <w:rFonts w:ascii="GHEA Grapalat" w:hAnsi="GHEA Grapalat"/>
          <w:sz w:val="20"/>
          <w:szCs w:val="20"/>
        </w:rPr>
        <w:t xml:space="preserve">Board of the </w:t>
      </w:r>
      <w:r w:rsidRPr="001923F4">
        <w:rPr>
          <w:rFonts w:ascii="GHEA Grapalat" w:hAnsi="GHEA Grapalat"/>
          <w:sz w:val="20"/>
          <w:szCs w:val="20"/>
        </w:rPr>
        <w:t>C</w:t>
      </w:r>
      <w:r>
        <w:rPr>
          <w:rFonts w:ascii="GHEA Grapalat" w:hAnsi="GHEA Grapalat"/>
          <w:sz w:val="20"/>
          <w:szCs w:val="20"/>
        </w:rPr>
        <w:t xml:space="preserve">entral </w:t>
      </w:r>
      <w:r w:rsidRPr="001923F4">
        <w:rPr>
          <w:rFonts w:ascii="GHEA Grapalat" w:hAnsi="GHEA Grapalat"/>
          <w:sz w:val="20"/>
          <w:szCs w:val="20"/>
        </w:rPr>
        <w:t>B</w:t>
      </w:r>
      <w:r>
        <w:rPr>
          <w:rFonts w:ascii="GHEA Grapalat" w:hAnsi="GHEA Grapalat"/>
          <w:sz w:val="20"/>
          <w:szCs w:val="20"/>
        </w:rPr>
        <w:t xml:space="preserve">ank </w:t>
      </w:r>
      <w:r w:rsidRPr="001923F4">
        <w:rPr>
          <w:rFonts w:ascii="GHEA Grapalat" w:hAnsi="GHEA Grapalat"/>
          <w:sz w:val="20"/>
          <w:szCs w:val="20"/>
        </w:rPr>
        <w:t xml:space="preserve">decided to </w:t>
      </w:r>
      <w:r>
        <w:rPr>
          <w:rFonts w:ascii="GHEA Grapalat" w:hAnsi="GHEA Grapalat"/>
          <w:sz w:val="20"/>
          <w:szCs w:val="20"/>
        </w:rPr>
        <w:t xml:space="preserve">cut </w:t>
      </w:r>
      <w:r w:rsidRPr="001923F4">
        <w:rPr>
          <w:rFonts w:ascii="GHEA Grapalat" w:hAnsi="GHEA Grapalat"/>
          <w:sz w:val="20"/>
          <w:szCs w:val="20"/>
        </w:rPr>
        <w:t xml:space="preserve">the refinancing rate </w:t>
      </w:r>
      <w:r>
        <w:rPr>
          <w:rFonts w:ascii="GHEA Grapalat" w:hAnsi="GHEA Grapalat"/>
          <w:sz w:val="20"/>
          <w:szCs w:val="20"/>
        </w:rPr>
        <w:t xml:space="preserve">in </w:t>
      </w:r>
      <w:r w:rsidRPr="001923F4">
        <w:rPr>
          <w:rFonts w:ascii="GHEA Grapalat" w:hAnsi="GHEA Grapalat"/>
          <w:sz w:val="20"/>
          <w:szCs w:val="20"/>
        </w:rPr>
        <w:t xml:space="preserve">a big step. </w:t>
      </w:r>
      <w:r w:rsidRPr="5742A63E">
        <w:rPr>
          <w:rFonts w:ascii="GHEA Grapalat" w:hAnsi="GHEA Grapalat"/>
          <w:b/>
          <w:bCs/>
          <w:i/>
          <w:iCs/>
          <w:sz w:val="20"/>
          <w:szCs w:val="20"/>
        </w:rPr>
        <w:t xml:space="preserve">At the same time, in view of expected macroeconomic developments, maintaining monetary conditions expansionary also in the medium term will still be needed </w:t>
      </w:r>
      <w:proofErr w:type="gramStart"/>
      <w:r w:rsidRPr="5742A63E">
        <w:rPr>
          <w:rFonts w:ascii="GHEA Grapalat" w:hAnsi="GHEA Grapalat"/>
          <w:b/>
          <w:bCs/>
          <w:i/>
          <w:iCs/>
          <w:sz w:val="20"/>
          <w:szCs w:val="20"/>
        </w:rPr>
        <w:t>in order to</w:t>
      </w:r>
      <w:proofErr w:type="gramEnd"/>
      <w:r w:rsidRPr="5742A63E">
        <w:rPr>
          <w:rFonts w:ascii="GHEA Grapalat" w:hAnsi="GHEA Grapalat"/>
          <w:b/>
          <w:bCs/>
          <w:i/>
          <w:iCs/>
          <w:sz w:val="20"/>
          <w:szCs w:val="20"/>
        </w:rPr>
        <w:t xml:space="preserve"> fulfil the inflation target.</w:t>
      </w:r>
      <w:r>
        <w:rPr>
          <w:rFonts w:ascii="GHEA Grapalat" w:hAnsi="GHEA Grapalat"/>
          <w:sz w:val="20"/>
          <w:szCs w:val="20"/>
        </w:rPr>
        <w:t xml:space="preserve"> </w:t>
      </w:r>
    </w:p>
    <w:p w14:paraId="7B548137" w14:textId="77777777" w:rsidR="004F213F" w:rsidRPr="00D8245E" w:rsidRDefault="004F213F" w:rsidP="004F213F">
      <w:pPr>
        <w:spacing w:line="340" w:lineRule="atLeast"/>
        <w:ind w:firstLine="284"/>
        <w:rPr>
          <w:rFonts w:ascii="GHEA Grapalat" w:hAnsi="GHEA Grapalat"/>
          <w:b/>
          <w:i/>
          <w:sz w:val="20"/>
          <w:szCs w:val="20"/>
        </w:rPr>
      </w:pPr>
    </w:p>
    <w:p w14:paraId="73EE1E07" w14:textId="77777777" w:rsidR="004F213F" w:rsidRPr="00A206DF" w:rsidRDefault="004F213F" w:rsidP="004F213F">
      <w:pPr>
        <w:ind w:firstLine="284"/>
        <w:rPr>
          <w:rFonts w:ascii="GHEA Grapalat" w:hAnsi="GHEA Grapalat"/>
          <w:b/>
          <w:sz w:val="2"/>
          <w:szCs w:val="20"/>
        </w:rPr>
      </w:pPr>
    </w:p>
    <w:p w14:paraId="1102E6E9" w14:textId="77777777" w:rsidR="004F213F" w:rsidRPr="00EC60F5" w:rsidRDefault="004F213F" w:rsidP="004F213F">
      <w:pPr>
        <w:spacing w:line="300" w:lineRule="atLeast"/>
        <w:ind w:firstLine="284"/>
        <w:rPr>
          <w:rFonts w:ascii="GHEA Grapalat" w:hAnsi="GHEA Grapalat"/>
          <w:b/>
          <w:color w:val="1F497D"/>
          <w:sz w:val="20"/>
          <w:szCs w:val="20"/>
          <w:lang w:val="hy-AM"/>
        </w:rPr>
      </w:pPr>
      <w:r w:rsidRPr="00187AB2">
        <w:rPr>
          <w:rFonts w:ascii="GHEA Grapalat" w:hAnsi="GHEA Grapalat"/>
          <w:b/>
          <w:color w:val="1F497D"/>
          <w:sz w:val="20"/>
          <w:szCs w:val="20"/>
          <w:lang w:val="hy-AM"/>
        </w:rPr>
        <w:t xml:space="preserve">2.2.2. </w:t>
      </w:r>
      <w:r w:rsidRPr="00CF2A61">
        <w:rPr>
          <w:rFonts w:ascii="GHEA Grapalat" w:hAnsi="GHEA Grapalat"/>
          <w:b/>
          <w:color w:val="1F497D"/>
          <w:sz w:val="20"/>
          <w:szCs w:val="20"/>
          <w:lang w:val="hy-AM"/>
        </w:rPr>
        <w:t>Economic activity</w:t>
      </w:r>
      <w:r>
        <w:rPr>
          <w:rStyle w:val="FootnoteReference"/>
          <w:rFonts w:ascii="GHEA Grapalat" w:hAnsi="GHEA Grapalat"/>
          <w:b/>
          <w:color w:val="1F497D"/>
          <w:lang w:val="hy-AM"/>
        </w:rPr>
        <w:footnoteReference w:customMarkFollows="1" w:id="2"/>
        <w:t>3</w:t>
      </w:r>
    </w:p>
    <w:p w14:paraId="37612F91" w14:textId="77777777" w:rsidR="004F213F" w:rsidRPr="00FA186C" w:rsidRDefault="004F213F" w:rsidP="004F213F">
      <w:pPr>
        <w:pStyle w:val="ListParagraph"/>
        <w:spacing w:after="0" w:line="240" w:lineRule="auto"/>
        <w:ind w:left="0" w:firstLine="284"/>
        <w:jc w:val="both"/>
        <w:rPr>
          <w:b/>
          <w:color w:val="FFFFFF" w:themeColor="background1"/>
          <w:sz w:val="20"/>
          <w:szCs w:val="20"/>
          <w:vertAlign w:val="superscript"/>
        </w:rPr>
      </w:pPr>
      <w:r>
        <w:rPr>
          <w:rStyle w:val="FootnoteReference"/>
          <w:b/>
          <w:color w:val="FFFFFF" w:themeColor="background1"/>
        </w:rPr>
        <w:footnoteReference w:customMarkFollows="1" w:id="3"/>
        <w:t>4</w:t>
      </w:r>
    </w:p>
    <w:p w14:paraId="266AACFD" w14:textId="77777777" w:rsidR="004F213F" w:rsidRDefault="004F213F" w:rsidP="004F213F">
      <w:pPr>
        <w:pStyle w:val="ListParagraph"/>
        <w:spacing w:after="0" w:line="340" w:lineRule="atLeast"/>
        <w:ind w:left="0" w:firstLine="284"/>
        <w:rPr>
          <w:sz w:val="20"/>
          <w:szCs w:val="20"/>
        </w:rPr>
      </w:pPr>
      <w:r w:rsidRPr="00FA186C">
        <w:rPr>
          <w:b/>
          <w:i/>
          <w:sz w:val="20"/>
          <w:szCs w:val="20"/>
        </w:rPr>
        <w:lastRenderedPageBreak/>
        <w:t>Aggregate demand:</w:t>
      </w:r>
      <w:r>
        <w:rPr>
          <w:b/>
          <w:i/>
          <w:sz w:val="20"/>
          <w:szCs w:val="20"/>
        </w:rPr>
        <w:t xml:space="preserve"> </w:t>
      </w:r>
      <w:r w:rsidRPr="00B10F5C">
        <w:rPr>
          <w:sz w:val="20"/>
          <w:szCs w:val="20"/>
        </w:rPr>
        <w:t xml:space="preserve">The spread of the </w:t>
      </w:r>
      <w:r>
        <w:rPr>
          <w:sz w:val="20"/>
          <w:szCs w:val="20"/>
        </w:rPr>
        <w:t>pan</w:t>
      </w:r>
      <w:r w:rsidRPr="00B10F5C">
        <w:rPr>
          <w:sz w:val="20"/>
          <w:szCs w:val="20"/>
        </w:rPr>
        <w:t>demic, anti-</w:t>
      </w:r>
      <w:r>
        <w:rPr>
          <w:sz w:val="20"/>
          <w:szCs w:val="20"/>
        </w:rPr>
        <w:t xml:space="preserve">pandemic </w:t>
      </w:r>
      <w:r w:rsidRPr="00B10F5C">
        <w:rPr>
          <w:sz w:val="20"/>
          <w:szCs w:val="20"/>
        </w:rPr>
        <w:t xml:space="preserve">measures, economic restrictions, </w:t>
      </w:r>
      <w:r>
        <w:rPr>
          <w:sz w:val="20"/>
          <w:szCs w:val="20"/>
        </w:rPr>
        <w:t xml:space="preserve">shrinking </w:t>
      </w:r>
      <w:r w:rsidRPr="00B10F5C">
        <w:rPr>
          <w:sz w:val="20"/>
          <w:szCs w:val="20"/>
        </w:rPr>
        <w:t>incomes, including reduc</w:t>
      </w:r>
      <w:r>
        <w:rPr>
          <w:sz w:val="20"/>
          <w:szCs w:val="20"/>
        </w:rPr>
        <w:t xml:space="preserve">ed </w:t>
      </w:r>
      <w:r w:rsidRPr="00B10F5C">
        <w:rPr>
          <w:sz w:val="20"/>
          <w:szCs w:val="20"/>
        </w:rPr>
        <w:t xml:space="preserve">private remittances, as well as the </w:t>
      </w:r>
      <w:r>
        <w:rPr>
          <w:sz w:val="20"/>
          <w:szCs w:val="20"/>
        </w:rPr>
        <w:t xml:space="preserve">suspending of decisions to </w:t>
      </w:r>
      <w:r w:rsidRPr="00B10F5C">
        <w:rPr>
          <w:sz w:val="20"/>
          <w:szCs w:val="20"/>
        </w:rPr>
        <w:t>consum</w:t>
      </w:r>
      <w:r>
        <w:rPr>
          <w:sz w:val="20"/>
          <w:szCs w:val="20"/>
        </w:rPr>
        <w:t>e and invest</w:t>
      </w:r>
      <w:r w:rsidRPr="00B10F5C">
        <w:rPr>
          <w:sz w:val="20"/>
          <w:szCs w:val="20"/>
        </w:rPr>
        <w:t xml:space="preserve"> in the face of a sharp rise in uncertainty </w:t>
      </w:r>
      <w:r>
        <w:rPr>
          <w:sz w:val="20"/>
          <w:szCs w:val="20"/>
        </w:rPr>
        <w:t xml:space="preserve">all </w:t>
      </w:r>
      <w:r w:rsidRPr="00B10F5C">
        <w:rPr>
          <w:sz w:val="20"/>
          <w:szCs w:val="20"/>
        </w:rPr>
        <w:t>are factors that wi</w:t>
      </w:r>
      <w:r>
        <w:rPr>
          <w:sz w:val="20"/>
          <w:szCs w:val="20"/>
        </w:rPr>
        <w:t>ll significantly weaken Armenia’</w:t>
      </w:r>
      <w:r w:rsidRPr="00B10F5C">
        <w:rPr>
          <w:sz w:val="20"/>
          <w:szCs w:val="20"/>
        </w:rPr>
        <w:t xml:space="preserve">s economic activity. </w:t>
      </w:r>
      <w:r>
        <w:rPr>
          <w:sz w:val="20"/>
          <w:szCs w:val="20"/>
        </w:rPr>
        <w:t>The a</w:t>
      </w:r>
      <w:r w:rsidRPr="00B10F5C">
        <w:rPr>
          <w:sz w:val="20"/>
          <w:szCs w:val="20"/>
        </w:rPr>
        <w:t>ssum</w:t>
      </w:r>
      <w:r>
        <w:rPr>
          <w:sz w:val="20"/>
          <w:szCs w:val="20"/>
        </w:rPr>
        <w:t>ption is t</w:t>
      </w:r>
      <w:r w:rsidRPr="00B10F5C">
        <w:rPr>
          <w:sz w:val="20"/>
          <w:szCs w:val="20"/>
        </w:rPr>
        <w:t xml:space="preserve">hat the impact of the above factors will gradually </w:t>
      </w:r>
      <w:r>
        <w:rPr>
          <w:sz w:val="20"/>
          <w:szCs w:val="20"/>
        </w:rPr>
        <w:t xml:space="preserve">abolish </w:t>
      </w:r>
      <w:r w:rsidRPr="00B10F5C">
        <w:rPr>
          <w:sz w:val="20"/>
          <w:szCs w:val="20"/>
        </w:rPr>
        <w:t xml:space="preserve">only </w:t>
      </w:r>
      <w:r>
        <w:rPr>
          <w:sz w:val="20"/>
          <w:szCs w:val="20"/>
        </w:rPr>
        <w:t xml:space="preserve">starting </w:t>
      </w:r>
      <w:r w:rsidRPr="00B10F5C">
        <w:rPr>
          <w:sz w:val="20"/>
          <w:szCs w:val="20"/>
        </w:rPr>
        <w:t xml:space="preserve">from the second half of 2020, </w:t>
      </w:r>
      <w:r>
        <w:rPr>
          <w:sz w:val="20"/>
          <w:szCs w:val="20"/>
        </w:rPr>
        <w:t xml:space="preserve">with domestic </w:t>
      </w:r>
      <w:r w:rsidRPr="00B10F5C">
        <w:rPr>
          <w:sz w:val="20"/>
          <w:szCs w:val="20"/>
        </w:rPr>
        <w:t>economic growth</w:t>
      </w:r>
      <w:r>
        <w:rPr>
          <w:sz w:val="20"/>
          <w:szCs w:val="20"/>
        </w:rPr>
        <w:t xml:space="preserve"> lingering </w:t>
      </w:r>
      <w:r w:rsidRPr="00B10F5C">
        <w:rPr>
          <w:sz w:val="20"/>
          <w:szCs w:val="20"/>
        </w:rPr>
        <w:t>in</w:t>
      </w:r>
      <w:r>
        <w:rPr>
          <w:sz w:val="20"/>
          <w:szCs w:val="20"/>
        </w:rPr>
        <w:t xml:space="preserve"> a negative territory in </w:t>
      </w:r>
      <w:r w:rsidRPr="00B10F5C">
        <w:rPr>
          <w:sz w:val="20"/>
          <w:szCs w:val="20"/>
        </w:rPr>
        <w:t>2020, amountin</w:t>
      </w:r>
      <w:r>
        <w:rPr>
          <w:sz w:val="20"/>
          <w:szCs w:val="20"/>
        </w:rPr>
        <w:t xml:space="preserve">g to -4.0%. The decline will primarily be a result of reduced </w:t>
      </w:r>
      <w:r w:rsidRPr="00B10F5C">
        <w:rPr>
          <w:sz w:val="20"/>
          <w:szCs w:val="20"/>
        </w:rPr>
        <w:t xml:space="preserve">private spending, </w:t>
      </w:r>
      <w:r>
        <w:rPr>
          <w:sz w:val="20"/>
          <w:szCs w:val="20"/>
        </w:rPr>
        <w:t xml:space="preserve">whereas </w:t>
      </w:r>
      <w:r w:rsidRPr="00B10F5C">
        <w:rPr>
          <w:sz w:val="20"/>
          <w:szCs w:val="20"/>
        </w:rPr>
        <w:t xml:space="preserve">contribution of public </w:t>
      </w:r>
      <w:r>
        <w:rPr>
          <w:sz w:val="20"/>
          <w:szCs w:val="20"/>
        </w:rPr>
        <w:t xml:space="preserve">expenditures </w:t>
      </w:r>
      <w:r w:rsidRPr="00B10F5C">
        <w:rPr>
          <w:sz w:val="20"/>
          <w:szCs w:val="20"/>
        </w:rPr>
        <w:t>to economic growth will be positive. According to the Central Bank</w:t>
      </w:r>
      <w:r>
        <w:rPr>
          <w:sz w:val="20"/>
          <w:szCs w:val="20"/>
        </w:rPr>
        <w:t xml:space="preserve"> estimates</w:t>
      </w:r>
      <w:r w:rsidRPr="00B10F5C">
        <w:rPr>
          <w:sz w:val="20"/>
          <w:szCs w:val="20"/>
        </w:rPr>
        <w:t xml:space="preserve">, the decrease in private consumption will </w:t>
      </w:r>
      <w:r>
        <w:rPr>
          <w:sz w:val="20"/>
          <w:szCs w:val="20"/>
        </w:rPr>
        <w:t xml:space="preserve">reach </w:t>
      </w:r>
      <w:r w:rsidRPr="00B10F5C">
        <w:rPr>
          <w:sz w:val="20"/>
          <w:szCs w:val="20"/>
        </w:rPr>
        <w:t xml:space="preserve">6.3%, and the decrease in </w:t>
      </w:r>
      <w:r>
        <w:rPr>
          <w:sz w:val="20"/>
          <w:szCs w:val="20"/>
        </w:rPr>
        <w:t>g</w:t>
      </w:r>
      <w:r w:rsidRPr="00B02DC0">
        <w:rPr>
          <w:sz w:val="20"/>
          <w:szCs w:val="20"/>
        </w:rPr>
        <w:t>ross accumulation of private fixed assets</w:t>
      </w:r>
      <w:r>
        <w:rPr>
          <w:sz w:val="20"/>
          <w:szCs w:val="20"/>
        </w:rPr>
        <w:t>,</w:t>
      </w:r>
      <w:r w:rsidRPr="00B10F5C">
        <w:rPr>
          <w:sz w:val="20"/>
          <w:szCs w:val="20"/>
        </w:rPr>
        <w:t xml:space="preserve"> 14.7%. Net export</w:t>
      </w:r>
      <w:r>
        <w:rPr>
          <w:sz w:val="20"/>
          <w:szCs w:val="20"/>
        </w:rPr>
        <w:t>’s</w:t>
      </w:r>
      <w:r w:rsidRPr="00B10F5C">
        <w:rPr>
          <w:sz w:val="20"/>
          <w:szCs w:val="20"/>
        </w:rPr>
        <w:t xml:space="preserve"> con</w:t>
      </w:r>
      <w:r>
        <w:rPr>
          <w:sz w:val="20"/>
          <w:szCs w:val="20"/>
        </w:rPr>
        <w:t xml:space="preserve">tribution will be positive although the </w:t>
      </w:r>
      <w:r w:rsidRPr="00B10F5C">
        <w:rPr>
          <w:sz w:val="20"/>
          <w:szCs w:val="20"/>
        </w:rPr>
        <w:t xml:space="preserve">import and export volumes will </w:t>
      </w:r>
      <w:r>
        <w:rPr>
          <w:sz w:val="20"/>
          <w:szCs w:val="20"/>
        </w:rPr>
        <w:t>reduce considerably</w:t>
      </w:r>
      <w:r w:rsidRPr="00B10F5C">
        <w:rPr>
          <w:sz w:val="20"/>
          <w:szCs w:val="20"/>
        </w:rPr>
        <w:t xml:space="preserve">. </w:t>
      </w:r>
      <w:r>
        <w:rPr>
          <w:sz w:val="20"/>
          <w:szCs w:val="20"/>
        </w:rPr>
        <w:t xml:space="preserve">The length of the pandemic and </w:t>
      </w:r>
      <w:r w:rsidRPr="00B10F5C">
        <w:rPr>
          <w:sz w:val="20"/>
          <w:szCs w:val="20"/>
        </w:rPr>
        <w:t xml:space="preserve">negative developments </w:t>
      </w:r>
      <w:r>
        <w:rPr>
          <w:sz w:val="20"/>
          <w:szCs w:val="20"/>
        </w:rPr>
        <w:t xml:space="preserve">associated with it </w:t>
      </w:r>
      <w:r w:rsidRPr="00B10F5C">
        <w:rPr>
          <w:sz w:val="20"/>
          <w:szCs w:val="20"/>
        </w:rPr>
        <w:t xml:space="preserve">remain largely uncertain and are the main risks </w:t>
      </w:r>
      <w:r>
        <w:rPr>
          <w:sz w:val="20"/>
          <w:szCs w:val="20"/>
        </w:rPr>
        <w:t>to</w:t>
      </w:r>
      <w:r w:rsidRPr="00B10F5C">
        <w:rPr>
          <w:sz w:val="20"/>
          <w:szCs w:val="20"/>
        </w:rPr>
        <w:t xml:space="preserve"> </w:t>
      </w:r>
      <w:r>
        <w:rPr>
          <w:sz w:val="20"/>
          <w:szCs w:val="20"/>
        </w:rPr>
        <w:t xml:space="preserve">the slowing of </w:t>
      </w:r>
      <w:r w:rsidRPr="00B10F5C">
        <w:rPr>
          <w:sz w:val="20"/>
          <w:szCs w:val="20"/>
        </w:rPr>
        <w:t xml:space="preserve">economic growth </w:t>
      </w:r>
      <w:r>
        <w:rPr>
          <w:sz w:val="20"/>
          <w:szCs w:val="20"/>
        </w:rPr>
        <w:t xml:space="preserve">in the forecast </w:t>
      </w:r>
      <w:r w:rsidRPr="00B10F5C">
        <w:rPr>
          <w:sz w:val="20"/>
          <w:szCs w:val="20"/>
        </w:rPr>
        <w:t>horizon.</w:t>
      </w:r>
      <w:r>
        <w:rPr>
          <w:sz w:val="20"/>
          <w:szCs w:val="20"/>
        </w:rPr>
        <w:t xml:space="preserve"> </w:t>
      </w:r>
    </w:p>
    <w:p w14:paraId="657B1B2F" w14:textId="77777777" w:rsidR="004F213F" w:rsidRDefault="004F213F" w:rsidP="004F213F">
      <w:pPr>
        <w:pStyle w:val="ListParagraph"/>
        <w:spacing w:after="0" w:line="340" w:lineRule="atLeast"/>
        <w:ind w:left="0" w:firstLine="284"/>
        <w:rPr>
          <w:sz w:val="20"/>
          <w:szCs w:val="20"/>
        </w:rPr>
      </w:pPr>
      <w:r>
        <w:rPr>
          <w:sz w:val="20"/>
          <w:szCs w:val="20"/>
        </w:rPr>
        <w:t xml:space="preserve">In the forecast </w:t>
      </w:r>
      <w:r w:rsidRPr="00B10F5C">
        <w:rPr>
          <w:sz w:val="20"/>
          <w:szCs w:val="20"/>
        </w:rPr>
        <w:t>horizon</w:t>
      </w:r>
      <w:r w:rsidRPr="004D1FB8">
        <w:rPr>
          <w:sz w:val="20"/>
          <w:szCs w:val="20"/>
        </w:rPr>
        <w:t xml:space="preserve">, private spending will accelerate and be the </w:t>
      </w:r>
      <w:r>
        <w:rPr>
          <w:sz w:val="20"/>
          <w:szCs w:val="20"/>
        </w:rPr>
        <w:t xml:space="preserve">key </w:t>
      </w:r>
      <w:r w:rsidRPr="004D1FB8">
        <w:rPr>
          <w:sz w:val="20"/>
          <w:szCs w:val="20"/>
        </w:rPr>
        <w:t>driv</w:t>
      </w:r>
      <w:r>
        <w:rPr>
          <w:sz w:val="20"/>
          <w:szCs w:val="20"/>
        </w:rPr>
        <w:t xml:space="preserve">er to </w:t>
      </w:r>
      <w:r w:rsidRPr="004D1FB8">
        <w:rPr>
          <w:sz w:val="20"/>
          <w:szCs w:val="20"/>
        </w:rPr>
        <w:t>economic growth. The export and import volum</w:t>
      </w:r>
      <w:r>
        <w:rPr>
          <w:sz w:val="20"/>
          <w:szCs w:val="20"/>
        </w:rPr>
        <w:t xml:space="preserve">es will restore much slowly, in line with a </w:t>
      </w:r>
      <w:r w:rsidRPr="004D1FB8">
        <w:rPr>
          <w:sz w:val="20"/>
          <w:szCs w:val="20"/>
        </w:rPr>
        <w:t>slow recovery of international tourism, however net export</w:t>
      </w:r>
      <w:r>
        <w:rPr>
          <w:sz w:val="20"/>
          <w:szCs w:val="20"/>
        </w:rPr>
        <w:t>’</w:t>
      </w:r>
      <w:r w:rsidRPr="004D1FB8">
        <w:rPr>
          <w:sz w:val="20"/>
          <w:szCs w:val="20"/>
        </w:rPr>
        <w:t xml:space="preserve">s contribution to economic growth will </w:t>
      </w:r>
      <w:r>
        <w:rPr>
          <w:sz w:val="20"/>
          <w:szCs w:val="20"/>
        </w:rPr>
        <w:t xml:space="preserve">remain </w:t>
      </w:r>
      <w:r w:rsidRPr="004D1FB8">
        <w:rPr>
          <w:sz w:val="20"/>
          <w:szCs w:val="20"/>
        </w:rPr>
        <w:t xml:space="preserve">in a positive </w:t>
      </w:r>
      <w:r>
        <w:rPr>
          <w:sz w:val="20"/>
          <w:szCs w:val="20"/>
        </w:rPr>
        <w:t>territory</w:t>
      </w:r>
      <w:r w:rsidRPr="004D1FB8">
        <w:rPr>
          <w:sz w:val="20"/>
          <w:szCs w:val="20"/>
        </w:rPr>
        <w:t xml:space="preserve">. </w:t>
      </w:r>
      <w:r>
        <w:rPr>
          <w:sz w:val="20"/>
          <w:szCs w:val="20"/>
        </w:rPr>
        <w:t>It is expected that contribution of public expenditures will come smaller a</w:t>
      </w:r>
      <w:r w:rsidRPr="004D1FB8">
        <w:rPr>
          <w:sz w:val="20"/>
          <w:szCs w:val="20"/>
        </w:rPr>
        <w:t xml:space="preserve">s economic </w:t>
      </w:r>
      <w:r>
        <w:rPr>
          <w:sz w:val="20"/>
          <w:szCs w:val="20"/>
        </w:rPr>
        <w:t>growth recovers</w:t>
      </w:r>
      <w:r w:rsidRPr="004D1FB8">
        <w:rPr>
          <w:sz w:val="20"/>
          <w:szCs w:val="20"/>
        </w:rPr>
        <w:t>.</w:t>
      </w:r>
    </w:p>
    <w:p w14:paraId="3ECEB989" w14:textId="77777777" w:rsidR="004F213F" w:rsidRDefault="004F213F" w:rsidP="004F213F">
      <w:pPr>
        <w:spacing w:before="120" w:line="340" w:lineRule="atLeast"/>
        <w:ind w:firstLine="284"/>
        <w:rPr>
          <w:rFonts w:ascii="GHEA Grapalat" w:hAnsi="GHEA Grapalat"/>
          <w:sz w:val="20"/>
          <w:szCs w:val="20"/>
        </w:rPr>
      </w:pPr>
      <w:bookmarkStart w:id="0" w:name="_MON_1430660313"/>
      <w:bookmarkEnd w:id="0"/>
      <w:r w:rsidRPr="00FA186C">
        <w:rPr>
          <w:rFonts w:ascii="GHEA Grapalat" w:hAnsi="GHEA Grapalat"/>
          <w:b/>
          <w:i/>
          <w:sz w:val="20"/>
          <w:szCs w:val="20"/>
        </w:rPr>
        <w:t xml:space="preserve">External demand: </w:t>
      </w:r>
      <w:r>
        <w:rPr>
          <w:rFonts w:ascii="GHEA Grapalat" w:hAnsi="GHEA Grapalat"/>
          <w:sz w:val="20"/>
          <w:szCs w:val="20"/>
        </w:rPr>
        <w:t>T</w:t>
      </w:r>
      <w:r w:rsidRPr="00B02DC0">
        <w:rPr>
          <w:rFonts w:ascii="GHEA Grapalat" w:hAnsi="GHEA Grapalat"/>
          <w:sz w:val="20"/>
          <w:szCs w:val="20"/>
        </w:rPr>
        <w:t>he 20</w:t>
      </w:r>
      <w:r>
        <w:rPr>
          <w:rFonts w:ascii="GHEA Grapalat" w:hAnsi="GHEA Grapalat"/>
          <w:sz w:val="20"/>
          <w:szCs w:val="20"/>
        </w:rPr>
        <w:t xml:space="preserve">20 forecasts were adjusted on a back of new predictions for a deep decline in global economy as well as domestic economic slowdown. Thus, </w:t>
      </w:r>
      <w:r w:rsidRPr="00B02DC0">
        <w:rPr>
          <w:rFonts w:ascii="GHEA Grapalat" w:hAnsi="GHEA Grapalat"/>
          <w:sz w:val="20"/>
          <w:szCs w:val="20"/>
        </w:rPr>
        <w:t xml:space="preserve">the real export of goods and services </w:t>
      </w:r>
      <w:r>
        <w:rPr>
          <w:rFonts w:ascii="GHEA Grapalat" w:hAnsi="GHEA Grapalat"/>
          <w:sz w:val="20"/>
          <w:szCs w:val="20"/>
        </w:rPr>
        <w:t xml:space="preserve">is forecast to decrease in the range of 12.0-15.0%. </w:t>
      </w:r>
      <w:r w:rsidRPr="00B02DC0">
        <w:rPr>
          <w:rFonts w:ascii="GHEA Grapalat" w:hAnsi="GHEA Grapalat"/>
          <w:sz w:val="20"/>
          <w:szCs w:val="20"/>
        </w:rPr>
        <w:t xml:space="preserve">This, </w:t>
      </w:r>
      <w:r>
        <w:rPr>
          <w:rFonts w:ascii="GHEA Grapalat" w:hAnsi="GHEA Grapalat"/>
          <w:sz w:val="20"/>
          <w:szCs w:val="20"/>
        </w:rPr>
        <w:t xml:space="preserve">amid a </w:t>
      </w:r>
      <w:r w:rsidRPr="00B02DC0">
        <w:rPr>
          <w:rFonts w:ascii="GHEA Grapalat" w:hAnsi="GHEA Grapalat"/>
          <w:sz w:val="20"/>
          <w:szCs w:val="20"/>
        </w:rPr>
        <w:t>sl</w:t>
      </w:r>
      <w:r>
        <w:rPr>
          <w:rFonts w:ascii="GHEA Grapalat" w:hAnsi="GHEA Grapalat"/>
          <w:sz w:val="20"/>
          <w:szCs w:val="20"/>
        </w:rPr>
        <w:t xml:space="preserve">ackening </w:t>
      </w:r>
      <w:r w:rsidRPr="00B02DC0">
        <w:rPr>
          <w:rFonts w:ascii="GHEA Grapalat" w:hAnsi="GHEA Grapalat"/>
          <w:sz w:val="20"/>
          <w:szCs w:val="20"/>
        </w:rPr>
        <w:t>global demand, will be attributable to the measures partner countries are taking</w:t>
      </w:r>
      <w:r w:rsidRPr="002410DD">
        <w:rPr>
          <w:rFonts w:ascii="GHEA Grapalat" w:hAnsi="GHEA Grapalat"/>
          <w:sz w:val="20"/>
          <w:szCs w:val="20"/>
        </w:rPr>
        <w:t xml:space="preserve"> </w:t>
      </w:r>
      <w:r>
        <w:rPr>
          <w:rFonts w:ascii="GHEA Grapalat" w:hAnsi="GHEA Grapalat"/>
          <w:sz w:val="20"/>
          <w:szCs w:val="20"/>
        </w:rPr>
        <w:t>to fight the pandemic</w:t>
      </w:r>
      <w:r w:rsidRPr="00B02DC0">
        <w:rPr>
          <w:rFonts w:ascii="GHEA Grapalat" w:hAnsi="GHEA Grapalat"/>
          <w:sz w:val="20"/>
          <w:szCs w:val="20"/>
        </w:rPr>
        <w:t>. The volumes of international tourism</w:t>
      </w:r>
      <w:r>
        <w:rPr>
          <w:rFonts w:ascii="GHEA Grapalat" w:hAnsi="GHEA Grapalat"/>
          <w:sz w:val="20"/>
          <w:szCs w:val="20"/>
        </w:rPr>
        <w:t xml:space="preserve"> are expected to </w:t>
      </w:r>
      <w:r w:rsidRPr="00B02DC0">
        <w:rPr>
          <w:rFonts w:ascii="GHEA Grapalat" w:hAnsi="GHEA Grapalat"/>
          <w:sz w:val="20"/>
          <w:szCs w:val="20"/>
        </w:rPr>
        <w:t>shrink significantly.</w:t>
      </w:r>
      <w:r>
        <w:rPr>
          <w:rFonts w:ascii="GHEA Grapalat" w:hAnsi="GHEA Grapalat"/>
          <w:sz w:val="20"/>
          <w:szCs w:val="20"/>
        </w:rPr>
        <w:t xml:space="preserve"> In line with new forecasts for domestic economy, t</w:t>
      </w:r>
      <w:r w:rsidRPr="00B02DC0">
        <w:rPr>
          <w:rFonts w:ascii="GHEA Grapalat" w:hAnsi="GHEA Grapalat"/>
          <w:sz w:val="20"/>
          <w:szCs w:val="20"/>
        </w:rPr>
        <w:t>he real import of goods and services</w:t>
      </w:r>
      <w:r>
        <w:rPr>
          <w:rFonts w:ascii="GHEA Grapalat" w:hAnsi="GHEA Grapalat"/>
          <w:sz w:val="20"/>
          <w:szCs w:val="20"/>
        </w:rPr>
        <w:t xml:space="preserve"> will decrease between 15.0-17.0%.</w:t>
      </w:r>
      <w:r w:rsidRPr="00B02DC0">
        <w:rPr>
          <w:rFonts w:ascii="GHEA Grapalat" w:hAnsi="GHEA Grapalat"/>
          <w:sz w:val="20"/>
          <w:szCs w:val="20"/>
        </w:rPr>
        <w:t xml:space="preserve"> </w:t>
      </w:r>
    </w:p>
    <w:p w14:paraId="1BB07FFC" w14:textId="77777777" w:rsidR="004F213F" w:rsidRPr="00E64FF1" w:rsidRDefault="004F213F" w:rsidP="004F213F">
      <w:pPr>
        <w:spacing w:line="340" w:lineRule="atLeast"/>
        <w:ind w:firstLine="284"/>
        <w:rPr>
          <w:rFonts w:ascii="GHEA Grapalat" w:hAnsi="GHEA Grapalat" w:cs="Sylfaen"/>
          <w:color w:val="000000" w:themeColor="text1"/>
          <w:sz w:val="20"/>
          <w:szCs w:val="20"/>
          <w:lang w:val="hy-AM"/>
        </w:rPr>
      </w:pPr>
      <w:r w:rsidRPr="00B02DC0">
        <w:rPr>
          <w:rFonts w:ascii="GHEA Grapalat" w:hAnsi="GHEA Grapalat"/>
          <w:sz w:val="20"/>
          <w:szCs w:val="20"/>
        </w:rPr>
        <w:t>Remittances of individuals</w:t>
      </w:r>
      <w:r>
        <w:rPr>
          <w:rFonts w:ascii="GHEA Grapalat" w:hAnsi="GHEA Grapalat"/>
          <w:sz w:val="20"/>
          <w:szCs w:val="20"/>
        </w:rPr>
        <w:t xml:space="preserve"> are predicted to </w:t>
      </w:r>
      <w:r w:rsidRPr="00B02DC0">
        <w:rPr>
          <w:rFonts w:ascii="GHEA Grapalat" w:hAnsi="GHEA Grapalat"/>
          <w:sz w:val="20"/>
          <w:szCs w:val="20"/>
        </w:rPr>
        <w:t>reduce s</w:t>
      </w:r>
      <w:r>
        <w:rPr>
          <w:rFonts w:ascii="GHEA Grapalat" w:hAnsi="GHEA Grapalat"/>
          <w:sz w:val="20"/>
          <w:szCs w:val="20"/>
        </w:rPr>
        <w:t xml:space="preserve">ubstantially </w:t>
      </w:r>
      <w:r w:rsidRPr="00B02DC0">
        <w:rPr>
          <w:rFonts w:ascii="GHEA Grapalat" w:hAnsi="GHEA Grapalat"/>
          <w:sz w:val="20"/>
          <w:szCs w:val="20"/>
        </w:rPr>
        <w:t xml:space="preserve">as </w:t>
      </w:r>
      <w:r>
        <w:rPr>
          <w:rFonts w:ascii="GHEA Grapalat" w:hAnsi="GHEA Grapalat"/>
          <w:sz w:val="20"/>
          <w:szCs w:val="20"/>
        </w:rPr>
        <w:t>a</w:t>
      </w:r>
      <w:r w:rsidRPr="00B02DC0">
        <w:rPr>
          <w:rFonts w:ascii="GHEA Grapalat" w:hAnsi="GHEA Grapalat"/>
          <w:sz w:val="20"/>
          <w:szCs w:val="20"/>
        </w:rPr>
        <w:t xml:space="preserve"> sharp decline in oil prices has </w:t>
      </w:r>
      <w:r>
        <w:rPr>
          <w:rFonts w:ascii="GHEA Grapalat" w:hAnsi="GHEA Grapalat"/>
          <w:sz w:val="20"/>
          <w:szCs w:val="20"/>
        </w:rPr>
        <w:t xml:space="preserve">notably contracted </w:t>
      </w:r>
      <w:r w:rsidRPr="00B02DC0">
        <w:rPr>
          <w:rFonts w:ascii="GHEA Grapalat" w:hAnsi="GHEA Grapalat"/>
          <w:sz w:val="20"/>
          <w:szCs w:val="20"/>
        </w:rPr>
        <w:t xml:space="preserve">Russia’s economic growth. </w:t>
      </w:r>
      <w:r>
        <w:rPr>
          <w:rFonts w:ascii="GHEA Grapalat" w:hAnsi="GHEA Grapalat"/>
          <w:sz w:val="20"/>
          <w:szCs w:val="20"/>
        </w:rPr>
        <w:t>T</w:t>
      </w:r>
      <w:r w:rsidRPr="00B02DC0">
        <w:rPr>
          <w:rFonts w:ascii="GHEA Grapalat" w:hAnsi="GHEA Grapalat"/>
          <w:sz w:val="20"/>
          <w:szCs w:val="20"/>
        </w:rPr>
        <w:t xml:space="preserve">emporary migration restrictions Russia imposes </w:t>
      </w:r>
      <w:proofErr w:type="gramStart"/>
      <w:r w:rsidRPr="00B02DC0">
        <w:rPr>
          <w:rFonts w:ascii="GHEA Grapalat" w:hAnsi="GHEA Grapalat"/>
          <w:sz w:val="20"/>
          <w:szCs w:val="20"/>
        </w:rPr>
        <w:t>at the moment</w:t>
      </w:r>
      <w:proofErr w:type="gramEnd"/>
      <w:r w:rsidRPr="00B02DC0">
        <w:rPr>
          <w:rFonts w:ascii="GHEA Grapalat" w:hAnsi="GHEA Grapalat"/>
          <w:sz w:val="20"/>
          <w:szCs w:val="20"/>
        </w:rPr>
        <w:t xml:space="preserve"> </w:t>
      </w:r>
      <w:r>
        <w:rPr>
          <w:rFonts w:ascii="GHEA Grapalat" w:hAnsi="GHEA Grapalat"/>
          <w:sz w:val="20"/>
          <w:szCs w:val="20"/>
        </w:rPr>
        <w:t xml:space="preserve">will </w:t>
      </w:r>
      <w:r w:rsidRPr="00B02DC0">
        <w:rPr>
          <w:rFonts w:ascii="GHEA Grapalat" w:hAnsi="GHEA Grapalat"/>
          <w:sz w:val="20"/>
          <w:szCs w:val="20"/>
        </w:rPr>
        <w:t xml:space="preserve">lead to considerable narrowing of remittances of individuals; the decrease in private </w:t>
      </w:r>
      <w:r>
        <w:rPr>
          <w:rFonts w:ascii="GHEA Grapalat" w:hAnsi="GHEA Grapalat"/>
          <w:sz w:val="20"/>
          <w:szCs w:val="20"/>
        </w:rPr>
        <w:t xml:space="preserve">remittances </w:t>
      </w:r>
      <w:r w:rsidRPr="00B02DC0">
        <w:rPr>
          <w:rFonts w:ascii="GHEA Grapalat" w:hAnsi="GHEA Grapalat"/>
          <w:sz w:val="20"/>
          <w:szCs w:val="20"/>
        </w:rPr>
        <w:t xml:space="preserve">is anticipated in the range of </w:t>
      </w:r>
      <w:r>
        <w:rPr>
          <w:rFonts w:ascii="GHEA Grapalat" w:hAnsi="GHEA Grapalat"/>
          <w:sz w:val="20"/>
          <w:szCs w:val="20"/>
        </w:rPr>
        <w:t>22</w:t>
      </w:r>
      <w:r w:rsidRPr="00B02DC0">
        <w:rPr>
          <w:rFonts w:ascii="GHEA Grapalat" w:hAnsi="GHEA Grapalat"/>
          <w:sz w:val="20"/>
          <w:szCs w:val="20"/>
        </w:rPr>
        <w:t>.0-</w:t>
      </w:r>
      <w:r>
        <w:rPr>
          <w:rFonts w:ascii="GHEA Grapalat" w:hAnsi="GHEA Grapalat"/>
          <w:sz w:val="20"/>
          <w:szCs w:val="20"/>
        </w:rPr>
        <w:t xml:space="preserve">25.0%, but </w:t>
      </w:r>
      <w:r w:rsidRPr="00F76121">
        <w:rPr>
          <w:rFonts w:ascii="GHEA Grapalat" w:hAnsi="GHEA Grapalat"/>
          <w:sz w:val="20"/>
          <w:szCs w:val="20"/>
        </w:rPr>
        <w:t>it should be noted that</w:t>
      </w:r>
      <w:r>
        <w:rPr>
          <w:rFonts w:ascii="GHEA Grapalat" w:hAnsi="GHEA Grapalat"/>
          <w:sz w:val="20"/>
          <w:szCs w:val="20"/>
        </w:rPr>
        <w:t>,</w:t>
      </w:r>
      <w:r w:rsidRPr="00F76121">
        <w:rPr>
          <w:rFonts w:ascii="GHEA Grapalat" w:hAnsi="GHEA Grapalat"/>
          <w:sz w:val="20"/>
          <w:szCs w:val="20"/>
        </w:rPr>
        <w:t xml:space="preserve"> compared to previous years, the impact of this decrease on GDP </w:t>
      </w:r>
      <w:r>
        <w:rPr>
          <w:rFonts w:ascii="GHEA Grapalat" w:hAnsi="GHEA Grapalat"/>
          <w:sz w:val="20"/>
          <w:szCs w:val="20"/>
        </w:rPr>
        <w:t>has been way smaller</w:t>
      </w:r>
      <w:r w:rsidRPr="00F76121">
        <w:rPr>
          <w:rFonts w:ascii="GHEA Grapalat" w:hAnsi="GHEA Grapalat"/>
          <w:sz w:val="20"/>
          <w:szCs w:val="20"/>
        </w:rPr>
        <w:t>.</w:t>
      </w:r>
    </w:p>
    <w:p w14:paraId="5D2A9766" w14:textId="77777777" w:rsidR="004F213F" w:rsidRPr="00A8463D" w:rsidRDefault="004F213F" w:rsidP="004F213F">
      <w:pPr>
        <w:spacing w:line="340" w:lineRule="atLeast"/>
        <w:ind w:firstLine="284"/>
        <w:rPr>
          <w:rFonts w:ascii="GHEA Grapalat" w:hAnsi="GHEA Grapalat" w:cs="Sylfaen"/>
          <w:color w:val="000000" w:themeColor="text1"/>
          <w:sz w:val="20"/>
          <w:szCs w:val="20"/>
          <w:lang w:val="es-AR"/>
        </w:rPr>
      </w:pPr>
      <w:r w:rsidRPr="00B02DC0">
        <w:rPr>
          <w:rFonts w:ascii="GHEA Grapalat" w:hAnsi="GHEA Grapalat"/>
          <w:sz w:val="20"/>
          <w:szCs w:val="20"/>
        </w:rPr>
        <w:t>On the back of such forecasts, the 2020 current account deficit-to-GDP ratio will</w:t>
      </w:r>
      <w:r>
        <w:rPr>
          <w:rFonts w:ascii="GHEA Grapalat" w:hAnsi="GHEA Grapalat"/>
          <w:sz w:val="20"/>
          <w:szCs w:val="20"/>
        </w:rPr>
        <w:t xml:space="preserve"> improve against that of 2019, running </w:t>
      </w:r>
      <w:r w:rsidRPr="00B02DC0">
        <w:rPr>
          <w:rFonts w:ascii="GHEA Grapalat" w:hAnsi="GHEA Grapalat"/>
          <w:sz w:val="20"/>
          <w:szCs w:val="20"/>
        </w:rPr>
        <w:t xml:space="preserve">within </w:t>
      </w:r>
      <w:r>
        <w:rPr>
          <w:rFonts w:ascii="GHEA Grapalat" w:hAnsi="GHEA Grapalat"/>
          <w:sz w:val="20"/>
          <w:szCs w:val="20"/>
        </w:rPr>
        <w:t>6</w:t>
      </w:r>
      <w:r w:rsidRPr="00B02DC0">
        <w:rPr>
          <w:rFonts w:ascii="GHEA Grapalat" w:hAnsi="GHEA Grapalat"/>
          <w:sz w:val="20"/>
          <w:szCs w:val="20"/>
        </w:rPr>
        <w:t>.0-</w:t>
      </w:r>
      <w:r>
        <w:rPr>
          <w:rFonts w:ascii="GHEA Grapalat" w:hAnsi="GHEA Grapalat"/>
          <w:sz w:val="20"/>
          <w:szCs w:val="20"/>
        </w:rPr>
        <w:t>7</w:t>
      </w:r>
      <w:r w:rsidRPr="00B02DC0">
        <w:rPr>
          <w:rFonts w:ascii="GHEA Grapalat" w:hAnsi="GHEA Grapalat"/>
          <w:sz w:val="20"/>
          <w:szCs w:val="20"/>
        </w:rPr>
        <w:t>.0%.</w:t>
      </w:r>
      <w:r w:rsidRPr="00A8463D">
        <w:rPr>
          <w:rFonts w:ascii="GHEA Grapalat" w:hAnsi="GHEA Grapalat" w:cs="Sylfaen"/>
          <w:color w:val="000000" w:themeColor="text1"/>
          <w:sz w:val="20"/>
          <w:szCs w:val="20"/>
          <w:lang w:val="es-AR"/>
        </w:rPr>
        <w:t xml:space="preserve"> </w:t>
      </w:r>
    </w:p>
    <w:p w14:paraId="45FF0E61" w14:textId="77777777" w:rsidR="004F213F" w:rsidRDefault="004F213F" w:rsidP="004F213F">
      <w:pPr>
        <w:spacing w:line="340" w:lineRule="atLeast"/>
        <w:ind w:firstLine="284"/>
        <w:rPr>
          <w:rFonts w:ascii="GHEA Grapalat" w:hAnsi="GHEA Grapalat"/>
          <w:sz w:val="20"/>
          <w:szCs w:val="20"/>
        </w:rPr>
      </w:pPr>
      <w:r w:rsidRPr="00B02DC0">
        <w:rPr>
          <w:rFonts w:ascii="GHEA Grapalat" w:hAnsi="GHEA Grapalat"/>
          <w:sz w:val="20"/>
          <w:szCs w:val="20"/>
        </w:rPr>
        <w:t xml:space="preserve">In the medium run, </w:t>
      </w:r>
      <w:proofErr w:type="gramStart"/>
      <w:r>
        <w:rPr>
          <w:rFonts w:ascii="GHEA Grapalat" w:hAnsi="GHEA Grapalat"/>
          <w:sz w:val="20"/>
          <w:szCs w:val="20"/>
        </w:rPr>
        <w:t>as a result of</w:t>
      </w:r>
      <w:proofErr w:type="gramEnd"/>
      <w:r>
        <w:rPr>
          <w:rFonts w:ascii="GHEA Grapalat" w:hAnsi="GHEA Grapalat"/>
          <w:sz w:val="20"/>
          <w:szCs w:val="20"/>
        </w:rPr>
        <w:t xml:space="preserve"> surpassing export growth, </w:t>
      </w:r>
      <w:r w:rsidRPr="00B02DC0">
        <w:rPr>
          <w:rFonts w:ascii="GHEA Grapalat" w:hAnsi="GHEA Grapalat"/>
          <w:sz w:val="20"/>
          <w:szCs w:val="20"/>
        </w:rPr>
        <w:t>the current account deficit-to-GDP ratio will gradually stabilize within</w:t>
      </w:r>
      <w:r>
        <w:rPr>
          <w:rFonts w:ascii="GHEA Grapalat" w:hAnsi="GHEA Grapalat"/>
          <w:sz w:val="20"/>
          <w:szCs w:val="20"/>
        </w:rPr>
        <w:t xml:space="preserve"> an equilibrium level of </w:t>
      </w:r>
      <w:r w:rsidRPr="00B02DC0">
        <w:rPr>
          <w:rFonts w:ascii="GHEA Grapalat" w:hAnsi="GHEA Grapalat"/>
          <w:sz w:val="20"/>
          <w:szCs w:val="20"/>
        </w:rPr>
        <w:t>3.0-5.0%.</w:t>
      </w:r>
    </w:p>
    <w:p w14:paraId="64D76F69" w14:textId="77777777" w:rsidR="004F213F" w:rsidRPr="00FA186C" w:rsidRDefault="004F213F" w:rsidP="004F213F">
      <w:pPr>
        <w:tabs>
          <w:tab w:val="left" w:pos="600"/>
        </w:tabs>
        <w:spacing w:line="340" w:lineRule="atLeast"/>
        <w:ind w:firstLine="284"/>
        <w:jc w:val="both"/>
        <w:rPr>
          <w:rFonts w:ascii="GHEA Grapalat" w:hAnsi="GHEA Grapalat" w:cs="Sylfaen"/>
          <w:b/>
          <w:i/>
          <w:iCs/>
          <w:sz w:val="20"/>
          <w:szCs w:val="20"/>
          <w:lang w:val="es-AR"/>
        </w:rPr>
      </w:pPr>
    </w:p>
    <w:p w14:paraId="37D9F69F" w14:textId="77777777" w:rsidR="004F213F" w:rsidRPr="005E510E" w:rsidRDefault="004F213F" w:rsidP="004F213F">
      <w:pPr>
        <w:tabs>
          <w:tab w:val="left" w:pos="600"/>
        </w:tabs>
        <w:spacing w:line="340" w:lineRule="atLeast"/>
        <w:ind w:firstLine="284"/>
        <w:rPr>
          <w:rFonts w:ascii="GHEA Grapalat" w:hAnsi="GHEA Grapalat" w:cs="Sylfaen"/>
          <w:iCs/>
          <w:color w:val="000000" w:themeColor="text1"/>
          <w:sz w:val="20"/>
          <w:szCs w:val="20"/>
          <w:lang w:val="hy-AM"/>
        </w:rPr>
      </w:pPr>
      <w:r>
        <w:rPr>
          <w:rFonts w:ascii="GHEA Grapalat" w:hAnsi="GHEA Grapalat"/>
          <w:b/>
          <w:i/>
          <w:sz w:val="20"/>
          <w:szCs w:val="20"/>
        </w:rPr>
        <w:t>F</w:t>
      </w:r>
      <w:r w:rsidRPr="00FA186C">
        <w:rPr>
          <w:rFonts w:ascii="GHEA Grapalat" w:hAnsi="GHEA Grapalat"/>
          <w:b/>
          <w:i/>
          <w:sz w:val="20"/>
          <w:szCs w:val="20"/>
        </w:rPr>
        <w:t>iscal policy</w:t>
      </w:r>
      <w:r>
        <w:rPr>
          <w:rFonts w:ascii="GHEA Grapalat" w:hAnsi="GHEA Grapalat"/>
          <w:b/>
          <w:i/>
          <w:sz w:val="20"/>
          <w:szCs w:val="20"/>
        </w:rPr>
        <w:t>:</w:t>
      </w:r>
      <w:r>
        <w:rPr>
          <w:rFonts w:ascii="GHEA Grapalat" w:hAnsi="GHEA Grapalat"/>
          <w:sz w:val="20"/>
          <w:szCs w:val="20"/>
        </w:rPr>
        <w:t xml:space="preserve"> The fiscal policy’s impact on </w:t>
      </w:r>
      <w:r w:rsidRPr="00B02DC0">
        <w:rPr>
          <w:rFonts w:ascii="GHEA Grapalat" w:hAnsi="GHEA Grapalat"/>
          <w:sz w:val="20"/>
          <w:szCs w:val="20"/>
        </w:rPr>
        <w:t>aggregate demand for 2020 was estimated using the figures set out in RA Law on “State Budget 2020”, t</w:t>
      </w:r>
      <w:r>
        <w:rPr>
          <w:rFonts w:ascii="GHEA Grapalat" w:hAnsi="GHEA Grapalat"/>
          <w:sz w:val="20"/>
          <w:szCs w:val="20"/>
        </w:rPr>
        <w:t xml:space="preserve">he current changes to the law and </w:t>
      </w:r>
      <w:r w:rsidRPr="00B02DC0">
        <w:rPr>
          <w:rFonts w:ascii="GHEA Grapalat" w:hAnsi="GHEA Grapalat"/>
          <w:sz w:val="20"/>
          <w:szCs w:val="20"/>
        </w:rPr>
        <w:t>the relevant Central Bank estimates.</w:t>
      </w:r>
      <w:r w:rsidRPr="005E510E">
        <w:rPr>
          <w:rFonts w:ascii="GHEA Grapalat" w:hAnsi="GHEA Grapalat" w:cs="Sylfaen"/>
          <w:iCs/>
          <w:color w:val="000000" w:themeColor="text1"/>
          <w:sz w:val="20"/>
          <w:szCs w:val="20"/>
          <w:lang w:val="hy-AM"/>
        </w:rPr>
        <w:t xml:space="preserve"> </w:t>
      </w:r>
    </w:p>
    <w:p w14:paraId="3FD705AF" w14:textId="77777777" w:rsidR="004F213F" w:rsidRDefault="004F213F" w:rsidP="004F213F">
      <w:pPr>
        <w:tabs>
          <w:tab w:val="left" w:pos="600"/>
        </w:tabs>
        <w:spacing w:line="340" w:lineRule="atLeast"/>
        <w:ind w:firstLine="284"/>
        <w:rPr>
          <w:rFonts w:ascii="GHEA Grapalat" w:hAnsi="GHEA Grapalat"/>
          <w:sz w:val="20"/>
          <w:szCs w:val="20"/>
        </w:rPr>
      </w:pPr>
      <w:r w:rsidRPr="00B1141B">
        <w:rPr>
          <w:rFonts w:ascii="GHEA Grapalat" w:hAnsi="GHEA Grapalat"/>
          <w:sz w:val="20"/>
          <w:szCs w:val="20"/>
        </w:rPr>
        <w:t>A</w:t>
      </w:r>
      <w:r>
        <w:rPr>
          <w:rFonts w:ascii="GHEA Grapalat" w:hAnsi="GHEA Grapalat"/>
          <w:sz w:val="20"/>
          <w:szCs w:val="20"/>
        </w:rPr>
        <w:t xml:space="preserve"> change to t</w:t>
      </w:r>
      <w:r w:rsidRPr="00B1141B">
        <w:rPr>
          <w:rFonts w:ascii="GHEA Grapalat" w:hAnsi="GHEA Grapalat"/>
          <w:sz w:val="20"/>
          <w:szCs w:val="20"/>
        </w:rPr>
        <w:t xml:space="preserve">he 2020 state budget </w:t>
      </w:r>
      <w:r>
        <w:rPr>
          <w:rFonts w:ascii="GHEA Grapalat" w:hAnsi="GHEA Grapalat"/>
          <w:sz w:val="20"/>
          <w:szCs w:val="20"/>
        </w:rPr>
        <w:t xml:space="preserve">indicators has </w:t>
      </w:r>
      <w:r w:rsidRPr="00B1141B">
        <w:rPr>
          <w:rFonts w:ascii="GHEA Grapalat" w:hAnsi="GHEA Grapalat"/>
          <w:sz w:val="20"/>
          <w:szCs w:val="20"/>
        </w:rPr>
        <w:t xml:space="preserve">been made </w:t>
      </w:r>
      <w:proofErr w:type="gramStart"/>
      <w:r w:rsidRPr="00B1141B">
        <w:rPr>
          <w:rFonts w:ascii="GHEA Grapalat" w:hAnsi="GHEA Grapalat"/>
          <w:sz w:val="20"/>
          <w:szCs w:val="20"/>
        </w:rPr>
        <w:t>in order to</w:t>
      </w:r>
      <w:proofErr w:type="gramEnd"/>
      <w:r w:rsidRPr="00B1141B">
        <w:rPr>
          <w:rFonts w:ascii="GHEA Grapalat" w:hAnsi="GHEA Grapalat"/>
          <w:sz w:val="20"/>
          <w:szCs w:val="20"/>
        </w:rPr>
        <w:t xml:space="preserve"> neutralize and eliminate the economic consequences </w:t>
      </w:r>
      <w:r>
        <w:rPr>
          <w:rFonts w:ascii="GHEA Grapalat" w:hAnsi="GHEA Grapalat"/>
          <w:sz w:val="20"/>
          <w:szCs w:val="20"/>
        </w:rPr>
        <w:t xml:space="preserve">from </w:t>
      </w:r>
      <w:r w:rsidRPr="00B1141B">
        <w:rPr>
          <w:rFonts w:ascii="GHEA Grapalat" w:hAnsi="GHEA Grapalat"/>
          <w:sz w:val="20"/>
          <w:szCs w:val="20"/>
        </w:rPr>
        <w:t xml:space="preserve">the new coronavirus disease in Armenia. </w:t>
      </w:r>
    </w:p>
    <w:p w14:paraId="3701CED6" w14:textId="77777777" w:rsidR="004F213F" w:rsidRDefault="004F213F" w:rsidP="004F213F">
      <w:pPr>
        <w:tabs>
          <w:tab w:val="left" w:pos="600"/>
        </w:tabs>
        <w:spacing w:line="340" w:lineRule="atLeast"/>
        <w:ind w:firstLine="284"/>
        <w:rPr>
          <w:rFonts w:ascii="GHEA Grapalat" w:hAnsi="GHEA Grapalat"/>
          <w:sz w:val="20"/>
          <w:szCs w:val="20"/>
        </w:rPr>
      </w:pPr>
      <w:r w:rsidRPr="00BE7EE1">
        <w:rPr>
          <w:rFonts w:ascii="GHEA Grapalat" w:hAnsi="GHEA Grapalat"/>
          <w:sz w:val="20"/>
          <w:szCs w:val="20"/>
        </w:rPr>
        <w:t xml:space="preserve">According to the estimates by the Armenian Government, which are in line with the ones provided in the previous program, </w:t>
      </w:r>
      <w:r>
        <w:rPr>
          <w:rFonts w:ascii="GHEA Grapalat" w:hAnsi="GHEA Grapalat"/>
          <w:sz w:val="20"/>
          <w:szCs w:val="20"/>
        </w:rPr>
        <w:t xml:space="preserve">the tax revenue program </w:t>
      </w:r>
      <w:r w:rsidRPr="00BE7EE1">
        <w:rPr>
          <w:rFonts w:ascii="GHEA Grapalat" w:hAnsi="GHEA Grapalat"/>
          <w:sz w:val="20"/>
          <w:szCs w:val="20"/>
        </w:rPr>
        <w:t>has been</w:t>
      </w:r>
      <w:r>
        <w:rPr>
          <w:rFonts w:ascii="GHEA Grapalat" w:hAnsi="GHEA Grapalat"/>
          <w:sz w:val="20"/>
          <w:szCs w:val="20"/>
        </w:rPr>
        <w:t xml:space="preserve"> trimmed down </w:t>
      </w:r>
      <w:r w:rsidRPr="00BE7EE1">
        <w:rPr>
          <w:rFonts w:ascii="GHEA Grapalat" w:hAnsi="GHEA Grapalat"/>
          <w:sz w:val="20"/>
          <w:szCs w:val="20"/>
        </w:rPr>
        <w:t>significantly</w:t>
      </w:r>
      <w:r>
        <w:rPr>
          <w:rFonts w:ascii="GHEA Grapalat" w:hAnsi="GHEA Grapalat"/>
          <w:sz w:val="20"/>
          <w:szCs w:val="20"/>
        </w:rPr>
        <w:t xml:space="preserve"> </w:t>
      </w:r>
      <w:proofErr w:type="gramStart"/>
      <w:r>
        <w:rPr>
          <w:rFonts w:ascii="GHEA Grapalat" w:hAnsi="GHEA Grapalat"/>
          <w:sz w:val="20"/>
          <w:szCs w:val="20"/>
        </w:rPr>
        <w:t>as a result of</w:t>
      </w:r>
      <w:proofErr w:type="gramEnd"/>
      <w:r>
        <w:rPr>
          <w:rFonts w:ascii="GHEA Grapalat" w:hAnsi="GHEA Grapalat"/>
          <w:sz w:val="20"/>
          <w:szCs w:val="20"/>
        </w:rPr>
        <w:t xml:space="preserve"> the 2020 </w:t>
      </w:r>
      <w:r>
        <w:rPr>
          <w:rFonts w:ascii="GHEA Grapalat" w:hAnsi="GHEA Grapalat"/>
          <w:sz w:val="20"/>
          <w:szCs w:val="20"/>
        </w:rPr>
        <w:lastRenderedPageBreak/>
        <w:t xml:space="preserve">nominal GDP contraction. </w:t>
      </w:r>
      <w:r w:rsidRPr="00BE7EE1">
        <w:rPr>
          <w:rFonts w:ascii="GHEA Grapalat" w:hAnsi="GHEA Grapalat"/>
          <w:sz w:val="20"/>
          <w:szCs w:val="20"/>
        </w:rPr>
        <w:t xml:space="preserve">In the </w:t>
      </w:r>
      <w:r>
        <w:rPr>
          <w:rFonts w:ascii="GHEA Grapalat" w:hAnsi="GHEA Grapalat"/>
          <w:sz w:val="20"/>
          <w:szCs w:val="20"/>
        </w:rPr>
        <w:t>time of e</w:t>
      </w:r>
      <w:r w:rsidRPr="00BE7EE1">
        <w:rPr>
          <w:rFonts w:ascii="GHEA Grapalat" w:hAnsi="GHEA Grapalat"/>
          <w:sz w:val="20"/>
          <w:szCs w:val="20"/>
        </w:rPr>
        <w:t xml:space="preserve">conomic decline, it is estimated that </w:t>
      </w:r>
      <w:r>
        <w:rPr>
          <w:rFonts w:ascii="GHEA Grapalat" w:hAnsi="GHEA Grapalat"/>
          <w:sz w:val="20"/>
          <w:szCs w:val="20"/>
        </w:rPr>
        <w:t>in 2020 t</w:t>
      </w:r>
      <w:r w:rsidRPr="00BE7EE1">
        <w:rPr>
          <w:rFonts w:ascii="GHEA Grapalat" w:hAnsi="GHEA Grapalat"/>
          <w:sz w:val="20"/>
          <w:szCs w:val="20"/>
        </w:rPr>
        <w:t xml:space="preserve">ax revenues will decrease by about </w:t>
      </w:r>
      <w:r>
        <w:rPr>
          <w:rFonts w:ascii="GHEA Grapalat" w:hAnsi="GHEA Grapalat"/>
          <w:sz w:val="20"/>
          <w:szCs w:val="20"/>
        </w:rPr>
        <w:t xml:space="preserve">AMD </w:t>
      </w:r>
      <w:r w:rsidRPr="00BE7EE1">
        <w:rPr>
          <w:rFonts w:ascii="GHEA Grapalat" w:hAnsi="GHEA Grapalat"/>
          <w:sz w:val="20"/>
          <w:szCs w:val="20"/>
        </w:rPr>
        <w:t xml:space="preserve">169.1 billion </w:t>
      </w:r>
      <w:r>
        <w:rPr>
          <w:rFonts w:ascii="GHEA Grapalat" w:hAnsi="GHEA Grapalat"/>
          <w:sz w:val="20"/>
          <w:szCs w:val="20"/>
        </w:rPr>
        <w:t>relative to</w:t>
      </w:r>
      <w:r w:rsidRPr="00BE7EE1">
        <w:rPr>
          <w:rFonts w:ascii="GHEA Grapalat" w:hAnsi="GHEA Grapalat"/>
          <w:sz w:val="20"/>
          <w:szCs w:val="20"/>
        </w:rPr>
        <w:t xml:space="preserve"> the scenario </w:t>
      </w:r>
      <w:r>
        <w:rPr>
          <w:rFonts w:ascii="GHEA Grapalat" w:hAnsi="GHEA Grapalat"/>
          <w:sz w:val="20"/>
          <w:szCs w:val="20"/>
        </w:rPr>
        <w:t>set forth in</w:t>
      </w:r>
      <w:r w:rsidRPr="00BE7EE1">
        <w:rPr>
          <w:rFonts w:ascii="GHEA Grapalat" w:hAnsi="GHEA Grapalat"/>
          <w:sz w:val="20"/>
          <w:szCs w:val="20"/>
        </w:rPr>
        <w:t xml:space="preserve"> the RA Law on </w:t>
      </w:r>
      <w:r>
        <w:rPr>
          <w:rFonts w:ascii="GHEA Grapalat" w:hAnsi="GHEA Grapalat"/>
          <w:sz w:val="20"/>
          <w:szCs w:val="20"/>
        </w:rPr>
        <w:t>“</w:t>
      </w:r>
      <w:r w:rsidRPr="00BE7EE1">
        <w:rPr>
          <w:rFonts w:ascii="GHEA Grapalat" w:hAnsi="GHEA Grapalat"/>
          <w:sz w:val="20"/>
          <w:szCs w:val="20"/>
        </w:rPr>
        <w:t>State Budget 2020</w:t>
      </w:r>
      <w:r>
        <w:rPr>
          <w:rFonts w:ascii="GHEA Grapalat" w:hAnsi="GHEA Grapalat"/>
          <w:sz w:val="20"/>
          <w:szCs w:val="20"/>
        </w:rPr>
        <w:t>”</w:t>
      </w:r>
      <w:r w:rsidRPr="00BE7EE1">
        <w:rPr>
          <w:rFonts w:ascii="GHEA Grapalat" w:hAnsi="GHEA Grapalat"/>
          <w:sz w:val="20"/>
          <w:szCs w:val="20"/>
        </w:rPr>
        <w:t xml:space="preserve">. </w:t>
      </w:r>
      <w:r>
        <w:rPr>
          <w:rFonts w:ascii="GHEA Grapalat" w:hAnsi="GHEA Grapalat"/>
          <w:sz w:val="20"/>
          <w:szCs w:val="20"/>
        </w:rPr>
        <w:t xml:space="preserve">Consequently, </w:t>
      </w:r>
      <w:r w:rsidRPr="00BE7EE1">
        <w:rPr>
          <w:rFonts w:ascii="GHEA Grapalat" w:hAnsi="GHEA Grapalat"/>
          <w:sz w:val="20"/>
          <w:szCs w:val="20"/>
        </w:rPr>
        <w:t>in t</w:t>
      </w:r>
      <w:r>
        <w:rPr>
          <w:rFonts w:ascii="GHEA Grapalat" w:hAnsi="GHEA Grapalat"/>
          <w:sz w:val="20"/>
          <w:szCs w:val="20"/>
        </w:rPr>
        <w:t>he case of adjusted indicators,</w:t>
      </w:r>
      <w:r w:rsidRPr="00BE7EE1">
        <w:rPr>
          <w:rFonts w:ascii="GHEA Grapalat" w:hAnsi="GHEA Grapalat"/>
          <w:sz w:val="20"/>
          <w:szCs w:val="20"/>
        </w:rPr>
        <w:t xml:space="preserve"> the tax</w:t>
      </w:r>
      <w:r>
        <w:rPr>
          <w:rFonts w:ascii="GHEA Grapalat" w:hAnsi="GHEA Grapalat"/>
          <w:sz w:val="20"/>
          <w:szCs w:val="20"/>
        </w:rPr>
        <w:t>es-to-</w:t>
      </w:r>
      <w:r w:rsidRPr="00BE7EE1">
        <w:rPr>
          <w:rFonts w:ascii="GHEA Grapalat" w:hAnsi="GHEA Grapalat"/>
          <w:sz w:val="20"/>
          <w:szCs w:val="20"/>
        </w:rPr>
        <w:t>GDP ratio</w:t>
      </w:r>
      <w:r>
        <w:rPr>
          <w:rStyle w:val="FootnoteReference"/>
          <w:rFonts w:ascii="GHEA Grapalat" w:hAnsi="GHEA Grapalat"/>
        </w:rPr>
        <w:footnoteReference w:customMarkFollows="1" w:id="4"/>
        <w:t>5</w:t>
      </w:r>
      <w:r>
        <w:rPr>
          <w:rFonts w:ascii="GHEA Grapalat" w:hAnsi="GHEA Grapalat"/>
          <w:sz w:val="20"/>
          <w:szCs w:val="20"/>
        </w:rPr>
        <w:t xml:space="preserve"> will </w:t>
      </w:r>
      <w:r w:rsidRPr="00BE7EE1">
        <w:rPr>
          <w:rFonts w:ascii="GHEA Grapalat" w:hAnsi="GHEA Grapalat"/>
          <w:sz w:val="20"/>
          <w:szCs w:val="20"/>
        </w:rPr>
        <w:t xml:space="preserve">be 22.4%, remaining almost unchanged </w:t>
      </w:r>
      <w:r>
        <w:rPr>
          <w:rFonts w:ascii="GHEA Grapalat" w:hAnsi="GHEA Grapalat"/>
          <w:sz w:val="20"/>
          <w:szCs w:val="20"/>
        </w:rPr>
        <w:t xml:space="preserve">against </w:t>
      </w:r>
      <w:r w:rsidRPr="00BE7EE1">
        <w:rPr>
          <w:rFonts w:ascii="GHEA Grapalat" w:hAnsi="GHEA Grapalat"/>
          <w:sz w:val="20"/>
          <w:szCs w:val="20"/>
        </w:rPr>
        <w:t>2019.</w:t>
      </w:r>
    </w:p>
    <w:p w14:paraId="5B68AD6D" w14:textId="77777777" w:rsidR="004F213F" w:rsidRDefault="004F213F" w:rsidP="004F213F">
      <w:pPr>
        <w:tabs>
          <w:tab w:val="left" w:pos="600"/>
        </w:tabs>
        <w:spacing w:line="346" w:lineRule="atLeast"/>
        <w:ind w:firstLine="284"/>
        <w:rPr>
          <w:rFonts w:ascii="GHEA Grapalat" w:hAnsi="GHEA Grapalat"/>
          <w:sz w:val="20"/>
          <w:szCs w:val="20"/>
        </w:rPr>
      </w:pPr>
      <w:r w:rsidRPr="007B7847">
        <w:rPr>
          <w:rFonts w:ascii="GHEA Grapalat" w:hAnsi="GHEA Grapalat"/>
          <w:sz w:val="20"/>
          <w:szCs w:val="20"/>
        </w:rPr>
        <w:t xml:space="preserve">The </w:t>
      </w:r>
      <w:r>
        <w:rPr>
          <w:rFonts w:ascii="GHEA Grapalat" w:hAnsi="GHEA Grapalat"/>
          <w:sz w:val="20"/>
          <w:szCs w:val="20"/>
        </w:rPr>
        <w:t>figure</w:t>
      </w:r>
      <w:r w:rsidRPr="007B7847">
        <w:rPr>
          <w:rFonts w:ascii="GHEA Grapalat" w:hAnsi="GHEA Grapalat"/>
          <w:sz w:val="20"/>
          <w:szCs w:val="20"/>
        </w:rPr>
        <w:t xml:space="preserve"> of </w:t>
      </w:r>
      <w:r>
        <w:rPr>
          <w:rFonts w:ascii="GHEA Grapalat" w:hAnsi="GHEA Grapalat"/>
          <w:sz w:val="20"/>
          <w:szCs w:val="20"/>
        </w:rPr>
        <w:t xml:space="preserve">public </w:t>
      </w:r>
      <w:r w:rsidRPr="007B7847">
        <w:rPr>
          <w:rFonts w:ascii="GHEA Grapalat" w:hAnsi="GHEA Grapalat"/>
          <w:sz w:val="20"/>
          <w:szCs w:val="20"/>
        </w:rPr>
        <w:t>expenditures, including the</w:t>
      </w:r>
      <w:r>
        <w:rPr>
          <w:rFonts w:ascii="GHEA Grapalat" w:hAnsi="GHEA Grapalat"/>
          <w:sz w:val="20"/>
          <w:szCs w:val="20"/>
        </w:rPr>
        <w:t xml:space="preserve"> AMD 150.0 billion</w:t>
      </w:r>
      <w:r w:rsidRPr="007B7847">
        <w:rPr>
          <w:rFonts w:ascii="GHEA Grapalat" w:hAnsi="GHEA Grapalat"/>
          <w:sz w:val="20"/>
          <w:szCs w:val="20"/>
        </w:rPr>
        <w:t xml:space="preserve"> economic assistance packages, </w:t>
      </w:r>
      <w:r>
        <w:rPr>
          <w:rFonts w:ascii="GHEA Grapalat" w:hAnsi="GHEA Grapalat"/>
          <w:sz w:val="20"/>
          <w:szCs w:val="20"/>
        </w:rPr>
        <w:t>stayed unaltered relative to the indicator</w:t>
      </w:r>
      <w:r w:rsidRPr="00B02DC0">
        <w:rPr>
          <w:rFonts w:ascii="GHEA Grapalat" w:hAnsi="GHEA Grapalat"/>
          <w:sz w:val="20"/>
          <w:szCs w:val="20"/>
        </w:rPr>
        <w:t xml:space="preserve"> in RA Law on “State Budget 2020”</w:t>
      </w:r>
      <w:r>
        <w:rPr>
          <w:rFonts w:ascii="GHEA Grapalat" w:hAnsi="GHEA Grapalat"/>
          <w:sz w:val="20"/>
          <w:szCs w:val="20"/>
        </w:rPr>
        <w:t xml:space="preserve">. </w:t>
      </w:r>
      <w:r w:rsidRPr="007B7847">
        <w:rPr>
          <w:rFonts w:ascii="GHEA Grapalat" w:hAnsi="GHEA Grapalat"/>
          <w:sz w:val="20"/>
          <w:szCs w:val="20"/>
        </w:rPr>
        <w:t xml:space="preserve">The </w:t>
      </w:r>
      <w:r>
        <w:rPr>
          <w:rFonts w:ascii="GHEA Grapalat" w:hAnsi="GHEA Grapalat"/>
          <w:sz w:val="20"/>
          <w:szCs w:val="20"/>
        </w:rPr>
        <w:t>public expenditures-to-</w:t>
      </w:r>
      <w:r w:rsidRPr="007B7847">
        <w:rPr>
          <w:rFonts w:ascii="GHEA Grapalat" w:hAnsi="GHEA Grapalat"/>
          <w:sz w:val="20"/>
          <w:szCs w:val="20"/>
        </w:rPr>
        <w:t xml:space="preserve">GDP ratio will </w:t>
      </w:r>
      <w:r>
        <w:rPr>
          <w:rFonts w:ascii="GHEA Grapalat" w:hAnsi="GHEA Grapalat"/>
          <w:sz w:val="20"/>
          <w:szCs w:val="20"/>
        </w:rPr>
        <w:t xml:space="preserve">reach </w:t>
      </w:r>
      <w:r w:rsidRPr="007B7847">
        <w:rPr>
          <w:rFonts w:ascii="GHEA Grapalat" w:hAnsi="GHEA Grapalat"/>
          <w:sz w:val="20"/>
          <w:szCs w:val="20"/>
        </w:rPr>
        <w:t xml:space="preserve">29.0%, up </w:t>
      </w:r>
      <w:r>
        <w:rPr>
          <w:rFonts w:ascii="GHEA Grapalat" w:hAnsi="GHEA Grapalat"/>
          <w:sz w:val="20"/>
          <w:szCs w:val="20"/>
        </w:rPr>
        <w:t xml:space="preserve">by </w:t>
      </w:r>
      <w:r w:rsidRPr="007B7847">
        <w:rPr>
          <w:rFonts w:ascii="GHEA Grapalat" w:hAnsi="GHEA Grapalat"/>
          <w:sz w:val="20"/>
          <w:szCs w:val="20"/>
        </w:rPr>
        <w:t>4.3 p</w:t>
      </w:r>
      <w:r>
        <w:rPr>
          <w:rFonts w:ascii="GHEA Grapalat" w:hAnsi="GHEA Grapalat"/>
          <w:sz w:val="20"/>
          <w:szCs w:val="20"/>
        </w:rPr>
        <w:t xml:space="preserve">p against the </w:t>
      </w:r>
      <w:r w:rsidRPr="007B7847">
        <w:rPr>
          <w:rFonts w:ascii="GHEA Grapalat" w:hAnsi="GHEA Grapalat"/>
          <w:sz w:val="20"/>
          <w:szCs w:val="20"/>
        </w:rPr>
        <w:t>previous year.</w:t>
      </w:r>
    </w:p>
    <w:p w14:paraId="59D20597" w14:textId="77777777" w:rsidR="004F213F" w:rsidRDefault="004F213F" w:rsidP="004F213F">
      <w:pPr>
        <w:tabs>
          <w:tab w:val="left" w:pos="600"/>
        </w:tabs>
        <w:spacing w:line="346" w:lineRule="atLeast"/>
        <w:ind w:firstLine="284"/>
        <w:rPr>
          <w:rFonts w:ascii="GHEA Grapalat" w:hAnsi="GHEA Grapalat"/>
          <w:sz w:val="20"/>
          <w:szCs w:val="20"/>
        </w:rPr>
      </w:pPr>
      <w:r w:rsidRPr="0006378D">
        <w:rPr>
          <w:rFonts w:ascii="GHEA Grapalat" w:hAnsi="GHEA Grapalat"/>
          <w:sz w:val="20"/>
          <w:szCs w:val="20"/>
        </w:rPr>
        <w:t>D</w:t>
      </w:r>
      <w:r>
        <w:rPr>
          <w:rFonts w:ascii="GHEA Grapalat" w:hAnsi="GHEA Grapalat"/>
          <w:sz w:val="20"/>
          <w:szCs w:val="20"/>
        </w:rPr>
        <w:t xml:space="preserve">etermined by </w:t>
      </w:r>
      <w:r w:rsidRPr="0006378D">
        <w:rPr>
          <w:rFonts w:ascii="GHEA Grapalat" w:hAnsi="GHEA Grapalat"/>
          <w:sz w:val="20"/>
          <w:szCs w:val="20"/>
        </w:rPr>
        <w:t>reduction of taxes, the state budget deficit will increase</w:t>
      </w:r>
      <w:r>
        <w:rPr>
          <w:rFonts w:ascii="GHEA Grapalat" w:hAnsi="GHEA Grapalat"/>
          <w:sz w:val="20"/>
          <w:szCs w:val="20"/>
        </w:rPr>
        <w:t xml:space="preserve"> to </w:t>
      </w:r>
      <w:r w:rsidRPr="0006378D">
        <w:rPr>
          <w:rFonts w:ascii="GHEA Grapalat" w:hAnsi="GHEA Grapalat"/>
          <w:sz w:val="20"/>
          <w:szCs w:val="20"/>
        </w:rPr>
        <w:t xml:space="preserve">5.0% of GDP, </w:t>
      </w:r>
      <w:r>
        <w:rPr>
          <w:rFonts w:ascii="GHEA Grapalat" w:hAnsi="GHEA Grapalat"/>
          <w:sz w:val="20"/>
          <w:szCs w:val="20"/>
        </w:rPr>
        <w:t xml:space="preserve">up by </w:t>
      </w:r>
      <w:r w:rsidRPr="0006378D">
        <w:rPr>
          <w:rFonts w:ascii="GHEA Grapalat" w:hAnsi="GHEA Grapalat"/>
          <w:sz w:val="20"/>
          <w:szCs w:val="20"/>
        </w:rPr>
        <w:t>4 p</w:t>
      </w:r>
      <w:r>
        <w:rPr>
          <w:rFonts w:ascii="GHEA Grapalat" w:hAnsi="GHEA Grapalat"/>
          <w:sz w:val="20"/>
          <w:szCs w:val="20"/>
        </w:rPr>
        <w:t xml:space="preserve">p </w:t>
      </w:r>
      <w:r w:rsidRPr="0006378D">
        <w:rPr>
          <w:rFonts w:ascii="GHEA Grapalat" w:hAnsi="GHEA Grapalat"/>
          <w:sz w:val="20"/>
          <w:szCs w:val="20"/>
        </w:rPr>
        <w:t>compared to the previous year.</w:t>
      </w:r>
    </w:p>
    <w:p w14:paraId="692D4746" w14:textId="77777777" w:rsidR="004F213F" w:rsidRDefault="004F213F" w:rsidP="004F213F">
      <w:pPr>
        <w:tabs>
          <w:tab w:val="left" w:pos="600"/>
        </w:tabs>
        <w:spacing w:line="346" w:lineRule="atLeast"/>
        <w:ind w:firstLine="284"/>
        <w:rPr>
          <w:rFonts w:ascii="GHEA Grapalat" w:hAnsi="GHEA Grapalat"/>
          <w:sz w:val="20"/>
          <w:szCs w:val="20"/>
        </w:rPr>
      </w:pPr>
      <w:r w:rsidRPr="00B02DC0">
        <w:rPr>
          <w:rFonts w:ascii="GHEA Grapalat" w:hAnsi="GHEA Grapalat"/>
          <w:sz w:val="20"/>
          <w:szCs w:val="20"/>
        </w:rPr>
        <w:t xml:space="preserve">With the above tax and expenditure projections, </w:t>
      </w:r>
      <w:r>
        <w:rPr>
          <w:rFonts w:ascii="GHEA Grapalat" w:hAnsi="GHEA Grapalat"/>
          <w:sz w:val="20"/>
          <w:szCs w:val="20"/>
        </w:rPr>
        <w:t>exclusive of</w:t>
      </w:r>
      <w:r w:rsidRPr="00B02DC0">
        <w:rPr>
          <w:rFonts w:ascii="GHEA Grapalat" w:hAnsi="GHEA Grapalat"/>
          <w:sz w:val="20"/>
          <w:szCs w:val="20"/>
        </w:rPr>
        <w:t xml:space="preserve"> one-off streams</w:t>
      </w:r>
      <w:r>
        <w:rPr>
          <w:rFonts w:ascii="GHEA Grapalat" w:hAnsi="GHEA Grapalat"/>
          <w:sz w:val="20"/>
          <w:szCs w:val="20"/>
        </w:rPr>
        <w:t xml:space="preserve"> not affecting aggregate demand but inclusive of economy </w:t>
      </w:r>
      <w:r w:rsidRPr="00273A2C">
        <w:rPr>
          <w:rFonts w:ascii="GHEA Grapalat" w:hAnsi="GHEA Grapalat"/>
          <w:sz w:val="20"/>
          <w:szCs w:val="20"/>
          <w:highlight w:val="yellow"/>
        </w:rPr>
        <w:t>net</w:t>
      </w:r>
      <w:r>
        <w:rPr>
          <w:rFonts w:ascii="GHEA Grapalat" w:hAnsi="GHEA Grapalat"/>
          <w:sz w:val="20"/>
          <w:szCs w:val="20"/>
        </w:rPr>
        <w:t xml:space="preserve"> lending</w:t>
      </w:r>
      <w:r>
        <w:rPr>
          <w:rStyle w:val="FootnoteReference"/>
          <w:rFonts w:ascii="GHEA Grapalat" w:hAnsi="GHEA Grapalat"/>
        </w:rPr>
        <w:footnoteReference w:customMarkFollows="1" w:id="5"/>
        <w:t>6</w:t>
      </w:r>
      <w:r w:rsidRPr="00B02DC0">
        <w:rPr>
          <w:rFonts w:ascii="GHEA Grapalat" w:hAnsi="GHEA Grapalat"/>
          <w:sz w:val="20"/>
          <w:szCs w:val="20"/>
        </w:rPr>
        <w:t>, the 2020 fiscal policy’s imp</w:t>
      </w:r>
      <w:r>
        <w:rPr>
          <w:rFonts w:ascii="GHEA Grapalat" w:hAnsi="GHEA Grapalat"/>
          <w:sz w:val="20"/>
          <w:szCs w:val="20"/>
        </w:rPr>
        <w:t xml:space="preserve">act </w:t>
      </w:r>
      <w:r w:rsidRPr="00B02DC0">
        <w:rPr>
          <w:rFonts w:ascii="GHEA Grapalat" w:hAnsi="GHEA Grapalat"/>
          <w:sz w:val="20"/>
          <w:szCs w:val="20"/>
        </w:rPr>
        <w:t xml:space="preserve">on aggregate demand is an estimated </w:t>
      </w:r>
      <w:r>
        <w:rPr>
          <w:rFonts w:ascii="GHEA Grapalat" w:hAnsi="GHEA Grapalat"/>
          <w:sz w:val="20"/>
          <w:szCs w:val="20"/>
        </w:rPr>
        <w:t>5</w:t>
      </w:r>
      <w:r w:rsidRPr="00B02DC0">
        <w:rPr>
          <w:rFonts w:ascii="GHEA Grapalat" w:hAnsi="GHEA Grapalat"/>
          <w:sz w:val="20"/>
          <w:szCs w:val="20"/>
        </w:rPr>
        <w:t>.</w:t>
      </w:r>
      <w:r>
        <w:rPr>
          <w:rFonts w:ascii="GHEA Grapalat" w:hAnsi="GHEA Grapalat"/>
          <w:sz w:val="20"/>
          <w:szCs w:val="20"/>
        </w:rPr>
        <w:t>5</w:t>
      </w:r>
      <w:r w:rsidRPr="00B02DC0">
        <w:rPr>
          <w:rFonts w:ascii="GHEA Grapalat" w:hAnsi="GHEA Grapalat"/>
          <w:sz w:val="20"/>
          <w:szCs w:val="20"/>
        </w:rPr>
        <w:t xml:space="preserve"> pp expansionary</w:t>
      </w:r>
      <w:r>
        <w:rPr>
          <w:rStyle w:val="FootnoteReference"/>
          <w:rFonts w:ascii="GHEA Grapalat" w:hAnsi="GHEA Grapalat"/>
        </w:rPr>
        <w:footnoteReference w:customMarkFollows="1" w:id="6"/>
        <w:t>7</w:t>
      </w:r>
      <w:r w:rsidRPr="00B02DC0">
        <w:rPr>
          <w:rFonts w:ascii="GHEA Grapalat" w:hAnsi="GHEA Grapalat"/>
          <w:sz w:val="20"/>
          <w:szCs w:val="20"/>
        </w:rPr>
        <w:t xml:space="preserve"> </w:t>
      </w:r>
      <w:r>
        <w:rPr>
          <w:rFonts w:ascii="GHEA Grapalat" w:hAnsi="GHEA Grapalat"/>
          <w:sz w:val="20"/>
          <w:szCs w:val="20"/>
        </w:rPr>
        <w:t>against</w:t>
      </w:r>
      <w:r w:rsidRPr="00B02DC0">
        <w:rPr>
          <w:rFonts w:ascii="GHEA Grapalat" w:hAnsi="GHEA Grapalat"/>
          <w:sz w:val="20"/>
          <w:szCs w:val="20"/>
        </w:rPr>
        <w:t xml:space="preserve"> to that of 2019.</w:t>
      </w:r>
      <w:r w:rsidRPr="00B02DC0">
        <w:rPr>
          <w:rFonts w:ascii="GHEA Grapalat" w:hAnsi="GHEA Grapalat"/>
          <w:b/>
          <w:sz w:val="20"/>
          <w:szCs w:val="20"/>
        </w:rPr>
        <w:t xml:space="preserve"> </w:t>
      </w:r>
      <w:r w:rsidRPr="00B02DC0">
        <w:rPr>
          <w:rFonts w:ascii="GHEA Grapalat" w:hAnsi="GHEA Grapalat"/>
          <w:sz w:val="20"/>
          <w:szCs w:val="20"/>
        </w:rPr>
        <w:t xml:space="preserve">This </w:t>
      </w:r>
      <w:r>
        <w:rPr>
          <w:rFonts w:ascii="GHEA Grapalat" w:hAnsi="GHEA Grapalat"/>
          <w:sz w:val="20"/>
          <w:szCs w:val="20"/>
        </w:rPr>
        <w:t xml:space="preserve">will be </w:t>
      </w:r>
      <w:r w:rsidRPr="00B02DC0">
        <w:rPr>
          <w:rFonts w:ascii="GHEA Grapalat" w:hAnsi="GHEA Grapalat"/>
          <w:sz w:val="20"/>
          <w:szCs w:val="20"/>
        </w:rPr>
        <w:t>attributable to</w:t>
      </w:r>
      <w:r>
        <w:rPr>
          <w:rFonts w:ascii="GHEA Grapalat" w:hAnsi="GHEA Grapalat"/>
          <w:sz w:val="20"/>
          <w:szCs w:val="20"/>
        </w:rPr>
        <w:t xml:space="preserve"> </w:t>
      </w:r>
      <w:proofErr w:type="gramStart"/>
      <w:r w:rsidRPr="00B02DC0">
        <w:rPr>
          <w:rFonts w:ascii="GHEA Grapalat" w:hAnsi="GHEA Grapalat"/>
          <w:sz w:val="20"/>
          <w:szCs w:val="20"/>
        </w:rPr>
        <w:t>expenditures</w:t>
      </w:r>
      <w:r>
        <w:rPr>
          <w:rFonts w:ascii="GHEA Grapalat" w:hAnsi="GHEA Grapalat"/>
          <w:sz w:val="20"/>
          <w:szCs w:val="20"/>
        </w:rPr>
        <w:t>( including</w:t>
      </w:r>
      <w:proofErr w:type="gramEnd"/>
      <w:r>
        <w:rPr>
          <w:rFonts w:ascii="GHEA Grapalat" w:hAnsi="GHEA Grapalat"/>
          <w:sz w:val="20"/>
          <w:szCs w:val="20"/>
        </w:rPr>
        <w:t xml:space="preserve"> net lending) </w:t>
      </w:r>
      <w:r w:rsidRPr="00B02DC0">
        <w:rPr>
          <w:rFonts w:ascii="GHEA Grapalat" w:hAnsi="GHEA Grapalat"/>
          <w:sz w:val="20"/>
          <w:szCs w:val="20"/>
        </w:rPr>
        <w:t xml:space="preserve"> impulse</w:t>
      </w:r>
      <w:r>
        <w:rPr>
          <w:rFonts w:ascii="GHEA Grapalat" w:hAnsi="GHEA Grapalat"/>
          <w:sz w:val="20"/>
          <w:szCs w:val="20"/>
        </w:rPr>
        <w:t>, which are primarily expansionary.</w:t>
      </w:r>
    </w:p>
    <w:p w14:paraId="091424F8" w14:textId="77777777" w:rsidR="004F213F" w:rsidRDefault="004F213F" w:rsidP="004F213F">
      <w:pPr>
        <w:tabs>
          <w:tab w:val="left" w:pos="600"/>
        </w:tabs>
        <w:spacing w:line="346" w:lineRule="atLeast"/>
        <w:ind w:firstLine="284"/>
        <w:rPr>
          <w:rFonts w:ascii="GHEA Grapalat" w:hAnsi="GHEA Grapalat"/>
          <w:sz w:val="20"/>
          <w:szCs w:val="20"/>
        </w:rPr>
      </w:pPr>
      <w:r>
        <w:rPr>
          <w:rFonts w:ascii="GHEA Grapalat" w:hAnsi="GHEA Grapalat"/>
          <w:sz w:val="20"/>
          <w:szCs w:val="20"/>
        </w:rPr>
        <w:t>T</w:t>
      </w:r>
      <w:r w:rsidRPr="00A646E6">
        <w:rPr>
          <w:rFonts w:ascii="GHEA Grapalat" w:hAnsi="GHEA Grapalat"/>
          <w:sz w:val="20"/>
          <w:szCs w:val="20"/>
        </w:rPr>
        <w:t>he medium-term impact of fiscal policy is assumed to be neutral</w:t>
      </w:r>
      <w:r>
        <w:rPr>
          <w:rFonts w:ascii="GHEA Grapalat" w:hAnsi="GHEA Grapalat"/>
          <w:sz w:val="20"/>
          <w:szCs w:val="20"/>
        </w:rPr>
        <w:t xml:space="preserve">, according to the baseline scenario of preliminary version of the </w:t>
      </w:r>
      <w:r w:rsidRPr="00A646E6">
        <w:rPr>
          <w:rFonts w:ascii="GHEA Grapalat" w:hAnsi="GHEA Grapalat"/>
          <w:sz w:val="20"/>
          <w:szCs w:val="20"/>
        </w:rPr>
        <w:t>2021-2023</w:t>
      </w:r>
      <w:r>
        <w:rPr>
          <w:rFonts w:ascii="GHEA Grapalat" w:hAnsi="GHEA Grapalat"/>
          <w:sz w:val="20"/>
          <w:szCs w:val="20"/>
        </w:rPr>
        <w:t xml:space="preserve"> </w:t>
      </w:r>
      <w:r w:rsidRPr="00A646E6">
        <w:rPr>
          <w:rFonts w:ascii="GHEA Grapalat" w:hAnsi="GHEA Grapalat"/>
          <w:sz w:val="20"/>
          <w:szCs w:val="20"/>
        </w:rPr>
        <w:t>M</w:t>
      </w:r>
      <w:r>
        <w:rPr>
          <w:rFonts w:ascii="GHEA Grapalat" w:hAnsi="GHEA Grapalat"/>
          <w:sz w:val="20"/>
          <w:szCs w:val="20"/>
        </w:rPr>
        <w:t>id-Term Expenditures Framework</w:t>
      </w:r>
      <w:r w:rsidRPr="00A646E6">
        <w:rPr>
          <w:rFonts w:ascii="GHEA Grapalat" w:hAnsi="GHEA Grapalat"/>
          <w:sz w:val="20"/>
          <w:szCs w:val="20"/>
        </w:rPr>
        <w:t>.</w:t>
      </w:r>
    </w:p>
    <w:p w14:paraId="64DAFE15" w14:textId="77777777" w:rsidR="004F213F" w:rsidRDefault="004F213F" w:rsidP="004F213F">
      <w:pPr>
        <w:tabs>
          <w:tab w:val="left" w:pos="600"/>
        </w:tabs>
        <w:spacing w:line="346" w:lineRule="atLeast"/>
        <w:ind w:firstLine="284"/>
        <w:rPr>
          <w:rFonts w:ascii="GHEA Grapalat" w:hAnsi="GHEA Grapalat"/>
          <w:sz w:val="20"/>
          <w:szCs w:val="20"/>
        </w:rPr>
      </w:pPr>
    </w:p>
    <w:p w14:paraId="40524A1D" w14:textId="77777777" w:rsidR="004F213F" w:rsidRDefault="004F213F" w:rsidP="004F213F">
      <w:pPr>
        <w:tabs>
          <w:tab w:val="left" w:pos="600"/>
        </w:tabs>
        <w:spacing w:line="346" w:lineRule="atLeast"/>
        <w:ind w:firstLine="284"/>
        <w:jc w:val="both"/>
        <w:rPr>
          <w:rFonts w:ascii="GHEA Grapalat" w:hAnsi="GHEA Grapalat" w:cs="Tahoma"/>
          <w:sz w:val="20"/>
          <w:szCs w:val="20"/>
          <w:lang w:val="hy-AM"/>
        </w:rPr>
      </w:pPr>
      <w:bookmarkStart w:id="1" w:name="_Hlk36128590"/>
      <w:bookmarkEnd w:id="1"/>
      <w:r w:rsidRPr="00FA186C">
        <w:rPr>
          <w:rFonts w:ascii="GHEA Grapalat" w:hAnsi="GHEA Grapalat"/>
          <w:b/>
          <w:i/>
          <w:sz w:val="20"/>
          <w:szCs w:val="20"/>
        </w:rPr>
        <w:t>Labor market</w:t>
      </w:r>
      <w:r>
        <w:rPr>
          <w:rStyle w:val="FootnoteReference"/>
          <w:rFonts w:ascii="GHEA Grapalat" w:hAnsi="GHEA Grapalat"/>
          <w:b/>
          <w:i/>
        </w:rPr>
        <w:footnoteReference w:customMarkFollows="1" w:id="7"/>
        <w:t>8</w:t>
      </w:r>
      <w:r w:rsidRPr="00FA186C">
        <w:rPr>
          <w:rFonts w:ascii="GHEA Grapalat" w:hAnsi="GHEA Grapalat"/>
          <w:b/>
          <w:i/>
          <w:sz w:val="20"/>
          <w:szCs w:val="20"/>
        </w:rPr>
        <w:t>:</w:t>
      </w:r>
      <w:r w:rsidRPr="00B02DC0">
        <w:rPr>
          <w:rFonts w:ascii="GHEA Grapalat" w:hAnsi="GHEA Grapalat"/>
          <w:b/>
          <w:sz w:val="20"/>
          <w:szCs w:val="20"/>
        </w:rPr>
        <w:t xml:space="preserve"> </w:t>
      </w:r>
      <w:r w:rsidRPr="00B02DC0">
        <w:rPr>
          <w:rFonts w:ascii="GHEA Grapalat" w:hAnsi="GHEA Grapalat"/>
          <w:sz w:val="20"/>
          <w:szCs w:val="20"/>
        </w:rPr>
        <w:t xml:space="preserve">In 2020 </w:t>
      </w:r>
      <w:r>
        <w:rPr>
          <w:rFonts w:ascii="GHEA Grapalat" w:hAnsi="GHEA Grapalat"/>
          <w:sz w:val="20"/>
          <w:szCs w:val="20"/>
        </w:rPr>
        <w:t xml:space="preserve">a notable </w:t>
      </w:r>
      <w:r w:rsidRPr="00B02DC0">
        <w:rPr>
          <w:rFonts w:ascii="GHEA Grapalat" w:hAnsi="GHEA Grapalat"/>
          <w:sz w:val="20"/>
          <w:szCs w:val="20"/>
        </w:rPr>
        <w:t xml:space="preserve">slowing of </w:t>
      </w:r>
      <w:r>
        <w:rPr>
          <w:rFonts w:ascii="GHEA Grapalat" w:hAnsi="GHEA Grapalat"/>
          <w:sz w:val="20"/>
          <w:szCs w:val="20"/>
        </w:rPr>
        <w:t xml:space="preserve">the </w:t>
      </w:r>
      <w:r w:rsidRPr="00B02DC0">
        <w:rPr>
          <w:rFonts w:ascii="GHEA Grapalat" w:hAnsi="GHEA Grapalat"/>
          <w:sz w:val="20"/>
          <w:szCs w:val="20"/>
        </w:rPr>
        <w:t xml:space="preserve">growth rate of private sector nominal wages </w:t>
      </w:r>
      <w:r>
        <w:rPr>
          <w:rFonts w:ascii="GHEA Grapalat" w:hAnsi="GHEA Grapalat"/>
          <w:sz w:val="20"/>
          <w:szCs w:val="20"/>
        </w:rPr>
        <w:t>is not anticipated; t</w:t>
      </w:r>
      <w:r w:rsidRPr="00047B58">
        <w:rPr>
          <w:rFonts w:ascii="GHEA Grapalat" w:hAnsi="GHEA Grapalat"/>
          <w:sz w:val="20"/>
          <w:szCs w:val="20"/>
        </w:rPr>
        <w:t>h</w:t>
      </w:r>
      <w:r>
        <w:rPr>
          <w:rFonts w:ascii="GHEA Grapalat" w:hAnsi="GHEA Grapalat"/>
          <w:sz w:val="20"/>
          <w:szCs w:val="20"/>
        </w:rPr>
        <w:t>e</w:t>
      </w:r>
      <w:r w:rsidRPr="00047B58">
        <w:rPr>
          <w:rFonts w:ascii="GHEA Grapalat" w:hAnsi="GHEA Grapalat"/>
          <w:sz w:val="20"/>
          <w:szCs w:val="20"/>
        </w:rPr>
        <w:t xml:space="preserve"> growth will </w:t>
      </w:r>
      <w:r>
        <w:rPr>
          <w:rFonts w:ascii="GHEA Grapalat" w:hAnsi="GHEA Grapalat"/>
          <w:sz w:val="20"/>
          <w:szCs w:val="20"/>
        </w:rPr>
        <w:t xml:space="preserve">persist within </w:t>
      </w:r>
      <w:r w:rsidRPr="00047B58">
        <w:rPr>
          <w:rFonts w:ascii="GHEA Grapalat" w:hAnsi="GHEA Grapalat"/>
          <w:sz w:val="20"/>
          <w:szCs w:val="20"/>
        </w:rPr>
        <w:t>6.8%</w:t>
      </w:r>
      <w:r>
        <w:rPr>
          <w:rFonts w:ascii="GHEA Grapalat" w:hAnsi="GHEA Grapalat"/>
          <w:sz w:val="20"/>
          <w:szCs w:val="20"/>
        </w:rPr>
        <w:t xml:space="preserve"> owing to both </w:t>
      </w:r>
      <w:r w:rsidRPr="00047B58">
        <w:rPr>
          <w:rFonts w:ascii="GHEA Grapalat" w:hAnsi="GHEA Grapalat"/>
          <w:sz w:val="20"/>
          <w:szCs w:val="20"/>
        </w:rPr>
        <w:t>the increase in minimum wage</w:t>
      </w:r>
      <w:r>
        <w:rPr>
          <w:rFonts w:ascii="GHEA Grapalat" w:hAnsi="GHEA Grapalat"/>
          <w:sz w:val="20"/>
          <w:szCs w:val="20"/>
        </w:rPr>
        <w:t xml:space="preserve"> and </w:t>
      </w:r>
      <w:r w:rsidRPr="00406980">
        <w:rPr>
          <w:rFonts w:ascii="GHEA Grapalat" w:hAnsi="GHEA Grapalat"/>
          <w:sz w:val="20"/>
          <w:szCs w:val="20"/>
        </w:rPr>
        <w:t xml:space="preserve">the change in the structure of average </w:t>
      </w:r>
      <w:r>
        <w:rPr>
          <w:rFonts w:ascii="GHEA Grapalat" w:hAnsi="GHEA Grapalat"/>
          <w:sz w:val="20"/>
          <w:szCs w:val="20"/>
        </w:rPr>
        <w:t>wage</w:t>
      </w:r>
      <w:r w:rsidRPr="00406980">
        <w:rPr>
          <w:rFonts w:ascii="GHEA Grapalat" w:hAnsi="GHEA Grapalat"/>
          <w:sz w:val="20"/>
          <w:szCs w:val="20"/>
        </w:rPr>
        <w:t>, as th</w:t>
      </w:r>
      <w:r>
        <w:rPr>
          <w:rFonts w:ascii="GHEA Grapalat" w:hAnsi="GHEA Grapalat"/>
          <w:sz w:val="20"/>
          <w:szCs w:val="20"/>
        </w:rPr>
        <w:t xml:space="preserve">ose employed in the most </w:t>
      </w:r>
      <w:r w:rsidRPr="00406980">
        <w:rPr>
          <w:rFonts w:ascii="GHEA Grapalat" w:hAnsi="GHEA Grapalat"/>
          <w:sz w:val="20"/>
          <w:szCs w:val="20"/>
        </w:rPr>
        <w:t xml:space="preserve">vulnerable </w:t>
      </w:r>
      <w:r>
        <w:rPr>
          <w:rFonts w:ascii="GHEA Grapalat" w:hAnsi="GHEA Grapalat"/>
          <w:sz w:val="20"/>
          <w:szCs w:val="20"/>
        </w:rPr>
        <w:t xml:space="preserve">segments are generally the ones </w:t>
      </w:r>
      <w:r w:rsidRPr="00406980">
        <w:rPr>
          <w:rFonts w:ascii="GHEA Grapalat" w:hAnsi="GHEA Grapalat"/>
          <w:sz w:val="20"/>
          <w:szCs w:val="20"/>
        </w:rPr>
        <w:t>who receive below-average wages</w:t>
      </w:r>
      <w:r>
        <w:rPr>
          <w:rFonts w:ascii="GHEA Grapalat" w:hAnsi="GHEA Grapalat"/>
          <w:sz w:val="20"/>
          <w:szCs w:val="20"/>
        </w:rPr>
        <w:t xml:space="preserve"> in the time of persisting pandemic and e</w:t>
      </w:r>
      <w:r w:rsidRPr="00406980">
        <w:rPr>
          <w:rFonts w:ascii="GHEA Grapalat" w:hAnsi="GHEA Grapalat"/>
          <w:sz w:val="20"/>
          <w:szCs w:val="20"/>
        </w:rPr>
        <w:t>conomic constraints.</w:t>
      </w:r>
      <w:r>
        <w:rPr>
          <w:rFonts w:ascii="GHEA Grapalat" w:hAnsi="GHEA Grapalat"/>
          <w:sz w:val="20"/>
          <w:szCs w:val="20"/>
        </w:rPr>
        <w:t xml:space="preserve"> </w:t>
      </w:r>
      <w:r w:rsidRPr="00880ED1">
        <w:rPr>
          <w:rFonts w:ascii="GHEA Grapalat" w:hAnsi="GHEA Grapalat"/>
          <w:sz w:val="20"/>
          <w:szCs w:val="20"/>
        </w:rPr>
        <w:t xml:space="preserve">Although the </w:t>
      </w:r>
      <w:r>
        <w:rPr>
          <w:rFonts w:ascii="GHEA Grapalat" w:hAnsi="GHEA Grapalat"/>
          <w:sz w:val="20"/>
          <w:szCs w:val="20"/>
        </w:rPr>
        <w:t xml:space="preserve">Statistics </w:t>
      </w:r>
      <w:r w:rsidRPr="00880ED1">
        <w:rPr>
          <w:rFonts w:ascii="GHEA Grapalat" w:hAnsi="GHEA Grapalat"/>
          <w:sz w:val="20"/>
          <w:szCs w:val="20"/>
        </w:rPr>
        <w:t>C</w:t>
      </w:r>
      <w:r>
        <w:rPr>
          <w:rFonts w:ascii="GHEA Grapalat" w:hAnsi="GHEA Grapalat"/>
          <w:sz w:val="20"/>
          <w:szCs w:val="20"/>
        </w:rPr>
        <w:t xml:space="preserve">ommittee </w:t>
      </w:r>
      <w:r w:rsidRPr="00880ED1">
        <w:rPr>
          <w:rFonts w:ascii="GHEA Grapalat" w:hAnsi="GHEA Grapalat"/>
          <w:sz w:val="20"/>
          <w:szCs w:val="20"/>
        </w:rPr>
        <w:t>estimate</w:t>
      </w:r>
      <w:r>
        <w:rPr>
          <w:rFonts w:ascii="GHEA Grapalat" w:hAnsi="GHEA Grapalat"/>
          <w:sz w:val="20"/>
          <w:szCs w:val="20"/>
        </w:rPr>
        <w:t xml:space="preserve">s a </w:t>
      </w:r>
      <w:r w:rsidRPr="00880ED1">
        <w:rPr>
          <w:rFonts w:ascii="GHEA Grapalat" w:hAnsi="GHEA Grapalat"/>
          <w:sz w:val="20"/>
          <w:szCs w:val="20"/>
        </w:rPr>
        <w:t xml:space="preserve">9.8% </w:t>
      </w:r>
      <w:r>
        <w:rPr>
          <w:rFonts w:ascii="GHEA Grapalat" w:hAnsi="GHEA Grapalat"/>
          <w:sz w:val="20"/>
          <w:szCs w:val="20"/>
        </w:rPr>
        <w:t>rise</w:t>
      </w:r>
      <w:r>
        <w:rPr>
          <w:rStyle w:val="FootnoteReference"/>
          <w:rFonts w:ascii="GHEA Grapalat" w:hAnsi="GHEA Grapalat"/>
        </w:rPr>
        <w:footnoteReference w:customMarkFollows="1" w:id="8"/>
        <w:t>9</w:t>
      </w:r>
      <w:r>
        <w:rPr>
          <w:rFonts w:ascii="GHEA Grapalat" w:hAnsi="GHEA Grapalat"/>
          <w:sz w:val="20"/>
          <w:szCs w:val="20"/>
        </w:rPr>
        <w:t xml:space="preserve"> in </w:t>
      </w:r>
      <w:r w:rsidRPr="00880ED1">
        <w:rPr>
          <w:rFonts w:ascii="GHEA Grapalat" w:hAnsi="GHEA Grapalat"/>
          <w:sz w:val="20"/>
          <w:szCs w:val="20"/>
        </w:rPr>
        <w:t xml:space="preserve">average </w:t>
      </w:r>
      <w:r>
        <w:rPr>
          <w:rFonts w:ascii="GHEA Grapalat" w:hAnsi="GHEA Grapalat"/>
          <w:sz w:val="20"/>
          <w:szCs w:val="20"/>
        </w:rPr>
        <w:t xml:space="preserve">wage </w:t>
      </w:r>
      <w:r w:rsidRPr="00880ED1">
        <w:rPr>
          <w:rFonts w:ascii="GHEA Grapalat" w:hAnsi="GHEA Grapalat"/>
          <w:sz w:val="20"/>
          <w:szCs w:val="20"/>
        </w:rPr>
        <w:t>for April</w:t>
      </w:r>
      <w:r>
        <w:rPr>
          <w:rFonts w:ascii="GHEA Grapalat" w:hAnsi="GHEA Grapalat"/>
          <w:sz w:val="20"/>
          <w:szCs w:val="20"/>
        </w:rPr>
        <w:t xml:space="preserve">, the memo reminds that </w:t>
      </w:r>
      <w:r w:rsidRPr="00A35716">
        <w:rPr>
          <w:rFonts w:ascii="GHEA Grapalat" w:hAnsi="GHEA Grapalat"/>
          <w:sz w:val="20"/>
          <w:szCs w:val="20"/>
        </w:rPr>
        <w:t xml:space="preserve">the calculation </w:t>
      </w:r>
      <w:r>
        <w:rPr>
          <w:rFonts w:ascii="GHEA Grapalat" w:hAnsi="GHEA Grapalat"/>
          <w:sz w:val="20"/>
          <w:szCs w:val="20"/>
        </w:rPr>
        <w:t xml:space="preserve">excludes </w:t>
      </w:r>
      <w:r w:rsidRPr="00A35716">
        <w:rPr>
          <w:rFonts w:ascii="GHEA Grapalat" w:hAnsi="GHEA Grapalat"/>
          <w:sz w:val="20"/>
          <w:szCs w:val="20"/>
        </w:rPr>
        <w:t>some employees on forced leave</w:t>
      </w:r>
      <w:r>
        <w:rPr>
          <w:rFonts w:ascii="GHEA Grapalat" w:hAnsi="GHEA Grapalat"/>
          <w:sz w:val="20"/>
          <w:szCs w:val="20"/>
        </w:rPr>
        <w:t xml:space="preserve">; </w:t>
      </w:r>
      <w:r w:rsidRPr="00A35716">
        <w:rPr>
          <w:rFonts w:ascii="GHEA Grapalat" w:hAnsi="GHEA Grapalat"/>
          <w:sz w:val="20"/>
          <w:szCs w:val="20"/>
        </w:rPr>
        <w:t>average wage growth</w:t>
      </w:r>
      <w:r>
        <w:rPr>
          <w:rFonts w:ascii="GHEA Grapalat" w:hAnsi="GHEA Grapalat"/>
          <w:sz w:val="20"/>
          <w:szCs w:val="20"/>
        </w:rPr>
        <w:t xml:space="preserve"> will be slower </w:t>
      </w:r>
      <w:r w:rsidRPr="00A35716">
        <w:rPr>
          <w:rFonts w:ascii="GHEA Grapalat" w:hAnsi="GHEA Grapalat"/>
          <w:sz w:val="20"/>
          <w:szCs w:val="20"/>
        </w:rPr>
        <w:t xml:space="preserve">if </w:t>
      </w:r>
      <w:r>
        <w:rPr>
          <w:rFonts w:ascii="GHEA Grapalat" w:hAnsi="GHEA Grapalat"/>
          <w:sz w:val="20"/>
          <w:szCs w:val="20"/>
        </w:rPr>
        <w:t xml:space="preserve">this effect is </w:t>
      </w:r>
      <w:r w:rsidRPr="00A35716">
        <w:rPr>
          <w:rFonts w:ascii="GHEA Grapalat" w:hAnsi="GHEA Grapalat"/>
          <w:sz w:val="20"/>
          <w:szCs w:val="20"/>
        </w:rPr>
        <w:t>taken into account. Given the above, according to the Central Bank</w:t>
      </w:r>
      <w:r>
        <w:rPr>
          <w:rFonts w:ascii="GHEA Grapalat" w:hAnsi="GHEA Grapalat"/>
          <w:sz w:val="20"/>
          <w:szCs w:val="20"/>
        </w:rPr>
        <w:t xml:space="preserve"> estimates</w:t>
      </w:r>
      <w:r w:rsidRPr="00A35716">
        <w:rPr>
          <w:rFonts w:ascii="GHEA Grapalat" w:hAnsi="GHEA Grapalat"/>
          <w:sz w:val="20"/>
          <w:szCs w:val="20"/>
        </w:rPr>
        <w:t xml:space="preserve">, the growth of private </w:t>
      </w:r>
      <w:r>
        <w:rPr>
          <w:rFonts w:ascii="GHEA Grapalat" w:hAnsi="GHEA Grapalat"/>
          <w:sz w:val="20"/>
          <w:szCs w:val="20"/>
        </w:rPr>
        <w:t xml:space="preserve">sector wage </w:t>
      </w:r>
      <w:r w:rsidRPr="00A35716">
        <w:rPr>
          <w:rFonts w:ascii="GHEA Grapalat" w:hAnsi="GHEA Grapalat"/>
          <w:sz w:val="20"/>
          <w:szCs w:val="20"/>
        </w:rPr>
        <w:t xml:space="preserve">in April </w:t>
      </w:r>
      <w:r>
        <w:rPr>
          <w:rFonts w:ascii="GHEA Grapalat" w:hAnsi="GHEA Grapalat"/>
          <w:sz w:val="20"/>
          <w:szCs w:val="20"/>
        </w:rPr>
        <w:t xml:space="preserve">has </w:t>
      </w:r>
      <w:r w:rsidRPr="00A35716">
        <w:rPr>
          <w:rFonts w:ascii="GHEA Grapalat" w:hAnsi="GHEA Grapalat"/>
          <w:sz w:val="20"/>
          <w:szCs w:val="20"/>
        </w:rPr>
        <w:t>also slowed</w:t>
      </w:r>
      <w:r>
        <w:rPr>
          <w:rFonts w:ascii="GHEA Grapalat" w:hAnsi="GHEA Grapalat"/>
          <w:sz w:val="20"/>
          <w:szCs w:val="20"/>
        </w:rPr>
        <w:t xml:space="preserve"> and will amount</w:t>
      </w:r>
      <w:r w:rsidRPr="00A35716">
        <w:rPr>
          <w:rFonts w:ascii="GHEA Grapalat" w:hAnsi="GHEA Grapalat"/>
          <w:sz w:val="20"/>
          <w:szCs w:val="20"/>
        </w:rPr>
        <w:t xml:space="preserve"> to 6.3% instead of the 12.8% published. </w:t>
      </w:r>
      <w:r>
        <w:rPr>
          <w:rFonts w:ascii="GHEA Grapalat" w:hAnsi="GHEA Grapalat"/>
          <w:sz w:val="20"/>
          <w:szCs w:val="20"/>
        </w:rPr>
        <w:t xml:space="preserve">Already </w:t>
      </w:r>
      <w:r w:rsidRPr="00A35716">
        <w:rPr>
          <w:rFonts w:ascii="GHEA Grapalat" w:hAnsi="GHEA Grapalat"/>
          <w:sz w:val="20"/>
          <w:szCs w:val="20"/>
        </w:rPr>
        <w:t xml:space="preserve">in the </w:t>
      </w:r>
      <w:proofErr w:type="gramStart"/>
      <w:r w:rsidRPr="00A35716">
        <w:rPr>
          <w:rFonts w:ascii="GHEA Grapalat" w:hAnsi="GHEA Grapalat"/>
          <w:sz w:val="20"/>
          <w:szCs w:val="20"/>
        </w:rPr>
        <w:t>medium term</w:t>
      </w:r>
      <w:proofErr w:type="gramEnd"/>
      <w:r>
        <w:rPr>
          <w:rFonts w:ascii="GHEA Grapalat" w:hAnsi="GHEA Grapalat"/>
          <w:sz w:val="20"/>
          <w:szCs w:val="20"/>
        </w:rPr>
        <w:t xml:space="preserve"> perspective</w:t>
      </w:r>
      <w:r w:rsidRPr="00A35716">
        <w:rPr>
          <w:rFonts w:ascii="GHEA Grapalat" w:hAnsi="GHEA Grapalat"/>
          <w:sz w:val="20"/>
          <w:szCs w:val="20"/>
        </w:rPr>
        <w:t xml:space="preserve"> the growth rate of nominal wages </w:t>
      </w:r>
      <w:r>
        <w:rPr>
          <w:rFonts w:ascii="GHEA Grapalat" w:hAnsi="GHEA Grapalat"/>
          <w:sz w:val="20"/>
          <w:szCs w:val="20"/>
        </w:rPr>
        <w:t xml:space="preserve">in the private sector </w:t>
      </w:r>
      <w:r w:rsidRPr="00A35716">
        <w:rPr>
          <w:rFonts w:ascii="GHEA Grapalat" w:hAnsi="GHEA Grapalat"/>
          <w:sz w:val="20"/>
          <w:szCs w:val="20"/>
        </w:rPr>
        <w:t xml:space="preserve">will correspond to </w:t>
      </w:r>
      <w:r>
        <w:rPr>
          <w:rFonts w:ascii="GHEA Grapalat" w:hAnsi="GHEA Grapalat"/>
          <w:sz w:val="20"/>
          <w:szCs w:val="20"/>
        </w:rPr>
        <w:t xml:space="preserve">the </w:t>
      </w:r>
      <w:r w:rsidRPr="00A35716">
        <w:rPr>
          <w:rFonts w:ascii="GHEA Grapalat" w:hAnsi="GHEA Grapalat"/>
          <w:sz w:val="20"/>
          <w:szCs w:val="20"/>
        </w:rPr>
        <w:t>economic growth and inflation</w:t>
      </w:r>
      <w:r>
        <w:rPr>
          <w:rFonts w:ascii="GHEA Grapalat" w:hAnsi="GHEA Grapalat"/>
          <w:sz w:val="20"/>
          <w:szCs w:val="20"/>
        </w:rPr>
        <w:t xml:space="preserve"> developments, i.e. its fundamentals</w:t>
      </w:r>
      <w:r w:rsidRPr="00A35716">
        <w:rPr>
          <w:rFonts w:ascii="GHEA Grapalat" w:hAnsi="GHEA Grapalat"/>
          <w:sz w:val="20"/>
          <w:szCs w:val="20"/>
        </w:rPr>
        <w:t>.</w:t>
      </w:r>
      <w:r>
        <w:rPr>
          <w:rFonts w:ascii="GHEA Grapalat" w:hAnsi="GHEA Grapalat"/>
          <w:sz w:val="20"/>
          <w:szCs w:val="20"/>
        </w:rPr>
        <w:t xml:space="preserve"> I</w:t>
      </w:r>
      <w:r w:rsidRPr="00A35716">
        <w:rPr>
          <w:rFonts w:ascii="GHEA Grapalat" w:hAnsi="GHEA Grapalat"/>
          <w:sz w:val="20"/>
          <w:szCs w:val="20"/>
        </w:rPr>
        <w:t xml:space="preserve">n 2021 </w:t>
      </w:r>
      <w:r>
        <w:rPr>
          <w:rFonts w:ascii="GHEA Grapalat" w:hAnsi="GHEA Grapalat"/>
          <w:sz w:val="20"/>
          <w:szCs w:val="20"/>
        </w:rPr>
        <w:t xml:space="preserve">therefore, the rise is projected to be </w:t>
      </w:r>
      <w:r w:rsidRPr="00A35716">
        <w:rPr>
          <w:rFonts w:ascii="GHEA Grapalat" w:hAnsi="GHEA Grapalat"/>
          <w:sz w:val="20"/>
          <w:szCs w:val="20"/>
        </w:rPr>
        <w:t>6.4% and at the end of the forecast horizon it will stabilize around 7.1%.</w:t>
      </w:r>
      <w:r>
        <w:rPr>
          <w:rFonts w:ascii="GHEA Grapalat" w:hAnsi="GHEA Grapalat"/>
          <w:sz w:val="20"/>
          <w:szCs w:val="20"/>
        </w:rPr>
        <w:t xml:space="preserve"> </w:t>
      </w:r>
    </w:p>
    <w:p w14:paraId="2FF21640" w14:textId="77777777" w:rsidR="004F213F" w:rsidRDefault="004F213F" w:rsidP="004F213F">
      <w:pPr>
        <w:spacing w:before="60" w:line="350" w:lineRule="atLeast"/>
        <w:ind w:firstLine="284"/>
        <w:rPr>
          <w:rFonts w:ascii="GHEA Grapalat" w:hAnsi="GHEA Grapalat"/>
          <w:sz w:val="20"/>
          <w:szCs w:val="20"/>
        </w:rPr>
      </w:pPr>
      <w:r>
        <w:rPr>
          <w:rFonts w:ascii="GHEA Grapalat" w:hAnsi="GHEA Grapalat"/>
          <w:sz w:val="20"/>
          <w:szCs w:val="20"/>
        </w:rPr>
        <w:t>T</w:t>
      </w:r>
      <w:r w:rsidRPr="006A25A9">
        <w:rPr>
          <w:rFonts w:ascii="GHEA Grapalat" w:hAnsi="GHEA Grapalat"/>
          <w:sz w:val="20"/>
          <w:szCs w:val="20"/>
        </w:rPr>
        <w:t xml:space="preserve">he </w:t>
      </w:r>
      <w:r>
        <w:rPr>
          <w:rFonts w:ascii="GHEA Grapalat" w:hAnsi="GHEA Grapalat"/>
          <w:sz w:val="20"/>
          <w:szCs w:val="20"/>
        </w:rPr>
        <w:t xml:space="preserve">total </w:t>
      </w:r>
      <w:r w:rsidRPr="006A25A9">
        <w:rPr>
          <w:rFonts w:ascii="GHEA Grapalat" w:hAnsi="GHEA Grapalat"/>
          <w:sz w:val="20"/>
          <w:szCs w:val="20"/>
        </w:rPr>
        <w:t xml:space="preserve">number of hours worked </w:t>
      </w:r>
      <w:r>
        <w:rPr>
          <w:rFonts w:ascii="GHEA Grapalat" w:hAnsi="GHEA Grapalat"/>
          <w:sz w:val="20"/>
          <w:szCs w:val="20"/>
        </w:rPr>
        <w:t xml:space="preserve">will reduce amid the </w:t>
      </w:r>
      <w:proofErr w:type="gramStart"/>
      <w:r>
        <w:rPr>
          <w:rFonts w:ascii="GHEA Grapalat" w:hAnsi="GHEA Grapalat"/>
          <w:sz w:val="20"/>
          <w:szCs w:val="20"/>
        </w:rPr>
        <w:t xml:space="preserve">aforementioned </w:t>
      </w:r>
      <w:r w:rsidRPr="006A25A9">
        <w:rPr>
          <w:rFonts w:ascii="GHEA Grapalat" w:hAnsi="GHEA Grapalat"/>
          <w:sz w:val="20"/>
          <w:szCs w:val="20"/>
        </w:rPr>
        <w:t>economic</w:t>
      </w:r>
      <w:proofErr w:type="gramEnd"/>
      <w:r w:rsidRPr="006A25A9">
        <w:rPr>
          <w:rFonts w:ascii="GHEA Grapalat" w:hAnsi="GHEA Grapalat"/>
          <w:sz w:val="20"/>
          <w:szCs w:val="20"/>
        </w:rPr>
        <w:t xml:space="preserve"> downturn and current </w:t>
      </w:r>
      <w:r>
        <w:rPr>
          <w:rFonts w:ascii="GHEA Grapalat" w:hAnsi="GHEA Grapalat"/>
          <w:sz w:val="20"/>
          <w:szCs w:val="20"/>
        </w:rPr>
        <w:t>pandemic developments</w:t>
      </w:r>
      <w:r w:rsidRPr="006A25A9">
        <w:rPr>
          <w:rFonts w:ascii="GHEA Grapalat" w:hAnsi="GHEA Grapalat"/>
          <w:sz w:val="20"/>
          <w:szCs w:val="20"/>
        </w:rPr>
        <w:t xml:space="preserve">. </w:t>
      </w:r>
      <w:r>
        <w:rPr>
          <w:rFonts w:ascii="GHEA Grapalat" w:hAnsi="GHEA Grapalat"/>
          <w:sz w:val="20"/>
          <w:szCs w:val="20"/>
        </w:rPr>
        <w:t xml:space="preserve">Moreover, </w:t>
      </w:r>
      <w:r w:rsidRPr="006A25A9">
        <w:rPr>
          <w:rFonts w:ascii="GHEA Grapalat" w:hAnsi="GHEA Grapalat"/>
          <w:sz w:val="20"/>
          <w:szCs w:val="20"/>
        </w:rPr>
        <w:t xml:space="preserve">the overall impact of all these factors on unemployment is largely uncertain as the spread of </w:t>
      </w:r>
      <w:r>
        <w:rPr>
          <w:rFonts w:ascii="GHEA Grapalat" w:hAnsi="GHEA Grapalat"/>
          <w:sz w:val="20"/>
          <w:szCs w:val="20"/>
        </w:rPr>
        <w:t xml:space="preserve">pandemic </w:t>
      </w:r>
      <w:r w:rsidRPr="006A25A9">
        <w:rPr>
          <w:rFonts w:ascii="GHEA Grapalat" w:hAnsi="GHEA Grapalat"/>
          <w:sz w:val="20"/>
          <w:szCs w:val="20"/>
        </w:rPr>
        <w:t xml:space="preserve">could also affect the reduction of labor supply. </w:t>
      </w:r>
      <w:r>
        <w:rPr>
          <w:rFonts w:ascii="GHEA Grapalat" w:hAnsi="GHEA Grapalat"/>
          <w:sz w:val="20"/>
          <w:szCs w:val="20"/>
        </w:rPr>
        <w:t>The u</w:t>
      </w:r>
      <w:r w:rsidRPr="006A25A9">
        <w:rPr>
          <w:rFonts w:ascii="GHEA Grapalat" w:hAnsi="GHEA Grapalat"/>
          <w:sz w:val="20"/>
          <w:szCs w:val="20"/>
        </w:rPr>
        <w:t xml:space="preserve">nemployment </w:t>
      </w:r>
      <w:r>
        <w:rPr>
          <w:rFonts w:ascii="GHEA Grapalat" w:hAnsi="GHEA Grapalat"/>
          <w:sz w:val="20"/>
          <w:szCs w:val="20"/>
        </w:rPr>
        <w:t xml:space="preserve">figures </w:t>
      </w:r>
      <w:r w:rsidRPr="006A25A9">
        <w:rPr>
          <w:rFonts w:ascii="GHEA Grapalat" w:hAnsi="GHEA Grapalat"/>
          <w:sz w:val="20"/>
          <w:szCs w:val="20"/>
        </w:rPr>
        <w:t xml:space="preserve">may </w:t>
      </w:r>
      <w:r>
        <w:rPr>
          <w:rFonts w:ascii="GHEA Grapalat" w:hAnsi="GHEA Grapalat"/>
          <w:sz w:val="20"/>
          <w:szCs w:val="20"/>
        </w:rPr>
        <w:t xml:space="preserve">come </w:t>
      </w:r>
      <w:r w:rsidRPr="006A25A9">
        <w:rPr>
          <w:rFonts w:ascii="GHEA Grapalat" w:hAnsi="GHEA Grapalat"/>
          <w:sz w:val="20"/>
          <w:szCs w:val="20"/>
        </w:rPr>
        <w:t xml:space="preserve">underestimated </w:t>
      </w:r>
      <w:r>
        <w:rPr>
          <w:rFonts w:ascii="GHEA Grapalat" w:hAnsi="GHEA Grapalat"/>
          <w:sz w:val="20"/>
          <w:szCs w:val="20"/>
        </w:rPr>
        <w:t>in</w:t>
      </w:r>
      <w:r w:rsidRPr="006A25A9">
        <w:rPr>
          <w:rFonts w:ascii="GHEA Grapalat" w:hAnsi="GHEA Grapalat"/>
          <w:sz w:val="20"/>
          <w:szCs w:val="20"/>
        </w:rPr>
        <w:t xml:space="preserve"> the second quarter of 2020 </w:t>
      </w:r>
      <w:r>
        <w:rPr>
          <w:rFonts w:ascii="GHEA Grapalat" w:hAnsi="GHEA Grapalat"/>
          <w:sz w:val="20"/>
          <w:szCs w:val="20"/>
        </w:rPr>
        <w:t xml:space="preserve">too, </w:t>
      </w:r>
      <w:proofErr w:type="gramStart"/>
      <w:r>
        <w:rPr>
          <w:rFonts w:ascii="GHEA Grapalat" w:hAnsi="GHEA Grapalat"/>
          <w:sz w:val="20"/>
          <w:szCs w:val="20"/>
        </w:rPr>
        <w:t>as a result of</w:t>
      </w:r>
      <w:proofErr w:type="gramEnd"/>
      <w:r>
        <w:rPr>
          <w:rFonts w:ascii="GHEA Grapalat" w:hAnsi="GHEA Grapalat"/>
          <w:sz w:val="20"/>
          <w:szCs w:val="20"/>
        </w:rPr>
        <w:t xml:space="preserve"> non-inclusion of </w:t>
      </w:r>
      <w:r w:rsidRPr="006A25A9">
        <w:rPr>
          <w:rFonts w:ascii="GHEA Grapalat" w:hAnsi="GHEA Grapalat"/>
          <w:sz w:val="20"/>
          <w:szCs w:val="20"/>
        </w:rPr>
        <w:t xml:space="preserve">many workers </w:t>
      </w:r>
      <w:r>
        <w:rPr>
          <w:rFonts w:ascii="GHEA Grapalat" w:hAnsi="GHEA Grapalat"/>
          <w:sz w:val="20"/>
          <w:szCs w:val="20"/>
        </w:rPr>
        <w:t>on</w:t>
      </w:r>
      <w:r w:rsidRPr="006A25A9">
        <w:rPr>
          <w:rFonts w:ascii="GHEA Grapalat" w:hAnsi="GHEA Grapalat"/>
          <w:sz w:val="20"/>
          <w:szCs w:val="20"/>
        </w:rPr>
        <w:t xml:space="preserve"> </w:t>
      </w:r>
      <w:r w:rsidRPr="006A25A9">
        <w:rPr>
          <w:rFonts w:ascii="GHEA Grapalat" w:hAnsi="GHEA Grapalat"/>
          <w:sz w:val="20"/>
          <w:szCs w:val="20"/>
        </w:rPr>
        <w:lastRenderedPageBreak/>
        <w:t>forced</w:t>
      </w:r>
      <w:r>
        <w:rPr>
          <w:rFonts w:ascii="GHEA Grapalat" w:hAnsi="GHEA Grapalat"/>
          <w:sz w:val="20"/>
          <w:szCs w:val="20"/>
        </w:rPr>
        <w:t xml:space="preserve"> leave in the calculation</w:t>
      </w:r>
      <w:r w:rsidRPr="006A25A9">
        <w:rPr>
          <w:rFonts w:ascii="GHEA Grapalat" w:hAnsi="GHEA Grapalat"/>
          <w:sz w:val="20"/>
          <w:szCs w:val="20"/>
        </w:rPr>
        <w:t xml:space="preserve">. However, unemployment is expected to rise to 20.4% </w:t>
      </w:r>
      <w:r>
        <w:rPr>
          <w:rFonts w:ascii="GHEA Grapalat" w:hAnsi="GHEA Grapalat"/>
          <w:sz w:val="20"/>
          <w:szCs w:val="20"/>
        </w:rPr>
        <w:t xml:space="preserve">on average </w:t>
      </w:r>
      <w:r w:rsidRPr="006A25A9">
        <w:rPr>
          <w:rFonts w:ascii="GHEA Grapalat" w:hAnsi="GHEA Grapalat"/>
          <w:sz w:val="20"/>
          <w:szCs w:val="20"/>
        </w:rPr>
        <w:t xml:space="preserve">in 2020. </w:t>
      </w:r>
      <w:r>
        <w:rPr>
          <w:rFonts w:ascii="GHEA Grapalat" w:hAnsi="GHEA Grapalat"/>
          <w:sz w:val="20"/>
          <w:szCs w:val="20"/>
        </w:rPr>
        <w:t>In</w:t>
      </w:r>
      <w:r w:rsidRPr="006A25A9">
        <w:rPr>
          <w:rFonts w:ascii="GHEA Grapalat" w:hAnsi="GHEA Grapalat"/>
          <w:sz w:val="20"/>
          <w:szCs w:val="20"/>
        </w:rPr>
        <w:t xml:space="preserve"> the medium </w:t>
      </w:r>
      <w:r>
        <w:rPr>
          <w:rFonts w:ascii="GHEA Grapalat" w:hAnsi="GHEA Grapalat"/>
          <w:sz w:val="20"/>
          <w:szCs w:val="20"/>
        </w:rPr>
        <w:t xml:space="preserve">run, as </w:t>
      </w:r>
      <w:r w:rsidRPr="006A25A9">
        <w:rPr>
          <w:rFonts w:ascii="GHEA Grapalat" w:hAnsi="GHEA Grapalat"/>
          <w:sz w:val="20"/>
          <w:szCs w:val="20"/>
        </w:rPr>
        <w:t>the economy slow</w:t>
      </w:r>
      <w:r>
        <w:rPr>
          <w:rFonts w:ascii="GHEA Grapalat" w:hAnsi="GHEA Grapalat"/>
          <w:sz w:val="20"/>
          <w:szCs w:val="20"/>
        </w:rPr>
        <w:t>ly</w:t>
      </w:r>
      <w:r w:rsidRPr="006A25A9">
        <w:rPr>
          <w:rFonts w:ascii="GHEA Grapalat" w:hAnsi="GHEA Grapalat"/>
          <w:sz w:val="20"/>
          <w:szCs w:val="20"/>
        </w:rPr>
        <w:t xml:space="preserve"> recover</w:t>
      </w:r>
      <w:r>
        <w:rPr>
          <w:rFonts w:ascii="GHEA Grapalat" w:hAnsi="GHEA Grapalat"/>
          <w:sz w:val="20"/>
          <w:szCs w:val="20"/>
        </w:rPr>
        <w:t>s</w:t>
      </w:r>
      <w:r w:rsidRPr="006A25A9">
        <w:rPr>
          <w:rFonts w:ascii="GHEA Grapalat" w:hAnsi="GHEA Grapalat"/>
          <w:sz w:val="20"/>
          <w:szCs w:val="20"/>
        </w:rPr>
        <w:t>,</w:t>
      </w:r>
      <w:r>
        <w:rPr>
          <w:rFonts w:ascii="GHEA Grapalat" w:hAnsi="GHEA Grapalat"/>
          <w:sz w:val="20"/>
          <w:szCs w:val="20"/>
        </w:rPr>
        <w:t xml:space="preserve"> </w:t>
      </w:r>
      <w:r w:rsidRPr="006A25A9">
        <w:rPr>
          <w:rFonts w:ascii="GHEA Grapalat" w:hAnsi="GHEA Grapalat"/>
          <w:sz w:val="20"/>
          <w:szCs w:val="20"/>
        </w:rPr>
        <w:t xml:space="preserve">the unemployment rate will </w:t>
      </w:r>
      <w:r>
        <w:rPr>
          <w:rFonts w:ascii="GHEA Grapalat" w:hAnsi="GHEA Grapalat"/>
          <w:sz w:val="20"/>
          <w:szCs w:val="20"/>
        </w:rPr>
        <w:t xml:space="preserve">subdue </w:t>
      </w:r>
      <w:r w:rsidRPr="006A25A9">
        <w:rPr>
          <w:rFonts w:ascii="GHEA Grapalat" w:hAnsi="GHEA Grapalat"/>
          <w:sz w:val="20"/>
          <w:szCs w:val="20"/>
        </w:rPr>
        <w:t>by about 0.3-0.5 p</w:t>
      </w:r>
      <w:r>
        <w:rPr>
          <w:rFonts w:ascii="GHEA Grapalat" w:hAnsi="GHEA Grapalat"/>
          <w:sz w:val="20"/>
          <w:szCs w:val="20"/>
        </w:rPr>
        <w:t xml:space="preserve">p </w:t>
      </w:r>
      <w:r w:rsidRPr="006A25A9">
        <w:rPr>
          <w:rFonts w:ascii="GHEA Grapalat" w:hAnsi="GHEA Grapalat"/>
          <w:sz w:val="20"/>
          <w:szCs w:val="20"/>
        </w:rPr>
        <w:t>per year, approaching the level of 19.6% at the end of the forecast horizon.</w:t>
      </w:r>
    </w:p>
    <w:p w14:paraId="754C5550" w14:textId="77777777" w:rsidR="004F213F" w:rsidRDefault="004F213F" w:rsidP="004F213F">
      <w:pPr>
        <w:spacing w:before="60" w:line="350" w:lineRule="atLeast"/>
        <w:ind w:firstLine="284"/>
        <w:rPr>
          <w:rFonts w:ascii="GHEA Grapalat" w:hAnsi="GHEA Grapalat"/>
          <w:sz w:val="20"/>
          <w:szCs w:val="20"/>
        </w:rPr>
      </w:pPr>
      <w:r w:rsidRPr="00B02DC0">
        <w:rPr>
          <w:rFonts w:ascii="GHEA Grapalat" w:hAnsi="GHEA Grapalat"/>
          <w:sz w:val="20"/>
          <w:szCs w:val="20"/>
        </w:rPr>
        <w:t>In 2020</w:t>
      </w:r>
      <w:r>
        <w:rPr>
          <w:rFonts w:ascii="GHEA Grapalat" w:hAnsi="GHEA Grapalat"/>
          <w:sz w:val="20"/>
          <w:szCs w:val="20"/>
        </w:rPr>
        <w:t xml:space="preserve"> </w:t>
      </w:r>
      <w:r w:rsidRPr="00B02DC0">
        <w:rPr>
          <w:rFonts w:ascii="GHEA Grapalat" w:hAnsi="GHEA Grapalat"/>
          <w:sz w:val="20"/>
          <w:szCs w:val="20"/>
        </w:rPr>
        <w:t>the growth of firms’ unit labor costs will speed up</w:t>
      </w:r>
      <w:r>
        <w:rPr>
          <w:rFonts w:ascii="GHEA Grapalat" w:hAnsi="GHEA Grapalat"/>
          <w:sz w:val="20"/>
          <w:szCs w:val="20"/>
        </w:rPr>
        <w:t xml:space="preserve"> as the productivity growth rate slows down</w:t>
      </w:r>
      <w:r w:rsidRPr="00B02DC0">
        <w:rPr>
          <w:rFonts w:ascii="GHEA Grapalat" w:hAnsi="GHEA Grapalat"/>
          <w:sz w:val="20"/>
          <w:szCs w:val="20"/>
        </w:rPr>
        <w:t>; at the end of the forecast horizon</w:t>
      </w:r>
      <w:r>
        <w:rPr>
          <w:rFonts w:ascii="GHEA Grapalat" w:hAnsi="GHEA Grapalat"/>
          <w:sz w:val="20"/>
          <w:szCs w:val="20"/>
        </w:rPr>
        <w:t>, as inflation recovers,</w:t>
      </w:r>
      <w:r w:rsidRPr="00B02DC0">
        <w:rPr>
          <w:rFonts w:ascii="GHEA Grapalat" w:hAnsi="GHEA Grapalat"/>
          <w:sz w:val="20"/>
          <w:szCs w:val="20"/>
        </w:rPr>
        <w:t xml:space="preserve"> </w:t>
      </w:r>
      <w:r>
        <w:rPr>
          <w:rFonts w:ascii="GHEA Grapalat" w:hAnsi="GHEA Grapalat"/>
          <w:sz w:val="20"/>
          <w:szCs w:val="20"/>
        </w:rPr>
        <w:t xml:space="preserve">the growth </w:t>
      </w:r>
      <w:r w:rsidRPr="00B02DC0">
        <w:rPr>
          <w:rFonts w:ascii="GHEA Grapalat" w:hAnsi="GHEA Grapalat"/>
          <w:sz w:val="20"/>
          <w:szCs w:val="20"/>
        </w:rPr>
        <w:t>will stabilize around</w:t>
      </w:r>
      <w:r>
        <w:rPr>
          <w:rFonts w:ascii="GHEA Grapalat" w:hAnsi="GHEA Grapalat"/>
          <w:sz w:val="20"/>
          <w:szCs w:val="20"/>
        </w:rPr>
        <w:t xml:space="preserve"> its fundamental value - </w:t>
      </w:r>
      <w:r w:rsidRPr="00B02DC0">
        <w:rPr>
          <w:rFonts w:ascii="GHEA Grapalat" w:hAnsi="GHEA Grapalat"/>
          <w:sz w:val="20"/>
          <w:szCs w:val="20"/>
        </w:rPr>
        <w:t>the 4% inflation target.</w:t>
      </w:r>
    </w:p>
    <w:p w14:paraId="0C71C385" w14:textId="77777777" w:rsidR="004F213F" w:rsidRPr="00541AE3" w:rsidRDefault="004F213F" w:rsidP="004F213F">
      <w:pPr>
        <w:spacing w:before="60" w:line="350" w:lineRule="atLeast"/>
        <w:ind w:firstLine="284"/>
        <w:rPr>
          <w:rFonts w:ascii="GHEA Grapalat" w:hAnsi="GHEA Grapalat" w:cs="Sylfaen"/>
          <w:color w:val="000000" w:themeColor="text1"/>
          <w:sz w:val="20"/>
          <w:szCs w:val="20"/>
          <w:lang w:val="hy-AM"/>
        </w:rPr>
      </w:pPr>
      <w:r w:rsidRPr="00026018">
        <w:rPr>
          <w:noProof/>
        </w:rPr>
        <mc:AlternateContent>
          <mc:Choice Requires="wps">
            <w:drawing>
              <wp:anchor distT="0" distB="0" distL="114300" distR="114300" simplePos="0" relativeHeight="251664384" behindDoc="0" locked="0" layoutInCell="1" allowOverlap="1" wp14:anchorId="6620003F" wp14:editId="74B66253">
                <wp:simplePos x="0" y="0"/>
                <wp:positionH relativeFrom="column">
                  <wp:posOffset>-2672743</wp:posOffset>
                </wp:positionH>
                <wp:positionV relativeFrom="paragraph">
                  <wp:posOffset>350134</wp:posOffset>
                </wp:positionV>
                <wp:extent cx="2558100" cy="532737"/>
                <wp:effectExtent l="0" t="0" r="0" b="1270"/>
                <wp:wrapNone/>
                <wp:docPr id="4153" name="Text Box 3877">
                  <a:extLst xmlns:a="http://schemas.openxmlformats.org/drawingml/2006/main">
                    <a:ext uri="{FF2B5EF4-FFF2-40B4-BE49-F238E27FC236}">
                      <a16:creationId xmlns:a16="http://schemas.microsoft.com/office/drawing/2014/main" id="{00000000-0008-0000-1100-000006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100" cy="532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8269C"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GHEA Grapalat" w:hAnsi="GHEA Grapalat" w:cs="Sylfaen"/>
                                <w:b/>
                                <w:bCs/>
                                <w:color w:val="1F497D"/>
                                <w:sz w:val="14"/>
                                <w:szCs w:val="14"/>
                              </w:rPr>
                              <w:t xml:space="preserve">Chart </w:t>
                            </w:r>
                            <w:r w:rsidRPr="004E4334">
                              <w:rPr>
                                <w:rFonts w:ascii="GHEA Grapalat" w:hAnsi="GHEA Grapalat" w:cs="Sylfaen"/>
                                <w:b/>
                                <w:bCs/>
                                <w:color w:val="1F497D"/>
                                <w:sz w:val="14"/>
                                <w:szCs w:val="14"/>
                                <w:lang w:val="hy-AM"/>
                              </w:rPr>
                              <w:t>2</w:t>
                            </w:r>
                            <w:r w:rsidRPr="004E4334">
                              <w:rPr>
                                <w:rFonts w:ascii="GHEA Grapalat" w:hAnsi="GHEA Grapalat" w:cs="Sylfaen"/>
                                <w:b/>
                                <w:bCs/>
                                <w:color w:val="1F497D"/>
                                <w:sz w:val="14"/>
                                <w:szCs w:val="14"/>
                              </w:rPr>
                              <w:t>3</w:t>
                            </w:r>
                          </w:p>
                          <w:p w14:paraId="136E2D7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4"/>
                                <w:szCs w:val="4"/>
                              </w:rPr>
                              <w:t> </w:t>
                            </w:r>
                          </w:p>
                          <w:p w14:paraId="04D27B82"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GHEA Grapalat" w:hAnsi="GHEA Grapalat" w:cs="Sylfaen"/>
                                <w:b/>
                                <w:bCs/>
                                <w:color w:val="1F497D"/>
                                <w:sz w:val="14"/>
                                <w:szCs w:val="14"/>
                              </w:rPr>
                              <w:t>US economic growth forecasts, %</w:t>
                            </w:r>
                          </w:p>
                          <w:p w14:paraId="19D8DED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FE93220"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034B790"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172E329"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4F81592F"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3047503E"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3ADE312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79100B0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77838997"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0C4270B3"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6BEA4CD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16925E00"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082CD895"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3B7D708B"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65368F9"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8EF088C"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6527D8DF"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44B7C013"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850634E"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1EFE8F57"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6CDB49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3C955F8B"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497F1FCD"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CF3E02E"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2EBFCFC"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25512D5"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4C05391"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0152A185"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A0B1580"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7644B37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44A55A48"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168560A3"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15D916F2"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44521190"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1B789E60"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7D609346"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7CFEF2CA"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BB5341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19BD77B"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62A658F5"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color w:val="1F497D"/>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6620003F" id="_x0000_t202" coordsize="21600,21600" o:spt="202" path="m,l,21600r21600,l21600,xe">
                <v:stroke joinstyle="miter"/>
                <v:path gradientshapeok="t" o:connecttype="rect"/>
              </v:shapetype>
              <v:shape id="Text Box 3877" o:spid="_x0000_s1026" type="#_x0000_t202" style="position:absolute;left:0;text-align:left;margin-left:-210.45pt;margin-top:27.55pt;width:201.45pt;height:41.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" filled="f" stroked="f">
                <v:textbox>
                  <w:txbxContent>
                    <w:p w14:paraId="6378269C"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GHEA Grapalat" w:hAnsi="GHEA Grapalat" w:cs="Sylfaen"/>
                          <w:b/>
                          <w:bCs/>
                          <w:color w:val="1F497D"/>
                          <w:sz w:val="14"/>
                          <w:szCs w:val="14"/>
                        </w:rPr>
                        <w:t xml:space="preserve">Chart </w:t>
                      </w:r>
                      <w:r w:rsidRPr="004E4334">
                        <w:rPr>
                          <w:rFonts w:ascii="GHEA Grapalat" w:hAnsi="GHEA Grapalat" w:cs="Sylfaen"/>
                          <w:b/>
                          <w:bCs/>
                          <w:color w:val="1F497D"/>
                          <w:sz w:val="14"/>
                          <w:szCs w:val="14"/>
                          <w:lang w:val="hy-AM"/>
                        </w:rPr>
                        <w:t>2</w:t>
                      </w:r>
                      <w:r w:rsidRPr="004E4334">
                        <w:rPr>
                          <w:rFonts w:ascii="GHEA Grapalat" w:hAnsi="GHEA Grapalat" w:cs="Sylfaen"/>
                          <w:b/>
                          <w:bCs/>
                          <w:color w:val="1F497D"/>
                          <w:sz w:val="14"/>
                          <w:szCs w:val="14"/>
                        </w:rPr>
                        <w:t>3</w:t>
                      </w:r>
                    </w:p>
                    <w:p w14:paraId="136E2D7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4"/>
                          <w:szCs w:val="4"/>
                        </w:rPr>
                        <w:t> </w:t>
                      </w:r>
                    </w:p>
                    <w:p w14:paraId="04D27B82"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GHEA Grapalat" w:hAnsi="GHEA Grapalat" w:cs="Sylfaen"/>
                          <w:b/>
                          <w:bCs/>
                          <w:color w:val="1F497D"/>
                          <w:sz w:val="14"/>
                          <w:szCs w:val="14"/>
                        </w:rPr>
                        <w:t>US economic growth forecasts, %</w:t>
                      </w:r>
                    </w:p>
                    <w:p w14:paraId="19D8DED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FE93220"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034B790"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172E329"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4F81592F"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3047503E"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3ADE312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79100B0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77838997"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0C4270B3"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6BEA4CD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16925E00"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082CD895"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3B7D708B"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65368F9"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8EF088C"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6527D8DF"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44B7C013"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850634E"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1EFE8F57"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6CDB49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3C955F8B"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497F1FCD"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CF3E02E"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2EBFCFC"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25512D5"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24C05391"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0152A185"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A0B1580"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7644B37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44A55A48"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168560A3"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15D916F2"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44521190"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1B789E60"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7D609346"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7CFEF2CA"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BB53414"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519BD77B"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b/>
                          <w:bCs/>
                          <w:color w:val="1F497D"/>
                          <w:sz w:val="14"/>
                          <w:szCs w:val="14"/>
                        </w:rPr>
                        <w:t> </w:t>
                      </w:r>
                    </w:p>
                    <w:p w14:paraId="62A658F5" w14:textId="77777777" w:rsidR="004F213F" w:rsidRPr="004E4334" w:rsidRDefault="004F213F" w:rsidP="004F213F">
                      <w:pPr>
                        <w:pStyle w:val="NormalWeb"/>
                        <w:spacing w:before="0" w:beforeAutospacing="0" w:after="0" w:afterAutospacing="0"/>
                        <w:rPr>
                          <w:rFonts w:ascii="GHEA Grapalat" w:hAnsi="GHEA Grapalat"/>
                          <w:color w:val="1F497D"/>
                        </w:rPr>
                      </w:pPr>
                      <w:r w:rsidRPr="004E4334">
                        <w:rPr>
                          <w:rFonts w:ascii="Calibri" w:hAnsi="Calibri" w:cs="Calibri"/>
                          <w:color w:val="1F497D"/>
                          <w:sz w:val="14"/>
                          <w:szCs w:val="14"/>
                        </w:rPr>
                        <w:t> </w:t>
                      </w:r>
                    </w:p>
                  </w:txbxContent>
                </v:textbox>
              </v:shape>
            </w:pict>
          </mc:Fallback>
        </mc:AlternateContent>
      </w:r>
    </w:p>
    <w:p w14:paraId="0366768C" w14:textId="77777777" w:rsidR="004F213F" w:rsidRPr="00026018" w:rsidRDefault="004F213F" w:rsidP="004F213F">
      <w:pPr>
        <w:spacing w:line="350" w:lineRule="atLeast"/>
        <w:ind w:firstLine="284"/>
        <w:jc w:val="both"/>
        <w:rPr>
          <w:rFonts w:ascii="GHEA Grapalat" w:hAnsi="GHEA Grapalat" w:cs="Arial"/>
          <w:bCs/>
          <w:color w:val="FF0000"/>
          <w:sz w:val="32"/>
          <w:szCs w:val="20"/>
          <w:lang w:val="hy-AM"/>
        </w:rPr>
      </w:pPr>
    </w:p>
    <w:p w14:paraId="0CDE994D" w14:textId="77777777" w:rsidR="004F213F" w:rsidRPr="003B7086" w:rsidRDefault="004F213F" w:rsidP="004F213F">
      <w:pPr>
        <w:tabs>
          <w:tab w:val="left" w:pos="600"/>
        </w:tabs>
        <w:spacing w:line="350" w:lineRule="atLeast"/>
        <w:ind w:firstLine="284"/>
        <w:jc w:val="both"/>
        <w:rPr>
          <w:rFonts w:ascii="GHEA Grapalat" w:hAnsi="GHEA Grapalat"/>
          <w:b/>
          <w:color w:val="1F497D"/>
          <w:sz w:val="20"/>
          <w:szCs w:val="20"/>
          <w:lang w:val="hy-AM"/>
        </w:rPr>
      </w:pPr>
      <w:r w:rsidRPr="003B7086">
        <w:rPr>
          <w:rFonts w:ascii="GHEA Grapalat" w:hAnsi="GHEA Grapalat"/>
          <w:b/>
          <w:color w:val="1F497D"/>
          <w:sz w:val="20"/>
          <w:szCs w:val="20"/>
          <w:lang w:val="hy-AM"/>
        </w:rPr>
        <w:t xml:space="preserve">2.2.3. </w:t>
      </w:r>
      <w:r w:rsidRPr="00FA186C">
        <w:rPr>
          <w:rFonts w:ascii="GHEA Grapalat" w:hAnsi="GHEA Grapalat"/>
          <w:b/>
          <w:color w:val="1F497D"/>
          <w:sz w:val="20"/>
          <w:szCs w:val="20"/>
          <w:lang w:val="hy-AM"/>
        </w:rPr>
        <w:t>Comparison with the previous forecast</w:t>
      </w:r>
    </w:p>
    <w:p w14:paraId="52ABDA8A" w14:textId="77777777" w:rsidR="004F213F" w:rsidRPr="00FB0E5C" w:rsidRDefault="004F213F" w:rsidP="004F213F">
      <w:pPr>
        <w:tabs>
          <w:tab w:val="left" w:pos="600"/>
        </w:tabs>
        <w:spacing w:line="350" w:lineRule="atLeast"/>
        <w:ind w:firstLine="284"/>
        <w:jc w:val="both"/>
        <w:rPr>
          <w:rFonts w:ascii="GHEA Grapalat" w:hAnsi="GHEA Grapalat"/>
          <w:b/>
          <w:color w:val="44546A" w:themeColor="text2"/>
          <w:sz w:val="20"/>
          <w:szCs w:val="20"/>
          <w:lang w:val="hy-AM"/>
        </w:rPr>
      </w:pPr>
    </w:p>
    <w:p w14:paraId="25EBC97C" w14:textId="77777777" w:rsidR="004F213F" w:rsidRPr="003C4379" w:rsidRDefault="004F213F" w:rsidP="004F213F">
      <w:pPr>
        <w:spacing w:line="350" w:lineRule="atLeast"/>
        <w:ind w:firstLine="284"/>
        <w:rPr>
          <w:rFonts w:ascii="GHEA Grapalat" w:eastAsia="Calibri" w:hAnsi="GHEA Grapalat"/>
          <w:b/>
          <w:i/>
          <w:sz w:val="20"/>
          <w:szCs w:val="20"/>
          <w:lang w:val="hy-AM"/>
        </w:rPr>
      </w:pPr>
      <w:r>
        <w:rPr>
          <w:rFonts w:ascii="GHEA Grapalat" w:hAnsi="GHEA Grapalat"/>
          <w:b/>
          <w:i/>
          <w:sz w:val="20"/>
          <w:szCs w:val="20"/>
        </w:rPr>
        <w:t xml:space="preserve">Under the more cautious reopening of the global economy </w:t>
      </w:r>
      <w:r w:rsidRPr="003C4379">
        <w:rPr>
          <w:rFonts w:ascii="GHEA Grapalat" w:hAnsi="GHEA Grapalat"/>
          <w:b/>
          <w:i/>
          <w:sz w:val="20"/>
          <w:szCs w:val="20"/>
        </w:rPr>
        <w:t xml:space="preserve">because of </w:t>
      </w:r>
      <w:r>
        <w:rPr>
          <w:rFonts w:ascii="GHEA Grapalat" w:hAnsi="GHEA Grapalat"/>
          <w:b/>
          <w:i/>
          <w:sz w:val="20"/>
          <w:szCs w:val="20"/>
        </w:rPr>
        <w:t xml:space="preserve">the </w:t>
      </w:r>
      <w:r w:rsidRPr="003C4379">
        <w:rPr>
          <w:rFonts w:ascii="GHEA Grapalat" w:hAnsi="GHEA Grapalat"/>
          <w:b/>
          <w:i/>
          <w:sz w:val="20"/>
          <w:szCs w:val="20"/>
        </w:rPr>
        <w:t xml:space="preserve">continued coronavirus pandemic </w:t>
      </w:r>
      <w:r>
        <w:rPr>
          <w:rFonts w:ascii="GHEA Grapalat" w:hAnsi="GHEA Grapalat"/>
          <w:b/>
          <w:i/>
          <w:sz w:val="20"/>
          <w:szCs w:val="20"/>
        </w:rPr>
        <w:t xml:space="preserve">and persisting high </w:t>
      </w:r>
      <w:r w:rsidRPr="003C4379">
        <w:rPr>
          <w:rFonts w:ascii="GHEA Grapalat" w:hAnsi="GHEA Grapalat"/>
          <w:b/>
          <w:i/>
          <w:sz w:val="20"/>
          <w:szCs w:val="20"/>
        </w:rPr>
        <w:t>uncertainty, the main trading partner countries to Armenia will register deep</w:t>
      </w:r>
      <w:r>
        <w:rPr>
          <w:rFonts w:ascii="GHEA Grapalat" w:hAnsi="GHEA Grapalat"/>
          <w:b/>
          <w:i/>
          <w:sz w:val="20"/>
          <w:szCs w:val="20"/>
        </w:rPr>
        <w:t>er</w:t>
      </w:r>
      <w:r w:rsidRPr="003C4379">
        <w:rPr>
          <w:rFonts w:ascii="GHEA Grapalat" w:hAnsi="GHEA Grapalat"/>
          <w:b/>
          <w:i/>
          <w:sz w:val="20"/>
          <w:szCs w:val="20"/>
        </w:rPr>
        <w:t xml:space="preserve"> declines in the short term </w:t>
      </w:r>
      <w:r>
        <w:rPr>
          <w:rFonts w:ascii="GHEA Grapalat" w:hAnsi="GHEA Grapalat"/>
          <w:b/>
          <w:i/>
          <w:sz w:val="20"/>
          <w:szCs w:val="20"/>
        </w:rPr>
        <w:t xml:space="preserve">compared to the </w:t>
      </w:r>
      <w:r w:rsidRPr="003C4379">
        <w:rPr>
          <w:rFonts w:ascii="GHEA Grapalat" w:hAnsi="GHEA Grapalat"/>
          <w:b/>
          <w:i/>
          <w:sz w:val="20"/>
          <w:szCs w:val="20"/>
        </w:rPr>
        <w:t xml:space="preserve">previous </w:t>
      </w:r>
      <w:r>
        <w:rPr>
          <w:rFonts w:ascii="GHEA Grapalat" w:hAnsi="GHEA Grapalat"/>
          <w:b/>
          <w:i/>
          <w:sz w:val="20"/>
          <w:szCs w:val="20"/>
        </w:rPr>
        <w:t>forecast</w:t>
      </w:r>
      <w:r w:rsidRPr="003C4379">
        <w:rPr>
          <w:rFonts w:ascii="GHEA Grapalat" w:hAnsi="GHEA Grapalat"/>
          <w:b/>
          <w:i/>
          <w:sz w:val="20"/>
          <w:szCs w:val="20"/>
        </w:rPr>
        <w:t xml:space="preserve">, with recovery trends, </w:t>
      </w:r>
      <w:r>
        <w:rPr>
          <w:rFonts w:ascii="GHEA Grapalat" w:hAnsi="GHEA Grapalat"/>
          <w:b/>
          <w:i/>
          <w:sz w:val="20"/>
          <w:szCs w:val="20"/>
        </w:rPr>
        <w:t>thereafter</w:t>
      </w:r>
      <w:r w:rsidRPr="003C4379">
        <w:rPr>
          <w:rFonts w:ascii="GHEA Grapalat" w:hAnsi="GHEA Grapalat"/>
          <w:b/>
          <w:i/>
          <w:sz w:val="20"/>
          <w:szCs w:val="20"/>
        </w:rPr>
        <w:t xml:space="preserve">. This is evidenced by </w:t>
      </w:r>
      <w:r>
        <w:rPr>
          <w:rFonts w:ascii="GHEA Grapalat" w:hAnsi="GHEA Grapalat"/>
          <w:b/>
          <w:i/>
          <w:sz w:val="20"/>
          <w:szCs w:val="20"/>
        </w:rPr>
        <w:t>weaker-than-</w:t>
      </w:r>
      <w:r w:rsidRPr="003C4379">
        <w:rPr>
          <w:rFonts w:ascii="GHEA Grapalat" w:hAnsi="GHEA Grapalat"/>
          <w:b/>
          <w:i/>
          <w:sz w:val="20"/>
          <w:szCs w:val="20"/>
        </w:rPr>
        <w:t xml:space="preserve">expected indicators of demand in the lead economies, high unemployment, poor indicators of business activity, etc. </w:t>
      </w:r>
    </w:p>
    <w:p w14:paraId="619D5C5B" w14:textId="77777777" w:rsidR="004F213F" w:rsidRPr="005B1C9E" w:rsidRDefault="004F213F" w:rsidP="004F213F">
      <w:pPr>
        <w:spacing w:before="120" w:line="350" w:lineRule="atLeast"/>
        <w:ind w:firstLine="284"/>
        <w:rPr>
          <w:rFonts w:ascii="GHEA Grapalat" w:eastAsia="Calibri" w:hAnsi="GHEA Grapalat"/>
          <w:sz w:val="20"/>
          <w:szCs w:val="20"/>
          <w:lang w:val="hy-AM"/>
        </w:rPr>
      </w:pPr>
      <w:r w:rsidRPr="003C4379">
        <w:rPr>
          <w:rFonts w:ascii="GHEA Grapalat" w:hAnsi="GHEA Grapalat"/>
          <w:sz w:val="20"/>
          <w:szCs w:val="20"/>
        </w:rPr>
        <w:t xml:space="preserve">The US and Eurozone economies will see a sharp economic </w:t>
      </w:r>
      <w:r>
        <w:rPr>
          <w:rFonts w:ascii="GHEA Grapalat" w:hAnsi="GHEA Grapalat"/>
          <w:sz w:val="20"/>
          <w:szCs w:val="20"/>
        </w:rPr>
        <w:t xml:space="preserve">slowdown </w:t>
      </w:r>
      <w:r w:rsidRPr="003C4379">
        <w:rPr>
          <w:rFonts w:ascii="GHEA Grapalat" w:hAnsi="GHEA Grapalat"/>
          <w:sz w:val="20"/>
          <w:szCs w:val="20"/>
        </w:rPr>
        <w:t xml:space="preserve">this year, </w:t>
      </w:r>
      <w:r>
        <w:rPr>
          <w:rFonts w:ascii="GHEA Grapalat" w:hAnsi="GHEA Grapalat"/>
          <w:sz w:val="20"/>
          <w:szCs w:val="20"/>
        </w:rPr>
        <w:t xml:space="preserve">instead of previously anticipated </w:t>
      </w:r>
      <w:r w:rsidRPr="003C4379">
        <w:rPr>
          <w:rFonts w:ascii="GHEA Grapalat" w:hAnsi="GHEA Grapalat"/>
          <w:sz w:val="20"/>
          <w:szCs w:val="20"/>
        </w:rPr>
        <w:t>small positive or zero growth</w:t>
      </w:r>
      <w:r>
        <w:rPr>
          <w:rFonts w:ascii="GHEA Grapalat" w:hAnsi="GHEA Grapalat"/>
          <w:sz w:val="20"/>
          <w:szCs w:val="20"/>
        </w:rPr>
        <w:t xml:space="preserve">, determined by </w:t>
      </w:r>
      <w:r w:rsidRPr="003C4379">
        <w:rPr>
          <w:rFonts w:ascii="GHEA Grapalat" w:hAnsi="GHEA Grapalat"/>
          <w:sz w:val="20"/>
          <w:szCs w:val="20"/>
        </w:rPr>
        <w:t xml:space="preserve">more </w:t>
      </w:r>
      <w:r>
        <w:rPr>
          <w:rFonts w:ascii="GHEA Grapalat" w:hAnsi="GHEA Grapalat"/>
          <w:sz w:val="20"/>
          <w:szCs w:val="20"/>
        </w:rPr>
        <w:t xml:space="preserve">painful </w:t>
      </w:r>
      <w:r w:rsidRPr="003C4379">
        <w:rPr>
          <w:rFonts w:ascii="GHEA Grapalat" w:hAnsi="GHEA Grapalat"/>
          <w:sz w:val="20"/>
          <w:szCs w:val="20"/>
        </w:rPr>
        <w:t xml:space="preserve">economic </w:t>
      </w:r>
      <w:r>
        <w:rPr>
          <w:rFonts w:ascii="GHEA Grapalat" w:hAnsi="GHEA Grapalat"/>
          <w:sz w:val="20"/>
          <w:szCs w:val="20"/>
        </w:rPr>
        <w:t>consequences under the influence of pandemic</w:t>
      </w:r>
      <w:r w:rsidRPr="003C4379">
        <w:rPr>
          <w:rFonts w:ascii="GHEA Grapalat" w:hAnsi="GHEA Grapalat"/>
          <w:sz w:val="20"/>
          <w:szCs w:val="20"/>
        </w:rPr>
        <w:t xml:space="preserve">, </w:t>
      </w:r>
      <w:r>
        <w:rPr>
          <w:rFonts w:ascii="GHEA Grapalat" w:hAnsi="GHEA Grapalat"/>
          <w:sz w:val="20"/>
          <w:szCs w:val="20"/>
        </w:rPr>
        <w:t xml:space="preserve">resulting in even </w:t>
      </w:r>
      <w:r w:rsidRPr="003C4379">
        <w:rPr>
          <w:rFonts w:ascii="GHEA Grapalat" w:hAnsi="GHEA Grapalat"/>
          <w:sz w:val="20"/>
          <w:szCs w:val="20"/>
        </w:rPr>
        <w:t xml:space="preserve">more </w:t>
      </w:r>
      <w:r>
        <w:rPr>
          <w:rFonts w:ascii="GHEA Grapalat" w:hAnsi="GHEA Grapalat"/>
          <w:sz w:val="20"/>
          <w:szCs w:val="20"/>
        </w:rPr>
        <w:t xml:space="preserve">precautionary </w:t>
      </w:r>
      <w:r w:rsidRPr="003C4379">
        <w:rPr>
          <w:rFonts w:ascii="GHEA Grapalat" w:hAnsi="GHEA Grapalat"/>
          <w:sz w:val="20"/>
          <w:szCs w:val="20"/>
        </w:rPr>
        <w:t>economic expectations. Relatively high economic growth will be registered in the</w:t>
      </w:r>
      <w:r>
        <w:rPr>
          <w:rFonts w:ascii="GHEA Grapalat" w:hAnsi="GHEA Grapalat"/>
          <w:sz w:val="20"/>
          <w:szCs w:val="20"/>
        </w:rPr>
        <w:t xml:space="preserve">se economies during the </w:t>
      </w:r>
      <w:r w:rsidRPr="003C4379">
        <w:rPr>
          <w:rFonts w:ascii="GHEA Grapalat" w:hAnsi="GHEA Grapalat"/>
          <w:sz w:val="20"/>
          <w:szCs w:val="20"/>
        </w:rPr>
        <w:t>next year, and at the end of the forecast horizon the real output growth</w:t>
      </w:r>
      <w:r>
        <w:rPr>
          <w:rFonts w:ascii="GHEA Grapalat" w:hAnsi="GHEA Grapalat"/>
          <w:sz w:val="20"/>
          <w:szCs w:val="20"/>
        </w:rPr>
        <w:t>s</w:t>
      </w:r>
      <w:r w:rsidRPr="003C4379">
        <w:rPr>
          <w:rFonts w:ascii="GHEA Grapalat" w:hAnsi="GHEA Grapalat"/>
          <w:sz w:val="20"/>
          <w:szCs w:val="20"/>
        </w:rPr>
        <w:t xml:space="preserve"> will slowly return to the</w:t>
      </w:r>
      <w:r>
        <w:rPr>
          <w:rFonts w:ascii="GHEA Grapalat" w:hAnsi="GHEA Grapalat"/>
          <w:sz w:val="20"/>
          <w:szCs w:val="20"/>
        </w:rPr>
        <w:t xml:space="preserve">ir </w:t>
      </w:r>
      <w:r w:rsidRPr="003C4379">
        <w:rPr>
          <w:rFonts w:ascii="GHEA Grapalat" w:hAnsi="GHEA Grapalat"/>
          <w:sz w:val="20"/>
          <w:szCs w:val="20"/>
        </w:rPr>
        <w:t>long-term st</w:t>
      </w:r>
      <w:r>
        <w:rPr>
          <w:rFonts w:ascii="GHEA Grapalat" w:hAnsi="GHEA Grapalat"/>
          <w:sz w:val="20"/>
          <w:szCs w:val="20"/>
        </w:rPr>
        <w:t>eady states</w:t>
      </w:r>
      <w:r w:rsidRPr="003C4379">
        <w:rPr>
          <w:rFonts w:ascii="GHEA Grapalat" w:hAnsi="GHEA Grapalat"/>
          <w:sz w:val="20"/>
          <w:szCs w:val="20"/>
        </w:rPr>
        <w:t>. Under the above circumstances, the recovery of both the US and Eurozone economies will</w:t>
      </w:r>
      <w:r>
        <w:rPr>
          <w:rFonts w:ascii="GHEA Grapalat" w:hAnsi="GHEA Grapalat"/>
          <w:sz w:val="20"/>
          <w:szCs w:val="20"/>
        </w:rPr>
        <w:t xml:space="preserve"> be at </w:t>
      </w:r>
      <w:r w:rsidRPr="003C4379">
        <w:rPr>
          <w:rFonts w:ascii="GHEA Grapalat" w:hAnsi="GHEA Grapalat"/>
          <w:sz w:val="20"/>
          <w:szCs w:val="20"/>
        </w:rPr>
        <w:t xml:space="preserve">a slower pace, and the economies will </w:t>
      </w:r>
      <w:r>
        <w:rPr>
          <w:rFonts w:ascii="GHEA Grapalat" w:hAnsi="GHEA Grapalat"/>
          <w:sz w:val="20"/>
          <w:szCs w:val="20"/>
        </w:rPr>
        <w:t xml:space="preserve">bounce back to </w:t>
      </w:r>
      <w:r w:rsidRPr="003C4379">
        <w:rPr>
          <w:rFonts w:ascii="GHEA Grapalat" w:hAnsi="GHEA Grapalat"/>
          <w:sz w:val="20"/>
          <w:szCs w:val="20"/>
        </w:rPr>
        <w:t>pre-crisis level of GDP</w:t>
      </w:r>
      <w:r>
        <w:rPr>
          <w:rFonts w:ascii="GHEA Grapalat" w:hAnsi="GHEA Grapalat"/>
          <w:sz w:val="20"/>
          <w:szCs w:val="20"/>
        </w:rPr>
        <w:t xml:space="preserve"> </w:t>
      </w:r>
      <w:r w:rsidRPr="003C4379">
        <w:rPr>
          <w:rFonts w:ascii="GHEA Grapalat" w:hAnsi="GHEA Grapalat"/>
          <w:sz w:val="20"/>
          <w:szCs w:val="20"/>
        </w:rPr>
        <w:t xml:space="preserve">not earlier than </w:t>
      </w:r>
      <w:r>
        <w:rPr>
          <w:rFonts w:ascii="GHEA Grapalat" w:hAnsi="GHEA Grapalat"/>
          <w:sz w:val="20"/>
          <w:szCs w:val="20"/>
        </w:rPr>
        <w:t xml:space="preserve">in </w:t>
      </w:r>
      <w:r w:rsidRPr="003C4379">
        <w:rPr>
          <w:rFonts w:ascii="GHEA Grapalat" w:hAnsi="GHEA Grapalat"/>
          <w:sz w:val="20"/>
          <w:szCs w:val="20"/>
        </w:rPr>
        <w:t xml:space="preserve">the first </w:t>
      </w:r>
      <w:r>
        <w:rPr>
          <w:rFonts w:ascii="GHEA Grapalat" w:hAnsi="GHEA Grapalat"/>
          <w:sz w:val="20"/>
          <w:szCs w:val="20"/>
        </w:rPr>
        <w:t>half of 2022</w:t>
      </w:r>
      <w:r w:rsidRPr="003C4379">
        <w:rPr>
          <w:rFonts w:ascii="GHEA Grapalat" w:hAnsi="GHEA Grapalat"/>
          <w:sz w:val="20"/>
          <w:szCs w:val="20"/>
        </w:rPr>
        <w:t xml:space="preserve">. </w:t>
      </w:r>
      <w:r w:rsidRPr="004C3615">
        <w:rPr>
          <w:rFonts w:ascii="GHEA Grapalat" w:hAnsi="GHEA Grapalat"/>
          <w:i/>
          <w:sz w:val="20"/>
          <w:szCs w:val="20"/>
        </w:rPr>
        <w:t>It</w:t>
      </w:r>
      <w:r>
        <w:rPr>
          <w:rFonts w:ascii="GHEA Grapalat" w:hAnsi="GHEA Grapalat"/>
          <w:i/>
          <w:sz w:val="20"/>
          <w:szCs w:val="20"/>
        </w:rPr>
        <w:t xml:space="preserve"> should also be noted that </w:t>
      </w:r>
      <w:r w:rsidRPr="004C3615">
        <w:rPr>
          <w:rFonts w:ascii="GHEA Grapalat" w:hAnsi="GHEA Grapalat"/>
          <w:i/>
          <w:sz w:val="20"/>
          <w:szCs w:val="20"/>
        </w:rPr>
        <w:t>the slower recovery of demand in these economies</w:t>
      </w:r>
      <w:r>
        <w:rPr>
          <w:rFonts w:ascii="GHEA Grapalat" w:hAnsi="GHEA Grapalat"/>
          <w:i/>
          <w:sz w:val="20"/>
          <w:szCs w:val="20"/>
        </w:rPr>
        <w:t xml:space="preserve"> will result in a </w:t>
      </w:r>
      <w:r w:rsidRPr="004C3615">
        <w:rPr>
          <w:rFonts w:ascii="GHEA Grapalat" w:hAnsi="GHEA Grapalat"/>
          <w:i/>
          <w:sz w:val="20"/>
          <w:szCs w:val="20"/>
        </w:rPr>
        <w:t xml:space="preserve">weaker inflation </w:t>
      </w:r>
      <w:r>
        <w:rPr>
          <w:rFonts w:ascii="GHEA Grapalat" w:hAnsi="GHEA Grapalat"/>
          <w:i/>
          <w:sz w:val="20"/>
          <w:szCs w:val="20"/>
        </w:rPr>
        <w:t xml:space="preserve">in the forecast </w:t>
      </w:r>
      <w:r w:rsidRPr="004C3615">
        <w:rPr>
          <w:rFonts w:ascii="GHEA Grapalat" w:hAnsi="GHEA Grapalat"/>
          <w:i/>
          <w:sz w:val="20"/>
          <w:szCs w:val="20"/>
        </w:rPr>
        <w:t>horizon.</w:t>
      </w:r>
    </w:p>
    <w:p w14:paraId="6CED05BE" w14:textId="77777777" w:rsidR="004F213F" w:rsidRDefault="004F213F" w:rsidP="004F213F">
      <w:pPr>
        <w:spacing w:line="350" w:lineRule="atLeast"/>
        <w:ind w:firstLine="284"/>
        <w:rPr>
          <w:rFonts w:ascii="GHEA Grapalat" w:eastAsia="Calibri" w:hAnsi="GHEA Grapalat"/>
          <w:sz w:val="20"/>
          <w:szCs w:val="20"/>
          <w:lang w:val="hy-AM"/>
        </w:rPr>
      </w:pPr>
      <w:r w:rsidRPr="00B02DC0">
        <w:rPr>
          <w:rFonts w:ascii="GHEA Grapalat" w:hAnsi="GHEA Grapalat"/>
          <w:sz w:val="20"/>
          <w:szCs w:val="20"/>
        </w:rPr>
        <w:t xml:space="preserve">Current Russia economic growth </w:t>
      </w:r>
      <w:r>
        <w:rPr>
          <w:rFonts w:ascii="GHEA Grapalat" w:hAnsi="GHEA Grapalat"/>
          <w:sz w:val="20"/>
          <w:szCs w:val="20"/>
        </w:rPr>
        <w:t xml:space="preserve">forecast </w:t>
      </w:r>
      <w:r w:rsidRPr="00B02DC0">
        <w:rPr>
          <w:rFonts w:ascii="GHEA Grapalat" w:hAnsi="GHEA Grapalat"/>
          <w:sz w:val="20"/>
          <w:szCs w:val="20"/>
        </w:rPr>
        <w:t xml:space="preserve">for the </w:t>
      </w:r>
      <w:r>
        <w:rPr>
          <w:rFonts w:ascii="GHEA Grapalat" w:hAnsi="GHEA Grapalat"/>
          <w:sz w:val="20"/>
          <w:szCs w:val="20"/>
        </w:rPr>
        <w:t xml:space="preserve">entire forecast horizon is at a level much lower than </w:t>
      </w:r>
      <w:r w:rsidRPr="00B02DC0">
        <w:rPr>
          <w:rFonts w:ascii="GHEA Grapalat" w:hAnsi="GHEA Grapalat"/>
          <w:sz w:val="20"/>
          <w:szCs w:val="20"/>
        </w:rPr>
        <w:t xml:space="preserve">the previous quarter’s forecasts </w:t>
      </w:r>
      <w:r>
        <w:rPr>
          <w:rFonts w:ascii="GHEA Grapalat" w:hAnsi="GHEA Grapalat"/>
          <w:sz w:val="20"/>
          <w:szCs w:val="20"/>
        </w:rPr>
        <w:t>(i</w:t>
      </w:r>
      <w:r w:rsidRPr="004C3615">
        <w:rPr>
          <w:rFonts w:ascii="GHEA Grapalat" w:hAnsi="GHEA Grapalat"/>
          <w:sz w:val="20"/>
          <w:szCs w:val="20"/>
        </w:rPr>
        <w:t xml:space="preserve">n 2020, there will be a deep decline which will only be partially offset by </w:t>
      </w:r>
      <w:r>
        <w:rPr>
          <w:rFonts w:ascii="GHEA Grapalat" w:hAnsi="GHEA Grapalat"/>
          <w:sz w:val="20"/>
          <w:szCs w:val="20"/>
        </w:rPr>
        <w:t xml:space="preserve">small </w:t>
      </w:r>
      <w:r w:rsidRPr="004C3615">
        <w:rPr>
          <w:rFonts w:ascii="GHEA Grapalat" w:hAnsi="GHEA Grapalat"/>
          <w:sz w:val="20"/>
          <w:szCs w:val="20"/>
        </w:rPr>
        <w:t>growth in 2021-22)</w:t>
      </w:r>
      <w:r>
        <w:rPr>
          <w:rFonts w:ascii="GHEA Grapalat" w:hAnsi="GHEA Grapalat"/>
          <w:sz w:val="20"/>
          <w:szCs w:val="20"/>
        </w:rPr>
        <w:t xml:space="preserve">, attributable to the </w:t>
      </w:r>
      <w:r w:rsidRPr="004C3615">
        <w:rPr>
          <w:rFonts w:ascii="GHEA Grapalat" w:hAnsi="GHEA Grapalat"/>
          <w:sz w:val="20"/>
          <w:szCs w:val="20"/>
        </w:rPr>
        <w:t>coronavirus consequence</w:t>
      </w:r>
      <w:r>
        <w:rPr>
          <w:rFonts w:ascii="GHEA Grapalat" w:hAnsi="GHEA Grapalat"/>
          <w:sz w:val="20"/>
          <w:szCs w:val="20"/>
        </w:rPr>
        <w:t>s which proved</w:t>
      </w:r>
      <w:r w:rsidRPr="004C3615">
        <w:rPr>
          <w:rFonts w:ascii="GHEA Grapalat" w:hAnsi="GHEA Grapalat"/>
          <w:sz w:val="20"/>
          <w:szCs w:val="20"/>
        </w:rPr>
        <w:t xml:space="preserve"> </w:t>
      </w:r>
      <w:r>
        <w:rPr>
          <w:rFonts w:ascii="GHEA Grapalat" w:hAnsi="GHEA Grapalat"/>
          <w:sz w:val="20"/>
          <w:szCs w:val="20"/>
        </w:rPr>
        <w:t xml:space="preserve">to be </w:t>
      </w:r>
      <w:r w:rsidRPr="004C3615">
        <w:rPr>
          <w:rFonts w:ascii="GHEA Grapalat" w:hAnsi="GHEA Grapalat"/>
          <w:sz w:val="20"/>
          <w:szCs w:val="20"/>
        </w:rPr>
        <w:t xml:space="preserve">more negative and </w:t>
      </w:r>
      <w:r>
        <w:rPr>
          <w:rFonts w:ascii="GHEA Grapalat" w:hAnsi="GHEA Grapalat"/>
          <w:sz w:val="20"/>
          <w:szCs w:val="20"/>
        </w:rPr>
        <w:t xml:space="preserve">to </w:t>
      </w:r>
      <w:r w:rsidRPr="004C3615">
        <w:rPr>
          <w:rFonts w:ascii="GHEA Grapalat" w:hAnsi="GHEA Grapalat"/>
          <w:sz w:val="20"/>
          <w:szCs w:val="20"/>
        </w:rPr>
        <w:t xml:space="preserve">the international oil prices </w:t>
      </w:r>
      <w:r>
        <w:rPr>
          <w:rFonts w:ascii="GHEA Grapalat" w:hAnsi="GHEA Grapalat"/>
          <w:sz w:val="20"/>
          <w:szCs w:val="20"/>
        </w:rPr>
        <w:t xml:space="preserve">persisting at </w:t>
      </w:r>
      <w:r w:rsidRPr="004C3615">
        <w:rPr>
          <w:rFonts w:ascii="GHEA Grapalat" w:hAnsi="GHEA Grapalat"/>
          <w:sz w:val="20"/>
          <w:szCs w:val="20"/>
        </w:rPr>
        <w:t>current level</w:t>
      </w:r>
      <w:r>
        <w:rPr>
          <w:rFonts w:ascii="GHEA Grapalat" w:hAnsi="GHEA Grapalat"/>
          <w:sz w:val="20"/>
          <w:szCs w:val="20"/>
        </w:rPr>
        <w:t>s</w:t>
      </w:r>
      <w:r w:rsidRPr="004C3615">
        <w:rPr>
          <w:rFonts w:ascii="GHEA Grapalat" w:hAnsi="GHEA Grapalat"/>
          <w:sz w:val="20"/>
          <w:szCs w:val="20"/>
        </w:rPr>
        <w:t>.</w:t>
      </w:r>
    </w:p>
    <w:p w14:paraId="5C023F6F" w14:textId="77777777" w:rsidR="004F213F" w:rsidRPr="00FA186C" w:rsidRDefault="004F213F" w:rsidP="004F213F">
      <w:pPr>
        <w:spacing w:before="120" w:line="350" w:lineRule="atLeast"/>
        <w:ind w:firstLine="284"/>
        <w:rPr>
          <w:rFonts w:ascii="GHEA Grapalat" w:eastAsia="Calibri" w:hAnsi="GHEA Grapalat"/>
          <w:i/>
          <w:sz w:val="20"/>
          <w:szCs w:val="20"/>
          <w:lang w:val="hy-AM"/>
        </w:rPr>
      </w:pPr>
      <w:r w:rsidRPr="008D2A6F">
        <w:rPr>
          <w:rFonts w:ascii="GHEA Grapalat" w:hAnsi="GHEA Grapalat"/>
          <w:b/>
          <w:i/>
          <w:sz w:val="20"/>
          <w:szCs w:val="20"/>
        </w:rPr>
        <w:t xml:space="preserve">Prices in international commodity and food markets will </w:t>
      </w:r>
      <w:r>
        <w:rPr>
          <w:rFonts w:ascii="GHEA Grapalat" w:hAnsi="GHEA Grapalat"/>
          <w:b/>
          <w:i/>
          <w:sz w:val="20"/>
          <w:szCs w:val="20"/>
        </w:rPr>
        <w:t>shape under the influence of</w:t>
      </w:r>
      <w:r w:rsidRPr="008D2A6F">
        <w:rPr>
          <w:rFonts w:ascii="GHEA Grapalat" w:hAnsi="GHEA Grapalat"/>
          <w:b/>
          <w:i/>
          <w:sz w:val="20"/>
          <w:szCs w:val="20"/>
        </w:rPr>
        <w:t xml:space="preserve"> weaker global demand. The impact of </w:t>
      </w:r>
      <w:r>
        <w:rPr>
          <w:rFonts w:ascii="GHEA Grapalat" w:hAnsi="GHEA Grapalat"/>
          <w:b/>
          <w:i/>
          <w:sz w:val="20"/>
          <w:szCs w:val="20"/>
        </w:rPr>
        <w:t xml:space="preserve">pandemic-driven restrictions </w:t>
      </w:r>
      <w:r w:rsidRPr="008D2A6F">
        <w:rPr>
          <w:rFonts w:ascii="GHEA Grapalat" w:hAnsi="GHEA Grapalat"/>
          <w:b/>
          <w:i/>
          <w:sz w:val="20"/>
          <w:szCs w:val="20"/>
        </w:rPr>
        <w:t xml:space="preserve">is more </w:t>
      </w:r>
      <w:r>
        <w:rPr>
          <w:rFonts w:ascii="GHEA Grapalat" w:hAnsi="GHEA Grapalat"/>
          <w:b/>
          <w:i/>
          <w:sz w:val="20"/>
          <w:szCs w:val="20"/>
        </w:rPr>
        <w:t xml:space="preserve">noticeable </w:t>
      </w:r>
      <w:r w:rsidRPr="008D2A6F">
        <w:rPr>
          <w:rFonts w:ascii="GHEA Grapalat" w:hAnsi="GHEA Grapalat"/>
          <w:b/>
          <w:i/>
          <w:sz w:val="20"/>
          <w:szCs w:val="20"/>
        </w:rPr>
        <w:t>on g</w:t>
      </w:r>
      <w:r>
        <w:rPr>
          <w:rFonts w:ascii="GHEA Grapalat" w:hAnsi="GHEA Grapalat"/>
          <w:b/>
          <w:i/>
          <w:sz w:val="20"/>
          <w:szCs w:val="20"/>
        </w:rPr>
        <w:t xml:space="preserve">lobal oil prices that are directly affected by reduced mobility and </w:t>
      </w:r>
      <w:r w:rsidRPr="008D2A6F">
        <w:rPr>
          <w:rFonts w:ascii="GHEA Grapalat" w:hAnsi="GHEA Grapalat"/>
          <w:b/>
          <w:i/>
          <w:sz w:val="20"/>
          <w:szCs w:val="20"/>
        </w:rPr>
        <w:t xml:space="preserve">transportation, which will be partially offset </w:t>
      </w:r>
      <w:r>
        <w:rPr>
          <w:rFonts w:ascii="GHEA Grapalat" w:hAnsi="GHEA Grapalat"/>
          <w:b/>
          <w:i/>
          <w:sz w:val="20"/>
          <w:szCs w:val="20"/>
        </w:rPr>
        <w:t>with the o</w:t>
      </w:r>
      <w:r w:rsidRPr="008D2A6F">
        <w:rPr>
          <w:rFonts w:ascii="GHEA Grapalat" w:hAnsi="GHEA Grapalat"/>
          <w:b/>
          <w:i/>
          <w:sz w:val="20"/>
          <w:szCs w:val="20"/>
        </w:rPr>
        <w:t>il production</w:t>
      </w:r>
      <w:r>
        <w:rPr>
          <w:rFonts w:ascii="GHEA Grapalat" w:hAnsi="GHEA Grapalat"/>
          <w:b/>
          <w:i/>
          <w:sz w:val="20"/>
          <w:szCs w:val="20"/>
        </w:rPr>
        <w:t xml:space="preserve"> cuts</w:t>
      </w:r>
      <w:r w:rsidRPr="008D2A6F">
        <w:rPr>
          <w:rFonts w:ascii="GHEA Grapalat" w:hAnsi="GHEA Grapalat"/>
          <w:b/>
          <w:i/>
          <w:sz w:val="20"/>
          <w:szCs w:val="20"/>
        </w:rPr>
        <w:t>. Metal prices will begin recover</w:t>
      </w:r>
      <w:r>
        <w:rPr>
          <w:rFonts w:ascii="GHEA Grapalat" w:hAnsi="GHEA Grapalat"/>
          <w:b/>
          <w:i/>
          <w:sz w:val="20"/>
          <w:szCs w:val="20"/>
        </w:rPr>
        <w:t>ing</w:t>
      </w:r>
      <w:r w:rsidRPr="008D2A6F">
        <w:rPr>
          <w:rFonts w:ascii="GHEA Grapalat" w:hAnsi="GHEA Grapalat"/>
          <w:b/>
          <w:i/>
          <w:sz w:val="20"/>
          <w:szCs w:val="20"/>
        </w:rPr>
        <w:t xml:space="preserve"> slowly </w:t>
      </w:r>
      <w:r>
        <w:rPr>
          <w:rFonts w:ascii="GHEA Grapalat" w:hAnsi="GHEA Grapalat"/>
          <w:b/>
          <w:i/>
          <w:sz w:val="20"/>
          <w:szCs w:val="20"/>
        </w:rPr>
        <w:t>starting this quarter</w:t>
      </w:r>
      <w:r w:rsidRPr="008D2A6F">
        <w:rPr>
          <w:rFonts w:ascii="GHEA Grapalat" w:hAnsi="GHEA Grapalat"/>
          <w:b/>
          <w:i/>
          <w:sz w:val="20"/>
          <w:szCs w:val="20"/>
        </w:rPr>
        <w:t xml:space="preserve">, </w:t>
      </w:r>
      <w:r>
        <w:rPr>
          <w:rFonts w:ascii="GHEA Grapalat" w:hAnsi="GHEA Grapalat"/>
          <w:b/>
          <w:i/>
          <w:sz w:val="20"/>
          <w:szCs w:val="20"/>
        </w:rPr>
        <w:t>with the large economies’ reopening, particularly China</w:t>
      </w:r>
      <w:r w:rsidRPr="008D2A6F">
        <w:rPr>
          <w:rFonts w:ascii="GHEA Grapalat" w:hAnsi="GHEA Grapalat"/>
          <w:b/>
          <w:i/>
          <w:sz w:val="20"/>
          <w:szCs w:val="20"/>
        </w:rPr>
        <w:t xml:space="preserve">, </w:t>
      </w:r>
      <w:r>
        <w:rPr>
          <w:rFonts w:ascii="GHEA Grapalat" w:hAnsi="GHEA Grapalat"/>
          <w:b/>
          <w:i/>
          <w:sz w:val="20"/>
          <w:szCs w:val="20"/>
        </w:rPr>
        <w:t xml:space="preserve">while </w:t>
      </w:r>
      <w:r w:rsidRPr="008D2A6F">
        <w:rPr>
          <w:rFonts w:ascii="GHEA Grapalat" w:hAnsi="GHEA Grapalat"/>
          <w:b/>
          <w:i/>
          <w:sz w:val="20"/>
          <w:szCs w:val="20"/>
        </w:rPr>
        <w:t xml:space="preserve">deep deflation </w:t>
      </w:r>
      <w:r>
        <w:rPr>
          <w:rFonts w:ascii="GHEA Grapalat" w:hAnsi="GHEA Grapalat"/>
          <w:b/>
          <w:i/>
          <w:sz w:val="20"/>
          <w:szCs w:val="20"/>
        </w:rPr>
        <w:t xml:space="preserve">now observable </w:t>
      </w:r>
      <w:r w:rsidRPr="008D2A6F">
        <w:rPr>
          <w:rFonts w:ascii="GHEA Grapalat" w:hAnsi="GHEA Grapalat"/>
          <w:b/>
          <w:i/>
          <w:sz w:val="20"/>
          <w:szCs w:val="20"/>
        </w:rPr>
        <w:t>in the food markets will be restored only in the medium term.</w:t>
      </w:r>
      <w:r>
        <w:rPr>
          <w:rFonts w:ascii="GHEA Grapalat" w:hAnsi="GHEA Grapalat"/>
          <w:b/>
          <w:i/>
          <w:sz w:val="20"/>
          <w:szCs w:val="20"/>
        </w:rPr>
        <w:t xml:space="preserve"> </w:t>
      </w:r>
    </w:p>
    <w:p w14:paraId="5D487770" w14:textId="77777777" w:rsidR="004F213F" w:rsidRPr="00DF3E25" w:rsidRDefault="004F213F" w:rsidP="004F213F">
      <w:pPr>
        <w:spacing w:before="120" w:line="350" w:lineRule="atLeast"/>
        <w:ind w:firstLine="284"/>
        <w:rPr>
          <w:rFonts w:ascii="GHEA Grapalat" w:eastAsia="Calibri" w:hAnsi="GHEA Grapalat"/>
          <w:i/>
          <w:sz w:val="20"/>
          <w:szCs w:val="20"/>
          <w:lang w:val="hy-AM"/>
        </w:rPr>
      </w:pPr>
      <w:r>
        <w:rPr>
          <w:rFonts w:ascii="GHEA Grapalat" w:hAnsi="GHEA Grapalat"/>
          <w:sz w:val="20"/>
          <w:szCs w:val="20"/>
        </w:rPr>
        <w:lastRenderedPageBreak/>
        <w:t>The price forecasts</w:t>
      </w:r>
      <w:r w:rsidRPr="00B02DC0">
        <w:rPr>
          <w:rFonts w:ascii="GHEA Grapalat" w:hAnsi="GHEA Grapalat"/>
          <w:sz w:val="20"/>
          <w:szCs w:val="20"/>
        </w:rPr>
        <w:t xml:space="preserve"> </w:t>
      </w:r>
      <w:r>
        <w:rPr>
          <w:rFonts w:ascii="GHEA Grapalat" w:hAnsi="GHEA Grapalat"/>
          <w:sz w:val="20"/>
          <w:szCs w:val="20"/>
        </w:rPr>
        <w:t xml:space="preserve">in </w:t>
      </w:r>
      <w:r w:rsidRPr="00B02DC0">
        <w:rPr>
          <w:rFonts w:ascii="GHEA Grapalat" w:hAnsi="GHEA Grapalat"/>
          <w:sz w:val="20"/>
          <w:szCs w:val="20"/>
        </w:rPr>
        <w:t xml:space="preserve">the </w:t>
      </w:r>
      <w:r>
        <w:rPr>
          <w:rFonts w:ascii="GHEA Grapalat" w:hAnsi="GHEA Grapalat"/>
          <w:sz w:val="20"/>
          <w:szCs w:val="20"/>
        </w:rPr>
        <w:t xml:space="preserve">international </w:t>
      </w:r>
      <w:r w:rsidRPr="00B02DC0">
        <w:rPr>
          <w:rFonts w:ascii="GHEA Grapalat" w:hAnsi="GHEA Grapalat"/>
          <w:sz w:val="20"/>
          <w:szCs w:val="20"/>
        </w:rPr>
        <w:t>food market</w:t>
      </w:r>
      <w:r>
        <w:rPr>
          <w:rFonts w:ascii="GHEA Grapalat" w:hAnsi="GHEA Grapalat"/>
          <w:sz w:val="20"/>
          <w:szCs w:val="20"/>
        </w:rPr>
        <w:t xml:space="preserve">s were revised considerably downside </w:t>
      </w:r>
      <w:r w:rsidRPr="002C1CEC">
        <w:rPr>
          <w:rFonts w:ascii="GHEA Grapalat" w:hAnsi="GHEA Grapalat"/>
          <w:sz w:val="20"/>
          <w:szCs w:val="20"/>
        </w:rPr>
        <w:t>due to actual developments and weak</w:t>
      </w:r>
      <w:r>
        <w:rPr>
          <w:rFonts w:ascii="GHEA Grapalat" w:hAnsi="GHEA Grapalat"/>
          <w:sz w:val="20"/>
          <w:szCs w:val="20"/>
        </w:rPr>
        <w:t>er</w:t>
      </w:r>
      <w:r w:rsidRPr="002C1CEC">
        <w:rPr>
          <w:rFonts w:ascii="GHEA Grapalat" w:hAnsi="GHEA Grapalat"/>
          <w:sz w:val="20"/>
          <w:szCs w:val="20"/>
        </w:rPr>
        <w:t xml:space="preserve"> demand. </w:t>
      </w:r>
      <w:r>
        <w:rPr>
          <w:rFonts w:ascii="GHEA Grapalat" w:hAnsi="GHEA Grapalat"/>
          <w:sz w:val="20"/>
          <w:szCs w:val="20"/>
        </w:rPr>
        <w:t>D</w:t>
      </w:r>
      <w:r w:rsidRPr="002C1CEC">
        <w:rPr>
          <w:rFonts w:ascii="GHEA Grapalat" w:hAnsi="GHEA Grapalat"/>
          <w:sz w:val="20"/>
          <w:szCs w:val="20"/>
        </w:rPr>
        <w:t xml:space="preserve">eflation </w:t>
      </w:r>
      <w:r>
        <w:rPr>
          <w:rFonts w:ascii="GHEA Grapalat" w:hAnsi="GHEA Grapalat"/>
          <w:sz w:val="20"/>
          <w:szCs w:val="20"/>
        </w:rPr>
        <w:t xml:space="preserve">is observable </w:t>
      </w:r>
      <w:r w:rsidRPr="002C1CEC">
        <w:rPr>
          <w:rFonts w:ascii="GHEA Grapalat" w:hAnsi="GHEA Grapalat"/>
          <w:sz w:val="20"/>
          <w:szCs w:val="20"/>
        </w:rPr>
        <w:t>in almost all subgroups of food</w:t>
      </w:r>
      <w:r>
        <w:rPr>
          <w:rFonts w:ascii="GHEA Grapalat" w:hAnsi="GHEA Grapalat"/>
          <w:sz w:val="20"/>
          <w:szCs w:val="20"/>
        </w:rPr>
        <w:t xml:space="preserve"> products during the last few months,</w:t>
      </w:r>
      <w:r w:rsidRPr="002C1CEC">
        <w:rPr>
          <w:rFonts w:ascii="GHEA Grapalat" w:hAnsi="GHEA Grapalat"/>
          <w:sz w:val="20"/>
          <w:szCs w:val="20"/>
        </w:rPr>
        <w:t xml:space="preserve"> and international food prices will return to pre-crisis levels at the end of the forecast horizon.</w:t>
      </w:r>
      <w:r w:rsidRPr="00B02DC0">
        <w:rPr>
          <w:rFonts w:ascii="GHEA Grapalat" w:hAnsi="GHEA Grapalat"/>
          <w:sz w:val="20"/>
          <w:szCs w:val="20"/>
        </w:rPr>
        <w:t xml:space="preserve"> </w:t>
      </w:r>
    </w:p>
    <w:p w14:paraId="401AF607" w14:textId="77777777" w:rsidR="004F213F" w:rsidRDefault="004F213F" w:rsidP="004F213F">
      <w:pPr>
        <w:spacing w:line="350" w:lineRule="atLeast"/>
        <w:ind w:firstLine="284"/>
        <w:rPr>
          <w:rFonts w:ascii="GHEA Grapalat" w:eastAsia="Calibri" w:hAnsi="GHEA Grapalat"/>
          <w:sz w:val="20"/>
          <w:szCs w:val="20"/>
          <w:lang w:val="hy-AM"/>
        </w:rPr>
      </w:pPr>
      <w:r w:rsidRPr="00D8673B">
        <w:rPr>
          <w:rFonts w:ascii="GHEA Grapalat" w:hAnsi="GHEA Grapalat"/>
          <w:sz w:val="20"/>
          <w:szCs w:val="20"/>
        </w:rPr>
        <w:t>International oil price forecasts</w:t>
      </w:r>
      <w:r w:rsidRPr="00B02DC0">
        <w:rPr>
          <w:rFonts w:ascii="GHEA Grapalat" w:hAnsi="GHEA Grapalat"/>
          <w:sz w:val="20"/>
          <w:szCs w:val="20"/>
        </w:rPr>
        <w:t xml:space="preserve"> for the entire horizon </w:t>
      </w:r>
      <w:r w:rsidRPr="00D8673B">
        <w:rPr>
          <w:rFonts w:ascii="GHEA Grapalat" w:hAnsi="GHEA Grapalat"/>
          <w:sz w:val="20"/>
          <w:szCs w:val="20"/>
        </w:rPr>
        <w:t xml:space="preserve">will be lower </w:t>
      </w:r>
      <w:r>
        <w:rPr>
          <w:rFonts w:ascii="GHEA Grapalat" w:hAnsi="GHEA Grapalat"/>
          <w:sz w:val="20"/>
          <w:szCs w:val="20"/>
        </w:rPr>
        <w:t xml:space="preserve">from the </w:t>
      </w:r>
      <w:r w:rsidRPr="00D8673B">
        <w:rPr>
          <w:rFonts w:ascii="GHEA Grapalat" w:hAnsi="GHEA Grapalat"/>
          <w:sz w:val="20"/>
          <w:szCs w:val="20"/>
        </w:rPr>
        <w:t xml:space="preserve">previously </w:t>
      </w:r>
      <w:r>
        <w:rPr>
          <w:rFonts w:ascii="GHEA Grapalat" w:hAnsi="GHEA Grapalat"/>
          <w:sz w:val="20"/>
          <w:szCs w:val="20"/>
        </w:rPr>
        <w:t xml:space="preserve">forecasted levels due to weak </w:t>
      </w:r>
      <w:r w:rsidRPr="00B02DC0">
        <w:rPr>
          <w:rFonts w:ascii="GHEA Grapalat" w:hAnsi="GHEA Grapalat"/>
          <w:sz w:val="20"/>
          <w:szCs w:val="20"/>
        </w:rPr>
        <w:t>global demand</w:t>
      </w:r>
      <w:r>
        <w:rPr>
          <w:rFonts w:ascii="GHEA Grapalat" w:hAnsi="GHEA Grapalat"/>
          <w:sz w:val="20"/>
          <w:szCs w:val="20"/>
        </w:rPr>
        <w:t>,</w:t>
      </w:r>
      <w:r w:rsidRPr="00B02DC0">
        <w:rPr>
          <w:rFonts w:ascii="GHEA Grapalat" w:hAnsi="GHEA Grapalat"/>
          <w:sz w:val="20"/>
          <w:szCs w:val="20"/>
        </w:rPr>
        <w:t xml:space="preserve"> </w:t>
      </w:r>
      <w:r w:rsidRPr="00D8673B">
        <w:rPr>
          <w:rFonts w:ascii="GHEA Grapalat" w:hAnsi="GHEA Grapalat"/>
          <w:sz w:val="20"/>
          <w:szCs w:val="20"/>
        </w:rPr>
        <w:t xml:space="preserve">despite </w:t>
      </w:r>
      <w:r>
        <w:rPr>
          <w:rFonts w:ascii="GHEA Grapalat" w:hAnsi="GHEA Grapalat"/>
          <w:sz w:val="20"/>
          <w:szCs w:val="20"/>
        </w:rPr>
        <w:t xml:space="preserve">the </w:t>
      </w:r>
      <w:r w:rsidRPr="00D8673B">
        <w:rPr>
          <w:rFonts w:ascii="GHEA Grapalat" w:hAnsi="GHEA Grapalat"/>
          <w:sz w:val="20"/>
          <w:szCs w:val="20"/>
        </w:rPr>
        <w:t xml:space="preserve">agreement between OPEC + </w:t>
      </w:r>
      <w:r>
        <w:rPr>
          <w:rFonts w:ascii="GHEA Grapalat" w:hAnsi="GHEA Grapalat"/>
          <w:sz w:val="20"/>
          <w:szCs w:val="20"/>
        </w:rPr>
        <w:t xml:space="preserve">member and </w:t>
      </w:r>
      <w:r w:rsidRPr="00D8673B">
        <w:rPr>
          <w:rFonts w:ascii="GHEA Grapalat" w:hAnsi="GHEA Grapalat"/>
          <w:sz w:val="20"/>
          <w:szCs w:val="20"/>
        </w:rPr>
        <w:t xml:space="preserve">partner countries to </w:t>
      </w:r>
      <w:r>
        <w:rPr>
          <w:rFonts w:ascii="GHEA Grapalat" w:hAnsi="GHEA Grapalat"/>
          <w:sz w:val="20"/>
          <w:szCs w:val="20"/>
        </w:rPr>
        <w:t xml:space="preserve">cut </w:t>
      </w:r>
      <w:r w:rsidRPr="00D8673B">
        <w:rPr>
          <w:rFonts w:ascii="GHEA Grapalat" w:hAnsi="GHEA Grapalat"/>
          <w:sz w:val="20"/>
          <w:szCs w:val="20"/>
        </w:rPr>
        <w:t>oil production in the medium term</w:t>
      </w:r>
      <w:r>
        <w:rPr>
          <w:rFonts w:ascii="GHEA Grapalat" w:hAnsi="GHEA Grapalat"/>
          <w:sz w:val="20"/>
          <w:szCs w:val="20"/>
        </w:rPr>
        <w:t>.</w:t>
      </w:r>
      <w:r w:rsidRPr="00D8673B">
        <w:rPr>
          <w:rFonts w:ascii="GHEA Grapalat" w:hAnsi="GHEA Grapalat"/>
          <w:sz w:val="20"/>
          <w:szCs w:val="20"/>
        </w:rPr>
        <w:t xml:space="preserve"> </w:t>
      </w:r>
      <w:proofErr w:type="gramStart"/>
      <w:r>
        <w:rPr>
          <w:rFonts w:ascii="GHEA Grapalat" w:hAnsi="GHEA Grapalat"/>
          <w:sz w:val="20"/>
          <w:szCs w:val="20"/>
        </w:rPr>
        <w:t>In the course of</w:t>
      </w:r>
      <w:proofErr w:type="gramEnd"/>
      <w:r>
        <w:rPr>
          <w:rFonts w:ascii="GHEA Grapalat" w:hAnsi="GHEA Grapalat"/>
          <w:sz w:val="20"/>
          <w:szCs w:val="20"/>
        </w:rPr>
        <w:t xml:space="preserve"> forecast horizon, o</w:t>
      </w:r>
      <w:r w:rsidRPr="00D8673B">
        <w:rPr>
          <w:rFonts w:ascii="GHEA Grapalat" w:hAnsi="GHEA Grapalat"/>
          <w:sz w:val="20"/>
          <w:szCs w:val="20"/>
        </w:rPr>
        <w:t xml:space="preserve">il prices will be in the range of </w:t>
      </w:r>
      <w:r>
        <w:rPr>
          <w:rFonts w:ascii="GHEA Grapalat" w:hAnsi="GHEA Grapalat"/>
          <w:sz w:val="20"/>
          <w:szCs w:val="20"/>
        </w:rPr>
        <w:t xml:space="preserve">USD </w:t>
      </w:r>
      <w:r w:rsidRPr="00D8673B">
        <w:rPr>
          <w:rFonts w:ascii="GHEA Grapalat" w:hAnsi="GHEA Grapalat"/>
          <w:sz w:val="20"/>
          <w:szCs w:val="20"/>
        </w:rPr>
        <w:t>30-40</w:t>
      </w:r>
      <w:r>
        <w:rPr>
          <w:rFonts w:ascii="GHEA Grapalat" w:hAnsi="GHEA Grapalat"/>
          <w:sz w:val="20"/>
          <w:szCs w:val="20"/>
        </w:rPr>
        <w:t>.</w:t>
      </w:r>
    </w:p>
    <w:p w14:paraId="655D4B6C" w14:textId="77777777" w:rsidR="004F213F" w:rsidRDefault="004F213F" w:rsidP="004F213F">
      <w:pPr>
        <w:spacing w:line="346" w:lineRule="atLeast"/>
        <w:ind w:firstLine="284"/>
        <w:rPr>
          <w:rFonts w:ascii="GHEA Grapalat" w:eastAsia="Calibri" w:hAnsi="GHEA Grapalat"/>
          <w:sz w:val="20"/>
          <w:szCs w:val="20"/>
          <w:lang w:val="hy-AM"/>
        </w:rPr>
      </w:pPr>
      <w:r w:rsidRPr="00B02DC0">
        <w:rPr>
          <w:rFonts w:ascii="GHEA Grapalat" w:hAnsi="GHEA Grapalat"/>
          <w:sz w:val="20"/>
          <w:szCs w:val="20"/>
        </w:rPr>
        <w:t xml:space="preserve">International copper prices </w:t>
      </w:r>
      <w:r w:rsidRPr="00BB6EE4">
        <w:rPr>
          <w:rFonts w:ascii="GHEA Grapalat" w:hAnsi="GHEA Grapalat"/>
          <w:sz w:val="20"/>
          <w:szCs w:val="20"/>
        </w:rPr>
        <w:t xml:space="preserve">will </w:t>
      </w:r>
      <w:r>
        <w:rPr>
          <w:rFonts w:ascii="GHEA Grapalat" w:hAnsi="GHEA Grapalat"/>
          <w:sz w:val="20"/>
          <w:szCs w:val="20"/>
        </w:rPr>
        <w:t xml:space="preserve">persist </w:t>
      </w:r>
      <w:r w:rsidRPr="00BB6EE4">
        <w:rPr>
          <w:rFonts w:ascii="GHEA Grapalat" w:hAnsi="GHEA Grapalat"/>
          <w:sz w:val="20"/>
          <w:szCs w:val="20"/>
        </w:rPr>
        <w:t xml:space="preserve">within the previous forecast, deviating </w:t>
      </w:r>
      <w:r>
        <w:rPr>
          <w:rFonts w:ascii="GHEA Grapalat" w:hAnsi="GHEA Grapalat"/>
          <w:sz w:val="20"/>
          <w:szCs w:val="20"/>
        </w:rPr>
        <w:t xml:space="preserve">upward </w:t>
      </w:r>
      <w:r w:rsidRPr="00BB6EE4">
        <w:rPr>
          <w:rFonts w:ascii="GHEA Grapalat" w:hAnsi="GHEA Grapalat"/>
          <w:sz w:val="20"/>
          <w:szCs w:val="20"/>
        </w:rPr>
        <w:t>only in the current quarter</w:t>
      </w:r>
      <w:r w:rsidRPr="006D3D37">
        <w:rPr>
          <w:rFonts w:ascii="GHEA Grapalat" w:hAnsi="GHEA Grapalat"/>
          <w:sz w:val="20"/>
          <w:szCs w:val="20"/>
        </w:rPr>
        <w:t>s</w:t>
      </w:r>
      <w:r>
        <w:rPr>
          <w:rFonts w:ascii="GHEA Grapalat" w:hAnsi="GHEA Grapalat"/>
          <w:sz w:val="20"/>
          <w:szCs w:val="20"/>
        </w:rPr>
        <w:t xml:space="preserve"> mainly supported with </w:t>
      </w:r>
      <w:r w:rsidRPr="00BB6EE4">
        <w:rPr>
          <w:rFonts w:ascii="GHEA Grapalat" w:hAnsi="GHEA Grapalat"/>
          <w:sz w:val="20"/>
          <w:szCs w:val="20"/>
        </w:rPr>
        <w:t>the positive signs of the recovery of the Chinese economy.</w:t>
      </w:r>
      <w:r>
        <w:rPr>
          <w:rFonts w:ascii="GHEA Grapalat" w:hAnsi="GHEA Grapalat"/>
          <w:sz w:val="20"/>
          <w:szCs w:val="20"/>
        </w:rPr>
        <w:t xml:space="preserve"> </w:t>
      </w:r>
    </w:p>
    <w:p w14:paraId="4723691E" w14:textId="77777777" w:rsidR="004F213F" w:rsidRPr="00FA186C" w:rsidRDefault="004F213F" w:rsidP="004F213F">
      <w:pPr>
        <w:spacing w:before="120" w:after="60" w:line="320" w:lineRule="atLeast"/>
        <w:ind w:firstLine="284"/>
        <w:rPr>
          <w:rFonts w:ascii="GHEA Grapalat" w:eastAsia="Calibri" w:hAnsi="GHEA Grapalat"/>
          <w:b/>
          <w:bCs/>
          <w:i/>
          <w:sz w:val="20"/>
          <w:szCs w:val="20"/>
          <w:lang w:val="hy-AM"/>
        </w:rPr>
      </w:pPr>
      <w:r w:rsidRPr="00FA186C">
        <w:rPr>
          <w:rFonts w:ascii="GHEA Grapalat" w:hAnsi="GHEA Grapalat"/>
          <w:b/>
          <w:i/>
          <w:sz w:val="20"/>
          <w:szCs w:val="20"/>
        </w:rPr>
        <w:t xml:space="preserve">Armenia’s economic growth </w:t>
      </w:r>
      <w:r>
        <w:rPr>
          <w:rFonts w:ascii="GHEA Grapalat" w:hAnsi="GHEA Grapalat"/>
          <w:b/>
          <w:i/>
          <w:sz w:val="20"/>
          <w:szCs w:val="20"/>
        </w:rPr>
        <w:t xml:space="preserve">projections were revised downside along the forecast horizon. </w:t>
      </w:r>
    </w:p>
    <w:p w14:paraId="3484798B" w14:textId="77777777" w:rsidR="004F213F" w:rsidRPr="005259F3" w:rsidRDefault="004F213F" w:rsidP="004F213F">
      <w:pPr>
        <w:spacing w:line="320" w:lineRule="atLeast"/>
        <w:ind w:firstLine="284"/>
        <w:rPr>
          <w:rFonts w:ascii="GHEA Grapalat" w:eastAsia="Calibri" w:hAnsi="GHEA Grapalat"/>
          <w:sz w:val="20"/>
          <w:szCs w:val="20"/>
          <w:lang w:val="hy-AM"/>
        </w:rPr>
      </w:pPr>
      <w:r w:rsidRPr="00D31AF1">
        <w:rPr>
          <w:noProof/>
        </w:rPr>
        <mc:AlternateContent>
          <mc:Choice Requires="wps">
            <w:drawing>
              <wp:anchor distT="0" distB="0" distL="114300" distR="114300" simplePos="0" relativeHeight="251665408" behindDoc="0" locked="0" layoutInCell="1" allowOverlap="1" wp14:anchorId="13E70A82" wp14:editId="218AD68D">
                <wp:simplePos x="0" y="0"/>
                <wp:positionH relativeFrom="column">
                  <wp:posOffset>5023734</wp:posOffset>
                </wp:positionH>
                <wp:positionV relativeFrom="paragraph">
                  <wp:posOffset>253365</wp:posOffset>
                </wp:positionV>
                <wp:extent cx="1702435" cy="338400"/>
                <wp:effectExtent l="0" t="0" r="0" b="5080"/>
                <wp:wrapNone/>
                <wp:docPr id="67" name="Text Box 3866">
                  <a:extLst xmlns:a="http://schemas.openxmlformats.org/drawingml/2006/main">
                    <a:ext uri="{FF2B5EF4-FFF2-40B4-BE49-F238E27FC236}">
                      <a16:creationId xmlns:a16="http://schemas.microsoft.com/office/drawing/2014/main" id="{00000000-0008-0000-1400-000005000000}"/>
                    </a:ext>
                  </a:extLst>
                </wp:docPr>
                <wp:cNvGraphicFramePr/>
                <a:graphic xmlns:a="http://schemas.openxmlformats.org/drawingml/2006/main">
                  <a:graphicData uri="http://schemas.microsoft.com/office/word/2010/wordprocessingShape">
                    <wps:wsp>
                      <wps:cNvSpPr txBox="1"/>
                      <wps:spPr>
                        <a:xfrm>
                          <a:off x="0" y="0"/>
                          <a:ext cx="1702435" cy="33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44C80" w14:textId="77777777" w:rsidR="004F213F" w:rsidRDefault="004F213F" w:rsidP="004F213F">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Calibri"/>
                                <w:i/>
                                <w:iCs/>
                                <w:color w:val="000000" w:themeColor="dark1"/>
                                <w:sz w:val="14"/>
                                <w:szCs w:val="14"/>
                              </w:rPr>
                              <w:t>Source: FAO, Central Bank 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E70A82" id="Text Box 3866" o:spid="_x0000_s1027" type="#_x0000_t202" style="position:absolute;left:0;text-align:left;margin-left:395.55pt;margin-top:19.95pt;width:134.05pt;height:26.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" filled="f" stroked="f" strokeweight=".5pt">
                <v:textbox>
                  <w:txbxContent>
                    <w:p w14:paraId="44244C80" w14:textId="77777777" w:rsidR="004F213F" w:rsidRDefault="004F213F" w:rsidP="004F213F">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Calibri"/>
                          <w:i/>
                          <w:iCs/>
                          <w:color w:val="000000" w:themeColor="dark1"/>
                          <w:sz w:val="14"/>
                          <w:szCs w:val="14"/>
                        </w:rPr>
                        <w:t>Source: FAO, Central Bank forecast</w:t>
                      </w:r>
                    </w:p>
                  </w:txbxContent>
                </v:textbox>
              </v:shape>
            </w:pict>
          </mc:Fallback>
        </mc:AlternateContent>
      </w:r>
      <w:r w:rsidRPr="006D3D37">
        <w:rPr>
          <w:rFonts w:ascii="GHEA Grapalat" w:eastAsia="Calibri" w:hAnsi="GHEA Grapalat"/>
          <w:sz w:val="20"/>
          <w:szCs w:val="20"/>
          <w:lang w:val="hy-AM"/>
        </w:rPr>
        <w:t xml:space="preserve">In 2020 economic activity </w:t>
      </w:r>
      <w:r>
        <w:rPr>
          <w:rFonts w:ascii="GHEA Grapalat" w:eastAsia="Calibri" w:hAnsi="GHEA Grapalat"/>
          <w:sz w:val="20"/>
          <w:szCs w:val="20"/>
        </w:rPr>
        <w:t>was revised s</w:t>
      </w:r>
      <w:r w:rsidRPr="006D3D37">
        <w:rPr>
          <w:rFonts w:ascii="GHEA Grapalat" w:eastAsia="Calibri" w:hAnsi="GHEA Grapalat"/>
          <w:sz w:val="20"/>
          <w:szCs w:val="20"/>
          <w:lang w:val="hy-AM"/>
        </w:rPr>
        <w:t>ignificantly down</w:t>
      </w:r>
      <w:r>
        <w:rPr>
          <w:rFonts w:ascii="GHEA Grapalat" w:eastAsia="Calibri" w:hAnsi="GHEA Grapalat"/>
          <w:sz w:val="20"/>
          <w:szCs w:val="20"/>
        </w:rPr>
        <w:t>side</w:t>
      </w:r>
      <w:r w:rsidRPr="006D3D37">
        <w:rPr>
          <w:rFonts w:ascii="GHEA Grapalat" w:eastAsia="Calibri" w:hAnsi="GHEA Grapalat"/>
          <w:sz w:val="20"/>
          <w:szCs w:val="20"/>
          <w:lang w:val="hy-AM"/>
        </w:rPr>
        <w:t xml:space="preserve"> and is currently estimated at -4.0%. The revi</w:t>
      </w:r>
      <w:proofErr w:type="spellStart"/>
      <w:r>
        <w:rPr>
          <w:rFonts w:ascii="GHEA Grapalat" w:eastAsia="Calibri" w:hAnsi="GHEA Grapalat"/>
          <w:sz w:val="20"/>
          <w:szCs w:val="20"/>
        </w:rPr>
        <w:t>sion</w:t>
      </w:r>
      <w:proofErr w:type="spellEnd"/>
      <w:r>
        <w:rPr>
          <w:rFonts w:ascii="GHEA Grapalat" w:eastAsia="Calibri" w:hAnsi="GHEA Grapalat"/>
          <w:sz w:val="20"/>
          <w:szCs w:val="20"/>
        </w:rPr>
        <w:t xml:space="preserve"> </w:t>
      </w:r>
      <w:r w:rsidRPr="006D3D37">
        <w:rPr>
          <w:rFonts w:ascii="GHEA Grapalat" w:eastAsia="Calibri" w:hAnsi="GHEA Grapalat"/>
          <w:sz w:val="20"/>
          <w:szCs w:val="20"/>
          <w:lang w:val="hy-AM"/>
        </w:rPr>
        <w:t xml:space="preserve">was </w:t>
      </w:r>
      <w:r>
        <w:rPr>
          <w:rFonts w:ascii="GHEA Grapalat" w:eastAsia="Calibri" w:hAnsi="GHEA Grapalat"/>
          <w:sz w:val="20"/>
          <w:szCs w:val="20"/>
        </w:rPr>
        <w:t xml:space="preserve">prompted by the </w:t>
      </w:r>
      <w:r w:rsidRPr="006D3D37">
        <w:rPr>
          <w:rFonts w:ascii="GHEA Grapalat" w:eastAsia="Calibri" w:hAnsi="GHEA Grapalat"/>
          <w:sz w:val="20"/>
          <w:szCs w:val="20"/>
          <w:lang w:val="hy-AM"/>
        </w:rPr>
        <w:t>economic constraints of recent months</w:t>
      </w:r>
      <w:r>
        <w:rPr>
          <w:rFonts w:ascii="GHEA Grapalat" w:eastAsia="Calibri" w:hAnsi="GHEA Grapalat"/>
          <w:sz w:val="20"/>
          <w:szCs w:val="20"/>
        </w:rPr>
        <w:t xml:space="preserve"> hence low actual </w:t>
      </w:r>
      <w:r w:rsidRPr="006D3D37">
        <w:rPr>
          <w:rFonts w:ascii="GHEA Grapalat" w:eastAsia="Calibri" w:hAnsi="GHEA Grapalat"/>
          <w:sz w:val="20"/>
          <w:szCs w:val="20"/>
          <w:lang w:val="hy-AM"/>
        </w:rPr>
        <w:t xml:space="preserve">economic activity </w:t>
      </w:r>
      <w:r>
        <w:rPr>
          <w:rFonts w:ascii="GHEA Grapalat" w:eastAsia="Calibri" w:hAnsi="GHEA Grapalat"/>
          <w:sz w:val="20"/>
          <w:szCs w:val="20"/>
        </w:rPr>
        <w:t xml:space="preserve">indicators reported </w:t>
      </w:r>
      <w:r w:rsidRPr="006D3D37">
        <w:rPr>
          <w:rFonts w:ascii="GHEA Grapalat" w:eastAsia="Calibri" w:hAnsi="GHEA Grapalat"/>
          <w:sz w:val="20"/>
          <w:szCs w:val="20"/>
          <w:lang w:val="hy-AM"/>
        </w:rPr>
        <w:t>in March-April, and the perception o</w:t>
      </w:r>
      <w:r>
        <w:rPr>
          <w:rFonts w:ascii="GHEA Grapalat" w:eastAsia="Calibri" w:hAnsi="GHEA Grapalat"/>
          <w:sz w:val="20"/>
          <w:szCs w:val="20"/>
        </w:rPr>
        <w:t xml:space="preserve">n how </w:t>
      </w:r>
      <w:r w:rsidRPr="006D3D37">
        <w:rPr>
          <w:rFonts w:ascii="GHEA Grapalat" w:eastAsia="Calibri" w:hAnsi="GHEA Grapalat"/>
          <w:sz w:val="20"/>
          <w:szCs w:val="20"/>
          <w:lang w:val="hy-AM"/>
        </w:rPr>
        <w:t xml:space="preserve">economic recovery </w:t>
      </w:r>
      <w:r>
        <w:rPr>
          <w:rFonts w:ascii="GHEA Grapalat" w:eastAsia="Calibri" w:hAnsi="GHEA Grapalat"/>
          <w:sz w:val="20"/>
          <w:szCs w:val="20"/>
        </w:rPr>
        <w:t xml:space="preserve">will take place </w:t>
      </w:r>
      <w:r w:rsidRPr="006D3D37">
        <w:rPr>
          <w:rFonts w:ascii="GHEA Grapalat" w:eastAsia="Calibri" w:hAnsi="GHEA Grapalat"/>
          <w:sz w:val="20"/>
          <w:szCs w:val="20"/>
          <w:lang w:val="hy-AM"/>
        </w:rPr>
        <w:t xml:space="preserve">after the restrictions </w:t>
      </w:r>
      <w:r>
        <w:rPr>
          <w:rFonts w:ascii="GHEA Grapalat" w:eastAsia="Calibri" w:hAnsi="GHEA Grapalat"/>
          <w:sz w:val="20"/>
          <w:szCs w:val="20"/>
        </w:rPr>
        <w:t>are</w:t>
      </w:r>
      <w:r w:rsidRPr="006D3D37">
        <w:rPr>
          <w:rFonts w:ascii="GHEA Grapalat" w:eastAsia="Calibri" w:hAnsi="GHEA Grapalat"/>
          <w:sz w:val="20"/>
          <w:szCs w:val="20"/>
          <w:lang w:val="hy-AM"/>
        </w:rPr>
        <w:t xml:space="preserve"> lifted. In particular, </w:t>
      </w:r>
      <w:r>
        <w:rPr>
          <w:rFonts w:ascii="GHEA Grapalat" w:eastAsia="Calibri" w:hAnsi="GHEA Grapalat"/>
          <w:sz w:val="20"/>
          <w:szCs w:val="20"/>
        </w:rPr>
        <w:t xml:space="preserve">there is </w:t>
      </w:r>
      <w:r w:rsidRPr="006D3D37">
        <w:rPr>
          <w:rFonts w:ascii="GHEA Grapalat" w:eastAsia="Calibri" w:hAnsi="GHEA Grapalat"/>
          <w:sz w:val="20"/>
          <w:szCs w:val="20"/>
          <w:lang w:val="hy-AM"/>
        </w:rPr>
        <w:t>assum</w:t>
      </w:r>
      <w:proofErr w:type="spellStart"/>
      <w:r>
        <w:rPr>
          <w:rFonts w:ascii="GHEA Grapalat" w:eastAsia="Calibri" w:hAnsi="GHEA Grapalat"/>
          <w:sz w:val="20"/>
          <w:szCs w:val="20"/>
        </w:rPr>
        <w:t>ption</w:t>
      </w:r>
      <w:proofErr w:type="spellEnd"/>
      <w:r>
        <w:rPr>
          <w:rFonts w:ascii="GHEA Grapalat" w:eastAsia="Calibri" w:hAnsi="GHEA Grapalat"/>
          <w:sz w:val="20"/>
          <w:szCs w:val="20"/>
        </w:rPr>
        <w:t xml:space="preserve"> </w:t>
      </w:r>
      <w:r w:rsidRPr="006D3D37">
        <w:rPr>
          <w:rFonts w:ascii="GHEA Grapalat" w:eastAsia="Calibri" w:hAnsi="GHEA Grapalat"/>
          <w:sz w:val="20"/>
          <w:szCs w:val="20"/>
          <w:lang w:val="hy-AM"/>
        </w:rPr>
        <w:t xml:space="preserve">that lost (non-generated) revenues </w:t>
      </w:r>
      <w:r>
        <w:rPr>
          <w:rFonts w:ascii="GHEA Grapalat" w:eastAsia="Calibri" w:hAnsi="GHEA Grapalat"/>
          <w:sz w:val="20"/>
          <w:szCs w:val="20"/>
        </w:rPr>
        <w:t>because of the pan</w:t>
      </w:r>
      <w:r w:rsidRPr="006D3D37">
        <w:rPr>
          <w:rFonts w:ascii="GHEA Grapalat" w:eastAsia="Calibri" w:hAnsi="GHEA Grapalat"/>
          <w:sz w:val="20"/>
          <w:szCs w:val="20"/>
          <w:lang w:val="hy-AM"/>
        </w:rPr>
        <w:t xml:space="preserve">demic will have some </w:t>
      </w:r>
      <w:r>
        <w:rPr>
          <w:rFonts w:ascii="GHEA Grapalat" w:eastAsia="Calibri" w:hAnsi="GHEA Grapalat"/>
          <w:sz w:val="20"/>
          <w:szCs w:val="20"/>
        </w:rPr>
        <w:t xml:space="preserve">contractionary </w:t>
      </w:r>
      <w:r w:rsidRPr="006D3D37">
        <w:rPr>
          <w:rFonts w:ascii="GHEA Grapalat" w:eastAsia="Calibri" w:hAnsi="GHEA Grapalat"/>
          <w:sz w:val="20"/>
          <w:szCs w:val="20"/>
          <w:lang w:val="hy-AM"/>
        </w:rPr>
        <w:t xml:space="preserve">effect during the year, and </w:t>
      </w:r>
      <w:r>
        <w:rPr>
          <w:rFonts w:ascii="GHEA Grapalat" w:eastAsia="Calibri" w:hAnsi="GHEA Grapalat"/>
          <w:sz w:val="20"/>
          <w:szCs w:val="20"/>
        </w:rPr>
        <w:t xml:space="preserve">if </w:t>
      </w:r>
      <w:r w:rsidRPr="006D3D37">
        <w:rPr>
          <w:rFonts w:ascii="GHEA Grapalat" w:eastAsia="Calibri" w:hAnsi="GHEA Grapalat"/>
          <w:sz w:val="20"/>
          <w:szCs w:val="20"/>
          <w:lang w:val="hy-AM"/>
        </w:rPr>
        <w:t xml:space="preserve">the </w:t>
      </w:r>
      <w:r>
        <w:rPr>
          <w:rFonts w:ascii="GHEA Grapalat" w:eastAsia="Calibri" w:hAnsi="GHEA Grapalat"/>
          <w:sz w:val="20"/>
          <w:szCs w:val="20"/>
        </w:rPr>
        <w:t>pan</w:t>
      </w:r>
      <w:r w:rsidRPr="006D3D37">
        <w:rPr>
          <w:rFonts w:ascii="GHEA Grapalat" w:eastAsia="Calibri" w:hAnsi="GHEA Grapalat"/>
          <w:sz w:val="20"/>
          <w:szCs w:val="20"/>
          <w:lang w:val="hy-AM"/>
        </w:rPr>
        <w:t xml:space="preserve">demic </w:t>
      </w:r>
      <w:r>
        <w:rPr>
          <w:rFonts w:ascii="GHEA Grapalat" w:eastAsia="Calibri" w:hAnsi="GHEA Grapalat"/>
          <w:sz w:val="20"/>
          <w:szCs w:val="20"/>
        </w:rPr>
        <w:t xml:space="preserve">lasts </w:t>
      </w:r>
      <w:r w:rsidRPr="006D3D37">
        <w:rPr>
          <w:rFonts w:ascii="GHEA Grapalat" w:eastAsia="Calibri" w:hAnsi="GHEA Grapalat"/>
          <w:sz w:val="20"/>
          <w:szCs w:val="20"/>
          <w:lang w:val="hy-AM"/>
        </w:rPr>
        <w:t>long</w:t>
      </w:r>
      <w:r>
        <w:rPr>
          <w:rFonts w:ascii="GHEA Grapalat" w:eastAsia="Calibri" w:hAnsi="GHEA Grapalat"/>
          <w:sz w:val="20"/>
          <w:szCs w:val="20"/>
        </w:rPr>
        <w:t>er</w:t>
      </w:r>
      <w:r w:rsidRPr="006D3D37">
        <w:rPr>
          <w:rFonts w:ascii="GHEA Grapalat" w:eastAsia="Calibri" w:hAnsi="GHEA Grapalat"/>
          <w:sz w:val="20"/>
          <w:szCs w:val="20"/>
          <w:lang w:val="hy-AM"/>
        </w:rPr>
        <w:t xml:space="preserve">, the recovery of the service sector will be particularly slow </w:t>
      </w:r>
      <w:r>
        <w:rPr>
          <w:rFonts w:ascii="GHEA Grapalat" w:eastAsia="Calibri" w:hAnsi="GHEA Grapalat"/>
          <w:sz w:val="20"/>
          <w:szCs w:val="20"/>
        </w:rPr>
        <w:t xml:space="preserve">on the back of increased </w:t>
      </w:r>
      <w:r w:rsidRPr="006D3D37">
        <w:rPr>
          <w:rFonts w:ascii="GHEA Grapalat" w:eastAsia="Calibri" w:hAnsi="GHEA Grapalat"/>
          <w:sz w:val="20"/>
          <w:szCs w:val="20"/>
          <w:lang w:val="hy-AM"/>
        </w:rPr>
        <w:t xml:space="preserve">consumer caution and </w:t>
      </w:r>
      <w:r>
        <w:rPr>
          <w:rFonts w:ascii="GHEA Grapalat" w:eastAsia="Calibri" w:hAnsi="GHEA Grapalat"/>
          <w:sz w:val="20"/>
          <w:szCs w:val="20"/>
        </w:rPr>
        <w:t xml:space="preserve">notable </w:t>
      </w:r>
      <w:r w:rsidRPr="006D3D37">
        <w:rPr>
          <w:rFonts w:ascii="GHEA Grapalat" w:eastAsia="Calibri" w:hAnsi="GHEA Grapalat"/>
          <w:sz w:val="20"/>
          <w:szCs w:val="20"/>
          <w:lang w:val="hy-AM"/>
        </w:rPr>
        <w:t>reductio</w:t>
      </w:r>
      <w:r>
        <w:rPr>
          <w:rFonts w:ascii="GHEA Grapalat" w:eastAsia="Calibri" w:hAnsi="GHEA Grapalat"/>
          <w:sz w:val="20"/>
          <w:szCs w:val="20"/>
          <w:lang w:val="hy-AM"/>
        </w:rPr>
        <w:t xml:space="preserve">n in international tourism. </w:t>
      </w:r>
      <w:r>
        <w:rPr>
          <w:rFonts w:ascii="GHEA Grapalat" w:eastAsia="Calibri" w:hAnsi="GHEA Grapalat"/>
          <w:sz w:val="20"/>
          <w:szCs w:val="20"/>
        </w:rPr>
        <w:t>The output of s</w:t>
      </w:r>
      <w:r w:rsidRPr="006D3D37">
        <w:rPr>
          <w:rFonts w:ascii="GHEA Grapalat" w:eastAsia="Calibri" w:hAnsi="GHEA Grapalat"/>
          <w:sz w:val="20"/>
          <w:szCs w:val="20"/>
          <w:lang w:val="hy-AM"/>
        </w:rPr>
        <w:t xml:space="preserve">ervices that require social </w:t>
      </w:r>
      <w:r>
        <w:rPr>
          <w:rFonts w:ascii="GHEA Grapalat" w:eastAsia="Calibri" w:hAnsi="GHEA Grapalat"/>
          <w:sz w:val="20"/>
          <w:szCs w:val="20"/>
        </w:rPr>
        <w:t xml:space="preserve">interaction </w:t>
      </w:r>
      <w:r w:rsidRPr="006D3D37">
        <w:rPr>
          <w:rFonts w:ascii="GHEA Grapalat" w:eastAsia="Calibri" w:hAnsi="GHEA Grapalat"/>
          <w:sz w:val="20"/>
          <w:szCs w:val="20"/>
          <w:lang w:val="hy-AM"/>
        </w:rPr>
        <w:t xml:space="preserve">will </w:t>
      </w:r>
      <w:r>
        <w:rPr>
          <w:rFonts w:ascii="GHEA Grapalat" w:eastAsia="Calibri" w:hAnsi="GHEA Grapalat"/>
          <w:sz w:val="20"/>
          <w:szCs w:val="20"/>
        </w:rPr>
        <w:t>remain the weakest</w:t>
      </w:r>
      <w:r w:rsidRPr="006D3D37">
        <w:rPr>
          <w:rFonts w:ascii="GHEA Grapalat" w:eastAsia="Calibri" w:hAnsi="GHEA Grapalat"/>
          <w:sz w:val="20"/>
          <w:szCs w:val="20"/>
          <w:lang w:val="hy-AM"/>
        </w:rPr>
        <w:t xml:space="preserve">. The construction sector </w:t>
      </w:r>
      <w:r>
        <w:rPr>
          <w:rFonts w:ascii="GHEA Grapalat" w:eastAsia="Calibri" w:hAnsi="GHEA Grapalat"/>
          <w:sz w:val="20"/>
          <w:szCs w:val="20"/>
        </w:rPr>
        <w:t>w</w:t>
      </w:r>
      <w:r w:rsidRPr="006D3D37">
        <w:rPr>
          <w:rFonts w:ascii="GHEA Grapalat" w:eastAsia="Calibri" w:hAnsi="GHEA Grapalat"/>
          <w:sz w:val="20"/>
          <w:szCs w:val="20"/>
          <w:lang w:val="hy-AM"/>
        </w:rPr>
        <w:t xml:space="preserve">as also </w:t>
      </w:r>
      <w:r>
        <w:rPr>
          <w:rFonts w:ascii="GHEA Grapalat" w:eastAsia="Calibri" w:hAnsi="GHEA Grapalat"/>
          <w:sz w:val="20"/>
          <w:szCs w:val="20"/>
        </w:rPr>
        <w:t xml:space="preserve">revised </w:t>
      </w:r>
      <w:r w:rsidRPr="006D3D37">
        <w:rPr>
          <w:rFonts w:ascii="GHEA Grapalat" w:eastAsia="Calibri" w:hAnsi="GHEA Grapalat"/>
          <w:sz w:val="20"/>
          <w:szCs w:val="20"/>
          <w:lang w:val="hy-AM"/>
        </w:rPr>
        <w:t>significantly down</w:t>
      </w:r>
      <w:r>
        <w:rPr>
          <w:rFonts w:ascii="GHEA Grapalat" w:eastAsia="Calibri" w:hAnsi="GHEA Grapalat"/>
          <w:sz w:val="20"/>
          <w:szCs w:val="20"/>
        </w:rPr>
        <w:t>side,</w:t>
      </w:r>
      <w:r w:rsidRPr="006D3D37">
        <w:rPr>
          <w:rFonts w:ascii="GHEA Grapalat" w:eastAsia="Calibri" w:hAnsi="GHEA Grapalat"/>
          <w:sz w:val="20"/>
          <w:szCs w:val="20"/>
          <w:lang w:val="hy-AM"/>
        </w:rPr>
        <w:t xml:space="preserve"> reflecting the decision</w:t>
      </w:r>
      <w:r>
        <w:rPr>
          <w:rFonts w:ascii="GHEA Grapalat" w:eastAsia="Calibri" w:hAnsi="GHEA Grapalat"/>
          <w:sz w:val="20"/>
          <w:szCs w:val="20"/>
        </w:rPr>
        <w:t>s</w:t>
      </w:r>
      <w:r w:rsidRPr="006D3D37">
        <w:rPr>
          <w:rFonts w:ascii="GHEA Grapalat" w:eastAsia="Calibri" w:hAnsi="GHEA Grapalat"/>
          <w:sz w:val="20"/>
          <w:szCs w:val="20"/>
          <w:lang w:val="hy-AM"/>
        </w:rPr>
        <w:t xml:space="preserve"> to postpone investments amid a sharp rise in uncertainty. The recovery of the industry will be slower</w:t>
      </w:r>
      <w:r>
        <w:rPr>
          <w:rFonts w:ascii="GHEA Grapalat" w:eastAsia="Calibri" w:hAnsi="GHEA Grapalat"/>
          <w:sz w:val="20"/>
          <w:szCs w:val="20"/>
        </w:rPr>
        <w:t xml:space="preserve"> too</w:t>
      </w:r>
      <w:r w:rsidRPr="006D3D37">
        <w:rPr>
          <w:rFonts w:ascii="GHEA Grapalat" w:eastAsia="Calibri" w:hAnsi="GHEA Grapalat"/>
          <w:sz w:val="20"/>
          <w:szCs w:val="20"/>
          <w:lang w:val="hy-AM"/>
        </w:rPr>
        <w:t>, as it is quite vulnerable i</w:t>
      </w:r>
      <w:r>
        <w:rPr>
          <w:rFonts w:ascii="GHEA Grapalat" w:eastAsia="Calibri" w:hAnsi="GHEA Grapalat"/>
          <w:sz w:val="20"/>
          <w:szCs w:val="20"/>
          <w:lang w:val="hy-AM"/>
        </w:rPr>
        <w:t xml:space="preserve">n terms of </w:t>
      </w:r>
      <w:r>
        <w:rPr>
          <w:rFonts w:ascii="GHEA Grapalat" w:eastAsia="Calibri" w:hAnsi="GHEA Grapalat"/>
          <w:sz w:val="20"/>
          <w:szCs w:val="20"/>
        </w:rPr>
        <w:t xml:space="preserve">both </w:t>
      </w:r>
      <w:r>
        <w:rPr>
          <w:rFonts w:ascii="GHEA Grapalat" w:eastAsia="Calibri" w:hAnsi="GHEA Grapalat"/>
          <w:sz w:val="20"/>
          <w:szCs w:val="20"/>
          <w:lang w:val="hy-AM"/>
        </w:rPr>
        <w:t>the spread of the pan</w:t>
      </w:r>
      <w:r w:rsidRPr="006D3D37">
        <w:rPr>
          <w:rFonts w:ascii="GHEA Grapalat" w:eastAsia="Calibri" w:hAnsi="GHEA Grapalat"/>
          <w:sz w:val="20"/>
          <w:szCs w:val="20"/>
          <w:lang w:val="hy-AM"/>
        </w:rPr>
        <w:t>demic</w:t>
      </w:r>
      <w:r>
        <w:rPr>
          <w:rFonts w:ascii="GHEA Grapalat" w:eastAsia="Calibri" w:hAnsi="GHEA Grapalat"/>
          <w:sz w:val="20"/>
          <w:szCs w:val="20"/>
        </w:rPr>
        <w:t xml:space="preserve"> as</w:t>
      </w:r>
      <w:r w:rsidRPr="006D3D37">
        <w:rPr>
          <w:rFonts w:ascii="GHEA Grapalat" w:eastAsia="Calibri" w:hAnsi="GHEA Grapalat"/>
          <w:sz w:val="20"/>
          <w:szCs w:val="20"/>
          <w:lang w:val="hy-AM"/>
        </w:rPr>
        <w:t xml:space="preserve"> industrial enterprises </w:t>
      </w:r>
      <w:r>
        <w:rPr>
          <w:rFonts w:ascii="GHEA Grapalat" w:eastAsia="Calibri" w:hAnsi="GHEA Grapalat"/>
          <w:sz w:val="20"/>
          <w:szCs w:val="20"/>
        </w:rPr>
        <w:t xml:space="preserve">face </w:t>
      </w:r>
      <w:r w:rsidRPr="006D3D37">
        <w:rPr>
          <w:rFonts w:ascii="GHEA Grapalat" w:eastAsia="Calibri" w:hAnsi="GHEA Grapalat"/>
          <w:sz w:val="20"/>
          <w:szCs w:val="20"/>
          <w:lang w:val="hy-AM"/>
        </w:rPr>
        <w:t xml:space="preserve">concentration of large numbers of workers, and </w:t>
      </w:r>
      <w:r>
        <w:rPr>
          <w:rFonts w:ascii="GHEA Grapalat" w:eastAsia="Calibri" w:hAnsi="GHEA Grapalat"/>
          <w:sz w:val="20"/>
          <w:szCs w:val="20"/>
        </w:rPr>
        <w:t xml:space="preserve">a </w:t>
      </w:r>
      <w:r w:rsidRPr="006D3D37">
        <w:rPr>
          <w:rFonts w:ascii="GHEA Grapalat" w:eastAsia="Calibri" w:hAnsi="GHEA Grapalat"/>
          <w:sz w:val="20"/>
          <w:szCs w:val="20"/>
          <w:lang w:val="hy-AM"/>
        </w:rPr>
        <w:t xml:space="preserve">declining domestic and external demand. The agricultural sector is considered to be relatively less vulnerable, </w:t>
      </w:r>
      <w:r>
        <w:rPr>
          <w:rFonts w:ascii="GHEA Grapalat" w:eastAsia="Calibri" w:hAnsi="GHEA Grapalat"/>
          <w:sz w:val="20"/>
          <w:szCs w:val="20"/>
        </w:rPr>
        <w:t>and a considerable decline in the sector is not likely</w:t>
      </w:r>
      <w:r w:rsidRPr="006D3D37">
        <w:rPr>
          <w:rFonts w:ascii="GHEA Grapalat" w:eastAsia="Calibri" w:hAnsi="GHEA Grapalat"/>
          <w:sz w:val="20"/>
          <w:szCs w:val="20"/>
          <w:lang w:val="hy-AM"/>
        </w:rPr>
        <w:t>.</w:t>
      </w:r>
      <w:r w:rsidRPr="005259F3">
        <w:rPr>
          <w:rFonts w:ascii="GHEA Grapalat" w:eastAsia="Calibri" w:hAnsi="GHEA Grapalat"/>
          <w:sz w:val="20"/>
          <w:szCs w:val="20"/>
          <w:lang w:val="hy-AM"/>
        </w:rPr>
        <w:t xml:space="preserve"> </w:t>
      </w:r>
    </w:p>
    <w:p w14:paraId="59379493" w14:textId="77777777" w:rsidR="004F213F" w:rsidRPr="005259F3" w:rsidRDefault="004F213F" w:rsidP="004F213F">
      <w:pPr>
        <w:spacing w:line="320" w:lineRule="atLeast"/>
        <w:ind w:firstLine="284"/>
        <w:rPr>
          <w:rFonts w:ascii="GHEA Grapalat" w:eastAsia="Calibri" w:hAnsi="GHEA Grapalat"/>
          <w:sz w:val="20"/>
          <w:szCs w:val="20"/>
          <w:lang w:val="hy-AM"/>
        </w:rPr>
      </w:pPr>
      <w:r w:rsidRPr="002F5A02">
        <w:rPr>
          <w:rFonts w:ascii="GHEA Grapalat" w:eastAsia="Calibri" w:hAnsi="GHEA Grapalat"/>
          <w:sz w:val="20"/>
          <w:szCs w:val="20"/>
          <w:lang w:val="hy-AM"/>
        </w:rPr>
        <w:t xml:space="preserve">In 2021 economic growth will be higher than the growth rate of long-term potential </w:t>
      </w:r>
      <w:r>
        <w:rPr>
          <w:rFonts w:ascii="GHEA Grapalat" w:eastAsia="Calibri" w:hAnsi="GHEA Grapalat"/>
          <w:sz w:val="20"/>
          <w:szCs w:val="20"/>
        </w:rPr>
        <w:t>owing to</w:t>
      </w:r>
      <w:r w:rsidRPr="002F5A02">
        <w:rPr>
          <w:rFonts w:ascii="GHEA Grapalat" w:eastAsia="Calibri" w:hAnsi="GHEA Grapalat"/>
          <w:sz w:val="20"/>
          <w:szCs w:val="20"/>
          <w:lang w:val="hy-AM"/>
        </w:rPr>
        <w:t xml:space="preserve"> the recovery of demand, but in general, in the forecast horizon, economic growth will remain slightly below the long-term st</w:t>
      </w:r>
      <w:proofErr w:type="spellStart"/>
      <w:r>
        <w:rPr>
          <w:rFonts w:ascii="GHEA Grapalat" w:eastAsia="Calibri" w:hAnsi="GHEA Grapalat"/>
          <w:sz w:val="20"/>
          <w:szCs w:val="20"/>
        </w:rPr>
        <w:t>eady</w:t>
      </w:r>
      <w:proofErr w:type="spellEnd"/>
      <w:r>
        <w:rPr>
          <w:rFonts w:ascii="GHEA Grapalat" w:eastAsia="Calibri" w:hAnsi="GHEA Grapalat"/>
          <w:sz w:val="20"/>
          <w:szCs w:val="20"/>
        </w:rPr>
        <w:t xml:space="preserve"> state</w:t>
      </w:r>
      <w:r w:rsidRPr="002F5A02">
        <w:rPr>
          <w:rFonts w:ascii="GHEA Grapalat" w:eastAsia="Calibri" w:hAnsi="GHEA Grapalat"/>
          <w:sz w:val="20"/>
          <w:szCs w:val="20"/>
          <w:lang w:val="hy-AM"/>
        </w:rPr>
        <w:t xml:space="preserve">. It is estimated that </w:t>
      </w:r>
      <w:r>
        <w:rPr>
          <w:rFonts w:ascii="GHEA Grapalat" w:eastAsia="Calibri" w:hAnsi="GHEA Grapalat"/>
          <w:sz w:val="20"/>
          <w:szCs w:val="20"/>
        </w:rPr>
        <w:t xml:space="preserve">with the current </w:t>
      </w:r>
      <w:r w:rsidRPr="002F5A02">
        <w:rPr>
          <w:rFonts w:ascii="GHEA Grapalat" w:eastAsia="Calibri" w:hAnsi="GHEA Grapalat"/>
          <w:sz w:val="20"/>
          <w:szCs w:val="20"/>
          <w:lang w:val="hy-AM"/>
        </w:rPr>
        <w:t xml:space="preserve">debt burden of households, income losses </w:t>
      </w:r>
      <w:r>
        <w:rPr>
          <w:rFonts w:ascii="GHEA Grapalat" w:eastAsia="Calibri" w:hAnsi="GHEA Grapalat"/>
          <w:sz w:val="20"/>
          <w:szCs w:val="20"/>
        </w:rPr>
        <w:t xml:space="preserve">in the short-term </w:t>
      </w:r>
      <w:r w:rsidRPr="002F5A02">
        <w:rPr>
          <w:rFonts w:ascii="GHEA Grapalat" w:eastAsia="Calibri" w:hAnsi="GHEA Grapalat"/>
          <w:sz w:val="20"/>
          <w:szCs w:val="20"/>
          <w:lang w:val="hy-AM"/>
        </w:rPr>
        <w:t xml:space="preserve">may cause </w:t>
      </w:r>
      <w:r>
        <w:rPr>
          <w:rFonts w:ascii="GHEA Grapalat" w:eastAsia="Calibri" w:hAnsi="GHEA Grapalat"/>
          <w:sz w:val="20"/>
          <w:szCs w:val="20"/>
        </w:rPr>
        <w:t xml:space="preserve">certain </w:t>
      </w:r>
      <w:r w:rsidRPr="002F5A02">
        <w:rPr>
          <w:rFonts w:ascii="GHEA Grapalat" w:eastAsia="Calibri" w:hAnsi="GHEA Grapalat"/>
          <w:sz w:val="20"/>
          <w:szCs w:val="20"/>
          <w:lang w:val="hy-AM"/>
        </w:rPr>
        <w:t xml:space="preserve">change in the structure of consumption in the medium </w:t>
      </w:r>
      <w:r>
        <w:rPr>
          <w:rFonts w:ascii="GHEA Grapalat" w:eastAsia="Calibri" w:hAnsi="GHEA Grapalat"/>
          <w:sz w:val="20"/>
          <w:szCs w:val="20"/>
        </w:rPr>
        <w:t>run</w:t>
      </w:r>
      <w:r w:rsidRPr="002F5A02">
        <w:rPr>
          <w:rFonts w:ascii="GHEA Grapalat" w:eastAsia="Calibri" w:hAnsi="GHEA Grapalat"/>
          <w:sz w:val="20"/>
          <w:szCs w:val="20"/>
          <w:lang w:val="hy-AM"/>
        </w:rPr>
        <w:t>, resulting in lower demand for non-primary consumer goods.</w:t>
      </w:r>
      <w:r w:rsidRPr="005259F3">
        <w:rPr>
          <w:rFonts w:ascii="GHEA Grapalat" w:eastAsia="Calibri" w:hAnsi="GHEA Grapalat"/>
          <w:sz w:val="20"/>
          <w:szCs w:val="20"/>
          <w:lang w:val="hy-AM"/>
        </w:rPr>
        <w:t xml:space="preserve"> </w:t>
      </w:r>
    </w:p>
    <w:p w14:paraId="444BA564" w14:textId="77777777" w:rsidR="004F213F" w:rsidRDefault="004F213F" w:rsidP="004F213F">
      <w:pPr>
        <w:spacing w:line="320" w:lineRule="atLeast"/>
        <w:ind w:firstLine="284"/>
        <w:rPr>
          <w:rFonts w:ascii="GHEA Grapalat" w:eastAsia="Calibri" w:hAnsi="GHEA Grapalat"/>
          <w:sz w:val="20"/>
          <w:szCs w:val="20"/>
          <w:lang w:val="hy-AM"/>
        </w:rPr>
      </w:pPr>
      <w:r w:rsidRPr="00594A4B">
        <w:rPr>
          <w:rFonts w:ascii="GHEA Grapalat" w:hAnsi="GHEA Grapalat"/>
          <w:sz w:val="20"/>
          <w:szCs w:val="20"/>
        </w:rPr>
        <w:t xml:space="preserve">The GDP gap </w:t>
      </w:r>
      <w:r>
        <w:rPr>
          <w:rFonts w:ascii="GHEA Grapalat" w:hAnsi="GHEA Grapalat"/>
          <w:sz w:val="20"/>
          <w:szCs w:val="20"/>
        </w:rPr>
        <w:t xml:space="preserve">is estimated to be </w:t>
      </w:r>
      <w:r w:rsidRPr="00594A4B">
        <w:rPr>
          <w:rFonts w:ascii="GHEA Grapalat" w:hAnsi="GHEA Grapalat"/>
          <w:sz w:val="20"/>
          <w:szCs w:val="20"/>
        </w:rPr>
        <w:t xml:space="preserve">negative in the </w:t>
      </w:r>
      <w:r>
        <w:rPr>
          <w:rFonts w:ascii="GHEA Grapalat" w:hAnsi="GHEA Grapalat"/>
          <w:sz w:val="20"/>
          <w:szCs w:val="20"/>
        </w:rPr>
        <w:t>up</w:t>
      </w:r>
      <w:r w:rsidRPr="00594A4B">
        <w:rPr>
          <w:rFonts w:ascii="GHEA Grapalat" w:hAnsi="GHEA Grapalat"/>
          <w:sz w:val="20"/>
          <w:szCs w:val="20"/>
        </w:rPr>
        <w:t>coming quarters, but as uncertainties decrease</w:t>
      </w:r>
      <w:r>
        <w:rPr>
          <w:rFonts w:ascii="GHEA Grapalat" w:hAnsi="GHEA Grapalat"/>
          <w:sz w:val="20"/>
          <w:szCs w:val="20"/>
        </w:rPr>
        <w:t xml:space="preserve">, as well as driven by the impact of </w:t>
      </w:r>
      <w:r w:rsidRPr="00594A4B">
        <w:rPr>
          <w:rFonts w:ascii="GHEA Grapalat" w:hAnsi="GHEA Grapalat"/>
          <w:sz w:val="20"/>
          <w:szCs w:val="20"/>
        </w:rPr>
        <w:t>current expa</w:t>
      </w:r>
      <w:r>
        <w:rPr>
          <w:rFonts w:ascii="GHEA Grapalat" w:hAnsi="GHEA Grapalat"/>
          <w:sz w:val="20"/>
          <w:szCs w:val="20"/>
        </w:rPr>
        <w:t>nsionary monetary policy and</w:t>
      </w:r>
      <w:r w:rsidRPr="00594A4B">
        <w:rPr>
          <w:rFonts w:ascii="GHEA Grapalat" w:hAnsi="GHEA Grapalat"/>
          <w:sz w:val="20"/>
          <w:szCs w:val="20"/>
        </w:rPr>
        <w:t xml:space="preserve"> </w:t>
      </w:r>
      <w:r>
        <w:rPr>
          <w:rFonts w:ascii="GHEA Grapalat" w:hAnsi="GHEA Grapalat"/>
          <w:sz w:val="20"/>
          <w:szCs w:val="20"/>
        </w:rPr>
        <w:t xml:space="preserve">a </w:t>
      </w:r>
      <w:r w:rsidRPr="00594A4B">
        <w:rPr>
          <w:rFonts w:ascii="GHEA Grapalat" w:hAnsi="GHEA Grapalat"/>
          <w:sz w:val="20"/>
          <w:szCs w:val="20"/>
        </w:rPr>
        <w:t>gradual</w:t>
      </w:r>
      <w:r>
        <w:rPr>
          <w:rFonts w:ascii="GHEA Grapalat" w:hAnsi="GHEA Grapalat"/>
          <w:sz w:val="20"/>
          <w:szCs w:val="20"/>
        </w:rPr>
        <w:t xml:space="preserve"> </w:t>
      </w:r>
      <w:r w:rsidRPr="00594A4B">
        <w:rPr>
          <w:rFonts w:ascii="GHEA Grapalat" w:hAnsi="GHEA Grapalat"/>
          <w:sz w:val="20"/>
          <w:szCs w:val="20"/>
        </w:rPr>
        <w:t>recover</w:t>
      </w:r>
      <w:r>
        <w:rPr>
          <w:rFonts w:ascii="GHEA Grapalat" w:hAnsi="GHEA Grapalat"/>
          <w:sz w:val="20"/>
          <w:szCs w:val="20"/>
        </w:rPr>
        <w:t xml:space="preserve">y of </w:t>
      </w:r>
      <w:r w:rsidRPr="00594A4B">
        <w:rPr>
          <w:rFonts w:ascii="GHEA Grapalat" w:hAnsi="GHEA Grapalat"/>
          <w:sz w:val="20"/>
          <w:szCs w:val="20"/>
        </w:rPr>
        <w:t xml:space="preserve">external demand, </w:t>
      </w:r>
      <w:r>
        <w:rPr>
          <w:rFonts w:ascii="GHEA Grapalat" w:hAnsi="GHEA Grapalat"/>
          <w:sz w:val="20"/>
          <w:szCs w:val="20"/>
        </w:rPr>
        <w:t xml:space="preserve">in the forecast horizon the gap </w:t>
      </w:r>
      <w:r w:rsidRPr="00594A4B">
        <w:rPr>
          <w:rFonts w:ascii="GHEA Grapalat" w:hAnsi="GHEA Grapalat"/>
          <w:sz w:val="20"/>
          <w:szCs w:val="20"/>
        </w:rPr>
        <w:t xml:space="preserve">will </w:t>
      </w:r>
      <w:proofErr w:type="gramStart"/>
      <w:r w:rsidRPr="00594A4B">
        <w:rPr>
          <w:rFonts w:ascii="GHEA Grapalat" w:hAnsi="GHEA Grapalat"/>
          <w:sz w:val="20"/>
          <w:szCs w:val="20"/>
        </w:rPr>
        <w:t>close</w:t>
      </w:r>
      <w:proofErr w:type="gramEnd"/>
      <w:r>
        <w:rPr>
          <w:rFonts w:ascii="GHEA Grapalat" w:hAnsi="GHEA Grapalat"/>
          <w:sz w:val="20"/>
          <w:szCs w:val="20"/>
        </w:rPr>
        <w:t xml:space="preserve"> and </w:t>
      </w:r>
      <w:r w:rsidRPr="00594A4B">
        <w:rPr>
          <w:rFonts w:ascii="GHEA Grapalat" w:hAnsi="GHEA Grapalat"/>
          <w:sz w:val="20"/>
          <w:szCs w:val="20"/>
        </w:rPr>
        <w:t xml:space="preserve">deflationary pressures will </w:t>
      </w:r>
      <w:r>
        <w:rPr>
          <w:rFonts w:ascii="GHEA Grapalat" w:hAnsi="GHEA Grapalat"/>
          <w:sz w:val="20"/>
          <w:szCs w:val="20"/>
        </w:rPr>
        <w:t>phase out</w:t>
      </w:r>
      <w:r w:rsidRPr="00B02DC0">
        <w:rPr>
          <w:rFonts w:ascii="GHEA Grapalat" w:hAnsi="GHEA Grapalat"/>
          <w:sz w:val="20"/>
          <w:szCs w:val="20"/>
        </w:rPr>
        <w:t>.</w:t>
      </w:r>
    </w:p>
    <w:p w14:paraId="2514CCF0" w14:textId="77777777" w:rsidR="004F213F" w:rsidRPr="00AD5ED9" w:rsidRDefault="004F213F" w:rsidP="004F213F">
      <w:pPr>
        <w:ind w:firstLine="284"/>
        <w:jc w:val="both"/>
        <w:rPr>
          <w:rFonts w:ascii="GHEA Grapalat" w:hAnsi="GHEA Grapalat" w:cs="Sylfaen"/>
          <w:b/>
          <w:i/>
          <w:iCs/>
          <w:color w:val="FF0000"/>
          <w:sz w:val="10"/>
          <w:szCs w:val="20"/>
          <w:lang w:val="hy-AM"/>
        </w:rPr>
      </w:pPr>
    </w:p>
    <w:p w14:paraId="2A06E456" w14:textId="77777777" w:rsidR="004F213F" w:rsidRDefault="004F213F" w:rsidP="004F213F">
      <w:pPr>
        <w:spacing w:after="120" w:line="260" w:lineRule="atLeast"/>
        <w:ind w:firstLine="284"/>
        <w:jc w:val="right"/>
        <w:rPr>
          <w:rFonts w:ascii="GHEA Grapalat" w:eastAsia="Calibri" w:hAnsi="GHEA Grapalat"/>
          <w:color w:val="000000" w:themeColor="text1"/>
          <w:sz w:val="20"/>
          <w:szCs w:val="20"/>
          <w:lang w:val="hy-AM"/>
        </w:rPr>
      </w:pPr>
    </w:p>
    <w:p w14:paraId="65728637" w14:textId="77777777" w:rsidR="004F213F" w:rsidRDefault="004F213F" w:rsidP="004F213F">
      <w:pPr>
        <w:spacing w:line="340" w:lineRule="atLeast"/>
        <w:ind w:firstLine="284"/>
        <w:rPr>
          <w:rFonts w:ascii="GHEA Grapalat" w:eastAsia="Calibri" w:hAnsi="GHEA Grapalat"/>
          <w:color w:val="000000" w:themeColor="text1"/>
          <w:sz w:val="20"/>
          <w:szCs w:val="20"/>
          <w:lang w:val="hy-AM"/>
        </w:rPr>
      </w:pPr>
      <w:r w:rsidRPr="00B02DC0">
        <w:rPr>
          <w:rFonts w:ascii="GHEA Grapalat" w:hAnsi="GHEA Grapalat"/>
          <w:sz w:val="20"/>
          <w:szCs w:val="20"/>
        </w:rPr>
        <w:t xml:space="preserve">In 2020 the current account deficit-to-GDP ratio will be </w:t>
      </w:r>
      <w:r>
        <w:rPr>
          <w:rFonts w:ascii="GHEA Grapalat" w:hAnsi="GHEA Grapalat"/>
          <w:sz w:val="20"/>
          <w:szCs w:val="20"/>
        </w:rPr>
        <w:t xml:space="preserve">lower </w:t>
      </w:r>
      <w:r w:rsidRPr="00B02DC0">
        <w:rPr>
          <w:rFonts w:ascii="GHEA Grapalat" w:hAnsi="GHEA Grapalat"/>
          <w:sz w:val="20"/>
          <w:szCs w:val="20"/>
        </w:rPr>
        <w:t xml:space="preserve">compared to the previous forecast due to revisions </w:t>
      </w:r>
      <w:r>
        <w:rPr>
          <w:rFonts w:ascii="GHEA Grapalat" w:hAnsi="GHEA Grapalat"/>
          <w:sz w:val="20"/>
          <w:szCs w:val="20"/>
        </w:rPr>
        <w:t xml:space="preserve">of the </w:t>
      </w:r>
      <w:r w:rsidRPr="00B02DC0">
        <w:rPr>
          <w:rFonts w:ascii="GHEA Grapalat" w:hAnsi="GHEA Grapalat"/>
          <w:sz w:val="20"/>
          <w:szCs w:val="20"/>
        </w:rPr>
        <w:t>negative trade balance.</w:t>
      </w:r>
    </w:p>
    <w:p w14:paraId="7593D70D" w14:textId="4C5A6382" w:rsidR="004F213F" w:rsidRDefault="004F213F" w:rsidP="004F213F">
      <w:pPr>
        <w:spacing w:line="340" w:lineRule="atLeast"/>
        <w:ind w:firstLine="284"/>
        <w:rPr>
          <w:rFonts w:ascii="GHEA Grapalat" w:eastAsia="Calibri" w:hAnsi="GHEA Grapalat"/>
          <w:color w:val="000000" w:themeColor="text1"/>
          <w:sz w:val="20"/>
          <w:szCs w:val="20"/>
          <w:lang w:val="hy-AM"/>
        </w:rPr>
      </w:pPr>
      <w:r w:rsidRPr="00B02DC0">
        <w:rPr>
          <w:rFonts w:ascii="GHEA Grapalat" w:hAnsi="GHEA Grapalat"/>
          <w:sz w:val="20"/>
          <w:szCs w:val="20"/>
        </w:rPr>
        <w:t>Compared to the previous forecast, the</w:t>
      </w:r>
      <w:r>
        <w:rPr>
          <w:rFonts w:ascii="GHEA Grapalat" w:hAnsi="GHEA Grapalat"/>
          <w:sz w:val="20"/>
          <w:szCs w:val="20"/>
        </w:rPr>
        <w:t xml:space="preserve"> fiscal impulse is estimated to increase to</w:t>
      </w:r>
      <w:r w:rsidRPr="00B02DC0">
        <w:rPr>
          <w:rFonts w:ascii="GHEA Grapalat" w:hAnsi="GHEA Grapalat"/>
          <w:sz w:val="20"/>
          <w:szCs w:val="20"/>
        </w:rPr>
        <w:t xml:space="preserve"> </w:t>
      </w:r>
      <w:r>
        <w:rPr>
          <w:rFonts w:ascii="GHEA Grapalat" w:hAnsi="GHEA Grapalat"/>
          <w:sz w:val="20"/>
          <w:szCs w:val="20"/>
        </w:rPr>
        <w:t>5</w:t>
      </w:r>
      <w:r w:rsidRPr="00B02DC0">
        <w:rPr>
          <w:rFonts w:ascii="GHEA Grapalat" w:hAnsi="GHEA Grapalat"/>
          <w:sz w:val="20"/>
          <w:szCs w:val="20"/>
        </w:rPr>
        <w:t>.</w:t>
      </w:r>
      <w:r>
        <w:rPr>
          <w:rFonts w:ascii="GHEA Grapalat" w:hAnsi="GHEA Grapalat"/>
          <w:sz w:val="20"/>
          <w:szCs w:val="20"/>
        </w:rPr>
        <w:t>5</w:t>
      </w:r>
      <w:r w:rsidRPr="00B02DC0">
        <w:rPr>
          <w:rFonts w:ascii="GHEA Grapalat" w:hAnsi="GHEA Grapalat"/>
          <w:sz w:val="20"/>
          <w:szCs w:val="20"/>
        </w:rPr>
        <w:t xml:space="preserve"> pp </w:t>
      </w:r>
      <w:r>
        <w:rPr>
          <w:rFonts w:ascii="GHEA Grapalat" w:hAnsi="GHEA Grapalat"/>
          <w:sz w:val="20"/>
          <w:szCs w:val="20"/>
        </w:rPr>
        <w:t xml:space="preserve">expansionary </w:t>
      </w:r>
      <w:r w:rsidRPr="00B02DC0">
        <w:rPr>
          <w:rFonts w:ascii="GHEA Grapalat" w:hAnsi="GHEA Grapalat"/>
          <w:sz w:val="20"/>
          <w:szCs w:val="20"/>
        </w:rPr>
        <w:t>(</w:t>
      </w:r>
      <w:r>
        <w:rPr>
          <w:rFonts w:ascii="GHEA Grapalat" w:hAnsi="GHEA Grapalat"/>
          <w:sz w:val="20"/>
          <w:szCs w:val="20"/>
        </w:rPr>
        <w:t>as e</w:t>
      </w:r>
      <w:r w:rsidRPr="00B26021">
        <w:rPr>
          <w:rFonts w:ascii="GHEA Grapalat" w:hAnsi="GHEA Grapalat"/>
          <w:sz w:val="20"/>
          <w:szCs w:val="20"/>
        </w:rPr>
        <w:t>xpenditure</w:t>
      </w:r>
      <w:r>
        <w:rPr>
          <w:rFonts w:ascii="GHEA Grapalat" w:hAnsi="GHEA Grapalat"/>
          <w:sz w:val="20"/>
          <w:szCs w:val="20"/>
        </w:rPr>
        <w:t xml:space="preserve">s and </w:t>
      </w:r>
      <w:r w:rsidRPr="00B26021">
        <w:rPr>
          <w:rFonts w:ascii="GHEA Grapalat" w:hAnsi="GHEA Grapalat"/>
          <w:sz w:val="20"/>
          <w:szCs w:val="20"/>
        </w:rPr>
        <w:t xml:space="preserve">lending to the economy </w:t>
      </w:r>
      <w:r>
        <w:rPr>
          <w:rFonts w:ascii="GHEA Grapalat" w:hAnsi="GHEA Grapalat"/>
          <w:sz w:val="20"/>
          <w:szCs w:val="20"/>
        </w:rPr>
        <w:t>are</w:t>
      </w:r>
      <w:r w:rsidRPr="00B26021">
        <w:rPr>
          <w:rFonts w:ascii="GHEA Grapalat" w:hAnsi="GHEA Grapalat"/>
          <w:sz w:val="20"/>
          <w:szCs w:val="20"/>
        </w:rPr>
        <w:t xml:space="preserve"> expected to </w:t>
      </w:r>
      <w:r>
        <w:rPr>
          <w:rFonts w:ascii="GHEA Grapalat" w:hAnsi="GHEA Grapalat"/>
          <w:sz w:val="20"/>
          <w:szCs w:val="20"/>
        </w:rPr>
        <w:t>grow</w:t>
      </w:r>
      <w:r w:rsidRPr="00B26021">
        <w:rPr>
          <w:rFonts w:ascii="GHEA Grapalat" w:hAnsi="GHEA Grapalat"/>
          <w:sz w:val="20"/>
          <w:szCs w:val="20"/>
        </w:rPr>
        <w:t xml:space="preserve"> </w:t>
      </w:r>
      <w:r>
        <w:rPr>
          <w:rFonts w:ascii="GHEA Grapalat" w:hAnsi="GHEA Grapalat"/>
          <w:sz w:val="20"/>
          <w:szCs w:val="20"/>
        </w:rPr>
        <w:t>with the implementation of Government’</w:t>
      </w:r>
      <w:r w:rsidRPr="00B26021">
        <w:rPr>
          <w:rFonts w:ascii="GHEA Grapalat" w:hAnsi="GHEA Grapalat"/>
          <w:sz w:val="20"/>
          <w:szCs w:val="20"/>
        </w:rPr>
        <w:t>s anti-crisis measures</w:t>
      </w:r>
      <w:r>
        <w:rPr>
          <w:rFonts w:ascii="GHEA Grapalat" w:hAnsi="GHEA Grapalat"/>
          <w:sz w:val="20"/>
          <w:szCs w:val="20"/>
        </w:rPr>
        <w:t>,</w:t>
      </w:r>
      <w:r w:rsidRPr="00B26021">
        <w:rPr>
          <w:rFonts w:ascii="GHEA Grapalat" w:hAnsi="GHEA Grapalat"/>
          <w:sz w:val="20"/>
          <w:szCs w:val="20"/>
        </w:rPr>
        <w:t xml:space="preserve"> </w:t>
      </w:r>
      <w:r w:rsidRPr="00B02DC0">
        <w:rPr>
          <w:rFonts w:ascii="GHEA Grapalat" w:hAnsi="GHEA Grapalat"/>
          <w:sz w:val="20"/>
          <w:szCs w:val="20"/>
        </w:rPr>
        <w:t>the taxes-to-GDP ratio is likely to remain at the 2019 level).</w:t>
      </w:r>
    </w:p>
    <w:p w14:paraId="43ADFD37" w14:textId="77777777" w:rsidR="004F213F" w:rsidRDefault="004F213F" w:rsidP="004F213F">
      <w:pPr>
        <w:spacing w:line="340" w:lineRule="atLeast"/>
        <w:ind w:firstLine="284"/>
        <w:rPr>
          <w:rFonts w:ascii="GHEA Grapalat" w:hAnsi="GHEA Grapalat"/>
          <w:sz w:val="20"/>
          <w:szCs w:val="20"/>
        </w:rPr>
      </w:pPr>
      <w:r w:rsidRPr="00F57199">
        <w:rPr>
          <w:noProof/>
        </w:rPr>
        <mc:AlternateContent>
          <mc:Choice Requires="wps">
            <w:drawing>
              <wp:anchor distT="0" distB="0" distL="114300" distR="114300" simplePos="0" relativeHeight="251668480" behindDoc="0" locked="0" layoutInCell="1" allowOverlap="1" wp14:anchorId="668C5EEE" wp14:editId="3222BC6F">
                <wp:simplePos x="0" y="0"/>
                <wp:positionH relativeFrom="column">
                  <wp:posOffset>-2728070</wp:posOffset>
                </wp:positionH>
                <wp:positionV relativeFrom="paragraph">
                  <wp:posOffset>1130162</wp:posOffset>
                </wp:positionV>
                <wp:extent cx="2520315" cy="410890"/>
                <wp:effectExtent l="0" t="0" r="0" b="8255"/>
                <wp:wrapNone/>
                <wp:docPr id="82" name="Text Box 3801">
                  <a:extLst xmlns:a="http://schemas.openxmlformats.org/drawingml/2006/main">
                    <a:ext uri="{FF2B5EF4-FFF2-40B4-BE49-F238E27FC236}">
                      <a16:creationId xmlns:a16="http://schemas.microsoft.com/office/drawing/2014/main" id="{00000000-0008-0000-19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10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CFE17"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GHEA Grapalat" w:hAnsi="GHEA Grapalat" w:cs="Sylfaen"/>
                                <w:b/>
                                <w:bCs/>
                                <w:color w:val="1F497D"/>
                                <w:sz w:val="14"/>
                                <w:szCs w:val="14"/>
                              </w:rPr>
                              <w:t xml:space="preserve">Chart </w:t>
                            </w:r>
                            <w:r w:rsidRPr="004E4334">
                              <w:rPr>
                                <w:rFonts w:ascii="GHEA Grapalat" w:hAnsi="GHEA Grapalat" w:cs="Sylfaen"/>
                                <w:b/>
                                <w:bCs/>
                                <w:color w:val="1F497D"/>
                                <w:sz w:val="14"/>
                                <w:szCs w:val="14"/>
                                <w:lang w:val="hy-AM"/>
                              </w:rPr>
                              <w:t>3</w:t>
                            </w:r>
                            <w:r w:rsidRPr="004E4334">
                              <w:rPr>
                                <w:rFonts w:ascii="GHEA Grapalat" w:hAnsi="GHEA Grapalat" w:cs="Sylfaen"/>
                                <w:b/>
                                <w:bCs/>
                                <w:color w:val="1F497D"/>
                                <w:sz w:val="14"/>
                                <w:szCs w:val="14"/>
                              </w:rPr>
                              <w:t>1</w:t>
                            </w:r>
                          </w:p>
                          <w:p w14:paraId="330CA24E" w14:textId="77777777" w:rsidR="004F213F" w:rsidRPr="004E4334" w:rsidRDefault="004F213F" w:rsidP="004F213F">
                            <w:pPr>
                              <w:pStyle w:val="NormalWeb"/>
                              <w:spacing w:before="0" w:beforeAutospacing="0" w:after="0" w:afterAutospacing="0"/>
                              <w:rPr>
                                <w:rFonts w:ascii="GHEA Grapalat" w:hAnsi="GHEA Grapalat" w:cs="Sylfaen"/>
                                <w:b/>
                                <w:bCs/>
                                <w:color w:val="1F497D"/>
                                <w:sz w:val="6"/>
                                <w:szCs w:val="14"/>
                              </w:rPr>
                            </w:pPr>
                          </w:p>
                          <w:p w14:paraId="06BB5E0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GHEA Grapalat" w:hAnsi="GHEA Grapalat" w:cs="Sylfaen"/>
                                <w:b/>
                                <w:bCs/>
                                <w:color w:val="1F497D"/>
                                <w:sz w:val="14"/>
                                <w:szCs w:val="14"/>
                              </w:rPr>
                              <w:t xml:space="preserve">Fiscal impulse forecast </w:t>
                            </w:r>
                            <w:r w:rsidRPr="004E4334">
                              <w:rPr>
                                <w:rFonts w:ascii="GHEA Grapalat" w:hAnsi="GHEA Grapalat" w:cs="Sylfaen"/>
                                <w:b/>
                                <w:bCs/>
                                <w:i/>
                                <w:iCs/>
                                <w:color w:val="1F497D"/>
                                <w:sz w:val="14"/>
                                <w:szCs w:val="14"/>
                              </w:rPr>
                              <w:t>(percentage point)</w:t>
                            </w:r>
                            <w:r w:rsidRPr="004E4334">
                              <w:rPr>
                                <w:rFonts w:ascii="Calibri" w:hAnsi="Calibri" w:cs="Calibri"/>
                                <w:b/>
                                <w:bCs/>
                                <w:color w:val="1F497D"/>
                                <w:sz w:val="14"/>
                                <w:szCs w:val="14"/>
                              </w:rPr>
                              <w:t> </w:t>
                            </w:r>
                          </w:p>
                          <w:p w14:paraId="5D132E9F"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3F0822C"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7CBEA7D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93A362E"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093D506A"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1042B3D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69FA4E4B"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29A7182"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A014F0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5F41D8B2"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7C2308FD"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671CDA6D"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58F485DA"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7BFD882"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55E1C4AC"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5142E555"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0E64C878"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B6B6E3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7370573F"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7D0043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23ECD9B"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7E62976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27578AC3"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647318CE"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2E8B78FE"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7AD802A"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161AA793"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179B5D7D"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E5E48E5"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21F53C8"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6DDEA4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A71C910"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0A3B3CCA"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1D97B9EC"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60C4507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66502592"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2BBE364B"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B35B66F"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16A49C57"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40E6B2E"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783298AD"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818244D"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613576C3"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5B19FA0B"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0E9A64B8"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color w:val="1F497D"/>
                                <w:sz w:val="14"/>
                                <w:szCs w:val="14"/>
                              </w:rPr>
                              <w:t> </w:t>
                            </w:r>
                          </w:p>
                        </w:txbxContent>
                      </wps:txbx>
                      <wps:bodyPr rot="0" vert="horz" wrap="square" lIns="91440" tIns="45720" rIns="91440" bIns="45720" anchor="t" anchorCtr="0" upright="1">
                        <a:noAutofit/>
                      </wps:bodyPr>
                    </wps:wsp>
                  </a:graphicData>
                </a:graphic>
              </wp:anchor>
            </w:drawing>
          </mc:Choice>
          <mc:Fallback>
            <w:pict>
              <v:shape w14:anchorId="668C5EEE" id="Text Box 3801" o:spid="_x0000_s1028" type="#_x0000_t202" style="position:absolute;left:0;text-align:left;margin-left:-214.8pt;margin-top:89pt;width:198.45pt;height:32.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" filled="f" stroked="f">
                <v:textbox>
                  <w:txbxContent>
                    <w:p w14:paraId="42DCFE17"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GHEA Grapalat" w:hAnsi="GHEA Grapalat" w:cs="Sylfaen"/>
                          <w:b/>
                          <w:bCs/>
                          <w:color w:val="1F497D"/>
                          <w:sz w:val="14"/>
                          <w:szCs w:val="14"/>
                        </w:rPr>
                        <w:t xml:space="preserve">Chart </w:t>
                      </w:r>
                      <w:r w:rsidRPr="004E4334">
                        <w:rPr>
                          <w:rFonts w:ascii="GHEA Grapalat" w:hAnsi="GHEA Grapalat" w:cs="Sylfaen"/>
                          <w:b/>
                          <w:bCs/>
                          <w:color w:val="1F497D"/>
                          <w:sz w:val="14"/>
                          <w:szCs w:val="14"/>
                          <w:lang w:val="hy-AM"/>
                        </w:rPr>
                        <w:t>3</w:t>
                      </w:r>
                      <w:r w:rsidRPr="004E4334">
                        <w:rPr>
                          <w:rFonts w:ascii="GHEA Grapalat" w:hAnsi="GHEA Grapalat" w:cs="Sylfaen"/>
                          <w:b/>
                          <w:bCs/>
                          <w:color w:val="1F497D"/>
                          <w:sz w:val="14"/>
                          <w:szCs w:val="14"/>
                        </w:rPr>
                        <w:t>1</w:t>
                      </w:r>
                    </w:p>
                    <w:p w14:paraId="330CA24E" w14:textId="77777777" w:rsidR="004F213F" w:rsidRPr="004E4334" w:rsidRDefault="004F213F" w:rsidP="004F213F">
                      <w:pPr>
                        <w:pStyle w:val="NormalWeb"/>
                        <w:spacing w:before="0" w:beforeAutospacing="0" w:after="0" w:afterAutospacing="0"/>
                        <w:rPr>
                          <w:rFonts w:ascii="GHEA Grapalat" w:hAnsi="GHEA Grapalat" w:cs="Sylfaen"/>
                          <w:b/>
                          <w:bCs/>
                          <w:color w:val="1F497D"/>
                          <w:sz w:val="6"/>
                          <w:szCs w:val="14"/>
                        </w:rPr>
                      </w:pPr>
                    </w:p>
                    <w:p w14:paraId="06BB5E0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GHEA Grapalat" w:hAnsi="GHEA Grapalat" w:cs="Sylfaen"/>
                          <w:b/>
                          <w:bCs/>
                          <w:color w:val="1F497D"/>
                          <w:sz w:val="14"/>
                          <w:szCs w:val="14"/>
                        </w:rPr>
                        <w:t xml:space="preserve">Fiscal impulse forecast </w:t>
                      </w:r>
                      <w:r w:rsidRPr="004E4334">
                        <w:rPr>
                          <w:rFonts w:ascii="GHEA Grapalat" w:hAnsi="GHEA Grapalat" w:cs="Sylfaen"/>
                          <w:b/>
                          <w:bCs/>
                          <w:i/>
                          <w:iCs/>
                          <w:color w:val="1F497D"/>
                          <w:sz w:val="14"/>
                          <w:szCs w:val="14"/>
                        </w:rPr>
                        <w:t>(percentage point)</w:t>
                      </w:r>
                      <w:r w:rsidRPr="004E4334">
                        <w:rPr>
                          <w:rFonts w:ascii="Calibri" w:hAnsi="Calibri" w:cs="Calibri"/>
                          <w:b/>
                          <w:bCs/>
                          <w:color w:val="1F497D"/>
                          <w:sz w:val="14"/>
                          <w:szCs w:val="14"/>
                        </w:rPr>
                        <w:t> </w:t>
                      </w:r>
                    </w:p>
                    <w:p w14:paraId="5D132E9F"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3F0822C"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7CBEA7D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93A362E"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093D506A"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1042B3D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69FA4E4B"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29A7182"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A014F0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5F41D8B2"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7C2308FD"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671CDA6D"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58F485DA"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7BFD882"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55E1C4AC"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5142E555"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0E64C878"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B6B6E3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7370573F"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7D0043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23ECD9B"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7E62976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27578AC3"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647318CE"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2E8B78FE"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7AD802A"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161AA793"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179B5D7D"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E5E48E5"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21F53C8"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6DDEA4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A71C910"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0A3B3CCA"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1D97B9EC"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60C45079"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66502592"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2BBE364B"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3B35B66F"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16A49C57"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40E6B2E"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783298AD"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4818244D"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613576C3"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5B19FA0B"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b/>
                          <w:bCs/>
                          <w:color w:val="1F497D"/>
                          <w:sz w:val="14"/>
                          <w:szCs w:val="14"/>
                        </w:rPr>
                        <w:t> </w:t>
                      </w:r>
                    </w:p>
                    <w:p w14:paraId="0E9A64B8" w14:textId="77777777" w:rsidR="004F213F" w:rsidRPr="004E4334" w:rsidRDefault="004F213F" w:rsidP="004F213F">
                      <w:pPr>
                        <w:pStyle w:val="NormalWeb"/>
                        <w:spacing w:before="0" w:beforeAutospacing="0" w:after="0" w:afterAutospacing="0"/>
                        <w:rPr>
                          <w:rFonts w:ascii="GHEA Grapalat" w:hAnsi="GHEA Grapalat"/>
                          <w:color w:val="1F497D"/>
                          <w:sz w:val="14"/>
                          <w:szCs w:val="14"/>
                        </w:rPr>
                      </w:pPr>
                      <w:r w:rsidRPr="004E4334">
                        <w:rPr>
                          <w:rFonts w:ascii="Calibri" w:hAnsi="Calibri" w:cs="Calibri"/>
                          <w:color w:val="1F497D"/>
                          <w:sz w:val="14"/>
                          <w:szCs w:val="14"/>
                        </w:rPr>
                        <w:t> </w:t>
                      </w:r>
                    </w:p>
                  </w:txbxContent>
                </v:textbox>
              </v:shape>
            </w:pict>
          </mc:Fallback>
        </mc:AlternateContent>
      </w:r>
      <w:r w:rsidRPr="00B02DC0">
        <w:rPr>
          <w:rFonts w:ascii="GHEA Grapalat" w:hAnsi="GHEA Grapalat"/>
          <w:sz w:val="20"/>
          <w:szCs w:val="20"/>
        </w:rPr>
        <w:t xml:space="preserve">Current forecasts suggest that </w:t>
      </w:r>
      <w:r>
        <w:rPr>
          <w:rFonts w:ascii="GHEA Grapalat" w:hAnsi="GHEA Grapalat"/>
          <w:sz w:val="20"/>
          <w:szCs w:val="20"/>
        </w:rPr>
        <w:t xml:space="preserve">both headline and core </w:t>
      </w:r>
      <w:r w:rsidRPr="00B02DC0">
        <w:rPr>
          <w:rFonts w:ascii="GHEA Grapalat" w:hAnsi="GHEA Grapalat"/>
          <w:sz w:val="20"/>
          <w:szCs w:val="20"/>
        </w:rPr>
        <w:t>in</w:t>
      </w:r>
      <w:r>
        <w:rPr>
          <w:rFonts w:ascii="GHEA Grapalat" w:hAnsi="GHEA Grapalat"/>
          <w:sz w:val="20"/>
          <w:szCs w:val="20"/>
        </w:rPr>
        <w:t>flation in the short run will follow a path consistent with previous projections. In the medium run</w:t>
      </w:r>
      <w:r w:rsidRPr="00B02DC0">
        <w:rPr>
          <w:rFonts w:ascii="GHEA Grapalat" w:hAnsi="GHEA Grapalat"/>
          <w:sz w:val="20"/>
          <w:szCs w:val="20"/>
        </w:rPr>
        <w:t>,</w:t>
      </w:r>
      <w:r>
        <w:rPr>
          <w:rFonts w:ascii="GHEA Grapalat" w:hAnsi="GHEA Grapalat"/>
          <w:sz w:val="20"/>
          <w:szCs w:val="20"/>
        </w:rPr>
        <w:t xml:space="preserve"> the recovery of i</w:t>
      </w:r>
      <w:r w:rsidRPr="006548FA">
        <w:rPr>
          <w:rFonts w:ascii="GHEA Grapalat" w:hAnsi="GHEA Grapalat"/>
          <w:sz w:val="20"/>
          <w:szCs w:val="20"/>
        </w:rPr>
        <w:t xml:space="preserve">nflation will be hampered by </w:t>
      </w:r>
      <w:r>
        <w:rPr>
          <w:rFonts w:ascii="GHEA Grapalat" w:hAnsi="GHEA Grapalat"/>
          <w:sz w:val="20"/>
          <w:szCs w:val="20"/>
        </w:rPr>
        <w:t xml:space="preserve">the influences of further </w:t>
      </w:r>
      <w:r w:rsidRPr="006548FA">
        <w:rPr>
          <w:rFonts w:ascii="GHEA Grapalat" w:hAnsi="GHEA Grapalat"/>
          <w:sz w:val="20"/>
          <w:szCs w:val="20"/>
        </w:rPr>
        <w:t>deflationary pressures</w:t>
      </w:r>
      <w:r>
        <w:rPr>
          <w:rFonts w:ascii="GHEA Grapalat" w:hAnsi="GHEA Grapalat"/>
          <w:sz w:val="20"/>
          <w:szCs w:val="20"/>
        </w:rPr>
        <w:t xml:space="preserve"> expected from the outside world</w:t>
      </w:r>
      <w:r w:rsidRPr="006548FA">
        <w:rPr>
          <w:rFonts w:ascii="GHEA Grapalat" w:hAnsi="GHEA Grapalat"/>
          <w:sz w:val="20"/>
          <w:szCs w:val="20"/>
        </w:rPr>
        <w:t xml:space="preserve">, </w:t>
      </w:r>
      <w:r>
        <w:rPr>
          <w:rFonts w:ascii="GHEA Grapalat" w:hAnsi="GHEA Grapalat"/>
          <w:sz w:val="20"/>
          <w:szCs w:val="20"/>
        </w:rPr>
        <w:t xml:space="preserve">a </w:t>
      </w:r>
      <w:r w:rsidRPr="006548FA">
        <w:rPr>
          <w:rFonts w:ascii="GHEA Grapalat" w:hAnsi="GHEA Grapalat"/>
          <w:sz w:val="20"/>
          <w:szCs w:val="20"/>
        </w:rPr>
        <w:t xml:space="preserve">slower </w:t>
      </w:r>
      <w:r>
        <w:rPr>
          <w:rFonts w:ascii="GHEA Grapalat" w:hAnsi="GHEA Grapalat"/>
          <w:sz w:val="20"/>
          <w:szCs w:val="20"/>
        </w:rPr>
        <w:t>restoring of d</w:t>
      </w:r>
      <w:r w:rsidRPr="006548FA">
        <w:rPr>
          <w:rFonts w:ascii="GHEA Grapalat" w:hAnsi="GHEA Grapalat"/>
          <w:sz w:val="20"/>
          <w:szCs w:val="20"/>
        </w:rPr>
        <w:t xml:space="preserve">omestic demand, and </w:t>
      </w:r>
      <w:r w:rsidRPr="006548FA">
        <w:rPr>
          <w:rFonts w:ascii="GHEA Grapalat" w:hAnsi="GHEA Grapalat"/>
          <w:sz w:val="20"/>
          <w:szCs w:val="20"/>
        </w:rPr>
        <w:lastRenderedPageBreak/>
        <w:t xml:space="preserve">growing uncertainty. Accordingly, </w:t>
      </w:r>
      <w:proofErr w:type="gramStart"/>
      <w:r w:rsidRPr="006548FA">
        <w:rPr>
          <w:rFonts w:ascii="GHEA Grapalat" w:hAnsi="GHEA Grapalat"/>
          <w:sz w:val="20"/>
          <w:szCs w:val="20"/>
        </w:rPr>
        <w:t>in order to</w:t>
      </w:r>
      <w:proofErr w:type="gramEnd"/>
      <w:r w:rsidRPr="006548FA">
        <w:rPr>
          <w:rFonts w:ascii="GHEA Grapalat" w:hAnsi="GHEA Grapalat"/>
          <w:sz w:val="20"/>
          <w:szCs w:val="20"/>
        </w:rPr>
        <w:t xml:space="preserve"> </w:t>
      </w:r>
      <w:r>
        <w:rPr>
          <w:rFonts w:ascii="GHEA Grapalat" w:hAnsi="GHEA Grapalat"/>
          <w:sz w:val="20"/>
          <w:szCs w:val="20"/>
        </w:rPr>
        <w:t xml:space="preserve">fulfil the </w:t>
      </w:r>
      <w:r w:rsidRPr="006548FA">
        <w:rPr>
          <w:rFonts w:ascii="GHEA Grapalat" w:hAnsi="GHEA Grapalat"/>
          <w:sz w:val="20"/>
          <w:szCs w:val="20"/>
        </w:rPr>
        <w:t>inflation</w:t>
      </w:r>
      <w:r>
        <w:rPr>
          <w:rFonts w:ascii="GHEA Grapalat" w:hAnsi="GHEA Grapalat"/>
          <w:sz w:val="20"/>
          <w:szCs w:val="20"/>
        </w:rPr>
        <w:t xml:space="preserve"> target</w:t>
      </w:r>
      <w:r w:rsidRPr="006548FA">
        <w:rPr>
          <w:rFonts w:ascii="GHEA Grapalat" w:hAnsi="GHEA Grapalat"/>
          <w:sz w:val="20"/>
          <w:szCs w:val="20"/>
        </w:rPr>
        <w:t xml:space="preserve">, </w:t>
      </w:r>
      <w:r>
        <w:rPr>
          <w:rFonts w:ascii="GHEA Grapalat" w:hAnsi="GHEA Grapalat"/>
          <w:sz w:val="20"/>
          <w:szCs w:val="20"/>
        </w:rPr>
        <w:t xml:space="preserve">cutting </w:t>
      </w:r>
      <w:r w:rsidRPr="006548FA">
        <w:rPr>
          <w:rFonts w:ascii="GHEA Grapalat" w:hAnsi="GHEA Grapalat"/>
          <w:sz w:val="20"/>
          <w:szCs w:val="20"/>
        </w:rPr>
        <w:t>the refinancing rate</w:t>
      </w:r>
      <w:r>
        <w:rPr>
          <w:rFonts w:ascii="GHEA Grapalat" w:hAnsi="GHEA Grapalat"/>
          <w:sz w:val="20"/>
          <w:szCs w:val="20"/>
        </w:rPr>
        <w:t xml:space="preserve"> in a big step will be needed. This would </w:t>
      </w:r>
      <w:r w:rsidRPr="006548FA">
        <w:rPr>
          <w:rFonts w:ascii="GHEA Grapalat" w:hAnsi="GHEA Grapalat"/>
          <w:sz w:val="20"/>
          <w:szCs w:val="20"/>
        </w:rPr>
        <w:t xml:space="preserve">continue </w:t>
      </w:r>
      <w:r>
        <w:rPr>
          <w:rFonts w:ascii="GHEA Grapalat" w:hAnsi="GHEA Grapalat"/>
          <w:sz w:val="20"/>
          <w:szCs w:val="20"/>
        </w:rPr>
        <w:t xml:space="preserve">facilitating </w:t>
      </w:r>
      <w:r w:rsidRPr="006548FA">
        <w:rPr>
          <w:rFonts w:ascii="GHEA Grapalat" w:hAnsi="GHEA Grapalat"/>
          <w:sz w:val="20"/>
          <w:szCs w:val="20"/>
        </w:rPr>
        <w:t>the recovery of aggregate demand</w:t>
      </w:r>
      <w:r>
        <w:rPr>
          <w:rFonts w:ascii="GHEA Grapalat" w:hAnsi="GHEA Grapalat"/>
          <w:sz w:val="20"/>
          <w:szCs w:val="20"/>
        </w:rPr>
        <w:t xml:space="preserve"> while helping inflation s</w:t>
      </w:r>
      <w:r w:rsidRPr="006548FA">
        <w:rPr>
          <w:rFonts w:ascii="GHEA Grapalat" w:hAnsi="GHEA Grapalat"/>
          <w:sz w:val="20"/>
          <w:szCs w:val="20"/>
        </w:rPr>
        <w:t>tabilize around the target at the end of the forecast horizon</w:t>
      </w:r>
      <w:r>
        <w:rPr>
          <w:rFonts w:ascii="GHEA Grapalat" w:hAnsi="GHEA Grapalat"/>
          <w:sz w:val="20"/>
          <w:szCs w:val="20"/>
        </w:rPr>
        <w:t xml:space="preserve"> (</w:t>
      </w:r>
      <w:r w:rsidRPr="00B02DC0">
        <w:rPr>
          <w:rFonts w:ascii="GHEA Grapalat" w:hAnsi="GHEA Grapalat"/>
          <w:sz w:val="20"/>
          <w:szCs w:val="20"/>
        </w:rPr>
        <w:t>(see Chart 1: Inflation Forecast Probability Distribution)</w:t>
      </w:r>
      <w:r w:rsidRPr="006548FA">
        <w:rPr>
          <w:rFonts w:ascii="GHEA Grapalat" w:hAnsi="GHEA Grapalat"/>
          <w:sz w:val="20"/>
          <w:szCs w:val="20"/>
        </w:rPr>
        <w:t>.</w:t>
      </w:r>
      <w:r w:rsidRPr="00B02DC0">
        <w:rPr>
          <w:rFonts w:ascii="GHEA Grapalat" w:hAnsi="GHEA Grapalat"/>
          <w:sz w:val="20"/>
          <w:szCs w:val="20"/>
        </w:rPr>
        <w:t xml:space="preserve"> </w:t>
      </w:r>
    </w:p>
    <w:p w14:paraId="04D80B9D" w14:textId="77777777" w:rsidR="004F213F" w:rsidRPr="004B6CEA" w:rsidRDefault="004F213F" w:rsidP="004F213F">
      <w:pPr>
        <w:spacing w:line="340" w:lineRule="atLeast"/>
        <w:ind w:firstLine="284"/>
        <w:rPr>
          <w:rFonts w:ascii="GHEA Grapalat" w:hAnsi="GHEA Grapalat"/>
          <w:b/>
          <w:i/>
          <w:color w:val="44546A" w:themeColor="text2"/>
          <w:sz w:val="20"/>
          <w:szCs w:val="20"/>
          <w:lang w:val="hy-AM"/>
        </w:rPr>
      </w:pPr>
      <w:r w:rsidRPr="004B6CEA">
        <w:rPr>
          <w:rFonts w:ascii="GHEA Grapalat" w:hAnsi="GHEA Grapalat"/>
          <w:b/>
          <w:i/>
          <w:sz w:val="20"/>
          <w:szCs w:val="20"/>
        </w:rPr>
        <w:t xml:space="preserve">Short-term inflation expectations will linger </w:t>
      </w:r>
      <w:r>
        <w:rPr>
          <w:rFonts w:ascii="GHEA Grapalat" w:hAnsi="GHEA Grapalat"/>
          <w:b/>
          <w:i/>
          <w:sz w:val="20"/>
          <w:szCs w:val="20"/>
        </w:rPr>
        <w:t xml:space="preserve">at a level somewhat lower from previous projections, which is </w:t>
      </w:r>
      <w:r w:rsidRPr="004B6CEA">
        <w:rPr>
          <w:rFonts w:ascii="GHEA Grapalat" w:hAnsi="GHEA Grapalat"/>
          <w:b/>
          <w:i/>
          <w:sz w:val="20"/>
          <w:szCs w:val="20"/>
        </w:rPr>
        <w:t xml:space="preserve">determined </w:t>
      </w:r>
      <w:r>
        <w:rPr>
          <w:rFonts w:ascii="GHEA Grapalat" w:hAnsi="GHEA Grapalat"/>
          <w:b/>
          <w:i/>
          <w:sz w:val="20"/>
          <w:szCs w:val="20"/>
        </w:rPr>
        <w:t>mainly by the</w:t>
      </w:r>
      <w:r w:rsidRPr="00F116DF">
        <w:rPr>
          <w:rFonts w:ascii="GHEA Grapalat" w:hAnsi="GHEA Grapalat"/>
          <w:b/>
          <w:i/>
          <w:sz w:val="20"/>
          <w:szCs w:val="20"/>
        </w:rPr>
        <w:t xml:space="preserve"> prospect of a relatively slow recovery </w:t>
      </w:r>
      <w:r>
        <w:rPr>
          <w:rFonts w:ascii="GHEA Grapalat" w:hAnsi="GHEA Grapalat"/>
          <w:b/>
          <w:i/>
          <w:sz w:val="20"/>
          <w:szCs w:val="20"/>
        </w:rPr>
        <w:t>of core inflation</w:t>
      </w:r>
      <w:r w:rsidRPr="004B6CEA">
        <w:rPr>
          <w:rFonts w:ascii="GHEA Grapalat" w:hAnsi="GHEA Grapalat"/>
          <w:b/>
          <w:i/>
          <w:sz w:val="20"/>
          <w:szCs w:val="20"/>
        </w:rPr>
        <w:t>.</w:t>
      </w:r>
    </w:p>
    <w:p w14:paraId="6F423756" w14:textId="77777777" w:rsidR="004F213F" w:rsidRDefault="004F213F" w:rsidP="004F213F">
      <w:pPr>
        <w:spacing w:line="320" w:lineRule="atLeast"/>
        <w:ind w:firstLine="284"/>
        <w:jc w:val="both"/>
        <w:rPr>
          <w:rFonts w:ascii="GHEA Grapalat" w:hAnsi="GHEA Grapalat"/>
          <w:b/>
          <w:color w:val="44546A" w:themeColor="text2"/>
          <w:sz w:val="40"/>
          <w:szCs w:val="20"/>
          <w:lang w:val="hy-AM"/>
        </w:rPr>
      </w:pPr>
    </w:p>
    <w:p w14:paraId="5A51CC03" w14:textId="77777777" w:rsidR="004F213F" w:rsidRPr="00AD5ED9" w:rsidRDefault="004F213F" w:rsidP="004F213F">
      <w:pPr>
        <w:spacing w:line="320" w:lineRule="atLeast"/>
        <w:ind w:firstLine="284"/>
        <w:jc w:val="both"/>
        <w:rPr>
          <w:rFonts w:ascii="GHEA Grapalat" w:hAnsi="GHEA Grapalat"/>
          <w:b/>
          <w:color w:val="1F497D"/>
          <w:sz w:val="20"/>
          <w:szCs w:val="20"/>
          <w:lang w:val="hy-AM"/>
        </w:rPr>
      </w:pPr>
      <w:r w:rsidRPr="00AD5ED9">
        <w:rPr>
          <w:rFonts w:ascii="GHEA Grapalat" w:hAnsi="GHEA Grapalat"/>
          <w:b/>
          <w:color w:val="1F497D"/>
          <w:sz w:val="20"/>
          <w:szCs w:val="20"/>
          <w:lang w:val="hy-AM"/>
        </w:rPr>
        <w:t xml:space="preserve">2.2.4. </w:t>
      </w:r>
      <w:r w:rsidRPr="004B6CEA">
        <w:rPr>
          <w:rFonts w:ascii="GHEA Grapalat" w:hAnsi="GHEA Grapalat"/>
          <w:b/>
          <w:color w:val="1F497D"/>
          <w:sz w:val="20"/>
          <w:szCs w:val="20"/>
          <w:lang w:val="hy-AM"/>
        </w:rPr>
        <w:t>Main assumptions and risks</w:t>
      </w:r>
    </w:p>
    <w:p w14:paraId="0F0C6CFA" w14:textId="77777777" w:rsidR="004F213F" w:rsidRPr="001516E5" w:rsidRDefault="004F213F" w:rsidP="004F213F">
      <w:pPr>
        <w:spacing w:line="320" w:lineRule="atLeast"/>
        <w:ind w:firstLine="284"/>
        <w:jc w:val="both"/>
        <w:rPr>
          <w:rFonts w:ascii="GHEA Grapalat" w:hAnsi="GHEA Grapalat" w:cs="Sylfaen"/>
          <w:iCs/>
          <w:color w:val="44546A" w:themeColor="text2"/>
          <w:sz w:val="20"/>
          <w:szCs w:val="20"/>
          <w:lang w:val="hy-AM"/>
        </w:rPr>
      </w:pPr>
    </w:p>
    <w:p w14:paraId="6ABD7D26" w14:textId="77777777" w:rsidR="004F213F" w:rsidRDefault="004F213F" w:rsidP="004F213F">
      <w:pPr>
        <w:spacing w:line="340" w:lineRule="atLeast"/>
        <w:ind w:firstLine="284"/>
        <w:rPr>
          <w:rFonts w:ascii="GHEA Grapalat" w:hAnsi="GHEA Grapalat" w:cs="Sylfaen"/>
          <w:iCs/>
          <w:sz w:val="20"/>
          <w:szCs w:val="20"/>
          <w:lang w:val="hy-AM"/>
        </w:rPr>
      </w:pPr>
      <w:r w:rsidRPr="00D80B13">
        <w:rPr>
          <w:rFonts w:ascii="GHEA Grapalat" w:hAnsi="GHEA Grapalat"/>
          <w:sz w:val="20"/>
          <w:szCs w:val="20"/>
        </w:rPr>
        <w:t xml:space="preserve">This section </w:t>
      </w:r>
      <w:r>
        <w:rPr>
          <w:rFonts w:ascii="GHEA Grapalat" w:hAnsi="GHEA Grapalat"/>
          <w:sz w:val="20"/>
          <w:szCs w:val="20"/>
        </w:rPr>
        <w:t xml:space="preserve">presents </w:t>
      </w:r>
      <w:r w:rsidRPr="00D80B13">
        <w:rPr>
          <w:rFonts w:ascii="GHEA Grapalat" w:hAnsi="GHEA Grapalat"/>
          <w:sz w:val="20"/>
          <w:szCs w:val="20"/>
        </w:rPr>
        <w:t>the main assumptions underlying the Monetary Policy Program for the first quarter of 2020 and the risks to implementation of the program.</w:t>
      </w:r>
    </w:p>
    <w:p w14:paraId="0276FBD7" w14:textId="77777777" w:rsidR="004F213F" w:rsidRDefault="004F213F" w:rsidP="004F213F">
      <w:pPr>
        <w:spacing w:line="300" w:lineRule="atLeast"/>
        <w:ind w:firstLine="284"/>
        <w:jc w:val="both"/>
        <w:rPr>
          <w:rFonts w:ascii="GHEA Grapalat" w:eastAsia="Calibri" w:hAnsi="GHEA Grapalat" w:cs="Sylfaen"/>
          <w:b/>
          <w:i/>
          <w:sz w:val="18"/>
          <w:szCs w:val="18"/>
          <w:lang w:val="hy-AM"/>
        </w:rPr>
      </w:pPr>
      <w:r w:rsidRPr="00A206DF">
        <w:rPr>
          <w:noProof/>
          <w:color w:val="FF0000"/>
          <w:sz w:val="2"/>
        </w:rPr>
        <mc:AlternateContent>
          <mc:Choice Requires="wps">
            <w:drawing>
              <wp:anchor distT="0" distB="0" distL="114300" distR="114300" simplePos="0" relativeHeight="251666432" behindDoc="1" locked="0" layoutInCell="1" allowOverlap="1" wp14:anchorId="79A3BE58" wp14:editId="19CA35E0">
                <wp:simplePos x="0" y="0"/>
                <wp:positionH relativeFrom="margin">
                  <wp:align>right</wp:align>
                </wp:positionH>
                <wp:positionV relativeFrom="paragraph">
                  <wp:posOffset>213469</wp:posOffset>
                </wp:positionV>
                <wp:extent cx="6496215" cy="2488759"/>
                <wp:effectExtent l="0" t="0" r="0" b="6985"/>
                <wp:wrapNone/>
                <wp:docPr id="78"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6215" cy="2488759"/>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22573" id="Rectangle 2344" o:spid="_x0000_s1026" style="position:absolute;margin-left:460.3pt;margin-top:16.8pt;width:511.5pt;height:195.9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" fillcolor="#d5dce4 [671]" stroked="f">
                <w10:wrap anchorx="margin"/>
              </v:rect>
            </w:pict>
          </mc:Fallback>
        </mc:AlternateContent>
      </w:r>
    </w:p>
    <w:p w14:paraId="29A82333" w14:textId="77777777" w:rsidR="004F213F" w:rsidRPr="007F02D1" w:rsidRDefault="004F213F" w:rsidP="004F213F">
      <w:pPr>
        <w:spacing w:line="244" w:lineRule="atLeast"/>
        <w:ind w:right="170" w:firstLine="284"/>
        <w:jc w:val="right"/>
        <w:rPr>
          <w:rFonts w:ascii="GHEA Grapalat" w:hAnsi="GHEA Grapalat" w:cs="GHEA Grapalat"/>
          <w:b/>
          <w:sz w:val="20"/>
          <w:szCs w:val="20"/>
        </w:rPr>
      </w:pPr>
      <w:r w:rsidRPr="00871F5A">
        <w:rPr>
          <w:rFonts w:ascii="GHEA Grapalat" w:eastAsia="Calibri" w:hAnsi="GHEA Grapalat" w:cs="Sylfaen"/>
          <w:b/>
          <w:i/>
          <w:sz w:val="18"/>
          <w:szCs w:val="18"/>
          <w:lang w:val="hy-AM"/>
        </w:rPr>
        <w:t xml:space="preserve">Box </w:t>
      </w:r>
      <w:r>
        <w:rPr>
          <w:rFonts w:ascii="GHEA Grapalat" w:eastAsia="Calibri" w:hAnsi="GHEA Grapalat" w:cs="Sylfaen"/>
          <w:b/>
          <w:i/>
          <w:sz w:val="18"/>
          <w:szCs w:val="18"/>
        </w:rPr>
        <w:t>1</w:t>
      </w:r>
    </w:p>
    <w:p w14:paraId="325B28EF" w14:textId="77777777" w:rsidR="004F213F" w:rsidRPr="001516E5" w:rsidRDefault="004F213F" w:rsidP="004F213F">
      <w:pPr>
        <w:spacing w:line="480" w:lineRule="auto"/>
        <w:ind w:left="170" w:right="170"/>
        <w:jc w:val="center"/>
        <w:rPr>
          <w:rFonts w:ascii="GHEA Grapalat" w:hAnsi="GHEA Grapalat"/>
          <w:b/>
          <w:bCs/>
          <w:i/>
          <w:sz w:val="4"/>
          <w:szCs w:val="18"/>
          <w:lang w:val="hy-AM"/>
        </w:rPr>
      </w:pPr>
    </w:p>
    <w:p w14:paraId="6E3E154A" w14:textId="77777777" w:rsidR="004F213F" w:rsidRPr="001516E5" w:rsidRDefault="004F213F" w:rsidP="004F213F">
      <w:pPr>
        <w:spacing w:line="250" w:lineRule="atLeast"/>
        <w:ind w:left="170" w:right="170" w:hanging="28"/>
        <w:jc w:val="center"/>
        <w:rPr>
          <w:rFonts w:ascii="GHEA Grapalat" w:hAnsi="GHEA Grapalat"/>
          <w:b/>
          <w:i/>
          <w:iCs/>
          <w:sz w:val="18"/>
          <w:szCs w:val="18"/>
          <w:lang w:val="hy-AM" w:eastAsia="x-none"/>
        </w:rPr>
      </w:pPr>
    </w:p>
    <w:p w14:paraId="5EC3A820" w14:textId="77777777" w:rsidR="004F213F" w:rsidRPr="00CF5151" w:rsidRDefault="004F213F" w:rsidP="004F213F">
      <w:pPr>
        <w:spacing w:line="250" w:lineRule="atLeast"/>
        <w:ind w:left="170" w:right="170" w:hanging="28"/>
        <w:jc w:val="center"/>
        <w:rPr>
          <w:rFonts w:ascii="GHEA Grapalat" w:hAnsi="GHEA Grapalat"/>
          <w:b/>
          <w:i/>
          <w:iCs/>
          <w:sz w:val="18"/>
          <w:szCs w:val="18"/>
          <w:lang w:val="hy-AM" w:eastAsia="x-none"/>
        </w:rPr>
      </w:pPr>
      <w:r w:rsidRPr="00871F5A">
        <w:rPr>
          <w:rFonts w:ascii="GHEA Grapalat" w:hAnsi="GHEA Grapalat"/>
          <w:b/>
          <w:bCs/>
          <w:i/>
          <w:sz w:val="18"/>
          <w:szCs w:val="18"/>
          <w:lang w:val="hy-AM"/>
        </w:rPr>
        <w:t>The results of survey on expectations by the households and the financial system</w:t>
      </w:r>
    </w:p>
    <w:p w14:paraId="1315B137" w14:textId="77777777" w:rsidR="004F213F" w:rsidRPr="00871F5A" w:rsidRDefault="004F213F" w:rsidP="004F213F">
      <w:pPr>
        <w:spacing w:before="120" w:line="320" w:lineRule="atLeast"/>
        <w:ind w:left="170" w:right="170" w:firstLine="284"/>
        <w:rPr>
          <w:rFonts w:ascii="GHEA Grapalat" w:hAnsi="GHEA Grapalat"/>
          <w:i/>
          <w:color w:val="FF0000"/>
          <w:sz w:val="18"/>
          <w:szCs w:val="18"/>
          <w:lang w:val="hy-AM"/>
        </w:rPr>
      </w:pPr>
      <w:r w:rsidRPr="00871F5A">
        <w:rPr>
          <w:rFonts w:ascii="GHEA Grapalat" w:hAnsi="GHEA Grapalat"/>
          <w:i/>
          <w:sz w:val="18"/>
          <w:szCs w:val="18"/>
        </w:rPr>
        <w:t xml:space="preserve">The </w:t>
      </w:r>
      <w:r>
        <w:rPr>
          <w:rFonts w:ascii="GHEA Grapalat" w:hAnsi="GHEA Grapalat"/>
          <w:i/>
          <w:sz w:val="18"/>
          <w:szCs w:val="18"/>
        </w:rPr>
        <w:t>first q</w:t>
      </w:r>
      <w:r w:rsidRPr="00871F5A">
        <w:rPr>
          <w:rFonts w:ascii="GHEA Grapalat" w:hAnsi="GHEA Grapalat"/>
          <w:i/>
          <w:sz w:val="18"/>
          <w:szCs w:val="18"/>
        </w:rPr>
        <w:t>uarter 20</w:t>
      </w:r>
      <w:r>
        <w:rPr>
          <w:rFonts w:ascii="GHEA Grapalat" w:hAnsi="GHEA Grapalat"/>
          <w:i/>
          <w:sz w:val="18"/>
          <w:szCs w:val="18"/>
        </w:rPr>
        <w:t>20</w:t>
      </w:r>
      <w:r w:rsidRPr="00871F5A">
        <w:rPr>
          <w:rFonts w:ascii="GHEA Grapalat" w:hAnsi="GHEA Grapalat"/>
          <w:i/>
          <w:sz w:val="18"/>
          <w:szCs w:val="18"/>
        </w:rPr>
        <w:t xml:space="preserve"> survey on selected macroeconomic indicators the Central Bank c</w:t>
      </w:r>
      <w:r>
        <w:rPr>
          <w:rFonts w:ascii="GHEA Grapalat" w:hAnsi="GHEA Grapalat"/>
          <w:i/>
          <w:sz w:val="18"/>
          <w:szCs w:val="18"/>
        </w:rPr>
        <w:t xml:space="preserve">arried out </w:t>
      </w:r>
      <w:r w:rsidRPr="00871F5A">
        <w:rPr>
          <w:rFonts w:ascii="GHEA Grapalat" w:hAnsi="GHEA Grapalat"/>
          <w:i/>
          <w:sz w:val="18"/>
          <w:szCs w:val="18"/>
        </w:rPr>
        <w:t xml:space="preserve">through inquiries among households </w:t>
      </w:r>
      <w:r>
        <w:rPr>
          <w:rFonts w:ascii="GHEA Grapalat" w:hAnsi="GHEA Grapalat"/>
          <w:i/>
          <w:sz w:val="18"/>
          <w:szCs w:val="18"/>
        </w:rPr>
        <w:t xml:space="preserve">and financial sector organizations denote </w:t>
      </w:r>
      <w:r w:rsidRPr="00871F5A">
        <w:rPr>
          <w:rFonts w:ascii="GHEA Grapalat" w:hAnsi="GHEA Grapalat"/>
          <w:i/>
          <w:sz w:val="18"/>
          <w:szCs w:val="18"/>
        </w:rPr>
        <w:t xml:space="preserve">that inflation expectations </w:t>
      </w:r>
      <w:r>
        <w:rPr>
          <w:rFonts w:ascii="GHEA Grapalat" w:hAnsi="GHEA Grapalat"/>
          <w:i/>
          <w:sz w:val="18"/>
          <w:szCs w:val="18"/>
        </w:rPr>
        <w:t>prove steadfast and are</w:t>
      </w:r>
      <w:r w:rsidRPr="00871F5A">
        <w:rPr>
          <w:rFonts w:ascii="GHEA Grapalat" w:hAnsi="GHEA Grapalat"/>
          <w:i/>
          <w:sz w:val="18"/>
          <w:szCs w:val="18"/>
        </w:rPr>
        <w:t xml:space="preserve"> much the same compared to the previous quarter. Specifically, the share of households expecting high and very high inflation rates for a one-year horizon continues to be small in total respondent base. </w:t>
      </w:r>
      <w:r w:rsidRPr="00777407">
        <w:rPr>
          <w:rFonts w:ascii="GHEA Grapalat" w:hAnsi="GHEA Grapalat"/>
          <w:i/>
          <w:sz w:val="18"/>
          <w:szCs w:val="18"/>
        </w:rPr>
        <w:t xml:space="preserve">The opinion of the respondents focused </w:t>
      </w:r>
      <w:r>
        <w:rPr>
          <w:rFonts w:ascii="GHEA Grapalat" w:hAnsi="GHEA Grapalat"/>
          <w:i/>
          <w:sz w:val="18"/>
          <w:szCs w:val="18"/>
        </w:rPr>
        <w:t xml:space="preserve">more </w:t>
      </w:r>
      <w:r w:rsidRPr="00777407">
        <w:rPr>
          <w:rFonts w:ascii="GHEA Grapalat" w:hAnsi="GHEA Grapalat"/>
          <w:i/>
          <w:sz w:val="18"/>
          <w:szCs w:val="18"/>
        </w:rPr>
        <w:t>on expect</w:t>
      </w:r>
      <w:r>
        <w:rPr>
          <w:rFonts w:ascii="GHEA Grapalat" w:hAnsi="GHEA Grapalat"/>
          <w:i/>
          <w:sz w:val="18"/>
          <w:szCs w:val="18"/>
        </w:rPr>
        <w:t>ing</w:t>
      </w:r>
      <w:r w:rsidRPr="00777407">
        <w:rPr>
          <w:rFonts w:ascii="GHEA Grapalat" w:hAnsi="GHEA Grapalat"/>
          <w:i/>
          <w:sz w:val="18"/>
          <w:szCs w:val="18"/>
        </w:rPr>
        <w:t xml:space="preserve"> </w:t>
      </w:r>
      <w:r>
        <w:rPr>
          <w:rFonts w:ascii="GHEA Grapalat" w:hAnsi="GHEA Grapalat"/>
          <w:i/>
          <w:sz w:val="18"/>
          <w:szCs w:val="18"/>
        </w:rPr>
        <w:t>a s</w:t>
      </w:r>
      <w:r w:rsidRPr="00777407">
        <w:rPr>
          <w:rFonts w:ascii="GHEA Grapalat" w:hAnsi="GHEA Grapalat"/>
          <w:i/>
          <w:sz w:val="18"/>
          <w:szCs w:val="18"/>
        </w:rPr>
        <w:t xml:space="preserve">low price </w:t>
      </w:r>
      <w:r>
        <w:rPr>
          <w:rFonts w:ascii="GHEA Grapalat" w:hAnsi="GHEA Grapalat"/>
          <w:i/>
          <w:sz w:val="18"/>
          <w:szCs w:val="18"/>
        </w:rPr>
        <w:t xml:space="preserve">rise contrary to a decreasing </w:t>
      </w:r>
      <w:r w:rsidRPr="00777407">
        <w:rPr>
          <w:rFonts w:ascii="GHEA Grapalat" w:hAnsi="GHEA Grapalat"/>
          <w:i/>
          <w:sz w:val="18"/>
          <w:szCs w:val="18"/>
        </w:rPr>
        <w:t xml:space="preserve">number of those expecting </w:t>
      </w:r>
      <w:r>
        <w:rPr>
          <w:rFonts w:ascii="GHEA Grapalat" w:hAnsi="GHEA Grapalat"/>
          <w:i/>
          <w:sz w:val="18"/>
          <w:szCs w:val="18"/>
        </w:rPr>
        <w:t xml:space="preserve">a very high price and </w:t>
      </w:r>
      <w:proofErr w:type="gramStart"/>
      <w:r>
        <w:rPr>
          <w:rFonts w:ascii="GHEA Grapalat" w:hAnsi="GHEA Grapalat"/>
          <w:i/>
          <w:sz w:val="18"/>
          <w:szCs w:val="18"/>
        </w:rPr>
        <w:t>low price</w:t>
      </w:r>
      <w:proofErr w:type="gramEnd"/>
      <w:r>
        <w:rPr>
          <w:rFonts w:ascii="GHEA Grapalat" w:hAnsi="GHEA Grapalat"/>
          <w:i/>
          <w:sz w:val="18"/>
          <w:szCs w:val="18"/>
        </w:rPr>
        <w:t xml:space="preserve"> inflation</w:t>
      </w:r>
      <w:r w:rsidRPr="00777407">
        <w:rPr>
          <w:rFonts w:ascii="GHEA Grapalat" w:hAnsi="GHEA Grapalat"/>
          <w:i/>
          <w:sz w:val="18"/>
          <w:szCs w:val="18"/>
        </w:rPr>
        <w:t xml:space="preserve">. In addition, the </w:t>
      </w:r>
      <w:r w:rsidRPr="00871F5A">
        <w:rPr>
          <w:rFonts w:ascii="GHEA Grapalat" w:hAnsi="GHEA Grapalat"/>
          <w:i/>
          <w:sz w:val="18"/>
          <w:szCs w:val="18"/>
        </w:rPr>
        <w:t>inquiries</w:t>
      </w:r>
      <w:r w:rsidRPr="00777407">
        <w:rPr>
          <w:rFonts w:ascii="GHEA Grapalat" w:hAnsi="GHEA Grapalat"/>
          <w:i/>
          <w:sz w:val="18"/>
          <w:szCs w:val="18"/>
        </w:rPr>
        <w:t xml:space="preserve"> also reflect the objective </w:t>
      </w:r>
      <w:r>
        <w:rPr>
          <w:rFonts w:ascii="GHEA Grapalat" w:hAnsi="GHEA Grapalat"/>
          <w:i/>
          <w:sz w:val="18"/>
          <w:szCs w:val="18"/>
        </w:rPr>
        <w:t xml:space="preserve">reality </w:t>
      </w:r>
      <w:r w:rsidRPr="00777407">
        <w:rPr>
          <w:rFonts w:ascii="GHEA Grapalat" w:hAnsi="GHEA Grapalat"/>
          <w:i/>
          <w:sz w:val="18"/>
          <w:szCs w:val="18"/>
        </w:rPr>
        <w:t>that uncertainties have increased to some extent.</w:t>
      </w:r>
    </w:p>
    <w:p w14:paraId="423C3970" w14:textId="77777777" w:rsidR="004F213F" w:rsidRDefault="004F213F" w:rsidP="004F213F">
      <w:pPr>
        <w:spacing w:line="300" w:lineRule="atLeast"/>
        <w:ind w:firstLine="284"/>
        <w:jc w:val="both"/>
        <w:rPr>
          <w:rFonts w:ascii="GHEA Grapalat" w:hAnsi="GHEA Grapalat"/>
          <w:b/>
          <w:i/>
          <w:sz w:val="20"/>
          <w:szCs w:val="20"/>
          <w:lang w:val="hy-AM"/>
        </w:rPr>
      </w:pPr>
    </w:p>
    <w:p w14:paraId="1B7448D8" w14:textId="77777777" w:rsidR="004F213F" w:rsidRDefault="004F213F" w:rsidP="004F213F">
      <w:pPr>
        <w:spacing w:line="300" w:lineRule="atLeast"/>
        <w:ind w:firstLine="284"/>
        <w:jc w:val="both"/>
        <w:rPr>
          <w:rFonts w:ascii="GHEA Grapalat" w:hAnsi="GHEA Grapalat"/>
          <w:b/>
          <w:i/>
          <w:sz w:val="20"/>
          <w:szCs w:val="20"/>
        </w:rPr>
      </w:pPr>
    </w:p>
    <w:p w14:paraId="571B4110" w14:textId="77777777" w:rsidR="004F213F" w:rsidRDefault="004F213F" w:rsidP="004F213F">
      <w:pPr>
        <w:spacing w:line="300" w:lineRule="atLeast"/>
        <w:ind w:firstLine="284"/>
        <w:jc w:val="both"/>
        <w:rPr>
          <w:rFonts w:ascii="GHEA Grapalat" w:hAnsi="GHEA Grapalat"/>
          <w:b/>
          <w:i/>
          <w:sz w:val="20"/>
          <w:szCs w:val="20"/>
        </w:rPr>
      </w:pPr>
      <w:r>
        <w:rPr>
          <w:rFonts w:ascii="GHEA Grapalat" w:hAnsi="GHEA Grapalat"/>
          <w:b/>
          <w:i/>
          <w:sz w:val="20"/>
          <w:szCs w:val="20"/>
        </w:rPr>
        <w:t xml:space="preserve">The impact of increase of uncertainty on the economy (Use example) </w:t>
      </w:r>
    </w:p>
    <w:p w14:paraId="4B9BDE4D" w14:textId="77777777" w:rsidR="004F213F" w:rsidRDefault="004F213F" w:rsidP="004F213F">
      <w:pPr>
        <w:spacing w:line="300" w:lineRule="atLeast"/>
        <w:ind w:firstLine="284"/>
        <w:jc w:val="both"/>
        <w:rPr>
          <w:rFonts w:ascii="GHEA Grapalat" w:hAnsi="GHEA Grapalat"/>
          <w:b/>
          <w:i/>
          <w:sz w:val="20"/>
          <w:szCs w:val="20"/>
        </w:rPr>
      </w:pPr>
    </w:p>
    <w:p w14:paraId="35AC017F" w14:textId="2BF8E878" w:rsidR="004F213F" w:rsidRDefault="004F213F" w:rsidP="004F213F">
      <w:pPr>
        <w:spacing w:line="324" w:lineRule="atLeast"/>
        <w:ind w:firstLine="284"/>
        <w:rPr>
          <w:rFonts w:ascii="GHEA Grapalat" w:hAnsi="GHEA Grapalat"/>
          <w:sz w:val="20"/>
          <w:szCs w:val="20"/>
        </w:rPr>
      </w:pPr>
      <w:r w:rsidRPr="00A460AB">
        <w:rPr>
          <w:rFonts w:ascii="GHEA Grapalat" w:hAnsi="GHEA Grapalat"/>
          <w:sz w:val="20"/>
          <w:szCs w:val="20"/>
        </w:rPr>
        <w:t xml:space="preserve">Rising uncertainty can have a considerable </w:t>
      </w:r>
      <w:r>
        <w:rPr>
          <w:rFonts w:ascii="GHEA Grapalat" w:hAnsi="GHEA Grapalat"/>
          <w:sz w:val="20"/>
          <w:szCs w:val="20"/>
        </w:rPr>
        <w:t xml:space="preserve">impact on the economic activity, especially if it is combined with a financial and economic crisis. In high uncertainty, economic agents do not possess enough information about the future, consequently the increase of uncertainty also affects their decision-making. In this context, it is critical to understand which chains the </w:t>
      </w:r>
      <w:r>
        <w:rPr>
          <w:rFonts w:ascii="GHEA Grapalat" w:hAnsi="GHEA Grapalat"/>
          <w:sz w:val="20"/>
          <w:szCs w:val="20"/>
        </w:rPr>
        <w:t>impact of</w:t>
      </w:r>
      <w:r>
        <w:rPr>
          <w:rFonts w:ascii="GHEA Grapalat" w:hAnsi="GHEA Grapalat"/>
          <w:sz w:val="20"/>
          <w:szCs w:val="20"/>
        </w:rPr>
        <w:t xml:space="preserve"> growing uncertainty on the economy is transmitted through. This is an important issue for policymakers too in their effort to make an optimal decision in this situation. </w:t>
      </w:r>
    </w:p>
    <w:p w14:paraId="22C23097" w14:textId="7D20657E" w:rsidR="004F213F" w:rsidRDefault="004F213F" w:rsidP="004F213F">
      <w:pPr>
        <w:spacing w:line="324" w:lineRule="atLeast"/>
        <w:ind w:firstLine="284"/>
        <w:rPr>
          <w:rFonts w:ascii="GHEA Grapalat" w:hAnsi="GHEA Grapalat"/>
          <w:sz w:val="20"/>
          <w:szCs w:val="20"/>
        </w:rPr>
      </w:pPr>
      <w:r>
        <w:rPr>
          <w:rFonts w:ascii="GHEA Grapalat" w:hAnsi="GHEA Grapalat"/>
          <w:sz w:val="20"/>
          <w:szCs w:val="20"/>
        </w:rPr>
        <w:t xml:space="preserve">The uncertainty is demonstrated </w:t>
      </w:r>
      <w:r>
        <w:rPr>
          <w:rFonts w:ascii="GHEA Grapalat" w:hAnsi="GHEA Grapalat"/>
          <w:sz w:val="20"/>
          <w:szCs w:val="20"/>
        </w:rPr>
        <w:t>largely</w:t>
      </w:r>
      <w:r>
        <w:rPr>
          <w:rFonts w:ascii="GHEA Grapalat" w:hAnsi="GHEA Grapalat"/>
          <w:sz w:val="20"/>
          <w:szCs w:val="20"/>
        </w:rPr>
        <w:t xml:space="preserve"> by having a vague idea of the future level of productivity, since future level of productivity, since productivity is difficult to estimate. Note that the decline in productivity growth is most pronounced in times of crises. This is </w:t>
      </w:r>
      <w:proofErr w:type="gramStart"/>
      <w:r>
        <w:rPr>
          <w:rFonts w:ascii="GHEA Grapalat" w:hAnsi="GHEA Grapalat"/>
          <w:sz w:val="20"/>
          <w:szCs w:val="20"/>
        </w:rPr>
        <w:t>due to the fact that</w:t>
      </w:r>
      <w:proofErr w:type="gramEnd"/>
      <w:r>
        <w:rPr>
          <w:rFonts w:ascii="GHEA Grapalat" w:hAnsi="GHEA Grapalat"/>
          <w:sz w:val="20"/>
          <w:szCs w:val="20"/>
        </w:rPr>
        <w:t xml:space="preserve"> in the case of high uncertainty, firms temporarily stop investing and downsize the demand for labor. The productivity growth also falls because of suspended (frozen) </w:t>
      </w:r>
      <w:r>
        <w:rPr>
          <w:rFonts w:ascii="GHEA Grapalat" w:hAnsi="GHEA Grapalat"/>
          <w:sz w:val="20"/>
          <w:szCs w:val="20"/>
        </w:rPr>
        <w:t>redistribution</w:t>
      </w:r>
      <w:r>
        <w:rPr>
          <w:rFonts w:ascii="GHEA Grapalat" w:hAnsi="GHEA Grapalat"/>
          <w:sz w:val="20"/>
          <w:szCs w:val="20"/>
        </w:rPr>
        <w:t xml:space="preserve"> of resources. </w:t>
      </w:r>
    </w:p>
    <w:p w14:paraId="0ECEE753" w14:textId="34D43681" w:rsidR="004F213F" w:rsidRDefault="004F213F" w:rsidP="004F213F">
      <w:pPr>
        <w:spacing w:line="324" w:lineRule="atLeast"/>
        <w:ind w:firstLine="284"/>
        <w:rPr>
          <w:rFonts w:ascii="GHEA Grapalat" w:hAnsi="GHEA Grapalat"/>
          <w:sz w:val="20"/>
          <w:szCs w:val="20"/>
        </w:rPr>
      </w:pPr>
      <w:r>
        <w:rPr>
          <w:rFonts w:ascii="GHEA Grapalat" w:hAnsi="GHEA Grapalat"/>
          <w:sz w:val="20"/>
          <w:szCs w:val="20"/>
        </w:rPr>
        <w:t xml:space="preserve">Despite the difficulties of measuring </w:t>
      </w:r>
      <w:r>
        <w:rPr>
          <w:rFonts w:ascii="GHEA Grapalat" w:hAnsi="GHEA Grapalat"/>
          <w:sz w:val="20"/>
          <w:szCs w:val="20"/>
        </w:rPr>
        <w:t>uncertainty</w:t>
      </w:r>
      <w:r>
        <w:rPr>
          <w:rFonts w:ascii="GHEA Grapalat" w:hAnsi="GHEA Grapalat"/>
          <w:sz w:val="20"/>
          <w:szCs w:val="20"/>
        </w:rPr>
        <w:t xml:space="preserve">, both empirical and theoretical analyses have been carried out to examine its impact on the economy, and various estimates are used as an approximation to the uncertainty; the VIX index, for instance, reflects economic uncertainty through the US stock market volatility. </w:t>
      </w:r>
      <w:r>
        <w:rPr>
          <w:rFonts w:ascii="GHEA Grapalat" w:hAnsi="GHEA Grapalat"/>
          <w:sz w:val="20"/>
          <w:szCs w:val="20"/>
        </w:rPr>
        <w:lastRenderedPageBreak/>
        <w:t>As we can observe in Chart 24, March 2020 saw an increase in uncertainty comparable to the global financial crisis of 2008-2009.</w:t>
      </w:r>
    </w:p>
    <w:p w14:paraId="328D2628" w14:textId="77777777" w:rsidR="004F213F" w:rsidRDefault="004F213F" w:rsidP="004F213F">
      <w:pPr>
        <w:spacing w:line="324" w:lineRule="atLeast"/>
        <w:ind w:firstLine="284"/>
        <w:rPr>
          <w:rFonts w:ascii="GHEA Grapalat" w:hAnsi="GHEA Grapalat"/>
          <w:sz w:val="20"/>
          <w:szCs w:val="20"/>
        </w:rPr>
      </w:pPr>
      <w:r>
        <w:rPr>
          <w:rFonts w:ascii="GHEA Grapalat" w:hAnsi="GHEA Grapalat"/>
          <w:sz w:val="20"/>
          <w:szCs w:val="20"/>
        </w:rPr>
        <w:t xml:space="preserve">The uncertainty has a negative effect on the three main entities by the following scheme: </w:t>
      </w:r>
    </w:p>
    <w:p w14:paraId="6BFD9F8D" w14:textId="293DB433" w:rsidR="004F213F" w:rsidRDefault="004F213F" w:rsidP="004F213F">
      <w:pPr>
        <w:spacing w:line="324" w:lineRule="atLeast"/>
        <w:ind w:firstLine="284"/>
        <w:rPr>
          <w:rFonts w:ascii="GHEA Grapalat" w:hAnsi="GHEA Grapalat"/>
          <w:sz w:val="20"/>
          <w:szCs w:val="20"/>
        </w:rPr>
      </w:pPr>
      <w:r>
        <w:rPr>
          <w:rFonts w:ascii="GHEA Grapalat" w:hAnsi="GHEA Grapalat"/>
          <w:sz w:val="20"/>
          <w:szCs w:val="20"/>
        </w:rPr>
        <w:t xml:space="preserve">Household or consumers: Growth in uncertainty affects households through a chain of precautionary savings. When there is an </w:t>
      </w:r>
      <w:r>
        <w:rPr>
          <w:rFonts w:ascii="GHEA Grapalat" w:hAnsi="GHEA Grapalat"/>
          <w:sz w:val="20"/>
          <w:szCs w:val="20"/>
        </w:rPr>
        <w:t>intensifying</w:t>
      </w:r>
      <w:r>
        <w:rPr>
          <w:rFonts w:ascii="GHEA Grapalat" w:hAnsi="GHEA Grapalat"/>
          <w:sz w:val="20"/>
          <w:szCs w:val="20"/>
        </w:rPr>
        <w:t xml:space="preserve"> uncertainty, households reduce consumption by increasing labor supply </w:t>
      </w:r>
      <w:proofErr w:type="gramStart"/>
      <w:r>
        <w:rPr>
          <w:rFonts w:ascii="GHEA Grapalat" w:hAnsi="GHEA Grapalat"/>
          <w:sz w:val="20"/>
          <w:szCs w:val="20"/>
        </w:rPr>
        <w:t>in an attempt to</w:t>
      </w:r>
      <w:proofErr w:type="gramEnd"/>
      <w:r>
        <w:rPr>
          <w:rFonts w:ascii="GHEA Grapalat" w:hAnsi="GHEA Grapalat"/>
          <w:sz w:val="20"/>
          <w:szCs w:val="20"/>
        </w:rPr>
        <w:t xml:space="preserve"> safeguard themselves against a possible drop in future income. As the expectations of economic agents about future incomes are uncertain, precautionary savings in the United States has notably increased in the times of crises, and in 2020 it reached on unprecedented high level of 33%. </w:t>
      </w:r>
    </w:p>
    <w:p w14:paraId="7BDEC7F3" w14:textId="33BD3DDF" w:rsidR="004F213F" w:rsidRDefault="004F213F" w:rsidP="004F213F">
      <w:pPr>
        <w:spacing w:line="324" w:lineRule="atLeast"/>
        <w:ind w:firstLine="284"/>
        <w:rPr>
          <w:rFonts w:ascii="GHEA Grapalat" w:hAnsi="GHEA Grapalat"/>
          <w:sz w:val="20"/>
          <w:szCs w:val="20"/>
        </w:rPr>
      </w:pPr>
      <w:r>
        <w:rPr>
          <w:rFonts w:ascii="GHEA Grapalat" w:hAnsi="GHEA Grapalat"/>
          <w:sz w:val="20"/>
          <w:szCs w:val="20"/>
        </w:rPr>
        <w:t xml:space="preserve">Firms: When it is not possible to cancel investments in whole or in part without incurring large losses, investors face the dilemma of whether to start an investment project and expect income therefrom or to wait for </w:t>
      </w:r>
      <w:r>
        <w:rPr>
          <w:rFonts w:ascii="GHEA Grapalat" w:hAnsi="GHEA Grapalat"/>
          <w:sz w:val="20"/>
          <w:szCs w:val="20"/>
        </w:rPr>
        <w:t>accessibility</w:t>
      </w:r>
      <w:r>
        <w:rPr>
          <w:rFonts w:ascii="GHEA Grapalat" w:hAnsi="GHEA Grapalat"/>
          <w:sz w:val="20"/>
          <w:szCs w:val="20"/>
        </w:rPr>
        <w:t xml:space="preserve"> to additional information to see if embarking on new investment in the face of uncertainty, they act in a “wait and see” behavior. In this circumstance, the increase in uncertainty reduces the volume of investments. </w:t>
      </w:r>
    </w:p>
    <w:p w14:paraId="2CA9AC7D" w14:textId="77777777" w:rsidR="004F213F" w:rsidRPr="00A460AB" w:rsidRDefault="004F213F" w:rsidP="004F213F">
      <w:pPr>
        <w:spacing w:line="324" w:lineRule="atLeast"/>
        <w:ind w:firstLine="284"/>
        <w:rPr>
          <w:rFonts w:ascii="GHEA Grapalat" w:hAnsi="GHEA Grapalat"/>
          <w:sz w:val="20"/>
          <w:szCs w:val="20"/>
        </w:rPr>
      </w:pPr>
      <w:r>
        <w:rPr>
          <w:rFonts w:ascii="GHEA Grapalat" w:hAnsi="GHEA Grapalat"/>
          <w:sz w:val="20"/>
          <w:szCs w:val="20"/>
        </w:rPr>
        <w:t xml:space="preserve">Financial markets and asset prices: To understand the impact of uncertainty, equally important is how the financial markets react, which, by reassessing economic risks, increase the risk premium needed to offset the rise in uncertainty. The latter takes place both at the level of firms and governments or countries. This is also reflected in the fall in the prices of financial assets. </w:t>
      </w:r>
    </w:p>
    <w:p w14:paraId="044B10F4" w14:textId="77777777" w:rsidR="004F213F" w:rsidRPr="007A3600" w:rsidRDefault="004F213F" w:rsidP="004F213F">
      <w:pPr>
        <w:spacing w:line="300" w:lineRule="atLeast"/>
        <w:ind w:firstLine="284"/>
        <w:jc w:val="both"/>
        <w:rPr>
          <w:rFonts w:ascii="GHEA Grapalat" w:hAnsi="GHEA Grapalat"/>
          <w:b/>
          <w:i/>
          <w:sz w:val="20"/>
          <w:szCs w:val="20"/>
          <w:lang w:val="hy-AM"/>
        </w:rPr>
      </w:pPr>
    </w:p>
    <w:p w14:paraId="4ED61670" w14:textId="77777777" w:rsidR="004F213F" w:rsidRPr="00A774E9" w:rsidRDefault="004F213F" w:rsidP="004F213F">
      <w:pPr>
        <w:spacing w:line="324" w:lineRule="atLeast"/>
        <w:jc w:val="both"/>
        <w:rPr>
          <w:rFonts w:ascii="GHEA Grapalat" w:hAnsi="GHEA Grapalat"/>
          <w:b/>
          <w:i/>
          <w:sz w:val="20"/>
          <w:szCs w:val="20"/>
        </w:rPr>
      </w:pPr>
    </w:p>
    <w:p w14:paraId="0627B091" w14:textId="77777777" w:rsidR="004F213F" w:rsidRDefault="004F213F" w:rsidP="004F213F">
      <w:pPr>
        <w:spacing w:line="324" w:lineRule="atLeast"/>
        <w:ind w:firstLine="284"/>
        <w:jc w:val="both"/>
        <w:rPr>
          <w:rFonts w:ascii="GHEA Grapalat" w:hAnsi="GHEA Grapalat"/>
          <w:b/>
          <w:i/>
          <w:sz w:val="20"/>
          <w:szCs w:val="20"/>
        </w:rPr>
      </w:pPr>
      <w:r w:rsidRPr="00015301">
        <w:rPr>
          <w:rFonts w:ascii="GHEA Grapalat" w:hAnsi="GHEA Grapalat"/>
          <w:b/>
          <w:i/>
          <w:sz w:val="20"/>
          <w:szCs w:val="20"/>
        </w:rPr>
        <w:t xml:space="preserve">Forecast </w:t>
      </w:r>
      <w:proofErr w:type="gramStart"/>
      <w:r w:rsidRPr="00015301">
        <w:rPr>
          <w:rFonts w:ascii="GHEA Grapalat" w:hAnsi="GHEA Grapalat"/>
          <w:b/>
          <w:i/>
          <w:sz w:val="20"/>
          <w:szCs w:val="20"/>
        </w:rPr>
        <w:t>risks</w:t>
      </w:r>
      <w:proofErr w:type="gramEnd"/>
    </w:p>
    <w:p w14:paraId="3BAD510A" w14:textId="77777777" w:rsidR="004F213F" w:rsidRDefault="004F213F" w:rsidP="004F213F">
      <w:pPr>
        <w:spacing w:line="324" w:lineRule="atLeast"/>
        <w:ind w:firstLine="284"/>
        <w:rPr>
          <w:rFonts w:ascii="GHEA Grapalat" w:eastAsia="GHEA Grapalat" w:hAnsi="GHEA Grapalat"/>
          <w:sz w:val="20"/>
          <w:szCs w:val="20"/>
          <w:lang w:val="hy-AM"/>
        </w:rPr>
      </w:pPr>
      <w:r>
        <w:rPr>
          <w:rFonts w:ascii="GHEA Grapalat" w:hAnsi="GHEA Grapalat"/>
          <w:sz w:val="20"/>
          <w:szCs w:val="20"/>
        </w:rPr>
        <w:t>C</w:t>
      </w:r>
      <w:r w:rsidRPr="00015301">
        <w:rPr>
          <w:rFonts w:ascii="GHEA Grapalat" w:hAnsi="GHEA Grapalat"/>
          <w:sz w:val="20"/>
          <w:szCs w:val="20"/>
        </w:rPr>
        <w:t xml:space="preserve">urrent developments </w:t>
      </w:r>
      <w:r>
        <w:rPr>
          <w:rFonts w:ascii="GHEA Grapalat" w:hAnsi="GHEA Grapalat"/>
          <w:sz w:val="20"/>
          <w:szCs w:val="20"/>
        </w:rPr>
        <w:t xml:space="preserve">denote </w:t>
      </w:r>
      <w:r w:rsidRPr="00015301">
        <w:rPr>
          <w:rFonts w:ascii="GHEA Grapalat" w:hAnsi="GHEA Grapalat"/>
          <w:sz w:val="20"/>
          <w:szCs w:val="20"/>
        </w:rPr>
        <w:t xml:space="preserve">that quite serious risks </w:t>
      </w:r>
      <w:r>
        <w:rPr>
          <w:rFonts w:ascii="GHEA Grapalat" w:hAnsi="GHEA Grapalat"/>
          <w:sz w:val="20"/>
          <w:szCs w:val="20"/>
        </w:rPr>
        <w:t xml:space="preserve">that </w:t>
      </w:r>
      <w:r w:rsidRPr="00015301">
        <w:rPr>
          <w:rFonts w:ascii="GHEA Grapalat" w:hAnsi="GHEA Grapalat"/>
          <w:sz w:val="20"/>
          <w:szCs w:val="20"/>
        </w:rPr>
        <w:t xml:space="preserve">the </w:t>
      </w:r>
      <w:r>
        <w:rPr>
          <w:rFonts w:ascii="GHEA Grapalat" w:hAnsi="GHEA Grapalat"/>
          <w:sz w:val="20"/>
          <w:szCs w:val="20"/>
        </w:rPr>
        <w:t>pan</w:t>
      </w:r>
      <w:r w:rsidRPr="00015301">
        <w:rPr>
          <w:rFonts w:ascii="GHEA Grapalat" w:hAnsi="GHEA Grapalat"/>
          <w:sz w:val="20"/>
          <w:szCs w:val="20"/>
        </w:rPr>
        <w:t xml:space="preserve">demic </w:t>
      </w:r>
      <w:r>
        <w:rPr>
          <w:rFonts w:ascii="GHEA Grapalat" w:hAnsi="GHEA Grapalat"/>
          <w:sz w:val="20"/>
          <w:szCs w:val="20"/>
        </w:rPr>
        <w:t xml:space="preserve">would take much longer and come even with </w:t>
      </w:r>
      <w:r w:rsidRPr="00015301">
        <w:rPr>
          <w:rFonts w:ascii="GHEA Grapalat" w:hAnsi="GHEA Grapalat"/>
          <w:sz w:val="20"/>
          <w:szCs w:val="20"/>
        </w:rPr>
        <w:t xml:space="preserve">deeper negative economic impact </w:t>
      </w:r>
      <w:r>
        <w:rPr>
          <w:rFonts w:ascii="GHEA Grapalat" w:hAnsi="GHEA Grapalat"/>
          <w:sz w:val="20"/>
          <w:szCs w:val="20"/>
        </w:rPr>
        <w:t xml:space="preserve">are persisting both in </w:t>
      </w:r>
      <w:r w:rsidRPr="00015301">
        <w:rPr>
          <w:rFonts w:ascii="GHEA Grapalat" w:hAnsi="GHEA Grapalat"/>
          <w:sz w:val="20"/>
          <w:szCs w:val="20"/>
        </w:rPr>
        <w:t xml:space="preserve">the world and Armenia. The extremely high level of uncertainty continues to be reflected in </w:t>
      </w:r>
      <w:r>
        <w:rPr>
          <w:rFonts w:ascii="GHEA Grapalat" w:hAnsi="GHEA Grapalat"/>
          <w:sz w:val="20"/>
          <w:szCs w:val="20"/>
        </w:rPr>
        <w:t xml:space="preserve">substantial </w:t>
      </w:r>
      <w:r w:rsidRPr="00015301">
        <w:rPr>
          <w:rFonts w:ascii="GHEA Grapalat" w:hAnsi="GHEA Grapalat"/>
          <w:sz w:val="20"/>
          <w:szCs w:val="20"/>
        </w:rPr>
        <w:t xml:space="preserve">widening of </w:t>
      </w:r>
      <w:r>
        <w:rPr>
          <w:rFonts w:ascii="GHEA Grapalat" w:hAnsi="GHEA Grapalat"/>
          <w:sz w:val="20"/>
          <w:szCs w:val="20"/>
        </w:rPr>
        <w:t xml:space="preserve">ranges of forecasting </w:t>
      </w:r>
      <w:r w:rsidRPr="00015301">
        <w:rPr>
          <w:rFonts w:ascii="GHEA Grapalat" w:hAnsi="GHEA Grapalat"/>
          <w:sz w:val="20"/>
          <w:szCs w:val="20"/>
        </w:rPr>
        <w:t xml:space="preserve">the central value </w:t>
      </w:r>
      <w:r>
        <w:rPr>
          <w:rFonts w:ascii="GHEA Grapalat" w:hAnsi="GHEA Grapalat"/>
          <w:sz w:val="20"/>
          <w:szCs w:val="20"/>
        </w:rPr>
        <w:t xml:space="preserve">of </w:t>
      </w:r>
      <w:r w:rsidRPr="00015301">
        <w:rPr>
          <w:rFonts w:ascii="GHEA Grapalat" w:hAnsi="GHEA Grapalat"/>
          <w:sz w:val="20"/>
          <w:szCs w:val="20"/>
        </w:rPr>
        <w:t>inflation</w:t>
      </w:r>
      <w:r>
        <w:rPr>
          <w:rFonts w:ascii="GHEA Grapalat" w:hAnsi="GHEA Grapalat"/>
          <w:sz w:val="20"/>
          <w:szCs w:val="20"/>
        </w:rPr>
        <w:t xml:space="preserve"> and </w:t>
      </w:r>
      <w:r w:rsidRPr="00015301">
        <w:rPr>
          <w:rFonts w:ascii="GHEA Grapalat" w:hAnsi="GHEA Grapalat"/>
          <w:sz w:val="20"/>
          <w:szCs w:val="20"/>
        </w:rPr>
        <w:t xml:space="preserve">other </w:t>
      </w:r>
      <w:r>
        <w:rPr>
          <w:rFonts w:ascii="GHEA Grapalat" w:hAnsi="GHEA Grapalat"/>
          <w:sz w:val="20"/>
          <w:szCs w:val="20"/>
        </w:rPr>
        <w:t xml:space="preserve">key </w:t>
      </w:r>
      <w:r w:rsidRPr="00015301">
        <w:rPr>
          <w:rFonts w:ascii="GHEA Grapalat" w:hAnsi="GHEA Grapalat"/>
          <w:sz w:val="20"/>
          <w:szCs w:val="20"/>
        </w:rPr>
        <w:t xml:space="preserve">macro indicators (see </w:t>
      </w:r>
      <w:r>
        <w:rPr>
          <w:rFonts w:ascii="GHEA Grapalat" w:hAnsi="GHEA Grapalat"/>
          <w:sz w:val="20"/>
          <w:szCs w:val="20"/>
        </w:rPr>
        <w:t>inflation and economic growth forecast probability distribution charts (1 and 2)</w:t>
      </w:r>
      <w:r w:rsidRPr="00015301">
        <w:rPr>
          <w:rFonts w:ascii="GHEA Grapalat" w:hAnsi="GHEA Grapalat"/>
          <w:sz w:val="20"/>
          <w:szCs w:val="20"/>
        </w:rPr>
        <w:t xml:space="preserve">. </w:t>
      </w:r>
      <w:r>
        <w:rPr>
          <w:rFonts w:ascii="GHEA Grapalat" w:hAnsi="GHEA Grapalat"/>
          <w:sz w:val="20"/>
          <w:szCs w:val="20"/>
        </w:rPr>
        <w:t xml:space="preserve">The </w:t>
      </w:r>
      <w:r w:rsidRPr="00015301">
        <w:rPr>
          <w:rFonts w:ascii="GHEA Grapalat" w:hAnsi="GHEA Grapalat"/>
          <w:sz w:val="20"/>
          <w:szCs w:val="20"/>
        </w:rPr>
        <w:t xml:space="preserve">economic development </w:t>
      </w:r>
      <w:r>
        <w:rPr>
          <w:rFonts w:ascii="GHEA Grapalat" w:hAnsi="GHEA Grapalat"/>
          <w:sz w:val="20"/>
          <w:szCs w:val="20"/>
        </w:rPr>
        <w:t xml:space="preserve">risks and uncertainties </w:t>
      </w:r>
      <w:r w:rsidRPr="00015301">
        <w:rPr>
          <w:rFonts w:ascii="GHEA Grapalat" w:hAnsi="GHEA Grapalat"/>
          <w:sz w:val="20"/>
          <w:szCs w:val="20"/>
        </w:rPr>
        <w:t>around the bas</w:t>
      </w:r>
      <w:r>
        <w:rPr>
          <w:rFonts w:ascii="GHEA Grapalat" w:hAnsi="GHEA Grapalat"/>
          <w:sz w:val="20"/>
          <w:szCs w:val="20"/>
        </w:rPr>
        <w:t xml:space="preserve">eline </w:t>
      </w:r>
      <w:r w:rsidRPr="00015301">
        <w:rPr>
          <w:rFonts w:ascii="GHEA Grapalat" w:hAnsi="GHEA Grapalat"/>
          <w:sz w:val="20"/>
          <w:szCs w:val="20"/>
        </w:rPr>
        <w:t>scenario</w:t>
      </w:r>
      <w:r>
        <w:rPr>
          <w:rFonts w:ascii="GHEA Grapalat" w:hAnsi="GHEA Grapalat"/>
          <w:sz w:val="20"/>
          <w:szCs w:val="20"/>
        </w:rPr>
        <w:t xml:space="preserve"> of forecast </w:t>
      </w:r>
      <w:r w:rsidRPr="00015301">
        <w:rPr>
          <w:rFonts w:ascii="GHEA Grapalat" w:hAnsi="GHEA Grapalat"/>
          <w:sz w:val="20"/>
          <w:szCs w:val="20"/>
        </w:rPr>
        <w:t xml:space="preserve">stem from many factors, including the </w:t>
      </w:r>
      <w:r>
        <w:rPr>
          <w:rFonts w:ascii="GHEA Grapalat" w:hAnsi="GHEA Grapalat"/>
          <w:sz w:val="20"/>
          <w:szCs w:val="20"/>
        </w:rPr>
        <w:t xml:space="preserve">duration and </w:t>
      </w:r>
      <w:r w:rsidRPr="00015301">
        <w:rPr>
          <w:rFonts w:ascii="GHEA Grapalat" w:hAnsi="GHEA Grapalat"/>
          <w:sz w:val="20"/>
          <w:szCs w:val="20"/>
        </w:rPr>
        <w:t xml:space="preserve">intensity </w:t>
      </w:r>
      <w:r>
        <w:rPr>
          <w:rFonts w:ascii="GHEA Grapalat" w:hAnsi="GHEA Grapalat"/>
          <w:sz w:val="20"/>
          <w:szCs w:val="20"/>
        </w:rPr>
        <w:t xml:space="preserve">of the pandemic </w:t>
      </w:r>
      <w:r w:rsidRPr="00015301">
        <w:rPr>
          <w:rFonts w:ascii="GHEA Grapalat" w:hAnsi="GHEA Grapalat"/>
          <w:sz w:val="20"/>
          <w:szCs w:val="20"/>
        </w:rPr>
        <w:t>in Armenia, as well as t</w:t>
      </w:r>
      <w:r>
        <w:rPr>
          <w:rFonts w:ascii="GHEA Grapalat" w:hAnsi="GHEA Grapalat"/>
          <w:sz w:val="20"/>
          <w:szCs w:val="20"/>
        </w:rPr>
        <w:t xml:space="preserve">he effectiveness of anti-pandemic </w:t>
      </w:r>
      <w:r w:rsidRPr="00015301">
        <w:rPr>
          <w:rFonts w:ascii="GHEA Grapalat" w:hAnsi="GHEA Grapalat"/>
          <w:sz w:val="20"/>
          <w:szCs w:val="20"/>
        </w:rPr>
        <w:t xml:space="preserve">measures </w:t>
      </w:r>
      <w:r>
        <w:rPr>
          <w:rFonts w:ascii="GHEA Grapalat" w:hAnsi="GHEA Grapalat"/>
          <w:sz w:val="20"/>
          <w:szCs w:val="20"/>
        </w:rPr>
        <w:t>taken all over the world</w:t>
      </w:r>
      <w:r w:rsidRPr="00015301">
        <w:rPr>
          <w:rFonts w:ascii="GHEA Grapalat" w:hAnsi="GHEA Grapalat"/>
          <w:sz w:val="20"/>
          <w:szCs w:val="20"/>
        </w:rPr>
        <w:t xml:space="preserve">, possible changes in their </w:t>
      </w:r>
      <w:r>
        <w:rPr>
          <w:rFonts w:ascii="GHEA Grapalat" w:hAnsi="GHEA Grapalat"/>
          <w:sz w:val="20"/>
          <w:szCs w:val="20"/>
        </w:rPr>
        <w:t>duration</w:t>
      </w:r>
      <w:r w:rsidRPr="00015301">
        <w:rPr>
          <w:rFonts w:ascii="GHEA Grapalat" w:hAnsi="GHEA Grapalat"/>
          <w:sz w:val="20"/>
          <w:szCs w:val="20"/>
        </w:rPr>
        <w:t>, short</w:t>
      </w:r>
      <w:r>
        <w:rPr>
          <w:rFonts w:ascii="GHEA Grapalat" w:hAnsi="GHEA Grapalat"/>
          <w:sz w:val="20"/>
          <w:szCs w:val="20"/>
        </w:rPr>
        <w:t xml:space="preserve"> and long</w:t>
      </w:r>
      <w:r w:rsidRPr="00015301">
        <w:rPr>
          <w:rFonts w:ascii="GHEA Grapalat" w:hAnsi="GHEA Grapalat"/>
          <w:sz w:val="20"/>
          <w:szCs w:val="20"/>
        </w:rPr>
        <w:t>-term effects on the economy</w:t>
      </w:r>
      <w:r>
        <w:rPr>
          <w:rFonts w:ascii="GHEA Grapalat" w:hAnsi="GHEA Grapalat"/>
          <w:sz w:val="20"/>
          <w:szCs w:val="20"/>
        </w:rPr>
        <w:t>,</w:t>
      </w:r>
      <w:r w:rsidRPr="00015301">
        <w:rPr>
          <w:rFonts w:ascii="GHEA Grapalat" w:hAnsi="GHEA Grapalat"/>
          <w:sz w:val="20"/>
          <w:szCs w:val="20"/>
        </w:rPr>
        <w:t xml:space="preserve"> changes in </w:t>
      </w:r>
      <w:r>
        <w:rPr>
          <w:rFonts w:ascii="GHEA Grapalat" w:hAnsi="GHEA Grapalat"/>
          <w:sz w:val="20"/>
          <w:szCs w:val="20"/>
        </w:rPr>
        <w:t xml:space="preserve">demand and supply </w:t>
      </w:r>
      <w:r w:rsidRPr="00015301">
        <w:rPr>
          <w:rFonts w:ascii="GHEA Grapalat" w:hAnsi="GHEA Grapalat"/>
          <w:sz w:val="20"/>
          <w:szCs w:val="20"/>
        </w:rPr>
        <w:t xml:space="preserve">structure, </w:t>
      </w:r>
      <w:r>
        <w:rPr>
          <w:rFonts w:ascii="GHEA Grapalat" w:hAnsi="GHEA Grapalat"/>
          <w:sz w:val="20"/>
          <w:szCs w:val="20"/>
        </w:rPr>
        <w:t xml:space="preserve">shifts in </w:t>
      </w:r>
      <w:r w:rsidRPr="00015301">
        <w:rPr>
          <w:rFonts w:ascii="GHEA Grapalat" w:hAnsi="GHEA Grapalat"/>
          <w:sz w:val="20"/>
          <w:szCs w:val="20"/>
        </w:rPr>
        <w:t>household</w:t>
      </w:r>
      <w:r>
        <w:rPr>
          <w:rFonts w:ascii="GHEA Grapalat" w:hAnsi="GHEA Grapalat"/>
          <w:sz w:val="20"/>
          <w:szCs w:val="20"/>
        </w:rPr>
        <w:t>s’</w:t>
      </w:r>
      <w:r w:rsidRPr="00015301">
        <w:rPr>
          <w:rFonts w:ascii="GHEA Grapalat" w:hAnsi="GHEA Grapalat"/>
          <w:sz w:val="20"/>
          <w:szCs w:val="20"/>
        </w:rPr>
        <w:t xml:space="preserve"> consumer behavior, etc. </w:t>
      </w:r>
      <w:r>
        <w:rPr>
          <w:rFonts w:ascii="GHEA Grapalat" w:hAnsi="GHEA Grapalat"/>
          <w:sz w:val="20"/>
          <w:szCs w:val="20"/>
        </w:rPr>
        <w:t>Q</w:t>
      </w:r>
      <w:r w:rsidRPr="00015301">
        <w:rPr>
          <w:rFonts w:ascii="GHEA Grapalat" w:hAnsi="GHEA Grapalat"/>
          <w:sz w:val="20"/>
          <w:szCs w:val="20"/>
        </w:rPr>
        <w:t>uantitatively</w:t>
      </w:r>
      <w:r>
        <w:rPr>
          <w:rFonts w:ascii="GHEA Grapalat" w:hAnsi="GHEA Grapalat"/>
          <w:sz w:val="20"/>
          <w:szCs w:val="20"/>
        </w:rPr>
        <w:t>,</w:t>
      </w:r>
      <w:r w:rsidRPr="00015301">
        <w:rPr>
          <w:rFonts w:ascii="GHEA Grapalat" w:hAnsi="GHEA Grapalat"/>
          <w:sz w:val="20"/>
          <w:szCs w:val="20"/>
        </w:rPr>
        <w:t xml:space="preserve"> </w:t>
      </w:r>
      <w:r>
        <w:rPr>
          <w:rFonts w:ascii="GHEA Grapalat" w:hAnsi="GHEA Grapalat"/>
          <w:sz w:val="20"/>
          <w:szCs w:val="20"/>
        </w:rPr>
        <w:t>t</w:t>
      </w:r>
      <w:r w:rsidRPr="00015301">
        <w:rPr>
          <w:rFonts w:ascii="GHEA Grapalat" w:hAnsi="GHEA Grapalat"/>
          <w:sz w:val="20"/>
          <w:szCs w:val="20"/>
        </w:rPr>
        <w:t>he most significant risks are described below.</w:t>
      </w:r>
      <w:r>
        <w:rPr>
          <w:rFonts w:ascii="GHEA Grapalat" w:hAnsi="GHEA Grapalat"/>
          <w:sz w:val="20"/>
          <w:szCs w:val="20"/>
        </w:rPr>
        <w:t xml:space="preserve"> </w:t>
      </w:r>
    </w:p>
    <w:p w14:paraId="030AC67A" w14:textId="77777777" w:rsidR="004F213F" w:rsidRDefault="004F213F" w:rsidP="004F213F">
      <w:pPr>
        <w:spacing w:line="324" w:lineRule="atLeast"/>
        <w:ind w:firstLine="284"/>
        <w:rPr>
          <w:rFonts w:ascii="GHEA Grapalat" w:eastAsia="GHEA Grapalat" w:hAnsi="GHEA Grapalat"/>
          <w:sz w:val="20"/>
          <w:szCs w:val="20"/>
          <w:lang w:val="hy-AM"/>
        </w:rPr>
      </w:pPr>
    </w:p>
    <w:p w14:paraId="4F6CE1A1" w14:textId="77777777" w:rsidR="004F213F" w:rsidRPr="00CB4B64" w:rsidRDefault="004F213F" w:rsidP="004F213F">
      <w:pPr>
        <w:spacing w:after="120" w:line="290" w:lineRule="atLeast"/>
        <w:ind w:left="284"/>
        <w:rPr>
          <w:rFonts w:ascii="GHEA Grapalat" w:hAnsi="GHEA Grapalat"/>
          <w:i/>
          <w:color w:val="FF0000"/>
          <w:sz w:val="20"/>
          <w:szCs w:val="20"/>
          <w:lang w:val="hy-AM"/>
        </w:rPr>
      </w:pPr>
      <w:r w:rsidRPr="00CB4B64">
        <w:rPr>
          <w:rFonts w:ascii="GHEA Grapalat" w:hAnsi="GHEA Grapalat"/>
          <w:b/>
          <w:i/>
          <w:sz w:val="20"/>
          <w:szCs w:val="20"/>
        </w:rPr>
        <w:t xml:space="preserve">In terms of aggregate demand, </w:t>
      </w:r>
      <w:r>
        <w:rPr>
          <w:rFonts w:ascii="GHEA Grapalat" w:hAnsi="GHEA Grapalat"/>
          <w:b/>
          <w:i/>
          <w:sz w:val="20"/>
          <w:szCs w:val="20"/>
        </w:rPr>
        <w:t xml:space="preserve">the following </w:t>
      </w:r>
      <w:r w:rsidRPr="00CB4B64">
        <w:rPr>
          <w:rFonts w:ascii="GHEA Grapalat" w:hAnsi="GHEA Grapalat"/>
          <w:b/>
          <w:i/>
          <w:sz w:val="20"/>
          <w:szCs w:val="20"/>
        </w:rPr>
        <w:t xml:space="preserve">risks </w:t>
      </w:r>
      <w:r>
        <w:rPr>
          <w:rFonts w:ascii="GHEA Grapalat" w:hAnsi="GHEA Grapalat"/>
          <w:b/>
          <w:i/>
          <w:sz w:val="20"/>
          <w:szCs w:val="20"/>
        </w:rPr>
        <w:t>stand out</w:t>
      </w:r>
      <w:r w:rsidRPr="00CB4B64">
        <w:rPr>
          <w:rFonts w:ascii="GHEA Grapalat" w:hAnsi="GHEA Grapalat"/>
          <w:b/>
          <w:i/>
          <w:sz w:val="20"/>
          <w:szCs w:val="20"/>
        </w:rPr>
        <w:t>:</w:t>
      </w:r>
    </w:p>
    <w:p w14:paraId="1F18B6E2" w14:textId="77777777" w:rsidR="004F213F" w:rsidRPr="005259F3" w:rsidRDefault="004F213F" w:rsidP="004F213F">
      <w:pPr>
        <w:pStyle w:val="ListParagraph"/>
        <w:numPr>
          <w:ilvl w:val="0"/>
          <w:numId w:val="25"/>
        </w:numPr>
        <w:spacing w:line="290" w:lineRule="atLeast"/>
        <w:rPr>
          <w:rFonts w:eastAsia="GHEA Grapalat" w:cs="GHEA Grapalat"/>
          <w:sz w:val="20"/>
          <w:szCs w:val="20"/>
          <w:lang w:val="hy-AM"/>
        </w:rPr>
      </w:pPr>
      <w:r w:rsidRPr="00DC1C86">
        <w:rPr>
          <w:sz w:val="20"/>
          <w:szCs w:val="20"/>
        </w:rPr>
        <w:t xml:space="preserve">External demand may </w:t>
      </w:r>
      <w:r>
        <w:rPr>
          <w:sz w:val="20"/>
          <w:szCs w:val="20"/>
        </w:rPr>
        <w:t>post a</w:t>
      </w:r>
      <w:r w:rsidRPr="00DC1C86">
        <w:rPr>
          <w:sz w:val="20"/>
          <w:szCs w:val="20"/>
        </w:rPr>
        <w:t xml:space="preserve"> much </w:t>
      </w:r>
      <w:r>
        <w:rPr>
          <w:sz w:val="20"/>
          <w:szCs w:val="20"/>
        </w:rPr>
        <w:t xml:space="preserve">deeper decline and </w:t>
      </w:r>
      <w:r w:rsidRPr="00DC1C86">
        <w:rPr>
          <w:sz w:val="20"/>
          <w:szCs w:val="20"/>
        </w:rPr>
        <w:t xml:space="preserve">remain low for a long </w:t>
      </w:r>
      <w:r>
        <w:rPr>
          <w:sz w:val="20"/>
          <w:szCs w:val="20"/>
        </w:rPr>
        <w:t xml:space="preserve">while </w:t>
      </w:r>
      <w:r w:rsidRPr="00DC1C86">
        <w:rPr>
          <w:sz w:val="20"/>
          <w:szCs w:val="20"/>
        </w:rPr>
        <w:t xml:space="preserve">due to further developments in the </w:t>
      </w:r>
      <w:r>
        <w:rPr>
          <w:sz w:val="20"/>
          <w:szCs w:val="20"/>
        </w:rPr>
        <w:t>pan</w:t>
      </w:r>
      <w:r w:rsidRPr="00DC1C86">
        <w:rPr>
          <w:sz w:val="20"/>
          <w:szCs w:val="20"/>
        </w:rPr>
        <w:t xml:space="preserve">demic situation in the world </w:t>
      </w:r>
      <w:r>
        <w:rPr>
          <w:sz w:val="20"/>
          <w:szCs w:val="20"/>
        </w:rPr>
        <w:t>and the</w:t>
      </w:r>
      <w:r w:rsidRPr="00DC1C86">
        <w:rPr>
          <w:sz w:val="20"/>
          <w:szCs w:val="20"/>
        </w:rPr>
        <w:t xml:space="preserve"> anti-</w:t>
      </w:r>
      <w:r>
        <w:rPr>
          <w:sz w:val="20"/>
          <w:szCs w:val="20"/>
        </w:rPr>
        <w:t>pan</w:t>
      </w:r>
      <w:r w:rsidRPr="00DC1C86">
        <w:rPr>
          <w:sz w:val="20"/>
          <w:szCs w:val="20"/>
        </w:rPr>
        <w:t>demic policy</w:t>
      </w:r>
      <w:r>
        <w:rPr>
          <w:sz w:val="20"/>
          <w:szCs w:val="20"/>
        </w:rPr>
        <w:t xml:space="preserve"> carried out</w:t>
      </w:r>
      <w:r w:rsidRPr="00DC1C86">
        <w:rPr>
          <w:sz w:val="20"/>
          <w:szCs w:val="20"/>
        </w:rPr>
        <w:t>.</w:t>
      </w:r>
      <w:r>
        <w:rPr>
          <w:sz w:val="20"/>
          <w:szCs w:val="20"/>
        </w:rPr>
        <w:t xml:space="preserve"> </w:t>
      </w:r>
    </w:p>
    <w:p w14:paraId="122CBAF8" w14:textId="77777777" w:rsidR="004F213F" w:rsidRDefault="004F213F" w:rsidP="004F213F">
      <w:pPr>
        <w:pStyle w:val="ListParagraph"/>
        <w:numPr>
          <w:ilvl w:val="0"/>
          <w:numId w:val="25"/>
        </w:numPr>
        <w:spacing w:line="288" w:lineRule="atLeast"/>
        <w:ind w:left="357" w:hanging="357"/>
        <w:rPr>
          <w:rFonts w:eastAsia="GHEA Grapalat" w:cs="GHEA Grapalat"/>
          <w:sz w:val="20"/>
          <w:szCs w:val="20"/>
          <w:lang w:val="hy-AM"/>
        </w:rPr>
      </w:pPr>
      <w:r>
        <w:rPr>
          <w:sz w:val="20"/>
          <w:szCs w:val="20"/>
        </w:rPr>
        <w:t xml:space="preserve">Household </w:t>
      </w:r>
      <w:r w:rsidRPr="00B02DC0">
        <w:rPr>
          <w:sz w:val="20"/>
          <w:szCs w:val="20"/>
        </w:rPr>
        <w:t xml:space="preserve">behavior </w:t>
      </w:r>
      <w:r>
        <w:rPr>
          <w:sz w:val="20"/>
          <w:szCs w:val="20"/>
        </w:rPr>
        <w:t xml:space="preserve">is further adjusting from consumption to </w:t>
      </w:r>
      <w:r w:rsidRPr="00B02DC0">
        <w:rPr>
          <w:sz w:val="20"/>
          <w:szCs w:val="20"/>
        </w:rPr>
        <w:t>sav</w:t>
      </w:r>
      <w:r>
        <w:rPr>
          <w:sz w:val="20"/>
          <w:szCs w:val="20"/>
        </w:rPr>
        <w:t>ings</w:t>
      </w:r>
      <w:r w:rsidRPr="00B02DC0">
        <w:rPr>
          <w:sz w:val="20"/>
          <w:szCs w:val="20"/>
        </w:rPr>
        <w:t xml:space="preserve"> and the demand for secondary consumer goods </w:t>
      </w:r>
      <w:r>
        <w:rPr>
          <w:sz w:val="20"/>
          <w:szCs w:val="20"/>
        </w:rPr>
        <w:t xml:space="preserve">is </w:t>
      </w:r>
      <w:r w:rsidRPr="00B02DC0">
        <w:rPr>
          <w:sz w:val="20"/>
          <w:szCs w:val="20"/>
        </w:rPr>
        <w:t>shift</w:t>
      </w:r>
      <w:r>
        <w:rPr>
          <w:sz w:val="20"/>
          <w:szCs w:val="20"/>
        </w:rPr>
        <w:t>ing</w:t>
      </w:r>
      <w:r w:rsidRPr="00B02DC0">
        <w:rPr>
          <w:sz w:val="20"/>
          <w:szCs w:val="20"/>
        </w:rPr>
        <w:t xml:space="preserve"> to goods of </w:t>
      </w:r>
      <w:proofErr w:type="gramStart"/>
      <w:r w:rsidRPr="00B02DC0">
        <w:rPr>
          <w:sz w:val="20"/>
          <w:szCs w:val="20"/>
        </w:rPr>
        <w:t>basic necessities</w:t>
      </w:r>
      <w:proofErr w:type="gramEnd"/>
      <w:r w:rsidRPr="00B02DC0">
        <w:rPr>
          <w:sz w:val="20"/>
          <w:szCs w:val="20"/>
        </w:rPr>
        <w:t xml:space="preserve">. </w:t>
      </w:r>
      <w:r>
        <w:rPr>
          <w:sz w:val="20"/>
          <w:szCs w:val="20"/>
        </w:rPr>
        <w:t>If pandemic lasts longer, t</w:t>
      </w:r>
      <w:r w:rsidRPr="00B02DC0">
        <w:rPr>
          <w:sz w:val="20"/>
          <w:szCs w:val="20"/>
        </w:rPr>
        <w:t xml:space="preserve">hese structural changes may </w:t>
      </w:r>
      <w:r>
        <w:rPr>
          <w:sz w:val="20"/>
          <w:szCs w:val="20"/>
        </w:rPr>
        <w:t>be of l</w:t>
      </w:r>
      <w:r w:rsidRPr="00B02DC0">
        <w:rPr>
          <w:sz w:val="20"/>
          <w:szCs w:val="20"/>
        </w:rPr>
        <w:t xml:space="preserve">onger-term </w:t>
      </w:r>
      <w:r>
        <w:rPr>
          <w:sz w:val="20"/>
          <w:szCs w:val="20"/>
        </w:rPr>
        <w:t xml:space="preserve">and permanent nature </w:t>
      </w:r>
      <w:r w:rsidRPr="00B02DC0">
        <w:rPr>
          <w:sz w:val="20"/>
          <w:szCs w:val="20"/>
        </w:rPr>
        <w:t>than projected in the baseline scenario, which can lead to relative price changes</w:t>
      </w:r>
      <w:r>
        <w:rPr>
          <w:sz w:val="20"/>
          <w:szCs w:val="20"/>
        </w:rPr>
        <w:t>,</w:t>
      </w:r>
      <w:r w:rsidRPr="00B02DC0">
        <w:rPr>
          <w:sz w:val="20"/>
          <w:szCs w:val="20"/>
        </w:rPr>
        <w:t xml:space="preserve"> on the one hand</w:t>
      </w:r>
      <w:r>
        <w:rPr>
          <w:sz w:val="20"/>
          <w:szCs w:val="20"/>
        </w:rPr>
        <w:t>,</w:t>
      </w:r>
      <w:r w:rsidRPr="00B02DC0">
        <w:rPr>
          <w:sz w:val="20"/>
          <w:szCs w:val="20"/>
        </w:rPr>
        <w:t xml:space="preserve"> and influence the </w:t>
      </w:r>
      <w:r>
        <w:rPr>
          <w:sz w:val="20"/>
          <w:szCs w:val="20"/>
        </w:rPr>
        <w:t xml:space="preserve">steady state of </w:t>
      </w:r>
      <w:r w:rsidRPr="00B02DC0">
        <w:rPr>
          <w:sz w:val="20"/>
          <w:szCs w:val="20"/>
        </w:rPr>
        <w:t>neutral interest rate, on the other.</w:t>
      </w:r>
    </w:p>
    <w:p w14:paraId="590D7EC7" w14:textId="77777777" w:rsidR="004F213F" w:rsidRPr="005259F3" w:rsidRDefault="004F213F" w:rsidP="004F213F">
      <w:pPr>
        <w:pStyle w:val="ListParagraph"/>
        <w:numPr>
          <w:ilvl w:val="0"/>
          <w:numId w:val="25"/>
        </w:numPr>
        <w:spacing w:line="288" w:lineRule="atLeast"/>
        <w:rPr>
          <w:rFonts w:eastAsia="GHEA Grapalat" w:cs="GHEA Grapalat"/>
          <w:sz w:val="20"/>
          <w:szCs w:val="20"/>
          <w:lang w:val="hy-AM"/>
        </w:rPr>
      </w:pPr>
      <w:r w:rsidRPr="00201FA5">
        <w:rPr>
          <w:sz w:val="20"/>
          <w:szCs w:val="20"/>
        </w:rPr>
        <w:t xml:space="preserve">Although </w:t>
      </w:r>
      <w:r>
        <w:rPr>
          <w:sz w:val="20"/>
          <w:szCs w:val="20"/>
        </w:rPr>
        <w:t xml:space="preserve">curfew-imposed </w:t>
      </w:r>
      <w:r w:rsidRPr="00201FA5">
        <w:rPr>
          <w:sz w:val="20"/>
          <w:szCs w:val="20"/>
        </w:rPr>
        <w:t xml:space="preserve">restrictions on </w:t>
      </w:r>
      <w:proofErr w:type="gramStart"/>
      <w:r w:rsidRPr="00201FA5">
        <w:rPr>
          <w:sz w:val="20"/>
          <w:szCs w:val="20"/>
        </w:rPr>
        <w:t>a number of</w:t>
      </w:r>
      <w:proofErr w:type="gramEnd"/>
      <w:r w:rsidRPr="00201FA5">
        <w:rPr>
          <w:sz w:val="20"/>
          <w:szCs w:val="20"/>
        </w:rPr>
        <w:t xml:space="preserve"> economic activities have been largely lifted, demand in some sectors is very low </w:t>
      </w:r>
      <w:r>
        <w:rPr>
          <w:sz w:val="20"/>
          <w:szCs w:val="20"/>
        </w:rPr>
        <w:t xml:space="preserve">largely because of </w:t>
      </w:r>
      <w:r w:rsidRPr="00201FA5">
        <w:rPr>
          <w:sz w:val="20"/>
          <w:szCs w:val="20"/>
        </w:rPr>
        <w:t xml:space="preserve">the </w:t>
      </w:r>
      <w:r>
        <w:rPr>
          <w:sz w:val="20"/>
          <w:szCs w:val="20"/>
        </w:rPr>
        <w:t xml:space="preserve">wariness of </w:t>
      </w:r>
      <w:r w:rsidRPr="00201FA5">
        <w:rPr>
          <w:sz w:val="20"/>
          <w:szCs w:val="20"/>
        </w:rPr>
        <w:t>people. Accordingly, households who</w:t>
      </w:r>
      <w:r>
        <w:rPr>
          <w:sz w:val="20"/>
          <w:szCs w:val="20"/>
        </w:rPr>
        <w:t xml:space="preserve"> used to earn a living </w:t>
      </w:r>
      <w:r w:rsidRPr="00201FA5">
        <w:rPr>
          <w:sz w:val="20"/>
          <w:szCs w:val="20"/>
        </w:rPr>
        <w:t xml:space="preserve">in </w:t>
      </w:r>
      <w:r>
        <w:rPr>
          <w:sz w:val="20"/>
          <w:szCs w:val="20"/>
        </w:rPr>
        <w:t>sectors most suffered</w:t>
      </w:r>
      <w:r w:rsidRPr="00201FA5">
        <w:rPr>
          <w:sz w:val="20"/>
          <w:szCs w:val="20"/>
        </w:rPr>
        <w:t xml:space="preserve"> (tourism, restaurant business, etc.) may still face liquidity problems in </w:t>
      </w:r>
      <w:r w:rsidRPr="00201FA5">
        <w:rPr>
          <w:sz w:val="20"/>
          <w:szCs w:val="20"/>
        </w:rPr>
        <w:lastRenderedPageBreak/>
        <w:t xml:space="preserve">the coming months, which </w:t>
      </w:r>
      <w:r>
        <w:rPr>
          <w:sz w:val="20"/>
          <w:szCs w:val="20"/>
        </w:rPr>
        <w:t xml:space="preserve">could </w:t>
      </w:r>
      <w:r w:rsidRPr="00201FA5">
        <w:rPr>
          <w:sz w:val="20"/>
          <w:szCs w:val="20"/>
        </w:rPr>
        <w:t xml:space="preserve">lead to a further reduction in demand by these entities. </w:t>
      </w:r>
      <w:r>
        <w:rPr>
          <w:sz w:val="20"/>
          <w:szCs w:val="20"/>
        </w:rPr>
        <w:t>Moreover</w:t>
      </w:r>
      <w:r w:rsidRPr="00201FA5">
        <w:rPr>
          <w:sz w:val="20"/>
          <w:szCs w:val="20"/>
        </w:rPr>
        <w:t xml:space="preserve">, </w:t>
      </w:r>
      <w:r>
        <w:rPr>
          <w:sz w:val="20"/>
          <w:szCs w:val="20"/>
        </w:rPr>
        <w:t xml:space="preserve">there is likelihood that </w:t>
      </w:r>
      <w:r w:rsidRPr="00201FA5">
        <w:rPr>
          <w:sz w:val="20"/>
          <w:szCs w:val="20"/>
        </w:rPr>
        <w:t xml:space="preserve">the decline in demand for these services may </w:t>
      </w:r>
      <w:r>
        <w:rPr>
          <w:sz w:val="20"/>
          <w:szCs w:val="20"/>
        </w:rPr>
        <w:t>take a l</w:t>
      </w:r>
      <w:r w:rsidRPr="00201FA5">
        <w:rPr>
          <w:sz w:val="20"/>
          <w:szCs w:val="20"/>
        </w:rPr>
        <w:t>ong</w:t>
      </w:r>
      <w:r>
        <w:rPr>
          <w:sz w:val="20"/>
          <w:szCs w:val="20"/>
        </w:rPr>
        <w:t>er-term nature</w:t>
      </w:r>
      <w:r w:rsidRPr="00201FA5">
        <w:rPr>
          <w:sz w:val="20"/>
          <w:szCs w:val="20"/>
        </w:rPr>
        <w:t xml:space="preserve">, and the recovery will be rather sluggish. Of course, the extent of this risk largely depends on the developments in the </w:t>
      </w:r>
      <w:r>
        <w:rPr>
          <w:sz w:val="20"/>
          <w:szCs w:val="20"/>
        </w:rPr>
        <w:t>pan</w:t>
      </w:r>
      <w:r w:rsidRPr="00201FA5">
        <w:rPr>
          <w:sz w:val="20"/>
          <w:szCs w:val="20"/>
        </w:rPr>
        <w:t>demic situation in the country, as well as on the volume, effectiveness and continuity of the anti-crisis measures targeted by the Government</w:t>
      </w:r>
      <w:r>
        <w:rPr>
          <w:sz w:val="20"/>
          <w:szCs w:val="20"/>
        </w:rPr>
        <w:t xml:space="preserve"> </w:t>
      </w:r>
      <w:r w:rsidRPr="00201FA5">
        <w:rPr>
          <w:sz w:val="20"/>
          <w:szCs w:val="20"/>
        </w:rPr>
        <w:t>at these</w:t>
      </w:r>
      <w:r>
        <w:rPr>
          <w:sz w:val="20"/>
          <w:szCs w:val="20"/>
        </w:rPr>
        <w:t xml:space="preserve"> groups. On the other hand, the </w:t>
      </w:r>
      <w:r w:rsidRPr="00201FA5">
        <w:rPr>
          <w:sz w:val="20"/>
          <w:szCs w:val="20"/>
        </w:rPr>
        <w:t>defici</w:t>
      </w:r>
      <w:r>
        <w:rPr>
          <w:sz w:val="20"/>
          <w:szCs w:val="20"/>
        </w:rPr>
        <w:t>en</w:t>
      </w:r>
      <w:r w:rsidRPr="00201FA5">
        <w:rPr>
          <w:sz w:val="20"/>
          <w:szCs w:val="20"/>
        </w:rPr>
        <w:t>t demand</w:t>
      </w:r>
      <w:r>
        <w:rPr>
          <w:sz w:val="20"/>
          <w:szCs w:val="20"/>
        </w:rPr>
        <w:t xml:space="preserve">, if maintained </w:t>
      </w:r>
      <w:r w:rsidRPr="00201FA5">
        <w:rPr>
          <w:sz w:val="20"/>
          <w:szCs w:val="20"/>
        </w:rPr>
        <w:t>long</w:t>
      </w:r>
      <w:r>
        <w:rPr>
          <w:sz w:val="20"/>
          <w:szCs w:val="20"/>
        </w:rPr>
        <w:t xml:space="preserve">er, </w:t>
      </w:r>
      <w:r w:rsidRPr="00201FA5">
        <w:rPr>
          <w:sz w:val="20"/>
          <w:szCs w:val="20"/>
        </w:rPr>
        <w:t xml:space="preserve">can </w:t>
      </w:r>
      <w:r>
        <w:rPr>
          <w:sz w:val="20"/>
          <w:szCs w:val="20"/>
        </w:rPr>
        <w:t xml:space="preserve">start </w:t>
      </w:r>
      <w:r w:rsidRPr="00201FA5">
        <w:rPr>
          <w:sz w:val="20"/>
          <w:szCs w:val="20"/>
        </w:rPr>
        <w:t>affect</w:t>
      </w:r>
      <w:r>
        <w:rPr>
          <w:sz w:val="20"/>
          <w:szCs w:val="20"/>
        </w:rPr>
        <w:t>ing</w:t>
      </w:r>
      <w:r w:rsidRPr="00201FA5">
        <w:rPr>
          <w:sz w:val="20"/>
          <w:szCs w:val="20"/>
        </w:rPr>
        <w:t xml:space="preserve"> the </w:t>
      </w:r>
      <w:r>
        <w:rPr>
          <w:sz w:val="20"/>
          <w:szCs w:val="20"/>
        </w:rPr>
        <w:t xml:space="preserve">level of </w:t>
      </w:r>
      <w:r w:rsidRPr="00201FA5">
        <w:rPr>
          <w:sz w:val="20"/>
          <w:szCs w:val="20"/>
        </w:rPr>
        <w:t>potential in these sectors</w:t>
      </w:r>
      <w:r>
        <w:rPr>
          <w:sz w:val="20"/>
          <w:szCs w:val="20"/>
        </w:rPr>
        <w:t xml:space="preserve"> through pushing it down</w:t>
      </w:r>
      <w:r w:rsidRPr="00201FA5">
        <w:rPr>
          <w:sz w:val="20"/>
          <w:szCs w:val="20"/>
        </w:rPr>
        <w:t xml:space="preserve">, </w:t>
      </w:r>
      <w:r>
        <w:rPr>
          <w:sz w:val="20"/>
          <w:szCs w:val="20"/>
        </w:rPr>
        <w:t>and</w:t>
      </w:r>
      <w:r w:rsidRPr="00201FA5">
        <w:rPr>
          <w:sz w:val="20"/>
          <w:szCs w:val="20"/>
        </w:rPr>
        <w:t xml:space="preserve"> </w:t>
      </w:r>
      <w:r>
        <w:rPr>
          <w:sz w:val="20"/>
          <w:szCs w:val="20"/>
        </w:rPr>
        <w:t xml:space="preserve">can leave </w:t>
      </w:r>
      <w:r w:rsidRPr="00201FA5">
        <w:rPr>
          <w:sz w:val="20"/>
          <w:szCs w:val="20"/>
        </w:rPr>
        <w:t>chain effects on other sectors of the economy.</w:t>
      </w:r>
      <w:r>
        <w:rPr>
          <w:sz w:val="20"/>
          <w:szCs w:val="20"/>
        </w:rPr>
        <w:t xml:space="preserve"> </w:t>
      </w:r>
    </w:p>
    <w:p w14:paraId="75C58B74" w14:textId="77777777" w:rsidR="004F213F" w:rsidRPr="005259F3" w:rsidRDefault="004F213F" w:rsidP="004F213F">
      <w:pPr>
        <w:pStyle w:val="ListParagraph"/>
        <w:numPr>
          <w:ilvl w:val="0"/>
          <w:numId w:val="6"/>
        </w:numPr>
        <w:spacing w:line="288" w:lineRule="atLeast"/>
        <w:rPr>
          <w:rFonts w:eastAsia="GHEA Grapalat" w:cs="GHEA Grapalat"/>
          <w:sz w:val="20"/>
          <w:szCs w:val="20"/>
          <w:lang w:val="hy-AM"/>
        </w:rPr>
      </w:pPr>
      <w:r w:rsidRPr="00B02DC0">
        <w:rPr>
          <w:sz w:val="20"/>
          <w:szCs w:val="20"/>
        </w:rPr>
        <w:t xml:space="preserve">The extent of the policy’s stimulative impact on aggregate demand </w:t>
      </w:r>
      <w:r>
        <w:rPr>
          <w:sz w:val="20"/>
          <w:szCs w:val="20"/>
        </w:rPr>
        <w:t xml:space="preserve">largely </w:t>
      </w:r>
      <w:r w:rsidRPr="00B02DC0">
        <w:rPr>
          <w:sz w:val="20"/>
          <w:szCs w:val="20"/>
        </w:rPr>
        <w:t xml:space="preserve">depends </w:t>
      </w:r>
      <w:r>
        <w:rPr>
          <w:sz w:val="20"/>
          <w:szCs w:val="20"/>
        </w:rPr>
        <w:t>on the course of state budget performance, and i</w:t>
      </w:r>
      <w:r w:rsidRPr="00BA4066">
        <w:rPr>
          <w:sz w:val="20"/>
          <w:szCs w:val="20"/>
        </w:rPr>
        <w:t xml:space="preserve">n </w:t>
      </w:r>
      <w:r>
        <w:rPr>
          <w:sz w:val="20"/>
          <w:szCs w:val="20"/>
        </w:rPr>
        <w:t xml:space="preserve">the </w:t>
      </w:r>
      <w:proofErr w:type="gramStart"/>
      <w:r>
        <w:rPr>
          <w:sz w:val="20"/>
          <w:szCs w:val="20"/>
        </w:rPr>
        <w:t>event</w:t>
      </w:r>
      <w:proofErr w:type="gramEnd"/>
      <w:r>
        <w:rPr>
          <w:sz w:val="20"/>
          <w:szCs w:val="20"/>
        </w:rPr>
        <w:t xml:space="preserve"> </w:t>
      </w:r>
      <w:r w:rsidRPr="00BA4066">
        <w:rPr>
          <w:sz w:val="20"/>
          <w:szCs w:val="20"/>
        </w:rPr>
        <w:t>expen</w:t>
      </w:r>
      <w:r>
        <w:rPr>
          <w:sz w:val="20"/>
          <w:szCs w:val="20"/>
        </w:rPr>
        <w:t>ditures are somehow underperformed o</w:t>
      </w:r>
      <w:r w:rsidRPr="00BA4066">
        <w:rPr>
          <w:sz w:val="20"/>
          <w:szCs w:val="20"/>
        </w:rPr>
        <w:t xml:space="preserve">r </w:t>
      </w:r>
      <w:r>
        <w:rPr>
          <w:sz w:val="20"/>
          <w:szCs w:val="20"/>
        </w:rPr>
        <w:t>lending to</w:t>
      </w:r>
      <w:r w:rsidRPr="00BA4066">
        <w:rPr>
          <w:sz w:val="20"/>
          <w:szCs w:val="20"/>
        </w:rPr>
        <w:t xml:space="preserve"> the economy </w:t>
      </w:r>
      <w:r>
        <w:rPr>
          <w:sz w:val="20"/>
          <w:szCs w:val="20"/>
        </w:rPr>
        <w:t xml:space="preserve">is less than </w:t>
      </w:r>
      <w:r w:rsidRPr="00BA4066">
        <w:rPr>
          <w:sz w:val="20"/>
          <w:szCs w:val="20"/>
        </w:rPr>
        <w:t>planned, the public sector</w:t>
      </w:r>
      <w:r>
        <w:rPr>
          <w:sz w:val="20"/>
          <w:szCs w:val="20"/>
        </w:rPr>
        <w:t xml:space="preserve">’s impact </w:t>
      </w:r>
      <w:r w:rsidRPr="00BA4066">
        <w:rPr>
          <w:sz w:val="20"/>
          <w:szCs w:val="20"/>
        </w:rPr>
        <w:t xml:space="preserve">will </w:t>
      </w:r>
      <w:r>
        <w:rPr>
          <w:sz w:val="20"/>
          <w:szCs w:val="20"/>
        </w:rPr>
        <w:t xml:space="preserve">be </w:t>
      </w:r>
      <w:r w:rsidRPr="00BA4066">
        <w:rPr>
          <w:sz w:val="20"/>
          <w:szCs w:val="20"/>
        </w:rPr>
        <w:t xml:space="preserve">less </w:t>
      </w:r>
      <w:r>
        <w:rPr>
          <w:sz w:val="20"/>
          <w:szCs w:val="20"/>
        </w:rPr>
        <w:t xml:space="preserve">expansionary than outlined. </w:t>
      </w:r>
    </w:p>
    <w:p w14:paraId="3683E850" w14:textId="77777777" w:rsidR="004F213F" w:rsidRPr="00CB4B64" w:rsidRDefault="004F213F" w:rsidP="004F213F">
      <w:pPr>
        <w:spacing w:line="288" w:lineRule="atLeast"/>
        <w:ind w:left="284"/>
        <w:rPr>
          <w:rFonts w:ascii="GHEA Grapalat" w:eastAsia="Calibri" w:hAnsi="GHEA Grapalat"/>
          <w:b/>
          <w:i/>
          <w:sz w:val="20"/>
          <w:szCs w:val="20"/>
          <w:lang w:val="hy-AM"/>
        </w:rPr>
      </w:pPr>
      <w:r>
        <w:rPr>
          <w:rFonts w:ascii="GHEA Grapalat" w:hAnsi="GHEA Grapalat"/>
          <w:b/>
          <w:i/>
          <w:sz w:val="20"/>
          <w:szCs w:val="20"/>
        </w:rPr>
        <w:t xml:space="preserve">In terms of supply, risks </w:t>
      </w:r>
      <w:r w:rsidRPr="00CB4B64">
        <w:rPr>
          <w:rFonts w:ascii="GHEA Grapalat" w:hAnsi="GHEA Grapalat"/>
          <w:b/>
          <w:i/>
          <w:sz w:val="20"/>
          <w:szCs w:val="20"/>
        </w:rPr>
        <w:t>to the inflation are as follows:</w:t>
      </w:r>
    </w:p>
    <w:p w14:paraId="7D74129C" w14:textId="77777777" w:rsidR="004F213F" w:rsidRPr="005259F3" w:rsidRDefault="004F213F" w:rsidP="004F213F">
      <w:pPr>
        <w:pStyle w:val="ListParagraph"/>
        <w:numPr>
          <w:ilvl w:val="0"/>
          <w:numId w:val="6"/>
        </w:numPr>
        <w:spacing w:after="0" w:line="288" w:lineRule="atLeast"/>
        <w:rPr>
          <w:rFonts w:eastAsia="GHEA Grapalat" w:cs="GHEA Grapalat"/>
          <w:sz w:val="20"/>
          <w:szCs w:val="20"/>
          <w:lang w:val="hy-AM"/>
        </w:rPr>
      </w:pPr>
      <w:r w:rsidRPr="00DA7DA4">
        <w:rPr>
          <w:rFonts w:cs="Sylfaen"/>
          <w:sz w:val="20"/>
          <w:szCs w:val="20"/>
        </w:rPr>
        <w:t xml:space="preserve">In </w:t>
      </w:r>
      <w:r>
        <w:rPr>
          <w:rFonts w:cs="Sylfaen"/>
          <w:sz w:val="20"/>
          <w:szCs w:val="20"/>
        </w:rPr>
        <w:t xml:space="preserve">terms of supply in </w:t>
      </w:r>
      <w:r w:rsidRPr="00DA7DA4">
        <w:rPr>
          <w:rFonts w:cs="Sylfaen"/>
          <w:sz w:val="20"/>
          <w:szCs w:val="20"/>
        </w:rPr>
        <w:t xml:space="preserve">the short </w:t>
      </w:r>
      <w:r>
        <w:rPr>
          <w:rFonts w:cs="Sylfaen"/>
          <w:sz w:val="20"/>
          <w:szCs w:val="20"/>
        </w:rPr>
        <w:t>run</w:t>
      </w:r>
      <w:r w:rsidRPr="00DA7DA4">
        <w:rPr>
          <w:rFonts w:cs="Sylfaen"/>
          <w:sz w:val="20"/>
          <w:szCs w:val="20"/>
        </w:rPr>
        <w:t>, risk</w:t>
      </w:r>
      <w:r>
        <w:rPr>
          <w:rFonts w:cs="Sylfaen"/>
          <w:sz w:val="20"/>
          <w:szCs w:val="20"/>
        </w:rPr>
        <w:t>s</w:t>
      </w:r>
      <w:r w:rsidRPr="00DA7DA4">
        <w:rPr>
          <w:rFonts w:cs="Sylfaen"/>
          <w:sz w:val="20"/>
          <w:szCs w:val="20"/>
        </w:rPr>
        <w:t xml:space="preserve"> </w:t>
      </w:r>
      <w:r>
        <w:rPr>
          <w:rFonts w:cs="Sylfaen"/>
          <w:sz w:val="20"/>
          <w:szCs w:val="20"/>
        </w:rPr>
        <w:t>to the</w:t>
      </w:r>
      <w:r w:rsidRPr="00DA7DA4">
        <w:rPr>
          <w:rFonts w:cs="Sylfaen"/>
          <w:sz w:val="20"/>
          <w:szCs w:val="20"/>
        </w:rPr>
        <w:t xml:space="preserve"> inflation </w:t>
      </w:r>
      <w:r>
        <w:rPr>
          <w:rFonts w:cs="Sylfaen"/>
          <w:sz w:val="20"/>
          <w:szCs w:val="20"/>
        </w:rPr>
        <w:t xml:space="preserve">are being </w:t>
      </w:r>
      <w:r w:rsidRPr="00DA7DA4">
        <w:rPr>
          <w:rFonts w:cs="Sylfaen"/>
          <w:sz w:val="20"/>
          <w:szCs w:val="20"/>
        </w:rPr>
        <w:t xml:space="preserve">assessed </w:t>
      </w:r>
      <w:r>
        <w:rPr>
          <w:rFonts w:cs="Sylfaen"/>
          <w:sz w:val="20"/>
          <w:szCs w:val="20"/>
        </w:rPr>
        <w:t xml:space="preserve">as </w:t>
      </w:r>
      <w:proofErr w:type="gramStart"/>
      <w:r w:rsidRPr="00DA7DA4">
        <w:rPr>
          <w:rFonts w:cs="Sylfaen"/>
          <w:sz w:val="20"/>
          <w:szCs w:val="20"/>
        </w:rPr>
        <w:t xml:space="preserve">balanced, </w:t>
      </w:r>
      <w:r>
        <w:rPr>
          <w:rFonts w:cs="Sylfaen"/>
          <w:sz w:val="20"/>
          <w:szCs w:val="20"/>
        </w:rPr>
        <w:t>since</w:t>
      </w:r>
      <w:proofErr w:type="gramEnd"/>
      <w:r>
        <w:rPr>
          <w:rFonts w:cs="Sylfaen"/>
          <w:sz w:val="20"/>
          <w:szCs w:val="20"/>
        </w:rPr>
        <w:t xml:space="preserve"> </w:t>
      </w:r>
      <w:r w:rsidRPr="00DA7DA4">
        <w:rPr>
          <w:rFonts w:cs="Sylfaen"/>
          <w:sz w:val="20"/>
          <w:szCs w:val="20"/>
        </w:rPr>
        <w:t xml:space="preserve">previous risks associated with possible disruption of the normal course of import of goods have generally </w:t>
      </w:r>
      <w:r>
        <w:rPr>
          <w:rFonts w:cs="Sylfaen"/>
          <w:sz w:val="20"/>
          <w:szCs w:val="20"/>
        </w:rPr>
        <w:t>been eliminated</w:t>
      </w:r>
      <w:r w:rsidRPr="00DA7DA4">
        <w:rPr>
          <w:rFonts w:cs="Sylfaen"/>
          <w:sz w:val="20"/>
          <w:szCs w:val="20"/>
        </w:rPr>
        <w:t>.</w:t>
      </w:r>
      <w:r>
        <w:rPr>
          <w:rFonts w:cs="Sylfaen"/>
          <w:sz w:val="20"/>
          <w:szCs w:val="20"/>
        </w:rPr>
        <w:t xml:space="preserve"> </w:t>
      </w:r>
    </w:p>
    <w:p w14:paraId="68FAEACC" w14:textId="77777777" w:rsidR="004F213F" w:rsidRDefault="004F213F" w:rsidP="004F213F">
      <w:pPr>
        <w:pStyle w:val="ListParagraph"/>
        <w:numPr>
          <w:ilvl w:val="0"/>
          <w:numId w:val="6"/>
        </w:numPr>
        <w:spacing w:after="0" w:line="288" w:lineRule="atLeast"/>
        <w:ind w:left="357" w:hanging="357"/>
        <w:rPr>
          <w:rFonts w:eastAsia="GHEA Grapalat" w:cs="GHEA Grapalat"/>
          <w:sz w:val="20"/>
          <w:szCs w:val="20"/>
          <w:lang w:val="hy-AM"/>
        </w:rPr>
      </w:pPr>
      <w:r w:rsidRPr="00B02DC0">
        <w:rPr>
          <w:sz w:val="20"/>
          <w:szCs w:val="20"/>
        </w:rPr>
        <w:t xml:space="preserve">Short-term risks to commodity prices </w:t>
      </w:r>
      <w:r>
        <w:rPr>
          <w:sz w:val="20"/>
          <w:szCs w:val="20"/>
        </w:rPr>
        <w:t xml:space="preserve">are </w:t>
      </w:r>
      <w:r w:rsidRPr="00B02DC0">
        <w:rPr>
          <w:sz w:val="20"/>
          <w:szCs w:val="20"/>
        </w:rPr>
        <w:t>deflationar</w:t>
      </w:r>
      <w:r>
        <w:rPr>
          <w:sz w:val="20"/>
          <w:szCs w:val="20"/>
        </w:rPr>
        <w:t>y</w:t>
      </w:r>
      <w:r w:rsidRPr="00B02DC0">
        <w:rPr>
          <w:sz w:val="20"/>
          <w:szCs w:val="20"/>
        </w:rPr>
        <w:t xml:space="preserve"> and are </w:t>
      </w:r>
      <w:r>
        <w:rPr>
          <w:sz w:val="20"/>
          <w:szCs w:val="20"/>
        </w:rPr>
        <w:t xml:space="preserve">attributable to </w:t>
      </w:r>
      <w:r w:rsidRPr="00B02DC0">
        <w:rPr>
          <w:sz w:val="20"/>
          <w:szCs w:val="20"/>
        </w:rPr>
        <w:t>the global economy</w:t>
      </w:r>
      <w:r>
        <w:rPr>
          <w:sz w:val="20"/>
          <w:szCs w:val="20"/>
        </w:rPr>
        <w:t>’s downside risks</w:t>
      </w:r>
      <w:r w:rsidRPr="00B02DC0">
        <w:rPr>
          <w:sz w:val="20"/>
          <w:szCs w:val="20"/>
        </w:rPr>
        <w:t>.</w:t>
      </w:r>
    </w:p>
    <w:p w14:paraId="7D0E852C" w14:textId="77777777" w:rsidR="004F213F" w:rsidRDefault="004F213F" w:rsidP="004F213F">
      <w:pPr>
        <w:spacing w:line="288" w:lineRule="atLeast"/>
        <w:ind w:firstLine="284"/>
        <w:rPr>
          <w:rFonts w:ascii="GHEA Grapalat" w:eastAsia="GHEA Grapalat" w:hAnsi="GHEA Grapalat" w:cs="GHEA Grapalat"/>
          <w:sz w:val="20"/>
          <w:szCs w:val="20"/>
          <w:lang w:val="hy-AM"/>
        </w:rPr>
      </w:pPr>
      <w:r>
        <w:rPr>
          <w:rFonts w:ascii="GHEA Grapalat" w:hAnsi="GHEA Grapalat"/>
          <w:sz w:val="20"/>
          <w:szCs w:val="20"/>
        </w:rPr>
        <w:t>In the medium-</w:t>
      </w:r>
      <w:r w:rsidRPr="00B02DC0">
        <w:rPr>
          <w:rFonts w:ascii="GHEA Grapalat" w:hAnsi="GHEA Grapalat"/>
          <w:sz w:val="20"/>
          <w:szCs w:val="20"/>
        </w:rPr>
        <w:t>term perspective, risks</w:t>
      </w:r>
      <w:r>
        <w:rPr>
          <w:rFonts w:ascii="GHEA Grapalat" w:hAnsi="GHEA Grapalat"/>
          <w:sz w:val="20"/>
          <w:szCs w:val="20"/>
        </w:rPr>
        <w:t xml:space="preserve"> that</w:t>
      </w:r>
      <w:r w:rsidRPr="00B02DC0">
        <w:rPr>
          <w:rFonts w:ascii="GHEA Grapalat" w:hAnsi="GHEA Grapalat"/>
          <w:sz w:val="20"/>
          <w:szCs w:val="20"/>
        </w:rPr>
        <w:t xml:space="preserve"> inflation </w:t>
      </w:r>
      <w:r>
        <w:rPr>
          <w:rFonts w:ascii="GHEA Grapalat" w:hAnsi="GHEA Grapalat"/>
          <w:sz w:val="20"/>
          <w:szCs w:val="20"/>
        </w:rPr>
        <w:t xml:space="preserve">would </w:t>
      </w:r>
      <w:r w:rsidRPr="00B02DC0">
        <w:rPr>
          <w:rFonts w:ascii="GHEA Grapalat" w:hAnsi="GHEA Grapalat"/>
          <w:sz w:val="20"/>
          <w:szCs w:val="20"/>
        </w:rPr>
        <w:t>deviat</w:t>
      </w:r>
      <w:r>
        <w:rPr>
          <w:rFonts w:ascii="GHEA Grapalat" w:hAnsi="GHEA Grapalat"/>
          <w:sz w:val="20"/>
          <w:szCs w:val="20"/>
        </w:rPr>
        <w:t xml:space="preserve">e </w:t>
      </w:r>
      <w:r w:rsidRPr="00B02DC0">
        <w:rPr>
          <w:rFonts w:ascii="GHEA Grapalat" w:hAnsi="GHEA Grapalat"/>
          <w:sz w:val="20"/>
          <w:szCs w:val="20"/>
        </w:rPr>
        <w:t xml:space="preserve">from </w:t>
      </w:r>
      <w:r>
        <w:rPr>
          <w:rFonts w:ascii="GHEA Grapalat" w:hAnsi="GHEA Grapalat"/>
          <w:sz w:val="20"/>
          <w:szCs w:val="20"/>
        </w:rPr>
        <w:t xml:space="preserve">the </w:t>
      </w:r>
      <w:r w:rsidRPr="00B02DC0">
        <w:rPr>
          <w:rFonts w:ascii="GHEA Grapalat" w:hAnsi="GHEA Grapalat"/>
          <w:sz w:val="20"/>
          <w:szCs w:val="20"/>
        </w:rPr>
        <w:t xml:space="preserve">projection path are </w:t>
      </w:r>
      <w:r>
        <w:rPr>
          <w:rFonts w:ascii="GHEA Grapalat" w:hAnsi="GHEA Grapalat"/>
          <w:sz w:val="20"/>
          <w:szCs w:val="20"/>
        </w:rPr>
        <w:t xml:space="preserve">mostly downside </w:t>
      </w:r>
      <w:r w:rsidRPr="00B02DC0">
        <w:rPr>
          <w:rFonts w:ascii="GHEA Grapalat" w:hAnsi="GHEA Grapalat"/>
          <w:sz w:val="20"/>
          <w:szCs w:val="20"/>
        </w:rPr>
        <w:t>and quantitatively rather sizeable (see Chart 1: Inflation Forecast Probability Distribution).</w:t>
      </w:r>
    </w:p>
    <w:p w14:paraId="3117ECDC" w14:textId="77777777" w:rsidR="004F213F" w:rsidRPr="00CB4B64" w:rsidRDefault="004F213F" w:rsidP="004F213F">
      <w:pPr>
        <w:spacing w:before="120" w:line="288" w:lineRule="atLeast"/>
        <w:ind w:left="284"/>
        <w:rPr>
          <w:rFonts w:ascii="GHEA Grapalat" w:hAnsi="GHEA Grapalat"/>
          <w:b/>
          <w:i/>
          <w:sz w:val="20"/>
          <w:szCs w:val="20"/>
          <w:lang w:val="hy-AM"/>
        </w:rPr>
      </w:pPr>
      <w:r w:rsidRPr="00CB4B64">
        <w:rPr>
          <w:rFonts w:ascii="GHEA Grapalat" w:hAnsi="GHEA Grapalat"/>
          <w:b/>
          <w:i/>
          <w:sz w:val="20"/>
          <w:szCs w:val="20"/>
        </w:rPr>
        <w:t xml:space="preserve">In addition to the risks mentioned above, </w:t>
      </w:r>
      <w:r>
        <w:rPr>
          <w:rFonts w:ascii="GHEA Grapalat" w:hAnsi="GHEA Grapalat"/>
          <w:b/>
          <w:i/>
          <w:sz w:val="20"/>
          <w:szCs w:val="20"/>
        </w:rPr>
        <w:t xml:space="preserve">there are </w:t>
      </w:r>
      <w:r w:rsidRPr="00CB4B64">
        <w:rPr>
          <w:rFonts w:ascii="GHEA Grapalat" w:hAnsi="GHEA Grapalat"/>
          <w:b/>
          <w:i/>
          <w:sz w:val="20"/>
          <w:szCs w:val="20"/>
        </w:rPr>
        <w:t xml:space="preserve">other mid-term risks (which unfold in either </w:t>
      </w:r>
      <w:proofErr w:type="gramStart"/>
      <w:r w:rsidRPr="00CB4B64">
        <w:rPr>
          <w:rFonts w:ascii="GHEA Grapalat" w:hAnsi="GHEA Grapalat"/>
          <w:b/>
          <w:i/>
          <w:sz w:val="20"/>
          <w:szCs w:val="20"/>
        </w:rPr>
        <w:t>direction</w:t>
      </w:r>
      <w:proofErr w:type="gramEnd"/>
      <w:r w:rsidRPr="00CB4B64">
        <w:rPr>
          <w:rFonts w:ascii="GHEA Grapalat" w:hAnsi="GHEA Grapalat"/>
          <w:b/>
          <w:i/>
          <w:sz w:val="20"/>
          <w:szCs w:val="20"/>
        </w:rPr>
        <w:t xml:space="preserve"> but downside risks prevail, however) to potential economic growth</w:t>
      </w:r>
      <w:r>
        <w:rPr>
          <w:rFonts w:ascii="GHEA Grapalat" w:hAnsi="GHEA Grapalat"/>
          <w:b/>
          <w:i/>
          <w:sz w:val="20"/>
          <w:szCs w:val="20"/>
        </w:rPr>
        <w:t>. These risks</w:t>
      </w:r>
      <w:proofErr w:type="gramStart"/>
      <w:r>
        <w:rPr>
          <w:rFonts w:ascii="GHEA Grapalat" w:hAnsi="GHEA Grapalat"/>
          <w:b/>
          <w:i/>
          <w:sz w:val="20"/>
          <w:szCs w:val="20"/>
        </w:rPr>
        <w:t>, in particular, are</w:t>
      </w:r>
      <w:proofErr w:type="gramEnd"/>
      <w:r>
        <w:rPr>
          <w:rFonts w:ascii="GHEA Grapalat" w:hAnsi="GHEA Grapalat"/>
          <w:b/>
          <w:i/>
          <w:sz w:val="20"/>
          <w:szCs w:val="20"/>
        </w:rPr>
        <w:t xml:space="preserve"> associated with the following domestic factors:</w:t>
      </w:r>
    </w:p>
    <w:p w14:paraId="7DE681C5" w14:textId="77777777" w:rsidR="004F213F" w:rsidRPr="000757FB" w:rsidRDefault="004F213F" w:rsidP="004F213F">
      <w:pPr>
        <w:pStyle w:val="ListParagraph"/>
        <w:numPr>
          <w:ilvl w:val="0"/>
          <w:numId w:val="6"/>
        </w:numPr>
        <w:spacing w:after="0" w:line="288" w:lineRule="atLeast"/>
        <w:ind w:left="357" w:hanging="357"/>
        <w:rPr>
          <w:rFonts w:eastAsia="GHEA Grapalat" w:cs="GHEA Grapalat"/>
          <w:sz w:val="20"/>
          <w:szCs w:val="20"/>
          <w:lang w:val="hy-AM"/>
        </w:rPr>
      </w:pPr>
      <w:r w:rsidRPr="00B02DC0">
        <w:rPr>
          <w:sz w:val="20"/>
          <w:szCs w:val="20"/>
        </w:rPr>
        <w:t xml:space="preserve">The uncertainties </w:t>
      </w:r>
      <w:r>
        <w:rPr>
          <w:sz w:val="20"/>
          <w:szCs w:val="20"/>
        </w:rPr>
        <w:t xml:space="preserve">over </w:t>
      </w:r>
      <w:r w:rsidRPr="00B02DC0">
        <w:rPr>
          <w:sz w:val="20"/>
          <w:szCs w:val="20"/>
        </w:rPr>
        <w:t xml:space="preserve">further operating of </w:t>
      </w:r>
      <w:proofErr w:type="spellStart"/>
      <w:r w:rsidRPr="00B02DC0">
        <w:rPr>
          <w:sz w:val="20"/>
          <w:szCs w:val="20"/>
        </w:rPr>
        <w:t>Amulsar</w:t>
      </w:r>
      <w:proofErr w:type="spellEnd"/>
      <w:r w:rsidRPr="00B02DC0">
        <w:rPr>
          <w:sz w:val="20"/>
          <w:szCs w:val="20"/>
        </w:rPr>
        <w:t xml:space="preserve"> mine and Alaverdi copper smelter. </w:t>
      </w:r>
    </w:p>
    <w:p w14:paraId="0F0D5835" w14:textId="77777777" w:rsidR="004F213F" w:rsidRDefault="004F213F" w:rsidP="004F213F">
      <w:pPr>
        <w:pStyle w:val="ListParagraph"/>
        <w:numPr>
          <w:ilvl w:val="0"/>
          <w:numId w:val="6"/>
        </w:numPr>
        <w:spacing w:after="0" w:line="288" w:lineRule="atLeast"/>
        <w:rPr>
          <w:rFonts w:eastAsia="GHEA Grapalat" w:cs="GHEA Grapalat"/>
          <w:sz w:val="20"/>
          <w:szCs w:val="20"/>
          <w:lang w:val="hy-AM"/>
        </w:rPr>
      </w:pPr>
      <w:r w:rsidRPr="000757FB">
        <w:rPr>
          <w:rFonts w:eastAsia="GHEA Grapalat" w:cs="GHEA Grapalat"/>
          <w:b/>
          <w:i/>
          <w:sz w:val="20"/>
          <w:szCs w:val="20"/>
          <w:lang w:val="hy-AM"/>
        </w:rPr>
        <w:t xml:space="preserve">Low level of </w:t>
      </w:r>
      <w:r>
        <w:rPr>
          <w:rFonts w:eastAsia="GHEA Grapalat" w:cs="GHEA Grapalat"/>
          <w:b/>
          <w:i/>
          <w:sz w:val="20"/>
          <w:szCs w:val="20"/>
        </w:rPr>
        <w:t>confidence</w:t>
      </w:r>
      <w:r w:rsidRPr="000757FB">
        <w:rPr>
          <w:rFonts w:eastAsia="GHEA Grapalat" w:cs="GHEA Grapalat"/>
          <w:b/>
          <w:i/>
          <w:sz w:val="20"/>
          <w:szCs w:val="20"/>
        </w:rPr>
        <w:t>:</w:t>
      </w:r>
      <w:r w:rsidRPr="000757FB">
        <w:rPr>
          <w:rFonts w:eastAsia="GHEA Grapalat" w:cs="GHEA Grapalat"/>
          <w:sz w:val="20"/>
          <w:szCs w:val="20"/>
          <w:lang w:val="hy-AM"/>
        </w:rPr>
        <w:t xml:space="preserve"> Uncertainties</w:t>
      </w:r>
      <w:r>
        <w:rPr>
          <w:rFonts w:eastAsia="GHEA Grapalat" w:cs="GHEA Grapalat"/>
          <w:sz w:val="20"/>
          <w:szCs w:val="20"/>
        </w:rPr>
        <w:t xml:space="preserve"> over the course </w:t>
      </w:r>
      <w:r w:rsidRPr="000757FB">
        <w:rPr>
          <w:rFonts w:eastAsia="GHEA Grapalat" w:cs="GHEA Grapalat"/>
          <w:sz w:val="20"/>
          <w:szCs w:val="20"/>
          <w:lang w:val="hy-AM"/>
        </w:rPr>
        <w:t xml:space="preserve">of the </w:t>
      </w:r>
      <w:r>
        <w:rPr>
          <w:rFonts w:eastAsia="GHEA Grapalat" w:cs="GHEA Grapalat"/>
          <w:sz w:val="20"/>
          <w:szCs w:val="20"/>
        </w:rPr>
        <w:t>pandemic and of the anti-pandemic measures m</w:t>
      </w:r>
      <w:r w:rsidRPr="000757FB">
        <w:rPr>
          <w:rFonts w:eastAsia="GHEA Grapalat" w:cs="GHEA Grapalat"/>
          <w:sz w:val="20"/>
          <w:szCs w:val="20"/>
          <w:lang w:val="hy-AM"/>
        </w:rPr>
        <w:t xml:space="preserve">ay </w:t>
      </w:r>
      <w:r>
        <w:rPr>
          <w:rFonts w:eastAsia="GHEA Grapalat" w:cs="GHEA Grapalat"/>
          <w:sz w:val="20"/>
          <w:szCs w:val="20"/>
        </w:rPr>
        <w:t xml:space="preserve">result in a </w:t>
      </w:r>
      <w:r w:rsidRPr="000757FB">
        <w:rPr>
          <w:rFonts w:eastAsia="GHEA Grapalat" w:cs="GHEA Grapalat"/>
          <w:sz w:val="20"/>
          <w:szCs w:val="20"/>
          <w:lang w:val="hy-AM"/>
        </w:rPr>
        <w:t xml:space="preserve">low level of </w:t>
      </w:r>
      <w:r>
        <w:rPr>
          <w:rFonts w:eastAsia="GHEA Grapalat" w:cs="GHEA Grapalat"/>
          <w:sz w:val="20"/>
          <w:szCs w:val="20"/>
        </w:rPr>
        <w:t xml:space="preserve">confidence in </w:t>
      </w:r>
      <w:r w:rsidRPr="000757FB">
        <w:rPr>
          <w:rFonts w:eastAsia="GHEA Grapalat" w:cs="GHEA Grapalat"/>
          <w:sz w:val="20"/>
          <w:szCs w:val="20"/>
          <w:lang w:val="hy-AM"/>
        </w:rPr>
        <w:t>consumer</w:t>
      </w:r>
      <w:r>
        <w:rPr>
          <w:rFonts w:eastAsia="GHEA Grapalat" w:cs="GHEA Grapalat"/>
          <w:sz w:val="20"/>
          <w:szCs w:val="20"/>
        </w:rPr>
        <w:t xml:space="preserve"> and </w:t>
      </w:r>
      <w:r w:rsidRPr="000757FB">
        <w:rPr>
          <w:rFonts w:eastAsia="GHEA Grapalat" w:cs="GHEA Grapalat"/>
          <w:sz w:val="20"/>
          <w:szCs w:val="20"/>
          <w:lang w:val="hy-AM"/>
        </w:rPr>
        <w:t xml:space="preserve">business environment, which, if </w:t>
      </w:r>
      <w:r>
        <w:rPr>
          <w:rFonts w:eastAsia="GHEA Grapalat" w:cs="GHEA Grapalat"/>
          <w:sz w:val="20"/>
          <w:szCs w:val="20"/>
        </w:rPr>
        <w:t xml:space="preserve">persisted </w:t>
      </w:r>
      <w:r w:rsidRPr="000757FB">
        <w:rPr>
          <w:rFonts w:eastAsia="GHEA Grapalat" w:cs="GHEA Grapalat"/>
          <w:sz w:val="20"/>
          <w:szCs w:val="20"/>
          <w:lang w:val="hy-AM"/>
        </w:rPr>
        <w:t xml:space="preserve">over a long period of time, </w:t>
      </w:r>
      <w:r>
        <w:rPr>
          <w:rFonts w:eastAsia="GHEA Grapalat" w:cs="GHEA Grapalat"/>
          <w:sz w:val="20"/>
          <w:szCs w:val="20"/>
        </w:rPr>
        <w:t xml:space="preserve">would </w:t>
      </w:r>
      <w:r>
        <w:rPr>
          <w:rFonts w:eastAsia="GHEA Grapalat" w:cs="GHEA Grapalat"/>
          <w:sz w:val="20"/>
          <w:szCs w:val="20"/>
          <w:lang w:val="hy-AM"/>
        </w:rPr>
        <w:t>create</w:t>
      </w:r>
      <w:r w:rsidRPr="000757FB">
        <w:rPr>
          <w:rFonts w:eastAsia="GHEA Grapalat" w:cs="GHEA Grapalat"/>
          <w:sz w:val="20"/>
          <w:szCs w:val="20"/>
          <w:lang w:val="hy-AM"/>
        </w:rPr>
        <w:t xml:space="preserve"> additional risks to the mid-term GDP potential.</w:t>
      </w:r>
    </w:p>
    <w:p w14:paraId="0DFDA37A" w14:textId="77777777" w:rsidR="004F213F" w:rsidRPr="00670DC6" w:rsidRDefault="004F213F" w:rsidP="004F213F">
      <w:pPr>
        <w:pStyle w:val="ListParagraph"/>
        <w:numPr>
          <w:ilvl w:val="0"/>
          <w:numId w:val="6"/>
        </w:numPr>
        <w:spacing w:after="0" w:line="288" w:lineRule="atLeast"/>
        <w:rPr>
          <w:rFonts w:eastAsia="GHEA Grapalat" w:cs="GHEA Grapalat"/>
          <w:sz w:val="20"/>
          <w:szCs w:val="20"/>
          <w:lang w:val="hy-AM"/>
        </w:rPr>
      </w:pPr>
      <w:r w:rsidRPr="00781515">
        <w:rPr>
          <w:b/>
          <w:i/>
          <w:sz w:val="20"/>
          <w:szCs w:val="20"/>
        </w:rPr>
        <w:t>Change in consumption structure:</w:t>
      </w:r>
      <w:r w:rsidRPr="00781515">
        <w:rPr>
          <w:sz w:val="20"/>
          <w:szCs w:val="20"/>
        </w:rPr>
        <w:t xml:space="preserve"> In the event </w:t>
      </w:r>
      <w:r>
        <w:rPr>
          <w:sz w:val="20"/>
          <w:szCs w:val="20"/>
        </w:rPr>
        <w:t>of a long-lasting pandemic</w:t>
      </w:r>
      <w:r w:rsidRPr="00781515">
        <w:rPr>
          <w:sz w:val="20"/>
          <w:szCs w:val="20"/>
        </w:rPr>
        <w:t xml:space="preserve">, changes in the structure of consumption may </w:t>
      </w:r>
      <w:r>
        <w:rPr>
          <w:sz w:val="20"/>
          <w:szCs w:val="20"/>
        </w:rPr>
        <w:t>be inevitable – in p</w:t>
      </w:r>
      <w:r w:rsidRPr="00781515">
        <w:rPr>
          <w:sz w:val="20"/>
          <w:szCs w:val="20"/>
        </w:rPr>
        <w:t xml:space="preserve">articular, the share of services </w:t>
      </w:r>
      <w:r>
        <w:rPr>
          <w:sz w:val="20"/>
          <w:szCs w:val="20"/>
        </w:rPr>
        <w:t xml:space="preserve">prone to </w:t>
      </w:r>
      <w:r w:rsidRPr="00781515">
        <w:rPr>
          <w:sz w:val="20"/>
          <w:szCs w:val="20"/>
        </w:rPr>
        <w:t xml:space="preserve">social interaction may decrease, which poses additional risks in terms of redistribution of labor </w:t>
      </w:r>
      <w:r>
        <w:rPr>
          <w:sz w:val="20"/>
          <w:szCs w:val="20"/>
        </w:rPr>
        <w:t xml:space="preserve">force </w:t>
      </w:r>
      <w:r w:rsidRPr="00781515">
        <w:rPr>
          <w:sz w:val="20"/>
          <w:szCs w:val="20"/>
        </w:rPr>
        <w:t xml:space="preserve">in the medium term and may contribute to </w:t>
      </w:r>
      <w:r>
        <w:rPr>
          <w:sz w:val="20"/>
          <w:szCs w:val="20"/>
        </w:rPr>
        <w:t xml:space="preserve">an </w:t>
      </w:r>
      <w:r w:rsidRPr="00781515">
        <w:rPr>
          <w:sz w:val="20"/>
          <w:szCs w:val="20"/>
        </w:rPr>
        <w:t>increase</w:t>
      </w:r>
      <w:r>
        <w:rPr>
          <w:sz w:val="20"/>
          <w:szCs w:val="20"/>
        </w:rPr>
        <w:t xml:space="preserve"> of </w:t>
      </w:r>
      <w:r w:rsidRPr="00781515">
        <w:rPr>
          <w:sz w:val="20"/>
          <w:szCs w:val="20"/>
        </w:rPr>
        <w:t>structural unemployment.</w:t>
      </w:r>
    </w:p>
    <w:p w14:paraId="567537F7" w14:textId="77777777" w:rsidR="004F213F" w:rsidRPr="00670DC6" w:rsidRDefault="004F213F" w:rsidP="004F213F">
      <w:pPr>
        <w:pStyle w:val="ListParagraph"/>
        <w:numPr>
          <w:ilvl w:val="0"/>
          <w:numId w:val="6"/>
        </w:numPr>
        <w:spacing w:after="0" w:line="288" w:lineRule="atLeast"/>
        <w:rPr>
          <w:rFonts w:eastAsia="GHEA Grapalat" w:cs="GHEA Grapalat"/>
          <w:b/>
          <w:i/>
          <w:sz w:val="20"/>
          <w:szCs w:val="20"/>
          <w:lang w:val="hy-AM"/>
        </w:rPr>
      </w:pPr>
      <w:r>
        <w:rPr>
          <w:b/>
          <w:i/>
          <w:sz w:val="20"/>
          <w:szCs w:val="20"/>
        </w:rPr>
        <w:t xml:space="preserve">The pace of </w:t>
      </w:r>
      <w:r w:rsidRPr="00670DC6">
        <w:rPr>
          <w:b/>
          <w:i/>
          <w:sz w:val="20"/>
          <w:szCs w:val="20"/>
        </w:rPr>
        <w:t>Government</w:t>
      </w:r>
      <w:r>
        <w:rPr>
          <w:b/>
          <w:i/>
          <w:sz w:val="20"/>
          <w:szCs w:val="20"/>
        </w:rPr>
        <w:t>-led</w:t>
      </w:r>
      <w:r w:rsidRPr="00670DC6">
        <w:rPr>
          <w:b/>
          <w:i/>
          <w:sz w:val="20"/>
          <w:szCs w:val="20"/>
        </w:rPr>
        <w:t xml:space="preserve"> reform</w:t>
      </w:r>
      <w:r>
        <w:rPr>
          <w:b/>
          <w:i/>
          <w:sz w:val="20"/>
          <w:szCs w:val="20"/>
        </w:rPr>
        <w:t>s and</w:t>
      </w:r>
      <w:r w:rsidRPr="00670DC6">
        <w:rPr>
          <w:b/>
          <w:i/>
          <w:sz w:val="20"/>
          <w:szCs w:val="20"/>
        </w:rPr>
        <w:t xml:space="preserve"> </w:t>
      </w:r>
      <w:r>
        <w:rPr>
          <w:b/>
          <w:i/>
          <w:sz w:val="20"/>
          <w:szCs w:val="20"/>
        </w:rPr>
        <w:t xml:space="preserve">the extent and </w:t>
      </w:r>
      <w:r w:rsidRPr="00670DC6">
        <w:rPr>
          <w:b/>
          <w:i/>
          <w:sz w:val="20"/>
          <w:szCs w:val="20"/>
        </w:rPr>
        <w:t>content of medium-term growth measures.</w:t>
      </w:r>
    </w:p>
    <w:p w14:paraId="69F0E4DB" w14:textId="77777777" w:rsidR="004F213F" w:rsidRDefault="004F213F" w:rsidP="004F213F">
      <w:pPr>
        <w:pStyle w:val="ListParagraph"/>
        <w:spacing w:after="0" w:line="288" w:lineRule="atLeast"/>
        <w:ind w:left="360"/>
        <w:rPr>
          <w:rFonts w:eastAsia="GHEA Grapalat" w:cs="GHEA Grapalat"/>
          <w:b/>
          <w:i/>
          <w:sz w:val="20"/>
          <w:szCs w:val="20"/>
          <w:lang w:val="hy-AM"/>
        </w:rPr>
      </w:pPr>
    </w:p>
    <w:p w14:paraId="59889580" w14:textId="77777777" w:rsidR="004F213F" w:rsidRDefault="004F213F" w:rsidP="004F213F">
      <w:pPr>
        <w:pStyle w:val="ListParagraph"/>
        <w:spacing w:after="0" w:line="288" w:lineRule="atLeast"/>
        <w:ind w:left="360"/>
        <w:rPr>
          <w:sz w:val="20"/>
          <w:szCs w:val="20"/>
        </w:rPr>
      </w:pPr>
      <w:r w:rsidRPr="00355AA1">
        <w:rPr>
          <w:sz w:val="20"/>
          <w:szCs w:val="20"/>
        </w:rPr>
        <w:t xml:space="preserve">In general, as there are major uncertainties </w:t>
      </w:r>
      <w:r>
        <w:rPr>
          <w:sz w:val="20"/>
          <w:szCs w:val="20"/>
        </w:rPr>
        <w:t xml:space="preserve">about </w:t>
      </w:r>
      <w:r w:rsidRPr="00355AA1">
        <w:rPr>
          <w:sz w:val="20"/>
          <w:szCs w:val="20"/>
        </w:rPr>
        <w:t>the health</w:t>
      </w:r>
      <w:r>
        <w:rPr>
          <w:sz w:val="20"/>
          <w:szCs w:val="20"/>
        </w:rPr>
        <w:t>care situation</w:t>
      </w:r>
      <w:r w:rsidRPr="00355AA1">
        <w:rPr>
          <w:sz w:val="20"/>
          <w:szCs w:val="20"/>
        </w:rPr>
        <w:t xml:space="preserve">, </w:t>
      </w:r>
      <w:r>
        <w:rPr>
          <w:sz w:val="20"/>
          <w:szCs w:val="20"/>
        </w:rPr>
        <w:t xml:space="preserve">hence further developments in the economy, </w:t>
      </w:r>
      <w:r w:rsidRPr="00355AA1">
        <w:rPr>
          <w:sz w:val="20"/>
          <w:szCs w:val="20"/>
        </w:rPr>
        <w:t xml:space="preserve">the Central Bank is trying to reduce the potential risks </w:t>
      </w:r>
      <w:r>
        <w:rPr>
          <w:sz w:val="20"/>
          <w:szCs w:val="20"/>
        </w:rPr>
        <w:t>deriving from t</w:t>
      </w:r>
      <w:r w:rsidRPr="00355AA1">
        <w:rPr>
          <w:sz w:val="20"/>
          <w:szCs w:val="20"/>
        </w:rPr>
        <w:t xml:space="preserve">hese uncertainties by </w:t>
      </w:r>
      <w:r>
        <w:rPr>
          <w:sz w:val="20"/>
          <w:szCs w:val="20"/>
        </w:rPr>
        <w:t xml:space="preserve">developing </w:t>
      </w:r>
      <w:r w:rsidRPr="00355AA1">
        <w:rPr>
          <w:sz w:val="20"/>
          <w:szCs w:val="20"/>
        </w:rPr>
        <w:t xml:space="preserve">and discussing various scenarios </w:t>
      </w:r>
      <w:r>
        <w:rPr>
          <w:sz w:val="20"/>
          <w:szCs w:val="20"/>
        </w:rPr>
        <w:t xml:space="preserve">while viewing the possibilities of policy response, which would allow to react to the situation accordingly </w:t>
      </w:r>
      <w:r w:rsidRPr="00355AA1">
        <w:rPr>
          <w:sz w:val="20"/>
          <w:szCs w:val="20"/>
        </w:rPr>
        <w:t xml:space="preserve">at the </w:t>
      </w:r>
      <w:r>
        <w:rPr>
          <w:sz w:val="20"/>
          <w:szCs w:val="20"/>
        </w:rPr>
        <w:t xml:space="preserve">very </w:t>
      </w:r>
      <w:r w:rsidRPr="00355AA1">
        <w:rPr>
          <w:sz w:val="20"/>
          <w:szCs w:val="20"/>
        </w:rPr>
        <w:t xml:space="preserve">first signs </w:t>
      </w:r>
      <w:r>
        <w:rPr>
          <w:sz w:val="20"/>
          <w:szCs w:val="20"/>
        </w:rPr>
        <w:t>when these risks materialize</w:t>
      </w:r>
      <w:r w:rsidRPr="00355AA1">
        <w:rPr>
          <w:sz w:val="20"/>
          <w:szCs w:val="20"/>
        </w:rPr>
        <w:t>.</w:t>
      </w:r>
    </w:p>
    <w:p w14:paraId="67DC3793" w14:textId="77777777" w:rsidR="004F213F" w:rsidRDefault="004F213F" w:rsidP="004F213F">
      <w:pPr>
        <w:pStyle w:val="ListParagraph"/>
        <w:spacing w:after="0" w:line="288" w:lineRule="atLeast"/>
        <w:ind w:left="360"/>
        <w:rPr>
          <w:sz w:val="20"/>
          <w:szCs w:val="20"/>
        </w:rPr>
      </w:pPr>
    </w:p>
    <w:p w14:paraId="064CE7B6" w14:textId="77777777" w:rsidR="004F213F" w:rsidRDefault="004F213F" w:rsidP="004F213F">
      <w:pPr>
        <w:pStyle w:val="ListParagraph"/>
        <w:spacing w:after="0" w:line="288" w:lineRule="atLeast"/>
        <w:ind w:left="360"/>
        <w:rPr>
          <w:sz w:val="20"/>
          <w:szCs w:val="20"/>
        </w:rPr>
      </w:pPr>
      <w:r>
        <w:rPr>
          <w:sz w:val="20"/>
          <w:szCs w:val="20"/>
        </w:rPr>
        <w:t>Box 3</w:t>
      </w:r>
    </w:p>
    <w:p w14:paraId="4F61D468" w14:textId="77777777" w:rsidR="004F213F" w:rsidRDefault="004F213F" w:rsidP="004F213F">
      <w:pPr>
        <w:pStyle w:val="ListParagraph"/>
        <w:spacing w:after="0" w:line="288" w:lineRule="atLeast"/>
        <w:ind w:left="360"/>
        <w:rPr>
          <w:sz w:val="20"/>
          <w:szCs w:val="20"/>
        </w:rPr>
      </w:pPr>
      <w:r>
        <w:rPr>
          <w:sz w:val="20"/>
          <w:szCs w:val="20"/>
        </w:rPr>
        <w:t>An alternative program in case the second wave of pandemic develops.</w:t>
      </w:r>
    </w:p>
    <w:p w14:paraId="771E88D2" w14:textId="77777777" w:rsidR="004F213F" w:rsidRDefault="004F213F" w:rsidP="004F213F">
      <w:pPr>
        <w:pStyle w:val="ListParagraph"/>
        <w:spacing w:after="0" w:line="288" w:lineRule="atLeast"/>
        <w:ind w:left="360"/>
        <w:rPr>
          <w:sz w:val="20"/>
          <w:szCs w:val="20"/>
        </w:rPr>
      </w:pPr>
      <w:r>
        <w:rPr>
          <w:sz w:val="20"/>
          <w:szCs w:val="20"/>
        </w:rPr>
        <w:t xml:space="preserve">Uncertainty over future economic developments has risen sharply around the world due to the coronavirus pandemic. The Central Bank considers that in such a circumstance identifying potential risks in time and appropriate response thereto is critical. Therefore, along with baseline scenario, alternative scenarios have been developed by changing some of the key judgements underlying the baseline scenario. </w:t>
      </w:r>
    </w:p>
    <w:p w14:paraId="6973E7D5" w14:textId="77777777" w:rsidR="004F213F" w:rsidRDefault="004F213F" w:rsidP="004F213F">
      <w:pPr>
        <w:pStyle w:val="ListParagraph"/>
        <w:spacing w:after="0" w:line="288" w:lineRule="atLeast"/>
        <w:ind w:left="360"/>
        <w:rPr>
          <w:sz w:val="20"/>
          <w:szCs w:val="20"/>
        </w:rPr>
      </w:pPr>
      <w:r>
        <w:rPr>
          <w:sz w:val="20"/>
          <w:szCs w:val="20"/>
        </w:rPr>
        <w:t xml:space="preserve">This box briefly outlines two scenarios of alternative developments (and how to react thereto) that will occur if a new major wave of coronavirus outbreaks in the second </w:t>
      </w:r>
      <w:proofErr w:type="spellStart"/>
      <w:r>
        <w:rPr>
          <w:sz w:val="20"/>
          <w:szCs w:val="20"/>
        </w:rPr>
        <w:t>hald</w:t>
      </w:r>
      <w:proofErr w:type="spellEnd"/>
      <w:r>
        <w:rPr>
          <w:sz w:val="20"/>
          <w:szCs w:val="20"/>
        </w:rPr>
        <w:t xml:space="preserve"> of the year after some stabilization </w:t>
      </w:r>
      <w:r>
        <w:rPr>
          <w:sz w:val="20"/>
          <w:szCs w:val="20"/>
        </w:rPr>
        <w:lastRenderedPageBreak/>
        <w:t xml:space="preserve">of the current pandemic situation. If the first alternative scenario (conventionally, too pessimistic scenario) unfolds, it was assumed that the so-called W-shaped developments are taking place both in the world and Armenia. The second scenario is based only on the assumption of the outbreak of the second wave in Armenia on the back of a relatively stable situation established worldwide (pessimistic scenario). It should be noted that in both cases the probability of the outbreak of the second wave in Armenia largely depends on the scope and quality by which the required anti-pandemic measures are taken and relevant healthcare rules followed. </w:t>
      </w:r>
    </w:p>
    <w:p w14:paraId="1E91C6D9" w14:textId="6CF266A5" w:rsidR="004F213F" w:rsidRDefault="004F213F" w:rsidP="004F213F">
      <w:pPr>
        <w:pStyle w:val="ListParagraph"/>
        <w:spacing w:after="0" w:line="288" w:lineRule="atLeast"/>
        <w:ind w:left="360"/>
        <w:rPr>
          <w:sz w:val="20"/>
          <w:szCs w:val="20"/>
        </w:rPr>
      </w:pPr>
      <w:r>
        <w:rPr>
          <w:sz w:val="20"/>
          <w:szCs w:val="20"/>
        </w:rPr>
        <w:t xml:space="preserve">In case of a too pessimistic scenario, the economy will be characterized by most adverse growth developments relative to the baseline scenario, due to further reduction of both </w:t>
      </w:r>
      <w:r>
        <w:rPr>
          <w:sz w:val="20"/>
          <w:szCs w:val="20"/>
        </w:rPr>
        <w:t>external</w:t>
      </w:r>
      <w:r>
        <w:rPr>
          <w:sz w:val="20"/>
          <w:szCs w:val="20"/>
        </w:rPr>
        <w:t xml:space="preserve"> and domestic demand, which will exert additional deflationary pressures on the Armenian economy. As a result, all else being equal, the Central Bank will have to take further stimulative </w:t>
      </w:r>
      <w:r>
        <w:rPr>
          <w:sz w:val="20"/>
          <w:szCs w:val="20"/>
        </w:rPr>
        <w:t>steps</w:t>
      </w:r>
      <w:r>
        <w:rPr>
          <w:sz w:val="20"/>
          <w:szCs w:val="20"/>
        </w:rPr>
        <w:t xml:space="preserve"> by reducing its refinancing rate to fulfil the inflation target in the medium run. Under a pessimistic scenario, no additional negative pressures will be observable from the outside world relative to the baseline scenario but, again, economic growth rates will decrease as the domestic economic activity slows and demand reduces. In this case too, the Central Bank will, all else being equal, take additional stimulative steps, but to a lesser extent than it will be needed in the event a highly pessimistic alternative scenario unfolds. </w:t>
      </w:r>
    </w:p>
    <w:p w14:paraId="59863EF5" w14:textId="2A9E69A4" w:rsidR="004F213F" w:rsidRDefault="004F213F" w:rsidP="004F213F">
      <w:pPr>
        <w:pStyle w:val="ListParagraph"/>
        <w:spacing w:after="0" w:line="288" w:lineRule="atLeast"/>
        <w:ind w:left="360"/>
        <w:rPr>
          <w:sz w:val="20"/>
          <w:szCs w:val="20"/>
        </w:rPr>
      </w:pPr>
      <w:r>
        <w:rPr>
          <w:sz w:val="20"/>
          <w:szCs w:val="20"/>
        </w:rPr>
        <w:t xml:space="preserve">It is important to note that the predictions made under these alternative scenarios are based on the assumption of an unaltered response of the Government relative to the baseline scenario. On the other hand, it is obvious that in case of pessimistic developments the Government will most likely take extra stimulative socio-economic measures, in </w:t>
      </w:r>
      <w:r>
        <w:rPr>
          <w:sz w:val="20"/>
          <w:szCs w:val="20"/>
        </w:rPr>
        <w:t>which</w:t>
      </w:r>
      <w:r>
        <w:rPr>
          <w:sz w:val="20"/>
          <w:szCs w:val="20"/>
        </w:rPr>
        <w:t xml:space="preserve"> event actual weakening of the economy will be milder than described above. </w:t>
      </w:r>
    </w:p>
    <w:p w14:paraId="0E2A2BD4" w14:textId="77777777" w:rsidR="004F213F" w:rsidRPr="00355AA1" w:rsidRDefault="004F213F" w:rsidP="004F213F">
      <w:pPr>
        <w:pageBreakBefore/>
        <w:autoSpaceDE w:val="0"/>
        <w:autoSpaceDN w:val="0"/>
        <w:adjustRightInd w:val="0"/>
        <w:spacing w:after="200" w:line="312" w:lineRule="auto"/>
        <w:ind w:left="357" w:hanging="357"/>
        <w:contextualSpacing/>
        <w:rPr>
          <w:rFonts w:ascii="GHEA Grapalat" w:hAnsi="GHEA Grapalat" w:cs="GHEA Grapalat"/>
          <w:b/>
          <w:color w:val="1F497D"/>
          <w:spacing w:val="40"/>
          <w:sz w:val="22"/>
          <w:szCs w:val="22"/>
        </w:rPr>
      </w:pPr>
      <w:r w:rsidRPr="0054348F">
        <w:rPr>
          <w:rFonts w:ascii="GHEA Grapalat" w:hAnsi="GHEA Grapalat" w:cs="GHEA Grapalat"/>
          <w:b/>
          <w:color w:val="1F497D"/>
          <w:spacing w:val="40"/>
          <w:sz w:val="22"/>
          <w:szCs w:val="22"/>
          <w:lang w:val="hy-AM"/>
        </w:rPr>
        <w:lastRenderedPageBreak/>
        <w:t xml:space="preserve">3. </w:t>
      </w:r>
      <w:r w:rsidRPr="00CB4B64">
        <w:rPr>
          <w:rFonts w:ascii="GHEA Grapalat" w:hAnsi="GHEA Grapalat" w:cs="GHEA Grapalat"/>
          <w:b/>
          <w:color w:val="1F497D"/>
          <w:spacing w:val="40"/>
          <w:sz w:val="22"/>
          <w:szCs w:val="22"/>
          <w:lang w:val="hy-AM"/>
        </w:rPr>
        <w:t>ACTUAL DEVELOPMENTS IN Q</w:t>
      </w:r>
      <w:r>
        <w:rPr>
          <w:rFonts w:ascii="GHEA Grapalat" w:hAnsi="GHEA Grapalat" w:cs="GHEA Grapalat"/>
          <w:b/>
          <w:color w:val="1F497D"/>
          <w:spacing w:val="40"/>
          <w:sz w:val="22"/>
          <w:szCs w:val="22"/>
        </w:rPr>
        <w:t>1</w:t>
      </w:r>
      <w:r w:rsidRPr="00CB4B64">
        <w:rPr>
          <w:rFonts w:ascii="GHEA Grapalat" w:hAnsi="GHEA Grapalat" w:cs="GHEA Grapalat"/>
          <w:b/>
          <w:color w:val="1F497D"/>
          <w:spacing w:val="40"/>
          <w:sz w:val="22"/>
          <w:szCs w:val="22"/>
          <w:lang w:val="hy-AM"/>
        </w:rPr>
        <w:t>, 20</w:t>
      </w:r>
      <w:r>
        <w:rPr>
          <w:rFonts w:ascii="GHEA Grapalat" w:hAnsi="GHEA Grapalat" w:cs="GHEA Grapalat"/>
          <w:b/>
          <w:color w:val="1F497D"/>
          <w:spacing w:val="40"/>
          <w:sz w:val="22"/>
          <w:szCs w:val="22"/>
        </w:rPr>
        <w:t>20</w:t>
      </w:r>
    </w:p>
    <w:p w14:paraId="02E009EF" w14:textId="77777777" w:rsidR="004F213F" w:rsidRPr="00566DD1" w:rsidRDefault="004F213F" w:rsidP="004F213F">
      <w:pPr>
        <w:autoSpaceDE w:val="0"/>
        <w:autoSpaceDN w:val="0"/>
        <w:adjustRightInd w:val="0"/>
        <w:ind w:left="363" w:hanging="363"/>
        <w:rPr>
          <w:rFonts w:ascii="Sylfaen" w:hAnsi="Sylfaen" w:cs="GHEA Grapalat"/>
          <w:b/>
          <w:color w:val="1F497D"/>
          <w:spacing w:val="40"/>
          <w:sz w:val="40"/>
          <w:szCs w:val="40"/>
          <w:lang w:val="hy-AM"/>
        </w:rPr>
      </w:pPr>
    </w:p>
    <w:p w14:paraId="67E9C5DA" w14:textId="77777777" w:rsidR="004F213F" w:rsidRPr="00566DD1" w:rsidRDefault="004F213F" w:rsidP="004F213F">
      <w:pPr>
        <w:autoSpaceDE w:val="0"/>
        <w:autoSpaceDN w:val="0"/>
        <w:adjustRightInd w:val="0"/>
        <w:ind w:left="363" w:hanging="363"/>
        <w:rPr>
          <w:rFonts w:ascii="Sylfaen" w:hAnsi="Sylfaen" w:cs="GHEA Grapalat"/>
          <w:b/>
          <w:color w:val="1F497D"/>
          <w:spacing w:val="40"/>
          <w:sz w:val="64"/>
          <w:szCs w:val="40"/>
          <w:lang w:val="hy-AM"/>
        </w:rPr>
      </w:pPr>
    </w:p>
    <w:p w14:paraId="0E582699" w14:textId="77777777" w:rsidR="004F213F" w:rsidRPr="0054348F" w:rsidRDefault="004F213F" w:rsidP="004F213F">
      <w:pPr>
        <w:spacing w:line="300" w:lineRule="atLeast"/>
        <w:rPr>
          <w:rFonts w:ascii="GHEA Grapalat" w:hAnsi="GHEA Grapalat"/>
          <w:b/>
          <w:color w:val="1F497D"/>
          <w:spacing w:val="20"/>
          <w:sz w:val="20"/>
          <w:szCs w:val="20"/>
          <w:lang w:val="hy-AM"/>
        </w:rPr>
      </w:pPr>
      <w:r w:rsidRPr="0054348F">
        <w:rPr>
          <w:rFonts w:ascii="GHEA Grapalat" w:hAnsi="GHEA Grapalat"/>
          <w:b/>
          <w:color w:val="1F497D"/>
          <w:spacing w:val="20"/>
          <w:sz w:val="20"/>
          <w:szCs w:val="20"/>
          <w:lang w:val="hy-AM"/>
        </w:rPr>
        <w:t xml:space="preserve">3.1. </w:t>
      </w:r>
      <w:r w:rsidRPr="00CB4B64">
        <w:rPr>
          <w:rFonts w:ascii="GHEA Grapalat" w:hAnsi="GHEA Grapalat"/>
          <w:b/>
          <w:color w:val="1F497D"/>
          <w:spacing w:val="20"/>
          <w:sz w:val="20"/>
          <w:szCs w:val="20"/>
          <w:lang w:val="hy-AM"/>
        </w:rPr>
        <w:t>Inflation</w:t>
      </w:r>
    </w:p>
    <w:p w14:paraId="66CD835C" w14:textId="77777777" w:rsidR="004F213F" w:rsidRPr="0054348F" w:rsidRDefault="004F213F" w:rsidP="004F213F">
      <w:pPr>
        <w:ind w:firstLine="284"/>
        <w:rPr>
          <w:rFonts w:ascii="Arial Armenian" w:hAnsi="Arial Armenian"/>
          <w:b/>
          <w:color w:val="1F497D"/>
          <w:sz w:val="16"/>
          <w:szCs w:val="20"/>
          <w:lang w:val="hy-AM"/>
        </w:rPr>
      </w:pPr>
    </w:p>
    <w:p w14:paraId="75356112" w14:textId="77777777" w:rsidR="004F213F" w:rsidRPr="0054348F" w:rsidRDefault="004F213F" w:rsidP="004F213F">
      <w:pPr>
        <w:spacing w:after="120" w:line="300" w:lineRule="atLeast"/>
        <w:ind w:firstLine="284"/>
        <w:rPr>
          <w:rFonts w:ascii="GHEA Grapalat" w:hAnsi="GHEA Grapalat"/>
          <w:b/>
          <w:color w:val="1F497D"/>
          <w:sz w:val="20"/>
          <w:szCs w:val="20"/>
          <w:lang w:val="hy-AM"/>
        </w:rPr>
      </w:pPr>
      <w:r w:rsidRPr="0054348F">
        <w:rPr>
          <w:rFonts w:ascii="GHEA Grapalat" w:hAnsi="GHEA Grapalat"/>
          <w:b/>
          <w:color w:val="1F497D"/>
          <w:sz w:val="20"/>
          <w:szCs w:val="20"/>
          <w:lang w:val="hy-AM"/>
        </w:rPr>
        <w:t xml:space="preserve">3.1.1. </w:t>
      </w:r>
      <w:r w:rsidRPr="00CB4B64">
        <w:rPr>
          <w:rFonts w:ascii="GHEA Grapalat" w:hAnsi="GHEA Grapalat"/>
          <w:b/>
          <w:color w:val="1F497D"/>
          <w:sz w:val="20"/>
          <w:szCs w:val="20"/>
          <w:lang w:val="hy-AM"/>
        </w:rPr>
        <w:t>Fulfilment of the inflation target</w:t>
      </w:r>
    </w:p>
    <w:p w14:paraId="1BD9EB06" w14:textId="77777777" w:rsidR="004F213F" w:rsidRPr="00466558" w:rsidRDefault="004F213F" w:rsidP="004F213F">
      <w:pPr>
        <w:spacing w:line="340" w:lineRule="atLeast"/>
        <w:ind w:firstLine="284"/>
        <w:rPr>
          <w:rFonts w:ascii="GHEA Grapalat" w:eastAsia="Calibri" w:hAnsi="GHEA Grapalat"/>
          <w:sz w:val="20"/>
          <w:szCs w:val="20"/>
          <w:lang w:val="hy-AM"/>
        </w:rPr>
      </w:pPr>
      <w:r w:rsidRPr="005A06C3">
        <w:rPr>
          <w:rFonts w:ascii="GHEA Grapalat" w:hAnsi="GHEA Grapalat"/>
          <w:sz w:val="20"/>
          <w:szCs w:val="20"/>
        </w:rPr>
        <w:t xml:space="preserve">According to the </w:t>
      </w:r>
      <w:r>
        <w:rPr>
          <w:rFonts w:ascii="GHEA Grapalat" w:hAnsi="GHEA Grapalat"/>
          <w:sz w:val="20"/>
          <w:szCs w:val="20"/>
        </w:rPr>
        <w:t xml:space="preserve">MP program for the </w:t>
      </w:r>
      <w:r w:rsidRPr="005A06C3">
        <w:rPr>
          <w:rFonts w:ascii="GHEA Grapalat" w:hAnsi="GHEA Grapalat"/>
          <w:sz w:val="20"/>
          <w:szCs w:val="20"/>
        </w:rPr>
        <w:t>second quarte</w:t>
      </w:r>
      <w:r>
        <w:rPr>
          <w:rFonts w:ascii="GHEA Grapalat" w:hAnsi="GHEA Grapalat"/>
          <w:sz w:val="20"/>
          <w:szCs w:val="20"/>
        </w:rPr>
        <w:t xml:space="preserve">r of 2019, </w:t>
      </w:r>
      <w:r w:rsidRPr="005A06C3">
        <w:rPr>
          <w:rFonts w:ascii="GHEA Grapalat" w:hAnsi="GHEA Grapalat"/>
          <w:sz w:val="20"/>
          <w:szCs w:val="20"/>
        </w:rPr>
        <w:t xml:space="preserve">a low inflationary environment was </w:t>
      </w:r>
      <w:r>
        <w:rPr>
          <w:rFonts w:ascii="GHEA Grapalat" w:hAnsi="GHEA Grapalat"/>
          <w:sz w:val="20"/>
          <w:szCs w:val="20"/>
        </w:rPr>
        <w:t>predicted f</w:t>
      </w:r>
      <w:r w:rsidRPr="005A06C3">
        <w:rPr>
          <w:rFonts w:ascii="GHEA Grapalat" w:hAnsi="GHEA Grapalat"/>
          <w:sz w:val="20"/>
          <w:szCs w:val="20"/>
        </w:rPr>
        <w:t xml:space="preserve">or the year preceding the second quarter of 2020, </w:t>
      </w:r>
      <w:r>
        <w:rPr>
          <w:rFonts w:ascii="GHEA Grapalat" w:hAnsi="GHEA Grapalat"/>
          <w:sz w:val="20"/>
          <w:szCs w:val="20"/>
        </w:rPr>
        <w:t xml:space="preserve">in view of the anticipated </w:t>
      </w:r>
      <w:r w:rsidRPr="005A06C3">
        <w:rPr>
          <w:rFonts w:ascii="GHEA Grapalat" w:hAnsi="GHEA Grapalat"/>
          <w:sz w:val="20"/>
          <w:szCs w:val="20"/>
        </w:rPr>
        <w:t xml:space="preserve">weak </w:t>
      </w:r>
      <w:r>
        <w:rPr>
          <w:rFonts w:ascii="GHEA Grapalat" w:hAnsi="GHEA Grapalat"/>
          <w:sz w:val="20"/>
          <w:szCs w:val="20"/>
        </w:rPr>
        <w:t xml:space="preserve">aggregate </w:t>
      </w:r>
      <w:r w:rsidRPr="005A06C3">
        <w:rPr>
          <w:rFonts w:ascii="GHEA Grapalat" w:hAnsi="GHEA Grapalat"/>
          <w:sz w:val="20"/>
          <w:szCs w:val="20"/>
        </w:rPr>
        <w:t>deman</w:t>
      </w:r>
      <w:r w:rsidRPr="005B253A">
        <w:rPr>
          <w:rFonts w:ascii="GHEA Grapalat" w:hAnsi="GHEA Grapalat"/>
          <w:sz w:val="20"/>
          <w:szCs w:val="20"/>
        </w:rPr>
        <w:t xml:space="preserve">d. The latter, in turn, </w:t>
      </w:r>
      <w:r>
        <w:rPr>
          <w:rFonts w:ascii="GHEA Grapalat" w:hAnsi="GHEA Grapalat"/>
          <w:sz w:val="20"/>
          <w:szCs w:val="20"/>
        </w:rPr>
        <w:t xml:space="preserve">had to incur the impact of the contractionary </w:t>
      </w:r>
      <w:r w:rsidRPr="005B253A">
        <w:rPr>
          <w:rFonts w:ascii="GHEA Grapalat" w:hAnsi="GHEA Grapalat"/>
          <w:sz w:val="20"/>
          <w:szCs w:val="20"/>
        </w:rPr>
        <w:t xml:space="preserve">fiscal policy </w:t>
      </w:r>
      <w:r>
        <w:rPr>
          <w:rFonts w:ascii="GHEA Grapalat" w:hAnsi="GHEA Grapalat"/>
          <w:sz w:val="20"/>
          <w:szCs w:val="20"/>
        </w:rPr>
        <w:t xml:space="preserve">to be implemented and the impact of a </w:t>
      </w:r>
      <w:r w:rsidRPr="005B253A">
        <w:rPr>
          <w:rFonts w:ascii="GHEA Grapalat" w:hAnsi="GHEA Grapalat"/>
          <w:sz w:val="20"/>
          <w:szCs w:val="20"/>
        </w:rPr>
        <w:t xml:space="preserve">low inflationary environment </w:t>
      </w:r>
      <w:r>
        <w:rPr>
          <w:rFonts w:ascii="GHEA Grapalat" w:hAnsi="GHEA Grapalat"/>
          <w:sz w:val="20"/>
          <w:szCs w:val="20"/>
        </w:rPr>
        <w:t xml:space="preserve">transmitting from </w:t>
      </w:r>
      <w:r w:rsidRPr="005B253A">
        <w:rPr>
          <w:rFonts w:ascii="GHEA Grapalat" w:hAnsi="GHEA Grapalat"/>
          <w:sz w:val="20"/>
          <w:szCs w:val="20"/>
        </w:rPr>
        <w:t xml:space="preserve">the </w:t>
      </w:r>
      <w:r>
        <w:rPr>
          <w:rFonts w:ascii="GHEA Grapalat" w:hAnsi="GHEA Grapalat"/>
          <w:sz w:val="20"/>
          <w:szCs w:val="20"/>
        </w:rPr>
        <w:t>external sector</w:t>
      </w:r>
      <w:r w:rsidRPr="005B253A">
        <w:rPr>
          <w:rFonts w:ascii="GHEA Grapalat" w:hAnsi="GHEA Grapalat"/>
          <w:sz w:val="20"/>
          <w:szCs w:val="20"/>
        </w:rPr>
        <w:t>.</w:t>
      </w:r>
      <w:r>
        <w:rPr>
          <w:rFonts w:ascii="GHEA Grapalat" w:hAnsi="GHEA Grapalat"/>
          <w:sz w:val="20"/>
          <w:szCs w:val="20"/>
        </w:rPr>
        <w:t xml:space="preserve"> Under such conditions, </w:t>
      </w:r>
      <w:r w:rsidRPr="005A06C3">
        <w:rPr>
          <w:rFonts w:ascii="GHEA Grapalat" w:hAnsi="GHEA Grapalat"/>
          <w:sz w:val="20"/>
          <w:szCs w:val="20"/>
        </w:rPr>
        <w:t xml:space="preserve">the Central Bank </w:t>
      </w:r>
      <w:r>
        <w:rPr>
          <w:rFonts w:ascii="GHEA Grapalat" w:hAnsi="GHEA Grapalat"/>
          <w:sz w:val="20"/>
          <w:szCs w:val="20"/>
        </w:rPr>
        <w:t xml:space="preserve">would have to </w:t>
      </w:r>
      <w:r w:rsidRPr="005A06C3">
        <w:rPr>
          <w:rFonts w:ascii="GHEA Grapalat" w:hAnsi="GHEA Grapalat"/>
          <w:sz w:val="20"/>
          <w:szCs w:val="20"/>
        </w:rPr>
        <w:t>continue pursuing an expansionary monetary policy</w:t>
      </w:r>
      <w:r>
        <w:rPr>
          <w:rFonts w:ascii="GHEA Grapalat" w:hAnsi="GHEA Grapalat"/>
          <w:sz w:val="20"/>
          <w:szCs w:val="20"/>
        </w:rPr>
        <w:t>,</w:t>
      </w:r>
      <w:r w:rsidRPr="00D10FDF">
        <w:rPr>
          <w:rFonts w:ascii="GHEA Grapalat" w:hAnsi="GHEA Grapalat"/>
          <w:sz w:val="20"/>
          <w:szCs w:val="20"/>
        </w:rPr>
        <w:t xml:space="preserve"> </w:t>
      </w:r>
      <w:r w:rsidRPr="00B02DC0">
        <w:rPr>
          <w:rFonts w:ascii="GHEA Grapalat" w:hAnsi="GHEA Grapalat"/>
          <w:sz w:val="20"/>
          <w:szCs w:val="20"/>
        </w:rPr>
        <w:t>opt</w:t>
      </w:r>
      <w:r>
        <w:rPr>
          <w:rFonts w:ascii="GHEA Grapalat" w:hAnsi="GHEA Grapalat"/>
          <w:sz w:val="20"/>
          <w:szCs w:val="20"/>
        </w:rPr>
        <w:t>ing</w:t>
      </w:r>
      <w:r w:rsidRPr="00B02DC0">
        <w:rPr>
          <w:rFonts w:ascii="GHEA Grapalat" w:hAnsi="GHEA Grapalat"/>
          <w:sz w:val="20"/>
          <w:szCs w:val="20"/>
        </w:rPr>
        <w:t xml:space="preserve"> for inflation to recover gradually</w:t>
      </w:r>
      <w:r>
        <w:rPr>
          <w:rFonts w:ascii="GHEA Grapalat" w:hAnsi="GHEA Grapalat"/>
          <w:sz w:val="20"/>
          <w:szCs w:val="20"/>
        </w:rPr>
        <w:t xml:space="preserve">, which, in view of macroeconomic developments outlined in the baseline scenario, would also be retained in the medium run. Under such a policy, </w:t>
      </w:r>
      <w:r w:rsidRPr="005A06C3">
        <w:rPr>
          <w:rFonts w:ascii="GHEA Grapalat" w:hAnsi="GHEA Grapalat"/>
          <w:sz w:val="20"/>
          <w:szCs w:val="20"/>
        </w:rPr>
        <w:t>the</w:t>
      </w:r>
      <w:r>
        <w:rPr>
          <w:rFonts w:ascii="GHEA Grapalat" w:hAnsi="GHEA Grapalat"/>
          <w:sz w:val="20"/>
          <w:szCs w:val="20"/>
        </w:rPr>
        <w:t xml:space="preserve"> </w:t>
      </w:r>
      <w:r w:rsidRPr="005A06C3">
        <w:rPr>
          <w:rFonts w:ascii="GHEA Grapalat" w:hAnsi="GHEA Grapalat"/>
          <w:sz w:val="20"/>
          <w:szCs w:val="20"/>
        </w:rPr>
        <w:t>12-month inflation wo</w:t>
      </w:r>
      <w:r w:rsidRPr="00B02DC0">
        <w:rPr>
          <w:rFonts w:ascii="GHEA Grapalat" w:hAnsi="GHEA Grapalat"/>
          <w:sz w:val="20"/>
          <w:szCs w:val="20"/>
        </w:rPr>
        <w:t xml:space="preserve">uld </w:t>
      </w:r>
      <w:r>
        <w:rPr>
          <w:rFonts w:ascii="GHEA Grapalat" w:hAnsi="GHEA Grapalat"/>
          <w:sz w:val="20"/>
          <w:szCs w:val="20"/>
        </w:rPr>
        <w:t xml:space="preserve">still be </w:t>
      </w:r>
      <w:r w:rsidRPr="00B02DC0">
        <w:rPr>
          <w:rFonts w:ascii="GHEA Grapalat" w:hAnsi="GHEA Grapalat"/>
          <w:sz w:val="20"/>
          <w:szCs w:val="20"/>
        </w:rPr>
        <w:t xml:space="preserve">low in the </w:t>
      </w:r>
      <w:r>
        <w:rPr>
          <w:rFonts w:ascii="GHEA Grapalat" w:hAnsi="GHEA Grapalat"/>
          <w:sz w:val="20"/>
          <w:szCs w:val="20"/>
        </w:rPr>
        <w:t xml:space="preserve">short term and </w:t>
      </w:r>
      <w:r w:rsidRPr="00B02DC0">
        <w:rPr>
          <w:rFonts w:ascii="GHEA Grapalat" w:hAnsi="GHEA Grapalat"/>
          <w:sz w:val="20"/>
          <w:szCs w:val="20"/>
        </w:rPr>
        <w:t>stabiliz</w:t>
      </w:r>
      <w:r>
        <w:rPr>
          <w:rFonts w:ascii="GHEA Grapalat" w:hAnsi="GHEA Grapalat"/>
          <w:sz w:val="20"/>
          <w:szCs w:val="20"/>
        </w:rPr>
        <w:t xml:space="preserve">e </w:t>
      </w:r>
      <w:r w:rsidRPr="00B02DC0">
        <w:rPr>
          <w:rFonts w:ascii="GHEA Grapalat" w:hAnsi="GHEA Grapalat"/>
          <w:sz w:val="20"/>
          <w:szCs w:val="20"/>
        </w:rPr>
        <w:t xml:space="preserve">around the 4% target in the medium </w:t>
      </w:r>
      <w:r>
        <w:rPr>
          <w:rFonts w:ascii="GHEA Grapalat" w:hAnsi="GHEA Grapalat"/>
          <w:sz w:val="20"/>
          <w:szCs w:val="20"/>
        </w:rPr>
        <w:t>term</w:t>
      </w:r>
      <w:r w:rsidRPr="00B02DC0">
        <w:rPr>
          <w:rFonts w:ascii="GHEA Grapalat" w:hAnsi="GHEA Grapalat"/>
          <w:sz w:val="20"/>
          <w:szCs w:val="20"/>
        </w:rPr>
        <w:t xml:space="preserve">. </w:t>
      </w:r>
    </w:p>
    <w:p w14:paraId="121A05D9" w14:textId="77777777" w:rsidR="004F213F" w:rsidRDefault="004F213F" w:rsidP="004F213F">
      <w:pPr>
        <w:spacing w:line="340" w:lineRule="atLeast"/>
        <w:ind w:firstLine="284"/>
        <w:rPr>
          <w:rFonts w:ascii="GHEA Grapalat" w:hAnsi="GHEA Grapalat" w:cs="Sylfaen"/>
          <w:bCs/>
          <w:iCs/>
          <w:sz w:val="20"/>
          <w:szCs w:val="20"/>
          <w:lang w:val="hy-AM"/>
        </w:rPr>
      </w:pPr>
      <w:r w:rsidRPr="00B02DC0">
        <w:rPr>
          <w:rFonts w:ascii="GHEA Grapalat" w:hAnsi="GHEA Grapalat"/>
          <w:sz w:val="20"/>
          <w:szCs w:val="20"/>
        </w:rPr>
        <w:t xml:space="preserve">In the period under review, </w:t>
      </w:r>
      <w:r>
        <w:rPr>
          <w:rFonts w:ascii="GHEA Grapalat" w:hAnsi="GHEA Grapalat"/>
          <w:sz w:val="20"/>
          <w:szCs w:val="20"/>
        </w:rPr>
        <w:t xml:space="preserve">the 12-month </w:t>
      </w:r>
      <w:r w:rsidRPr="00B02DC0">
        <w:rPr>
          <w:rFonts w:ascii="GHEA Grapalat" w:hAnsi="GHEA Grapalat"/>
          <w:sz w:val="20"/>
          <w:szCs w:val="20"/>
        </w:rPr>
        <w:t xml:space="preserve">inflation </w:t>
      </w:r>
      <w:r>
        <w:rPr>
          <w:rFonts w:ascii="GHEA Grapalat" w:hAnsi="GHEA Grapalat"/>
          <w:sz w:val="20"/>
          <w:szCs w:val="20"/>
        </w:rPr>
        <w:t xml:space="preserve">deviated from the </w:t>
      </w:r>
      <w:r w:rsidRPr="00B02DC0">
        <w:rPr>
          <w:rFonts w:ascii="GHEA Grapalat" w:hAnsi="GHEA Grapalat"/>
          <w:sz w:val="20"/>
          <w:szCs w:val="20"/>
        </w:rPr>
        <w:t>projection path</w:t>
      </w:r>
      <w:r>
        <w:rPr>
          <w:rFonts w:ascii="GHEA Grapalat" w:hAnsi="GHEA Grapalat"/>
          <w:sz w:val="20"/>
          <w:szCs w:val="20"/>
        </w:rPr>
        <w:t xml:space="preserve"> downside</w:t>
      </w:r>
      <w:r w:rsidRPr="00B02DC0">
        <w:rPr>
          <w:rFonts w:ascii="GHEA Grapalat" w:hAnsi="GHEA Grapalat"/>
          <w:sz w:val="20"/>
          <w:szCs w:val="20"/>
        </w:rPr>
        <w:t xml:space="preserve">, </w:t>
      </w:r>
      <w:r>
        <w:rPr>
          <w:rFonts w:ascii="GHEA Grapalat" w:hAnsi="GHEA Grapalat"/>
          <w:sz w:val="20"/>
          <w:szCs w:val="20"/>
        </w:rPr>
        <w:t xml:space="preserve">mostly because </w:t>
      </w:r>
      <w:r w:rsidRPr="00B02DC0">
        <w:rPr>
          <w:rFonts w:ascii="GHEA Grapalat" w:hAnsi="GHEA Grapalat"/>
          <w:sz w:val="20"/>
          <w:szCs w:val="20"/>
        </w:rPr>
        <w:t xml:space="preserve">the fiscal policy carried out that time proved more contractionary than expected and </w:t>
      </w:r>
      <w:r>
        <w:rPr>
          <w:rFonts w:ascii="GHEA Grapalat" w:hAnsi="GHEA Grapalat"/>
          <w:sz w:val="20"/>
          <w:szCs w:val="20"/>
        </w:rPr>
        <w:t xml:space="preserve">the </w:t>
      </w:r>
      <w:r w:rsidRPr="00B02DC0">
        <w:rPr>
          <w:rFonts w:ascii="GHEA Grapalat" w:hAnsi="GHEA Grapalat"/>
          <w:sz w:val="20"/>
          <w:szCs w:val="20"/>
        </w:rPr>
        <w:t xml:space="preserve">demand in the </w:t>
      </w:r>
      <w:r w:rsidRPr="00C3273B">
        <w:rPr>
          <w:rFonts w:ascii="GHEA Grapalat" w:hAnsi="GHEA Grapalat"/>
          <w:sz w:val="20"/>
          <w:szCs w:val="20"/>
        </w:rPr>
        <w:t xml:space="preserve">external environment came in weaker than predicted. Consequently, the Central Bank revised its inflation forecast </w:t>
      </w:r>
      <w:r>
        <w:rPr>
          <w:rFonts w:ascii="GHEA Grapalat" w:hAnsi="GHEA Grapalat"/>
          <w:sz w:val="20"/>
          <w:szCs w:val="20"/>
        </w:rPr>
        <w:t xml:space="preserve">and </w:t>
      </w:r>
      <w:r w:rsidRPr="00C3273B">
        <w:rPr>
          <w:rFonts w:ascii="GHEA Grapalat" w:hAnsi="GHEA Grapalat"/>
          <w:sz w:val="20"/>
          <w:szCs w:val="20"/>
        </w:rPr>
        <w:t xml:space="preserve">the </w:t>
      </w:r>
      <w:r>
        <w:rPr>
          <w:rFonts w:ascii="GHEA Grapalat" w:hAnsi="GHEA Grapalat"/>
          <w:sz w:val="20"/>
          <w:szCs w:val="20"/>
        </w:rPr>
        <w:t xml:space="preserve">path to </w:t>
      </w:r>
      <w:r w:rsidRPr="00C3273B">
        <w:rPr>
          <w:rFonts w:ascii="GHEA Grapalat" w:hAnsi="GHEA Grapalat"/>
          <w:sz w:val="20"/>
          <w:szCs w:val="20"/>
        </w:rPr>
        <w:t>recovery</w:t>
      </w:r>
      <w:r>
        <w:rPr>
          <w:rFonts w:ascii="GHEA Grapalat" w:hAnsi="GHEA Grapalat"/>
          <w:sz w:val="20"/>
          <w:szCs w:val="20"/>
        </w:rPr>
        <w:t xml:space="preserve"> </w:t>
      </w:r>
      <w:r w:rsidRPr="00C3273B">
        <w:rPr>
          <w:rFonts w:ascii="GHEA Grapalat" w:hAnsi="GHEA Grapalat"/>
          <w:sz w:val="20"/>
          <w:szCs w:val="20"/>
        </w:rPr>
        <w:t>(see chart</w:t>
      </w:r>
      <w:r>
        <w:rPr>
          <w:rFonts w:ascii="GHEA Grapalat" w:hAnsi="GHEA Grapalat"/>
          <w:sz w:val="20"/>
          <w:szCs w:val="20"/>
        </w:rPr>
        <w:t xml:space="preserve"> 34</w:t>
      </w:r>
      <w:r w:rsidRPr="00C3273B">
        <w:rPr>
          <w:rFonts w:ascii="GHEA Grapalat" w:hAnsi="GHEA Grapalat"/>
          <w:sz w:val="20"/>
          <w:szCs w:val="20"/>
        </w:rPr>
        <w:t>).</w:t>
      </w:r>
      <w:r>
        <w:rPr>
          <w:rFonts w:ascii="GHEA Grapalat" w:hAnsi="GHEA Grapalat"/>
          <w:sz w:val="20"/>
          <w:szCs w:val="20"/>
        </w:rPr>
        <w:t xml:space="preserve"> </w:t>
      </w:r>
      <w:r w:rsidRPr="00C3273B">
        <w:rPr>
          <w:rFonts w:ascii="GHEA Grapalat" w:hAnsi="GHEA Grapalat"/>
          <w:sz w:val="20"/>
          <w:szCs w:val="20"/>
        </w:rPr>
        <w:t xml:space="preserve">In the meantime, some factors of supply having </w:t>
      </w:r>
      <w:r w:rsidRPr="00B02DC0">
        <w:rPr>
          <w:rFonts w:ascii="GHEA Grapalat" w:hAnsi="GHEA Grapalat"/>
          <w:sz w:val="20"/>
          <w:szCs w:val="20"/>
        </w:rPr>
        <w:t xml:space="preserve">emerged to contain the inflation </w:t>
      </w:r>
      <w:r>
        <w:rPr>
          <w:rFonts w:ascii="GHEA Grapalat" w:hAnsi="GHEA Grapalat"/>
          <w:sz w:val="20"/>
          <w:szCs w:val="20"/>
        </w:rPr>
        <w:t xml:space="preserve">since the second half of 2019 </w:t>
      </w:r>
      <w:r w:rsidRPr="00B02DC0">
        <w:rPr>
          <w:rFonts w:ascii="GHEA Grapalat" w:hAnsi="GHEA Grapalat"/>
          <w:sz w:val="20"/>
          <w:szCs w:val="20"/>
        </w:rPr>
        <w:t>included the impact of low prices in the external environment transmitted onto domestic prices, ever growing competition in commodity markets, which affects the firms’ pricing behavior</w:t>
      </w:r>
      <w:r>
        <w:rPr>
          <w:rFonts w:ascii="GHEA Grapalat" w:hAnsi="GHEA Grapalat"/>
          <w:sz w:val="20"/>
          <w:szCs w:val="20"/>
        </w:rPr>
        <w:t xml:space="preserve"> and</w:t>
      </w:r>
      <w:r w:rsidRPr="00B02DC0">
        <w:rPr>
          <w:rFonts w:ascii="GHEA Grapalat" w:hAnsi="GHEA Grapalat"/>
          <w:sz w:val="20"/>
          <w:szCs w:val="20"/>
        </w:rPr>
        <w:t xml:space="preserve"> reduces their </w:t>
      </w:r>
      <w:proofErr w:type="gramStart"/>
      <w:r w:rsidRPr="00B02DC0">
        <w:rPr>
          <w:rFonts w:ascii="GHEA Grapalat" w:hAnsi="GHEA Grapalat"/>
          <w:sz w:val="20"/>
          <w:szCs w:val="20"/>
        </w:rPr>
        <w:t>markups, and</w:t>
      </w:r>
      <w:proofErr w:type="gramEnd"/>
      <w:r w:rsidRPr="00B02DC0">
        <w:rPr>
          <w:rFonts w:ascii="GHEA Grapalat" w:hAnsi="GHEA Grapalat"/>
          <w:sz w:val="20"/>
          <w:szCs w:val="20"/>
        </w:rPr>
        <w:t xml:space="preserve"> </w:t>
      </w:r>
      <w:r>
        <w:rPr>
          <w:rFonts w:ascii="GHEA Grapalat" w:hAnsi="GHEA Grapalat"/>
          <w:sz w:val="20"/>
          <w:szCs w:val="20"/>
        </w:rPr>
        <w:t>adds to the effectiveness of the use of resources in the non-tradable sector of the economy</w:t>
      </w:r>
      <w:r w:rsidRPr="00B02DC0">
        <w:rPr>
          <w:rFonts w:ascii="GHEA Grapalat" w:hAnsi="GHEA Grapalat"/>
          <w:sz w:val="20"/>
          <w:szCs w:val="20"/>
        </w:rPr>
        <w:t>.</w:t>
      </w:r>
    </w:p>
    <w:p w14:paraId="0B5EFFF2" w14:textId="77777777" w:rsidR="004F213F" w:rsidRPr="00C47F31" w:rsidRDefault="004F213F" w:rsidP="004F213F">
      <w:pPr>
        <w:spacing w:line="340" w:lineRule="atLeast"/>
        <w:ind w:firstLine="284"/>
        <w:rPr>
          <w:rFonts w:ascii="GHEA Grapalat" w:hAnsi="GHEA Grapalat"/>
          <w:sz w:val="20"/>
          <w:szCs w:val="20"/>
        </w:rPr>
      </w:pPr>
      <w:r>
        <w:rPr>
          <w:rFonts w:ascii="GHEA Grapalat" w:hAnsi="GHEA Grapalat"/>
          <w:sz w:val="20"/>
          <w:szCs w:val="20"/>
        </w:rPr>
        <w:t>W</w:t>
      </w:r>
      <w:r w:rsidRPr="00B02DC0">
        <w:rPr>
          <w:rFonts w:ascii="GHEA Grapalat" w:hAnsi="GHEA Grapalat"/>
          <w:sz w:val="20"/>
          <w:szCs w:val="20"/>
        </w:rPr>
        <w:t xml:space="preserve">ith inflation environment persisting at low, </w:t>
      </w:r>
      <w:r>
        <w:rPr>
          <w:rFonts w:ascii="GHEA Grapalat" w:hAnsi="GHEA Grapalat"/>
          <w:sz w:val="20"/>
          <w:szCs w:val="20"/>
        </w:rPr>
        <w:t xml:space="preserve">in the period under review </w:t>
      </w:r>
      <w:r w:rsidRPr="00B02DC0">
        <w:rPr>
          <w:rFonts w:ascii="GHEA Grapalat" w:hAnsi="GHEA Grapalat"/>
          <w:sz w:val="20"/>
          <w:szCs w:val="20"/>
        </w:rPr>
        <w:t>the Central Bank continued implementing an expansionary monetary policy</w:t>
      </w:r>
      <w:r>
        <w:rPr>
          <w:rFonts w:ascii="GHEA Grapalat" w:hAnsi="GHEA Grapalat"/>
          <w:sz w:val="20"/>
          <w:szCs w:val="20"/>
        </w:rPr>
        <w:t xml:space="preserve"> and further </w:t>
      </w:r>
      <w:r w:rsidRPr="00B02DC0">
        <w:rPr>
          <w:rFonts w:ascii="GHEA Grapalat" w:hAnsi="GHEA Grapalat"/>
          <w:sz w:val="20"/>
          <w:szCs w:val="20"/>
        </w:rPr>
        <w:t>favor</w:t>
      </w:r>
      <w:r>
        <w:rPr>
          <w:rFonts w:ascii="GHEA Grapalat" w:hAnsi="GHEA Grapalat"/>
          <w:sz w:val="20"/>
          <w:szCs w:val="20"/>
        </w:rPr>
        <w:t xml:space="preserve">ed </w:t>
      </w:r>
      <w:r w:rsidRPr="00B02DC0">
        <w:rPr>
          <w:rFonts w:ascii="GHEA Grapalat" w:hAnsi="GHEA Grapalat"/>
          <w:sz w:val="20"/>
          <w:szCs w:val="20"/>
        </w:rPr>
        <w:t>the policy of letting the inflation approach its target gradually, since</w:t>
      </w:r>
      <w:r>
        <w:rPr>
          <w:rFonts w:ascii="GHEA Grapalat" w:hAnsi="GHEA Grapalat"/>
          <w:sz w:val="20"/>
          <w:szCs w:val="20"/>
        </w:rPr>
        <w:t>, as the Central Bank estimated,</w:t>
      </w:r>
      <w:r w:rsidRPr="00B02DC0">
        <w:rPr>
          <w:rFonts w:ascii="GHEA Grapalat" w:hAnsi="GHEA Grapalat"/>
          <w:sz w:val="20"/>
          <w:szCs w:val="20"/>
        </w:rPr>
        <w:t xml:space="preserve"> </w:t>
      </w:r>
      <w:r>
        <w:rPr>
          <w:rFonts w:ascii="GHEA Grapalat" w:hAnsi="GHEA Grapalat"/>
          <w:sz w:val="20"/>
          <w:szCs w:val="20"/>
        </w:rPr>
        <w:t xml:space="preserve">under current macroeconomic conditions the </w:t>
      </w:r>
      <w:r w:rsidRPr="00B02DC0">
        <w:rPr>
          <w:rFonts w:ascii="GHEA Grapalat" w:hAnsi="GHEA Grapalat"/>
          <w:sz w:val="20"/>
          <w:szCs w:val="20"/>
        </w:rPr>
        <w:t xml:space="preserve">low inflation contributed to anchoring long-term inflation expectations. </w:t>
      </w:r>
      <w:r>
        <w:rPr>
          <w:rFonts w:ascii="GHEA Grapalat" w:hAnsi="GHEA Grapalat"/>
          <w:sz w:val="20"/>
          <w:szCs w:val="20"/>
        </w:rPr>
        <w:t>I</w:t>
      </w:r>
      <w:r w:rsidRPr="00B02DC0">
        <w:rPr>
          <w:rFonts w:ascii="GHEA Grapalat" w:hAnsi="GHEA Grapalat"/>
          <w:sz w:val="20"/>
          <w:szCs w:val="20"/>
        </w:rPr>
        <w:t>n consideration of the more-than-expected contractionary fiscal policy</w:t>
      </w:r>
      <w:r>
        <w:rPr>
          <w:rFonts w:ascii="GHEA Grapalat" w:hAnsi="GHEA Grapalat"/>
          <w:sz w:val="20"/>
          <w:szCs w:val="20"/>
        </w:rPr>
        <w:t xml:space="preserve"> </w:t>
      </w:r>
      <w:r w:rsidRPr="00B02DC0">
        <w:rPr>
          <w:rFonts w:ascii="GHEA Grapalat" w:hAnsi="GHEA Grapalat"/>
          <w:sz w:val="20"/>
          <w:szCs w:val="20"/>
        </w:rPr>
        <w:t xml:space="preserve">and weaker inflationary environment in international market of basic commodities, </w:t>
      </w:r>
      <w:r>
        <w:rPr>
          <w:rFonts w:ascii="GHEA Grapalat" w:hAnsi="GHEA Grapalat"/>
          <w:sz w:val="20"/>
          <w:szCs w:val="20"/>
        </w:rPr>
        <w:t xml:space="preserve">in the third quarter of 2019 </w:t>
      </w:r>
      <w:r w:rsidRPr="00B02DC0">
        <w:rPr>
          <w:rFonts w:ascii="GHEA Grapalat" w:hAnsi="GHEA Grapalat"/>
          <w:sz w:val="20"/>
          <w:szCs w:val="20"/>
        </w:rPr>
        <w:t>the Central Bank slightly added to the monetary stimulu</w:t>
      </w:r>
      <w:r w:rsidRPr="00C47F31">
        <w:rPr>
          <w:rFonts w:ascii="GHEA Grapalat" w:hAnsi="GHEA Grapalat"/>
          <w:sz w:val="20"/>
          <w:szCs w:val="20"/>
        </w:rPr>
        <w:t xml:space="preserve">s by cutting the refinancing rate by 0.25 pp. </w:t>
      </w:r>
    </w:p>
    <w:p w14:paraId="568D9D89" w14:textId="77777777" w:rsidR="004F213F" w:rsidRPr="00F414FF" w:rsidRDefault="004F213F" w:rsidP="004F213F">
      <w:pPr>
        <w:spacing w:line="340" w:lineRule="atLeast"/>
        <w:ind w:firstLine="284"/>
        <w:rPr>
          <w:rFonts w:ascii="GHEA Grapalat" w:hAnsi="GHEA Grapalat"/>
          <w:sz w:val="22"/>
          <w:szCs w:val="20"/>
          <w:shd w:val="clear" w:color="auto" w:fill="FFFFFF"/>
          <w:lang w:val="hy-AM"/>
        </w:rPr>
      </w:pPr>
      <w:r>
        <w:rPr>
          <w:rFonts w:ascii="GHEA Grapalat" w:hAnsi="GHEA Grapalat"/>
          <w:sz w:val="20"/>
          <w:szCs w:val="20"/>
        </w:rPr>
        <w:t xml:space="preserve">The outburst of a </w:t>
      </w:r>
      <w:r w:rsidRPr="00C47F31">
        <w:rPr>
          <w:rFonts w:ascii="GHEA Grapalat" w:hAnsi="GHEA Grapalat"/>
          <w:sz w:val="20"/>
          <w:szCs w:val="20"/>
        </w:rPr>
        <w:t xml:space="preserve">new </w:t>
      </w:r>
      <w:r>
        <w:rPr>
          <w:rFonts w:ascii="GHEA Grapalat" w:hAnsi="GHEA Grapalat"/>
          <w:sz w:val="20"/>
          <w:szCs w:val="20"/>
        </w:rPr>
        <w:t xml:space="preserve">type of </w:t>
      </w:r>
      <w:r w:rsidRPr="00C47F31">
        <w:rPr>
          <w:rFonts w:ascii="GHEA Grapalat" w:hAnsi="GHEA Grapalat"/>
          <w:sz w:val="20"/>
          <w:szCs w:val="20"/>
        </w:rPr>
        <w:t>coronavirus (COVID-19)</w:t>
      </w:r>
      <w:r>
        <w:rPr>
          <w:rFonts w:ascii="GHEA Grapalat" w:hAnsi="GHEA Grapalat"/>
          <w:sz w:val="20"/>
          <w:szCs w:val="20"/>
        </w:rPr>
        <w:t xml:space="preserve"> in </w:t>
      </w:r>
      <w:proofErr w:type="gramStart"/>
      <w:r>
        <w:rPr>
          <w:rFonts w:ascii="GHEA Grapalat" w:hAnsi="GHEA Grapalat"/>
          <w:sz w:val="20"/>
          <w:szCs w:val="20"/>
        </w:rPr>
        <w:t>a number of</w:t>
      </w:r>
      <w:proofErr w:type="gramEnd"/>
      <w:r>
        <w:rPr>
          <w:rFonts w:ascii="GHEA Grapalat" w:hAnsi="GHEA Grapalat"/>
          <w:sz w:val="20"/>
          <w:szCs w:val="20"/>
        </w:rPr>
        <w:t xml:space="preserve"> countries of the world in early 2020 that </w:t>
      </w:r>
      <w:r w:rsidRPr="00C47F31">
        <w:rPr>
          <w:rFonts w:ascii="GHEA Grapalat" w:hAnsi="GHEA Grapalat"/>
          <w:sz w:val="20"/>
          <w:szCs w:val="20"/>
        </w:rPr>
        <w:t>spread rapidly in many countries around the world, including Armenia, in the first half of March</w:t>
      </w:r>
      <w:r>
        <w:rPr>
          <w:rFonts w:ascii="GHEA Grapalat" w:hAnsi="GHEA Grapalat"/>
          <w:sz w:val="20"/>
          <w:szCs w:val="20"/>
        </w:rPr>
        <w:t xml:space="preserve"> and was announced a pandemic </w:t>
      </w:r>
      <w:r w:rsidRPr="00C47F31">
        <w:rPr>
          <w:rFonts w:ascii="GHEA Grapalat" w:hAnsi="GHEA Grapalat"/>
          <w:sz w:val="20"/>
          <w:szCs w:val="20"/>
        </w:rPr>
        <w:t xml:space="preserve">was a serious challenge </w:t>
      </w:r>
      <w:r>
        <w:rPr>
          <w:rFonts w:ascii="GHEA Grapalat" w:hAnsi="GHEA Grapalat"/>
          <w:sz w:val="20"/>
          <w:szCs w:val="20"/>
        </w:rPr>
        <w:t>to</w:t>
      </w:r>
      <w:r w:rsidRPr="00C47F31">
        <w:rPr>
          <w:rFonts w:ascii="GHEA Grapalat" w:hAnsi="GHEA Grapalat"/>
          <w:sz w:val="20"/>
          <w:szCs w:val="20"/>
        </w:rPr>
        <w:t xml:space="preserve"> the Central Bank</w:t>
      </w:r>
      <w:r>
        <w:rPr>
          <w:rFonts w:ascii="GHEA Grapalat" w:hAnsi="GHEA Grapalat"/>
          <w:sz w:val="20"/>
          <w:szCs w:val="20"/>
        </w:rPr>
        <w:t xml:space="preserve"> in the</w:t>
      </w:r>
      <w:r w:rsidRPr="00C47F31">
        <w:rPr>
          <w:rFonts w:ascii="GHEA Grapalat" w:hAnsi="GHEA Grapalat"/>
          <w:sz w:val="20"/>
          <w:szCs w:val="20"/>
        </w:rPr>
        <w:t xml:space="preserve"> monetary policy</w:t>
      </w:r>
      <w:r>
        <w:rPr>
          <w:rFonts w:ascii="GHEA Grapalat" w:hAnsi="GHEA Grapalat"/>
          <w:sz w:val="20"/>
          <w:szCs w:val="20"/>
        </w:rPr>
        <w:t xml:space="preserve"> point of view. </w:t>
      </w:r>
      <w:r w:rsidRPr="00C47F31">
        <w:rPr>
          <w:rFonts w:ascii="GHEA Grapalat" w:hAnsi="GHEA Grapalat"/>
          <w:sz w:val="20"/>
          <w:szCs w:val="20"/>
        </w:rPr>
        <w:t xml:space="preserve">According to the </w:t>
      </w:r>
      <w:r>
        <w:rPr>
          <w:rFonts w:ascii="GHEA Grapalat" w:hAnsi="GHEA Grapalat"/>
          <w:sz w:val="20"/>
          <w:szCs w:val="20"/>
        </w:rPr>
        <w:t xml:space="preserve">estimations of the </w:t>
      </w:r>
      <w:r w:rsidRPr="00C47F31">
        <w:rPr>
          <w:rFonts w:ascii="GHEA Grapalat" w:hAnsi="GHEA Grapalat"/>
          <w:sz w:val="20"/>
          <w:szCs w:val="20"/>
        </w:rPr>
        <w:t xml:space="preserve">Central Bank, the impact of the </w:t>
      </w:r>
      <w:r>
        <w:rPr>
          <w:rFonts w:ascii="GHEA Grapalat" w:hAnsi="GHEA Grapalat"/>
          <w:sz w:val="20"/>
          <w:szCs w:val="20"/>
        </w:rPr>
        <w:t>pan</w:t>
      </w:r>
      <w:r w:rsidRPr="00C47F31">
        <w:rPr>
          <w:rFonts w:ascii="GHEA Grapalat" w:hAnsi="GHEA Grapalat"/>
          <w:sz w:val="20"/>
          <w:szCs w:val="20"/>
        </w:rPr>
        <w:t xml:space="preserve">demic is reflected in the simultaneous reduction of aggregate supply and demand, without having a significant direct impact on </w:t>
      </w:r>
      <w:r>
        <w:rPr>
          <w:rFonts w:ascii="GHEA Grapalat" w:hAnsi="GHEA Grapalat"/>
          <w:sz w:val="20"/>
          <w:szCs w:val="20"/>
        </w:rPr>
        <w:t xml:space="preserve">headline </w:t>
      </w:r>
      <w:r w:rsidRPr="00C47F31">
        <w:rPr>
          <w:rFonts w:ascii="GHEA Grapalat" w:hAnsi="GHEA Grapalat"/>
          <w:sz w:val="20"/>
          <w:szCs w:val="20"/>
        </w:rPr>
        <w:t xml:space="preserve">inflation developments, in which </w:t>
      </w:r>
      <w:r>
        <w:rPr>
          <w:rFonts w:ascii="GHEA Grapalat" w:hAnsi="GHEA Grapalat"/>
          <w:sz w:val="20"/>
          <w:szCs w:val="20"/>
        </w:rPr>
        <w:t xml:space="preserve">event </w:t>
      </w:r>
      <w:r w:rsidRPr="00C47F31">
        <w:rPr>
          <w:rFonts w:ascii="GHEA Grapalat" w:hAnsi="GHEA Grapalat"/>
          <w:sz w:val="20"/>
          <w:szCs w:val="20"/>
        </w:rPr>
        <w:t xml:space="preserve">the role of monetary policy in responding to the </w:t>
      </w:r>
      <w:r>
        <w:rPr>
          <w:rFonts w:ascii="GHEA Grapalat" w:hAnsi="GHEA Grapalat"/>
          <w:sz w:val="20"/>
          <w:szCs w:val="20"/>
        </w:rPr>
        <w:t>pan</w:t>
      </w:r>
      <w:r w:rsidRPr="00C47F31">
        <w:rPr>
          <w:rFonts w:ascii="GHEA Grapalat" w:hAnsi="GHEA Grapalat"/>
          <w:sz w:val="20"/>
          <w:szCs w:val="20"/>
        </w:rPr>
        <w:t xml:space="preserve">demic is limited. In </w:t>
      </w:r>
      <w:r>
        <w:rPr>
          <w:rFonts w:ascii="GHEA Grapalat" w:hAnsi="GHEA Grapalat"/>
          <w:sz w:val="20"/>
          <w:szCs w:val="20"/>
        </w:rPr>
        <w:t>such a circumstance</w:t>
      </w:r>
      <w:r w:rsidRPr="00C47F31">
        <w:rPr>
          <w:rFonts w:ascii="GHEA Grapalat" w:hAnsi="GHEA Grapalat"/>
          <w:sz w:val="20"/>
          <w:szCs w:val="20"/>
        </w:rPr>
        <w:t xml:space="preserve">, the Board </w:t>
      </w:r>
      <w:r>
        <w:rPr>
          <w:rFonts w:ascii="GHEA Grapalat" w:hAnsi="GHEA Grapalat"/>
          <w:sz w:val="20"/>
          <w:szCs w:val="20"/>
        </w:rPr>
        <w:t xml:space="preserve">of the Central Bank, </w:t>
      </w:r>
      <w:r w:rsidRPr="00C47F31">
        <w:rPr>
          <w:rFonts w:ascii="GHEA Grapalat" w:hAnsi="GHEA Grapalat"/>
          <w:sz w:val="20"/>
          <w:szCs w:val="20"/>
        </w:rPr>
        <w:t xml:space="preserve">taking into account </w:t>
      </w:r>
      <w:r>
        <w:rPr>
          <w:rFonts w:ascii="GHEA Grapalat" w:hAnsi="GHEA Grapalat"/>
          <w:sz w:val="20"/>
          <w:szCs w:val="20"/>
        </w:rPr>
        <w:t>low i</w:t>
      </w:r>
      <w:r w:rsidRPr="00C47F31">
        <w:rPr>
          <w:rFonts w:ascii="GHEA Grapalat" w:hAnsi="GHEA Grapalat"/>
          <w:sz w:val="20"/>
          <w:szCs w:val="20"/>
        </w:rPr>
        <w:t>nflation</w:t>
      </w:r>
      <w:r>
        <w:rPr>
          <w:rFonts w:ascii="GHEA Grapalat" w:hAnsi="GHEA Grapalat"/>
          <w:sz w:val="20"/>
          <w:szCs w:val="20"/>
        </w:rPr>
        <w:t>ary</w:t>
      </w:r>
      <w:r w:rsidRPr="00C47F31">
        <w:rPr>
          <w:rFonts w:ascii="GHEA Grapalat" w:hAnsi="GHEA Grapalat"/>
          <w:sz w:val="20"/>
          <w:szCs w:val="20"/>
        </w:rPr>
        <w:t xml:space="preserve"> </w:t>
      </w:r>
      <w:r>
        <w:rPr>
          <w:rFonts w:ascii="GHEA Grapalat" w:hAnsi="GHEA Grapalat"/>
          <w:sz w:val="20"/>
          <w:szCs w:val="20"/>
        </w:rPr>
        <w:t>environment at the time</w:t>
      </w:r>
      <w:r w:rsidRPr="00C47F31">
        <w:rPr>
          <w:rFonts w:ascii="GHEA Grapalat" w:hAnsi="GHEA Grapalat"/>
          <w:sz w:val="20"/>
          <w:szCs w:val="20"/>
        </w:rPr>
        <w:t xml:space="preserve">, </w:t>
      </w:r>
      <w:r w:rsidRPr="00C47F31">
        <w:rPr>
          <w:rFonts w:ascii="GHEA Grapalat" w:hAnsi="GHEA Grapalat"/>
          <w:sz w:val="20"/>
          <w:szCs w:val="20"/>
        </w:rPr>
        <w:lastRenderedPageBreak/>
        <w:t xml:space="preserve">expected developments and uncertainties </w:t>
      </w:r>
      <w:r>
        <w:rPr>
          <w:rFonts w:ascii="GHEA Grapalat" w:hAnsi="GHEA Grapalat"/>
          <w:sz w:val="20"/>
          <w:szCs w:val="20"/>
        </w:rPr>
        <w:t>in</w:t>
      </w:r>
      <w:r w:rsidRPr="00C47F31">
        <w:rPr>
          <w:rFonts w:ascii="GHEA Grapalat" w:hAnsi="GHEA Grapalat"/>
          <w:sz w:val="20"/>
          <w:szCs w:val="20"/>
        </w:rPr>
        <w:t xml:space="preserve"> the </w:t>
      </w:r>
      <w:r>
        <w:rPr>
          <w:rFonts w:ascii="GHEA Grapalat" w:hAnsi="GHEA Grapalat"/>
          <w:sz w:val="20"/>
          <w:szCs w:val="20"/>
        </w:rPr>
        <w:t xml:space="preserve">global economy and the </w:t>
      </w:r>
      <w:r w:rsidRPr="00C47F31">
        <w:rPr>
          <w:rFonts w:ascii="GHEA Grapalat" w:hAnsi="GHEA Grapalat"/>
          <w:sz w:val="20"/>
          <w:szCs w:val="20"/>
        </w:rPr>
        <w:t>Armenian econom</w:t>
      </w:r>
      <w:r>
        <w:rPr>
          <w:rFonts w:ascii="GHEA Grapalat" w:hAnsi="GHEA Grapalat"/>
          <w:sz w:val="20"/>
          <w:szCs w:val="20"/>
        </w:rPr>
        <w:t>y, cut on March 17th</w:t>
      </w:r>
      <w:r w:rsidRPr="00C47F31">
        <w:rPr>
          <w:rFonts w:ascii="GHEA Grapalat" w:hAnsi="GHEA Grapalat"/>
          <w:sz w:val="20"/>
          <w:szCs w:val="20"/>
        </w:rPr>
        <w:t xml:space="preserve"> </w:t>
      </w:r>
      <w:r>
        <w:rPr>
          <w:rFonts w:ascii="GHEA Grapalat" w:hAnsi="GHEA Grapalat"/>
          <w:sz w:val="20"/>
          <w:szCs w:val="20"/>
        </w:rPr>
        <w:t xml:space="preserve">the </w:t>
      </w:r>
      <w:r w:rsidRPr="00C47F31">
        <w:rPr>
          <w:rFonts w:ascii="GHEA Grapalat" w:hAnsi="GHEA Grapalat"/>
          <w:sz w:val="20"/>
          <w:szCs w:val="20"/>
        </w:rPr>
        <w:t xml:space="preserve">refinancing rate by </w:t>
      </w:r>
      <w:r>
        <w:rPr>
          <w:rFonts w:ascii="GHEA Grapalat" w:hAnsi="GHEA Grapalat"/>
          <w:sz w:val="20"/>
          <w:szCs w:val="20"/>
        </w:rPr>
        <w:t xml:space="preserve">another </w:t>
      </w:r>
      <w:r w:rsidRPr="00C47F31">
        <w:rPr>
          <w:rFonts w:ascii="GHEA Grapalat" w:hAnsi="GHEA Grapalat"/>
          <w:sz w:val="20"/>
          <w:szCs w:val="20"/>
        </w:rPr>
        <w:t>0.25 p</w:t>
      </w:r>
      <w:r>
        <w:rPr>
          <w:rFonts w:ascii="GHEA Grapalat" w:hAnsi="GHEA Grapalat"/>
          <w:sz w:val="20"/>
          <w:szCs w:val="20"/>
        </w:rPr>
        <w:t>p</w:t>
      </w:r>
      <w:r w:rsidRPr="00C47F31">
        <w:rPr>
          <w:rFonts w:ascii="GHEA Grapalat" w:hAnsi="GHEA Grapalat"/>
          <w:sz w:val="20"/>
          <w:szCs w:val="20"/>
        </w:rPr>
        <w:t xml:space="preserve">. </w:t>
      </w:r>
      <w:r>
        <w:rPr>
          <w:rFonts w:ascii="GHEA Grapalat" w:hAnsi="GHEA Grapalat"/>
          <w:sz w:val="20"/>
          <w:szCs w:val="20"/>
        </w:rPr>
        <w:t>In the meantime</w:t>
      </w:r>
      <w:r w:rsidRPr="00C47F31">
        <w:rPr>
          <w:rFonts w:ascii="GHEA Grapalat" w:hAnsi="GHEA Grapalat"/>
          <w:sz w:val="20"/>
          <w:szCs w:val="20"/>
        </w:rPr>
        <w:t xml:space="preserve">, the </w:t>
      </w:r>
      <w:r>
        <w:rPr>
          <w:rFonts w:ascii="GHEA Grapalat" w:hAnsi="GHEA Grapalat"/>
          <w:sz w:val="20"/>
          <w:szCs w:val="20"/>
        </w:rPr>
        <w:t xml:space="preserve">pandemic has increased </w:t>
      </w:r>
      <w:r w:rsidRPr="00C47F31">
        <w:rPr>
          <w:rFonts w:ascii="GHEA Grapalat" w:hAnsi="GHEA Grapalat"/>
          <w:sz w:val="20"/>
          <w:szCs w:val="20"/>
        </w:rPr>
        <w:t>uncertainty</w:t>
      </w:r>
      <w:r>
        <w:rPr>
          <w:rFonts w:ascii="GHEA Grapalat" w:hAnsi="GHEA Grapalat"/>
          <w:sz w:val="20"/>
          <w:szCs w:val="20"/>
        </w:rPr>
        <w:t xml:space="preserve"> in </w:t>
      </w:r>
      <w:r w:rsidRPr="00C47F31">
        <w:rPr>
          <w:rFonts w:ascii="GHEA Grapalat" w:hAnsi="GHEA Grapalat"/>
          <w:sz w:val="20"/>
          <w:szCs w:val="20"/>
        </w:rPr>
        <w:t>Armenia</w:t>
      </w:r>
      <w:r>
        <w:rPr>
          <w:rFonts w:ascii="GHEA Grapalat" w:hAnsi="GHEA Grapalat"/>
          <w:sz w:val="20"/>
          <w:szCs w:val="20"/>
        </w:rPr>
        <w:t xml:space="preserve">’s </w:t>
      </w:r>
      <w:r w:rsidRPr="00C47F31">
        <w:rPr>
          <w:rFonts w:ascii="GHEA Grapalat" w:hAnsi="GHEA Grapalat"/>
          <w:sz w:val="20"/>
          <w:szCs w:val="20"/>
        </w:rPr>
        <w:t xml:space="preserve">financial market, </w:t>
      </w:r>
      <w:r>
        <w:rPr>
          <w:rFonts w:ascii="GHEA Grapalat" w:hAnsi="GHEA Grapalat"/>
          <w:sz w:val="20"/>
          <w:szCs w:val="20"/>
        </w:rPr>
        <w:t xml:space="preserve">making </w:t>
      </w:r>
      <w:r w:rsidRPr="00C47F31">
        <w:rPr>
          <w:rFonts w:ascii="GHEA Grapalat" w:hAnsi="GHEA Grapalat"/>
          <w:sz w:val="20"/>
          <w:szCs w:val="20"/>
        </w:rPr>
        <w:t>demand for dram liquidity</w:t>
      </w:r>
      <w:r>
        <w:rPr>
          <w:rFonts w:ascii="GHEA Grapalat" w:hAnsi="GHEA Grapalat"/>
          <w:sz w:val="20"/>
          <w:szCs w:val="20"/>
        </w:rPr>
        <w:t xml:space="preserve"> to grow substantially and pushing </w:t>
      </w:r>
      <w:r w:rsidRPr="00C47F31">
        <w:rPr>
          <w:rFonts w:ascii="GHEA Grapalat" w:hAnsi="GHEA Grapalat"/>
          <w:sz w:val="20"/>
          <w:szCs w:val="20"/>
        </w:rPr>
        <w:t xml:space="preserve">interest rates in the medium and long-term </w:t>
      </w:r>
      <w:r>
        <w:rPr>
          <w:rFonts w:ascii="GHEA Grapalat" w:hAnsi="GHEA Grapalat"/>
          <w:sz w:val="20"/>
          <w:szCs w:val="20"/>
        </w:rPr>
        <w:t xml:space="preserve">government securities </w:t>
      </w:r>
      <w:r w:rsidRPr="00C47F31">
        <w:rPr>
          <w:rFonts w:ascii="GHEA Grapalat" w:hAnsi="GHEA Grapalat"/>
          <w:sz w:val="20"/>
          <w:szCs w:val="20"/>
        </w:rPr>
        <w:t>market</w:t>
      </w:r>
      <w:r>
        <w:rPr>
          <w:rFonts w:ascii="GHEA Grapalat" w:hAnsi="GHEA Grapalat"/>
          <w:sz w:val="20"/>
          <w:szCs w:val="20"/>
        </w:rPr>
        <w:t xml:space="preserve"> somewhat up. </w:t>
      </w:r>
      <w:r w:rsidRPr="00C47F31">
        <w:rPr>
          <w:rFonts w:ascii="GHEA Grapalat" w:hAnsi="GHEA Grapalat"/>
          <w:sz w:val="20"/>
          <w:szCs w:val="20"/>
        </w:rPr>
        <w:t>The Central Bank</w:t>
      </w:r>
      <w:r>
        <w:rPr>
          <w:rFonts w:ascii="GHEA Grapalat" w:hAnsi="GHEA Grapalat"/>
          <w:sz w:val="20"/>
          <w:szCs w:val="20"/>
        </w:rPr>
        <w:t xml:space="preserve"> injected</w:t>
      </w:r>
      <w:r w:rsidRPr="00C47F31">
        <w:rPr>
          <w:rFonts w:ascii="GHEA Grapalat" w:hAnsi="GHEA Grapalat"/>
          <w:sz w:val="20"/>
          <w:szCs w:val="20"/>
        </w:rPr>
        <w:t xml:space="preserve">, through its main instrument, </w:t>
      </w:r>
      <w:r>
        <w:rPr>
          <w:rFonts w:ascii="GHEA Grapalat" w:hAnsi="GHEA Grapalat"/>
          <w:sz w:val="20"/>
          <w:szCs w:val="20"/>
        </w:rPr>
        <w:t>t</w:t>
      </w:r>
      <w:r w:rsidRPr="00C47F31">
        <w:rPr>
          <w:rFonts w:ascii="GHEA Grapalat" w:hAnsi="GHEA Grapalat"/>
          <w:sz w:val="20"/>
          <w:szCs w:val="20"/>
        </w:rPr>
        <w:t xml:space="preserve">he </w:t>
      </w:r>
      <w:r>
        <w:rPr>
          <w:rFonts w:ascii="GHEA Grapalat" w:hAnsi="GHEA Grapalat"/>
          <w:sz w:val="20"/>
          <w:szCs w:val="20"/>
        </w:rPr>
        <w:t xml:space="preserve">required </w:t>
      </w:r>
      <w:r w:rsidRPr="00C47F31">
        <w:rPr>
          <w:rFonts w:ascii="GHEA Grapalat" w:hAnsi="GHEA Grapalat"/>
          <w:sz w:val="20"/>
          <w:szCs w:val="20"/>
        </w:rPr>
        <w:t xml:space="preserve">amount of </w:t>
      </w:r>
      <w:r>
        <w:rPr>
          <w:rFonts w:ascii="GHEA Grapalat" w:hAnsi="GHEA Grapalat"/>
          <w:sz w:val="20"/>
          <w:szCs w:val="20"/>
        </w:rPr>
        <w:t xml:space="preserve">dram </w:t>
      </w:r>
      <w:r w:rsidRPr="00C47F31">
        <w:rPr>
          <w:rFonts w:ascii="GHEA Grapalat" w:hAnsi="GHEA Grapalat"/>
          <w:sz w:val="20"/>
          <w:szCs w:val="20"/>
        </w:rPr>
        <w:t xml:space="preserve">liquidity into the system, </w:t>
      </w:r>
      <w:r>
        <w:rPr>
          <w:rFonts w:ascii="GHEA Grapalat" w:hAnsi="GHEA Grapalat"/>
          <w:sz w:val="20"/>
          <w:szCs w:val="20"/>
        </w:rPr>
        <w:t xml:space="preserve">helping </w:t>
      </w:r>
      <w:r w:rsidRPr="00C47F31">
        <w:rPr>
          <w:rFonts w:ascii="GHEA Grapalat" w:hAnsi="GHEA Grapalat"/>
          <w:sz w:val="20"/>
          <w:szCs w:val="20"/>
        </w:rPr>
        <w:t xml:space="preserve">short-term interest rates </w:t>
      </w:r>
      <w:r>
        <w:rPr>
          <w:rFonts w:ascii="GHEA Grapalat" w:hAnsi="GHEA Grapalat"/>
          <w:sz w:val="20"/>
          <w:szCs w:val="20"/>
        </w:rPr>
        <w:t xml:space="preserve">keep </w:t>
      </w:r>
      <w:r w:rsidRPr="00C47F31">
        <w:rPr>
          <w:rFonts w:ascii="GHEA Grapalat" w:hAnsi="GHEA Grapalat"/>
          <w:sz w:val="20"/>
          <w:szCs w:val="20"/>
        </w:rPr>
        <w:t xml:space="preserve">around the </w:t>
      </w:r>
      <w:r>
        <w:rPr>
          <w:rFonts w:ascii="GHEA Grapalat" w:hAnsi="GHEA Grapalat"/>
          <w:sz w:val="20"/>
          <w:szCs w:val="20"/>
        </w:rPr>
        <w:t xml:space="preserve">policy rate </w:t>
      </w:r>
      <w:r w:rsidRPr="00C47F31">
        <w:rPr>
          <w:rFonts w:ascii="GHEA Grapalat" w:hAnsi="GHEA Grapalat"/>
          <w:sz w:val="20"/>
          <w:szCs w:val="20"/>
        </w:rPr>
        <w:t xml:space="preserve">of the Central Bank. </w:t>
      </w:r>
      <w:r>
        <w:rPr>
          <w:rFonts w:ascii="GHEA Grapalat" w:hAnsi="GHEA Grapalat"/>
          <w:sz w:val="20"/>
          <w:szCs w:val="20"/>
        </w:rPr>
        <w:t>In the period under review</w:t>
      </w:r>
      <w:r w:rsidRPr="00C47F31">
        <w:rPr>
          <w:rFonts w:ascii="GHEA Grapalat" w:hAnsi="GHEA Grapalat"/>
          <w:sz w:val="20"/>
          <w:szCs w:val="20"/>
        </w:rPr>
        <w:t>, the Central Bank constantly signal</w:t>
      </w:r>
      <w:r>
        <w:rPr>
          <w:rFonts w:ascii="GHEA Grapalat" w:hAnsi="GHEA Grapalat"/>
          <w:sz w:val="20"/>
          <w:szCs w:val="20"/>
        </w:rPr>
        <w:t>ed</w:t>
      </w:r>
      <w:r w:rsidRPr="00C47F31">
        <w:rPr>
          <w:rFonts w:ascii="GHEA Grapalat" w:hAnsi="GHEA Grapalat"/>
          <w:sz w:val="20"/>
          <w:szCs w:val="20"/>
        </w:rPr>
        <w:t xml:space="preserve"> the financial market that in </w:t>
      </w:r>
      <w:r>
        <w:rPr>
          <w:rFonts w:ascii="GHEA Grapalat" w:hAnsi="GHEA Grapalat"/>
          <w:sz w:val="20"/>
          <w:szCs w:val="20"/>
        </w:rPr>
        <w:t xml:space="preserve">view of predicted </w:t>
      </w:r>
      <w:r w:rsidRPr="00C47F31">
        <w:rPr>
          <w:rFonts w:ascii="GHEA Grapalat" w:hAnsi="GHEA Grapalat"/>
          <w:sz w:val="20"/>
          <w:szCs w:val="20"/>
        </w:rPr>
        <w:t xml:space="preserve">macroeconomic developments, the </w:t>
      </w:r>
      <w:r>
        <w:rPr>
          <w:rFonts w:ascii="GHEA Grapalat" w:hAnsi="GHEA Grapalat"/>
          <w:sz w:val="20"/>
          <w:szCs w:val="20"/>
        </w:rPr>
        <w:t xml:space="preserve">expansionary stance of the monetary policy will continue </w:t>
      </w:r>
      <w:r w:rsidRPr="00C47F31">
        <w:rPr>
          <w:rFonts w:ascii="GHEA Grapalat" w:hAnsi="GHEA Grapalat"/>
          <w:sz w:val="20"/>
          <w:szCs w:val="20"/>
        </w:rPr>
        <w:t>a</w:t>
      </w:r>
      <w:r>
        <w:rPr>
          <w:rFonts w:ascii="GHEA Grapalat" w:hAnsi="GHEA Grapalat"/>
          <w:sz w:val="20"/>
          <w:szCs w:val="20"/>
        </w:rPr>
        <w:t>s</w:t>
      </w:r>
      <w:r w:rsidRPr="00C47F31">
        <w:rPr>
          <w:rFonts w:ascii="GHEA Grapalat" w:hAnsi="GHEA Grapalat"/>
          <w:sz w:val="20"/>
          <w:szCs w:val="20"/>
        </w:rPr>
        <w:t xml:space="preserve"> long </w:t>
      </w:r>
      <w:r>
        <w:rPr>
          <w:rFonts w:ascii="GHEA Grapalat" w:hAnsi="GHEA Grapalat"/>
          <w:sz w:val="20"/>
          <w:szCs w:val="20"/>
        </w:rPr>
        <w:t xml:space="preserve">as </w:t>
      </w:r>
      <w:r w:rsidRPr="00C47F31">
        <w:rPr>
          <w:rFonts w:ascii="GHEA Grapalat" w:hAnsi="GHEA Grapalat"/>
          <w:sz w:val="20"/>
          <w:szCs w:val="20"/>
        </w:rPr>
        <w:t xml:space="preserve">necessary to </w:t>
      </w:r>
      <w:r>
        <w:rPr>
          <w:rFonts w:ascii="GHEA Grapalat" w:hAnsi="GHEA Grapalat"/>
          <w:sz w:val="20"/>
          <w:szCs w:val="20"/>
        </w:rPr>
        <w:t xml:space="preserve">fulfil </w:t>
      </w:r>
      <w:r w:rsidRPr="00C47F31">
        <w:rPr>
          <w:rFonts w:ascii="GHEA Grapalat" w:hAnsi="GHEA Grapalat"/>
          <w:sz w:val="20"/>
          <w:szCs w:val="20"/>
        </w:rPr>
        <w:t xml:space="preserve">the inflation target in the medium </w:t>
      </w:r>
      <w:r>
        <w:rPr>
          <w:rFonts w:ascii="GHEA Grapalat" w:hAnsi="GHEA Grapalat"/>
          <w:sz w:val="20"/>
          <w:szCs w:val="20"/>
        </w:rPr>
        <w:t>run</w:t>
      </w:r>
      <w:r w:rsidRPr="00C47F31">
        <w:rPr>
          <w:rFonts w:ascii="GHEA Grapalat" w:hAnsi="GHEA Grapalat"/>
          <w:sz w:val="20"/>
          <w:szCs w:val="20"/>
        </w:rPr>
        <w:t>.</w:t>
      </w:r>
    </w:p>
    <w:p w14:paraId="11E17A92" w14:textId="77777777" w:rsidR="004F213F" w:rsidRDefault="004F213F" w:rsidP="004F213F">
      <w:pPr>
        <w:spacing w:line="340" w:lineRule="atLeast"/>
        <w:ind w:firstLine="284"/>
        <w:rPr>
          <w:rFonts w:ascii="GHEA Grapalat" w:hAnsi="GHEA Grapalat"/>
          <w:b/>
          <w:color w:val="1F497D"/>
          <w:sz w:val="20"/>
          <w:szCs w:val="20"/>
          <w:lang w:val="hy-AM"/>
        </w:rPr>
      </w:pPr>
    </w:p>
    <w:p w14:paraId="1227F8CD" w14:textId="77777777" w:rsidR="004F213F" w:rsidRDefault="004F213F" w:rsidP="004F213F">
      <w:pPr>
        <w:spacing w:line="340" w:lineRule="atLeast"/>
        <w:ind w:firstLine="284"/>
        <w:rPr>
          <w:rFonts w:ascii="GHEA Grapalat" w:hAnsi="GHEA Grapalat"/>
          <w:b/>
          <w:color w:val="1F497D"/>
          <w:sz w:val="20"/>
          <w:szCs w:val="20"/>
          <w:lang w:val="hy-AM"/>
        </w:rPr>
      </w:pPr>
      <w:r w:rsidRPr="0054348F">
        <w:rPr>
          <w:rFonts w:ascii="GHEA Grapalat" w:hAnsi="GHEA Grapalat"/>
          <w:b/>
          <w:color w:val="1F497D"/>
          <w:sz w:val="20"/>
          <w:szCs w:val="20"/>
          <w:lang w:val="hy-AM"/>
        </w:rPr>
        <w:t xml:space="preserve">3.1.2. </w:t>
      </w:r>
      <w:r w:rsidRPr="00CB4B64">
        <w:rPr>
          <w:rFonts w:ascii="GHEA Grapalat" w:hAnsi="GHEA Grapalat"/>
          <w:b/>
          <w:color w:val="1F497D"/>
          <w:sz w:val="20"/>
          <w:szCs w:val="20"/>
          <w:lang w:val="hy-AM"/>
        </w:rPr>
        <w:t>Prices</w:t>
      </w:r>
    </w:p>
    <w:p w14:paraId="22808812" w14:textId="77777777" w:rsidR="004F213F" w:rsidRPr="0054348F" w:rsidRDefault="004F213F" w:rsidP="004F213F">
      <w:pPr>
        <w:spacing w:line="340" w:lineRule="atLeast"/>
        <w:ind w:firstLine="284"/>
        <w:rPr>
          <w:rFonts w:ascii="GHEA Grapalat" w:hAnsi="GHEA Grapalat"/>
          <w:b/>
          <w:color w:val="1F497D"/>
          <w:sz w:val="20"/>
          <w:szCs w:val="20"/>
          <w:lang w:val="hy-AM"/>
        </w:rPr>
      </w:pPr>
    </w:p>
    <w:p w14:paraId="37F0EBD6" w14:textId="77777777" w:rsidR="004F213F" w:rsidRDefault="004F213F" w:rsidP="004F213F">
      <w:pPr>
        <w:spacing w:line="340" w:lineRule="atLeast"/>
        <w:ind w:firstLine="284"/>
        <w:rPr>
          <w:rFonts w:ascii="GHEA Grapalat" w:hAnsi="GHEA Grapalat" w:cstheme="minorHAnsi"/>
          <w:sz w:val="20"/>
          <w:szCs w:val="20"/>
        </w:rPr>
      </w:pPr>
      <w:proofErr w:type="gramStart"/>
      <w:r>
        <w:rPr>
          <w:rFonts w:ascii="GHEA Grapalat" w:hAnsi="GHEA Grapalat"/>
          <w:sz w:val="20"/>
          <w:szCs w:val="20"/>
        </w:rPr>
        <w:t>In the course of</w:t>
      </w:r>
      <w:proofErr w:type="gramEnd"/>
      <w:r>
        <w:rPr>
          <w:rFonts w:ascii="GHEA Grapalat" w:hAnsi="GHEA Grapalat"/>
          <w:sz w:val="20"/>
          <w:szCs w:val="20"/>
        </w:rPr>
        <w:t xml:space="preserve"> the year preceding the second quarter of 2020, t</w:t>
      </w:r>
      <w:r w:rsidRPr="00B02DC0">
        <w:rPr>
          <w:rFonts w:ascii="GHEA Grapalat" w:hAnsi="GHEA Grapalat"/>
          <w:sz w:val="20"/>
          <w:szCs w:val="20"/>
        </w:rPr>
        <w:t xml:space="preserve">he 12-month inflation remained low </w:t>
      </w:r>
      <w:r>
        <w:rPr>
          <w:rFonts w:ascii="GHEA Grapalat" w:hAnsi="GHEA Grapalat"/>
          <w:sz w:val="20"/>
          <w:szCs w:val="20"/>
        </w:rPr>
        <w:t>but behaved volatile amid a change in agricultural product prices primarily due to the shift in crop seasonality. Thus,</w:t>
      </w:r>
      <w:r w:rsidRPr="000E4A99">
        <w:rPr>
          <w:rFonts w:ascii="GHEA Grapalat" w:hAnsi="GHEA Grapalat"/>
          <w:sz w:val="20"/>
          <w:szCs w:val="20"/>
        </w:rPr>
        <w:t xml:space="preserve"> </w:t>
      </w:r>
      <w:r>
        <w:rPr>
          <w:rFonts w:ascii="GHEA Grapalat" w:hAnsi="GHEA Grapalat"/>
          <w:sz w:val="20"/>
          <w:szCs w:val="20"/>
        </w:rPr>
        <w:t>in the second quarter of 201</w:t>
      </w:r>
      <w:r w:rsidRPr="00B02DC0">
        <w:rPr>
          <w:rFonts w:ascii="GHEA Grapalat" w:hAnsi="GHEA Grapalat"/>
          <w:sz w:val="20"/>
          <w:szCs w:val="20"/>
        </w:rPr>
        <w:t xml:space="preserve">9 </w:t>
      </w:r>
      <w:r>
        <w:rPr>
          <w:rFonts w:ascii="GHEA Grapalat" w:hAnsi="GHEA Grapalat" w:cstheme="minorHAnsi"/>
          <w:sz w:val="20"/>
          <w:szCs w:val="20"/>
        </w:rPr>
        <w:t>a notable rise</w:t>
      </w:r>
      <w:r>
        <w:rPr>
          <w:rFonts w:ascii="GHEA Grapalat" w:hAnsi="GHEA Grapalat" w:cstheme="minorHAnsi"/>
          <w:sz w:val="20"/>
          <w:szCs w:val="20"/>
          <w:lang w:val="hy-AM"/>
        </w:rPr>
        <w:t xml:space="preserve"> in seasonal food prices contributed to a certain increase in inflation, which </w:t>
      </w:r>
      <w:r>
        <w:rPr>
          <w:rFonts w:ascii="GHEA Grapalat" w:hAnsi="GHEA Grapalat" w:cstheme="minorHAnsi"/>
          <w:sz w:val="20"/>
          <w:szCs w:val="20"/>
        </w:rPr>
        <w:t xml:space="preserve">amounted to </w:t>
      </w:r>
      <w:r>
        <w:rPr>
          <w:rFonts w:ascii="GHEA Grapalat" w:hAnsi="GHEA Grapalat" w:cstheme="minorHAnsi"/>
          <w:sz w:val="20"/>
          <w:szCs w:val="20"/>
          <w:lang w:val="hy-AM"/>
        </w:rPr>
        <w:t>2.5% in June</w:t>
      </w:r>
      <w:r>
        <w:rPr>
          <w:rFonts w:ascii="GHEA Grapalat" w:hAnsi="GHEA Grapalat" w:cstheme="minorHAnsi"/>
          <w:sz w:val="20"/>
          <w:szCs w:val="20"/>
        </w:rPr>
        <w:t>;</w:t>
      </w:r>
      <w:r>
        <w:rPr>
          <w:rFonts w:ascii="GHEA Grapalat" w:hAnsi="GHEA Grapalat" w:cstheme="minorHAnsi"/>
          <w:sz w:val="20"/>
          <w:szCs w:val="20"/>
          <w:lang w:val="hy-AM"/>
        </w:rPr>
        <w:t xml:space="preserve"> in the second half of</w:t>
      </w:r>
      <w:r>
        <w:rPr>
          <w:rFonts w:ascii="GHEA Grapalat" w:hAnsi="GHEA Grapalat" w:cstheme="minorHAnsi"/>
          <w:sz w:val="20"/>
          <w:szCs w:val="20"/>
        </w:rPr>
        <w:t xml:space="preserve"> the year and a</w:t>
      </w:r>
      <w:r>
        <w:rPr>
          <w:rFonts w:ascii="GHEA Grapalat" w:hAnsi="GHEA Grapalat" w:cstheme="minorHAnsi"/>
          <w:sz w:val="20"/>
          <w:szCs w:val="20"/>
          <w:lang w:val="hy-AM"/>
        </w:rPr>
        <w:t xml:space="preserve">t the beginning of </w:t>
      </w:r>
      <w:r>
        <w:rPr>
          <w:rFonts w:ascii="GHEA Grapalat" w:hAnsi="GHEA Grapalat" w:cstheme="minorHAnsi"/>
          <w:sz w:val="20"/>
          <w:szCs w:val="20"/>
        </w:rPr>
        <w:t>2020</w:t>
      </w:r>
      <w:r>
        <w:rPr>
          <w:rFonts w:ascii="GHEA Grapalat" w:hAnsi="GHEA Grapalat" w:cstheme="minorHAnsi"/>
          <w:sz w:val="20"/>
          <w:szCs w:val="20"/>
          <w:lang w:val="hy-AM"/>
        </w:rPr>
        <w:t xml:space="preserve">, again mainly due to the fall in prices </w:t>
      </w:r>
      <w:r>
        <w:rPr>
          <w:rFonts w:ascii="GHEA Grapalat" w:hAnsi="GHEA Grapalat" w:cstheme="minorHAnsi"/>
          <w:sz w:val="20"/>
          <w:szCs w:val="20"/>
        </w:rPr>
        <w:t xml:space="preserve">of </w:t>
      </w:r>
      <w:r>
        <w:rPr>
          <w:rFonts w:ascii="GHEA Grapalat" w:hAnsi="GHEA Grapalat" w:cstheme="minorHAnsi"/>
          <w:sz w:val="20"/>
          <w:szCs w:val="20"/>
          <w:lang w:val="hy-AM"/>
        </w:rPr>
        <w:t xml:space="preserve">seasonal goods, </w:t>
      </w:r>
      <w:r>
        <w:rPr>
          <w:rFonts w:ascii="GHEA Grapalat" w:hAnsi="GHEA Grapalat" w:cstheme="minorHAnsi"/>
          <w:sz w:val="20"/>
          <w:szCs w:val="20"/>
        </w:rPr>
        <w:t xml:space="preserve">the inflation subdued </w:t>
      </w:r>
      <w:r>
        <w:rPr>
          <w:rFonts w:ascii="GHEA Grapalat" w:hAnsi="GHEA Grapalat" w:cstheme="minorHAnsi"/>
          <w:sz w:val="20"/>
          <w:szCs w:val="20"/>
          <w:lang w:val="hy-AM"/>
        </w:rPr>
        <w:t xml:space="preserve">gradually, reaching -0.1% </w:t>
      </w:r>
      <w:r>
        <w:rPr>
          <w:rFonts w:ascii="GHEA Grapalat" w:hAnsi="GHEA Grapalat" w:cstheme="minorHAnsi"/>
          <w:sz w:val="20"/>
          <w:szCs w:val="20"/>
        </w:rPr>
        <w:t xml:space="preserve">y/y </w:t>
      </w:r>
      <w:r>
        <w:rPr>
          <w:rFonts w:ascii="GHEA Grapalat" w:hAnsi="GHEA Grapalat" w:cstheme="minorHAnsi"/>
          <w:sz w:val="20"/>
          <w:szCs w:val="20"/>
          <w:lang w:val="hy-AM"/>
        </w:rPr>
        <w:t>in March.</w:t>
      </w:r>
      <w:r>
        <w:rPr>
          <w:rFonts w:ascii="GHEA Grapalat" w:hAnsi="GHEA Grapalat" w:cstheme="minorHAnsi"/>
          <w:sz w:val="20"/>
          <w:szCs w:val="20"/>
        </w:rPr>
        <w:t xml:space="preserve"> </w:t>
      </w:r>
      <w:r>
        <w:rPr>
          <w:rFonts w:ascii="GHEA Grapalat" w:hAnsi="GHEA Grapalat" w:cstheme="minorHAnsi"/>
          <w:sz w:val="20"/>
          <w:szCs w:val="20"/>
          <w:lang w:val="hy-AM"/>
        </w:rPr>
        <w:t xml:space="preserve">However, the 12-month </w:t>
      </w:r>
      <w:r>
        <w:rPr>
          <w:rFonts w:ascii="GHEA Grapalat" w:hAnsi="GHEA Grapalat" w:cstheme="minorHAnsi"/>
          <w:sz w:val="20"/>
          <w:szCs w:val="20"/>
        </w:rPr>
        <w:t xml:space="preserve">core inflation </w:t>
      </w:r>
      <w:r>
        <w:rPr>
          <w:rFonts w:ascii="GHEA Grapalat" w:hAnsi="GHEA Grapalat" w:cstheme="minorHAnsi"/>
          <w:sz w:val="20"/>
          <w:szCs w:val="20"/>
          <w:lang w:val="hy-AM"/>
        </w:rPr>
        <w:t xml:space="preserve">rate </w:t>
      </w:r>
      <w:r>
        <w:rPr>
          <w:rFonts w:ascii="GHEA Grapalat" w:hAnsi="GHEA Grapalat" w:cstheme="minorHAnsi"/>
          <w:sz w:val="20"/>
          <w:szCs w:val="20"/>
        </w:rPr>
        <w:t xml:space="preserve">has also </w:t>
      </w:r>
      <w:r>
        <w:rPr>
          <w:rFonts w:ascii="GHEA Grapalat" w:hAnsi="GHEA Grapalat" w:cstheme="minorHAnsi"/>
          <w:sz w:val="20"/>
          <w:szCs w:val="20"/>
          <w:lang w:val="hy-AM"/>
        </w:rPr>
        <w:t>decreased</w:t>
      </w:r>
      <w:r>
        <w:rPr>
          <w:rFonts w:ascii="GHEA Grapalat" w:hAnsi="GHEA Grapalat" w:cstheme="minorHAnsi"/>
          <w:sz w:val="20"/>
          <w:szCs w:val="20"/>
        </w:rPr>
        <w:t>,</w:t>
      </w:r>
      <w:r>
        <w:rPr>
          <w:rFonts w:ascii="GHEA Grapalat" w:hAnsi="GHEA Grapalat" w:cstheme="minorHAnsi"/>
          <w:sz w:val="20"/>
          <w:szCs w:val="20"/>
          <w:lang w:val="hy-AM"/>
        </w:rPr>
        <w:t xml:space="preserve"> </w:t>
      </w:r>
      <w:r>
        <w:rPr>
          <w:rFonts w:ascii="GHEA Grapalat" w:hAnsi="GHEA Grapalat" w:cstheme="minorHAnsi"/>
          <w:sz w:val="20"/>
          <w:szCs w:val="20"/>
        </w:rPr>
        <w:t>to</w:t>
      </w:r>
      <w:r>
        <w:rPr>
          <w:rFonts w:ascii="GHEA Grapalat" w:hAnsi="GHEA Grapalat" w:cstheme="minorHAnsi"/>
          <w:sz w:val="20"/>
          <w:szCs w:val="20"/>
          <w:lang w:val="hy-AM"/>
        </w:rPr>
        <w:t xml:space="preserve"> 0.5</w:t>
      </w:r>
      <w:r>
        <w:rPr>
          <w:rFonts w:ascii="GHEA Grapalat" w:hAnsi="GHEA Grapalat" w:cstheme="minorHAnsi"/>
          <w:sz w:val="20"/>
          <w:szCs w:val="20"/>
        </w:rPr>
        <w:t>4</w:t>
      </w:r>
      <w:r>
        <w:rPr>
          <w:rFonts w:ascii="GHEA Grapalat" w:hAnsi="GHEA Grapalat" w:cstheme="minorHAnsi"/>
          <w:sz w:val="20"/>
          <w:szCs w:val="20"/>
          <w:lang w:val="hy-AM"/>
        </w:rPr>
        <w:t xml:space="preserve">%, </w:t>
      </w:r>
      <w:r>
        <w:rPr>
          <w:rFonts w:ascii="GHEA Grapalat" w:hAnsi="GHEA Grapalat" w:cstheme="minorHAnsi"/>
          <w:sz w:val="20"/>
          <w:szCs w:val="20"/>
        </w:rPr>
        <w:t>whereas</w:t>
      </w:r>
      <w:r>
        <w:rPr>
          <w:rFonts w:ascii="GHEA Grapalat" w:hAnsi="GHEA Grapalat" w:cstheme="minorHAnsi"/>
          <w:sz w:val="20"/>
          <w:szCs w:val="20"/>
          <w:lang w:val="hy-AM"/>
        </w:rPr>
        <w:t xml:space="preserve"> the </w:t>
      </w:r>
      <w:r>
        <w:rPr>
          <w:rFonts w:ascii="GHEA Grapalat" w:hAnsi="GHEA Grapalat" w:cstheme="minorHAnsi"/>
          <w:sz w:val="20"/>
          <w:szCs w:val="20"/>
        </w:rPr>
        <w:t xml:space="preserve">y/y rise in regulated service tariffs and </w:t>
      </w:r>
      <w:r>
        <w:rPr>
          <w:rFonts w:ascii="GHEA Grapalat" w:hAnsi="GHEA Grapalat" w:cstheme="minorHAnsi"/>
          <w:sz w:val="20"/>
          <w:szCs w:val="20"/>
          <w:lang w:val="hy-AM"/>
        </w:rPr>
        <w:t xml:space="preserve">seasonal food </w:t>
      </w:r>
      <w:r>
        <w:rPr>
          <w:rFonts w:ascii="GHEA Grapalat" w:hAnsi="GHEA Grapalat" w:cstheme="minorHAnsi"/>
          <w:sz w:val="20"/>
          <w:szCs w:val="20"/>
        </w:rPr>
        <w:t xml:space="preserve">product prices has been </w:t>
      </w:r>
      <w:r>
        <w:rPr>
          <w:rFonts w:ascii="GHEA Grapalat" w:hAnsi="GHEA Grapalat" w:cstheme="minorHAnsi"/>
          <w:sz w:val="20"/>
          <w:szCs w:val="20"/>
          <w:lang w:val="hy-AM"/>
        </w:rPr>
        <w:t>1.4</w:t>
      </w:r>
      <w:r>
        <w:rPr>
          <w:rFonts w:ascii="GHEA Grapalat" w:hAnsi="GHEA Grapalat" w:cstheme="minorHAnsi"/>
          <w:sz w:val="20"/>
          <w:szCs w:val="20"/>
        </w:rPr>
        <w:t>1</w:t>
      </w:r>
      <w:r>
        <w:rPr>
          <w:rFonts w:ascii="GHEA Grapalat" w:hAnsi="GHEA Grapalat" w:cstheme="minorHAnsi"/>
          <w:sz w:val="20"/>
          <w:szCs w:val="20"/>
          <w:lang w:val="hy-AM"/>
        </w:rPr>
        <w:t>% and -6.5</w:t>
      </w:r>
      <w:r>
        <w:rPr>
          <w:rFonts w:ascii="GHEA Grapalat" w:hAnsi="GHEA Grapalat" w:cstheme="minorHAnsi"/>
          <w:sz w:val="20"/>
          <w:szCs w:val="20"/>
        </w:rPr>
        <w:t>3</w:t>
      </w:r>
      <w:r>
        <w:rPr>
          <w:rFonts w:ascii="GHEA Grapalat" w:hAnsi="GHEA Grapalat" w:cstheme="minorHAnsi"/>
          <w:sz w:val="20"/>
          <w:szCs w:val="20"/>
          <w:lang w:val="hy-AM"/>
        </w:rPr>
        <w:t>%, respectively.</w:t>
      </w:r>
      <w:r>
        <w:rPr>
          <w:rFonts w:ascii="GHEA Grapalat" w:hAnsi="GHEA Grapalat" w:cstheme="minorHAnsi"/>
          <w:sz w:val="20"/>
          <w:szCs w:val="20"/>
        </w:rPr>
        <w:t xml:space="preserve"> Price d</w:t>
      </w:r>
      <w:r>
        <w:rPr>
          <w:rFonts w:ascii="GHEA Grapalat" w:hAnsi="GHEA Grapalat" w:cstheme="minorHAnsi"/>
          <w:sz w:val="20"/>
          <w:szCs w:val="20"/>
          <w:lang w:val="hy-AM"/>
        </w:rPr>
        <w:t>eflation o</w:t>
      </w:r>
      <w:r>
        <w:rPr>
          <w:rFonts w:ascii="GHEA Grapalat" w:hAnsi="GHEA Grapalat" w:cstheme="minorHAnsi"/>
          <w:sz w:val="20"/>
          <w:szCs w:val="20"/>
        </w:rPr>
        <w:t>f</w:t>
      </w:r>
      <w:r>
        <w:rPr>
          <w:rFonts w:ascii="GHEA Grapalat" w:hAnsi="GHEA Grapalat" w:cstheme="minorHAnsi"/>
          <w:sz w:val="20"/>
          <w:szCs w:val="20"/>
          <w:lang w:val="hy-AM"/>
        </w:rPr>
        <w:t xml:space="preserve"> seasonal food products was </w:t>
      </w:r>
      <w:r>
        <w:rPr>
          <w:rFonts w:ascii="GHEA Grapalat" w:hAnsi="GHEA Grapalat" w:cstheme="minorHAnsi"/>
          <w:sz w:val="20"/>
          <w:szCs w:val="20"/>
        </w:rPr>
        <w:t xml:space="preserve">driven by the fall in prices </w:t>
      </w:r>
      <w:r>
        <w:rPr>
          <w:rFonts w:ascii="GHEA Grapalat" w:hAnsi="GHEA Grapalat" w:cstheme="minorHAnsi"/>
          <w:sz w:val="20"/>
          <w:szCs w:val="20"/>
          <w:lang w:val="hy-AM"/>
        </w:rPr>
        <w:t xml:space="preserve">of </w:t>
      </w:r>
      <w:r>
        <w:rPr>
          <w:rFonts w:ascii="GHEA Grapalat" w:hAnsi="GHEA Grapalat" w:cstheme="minorHAnsi"/>
          <w:sz w:val="20"/>
          <w:szCs w:val="20"/>
        </w:rPr>
        <w:t>items “</w:t>
      </w:r>
      <w:r>
        <w:rPr>
          <w:rFonts w:ascii="GHEA Grapalat" w:hAnsi="GHEA Grapalat" w:cstheme="minorHAnsi"/>
          <w:sz w:val="20"/>
          <w:szCs w:val="20"/>
          <w:lang w:val="hy-AM"/>
        </w:rPr>
        <w:t>Vegetable</w:t>
      </w:r>
      <w:r>
        <w:rPr>
          <w:rFonts w:ascii="GHEA Grapalat" w:hAnsi="GHEA Grapalat" w:cstheme="minorHAnsi"/>
          <w:sz w:val="20"/>
          <w:szCs w:val="20"/>
        </w:rPr>
        <w:t>s”</w:t>
      </w:r>
      <w:r>
        <w:rPr>
          <w:rFonts w:ascii="GHEA Grapalat" w:hAnsi="GHEA Grapalat" w:cstheme="minorHAnsi"/>
          <w:sz w:val="20"/>
          <w:szCs w:val="20"/>
          <w:lang w:val="hy-AM"/>
        </w:rPr>
        <w:t xml:space="preserve"> </w:t>
      </w:r>
      <w:r>
        <w:rPr>
          <w:rFonts w:ascii="GHEA Grapalat" w:hAnsi="GHEA Grapalat" w:cstheme="minorHAnsi"/>
          <w:sz w:val="20"/>
          <w:szCs w:val="20"/>
        </w:rPr>
        <w:t>(</w:t>
      </w:r>
      <w:r>
        <w:rPr>
          <w:rFonts w:ascii="GHEA Grapalat" w:hAnsi="GHEA Grapalat" w:cstheme="minorHAnsi"/>
          <w:sz w:val="20"/>
          <w:szCs w:val="20"/>
          <w:lang w:val="hy-AM"/>
        </w:rPr>
        <w:t>-19.4%,</w:t>
      </w:r>
      <w:r>
        <w:rPr>
          <w:rFonts w:ascii="GHEA Grapalat" w:hAnsi="GHEA Grapalat" w:cstheme="minorHAnsi"/>
          <w:sz w:val="20"/>
          <w:szCs w:val="20"/>
        </w:rPr>
        <w:t xml:space="preserve"> y/y),</w:t>
      </w:r>
      <w:r>
        <w:rPr>
          <w:rFonts w:ascii="GHEA Grapalat" w:hAnsi="GHEA Grapalat" w:cstheme="minorHAnsi"/>
          <w:sz w:val="20"/>
          <w:szCs w:val="20"/>
          <w:lang w:val="hy-AM"/>
        </w:rPr>
        <w:t xml:space="preserve"> </w:t>
      </w:r>
      <w:r>
        <w:rPr>
          <w:rFonts w:ascii="GHEA Grapalat" w:hAnsi="GHEA Grapalat" w:cstheme="minorHAnsi"/>
          <w:sz w:val="20"/>
          <w:szCs w:val="20"/>
        </w:rPr>
        <w:t>“</w:t>
      </w:r>
      <w:r>
        <w:rPr>
          <w:rFonts w:ascii="GHEA Grapalat" w:hAnsi="GHEA Grapalat" w:cstheme="minorHAnsi"/>
          <w:sz w:val="20"/>
          <w:szCs w:val="20"/>
          <w:lang w:val="hy-AM"/>
        </w:rPr>
        <w:t>Fruit</w:t>
      </w:r>
      <w:r>
        <w:rPr>
          <w:rFonts w:ascii="GHEA Grapalat" w:hAnsi="GHEA Grapalat" w:cstheme="minorHAnsi"/>
          <w:sz w:val="20"/>
          <w:szCs w:val="20"/>
        </w:rPr>
        <w:t>s”</w:t>
      </w:r>
      <w:r>
        <w:rPr>
          <w:rFonts w:ascii="GHEA Grapalat" w:hAnsi="GHEA Grapalat" w:cstheme="minorHAnsi"/>
          <w:sz w:val="20"/>
          <w:szCs w:val="20"/>
          <w:lang w:val="hy-AM"/>
        </w:rPr>
        <w:t xml:space="preserve"> </w:t>
      </w:r>
      <w:r>
        <w:rPr>
          <w:rFonts w:ascii="GHEA Grapalat" w:hAnsi="GHEA Grapalat" w:cstheme="minorHAnsi"/>
          <w:sz w:val="20"/>
          <w:szCs w:val="20"/>
        </w:rPr>
        <w:t>(-</w:t>
      </w:r>
      <w:r>
        <w:rPr>
          <w:rFonts w:ascii="GHEA Grapalat" w:hAnsi="GHEA Grapalat" w:cstheme="minorHAnsi"/>
          <w:sz w:val="20"/>
          <w:szCs w:val="20"/>
          <w:lang w:val="hy-AM"/>
        </w:rPr>
        <w:t>8.5%</w:t>
      </w:r>
      <w:r>
        <w:rPr>
          <w:rFonts w:ascii="GHEA Grapalat" w:hAnsi="GHEA Grapalat" w:cstheme="minorHAnsi"/>
          <w:sz w:val="20"/>
          <w:szCs w:val="20"/>
        </w:rPr>
        <w:t>, y/y),</w:t>
      </w:r>
      <w:r>
        <w:rPr>
          <w:rFonts w:ascii="GHEA Grapalat" w:hAnsi="GHEA Grapalat" w:cstheme="minorHAnsi"/>
          <w:sz w:val="20"/>
          <w:szCs w:val="20"/>
          <w:lang w:val="hy-AM"/>
        </w:rPr>
        <w:t xml:space="preserve"> and </w:t>
      </w:r>
      <w:r>
        <w:rPr>
          <w:rFonts w:ascii="GHEA Grapalat" w:hAnsi="GHEA Grapalat" w:cstheme="minorHAnsi"/>
          <w:sz w:val="20"/>
          <w:szCs w:val="20"/>
        </w:rPr>
        <w:t>“</w:t>
      </w:r>
      <w:r>
        <w:rPr>
          <w:rFonts w:ascii="GHEA Grapalat" w:hAnsi="GHEA Grapalat" w:cstheme="minorHAnsi"/>
          <w:sz w:val="20"/>
          <w:szCs w:val="20"/>
          <w:lang w:val="hy-AM"/>
        </w:rPr>
        <w:t>Egg</w:t>
      </w:r>
      <w:r>
        <w:rPr>
          <w:rFonts w:ascii="GHEA Grapalat" w:hAnsi="GHEA Grapalat" w:cstheme="minorHAnsi"/>
          <w:sz w:val="20"/>
          <w:szCs w:val="20"/>
        </w:rPr>
        <w:t>s”</w:t>
      </w:r>
      <w:r>
        <w:rPr>
          <w:rFonts w:ascii="GHEA Grapalat" w:hAnsi="GHEA Grapalat" w:cstheme="minorHAnsi"/>
          <w:sz w:val="20"/>
          <w:szCs w:val="20"/>
          <w:lang w:val="hy-AM"/>
        </w:rPr>
        <w:t xml:space="preserve"> </w:t>
      </w:r>
      <w:r>
        <w:rPr>
          <w:rFonts w:ascii="GHEA Grapalat" w:hAnsi="GHEA Grapalat" w:cstheme="minorHAnsi"/>
          <w:sz w:val="20"/>
          <w:szCs w:val="20"/>
        </w:rPr>
        <w:t>(</w:t>
      </w:r>
      <w:r>
        <w:rPr>
          <w:rFonts w:ascii="GHEA Grapalat" w:hAnsi="GHEA Grapalat" w:cstheme="minorHAnsi"/>
          <w:sz w:val="20"/>
          <w:szCs w:val="20"/>
          <w:lang w:val="hy-AM"/>
        </w:rPr>
        <w:t>-31.2%</w:t>
      </w:r>
      <w:r>
        <w:rPr>
          <w:rFonts w:ascii="GHEA Grapalat" w:hAnsi="GHEA Grapalat" w:cstheme="minorHAnsi"/>
          <w:sz w:val="20"/>
          <w:szCs w:val="20"/>
        </w:rPr>
        <w:t>, y/y)</w:t>
      </w:r>
      <w:r>
        <w:rPr>
          <w:rFonts w:ascii="GHEA Grapalat" w:hAnsi="GHEA Grapalat" w:cstheme="minorHAnsi"/>
          <w:sz w:val="20"/>
          <w:szCs w:val="20"/>
          <w:lang w:val="hy-AM"/>
        </w:rPr>
        <w:t>.</w:t>
      </w:r>
      <w:r>
        <w:rPr>
          <w:rFonts w:ascii="GHEA Grapalat" w:hAnsi="GHEA Grapalat" w:cstheme="minorHAnsi"/>
          <w:sz w:val="20"/>
          <w:szCs w:val="20"/>
        </w:rPr>
        <w:t xml:space="preserve"> </w:t>
      </w:r>
      <w:r>
        <w:rPr>
          <w:rFonts w:ascii="GHEA Grapalat" w:hAnsi="GHEA Grapalat" w:cstheme="minorHAnsi"/>
          <w:sz w:val="20"/>
          <w:szCs w:val="20"/>
          <w:lang w:val="hy-AM"/>
        </w:rPr>
        <w:t xml:space="preserve">The </w:t>
      </w:r>
      <w:r>
        <w:rPr>
          <w:rFonts w:ascii="GHEA Grapalat" w:hAnsi="GHEA Grapalat" w:cstheme="minorHAnsi"/>
          <w:sz w:val="20"/>
          <w:szCs w:val="20"/>
        </w:rPr>
        <w:t xml:space="preserve">core </w:t>
      </w:r>
      <w:r>
        <w:rPr>
          <w:rFonts w:ascii="GHEA Grapalat" w:hAnsi="GHEA Grapalat" w:cstheme="minorHAnsi"/>
          <w:sz w:val="20"/>
          <w:szCs w:val="20"/>
          <w:lang w:val="hy-AM"/>
        </w:rPr>
        <w:t xml:space="preserve">inflation was mainly </w:t>
      </w:r>
      <w:r>
        <w:rPr>
          <w:rFonts w:ascii="GHEA Grapalat" w:hAnsi="GHEA Grapalat" w:cstheme="minorHAnsi"/>
          <w:sz w:val="20"/>
          <w:szCs w:val="20"/>
        </w:rPr>
        <w:t>determined by</w:t>
      </w:r>
      <w:r>
        <w:rPr>
          <w:rFonts w:ascii="GHEA Grapalat" w:hAnsi="GHEA Grapalat" w:cstheme="minorHAnsi"/>
          <w:sz w:val="20"/>
          <w:szCs w:val="20"/>
          <w:lang w:val="hy-AM"/>
        </w:rPr>
        <w:t xml:space="preserve"> </w:t>
      </w:r>
      <w:r>
        <w:rPr>
          <w:rFonts w:ascii="GHEA Grapalat" w:hAnsi="GHEA Grapalat" w:cstheme="minorHAnsi"/>
          <w:sz w:val="20"/>
          <w:szCs w:val="20"/>
        </w:rPr>
        <w:t>prices of items “</w:t>
      </w:r>
      <w:r>
        <w:rPr>
          <w:rFonts w:ascii="GHEA Grapalat" w:hAnsi="GHEA Grapalat" w:cstheme="minorHAnsi"/>
          <w:sz w:val="20"/>
          <w:szCs w:val="20"/>
          <w:lang w:val="hy-AM"/>
        </w:rPr>
        <w:t>Alcoholic beverage</w:t>
      </w:r>
      <w:r>
        <w:rPr>
          <w:rFonts w:ascii="GHEA Grapalat" w:hAnsi="GHEA Grapalat" w:cstheme="minorHAnsi"/>
          <w:sz w:val="20"/>
          <w:szCs w:val="20"/>
        </w:rPr>
        <w:t>”</w:t>
      </w:r>
      <w:r>
        <w:rPr>
          <w:rFonts w:ascii="GHEA Grapalat" w:hAnsi="GHEA Grapalat" w:cstheme="minorHAnsi"/>
          <w:sz w:val="20"/>
          <w:szCs w:val="20"/>
          <w:lang w:val="hy-AM"/>
        </w:rPr>
        <w:t xml:space="preserve">, </w:t>
      </w:r>
      <w:r>
        <w:rPr>
          <w:rFonts w:ascii="GHEA Grapalat" w:hAnsi="GHEA Grapalat" w:cstheme="minorHAnsi"/>
          <w:sz w:val="20"/>
          <w:szCs w:val="20"/>
        </w:rPr>
        <w:t>“</w:t>
      </w:r>
      <w:r>
        <w:rPr>
          <w:rFonts w:ascii="GHEA Grapalat" w:hAnsi="GHEA Grapalat" w:cstheme="minorHAnsi"/>
          <w:sz w:val="20"/>
          <w:szCs w:val="20"/>
          <w:lang w:val="hy-AM"/>
        </w:rPr>
        <w:t>Tobacco</w:t>
      </w:r>
      <w:r>
        <w:rPr>
          <w:rFonts w:ascii="GHEA Grapalat" w:hAnsi="GHEA Grapalat" w:cstheme="minorHAnsi"/>
          <w:sz w:val="20"/>
          <w:szCs w:val="20"/>
        </w:rPr>
        <w:t>”</w:t>
      </w:r>
      <w:r>
        <w:rPr>
          <w:rFonts w:ascii="GHEA Grapalat" w:hAnsi="GHEA Grapalat" w:cstheme="minorHAnsi"/>
          <w:sz w:val="20"/>
          <w:szCs w:val="20"/>
          <w:lang w:val="hy-AM"/>
        </w:rPr>
        <w:t xml:space="preserve">, </w:t>
      </w:r>
      <w:r>
        <w:rPr>
          <w:rFonts w:ascii="GHEA Grapalat" w:hAnsi="GHEA Grapalat" w:cstheme="minorHAnsi"/>
          <w:sz w:val="20"/>
          <w:szCs w:val="20"/>
        </w:rPr>
        <w:t>“</w:t>
      </w:r>
      <w:r>
        <w:rPr>
          <w:rFonts w:ascii="GHEA Grapalat" w:hAnsi="GHEA Grapalat" w:cstheme="minorHAnsi"/>
          <w:sz w:val="20"/>
          <w:szCs w:val="20"/>
          <w:lang w:val="hy-AM"/>
        </w:rPr>
        <w:t xml:space="preserve">Bread and </w:t>
      </w:r>
      <w:r>
        <w:rPr>
          <w:rFonts w:ascii="GHEA Grapalat" w:hAnsi="GHEA Grapalat" w:cstheme="minorHAnsi"/>
          <w:sz w:val="20"/>
          <w:szCs w:val="20"/>
        </w:rPr>
        <w:t>cereals”</w:t>
      </w:r>
      <w:r>
        <w:rPr>
          <w:rFonts w:ascii="GHEA Grapalat" w:hAnsi="GHEA Grapalat" w:cstheme="minorHAnsi"/>
          <w:sz w:val="20"/>
          <w:szCs w:val="20"/>
          <w:lang w:val="hy-AM"/>
        </w:rPr>
        <w:t xml:space="preserve">, </w:t>
      </w:r>
      <w:r>
        <w:rPr>
          <w:rFonts w:ascii="GHEA Grapalat" w:hAnsi="GHEA Grapalat" w:cstheme="minorHAnsi"/>
          <w:sz w:val="20"/>
          <w:szCs w:val="20"/>
        </w:rPr>
        <w:t>“Footwear”,</w:t>
      </w:r>
      <w:r>
        <w:rPr>
          <w:rFonts w:ascii="GHEA Grapalat" w:hAnsi="GHEA Grapalat" w:cstheme="minorHAnsi"/>
          <w:sz w:val="20"/>
          <w:szCs w:val="20"/>
          <w:lang w:val="hy-AM"/>
        </w:rPr>
        <w:t xml:space="preserve"> and </w:t>
      </w:r>
      <w:r>
        <w:rPr>
          <w:rFonts w:ascii="GHEA Grapalat" w:hAnsi="GHEA Grapalat" w:cstheme="minorHAnsi"/>
          <w:sz w:val="20"/>
          <w:szCs w:val="20"/>
        </w:rPr>
        <w:t>“</w:t>
      </w:r>
      <w:r>
        <w:rPr>
          <w:rFonts w:ascii="GHEA Grapalat" w:hAnsi="GHEA Grapalat" w:cstheme="minorHAnsi"/>
          <w:sz w:val="20"/>
          <w:szCs w:val="20"/>
          <w:lang w:val="hy-AM"/>
        </w:rPr>
        <w:t>Fuel</w:t>
      </w:r>
      <w:r>
        <w:rPr>
          <w:rFonts w:ascii="GHEA Grapalat" w:hAnsi="GHEA Grapalat" w:cstheme="minorHAnsi"/>
          <w:sz w:val="20"/>
          <w:szCs w:val="20"/>
        </w:rPr>
        <w:t>”,</w:t>
      </w:r>
      <w:r>
        <w:rPr>
          <w:rFonts w:ascii="GHEA Grapalat" w:hAnsi="GHEA Grapalat" w:cstheme="minorHAnsi"/>
          <w:sz w:val="20"/>
          <w:szCs w:val="20"/>
          <w:lang w:val="hy-AM"/>
        </w:rPr>
        <w:t xml:space="preserve"> </w:t>
      </w:r>
      <w:r>
        <w:rPr>
          <w:rFonts w:ascii="GHEA Grapalat" w:hAnsi="GHEA Grapalat" w:cstheme="minorHAnsi"/>
          <w:sz w:val="20"/>
          <w:szCs w:val="20"/>
        </w:rPr>
        <w:t>having increased</w:t>
      </w:r>
      <w:r>
        <w:rPr>
          <w:rFonts w:ascii="GHEA Grapalat" w:hAnsi="GHEA Grapalat" w:cstheme="minorHAnsi"/>
          <w:sz w:val="20"/>
          <w:szCs w:val="20"/>
          <w:lang w:val="hy-AM"/>
        </w:rPr>
        <w:t xml:space="preserve"> </w:t>
      </w:r>
      <w:r>
        <w:rPr>
          <w:rFonts w:ascii="GHEA Grapalat" w:hAnsi="GHEA Grapalat" w:cstheme="minorHAnsi"/>
          <w:sz w:val="20"/>
          <w:szCs w:val="20"/>
        </w:rPr>
        <w:t xml:space="preserve">by </w:t>
      </w:r>
      <w:r>
        <w:rPr>
          <w:rFonts w:ascii="GHEA Grapalat" w:hAnsi="GHEA Grapalat" w:cstheme="minorHAnsi"/>
          <w:sz w:val="20"/>
          <w:szCs w:val="20"/>
          <w:lang w:val="hy-AM"/>
        </w:rPr>
        <w:t>11.0%, 7.2%, 1.4%, 3.6% and 2.7%</w:t>
      </w:r>
      <w:r>
        <w:rPr>
          <w:rFonts w:ascii="GHEA Grapalat" w:hAnsi="GHEA Grapalat" w:cstheme="minorHAnsi"/>
          <w:sz w:val="20"/>
          <w:szCs w:val="20"/>
        </w:rPr>
        <w:t xml:space="preserve"> y/y</w:t>
      </w:r>
      <w:r>
        <w:rPr>
          <w:rFonts w:ascii="GHEA Grapalat" w:hAnsi="GHEA Grapalat" w:cstheme="minorHAnsi"/>
          <w:sz w:val="20"/>
          <w:szCs w:val="20"/>
          <w:lang w:val="hy-AM"/>
        </w:rPr>
        <w:t xml:space="preserve">, </w:t>
      </w:r>
      <w:r>
        <w:rPr>
          <w:rFonts w:ascii="GHEA Grapalat" w:hAnsi="GHEA Grapalat" w:cstheme="minorHAnsi"/>
          <w:sz w:val="20"/>
          <w:szCs w:val="20"/>
        </w:rPr>
        <w:t>and by tariffs of services “Outpatient care services”</w:t>
      </w:r>
      <w:r>
        <w:rPr>
          <w:rFonts w:ascii="GHEA Grapalat" w:hAnsi="GHEA Grapalat" w:cstheme="minorHAnsi"/>
          <w:sz w:val="20"/>
          <w:szCs w:val="20"/>
          <w:lang w:val="hy-AM"/>
        </w:rPr>
        <w:t xml:space="preserve">, </w:t>
      </w:r>
      <w:r>
        <w:rPr>
          <w:rFonts w:ascii="GHEA Grapalat" w:hAnsi="GHEA Grapalat" w:cstheme="minorHAnsi"/>
          <w:sz w:val="20"/>
          <w:szCs w:val="20"/>
        </w:rPr>
        <w:t>“Hospital services”</w:t>
      </w:r>
      <w:r>
        <w:rPr>
          <w:rFonts w:ascii="GHEA Grapalat" w:hAnsi="GHEA Grapalat" w:cstheme="minorHAnsi"/>
          <w:sz w:val="20"/>
          <w:szCs w:val="20"/>
          <w:lang w:val="hy-AM"/>
        </w:rPr>
        <w:t xml:space="preserve"> and </w:t>
      </w:r>
      <w:r>
        <w:rPr>
          <w:rFonts w:ascii="GHEA Grapalat" w:hAnsi="GHEA Grapalat" w:cstheme="minorHAnsi"/>
          <w:sz w:val="20"/>
          <w:szCs w:val="20"/>
        </w:rPr>
        <w:t>“</w:t>
      </w:r>
      <w:r>
        <w:rPr>
          <w:rFonts w:ascii="GHEA Grapalat" w:hAnsi="GHEA Grapalat" w:cstheme="minorHAnsi"/>
          <w:sz w:val="20"/>
          <w:szCs w:val="20"/>
          <w:lang w:val="hy-AM"/>
        </w:rPr>
        <w:t>Education</w:t>
      </w:r>
      <w:r>
        <w:rPr>
          <w:rFonts w:ascii="GHEA Grapalat" w:hAnsi="GHEA Grapalat" w:cstheme="minorHAnsi"/>
          <w:sz w:val="20"/>
          <w:szCs w:val="20"/>
        </w:rPr>
        <w:t xml:space="preserve"> services”, having risen by </w:t>
      </w:r>
      <w:r>
        <w:rPr>
          <w:rFonts w:ascii="GHEA Grapalat" w:hAnsi="GHEA Grapalat" w:cstheme="minorHAnsi"/>
          <w:sz w:val="20"/>
          <w:szCs w:val="20"/>
          <w:lang w:val="hy-AM"/>
        </w:rPr>
        <w:t>5.1%, 2.3% and 3.7%</w:t>
      </w:r>
      <w:r>
        <w:rPr>
          <w:rFonts w:ascii="GHEA Grapalat" w:hAnsi="GHEA Grapalat" w:cstheme="minorHAnsi"/>
          <w:sz w:val="20"/>
          <w:szCs w:val="20"/>
        </w:rPr>
        <w:t xml:space="preserve"> y/y</w:t>
      </w:r>
      <w:r>
        <w:rPr>
          <w:rFonts w:ascii="GHEA Grapalat" w:hAnsi="GHEA Grapalat" w:cstheme="minorHAnsi"/>
          <w:sz w:val="20"/>
          <w:szCs w:val="20"/>
          <w:lang w:val="hy-AM"/>
        </w:rPr>
        <w:t>, respectively.</w:t>
      </w:r>
      <w:r>
        <w:rPr>
          <w:rFonts w:ascii="GHEA Grapalat" w:hAnsi="GHEA Grapalat" w:cstheme="minorHAnsi"/>
          <w:sz w:val="20"/>
          <w:szCs w:val="20"/>
        </w:rPr>
        <w:t xml:space="preserve"> </w:t>
      </w:r>
      <w:r>
        <w:rPr>
          <w:rFonts w:ascii="GHEA Grapalat" w:hAnsi="GHEA Grapalat" w:cstheme="minorHAnsi"/>
          <w:sz w:val="20"/>
          <w:szCs w:val="20"/>
          <w:lang w:val="hy-AM"/>
        </w:rPr>
        <w:t xml:space="preserve">The rise in prices </w:t>
      </w:r>
      <w:r>
        <w:rPr>
          <w:rFonts w:ascii="GHEA Grapalat" w:hAnsi="GHEA Grapalat" w:cstheme="minorHAnsi"/>
          <w:sz w:val="20"/>
          <w:szCs w:val="20"/>
        </w:rPr>
        <w:t>of</w:t>
      </w:r>
      <w:r>
        <w:rPr>
          <w:rFonts w:ascii="GHEA Grapalat" w:hAnsi="GHEA Grapalat" w:cstheme="minorHAnsi"/>
          <w:sz w:val="20"/>
          <w:szCs w:val="20"/>
          <w:lang w:val="hy-AM"/>
        </w:rPr>
        <w:t xml:space="preserve"> </w:t>
      </w:r>
      <w:r>
        <w:rPr>
          <w:rFonts w:ascii="GHEA Grapalat" w:hAnsi="GHEA Grapalat" w:cstheme="minorHAnsi"/>
          <w:sz w:val="20"/>
          <w:szCs w:val="20"/>
        </w:rPr>
        <w:t>“</w:t>
      </w:r>
      <w:r>
        <w:rPr>
          <w:rFonts w:ascii="GHEA Grapalat" w:hAnsi="GHEA Grapalat" w:cstheme="minorHAnsi"/>
          <w:sz w:val="20"/>
          <w:szCs w:val="20"/>
          <w:lang w:val="hy-AM"/>
        </w:rPr>
        <w:t>Tobacco</w:t>
      </w:r>
      <w:r>
        <w:rPr>
          <w:rFonts w:ascii="GHEA Grapalat" w:hAnsi="GHEA Grapalat" w:cstheme="minorHAnsi"/>
          <w:sz w:val="20"/>
          <w:szCs w:val="20"/>
        </w:rPr>
        <w:t>”</w:t>
      </w:r>
      <w:r>
        <w:rPr>
          <w:rFonts w:ascii="GHEA Grapalat" w:hAnsi="GHEA Grapalat" w:cstheme="minorHAnsi"/>
          <w:sz w:val="20"/>
          <w:szCs w:val="20"/>
          <w:lang w:val="hy-AM"/>
        </w:rPr>
        <w:t xml:space="preserve"> and </w:t>
      </w:r>
      <w:r>
        <w:rPr>
          <w:rFonts w:ascii="GHEA Grapalat" w:hAnsi="GHEA Grapalat" w:cstheme="minorHAnsi"/>
          <w:sz w:val="20"/>
          <w:szCs w:val="20"/>
        </w:rPr>
        <w:t>“</w:t>
      </w:r>
      <w:r>
        <w:rPr>
          <w:rFonts w:ascii="GHEA Grapalat" w:hAnsi="GHEA Grapalat" w:cstheme="minorHAnsi"/>
          <w:sz w:val="20"/>
          <w:szCs w:val="20"/>
          <w:lang w:val="hy-AM"/>
        </w:rPr>
        <w:t xml:space="preserve">Alcoholic </w:t>
      </w:r>
      <w:r>
        <w:rPr>
          <w:rFonts w:ascii="GHEA Grapalat" w:hAnsi="GHEA Grapalat" w:cstheme="minorHAnsi"/>
          <w:sz w:val="20"/>
          <w:szCs w:val="20"/>
        </w:rPr>
        <w:t>b</w:t>
      </w:r>
      <w:r>
        <w:rPr>
          <w:rFonts w:ascii="GHEA Grapalat" w:hAnsi="GHEA Grapalat" w:cstheme="minorHAnsi"/>
          <w:sz w:val="20"/>
          <w:szCs w:val="20"/>
          <w:lang w:val="hy-AM"/>
        </w:rPr>
        <w:t>everage</w:t>
      </w:r>
      <w:r>
        <w:rPr>
          <w:rFonts w:ascii="GHEA Grapalat" w:hAnsi="GHEA Grapalat" w:cstheme="minorHAnsi"/>
          <w:sz w:val="20"/>
          <w:szCs w:val="20"/>
        </w:rPr>
        <w:t>”</w:t>
      </w:r>
      <w:r>
        <w:rPr>
          <w:rFonts w:ascii="GHEA Grapalat" w:hAnsi="GHEA Grapalat" w:cstheme="minorHAnsi"/>
          <w:sz w:val="20"/>
          <w:szCs w:val="20"/>
          <w:lang w:val="hy-AM"/>
        </w:rPr>
        <w:t xml:space="preserve"> </w:t>
      </w:r>
      <w:r>
        <w:rPr>
          <w:rFonts w:ascii="GHEA Grapalat" w:hAnsi="GHEA Grapalat" w:cstheme="minorHAnsi"/>
          <w:sz w:val="20"/>
          <w:szCs w:val="20"/>
        </w:rPr>
        <w:t xml:space="preserve">mostly incurs </w:t>
      </w:r>
      <w:r>
        <w:rPr>
          <w:rFonts w:ascii="GHEA Grapalat" w:hAnsi="GHEA Grapalat" w:cstheme="minorHAnsi"/>
          <w:sz w:val="20"/>
          <w:szCs w:val="20"/>
          <w:lang w:val="hy-AM"/>
        </w:rPr>
        <w:t xml:space="preserve">the inflationary impact of </w:t>
      </w:r>
      <w:r>
        <w:rPr>
          <w:rFonts w:ascii="GHEA Grapalat" w:hAnsi="GHEA Grapalat" w:cstheme="minorHAnsi"/>
          <w:sz w:val="20"/>
          <w:szCs w:val="20"/>
        </w:rPr>
        <w:t xml:space="preserve">a </w:t>
      </w:r>
      <w:r>
        <w:rPr>
          <w:rFonts w:ascii="GHEA Grapalat" w:hAnsi="GHEA Grapalat" w:cstheme="minorHAnsi"/>
          <w:sz w:val="20"/>
          <w:szCs w:val="20"/>
          <w:lang w:val="hy-AM"/>
        </w:rPr>
        <w:t xml:space="preserve">change in excise </w:t>
      </w:r>
      <w:r>
        <w:rPr>
          <w:rFonts w:ascii="GHEA Grapalat" w:hAnsi="GHEA Grapalat" w:cstheme="minorHAnsi"/>
          <w:sz w:val="20"/>
          <w:szCs w:val="20"/>
        </w:rPr>
        <w:t>duty</w:t>
      </w:r>
      <w:r>
        <w:rPr>
          <w:rFonts w:ascii="GHEA Grapalat" w:hAnsi="GHEA Grapalat" w:cstheme="minorHAnsi"/>
          <w:sz w:val="20"/>
          <w:szCs w:val="20"/>
          <w:lang w:val="hy-AM"/>
        </w:rPr>
        <w:t xml:space="preserve"> rates at the beginning of the year. At the same time, the decline in food prices in international markets continued </w:t>
      </w:r>
      <w:r>
        <w:rPr>
          <w:rFonts w:ascii="GHEA Grapalat" w:hAnsi="GHEA Grapalat" w:cstheme="minorHAnsi"/>
          <w:sz w:val="20"/>
          <w:szCs w:val="20"/>
        </w:rPr>
        <w:t xml:space="preserve">spilling over to </w:t>
      </w:r>
      <w:r>
        <w:rPr>
          <w:rFonts w:ascii="GHEA Grapalat" w:hAnsi="GHEA Grapalat" w:cstheme="minorHAnsi"/>
          <w:sz w:val="20"/>
          <w:szCs w:val="20"/>
          <w:lang w:val="hy-AM"/>
        </w:rPr>
        <w:t xml:space="preserve">the domestic market, where a certain weakening of </w:t>
      </w:r>
      <w:r>
        <w:rPr>
          <w:rFonts w:ascii="GHEA Grapalat" w:hAnsi="GHEA Grapalat" w:cstheme="minorHAnsi"/>
          <w:sz w:val="20"/>
          <w:szCs w:val="20"/>
        </w:rPr>
        <w:t xml:space="preserve">price </w:t>
      </w:r>
      <w:r>
        <w:rPr>
          <w:rFonts w:ascii="GHEA Grapalat" w:hAnsi="GHEA Grapalat" w:cstheme="minorHAnsi"/>
          <w:sz w:val="20"/>
          <w:szCs w:val="20"/>
          <w:lang w:val="hy-AM"/>
        </w:rPr>
        <w:t xml:space="preserve">inflation </w:t>
      </w:r>
      <w:r>
        <w:rPr>
          <w:rFonts w:ascii="GHEA Grapalat" w:hAnsi="GHEA Grapalat" w:cstheme="minorHAnsi"/>
          <w:sz w:val="20"/>
          <w:szCs w:val="20"/>
        </w:rPr>
        <w:t>on</w:t>
      </w:r>
      <w:r>
        <w:rPr>
          <w:rFonts w:ascii="GHEA Grapalat" w:hAnsi="GHEA Grapalat" w:cstheme="minorHAnsi"/>
          <w:sz w:val="20"/>
          <w:szCs w:val="20"/>
          <w:lang w:val="hy-AM"/>
        </w:rPr>
        <w:t xml:space="preserve"> food products</w:t>
      </w:r>
      <w:r>
        <w:rPr>
          <w:rFonts w:ascii="GHEA Grapalat" w:hAnsi="GHEA Grapalat" w:cstheme="minorHAnsi"/>
          <w:sz w:val="20"/>
          <w:szCs w:val="20"/>
        </w:rPr>
        <w:t xml:space="preserve"> was observable as well</w:t>
      </w:r>
      <w:r>
        <w:rPr>
          <w:rFonts w:ascii="GHEA Grapalat" w:hAnsi="GHEA Grapalat" w:cstheme="minorHAnsi"/>
          <w:sz w:val="20"/>
          <w:szCs w:val="20"/>
          <w:lang w:val="hy-AM"/>
        </w:rPr>
        <w:t xml:space="preserve">. </w:t>
      </w:r>
      <w:r>
        <w:rPr>
          <w:rFonts w:ascii="GHEA Grapalat" w:hAnsi="GHEA Grapalat" w:cstheme="minorHAnsi"/>
          <w:sz w:val="20"/>
          <w:szCs w:val="20"/>
        </w:rPr>
        <w:t>T</w:t>
      </w:r>
      <w:r>
        <w:rPr>
          <w:rFonts w:ascii="GHEA Grapalat" w:hAnsi="GHEA Grapalat" w:cstheme="minorHAnsi"/>
          <w:sz w:val="20"/>
          <w:szCs w:val="20"/>
          <w:lang w:val="hy-AM"/>
        </w:rPr>
        <w:t xml:space="preserve">he sugar and meat </w:t>
      </w:r>
      <w:r>
        <w:rPr>
          <w:rFonts w:ascii="GHEA Grapalat" w:hAnsi="GHEA Grapalat" w:cstheme="minorHAnsi"/>
          <w:sz w:val="20"/>
          <w:szCs w:val="20"/>
        </w:rPr>
        <w:t xml:space="preserve">product </w:t>
      </w:r>
      <w:r>
        <w:rPr>
          <w:rFonts w:ascii="GHEA Grapalat" w:hAnsi="GHEA Grapalat" w:cstheme="minorHAnsi"/>
          <w:sz w:val="20"/>
          <w:szCs w:val="20"/>
          <w:lang w:val="hy-AM"/>
        </w:rPr>
        <w:t xml:space="preserve">markets </w:t>
      </w:r>
      <w:r>
        <w:rPr>
          <w:rFonts w:ascii="GHEA Grapalat" w:hAnsi="GHEA Grapalat" w:cstheme="minorHAnsi"/>
          <w:sz w:val="20"/>
          <w:szCs w:val="20"/>
        </w:rPr>
        <w:t>have seen a s</w:t>
      </w:r>
      <w:r>
        <w:rPr>
          <w:rFonts w:ascii="GHEA Grapalat" w:hAnsi="GHEA Grapalat" w:cstheme="minorHAnsi"/>
          <w:sz w:val="20"/>
          <w:szCs w:val="20"/>
          <w:lang w:val="hy-AM"/>
        </w:rPr>
        <w:t xml:space="preserve">ignificant </w:t>
      </w:r>
      <w:r>
        <w:rPr>
          <w:rFonts w:ascii="GHEA Grapalat" w:hAnsi="GHEA Grapalat" w:cstheme="minorHAnsi"/>
          <w:sz w:val="20"/>
          <w:szCs w:val="20"/>
        </w:rPr>
        <w:t xml:space="preserve">price </w:t>
      </w:r>
      <w:r>
        <w:rPr>
          <w:rFonts w:ascii="GHEA Grapalat" w:hAnsi="GHEA Grapalat" w:cstheme="minorHAnsi"/>
          <w:sz w:val="20"/>
          <w:szCs w:val="20"/>
          <w:lang w:val="hy-AM"/>
        </w:rPr>
        <w:t xml:space="preserve">deflation </w:t>
      </w:r>
      <w:r>
        <w:rPr>
          <w:rFonts w:ascii="GHEA Grapalat" w:hAnsi="GHEA Grapalat" w:cstheme="minorHAnsi"/>
          <w:sz w:val="20"/>
          <w:szCs w:val="20"/>
        </w:rPr>
        <w:t xml:space="preserve">relative to </w:t>
      </w:r>
      <w:r>
        <w:rPr>
          <w:rFonts w:ascii="GHEA Grapalat" w:hAnsi="GHEA Grapalat" w:cstheme="minorHAnsi"/>
          <w:sz w:val="20"/>
          <w:szCs w:val="20"/>
          <w:lang w:val="hy-AM"/>
        </w:rPr>
        <w:t>the same period of the previous year (-10.6%</w:t>
      </w:r>
      <w:r>
        <w:rPr>
          <w:rFonts w:ascii="GHEA Grapalat" w:hAnsi="GHEA Grapalat" w:cstheme="minorHAnsi"/>
          <w:sz w:val="20"/>
          <w:szCs w:val="20"/>
        </w:rPr>
        <w:t xml:space="preserve"> and </w:t>
      </w:r>
      <w:r>
        <w:rPr>
          <w:rFonts w:ascii="GHEA Grapalat" w:hAnsi="GHEA Grapalat" w:cstheme="minorHAnsi"/>
          <w:sz w:val="20"/>
          <w:szCs w:val="20"/>
          <w:lang w:val="hy-AM"/>
        </w:rPr>
        <w:t>-4</w:t>
      </w:r>
      <w:r>
        <w:rPr>
          <w:rFonts w:ascii="GHEA Grapalat" w:hAnsi="GHEA Grapalat" w:cstheme="minorHAnsi"/>
          <w:sz w:val="20"/>
          <w:szCs w:val="20"/>
        </w:rPr>
        <w:t>.</w:t>
      </w:r>
      <w:r>
        <w:rPr>
          <w:rFonts w:ascii="GHEA Grapalat" w:hAnsi="GHEA Grapalat" w:cstheme="minorHAnsi"/>
          <w:sz w:val="20"/>
          <w:szCs w:val="20"/>
          <w:lang w:val="hy-AM"/>
        </w:rPr>
        <w:t xml:space="preserve">5%, respectively, </w:t>
      </w:r>
      <w:r>
        <w:rPr>
          <w:rFonts w:ascii="GHEA Grapalat" w:hAnsi="GHEA Grapalat" w:cstheme="minorHAnsi"/>
          <w:sz w:val="20"/>
          <w:szCs w:val="20"/>
        </w:rPr>
        <w:t xml:space="preserve">with a combined </w:t>
      </w:r>
      <w:r>
        <w:rPr>
          <w:rFonts w:ascii="GHEA Grapalat" w:hAnsi="GHEA Grapalat" w:cstheme="minorHAnsi"/>
          <w:sz w:val="20"/>
          <w:szCs w:val="20"/>
          <w:lang w:val="hy-AM"/>
        </w:rPr>
        <w:t xml:space="preserve">contribution to inflation </w:t>
      </w:r>
      <w:r>
        <w:rPr>
          <w:rFonts w:ascii="GHEA Grapalat" w:hAnsi="GHEA Grapalat" w:cstheme="minorHAnsi"/>
          <w:sz w:val="20"/>
          <w:szCs w:val="20"/>
        </w:rPr>
        <w:t>amounting to</w:t>
      </w:r>
      <w:r>
        <w:rPr>
          <w:rFonts w:ascii="GHEA Grapalat" w:hAnsi="GHEA Grapalat" w:cstheme="minorHAnsi"/>
          <w:sz w:val="20"/>
          <w:szCs w:val="20"/>
          <w:lang w:val="hy-AM"/>
        </w:rPr>
        <w:t xml:space="preserve"> -0.5%). It should be noted that the inflationary impact of </w:t>
      </w:r>
      <w:r>
        <w:rPr>
          <w:rFonts w:ascii="GHEA Grapalat" w:hAnsi="GHEA Grapalat" w:cstheme="minorHAnsi"/>
          <w:sz w:val="20"/>
          <w:szCs w:val="20"/>
        </w:rPr>
        <w:t xml:space="preserve">a </w:t>
      </w:r>
      <w:r>
        <w:rPr>
          <w:rFonts w:ascii="GHEA Grapalat" w:hAnsi="GHEA Grapalat" w:cstheme="minorHAnsi"/>
          <w:sz w:val="20"/>
          <w:szCs w:val="20"/>
          <w:lang w:val="hy-AM"/>
        </w:rPr>
        <w:t>change in customs rates o</w:t>
      </w:r>
      <w:r>
        <w:rPr>
          <w:rFonts w:ascii="GHEA Grapalat" w:hAnsi="GHEA Grapalat" w:cstheme="minorHAnsi"/>
          <w:sz w:val="20"/>
          <w:szCs w:val="20"/>
        </w:rPr>
        <w:t>n</w:t>
      </w:r>
      <w:r>
        <w:rPr>
          <w:rFonts w:ascii="GHEA Grapalat" w:hAnsi="GHEA Grapalat" w:cstheme="minorHAnsi"/>
          <w:sz w:val="20"/>
          <w:szCs w:val="20"/>
          <w:lang w:val="hy-AM"/>
        </w:rPr>
        <w:t xml:space="preserve"> some </w:t>
      </w:r>
      <w:r>
        <w:rPr>
          <w:rFonts w:ascii="GHEA Grapalat" w:hAnsi="GHEA Grapalat" w:cstheme="minorHAnsi"/>
          <w:sz w:val="20"/>
          <w:szCs w:val="20"/>
        </w:rPr>
        <w:t xml:space="preserve">goods </w:t>
      </w:r>
      <w:r>
        <w:rPr>
          <w:rFonts w:ascii="GHEA Grapalat" w:hAnsi="GHEA Grapalat" w:cstheme="minorHAnsi"/>
          <w:sz w:val="20"/>
          <w:szCs w:val="20"/>
          <w:lang w:val="hy-AM"/>
        </w:rPr>
        <w:t xml:space="preserve">in the beginning of 2020, as </w:t>
      </w:r>
      <w:r>
        <w:rPr>
          <w:rFonts w:ascii="GHEA Grapalat" w:hAnsi="GHEA Grapalat" w:cstheme="minorHAnsi"/>
          <w:sz w:val="20"/>
          <w:szCs w:val="20"/>
        </w:rPr>
        <w:t xml:space="preserve">was </w:t>
      </w:r>
      <w:r>
        <w:rPr>
          <w:rFonts w:ascii="GHEA Grapalat" w:hAnsi="GHEA Grapalat" w:cstheme="minorHAnsi"/>
          <w:sz w:val="20"/>
          <w:szCs w:val="20"/>
          <w:lang w:val="hy-AM"/>
        </w:rPr>
        <w:t>estimated, amounted to about 0.2 p</w:t>
      </w:r>
      <w:r>
        <w:rPr>
          <w:rFonts w:ascii="GHEA Grapalat" w:hAnsi="GHEA Grapalat" w:cstheme="minorHAnsi"/>
          <w:sz w:val="20"/>
          <w:szCs w:val="20"/>
        </w:rPr>
        <w:t>p.</w:t>
      </w:r>
    </w:p>
    <w:p w14:paraId="30944DA8" w14:textId="77777777" w:rsidR="004F213F" w:rsidRDefault="004F213F" w:rsidP="004F213F">
      <w:pPr>
        <w:spacing w:line="340" w:lineRule="atLeast"/>
        <w:ind w:firstLine="284"/>
        <w:rPr>
          <w:rFonts w:ascii="GHEA Grapalat" w:hAnsi="GHEA Grapalat" w:cstheme="minorHAnsi"/>
          <w:sz w:val="20"/>
          <w:szCs w:val="20"/>
          <w:lang w:val="hy-AM"/>
        </w:rPr>
      </w:pPr>
      <w:r>
        <w:rPr>
          <w:rFonts w:ascii="GHEA Grapalat" w:hAnsi="GHEA Grapalat" w:cstheme="minorHAnsi"/>
          <w:sz w:val="20"/>
          <w:szCs w:val="20"/>
        </w:rPr>
        <w:t>The</w:t>
      </w:r>
      <w:r>
        <w:rPr>
          <w:rFonts w:ascii="GHEA Grapalat" w:hAnsi="GHEA Grapalat" w:cstheme="minorHAnsi"/>
          <w:sz w:val="20"/>
          <w:szCs w:val="20"/>
          <w:lang w:val="hy-AM"/>
        </w:rPr>
        <w:t xml:space="preserve"> coronavirus</w:t>
      </w:r>
      <w:r>
        <w:rPr>
          <w:rFonts w:ascii="GHEA Grapalat" w:hAnsi="GHEA Grapalat" w:cstheme="minorHAnsi"/>
          <w:sz w:val="20"/>
          <w:szCs w:val="20"/>
        </w:rPr>
        <w:t xml:space="preserve"> pandemic has prompted </w:t>
      </w:r>
      <w:r>
        <w:rPr>
          <w:rFonts w:ascii="GHEA Grapalat" w:hAnsi="GHEA Grapalat" w:cstheme="minorHAnsi"/>
          <w:sz w:val="20"/>
          <w:szCs w:val="20"/>
          <w:lang w:val="hy-AM"/>
        </w:rPr>
        <w:t xml:space="preserve">structural </w:t>
      </w:r>
      <w:r>
        <w:rPr>
          <w:rFonts w:ascii="GHEA Grapalat" w:hAnsi="GHEA Grapalat" w:cstheme="minorHAnsi"/>
          <w:sz w:val="20"/>
          <w:szCs w:val="20"/>
        </w:rPr>
        <w:t>shifts and certain changes</w:t>
      </w:r>
      <w:r>
        <w:rPr>
          <w:rFonts w:ascii="GHEA Grapalat" w:hAnsi="GHEA Grapalat" w:cstheme="minorHAnsi"/>
          <w:sz w:val="20"/>
          <w:szCs w:val="20"/>
          <w:lang w:val="hy-AM"/>
        </w:rPr>
        <w:t xml:space="preserve"> in demand for indivudual goods</w:t>
      </w:r>
      <w:r>
        <w:rPr>
          <w:rFonts w:ascii="GHEA Grapalat" w:hAnsi="GHEA Grapalat" w:cstheme="minorHAnsi"/>
          <w:sz w:val="20"/>
          <w:szCs w:val="20"/>
        </w:rPr>
        <w:t xml:space="preserve"> in consumer markets both </w:t>
      </w:r>
      <w:r>
        <w:rPr>
          <w:rFonts w:ascii="GHEA Grapalat" w:hAnsi="GHEA Grapalat" w:cstheme="minorHAnsi"/>
          <w:sz w:val="20"/>
          <w:szCs w:val="20"/>
          <w:lang w:val="hy-AM"/>
        </w:rPr>
        <w:t>in the world and the Republic of Armenia</w:t>
      </w:r>
      <w:r>
        <w:rPr>
          <w:rFonts w:ascii="GHEA Grapalat" w:hAnsi="GHEA Grapalat" w:cstheme="minorHAnsi"/>
          <w:sz w:val="20"/>
          <w:szCs w:val="20"/>
        </w:rPr>
        <w:t xml:space="preserve">. However, </w:t>
      </w:r>
      <w:r>
        <w:rPr>
          <w:rFonts w:ascii="GHEA Grapalat" w:hAnsi="GHEA Grapalat" w:cstheme="minorHAnsi"/>
          <w:sz w:val="20"/>
          <w:szCs w:val="20"/>
          <w:lang w:val="hy-AM"/>
        </w:rPr>
        <w:t>the</w:t>
      </w:r>
      <w:r>
        <w:rPr>
          <w:rFonts w:ascii="GHEA Grapalat" w:hAnsi="GHEA Grapalat" w:cstheme="minorHAnsi"/>
          <w:sz w:val="20"/>
          <w:szCs w:val="20"/>
        </w:rPr>
        <w:t>s</w:t>
      </w:r>
      <w:r>
        <w:rPr>
          <w:rFonts w:ascii="GHEA Grapalat" w:hAnsi="GHEA Grapalat" w:cstheme="minorHAnsi"/>
          <w:sz w:val="20"/>
          <w:szCs w:val="20"/>
          <w:lang w:val="hy-AM"/>
        </w:rPr>
        <w:t xml:space="preserve">e </w:t>
      </w:r>
      <w:r>
        <w:rPr>
          <w:rFonts w:ascii="GHEA Grapalat" w:hAnsi="GHEA Grapalat" w:cstheme="minorHAnsi"/>
          <w:sz w:val="20"/>
          <w:szCs w:val="20"/>
        </w:rPr>
        <w:t>changes h</w:t>
      </w:r>
      <w:r>
        <w:rPr>
          <w:rFonts w:ascii="GHEA Grapalat" w:hAnsi="GHEA Grapalat" w:cstheme="minorHAnsi"/>
          <w:sz w:val="20"/>
          <w:szCs w:val="20"/>
          <w:lang w:val="hy-AM"/>
        </w:rPr>
        <w:t xml:space="preserve">ave not yet been </w:t>
      </w:r>
      <w:r>
        <w:rPr>
          <w:rFonts w:ascii="GHEA Grapalat" w:hAnsi="GHEA Grapalat" w:cstheme="minorHAnsi"/>
          <w:sz w:val="20"/>
          <w:szCs w:val="20"/>
        </w:rPr>
        <w:t xml:space="preserve">substantially </w:t>
      </w:r>
      <w:r>
        <w:rPr>
          <w:rFonts w:ascii="GHEA Grapalat" w:hAnsi="GHEA Grapalat" w:cstheme="minorHAnsi"/>
          <w:sz w:val="20"/>
          <w:szCs w:val="20"/>
          <w:lang w:val="hy-AM"/>
        </w:rPr>
        <w:t>reflected in price</w:t>
      </w:r>
      <w:r>
        <w:rPr>
          <w:rFonts w:ascii="GHEA Grapalat" w:hAnsi="GHEA Grapalat" w:cstheme="minorHAnsi"/>
          <w:sz w:val="20"/>
          <w:szCs w:val="20"/>
        </w:rPr>
        <w:t>s</w:t>
      </w:r>
      <w:r>
        <w:rPr>
          <w:rFonts w:ascii="GHEA Grapalat" w:hAnsi="GHEA Grapalat" w:cstheme="minorHAnsi"/>
          <w:sz w:val="20"/>
          <w:szCs w:val="20"/>
          <w:lang w:val="hy-AM"/>
        </w:rPr>
        <w:t xml:space="preserve"> and service tariffs </w:t>
      </w:r>
      <w:proofErr w:type="gramStart"/>
      <w:r>
        <w:rPr>
          <w:rFonts w:ascii="GHEA Grapalat" w:hAnsi="GHEA Grapalat" w:cstheme="minorHAnsi"/>
          <w:sz w:val="20"/>
          <w:szCs w:val="20"/>
        </w:rPr>
        <w:t>in the course of</w:t>
      </w:r>
      <w:proofErr w:type="gramEnd"/>
      <w:r>
        <w:rPr>
          <w:rFonts w:ascii="GHEA Grapalat" w:hAnsi="GHEA Grapalat" w:cstheme="minorHAnsi"/>
          <w:sz w:val="20"/>
          <w:szCs w:val="20"/>
        </w:rPr>
        <w:t xml:space="preserve"> </w:t>
      </w:r>
      <w:r>
        <w:rPr>
          <w:rFonts w:ascii="GHEA Grapalat" w:hAnsi="GHEA Grapalat" w:cstheme="minorHAnsi"/>
          <w:sz w:val="20"/>
          <w:szCs w:val="20"/>
          <w:lang w:val="hy-AM"/>
        </w:rPr>
        <w:t xml:space="preserve">March. </w:t>
      </w:r>
      <w:r>
        <w:rPr>
          <w:rFonts w:ascii="GHEA Grapalat" w:hAnsi="GHEA Grapalat" w:cstheme="minorHAnsi"/>
          <w:sz w:val="20"/>
          <w:szCs w:val="20"/>
        </w:rPr>
        <w:t xml:space="preserve">Nor has some </w:t>
      </w:r>
      <w:r>
        <w:rPr>
          <w:rFonts w:ascii="GHEA Grapalat" w:hAnsi="GHEA Grapalat" w:cstheme="minorHAnsi"/>
          <w:sz w:val="20"/>
          <w:szCs w:val="20"/>
          <w:lang w:val="hy-AM"/>
        </w:rPr>
        <w:t xml:space="preserve">dram exchange rate </w:t>
      </w:r>
      <w:r>
        <w:rPr>
          <w:rFonts w:ascii="GHEA Grapalat" w:hAnsi="GHEA Grapalat" w:cstheme="minorHAnsi"/>
          <w:sz w:val="20"/>
          <w:szCs w:val="20"/>
        </w:rPr>
        <w:t xml:space="preserve">depreciation </w:t>
      </w:r>
      <w:r>
        <w:rPr>
          <w:rFonts w:ascii="GHEA Grapalat" w:hAnsi="GHEA Grapalat" w:cstheme="minorHAnsi"/>
          <w:sz w:val="20"/>
          <w:szCs w:val="20"/>
          <w:lang w:val="hy-AM"/>
        </w:rPr>
        <w:t xml:space="preserve">in March </w:t>
      </w:r>
      <w:r>
        <w:rPr>
          <w:rFonts w:ascii="GHEA Grapalat" w:hAnsi="GHEA Grapalat" w:cstheme="minorHAnsi"/>
          <w:sz w:val="20"/>
          <w:szCs w:val="20"/>
        </w:rPr>
        <w:t>been s</w:t>
      </w:r>
      <w:r>
        <w:rPr>
          <w:rFonts w:ascii="GHEA Grapalat" w:hAnsi="GHEA Grapalat" w:cstheme="minorHAnsi"/>
          <w:sz w:val="20"/>
          <w:szCs w:val="20"/>
          <w:lang w:val="hy-AM"/>
        </w:rPr>
        <w:t xml:space="preserve">ignificantly </w:t>
      </w:r>
      <w:r>
        <w:rPr>
          <w:rFonts w:ascii="GHEA Grapalat" w:hAnsi="GHEA Grapalat" w:cstheme="minorHAnsi"/>
          <w:sz w:val="20"/>
          <w:szCs w:val="20"/>
        </w:rPr>
        <w:t>reflected in the</w:t>
      </w:r>
      <w:r>
        <w:rPr>
          <w:rFonts w:ascii="GHEA Grapalat" w:hAnsi="GHEA Grapalat" w:cstheme="minorHAnsi"/>
          <w:sz w:val="20"/>
          <w:szCs w:val="20"/>
          <w:lang w:val="hy-AM"/>
        </w:rPr>
        <w:t xml:space="preserve"> domestic prices</w:t>
      </w:r>
      <w:r>
        <w:rPr>
          <w:rFonts w:ascii="GHEA Grapalat" w:hAnsi="GHEA Grapalat" w:cstheme="minorHAnsi"/>
          <w:sz w:val="20"/>
          <w:szCs w:val="20"/>
        </w:rPr>
        <w:t xml:space="preserve"> for March</w:t>
      </w:r>
      <w:r>
        <w:rPr>
          <w:rFonts w:ascii="GHEA Grapalat" w:hAnsi="GHEA Grapalat" w:cstheme="minorHAnsi"/>
          <w:sz w:val="20"/>
          <w:szCs w:val="20"/>
          <w:lang w:val="hy-AM"/>
        </w:rPr>
        <w:t xml:space="preserve">. As of March, prices of certain food products, especially </w:t>
      </w:r>
      <w:r>
        <w:rPr>
          <w:rFonts w:ascii="GHEA Grapalat" w:hAnsi="GHEA Grapalat" w:cstheme="minorHAnsi"/>
          <w:sz w:val="20"/>
          <w:szCs w:val="20"/>
        </w:rPr>
        <w:t xml:space="preserve">those of </w:t>
      </w:r>
      <w:r>
        <w:rPr>
          <w:rFonts w:ascii="GHEA Grapalat" w:hAnsi="GHEA Grapalat" w:cstheme="minorHAnsi"/>
          <w:sz w:val="20"/>
          <w:szCs w:val="20"/>
          <w:lang w:val="hy-AM"/>
        </w:rPr>
        <w:t>buckwheat, bulgur, rice, flour</w:t>
      </w:r>
      <w:r>
        <w:rPr>
          <w:rFonts w:ascii="GHEA Grapalat" w:hAnsi="GHEA Grapalat" w:cstheme="minorHAnsi"/>
          <w:sz w:val="20"/>
          <w:szCs w:val="20"/>
        </w:rPr>
        <w:t xml:space="preserve"> of cereals</w:t>
      </w:r>
      <w:r>
        <w:rPr>
          <w:rFonts w:ascii="GHEA Grapalat" w:hAnsi="GHEA Grapalat" w:cstheme="minorHAnsi"/>
          <w:sz w:val="20"/>
          <w:szCs w:val="20"/>
          <w:lang w:val="hy-AM"/>
        </w:rPr>
        <w:t>, garlic, onion, lemon and pepper, rose due to the growing demand.</w:t>
      </w:r>
    </w:p>
    <w:p w14:paraId="4473E280" w14:textId="77777777" w:rsidR="004F213F" w:rsidRDefault="004F213F" w:rsidP="004F213F">
      <w:pPr>
        <w:spacing w:line="340" w:lineRule="atLeast"/>
        <w:ind w:firstLine="284"/>
        <w:rPr>
          <w:rFonts w:ascii="GHEA Grapalat" w:hAnsi="GHEA Grapalat"/>
          <w:b/>
          <w:i/>
          <w:sz w:val="20"/>
          <w:szCs w:val="20"/>
        </w:rPr>
      </w:pPr>
    </w:p>
    <w:p w14:paraId="2CC51261" w14:textId="77777777" w:rsidR="004F213F" w:rsidRDefault="004F213F" w:rsidP="004F213F">
      <w:pPr>
        <w:spacing w:line="340" w:lineRule="atLeast"/>
        <w:ind w:firstLine="284"/>
        <w:rPr>
          <w:rFonts w:ascii="GHEA Grapalat" w:hAnsi="GHEA Grapalat"/>
          <w:b/>
          <w:i/>
          <w:sz w:val="20"/>
          <w:szCs w:val="20"/>
        </w:rPr>
      </w:pPr>
    </w:p>
    <w:p w14:paraId="1F5EF0D3" w14:textId="1A4788C1" w:rsidR="004F213F" w:rsidRPr="00FF0372" w:rsidRDefault="004F213F" w:rsidP="004F213F">
      <w:pPr>
        <w:spacing w:line="340" w:lineRule="atLeast"/>
        <w:ind w:firstLine="284"/>
        <w:rPr>
          <w:rFonts w:ascii="GHEA Grapalat" w:hAnsi="GHEA Grapalat"/>
          <w:sz w:val="20"/>
          <w:szCs w:val="20"/>
          <w:lang w:val="hy-AM"/>
        </w:rPr>
      </w:pPr>
      <w:r w:rsidRPr="00D24D52">
        <w:rPr>
          <w:rFonts w:ascii="GHEA Grapalat" w:hAnsi="GHEA Grapalat"/>
          <w:b/>
          <w:i/>
          <w:sz w:val="20"/>
          <w:szCs w:val="20"/>
        </w:rPr>
        <w:lastRenderedPageBreak/>
        <w:t>Import prices:</w:t>
      </w:r>
      <w:r w:rsidRPr="00B02DC0">
        <w:rPr>
          <w:rFonts w:ascii="GHEA Grapalat" w:hAnsi="GHEA Grapalat"/>
          <w:sz w:val="20"/>
          <w:szCs w:val="20"/>
        </w:rPr>
        <w:t xml:space="preserve"> In the f</w:t>
      </w:r>
      <w:r>
        <w:rPr>
          <w:rFonts w:ascii="GHEA Grapalat" w:hAnsi="GHEA Grapalat"/>
          <w:sz w:val="20"/>
          <w:szCs w:val="20"/>
        </w:rPr>
        <w:t xml:space="preserve">irst </w:t>
      </w:r>
      <w:r w:rsidRPr="00B02DC0">
        <w:rPr>
          <w:rFonts w:ascii="GHEA Grapalat" w:hAnsi="GHEA Grapalat"/>
          <w:sz w:val="20"/>
          <w:szCs w:val="20"/>
        </w:rPr>
        <w:t>quarter of 20</w:t>
      </w:r>
      <w:r>
        <w:rPr>
          <w:rFonts w:ascii="GHEA Grapalat" w:hAnsi="GHEA Grapalat"/>
          <w:sz w:val="20"/>
          <w:szCs w:val="20"/>
        </w:rPr>
        <w:t>20</w:t>
      </w:r>
      <w:r w:rsidRPr="00B02DC0">
        <w:rPr>
          <w:rFonts w:ascii="GHEA Grapalat" w:hAnsi="GHEA Grapalat"/>
          <w:sz w:val="20"/>
          <w:szCs w:val="20"/>
        </w:rPr>
        <w:t xml:space="preserve"> the dollar prices of import of goods and services to Armenia posted </w:t>
      </w:r>
      <w:r>
        <w:rPr>
          <w:rFonts w:ascii="GHEA Grapalat" w:hAnsi="GHEA Grapalat"/>
          <w:sz w:val="20"/>
          <w:szCs w:val="20"/>
        </w:rPr>
        <w:t>a 1</w:t>
      </w:r>
      <w:r w:rsidRPr="00B02DC0">
        <w:rPr>
          <w:rFonts w:ascii="GHEA Grapalat" w:hAnsi="GHEA Grapalat"/>
          <w:sz w:val="20"/>
          <w:szCs w:val="20"/>
        </w:rPr>
        <w:t>.</w:t>
      </w:r>
      <w:r>
        <w:rPr>
          <w:rFonts w:ascii="GHEA Grapalat" w:hAnsi="GHEA Grapalat"/>
          <w:sz w:val="20"/>
          <w:szCs w:val="20"/>
        </w:rPr>
        <w:t>3</w:t>
      </w:r>
      <w:r w:rsidRPr="00B02DC0">
        <w:rPr>
          <w:rFonts w:ascii="GHEA Grapalat" w:hAnsi="GHEA Grapalat"/>
          <w:sz w:val="20"/>
          <w:szCs w:val="20"/>
        </w:rPr>
        <w:t xml:space="preserve">% </w:t>
      </w:r>
      <w:r>
        <w:rPr>
          <w:rFonts w:ascii="GHEA Grapalat" w:hAnsi="GHEA Grapalat"/>
          <w:sz w:val="20"/>
          <w:szCs w:val="20"/>
        </w:rPr>
        <w:t>dec</w:t>
      </w:r>
      <w:r w:rsidRPr="00B02DC0">
        <w:rPr>
          <w:rFonts w:ascii="GHEA Grapalat" w:hAnsi="GHEA Grapalat"/>
          <w:sz w:val="20"/>
          <w:szCs w:val="20"/>
        </w:rPr>
        <w:t xml:space="preserve">rease relative to the previous quarter, with y/y growth rates having </w:t>
      </w:r>
      <w:r>
        <w:rPr>
          <w:rFonts w:ascii="GHEA Grapalat" w:hAnsi="GHEA Grapalat"/>
          <w:sz w:val="20"/>
          <w:szCs w:val="20"/>
        </w:rPr>
        <w:t>slowed down by 0</w:t>
      </w:r>
      <w:r w:rsidRPr="00B02DC0">
        <w:rPr>
          <w:rFonts w:ascii="GHEA Grapalat" w:hAnsi="GHEA Grapalat"/>
          <w:sz w:val="20"/>
          <w:szCs w:val="20"/>
        </w:rPr>
        <w:t>.</w:t>
      </w:r>
      <w:r>
        <w:rPr>
          <w:rFonts w:ascii="GHEA Grapalat" w:hAnsi="GHEA Grapalat"/>
          <w:sz w:val="20"/>
          <w:szCs w:val="20"/>
        </w:rPr>
        <w:t>1</w:t>
      </w:r>
      <w:r w:rsidRPr="00B02DC0">
        <w:rPr>
          <w:rFonts w:ascii="GHEA Grapalat" w:hAnsi="GHEA Grapalat"/>
          <w:sz w:val="20"/>
          <w:szCs w:val="20"/>
        </w:rPr>
        <w:t xml:space="preserve">%. This was primarily driven by </w:t>
      </w:r>
      <w:r>
        <w:rPr>
          <w:rFonts w:ascii="GHEA Grapalat" w:hAnsi="GHEA Grapalat"/>
          <w:sz w:val="20"/>
          <w:szCs w:val="20"/>
        </w:rPr>
        <w:t>depreciation</w:t>
      </w:r>
      <w:r w:rsidRPr="00B02DC0">
        <w:rPr>
          <w:rFonts w:ascii="GHEA Grapalat" w:hAnsi="GHEA Grapalat"/>
          <w:sz w:val="20"/>
          <w:szCs w:val="20"/>
        </w:rPr>
        <w:t xml:space="preserve"> of nominal exchange rates in main partner countries</w:t>
      </w:r>
      <w:r>
        <w:rPr>
          <w:rFonts w:ascii="GHEA Grapalat" w:hAnsi="GHEA Grapalat"/>
          <w:sz w:val="20"/>
          <w:szCs w:val="20"/>
        </w:rPr>
        <w:t xml:space="preserve"> relative to the same reference period of the previous year</w:t>
      </w:r>
      <w:r w:rsidRPr="00B02DC0">
        <w:rPr>
          <w:rFonts w:ascii="GHEA Grapalat" w:hAnsi="GHEA Grapalat"/>
          <w:sz w:val="20"/>
          <w:szCs w:val="20"/>
        </w:rPr>
        <w:t>. The contribution</w:t>
      </w:r>
      <w:r>
        <w:rPr>
          <w:rFonts w:ascii="GHEA Grapalat" w:hAnsi="GHEA Grapalat"/>
          <w:sz w:val="20"/>
          <w:szCs w:val="20"/>
        </w:rPr>
        <w:t xml:space="preserve"> of intermediate </w:t>
      </w:r>
      <w:r w:rsidRPr="00B02DC0">
        <w:rPr>
          <w:rFonts w:ascii="GHEA Grapalat" w:hAnsi="GHEA Grapalat"/>
          <w:sz w:val="20"/>
          <w:szCs w:val="20"/>
        </w:rPr>
        <w:t xml:space="preserve">consumption goods to total import prices is </w:t>
      </w:r>
      <w:r>
        <w:rPr>
          <w:rFonts w:ascii="GHEA Grapalat" w:hAnsi="GHEA Grapalat"/>
          <w:sz w:val="20"/>
          <w:szCs w:val="20"/>
        </w:rPr>
        <w:t xml:space="preserve">negative, compared to the same reference period last year, </w:t>
      </w:r>
      <w:r w:rsidRPr="00462F73">
        <w:rPr>
          <w:rFonts w:ascii="GHEA Grapalat" w:hAnsi="GHEA Grapalat"/>
          <w:sz w:val="20"/>
          <w:szCs w:val="20"/>
        </w:rPr>
        <w:t>mainly due to lower oil and aluminum prices.</w:t>
      </w:r>
    </w:p>
    <w:p w14:paraId="1849A379" w14:textId="77777777" w:rsidR="004F213F" w:rsidRPr="00BC7ECF" w:rsidRDefault="004F213F" w:rsidP="004F213F">
      <w:pPr>
        <w:spacing w:line="306" w:lineRule="atLeast"/>
        <w:jc w:val="both"/>
        <w:rPr>
          <w:rFonts w:ascii="GHEA Grapalat" w:hAnsi="GHEA Grapalat"/>
          <w:b/>
          <w:color w:val="1F497D"/>
          <w:spacing w:val="20"/>
          <w:sz w:val="20"/>
          <w:szCs w:val="20"/>
          <w:lang w:val="es-AR"/>
        </w:rPr>
      </w:pPr>
    </w:p>
    <w:p w14:paraId="5C11241C" w14:textId="77777777" w:rsidR="004F213F" w:rsidRPr="00BC7ECF" w:rsidRDefault="004F213F" w:rsidP="004F213F">
      <w:pPr>
        <w:spacing w:line="306" w:lineRule="atLeast"/>
        <w:jc w:val="both"/>
        <w:rPr>
          <w:rFonts w:ascii="GHEA Grapalat" w:hAnsi="GHEA Grapalat"/>
          <w:b/>
          <w:color w:val="1F497D"/>
          <w:spacing w:val="20"/>
          <w:sz w:val="20"/>
          <w:szCs w:val="20"/>
          <w:lang w:val="es-AR"/>
        </w:rPr>
      </w:pPr>
    </w:p>
    <w:p w14:paraId="18A32722" w14:textId="77777777" w:rsidR="004F213F" w:rsidRPr="00BC7ECF" w:rsidRDefault="004F213F" w:rsidP="004F213F">
      <w:pPr>
        <w:spacing w:line="306" w:lineRule="atLeast"/>
        <w:jc w:val="both"/>
        <w:rPr>
          <w:rFonts w:ascii="GHEA Grapalat" w:hAnsi="GHEA Grapalat"/>
          <w:b/>
          <w:color w:val="1F497D"/>
          <w:spacing w:val="20"/>
          <w:sz w:val="20"/>
          <w:szCs w:val="20"/>
          <w:lang w:val="es-AR"/>
        </w:rPr>
      </w:pPr>
      <w:r w:rsidRPr="00BC7ECF">
        <w:rPr>
          <w:rFonts w:ascii="GHEA Grapalat" w:hAnsi="GHEA Grapalat"/>
          <w:b/>
          <w:color w:val="1F497D"/>
          <w:spacing w:val="20"/>
          <w:sz w:val="20"/>
          <w:szCs w:val="20"/>
          <w:lang w:val="es-AR"/>
        </w:rPr>
        <w:t xml:space="preserve">3.2. </w:t>
      </w:r>
      <w:proofErr w:type="spellStart"/>
      <w:r w:rsidRPr="008F0A9A">
        <w:rPr>
          <w:rFonts w:ascii="GHEA Grapalat" w:hAnsi="GHEA Grapalat"/>
          <w:b/>
          <w:color w:val="1F497D"/>
          <w:spacing w:val="20"/>
          <w:sz w:val="20"/>
          <w:szCs w:val="20"/>
          <w:lang w:val="es-AR"/>
        </w:rPr>
        <w:t>Economic</w:t>
      </w:r>
      <w:proofErr w:type="spellEnd"/>
      <w:r w:rsidRPr="00D24D52">
        <w:rPr>
          <w:rFonts w:ascii="GHEA Grapalat" w:hAnsi="GHEA Grapalat"/>
          <w:b/>
          <w:color w:val="1F497D"/>
          <w:spacing w:val="20"/>
          <w:sz w:val="20"/>
          <w:szCs w:val="20"/>
          <w:lang w:val="es-AR"/>
        </w:rPr>
        <w:t xml:space="preserve"> </w:t>
      </w:r>
      <w:proofErr w:type="spellStart"/>
      <w:r w:rsidRPr="00D24D52">
        <w:rPr>
          <w:rFonts w:ascii="GHEA Grapalat" w:hAnsi="GHEA Grapalat"/>
          <w:b/>
          <w:color w:val="1F497D"/>
          <w:spacing w:val="20"/>
          <w:sz w:val="20"/>
          <w:szCs w:val="20"/>
          <w:lang w:val="es-AR"/>
        </w:rPr>
        <w:t>developments</w:t>
      </w:r>
      <w:proofErr w:type="spellEnd"/>
      <w:r w:rsidRPr="00BC7ECF">
        <w:rPr>
          <w:rFonts w:ascii="GHEA Grapalat" w:hAnsi="GHEA Grapalat"/>
          <w:b/>
          <w:color w:val="1F497D"/>
          <w:spacing w:val="20"/>
          <w:sz w:val="20"/>
          <w:szCs w:val="20"/>
          <w:lang w:val="es-AR"/>
        </w:rPr>
        <w:t xml:space="preserve"> </w:t>
      </w:r>
    </w:p>
    <w:p w14:paraId="4620F87A" w14:textId="77777777" w:rsidR="004F213F" w:rsidRPr="00BC7ECF" w:rsidRDefault="004F213F" w:rsidP="004F213F">
      <w:pPr>
        <w:tabs>
          <w:tab w:val="left" w:pos="600"/>
        </w:tabs>
        <w:spacing w:line="306" w:lineRule="atLeast"/>
        <w:ind w:firstLine="284"/>
        <w:jc w:val="both"/>
        <w:rPr>
          <w:rFonts w:ascii="Arial Armenian" w:hAnsi="Arial Armenian" w:cs="Sylfaen"/>
          <w:b/>
          <w:color w:val="1F497D"/>
          <w:spacing w:val="20"/>
          <w:sz w:val="38"/>
          <w:szCs w:val="20"/>
          <w:lang w:val="es-AR"/>
        </w:rPr>
      </w:pPr>
      <w:r w:rsidRPr="00BC7ECF">
        <w:rPr>
          <w:rFonts w:ascii="Arial Armenian" w:hAnsi="Arial Armenian" w:cs="Sylfaen"/>
          <w:b/>
          <w:color w:val="1F497D"/>
          <w:spacing w:val="20"/>
          <w:sz w:val="38"/>
          <w:szCs w:val="20"/>
          <w:lang w:val="es-AR"/>
        </w:rPr>
        <w:tab/>
      </w:r>
      <w:r w:rsidRPr="00BC7ECF">
        <w:rPr>
          <w:rFonts w:ascii="Arial Armenian" w:hAnsi="Arial Armenian" w:cs="Sylfaen"/>
          <w:b/>
          <w:color w:val="1F497D"/>
          <w:spacing w:val="20"/>
          <w:sz w:val="38"/>
          <w:szCs w:val="20"/>
          <w:lang w:val="es-AR"/>
        </w:rPr>
        <w:tab/>
        <w:t xml:space="preserve"> </w:t>
      </w:r>
    </w:p>
    <w:p w14:paraId="79E931D7" w14:textId="77777777" w:rsidR="004F213F" w:rsidRPr="00BC7ECF" w:rsidRDefault="004F213F" w:rsidP="004F213F">
      <w:pPr>
        <w:tabs>
          <w:tab w:val="left" w:pos="600"/>
        </w:tabs>
        <w:spacing w:after="120" w:line="306" w:lineRule="atLeast"/>
        <w:ind w:firstLine="284"/>
        <w:jc w:val="both"/>
        <w:rPr>
          <w:rFonts w:ascii="GHEA Grapalat" w:hAnsi="GHEA Grapalat" w:cs="Sylfaen"/>
          <w:b/>
          <w:iCs/>
          <w:color w:val="1F497D"/>
          <w:sz w:val="20"/>
          <w:szCs w:val="20"/>
          <w:lang w:val="es-AR"/>
        </w:rPr>
      </w:pPr>
      <w:r w:rsidRPr="00BC7ECF">
        <w:rPr>
          <w:rFonts w:ascii="GHEA Grapalat" w:hAnsi="GHEA Grapalat" w:cs="Sylfaen"/>
          <w:b/>
          <w:iCs/>
          <w:color w:val="1F497D"/>
          <w:sz w:val="20"/>
          <w:szCs w:val="20"/>
          <w:lang w:val="es-AR"/>
        </w:rPr>
        <w:t xml:space="preserve">3.2.1. </w:t>
      </w:r>
      <w:proofErr w:type="spellStart"/>
      <w:r w:rsidRPr="00D4121F">
        <w:rPr>
          <w:rFonts w:ascii="GHEA Grapalat" w:hAnsi="GHEA Grapalat" w:cs="Sylfaen"/>
          <w:b/>
          <w:iCs/>
          <w:color w:val="1F497D"/>
          <w:sz w:val="20"/>
          <w:szCs w:val="20"/>
          <w:lang w:val="es-AR"/>
        </w:rPr>
        <w:t>Economy</w:t>
      </w:r>
      <w:proofErr w:type="spellEnd"/>
      <w:r w:rsidRPr="00D24D52">
        <w:rPr>
          <w:rFonts w:ascii="GHEA Grapalat" w:hAnsi="GHEA Grapalat" w:cs="Sylfaen"/>
          <w:b/>
          <w:iCs/>
          <w:color w:val="1F497D"/>
          <w:sz w:val="20"/>
          <w:szCs w:val="20"/>
          <w:lang w:val="es-AR"/>
        </w:rPr>
        <w:t xml:space="preserve"> position</w:t>
      </w:r>
    </w:p>
    <w:p w14:paraId="0229F6ED" w14:textId="77777777" w:rsidR="004F213F" w:rsidRDefault="004F213F" w:rsidP="004F213F">
      <w:pPr>
        <w:tabs>
          <w:tab w:val="left" w:pos="600"/>
        </w:tabs>
        <w:spacing w:line="330" w:lineRule="atLeast"/>
        <w:ind w:firstLine="284"/>
        <w:rPr>
          <w:rFonts w:ascii="GHEA Grapalat" w:hAnsi="GHEA Grapalat" w:cs="Sylfaen"/>
          <w:bCs/>
          <w:iCs/>
          <w:sz w:val="20"/>
          <w:szCs w:val="20"/>
          <w:lang w:val="hy-AM"/>
        </w:rPr>
      </w:pPr>
      <w:r>
        <w:rPr>
          <w:rFonts w:ascii="GHEA Grapalat" w:hAnsi="GHEA Grapalat"/>
          <w:b/>
          <w:i/>
          <w:sz w:val="20"/>
          <w:szCs w:val="20"/>
          <w:lang w:val="es-AR"/>
        </w:rPr>
        <w:t>I</w:t>
      </w:r>
      <w:r w:rsidRPr="00D24D52">
        <w:rPr>
          <w:rFonts w:ascii="GHEA Grapalat" w:hAnsi="GHEA Grapalat"/>
          <w:b/>
          <w:i/>
          <w:sz w:val="20"/>
          <w:szCs w:val="20"/>
        </w:rPr>
        <w:t xml:space="preserve">n the reporting quarter </w:t>
      </w:r>
      <w:r>
        <w:rPr>
          <w:rFonts w:ascii="GHEA Grapalat" w:hAnsi="GHEA Grapalat"/>
          <w:b/>
          <w:i/>
          <w:sz w:val="20"/>
          <w:szCs w:val="20"/>
        </w:rPr>
        <w:t>t</w:t>
      </w:r>
      <w:r w:rsidRPr="00D24D52">
        <w:rPr>
          <w:rFonts w:ascii="GHEA Grapalat" w:hAnsi="GHEA Grapalat"/>
          <w:b/>
          <w:i/>
          <w:sz w:val="20"/>
          <w:szCs w:val="20"/>
        </w:rPr>
        <w:t xml:space="preserve">he GDP gap </w:t>
      </w:r>
      <w:r>
        <w:rPr>
          <w:rFonts w:ascii="GHEA Grapalat" w:hAnsi="GHEA Grapalat"/>
          <w:b/>
          <w:i/>
          <w:sz w:val="20"/>
          <w:szCs w:val="20"/>
        </w:rPr>
        <w:t>lingered in a negative territory</w:t>
      </w:r>
      <w:r w:rsidRPr="00D24D52">
        <w:rPr>
          <w:rFonts w:ascii="GHEA Grapalat" w:hAnsi="GHEA Grapalat"/>
          <w:b/>
          <w:i/>
          <w:sz w:val="20"/>
          <w:szCs w:val="20"/>
        </w:rPr>
        <w:t>.</w:t>
      </w:r>
      <w:r w:rsidRPr="00B02DC0">
        <w:rPr>
          <w:rFonts w:ascii="GHEA Grapalat" w:hAnsi="GHEA Grapalat"/>
          <w:b/>
          <w:sz w:val="20"/>
          <w:szCs w:val="20"/>
        </w:rPr>
        <w:t xml:space="preserve"> </w:t>
      </w:r>
      <w:r w:rsidRPr="00B02DC0">
        <w:rPr>
          <w:rFonts w:ascii="GHEA Grapalat" w:hAnsi="GHEA Grapalat"/>
          <w:sz w:val="20"/>
          <w:szCs w:val="20"/>
        </w:rPr>
        <w:t xml:space="preserve">Economic growth in the </w:t>
      </w:r>
      <w:r>
        <w:rPr>
          <w:rFonts w:ascii="GHEA Grapalat" w:hAnsi="GHEA Grapalat"/>
          <w:sz w:val="20"/>
          <w:szCs w:val="20"/>
        </w:rPr>
        <w:t xml:space="preserve">first </w:t>
      </w:r>
      <w:r w:rsidRPr="00B02DC0">
        <w:rPr>
          <w:rFonts w:ascii="GHEA Grapalat" w:hAnsi="GHEA Grapalat"/>
          <w:sz w:val="20"/>
          <w:szCs w:val="20"/>
        </w:rPr>
        <w:t>quarter</w:t>
      </w:r>
      <w:r>
        <w:rPr>
          <w:rFonts w:ascii="GHEA Grapalat" w:hAnsi="GHEA Grapalat"/>
          <w:sz w:val="20"/>
          <w:szCs w:val="20"/>
        </w:rPr>
        <w:t xml:space="preserve"> of 2020</w:t>
      </w:r>
      <w:r w:rsidRPr="00B02DC0">
        <w:rPr>
          <w:rFonts w:ascii="GHEA Grapalat" w:hAnsi="GHEA Grapalat"/>
          <w:sz w:val="20"/>
          <w:szCs w:val="20"/>
        </w:rPr>
        <w:t xml:space="preserve"> (see section 3.2.3) </w:t>
      </w:r>
      <w:r>
        <w:rPr>
          <w:rFonts w:ascii="GHEA Grapalat" w:hAnsi="GHEA Grapalat"/>
          <w:sz w:val="20"/>
          <w:szCs w:val="20"/>
        </w:rPr>
        <w:t>notably slowed down to 3.8%, as the supply contained and demand slackened on the back of continued pandemic, anti-pandemic measures and a sharp increase in uncertainty (see section 3.2.2</w:t>
      </w:r>
      <w:r w:rsidRPr="00B02DC0">
        <w:rPr>
          <w:rFonts w:ascii="GHEA Grapalat" w:hAnsi="GHEA Grapalat"/>
          <w:sz w:val="20"/>
          <w:szCs w:val="20"/>
        </w:rPr>
        <w:t>)</w:t>
      </w:r>
      <w:r>
        <w:rPr>
          <w:rFonts w:ascii="GHEA Grapalat" w:hAnsi="GHEA Grapalat"/>
          <w:sz w:val="20"/>
          <w:szCs w:val="20"/>
        </w:rPr>
        <w:t>. As a result, the GDP gap remained close to the previous quarter’s negative value. In the reporting quarter the impact on the GDP potential is estimated to be temporary but, in the medium term, the risks to the potential growth trend downward (see section 2.2.4) and are primarily determined by how the pandemic will develop further. T</w:t>
      </w:r>
      <w:r w:rsidRPr="00B02DC0">
        <w:rPr>
          <w:rFonts w:ascii="GHEA Grapalat" w:hAnsi="GHEA Grapalat"/>
          <w:sz w:val="20"/>
          <w:szCs w:val="20"/>
        </w:rPr>
        <w:t xml:space="preserve">he negative GDP gap is </w:t>
      </w:r>
      <w:r>
        <w:rPr>
          <w:rFonts w:ascii="GHEA Grapalat" w:hAnsi="GHEA Grapalat"/>
          <w:sz w:val="20"/>
          <w:szCs w:val="20"/>
        </w:rPr>
        <w:t xml:space="preserve">largely a result of slowed down private and external demand and is reflected in a weak inflationary environment (see section 2.2.1). The contribution of public expenditures has been positive. </w:t>
      </w:r>
    </w:p>
    <w:p w14:paraId="1EF29247" w14:textId="77777777" w:rsidR="004F213F" w:rsidRPr="00E679B5" w:rsidRDefault="004F213F" w:rsidP="004F213F">
      <w:pPr>
        <w:tabs>
          <w:tab w:val="left" w:pos="600"/>
        </w:tabs>
        <w:spacing w:after="120" w:line="306" w:lineRule="atLeast"/>
        <w:ind w:firstLine="284"/>
        <w:jc w:val="both"/>
        <w:rPr>
          <w:rFonts w:ascii="GHEA Grapalat" w:hAnsi="GHEA Grapalat" w:cs="Sylfaen"/>
          <w:b/>
          <w:iCs/>
          <w:color w:val="44546A" w:themeColor="text2"/>
          <w:sz w:val="38"/>
          <w:szCs w:val="20"/>
          <w:lang w:val="hy-AM"/>
        </w:rPr>
      </w:pPr>
    </w:p>
    <w:p w14:paraId="5AE27FC4" w14:textId="77777777" w:rsidR="004F213F" w:rsidRPr="00BC7ECF" w:rsidRDefault="004F213F" w:rsidP="004F213F">
      <w:pPr>
        <w:tabs>
          <w:tab w:val="left" w:pos="600"/>
        </w:tabs>
        <w:spacing w:after="120" w:line="306" w:lineRule="atLeast"/>
        <w:ind w:firstLine="284"/>
        <w:jc w:val="both"/>
        <w:rPr>
          <w:rFonts w:ascii="GHEA Grapalat" w:hAnsi="GHEA Grapalat" w:cs="Sylfaen"/>
          <w:b/>
          <w:iCs/>
          <w:color w:val="1F497D"/>
          <w:sz w:val="20"/>
          <w:szCs w:val="20"/>
          <w:lang w:val="es-AR"/>
        </w:rPr>
      </w:pPr>
      <w:r w:rsidRPr="00BC7ECF">
        <w:rPr>
          <w:rFonts w:ascii="GHEA Grapalat" w:hAnsi="GHEA Grapalat" w:cs="Sylfaen"/>
          <w:b/>
          <w:iCs/>
          <w:color w:val="1F497D"/>
          <w:sz w:val="20"/>
          <w:szCs w:val="20"/>
          <w:lang w:val="hy-AM"/>
        </w:rPr>
        <w:t xml:space="preserve">3.2.2. </w:t>
      </w:r>
      <w:r w:rsidRPr="00D24D52">
        <w:rPr>
          <w:rFonts w:ascii="GHEA Grapalat" w:hAnsi="GHEA Grapalat" w:cs="Sylfaen"/>
          <w:b/>
          <w:iCs/>
          <w:color w:val="1F497D"/>
          <w:sz w:val="20"/>
          <w:szCs w:val="20"/>
          <w:lang w:val="hy-AM"/>
        </w:rPr>
        <w:t>The expenditures aspect of the economy</w:t>
      </w:r>
    </w:p>
    <w:p w14:paraId="3E4C681B" w14:textId="77777777" w:rsidR="004F213F" w:rsidRDefault="004F213F" w:rsidP="004F213F">
      <w:pPr>
        <w:spacing w:line="340" w:lineRule="atLeast"/>
        <w:ind w:firstLine="284"/>
        <w:rPr>
          <w:rFonts w:ascii="Sylfaen" w:hAnsi="Sylfaen"/>
          <w:lang w:val="hy-AM"/>
        </w:rPr>
      </w:pPr>
      <w:r>
        <w:rPr>
          <w:rFonts w:ascii="GHEA Grapalat" w:hAnsi="GHEA Grapalat"/>
          <w:sz w:val="20"/>
          <w:szCs w:val="20"/>
          <w:lang w:val="es-AR"/>
        </w:rPr>
        <w:t>I</w:t>
      </w:r>
      <w:proofErr w:type="spellStart"/>
      <w:r w:rsidRPr="00B02DC0">
        <w:rPr>
          <w:rFonts w:ascii="GHEA Grapalat" w:hAnsi="GHEA Grapalat"/>
          <w:sz w:val="20"/>
          <w:szCs w:val="20"/>
        </w:rPr>
        <w:t>n</w:t>
      </w:r>
      <w:proofErr w:type="spellEnd"/>
      <w:r w:rsidRPr="00B02DC0">
        <w:rPr>
          <w:rFonts w:ascii="GHEA Grapalat" w:hAnsi="GHEA Grapalat"/>
          <w:sz w:val="20"/>
          <w:szCs w:val="20"/>
        </w:rPr>
        <w:t xml:space="preserve"> the f</w:t>
      </w:r>
      <w:r>
        <w:rPr>
          <w:rFonts w:ascii="GHEA Grapalat" w:hAnsi="GHEA Grapalat"/>
          <w:sz w:val="20"/>
          <w:szCs w:val="20"/>
        </w:rPr>
        <w:t>irst</w:t>
      </w:r>
      <w:r w:rsidRPr="00B02DC0">
        <w:rPr>
          <w:rFonts w:ascii="GHEA Grapalat" w:hAnsi="GHEA Grapalat"/>
          <w:sz w:val="20"/>
          <w:szCs w:val="20"/>
        </w:rPr>
        <w:t xml:space="preserve"> quarter of 20</w:t>
      </w:r>
      <w:r w:rsidRPr="00E679B5">
        <w:rPr>
          <w:noProof/>
        </w:rPr>
        <mc:AlternateContent>
          <mc:Choice Requires="wps">
            <w:drawing>
              <wp:anchor distT="0" distB="0" distL="114300" distR="114300" simplePos="0" relativeHeight="251670528" behindDoc="0" locked="0" layoutInCell="1" allowOverlap="1" wp14:anchorId="68CBD389" wp14:editId="6E7F2F6B">
                <wp:simplePos x="0" y="0"/>
                <wp:positionH relativeFrom="column">
                  <wp:posOffset>5215890</wp:posOffset>
                </wp:positionH>
                <wp:positionV relativeFrom="paragraph">
                  <wp:posOffset>4320540</wp:posOffset>
                </wp:positionV>
                <wp:extent cx="1293495" cy="349885"/>
                <wp:effectExtent l="0" t="0" r="0" b="0"/>
                <wp:wrapNone/>
                <wp:docPr id="103" name="Text Box 296">
                  <a:extLst xmlns:a="http://schemas.openxmlformats.org/drawingml/2006/main">
                    <a:ext uri="{FF2B5EF4-FFF2-40B4-BE49-F238E27FC236}">
                      <a16:creationId xmlns:a16="http://schemas.microsoft.com/office/drawing/2014/main" id="{00000000-0008-0000-2300-000005000000}"/>
                    </a:ext>
                    <a:ext uri="{147F2762-F138-4A5C-976F-8EAC2B608ADB}">
                      <a16:predDERef xmlns:a16="http://schemas.microsoft.com/office/drawing/2014/main" pred="{00000000-0008-0000-2300-000002000000}"/>
                    </a:ext>
                  </a:extLst>
                </wp:docPr>
                <wp:cNvGraphicFramePr/>
                <a:graphic xmlns:a="http://schemas.openxmlformats.org/drawingml/2006/main">
                  <a:graphicData uri="http://schemas.microsoft.com/office/word/2010/wordprocessingShape">
                    <wps:wsp>
                      <wps:cNvSpPr txBox="1"/>
                      <wps:spPr>
                        <a:xfrm>
                          <a:off x="0" y="0"/>
                          <a:ext cx="1293495" cy="34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23965" w14:textId="77777777" w:rsidR="004F213F" w:rsidRDefault="004F213F" w:rsidP="004F213F">
                            <w:pPr>
                              <w:pStyle w:val="NormalWeb"/>
                              <w:spacing w:before="0" w:beforeAutospacing="0" w:after="0" w:afterAutospacing="0"/>
                              <w:jc w:val="right"/>
                            </w:pPr>
                            <w:r>
                              <w:rPr>
                                <w:rFonts w:ascii="GHEA Grapalat" w:hAnsi="GHEA Grapalat" w:cs="Sylfaen"/>
                                <w:i/>
                                <w:iCs/>
                                <w:color w:val="000000" w:themeColor="dark1"/>
                                <w:sz w:val="14"/>
                                <w:szCs w:val="14"/>
                              </w:rPr>
                              <w:t>Source: RA Statistics Committee, Central Bank estimate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CBD389" id="Text Box 296" o:spid="_x0000_s1029" type="#_x0000_t202" style="position:absolute;left:0;text-align:left;margin-left:410.7pt;margin-top:340.2pt;width:101.85pt;height:27.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" filled="f" stroked="f" strokeweight=".5pt">
                <v:textbox>
                  <w:txbxContent>
                    <w:p w14:paraId="5F523965" w14:textId="77777777" w:rsidR="004F213F" w:rsidRDefault="004F213F" w:rsidP="004F213F">
                      <w:pPr>
                        <w:pStyle w:val="NormalWeb"/>
                        <w:spacing w:before="0" w:beforeAutospacing="0" w:after="0" w:afterAutospacing="0"/>
                        <w:jc w:val="right"/>
                      </w:pPr>
                      <w:r>
                        <w:rPr>
                          <w:rFonts w:ascii="GHEA Grapalat" w:hAnsi="GHEA Grapalat" w:cs="Sylfaen"/>
                          <w:i/>
                          <w:iCs/>
                          <w:color w:val="000000" w:themeColor="dark1"/>
                          <w:sz w:val="14"/>
                          <w:szCs w:val="14"/>
                        </w:rPr>
                        <w:t>Source: RA Statistics Committee, Central Bank estimate</w:t>
                      </w:r>
                    </w:p>
                  </w:txbxContent>
                </v:textbox>
              </v:shape>
            </w:pict>
          </mc:Fallback>
        </mc:AlternateContent>
      </w:r>
      <w:r>
        <w:rPr>
          <w:rFonts w:ascii="GHEA Grapalat" w:hAnsi="GHEA Grapalat"/>
          <w:sz w:val="20"/>
          <w:szCs w:val="20"/>
        </w:rPr>
        <w:t xml:space="preserve">20, with a 3.8% economic growth, private expenditures decreased substantially due to decelerated private consumption and reduced private investment. The increase of private consumption amounted to 2.6%, whereas gross accumulation of private fixed assets reduced by 17.6%, in which case private expenditures posted a moderate growth of 0.3% - considerably below the previous Central Bank estimate. The slowing of private demand at such rates is explained by a sharp increase in uncertainty and, consequently, more precautionary savings, the spreading of pandemic and the pace of anti-pandemic measures, which has especially affected the consumption of services requiring social </w:t>
      </w:r>
      <w:proofErr w:type="gramStart"/>
      <w:r>
        <w:rPr>
          <w:rFonts w:ascii="GHEA Grapalat" w:hAnsi="GHEA Grapalat"/>
          <w:sz w:val="20"/>
          <w:szCs w:val="20"/>
        </w:rPr>
        <w:t>interaction .</w:t>
      </w:r>
      <w:proofErr w:type="gramEnd"/>
      <w:r>
        <w:rPr>
          <w:rFonts w:ascii="GHEA Grapalat" w:hAnsi="GHEA Grapalat"/>
          <w:sz w:val="20"/>
          <w:szCs w:val="20"/>
        </w:rPr>
        <w:t xml:space="preserve"> Private expenditures were also affected by reduced remittances from abroad. </w:t>
      </w:r>
    </w:p>
    <w:p w14:paraId="1442AED9" w14:textId="77777777" w:rsidR="004F213F" w:rsidRPr="00E36DED" w:rsidRDefault="004F213F" w:rsidP="004F213F">
      <w:pPr>
        <w:spacing w:line="330" w:lineRule="atLeast"/>
        <w:ind w:firstLine="284"/>
        <w:rPr>
          <w:rFonts w:ascii="GHEA Grapalat" w:hAnsi="GHEA Grapalat"/>
          <w:sz w:val="20"/>
          <w:szCs w:val="20"/>
        </w:rPr>
      </w:pPr>
      <w:r>
        <w:rPr>
          <w:rFonts w:ascii="GHEA Grapalat" w:hAnsi="GHEA Grapalat"/>
          <w:sz w:val="20"/>
          <w:szCs w:val="20"/>
        </w:rPr>
        <w:t xml:space="preserve">According to the Central Bank estimate, the impact </w:t>
      </w:r>
      <w:r w:rsidRPr="00B02DC0">
        <w:rPr>
          <w:rFonts w:ascii="GHEA Grapalat" w:hAnsi="GHEA Grapalat"/>
          <w:sz w:val="20"/>
          <w:szCs w:val="20"/>
        </w:rPr>
        <w:t xml:space="preserve">of private consumption </w:t>
      </w:r>
      <w:r>
        <w:rPr>
          <w:rFonts w:ascii="GHEA Grapalat" w:hAnsi="GHEA Grapalat"/>
          <w:sz w:val="20"/>
          <w:szCs w:val="20"/>
        </w:rPr>
        <w:t xml:space="preserve">is generally </w:t>
      </w:r>
      <w:proofErr w:type="gramStart"/>
      <w:r>
        <w:rPr>
          <w:rFonts w:ascii="GHEA Grapalat" w:hAnsi="GHEA Grapalat"/>
          <w:sz w:val="20"/>
          <w:szCs w:val="20"/>
        </w:rPr>
        <w:t>deflationary</w:t>
      </w:r>
      <w:proofErr w:type="gramEnd"/>
      <w:r>
        <w:rPr>
          <w:rFonts w:ascii="GHEA Grapalat" w:hAnsi="GHEA Grapalat"/>
          <w:sz w:val="20"/>
          <w:szCs w:val="20"/>
        </w:rPr>
        <w:t xml:space="preserve"> but the end of the quarter saw a change in the consumption structure, shifting from durable goods to non-durable goods, and inflationary patterns were observable in certain commodity groups, as a result.</w:t>
      </w:r>
    </w:p>
    <w:p w14:paraId="5D3A88E8" w14:textId="77777777" w:rsidR="004F213F" w:rsidRPr="00F6223E" w:rsidRDefault="004F213F" w:rsidP="004F213F">
      <w:pPr>
        <w:spacing w:line="330" w:lineRule="atLeast"/>
        <w:ind w:firstLine="284"/>
        <w:rPr>
          <w:rFonts w:ascii="GHEA Grapalat" w:hAnsi="GHEA Grapalat" w:cs="Sylfaen"/>
          <w:iCs/>
          <w:sz w:val="20"/>
          <w:szCs w:val="20"/>
          <w:lang w:val="hy-AM"/>
        </w:rPr>
      </w:pPr>
      <w:r w:rsidRPr="00B02DC0">
        <w:rPr>
          <w:rFonts w:ascii="GHEA Grapalat" w:hAnsi="GHEA Grapalat"/>
          <w:sz w:val="20"/>
          <w:szCs w:val="20"/>
        </w:rPr>
        <w:t>In the f</w:t>
      </w:r>
      <w:r>
        <w:rPr>
          <w:rFonts w:ascii="GHEA Grapalat" w:hAnsi="GHEA Grapalat"/>
          <w:sz w:val="20"/>
          <w:szCs w:val="20"/>
        </w:rPr>
        <w:t xml:space="preserve">irst </w:t>
      </w:r>
      <w:r w:rsidRPr="00B02DC0">
        <w:rPr>
          <w:rFonts w:ascii="GHEA Grapalat" w:hAnsi="GHEA Grapalat"/>
          <w:sz w:val="20"/>
          <w:szCs w:val="20"/>
        </w:rPr>
        <w:t>quarter of 20</w:t>
      </w:r>
      <w:r>
        <w:rPr>
          <w:rFonts w:ascii="GHEA Grapalat" w:hAnsi="GHEA Grapalat"/>
          <w:sz w:val="20"/>
          <w:szCs w:val="20"/>
        </w:rPr>
        <w:t>20</w:t>
      </w:r>
      <w:r w:rsidRPr="00B02DC0">
        <w:rPr>
          <w:rFonts w:ascii="GHEA Grapalat" w:hAnsi="GHEA Grapalat"/>
          <w:sz w:val="20"/>
          <w:szCs w:val="20"/>
        </w:rPr>
        <w:t xml:space="preserve"> the export and import in real terms </w:t>
      </w:r>
      <w:r>
        <w:rPr>
          <w:rFonts w:ascii="GHEA Grapalat" w:hAnsi="GHEA Grapalat"/>
          <w:sz w:val="20"/>
          <w:szCs w:val="20"/>
        </w:rPr>
        <w:t>reduced.</w:t>
      </w:r>
      <w:r w:rsidRPr="00B02DC0">
        <w:rPr>
          <w:rFonts w:ascii="GHEA Grapalat" w:hAnsi="GHEA Grapalat"/>
          <w:sz w:val="20"/>
          <w:szCs w:val="20"/>
        </w:rPr>
        <w:t xml:space="preserve"> </w:t>
      </w:r>
      <w:r>
        <w:rPr>
          <w:rFonts w:ascii="GHEA Grapalat" w:hAnsi="GHEA Grapalat"/>
          <w:sz w:val="20"/>
          <w:szCs w:val="20"/>
        </w:rPr>
        <w:t xml:space="preserve">The real </w:t>
      </w:r>
      <w:r w:rsidRPr="00B02DC0">
        <w:rPr>
          <w:rFonts w:ascii="GHEA Grapalat" w:hAnsi="GHEA Grapalat"/>
          <w:sz w:val="20"/>
          <w:szCs w:val="20"/>
        </w:rPr>
        <w:t xml:space="preserve">import has </w:t>
      </w:r>
      <w:r>
        <w:rPr>
          <w:rFonts w:ascii="GHEA Grapalat" w:hAnsi="GHEA Grapalat"/>
          <w:sz w:val="20"/>
          <w:szCs w:val="20"/>
        </w:rPr>
        <w:t xml:space="preserve">contracted noticeably </w:t>
      </w:r>
      <w:r w:rsidRPr="00B02DC0">
        <w:rPr>
          <w:rFonts w:ascii="GHEA Grapalat" w:hAnsi="GHEA Grapalat"/>
          <w:sz w:val="20"/>
          <w:szCs w:val="20"/>
        </w:rPr>
        <w:t xml:space="preserve">faster </w:t>
      </w:r>
      <w:r>
        <w:rPr>
          <w:rFonts w:ascii="GHEA Grapalat" w:hAnsi="GHEA Grapalat"/>
          <w:sz w:val="20"/>
          <w:szCs w:val="20"/>
        </w:rPr>
        <w:t xml:space="preserve">than the real </w:t>
      </w:r>
      <w:r w:rsidRPr="00B02DC0">
        <w:rPr>
          <w:rFonts w:ascii="GHEA Grapalat" w:hAnsi="GHEA Grapalat"/>
          <w:sz w:val="20"/>
          <w:szCs w:val="20"/>
        </w:rPr>
        <w:t xml:space="preserve">export, </w:t>
      </w:r>
      <w:r>
        <w:rPr>
          <w:rFonts w:ascii="GHEA Grapalat" w:hAnsi="GHEA Grapalat"/>
          <w:sz w:val="20"/>
          <w:szCs w:val="20"/>
        </w:rPr>
        <w:t xml:space="preserve">and </w:t>
      </w:r>
      <w:r w:rsidRPr="00B02DC0">
        <w:rPr>
          <w:rFonts w:ascii="GHEA Grapalat" w:hAnsi="GHEA Grapalat"/>
          <w:sz w:val="20"/>
          <w:szCs w:val="20"/>
        </w:rPr>
        <w:t xml:space="preserve">net real export’s contribution to the GDP has been </w:t>
      </w:r>
      <w:r>
        <w:rPr>
          <w:rFonts w:ascii="GHEA Grapalat" w:hAnsi="GHEA Grapalat"/>
          <w:sz w:val="20"/>
          <w:szCs w:val="20"/>
        </w:rPr>
        <w:t>positive</w:t>
      </w:r>
      <w:r w:rsidRPr="00B02DC0">
        <w:rPr>
          <w:rFonts w:ascii="GHEA Grapalat" w:hAnsi="GHEA Grapalat"/>
          <w:sz w:val="20"/>
          <w:szCs w:val="20"/>
        </w:rPr>
        <w:t xml:space="preserve">, as a result. </w:t>
      </w:r>
      <w:r>
        <w:rPr>
          <w:rFonts w:ascii="GHEA Grapalat" w:hAnsi="GHEA Grapalat"/>
          <w:sz w:val="20"/>
          <w:szCs w:val="20"/>
        </w:rPr>
        <w:t xml:space="preserve">Thus, </w:t>
      </w:r>
      <w:r w:rsidRPr="00B02DC0">
        <w:rPr>
          <w:rFonts w:ascii="GHEA Grapalat" w:hAnsi="GHEA Grapalat"/>
          <w:sz w:val="20"/>
          <w:szCs w:val="20"/>
        </w:rPr>
        <w:t xml:space="preserve">the real </w:t>
      </w:r>
      <w:r>
        <w:rPr>
          <w:rFonts w:ascii="GHEA Grapalat" w:hAnsi="GHEA Grapalat"/>
          <w:sz w:val="20"/>
          <w:szCs w:val="20"/>
        </w:rPr>
        <w:t xml:space="preserve">contraction </w:t>
      </w:r>
      <w:r w:rsidRPr="00B02DC0">
        <w:rPr>
          <w:rFonts w:ascii="GHEA Grapalat" w:hAnsi="GHEA Grapalat"/>
          <w:sz w:val="20"/>
          <w:szCs w:val="20"/>
        </w:rPr>
        <w:t xml:space="preserve">of export of goods and services and </w:t>
      </w:r>
      <w:r>
        <w:rPr>
          <w:rFonts w:ascii="GHEA Grapalat" w:hAnsi="GHEA Grapalat"/>
          <w:sz w:val="20"/>
          <w:szCs w:val="20"/>
        </w:rPr>
        <w:t xml:space="preserve">of </w:t>
      </w:r>
      <w:r w:rsidRPr="00B02DC0">
        <w:rPr>
          <w:rFonts w:ascii="GHEA Grapalat" w:hAnsi="GHEA Grapalat"/>
          <w:sz w:val="20"/>
          <w:szCs w:val="20"/>
        </w:rPr>
        <w:t>import of goods and services amounted to 1.</w:t>
      </w:r>
      <w:r>
        <w:rPr>
          <w:rFonts w:ascii="GHEA Grapalat" w:hAnsi="GHEA Grapalat"/>
          <w:sz w:val="20"/>
          <w:szCs w:val="20"/>
        </w:rPr>
        <w:t>6</w:t>
      </w:r>
      <w:r w:rsidRPr="00B02DC0">
        <w:rPr>
          <w:rFonts w:ascii="GHEA Grapalat" w:hAnsi="GHEA Grapalat"/>
          <w:sz w:val="20"/>
          <w:szCs w:val="20"/>
        </w:rPr>
        <w:t xml:space="preserve">% y/y and </w:t>
      </w:r>
      <w:r>
        <w:rPr>
          <w:rFonts w:ascii="GHEA Grapalat" w:hAnsi="GHEA Grapalat"/>
          <w:sz w:val="20"/>
          <w:szCs w:val="20"/>
        </w:rPr>
        <w:t>7</w:t>
      </w:r>
      <w:r w:rsidRPr="00B02DC0">
        <w:rPr>
          <w:rFonts w:ascii="GHEA Grapalat" w:hAnsi="GHEA Grapalat"/>
          <w:sz w:val="20"/>
          <w:szCs w:val="20"/>
        </w:rPr>
        <w:t>.</w:t>
      </w:r>
      <w:r>
        <w:rPr>
          <w:rFonts w:ascii="GHEA Grapalat" w:hAnsi="GHEA Grapalat"/>
          <w:sz w:val="20"/>
          <w:szCs w:val="20"/>
        </w:rPr>
        <w:t>9</w:t>
      </w:r>
      <w:r w:rsidRPr="00B02DC0">
        <w:rPr>
          <w:rFonts w:ascii="GHEA Grapalat" w:hAnsi="GHEA Grapalat"/>
          <w:sz w:val="20"/>
          <w:szCs w:val="20"/>
        </w:rPr>
        <w:t xml:space="preserve">% y/y, respectively. The </w:t>
      </w:r>
      <w:r>
        <w:rPr>
          <w:rFonts w:ascii="GHEA Grapalat" w:hAnsi="GHEA Grapalat"/>
          <w:sz w:val="20"/>
          <w:szCs w:val="20"/>
        </w:rPr>
        <w:t>de</w:t>
      </w:r>
      <w:r w:rsidRPr="00B02DC0">
        <w:rPr>
          <w:rFonts w:ascii="GHEA Grapalat" w:hAnsi="GHEA Grapalat"/>
          <w:sz w:val="20"/>
          <w:szCs w:val="20"/>
        </w:rPr>
        <w:t xml:space="preserve">crease in export was </w:t>
      </w:r>
      <w:r>
        <w:rPr>
          <w:rFonts w:ascii="GHEA Grapalat" w:hAnsi="GHEA Grapalat"/>
          <w:sz w:val="20"/>
          <w:szCs w:val="20"/>
        </w:rPr>
        <w:t xml:space="preserve">caused </w:t>
      </w:r>
      <w:r w:rsidRPr="00B02DC0">
        <w:rPr>
          <w:rFonts w:ascii="GHEA Grapalat" w:hAnsi="GHEA Grapalat"/>
          <w:sz w:val="20"/>
          <w:szCs w:val="20"/>
        </w:rPr>
        <w:t>by</w:t>
      </w:r>
      <w:r>
        <w:rPr>
          <w:rFonts w:ascii="GHEA Grapalat" w:hAnsi="GHEA Grapalat"/>
          <w:sz w:val="20"/>
          <w:szCs w:val="20"/>
        </w:rPr>
        <w:t xml:space="preserve"> slackened global demand as well </w:t>
      </w:r>
      <w:r>
        <w:rPr>
          <w:rFonts w:ascii="GHEA Grapalat" w:hAnsi="GHEA Grapalat"/>
          <w:sz w:val="20"/>
          <w:szCs w:val="20"/>
        </w:rPr>
        <w:lastRenderedPageBreak/>
        <w:t>as the preventive measures taken domestically. The reduction in import owed to the contracted domestic demand.</w:t>
      </w:r>
      <w:r w:rsidRPr="00F6223E">
        <w:rPr>
          <w:rFonts w:ascii="GHEA Grapalat" w:hAnsi="GHEA Grapalat" w:cs="Sylfaen"/>
          <w:iCs/>
          <w:sz w:val="20"/>
          <w:szCs w:val="20"/>
          <w:lang w:val="hy-AM"/>
        </w:rPr>
        <w:t xml:space="preserve"> </w:t>
      </w:r>
    </w:p>
    <w:p w14:paraId="29A31076" w14:textId="77777777" w:rsidR="004F213F" w:rsidRDefault="004F213F" w:rsidP="004F213F">
      <w:pPr>
        <w:spacing w:line="330" w:lineRule="atLeast"/>
        <w:ind w:firstLine="284"/>
        <w:rPr>
          <w:rFonts w:ascii="GHEA Grapalat" w:hAnsi="GHEA Grapalat" w:cs="Sylfaen"/>
          <w:color w:val="000000" w:themeColor="text1"/>
          <w:sz w:val="20"/>
          <w:szCs w:val="20"/>
          <w:lang w:val="hy-AM"/>
        </w:rPr>
      </w:pPr>
      <w:r>
        <w:rPr>
          <w:rFonts w:ascii="GHEA Grapalat" w:hAnsi="GHEA Grapalat"/>
          <w:sz w:val="20"/>
          <w:szCs w:val="20"/>
        </w:rPr>
        <w:t xml:space="preserve">In the first </w:t>
      </w:r>
      <w:r w:rsidRPr="00B02DC0">
        <w:rPr>
          <w:rFonts w:ascii="GHEA Grapalat" w:hAnsi="GHEA Grapalat"/>
          <w:sz w:val="20"/>
          <w:szCs w:val="20"/>
        </w:rPr>
        <w:t>quarter of 20</w:t>
      </w:r>
      <w:r>
        <w:rPr>
          <w:rFonts w:ascii="GHEA Grapalat" w:hAnsi="GHEA Grapalat"/>
          <w:sz w:val="20"/>
          <w:szCs w:val="20"/>
        </w:rPr>
        <w:t>20</w:t>
      </w:r>
      <w:r w:rsidRPr="00B02DC0">
        <w:rPr>
          <w:rFonts w:ascii="GHEA Grapalat" w:hAnsi="GHEA Grapalat"/>
          <w:sz w:val="20"/>
          <w:szCs w:val="20"/>
        </w:rPr>
        <w:t xml:space="preserve"> net remittances of individuals (seasonal workers’ income and personal transfers inclusive) in US dollars </w:t>
      </w:r>
      <w:r>
        <w:rPr>
          <w:rFonts w:ascii="GHEA Grapalat" w:hAnsi="GHEA Grapalat"/>
          <w:sz w:val="20"/>
          <w:szCs w:val="20"/>
        </w:rPr>
        <w:t>reduced b</w:t>
      </w:r>
      <w:r w:rsidRPr="00B02DC0">
        <w:rPr>
          <w:rFonts w:ascii="GHEA Grapalat" w:hAnsi="GHEA Grapalat"/>
          <w:sz w:val="20"/>
          <w:szCs w:val="20"/>
        </w:rPr>
        <w:t xml:space="preserve">y </w:t>
      </w:r>
      <w:r>
        <w:rPr>
          <w:rFonts w:ascii="GHEA Grapalat" w:hAnsi="GHEA Grapalat"/>
          <w:sz w:val="20"/>
          <w:szCs w:val="20"/>
        </w:rPr>
        <w:t>an estimated 7</w:t>
      </w:r>
      <w:r w:rsidRPr="00B02DC0">
        <w:rPr>
          <w:rFonts w:ascii="GHEA Grapalat" w:hAnsi="GHEA Grapalat"/>
          <w:sz w:val="20"/>
          <w:szCs w:val="20"/>
        </w:rPr>
        <w:t>.</w:t>
      </w:r>
      <w:r>
        <w:rPr>
          <w:rFonts w:ascii="GHEA Grapalat" w:hAnsi="GHEA Grapalat"/>
          <w:sz w:val="20"/>
          <w:szCs w:val="20"/>
        </w:rPr>
        <w:t>3</w:t>
      </w:r>
      <w:r w:rsidRPr="00B02DC0">
        <w:rPr>
          <w:rFonts w:ascii="GHEA Grapalat" w:hAnsi="GHEA Grapalat"/>
          <w:sz w:val="20"/>
          <w:szCs w:val="20"/>
        </w:rPr>
        <w:t>% y/y</w:t>
      </w:r>
      <w:r>
        <w:rPr>
          <w:rFonts w:ascii="GHEA Grapalat" w:hAnsi="GHEA Grapalat"/>
          <w:sz w:val="20"/>
          <w:szCs w:val="20"/>
        </w:rPr>
        <w:t xml:space="preserve">; this was </w:t>
      </w:r>
      <w:r w:rsidRPr="00B02DC0">
        <w:rPr>
          <w:rFonts w:ascii="GHEA Grapalat" w:hAnsi="GHEA Grapalat"/>
          <w:sz w:val="20"/>
          <w:szCs w:val="20"/>
        </w:rPr>
        <w:t xml:space="preserve">determined by </w:t>
      </w:r>
      <w:r>
        <w:rPr>
          <w:rFonts w:ascii="GHEA Grapalat" w:hAnsi="GHEA Grapalat"/>
          <w:sz w:val="20"/>
          <w:szCs w:val="20"/>
        </w:rPr>
        <w:t xml:space="preserve">economic developments in Russia, </w:t>
      </w:r>
      <w:r w:rsidRPr="00B02DC0">
        <w:rPr>
          <w:rFonts w:ascii="GHEA Grapalat" w:hAnsi="GHEA Grapalat"/>
          <w:sz w:val="20"/>
          <w:szCs w:val="20"/>
        </w:rPr>
        <w:t xml:space="preserve">the ruble’s </w:t>
      </w:r>
      <w:r>
        <w:rPr>
          <w:rFonts w:ascii="GHEA Grapalat" w:hAnsi="GHEA Grapalat"/>
          <w:sz w:val="20"/>
          <w:szCs w:val="20"/>
        </w:rPr>
        <w:t xml:space="preserve">steep </w:t>
      </w:r>
      <w:r w:rsidRPr="00B02DC0">
        <w:rPr>
          <w:rFonts w:ascii="GHEA Grapalat" w:hAnsi="GHEA Grapalat"/>
          <w:sz w:val="20"/>
          <w:szCs w:val="20"/>
        </w:rPr>
        <w:t xml:space="preserve">exchange rate </w:t>
      </w:r>
      <w:r>
        <w:rPr>
          <w:rFonts w:ascii="GHEA Grapalat" w:hAnsi="GHEA Grapalat"/>
          <w:sz w:val="20"/>
          <w:szCs w:val="20"/>
        </w:rPr>
        <w:t>depreciation since the start of March as well as restrictions in migration flows.</w:t>
      </w:r>
    </w:p>
    <w:p w14:paraId="6FBB5316" w14:textId="77777777" w:rsidR="004F213F" w:rsidRDefault="004F213F" w:rsidP="004F213F">
      <w:pPr>
        <w:spacing w:line="340" w:lineRule="atLeast"/>
        <w:ind w:firstLine="284"/>
        <w:rPr>
          <w:rFonts w:ascii="GHEA Grapalat" w:hAnsi="GHEA Grapalat" w:cs="Sylfaen"/>
          <w:iCs/>
          <w:color w:val="000000" w:themeColor="text1"/>
          <w:sz w:val="20"/>
          <w:szCs w:val="20"/>
          <w:lang w:val="hy-AM"/>
        </w:rPr>
      </w:pPr>
      <w:r w:rsidRPr="00B02DC0">
        <w:rPr>
          <w:rFonts w:ascii="GHEA Grapalat" w:hAnsi="GHEA Grapalat"/>
          <w:sz w:val="20"/>
          <w:szCs w:val="20"/>
        </w:rPr>
        <w:t>In the f</w:t>
      </w:r>
      <w:r>
        <w:rPr>
          <w:rFonts w:ascii="GHEA Grapalat" w:hAnsi="GHEA Grapalat"/>
          <w:sz w:val="20"/>
          <w:szCs w:val="20"/>
        </w:rPr>
        <w:t xml:space="preserve">irst </w:t>
      </w:r>
      <w:r w:rsidRPr="00B02DC0">
        <w:rPr>
          <w:rFonts w:ascii="GHEA Grapalat" w:hAnsi="GHEA Grapalat"/>
          <w:sz w:val="20"/>
          <w:szCs w:val="20"/>
        </w:rPr>
        <w:t>quarter of 20</w:t>
      </w:r>
      <w:r>
        <w:rPr>
          <w:rFonts w:ascii="GHEA Grapalat" w:hAnsi="GHEA Grapalat"/>
          <w:sz w:val="20"/>
          <w:szCs w:val="20"/>
        </w:rPr>
        <w:t>20, relative to the same reference period last year,</w:t>
      </w:r>
      <w:r w:rsidRPr="00B02DC0">
        <w:rPr>
          <w:rFonts w:ascii="GHEA Grapalat" w:hAnsi="GHEA Grapalat"/>
          <w:sz w:val="20"/>
          <w:szCs w:val="20"/>
        </w:rPr>
        <w:t xml:space="preserve"> the current</w:t>
      </w:r>
      <w:r>
        <w:rPr>
          <w:rFonts w:ascii="GHEA Grapalat" w:hAnsi="GHEA Grapalat"/>
          <w:sz w:val="20"/>
          <w:szCs w:val="20"/>
        </w:rPr>
        <w:t xml:space="preserve"> account deficit-to-GDP ratio de</w:t>
      </w:r>
      <w:r w:rsidRPr="00B02DC0">
        <w:rPr>
          <w:rFonts w:ascii="GHEA Grapalat" w:hAnsi="GHEA Grapalat"/>
          <w:sz w:val="20"/>
          <w:szCs w:val="20"/>
        </w:rPr>
        <w:t xml:space="preserve">creased by about </w:t>
      </w:r>
      <w:r>
        <w:rPr>
          <w:rFonts w:ascii="GHEA Grapalat" w:hAnsi="GHEA Grapalat"/>
          <w:sz w:val="20"/>
          <w:szCs w:val="20"/>
        </w:rPr>
        <w:t>3</w:t>
      </w:r>
      <w:r w:rsidRPr="00B02DC0">
        <w:rPr>
          <w:rFonts w:ascii="GHEA Grapalat" w:hAnsi="GHEA Grapalat"/>
          <w:sz w:val="20"/>
          <w:szCs w:val="20"/>
        </w:rPr>
        <w:t xml:space="preserve">.0 pp, according to </w:t>
      </w:r>
      <w:r>
        <w:rPr>
          <w:rFonts w:ascii="GHEA Grapalat" w:hAnsi="GHEA Grapalat"/>
          <w:sz w:val="20"/>
          <w:szCs w:val="20"/>
        </w:rPr>
        <w:t xml:space="preserve">the Central Bank </w:t>
      </w:r>
      <w:r w:rsidRPr="00B02DC0">
        <w:rPr>
          <w:rFonts w:ascii="GHEA Grapalat" w:hAnsi="GHEA Grapalat"/>
          <w:sz w:val="20"/>
          <w:szCs w:val="20"/>
        </w:rPr>
        <w:t xml:space="preserve">estimates. </w:t>
      </w:r>
    </w:p>
    <w:p w14:paraId="006F5321" w14:textId="77777777" w:rsidR="004F213F" w:rsidRDefault="004F213F" w:rsidP="004F213F">
      <w:pPr>
        <w:spacing w:line="312" w:lineRule="auto"/>
        <w:ind w:firstLine="284"/>
        <w:jc w:val="both"/>
        <w:rPr>
          <w:rFonts w:ascii="GHEA Grapalat" w:hAnsi="GHEA Grapalat" w:cs="Sylfaen"/>
          <w:b/>
          <w:bCs/>
          <w:iCs/>
          <w:sz w:val="20"/>
          <w:szCs w:val="20"/>
          <w:lang w:val="hy-AM"/>
        </w:rPr>
      </w:pPr>
    </w:p>
    <w:p w14:paraId="49D4CE43" w14:textId="77777777" w:rsidR="004F213F" w:rsidRPr="00F6223E" w:rsidRDefault="004F213F" w:rsidP="004F213F">
      <w:pPr>
        <w:spacing w:line="340" w:lineRule="atLeast"/>
        <w:ind w:firstLine="284"/>
        <w:rPr>
          <w:rFonts w:ascii="GHEA Grapalat" w:hAnsi="GHEA Grapalat"/>
          <w:sz w:val="20"/>
          <w:szCs w:val="20"/>
        </w:rPr>
      </w:pPr>
      <w:r w:rsidRPr="00E679B5">
        <w:rPr>
          <w:rFonts w:ascii="GHEA Grapalat" w:hAnsi="GHEA Grapalat"/>
          <w:b/>
          <w:i/>
          <w:sz w:val="20"/>
          <w:szCs w:val="20"/>
        </w:rPr>
        <w:t>Fiscal policy</w:t>
      </w:r>
      <w:r>
        <w:rPr>
          <w:rStyle w:val="FootnoteReference"/>
          <w:rFonts w:ascii="GHEA Grapalat" w:hAnsi="GHEA Grapalat"/>
          <w:b/>
          <w:i/>
        </w:rPr>
        <w:footnoteReference w:customMarkFollows="1" w:id="9"/>
        <w:t>17</w:t>
      </w:r>
      <w:r w:rsidRPr="00E679B5">
        <w:rPr>
          <w:rFonts w:ascii="GHEA Grapalat" w:hAnsi="GHEA Grapalat"/>
          <w:b/>
          <w:i/>
          <w:sz w:val="20"/>
          <w:szCs w:val="20"/>
        </w:rPr>
        <w:t>:</w:t>
      </w:r>
      <w:r w:rsidRPr="00B02DC0">
        <w:rPr>
          <w:rFonts w:ascii="GHEA Grapalat" w:hAnsi="GHEA Grapalat"/>
          <w:b/>
          <w:sz w:val="20"/>
          <w:szCs w:val="20"/>
        </w:rPr>
        <w:t xml:space="preserve"> </w:t>
      </w:r>
      <w:r w:rsidRPr="00B02DC0">
        <w:rPr>
          <w:rFonts w:ascii="GHEA Grapalat" w:hAnsi="GHEA Grapalat"/>
          <w:sz w:val="20"/>
          <w:szCs w:val="20"/>
        </w:rPr>
        <w:t>In the f</w:t>
      </w:r>
      <w:r>
        <w:rPr>
          <w:rFonts w:ascii="GHEA Grapalat" w:hAnsi="GHEA Grapalat"/>
          <w:sz w:val="20"/>
          <w:szCs w:val="20"/>
        </w:rPr>
        <w:t>irst</w:t>
      </w:r>
      <w:r w:rsidRPr="00B02DC0">
        <w:rPr>
          <w:rFonts w:ascii="GHEA Grapalat" w:hAnsi="GHEA Grapalat"/>
          <w:sz w:val="20"/>
          <w:szCs w:val="20"/>
        </w:rPr>
        <w:t xml:space="preserve"> quarter of 20</w:t>
      </w:r>
      <w:r>
        <w:rPr>
          <w:rFonts w:ascii="GHEA Grapalat" w:hAnsi="GHEA Grapalat"/>
          <w:sz w:val="20"/>
          <w:szCs w:val="20"/>
        </w:rPr>
        <w:t>20</w:t>
      </w:r>
      <w:r w:rsidRPr="00B02DC0">
        <w:rPr>
          <w:rFonts w:ascii="GHEA Grapalat" w:hAnsi="GHEA Grapalat"/>
          <w:sz w:val="20"/>
          <w:szCs w:val="20"/>
        </w:rPr>
        <w:t xml:space="preserve"> the </w:t>
      </w:r>
      <w:r>
        <w:rPr>
          <w:rFonts w:ascii="GHEA Grapalat" w:hAnsi="GHEA Grapalat"/>
          <w:sz w:val="20"/>
          <w:szCs w:val="20"/>
        </w:rPr>
        <w:t xml:space="preserve">actual budget </w:t>
      </w:r>
      <w:r w:rsidRPr="00B02DC0">
        <w:rPr>
          <w:rFonts w:ascii="GHEA Grapalat" w:hAnsi="GHEA Grapalat"/>
          <w:sz w:val="20"/>
          <w:szCs w:val="20"/>
        </w:rPr>
        <w:t>revenues and expenditures deviated from the Central Bank’s projections</w:t>
      </w:r>
      <w:r>
        <w:rPr>
          <w:rStyle w:val="FootnoteReference"/>
          <w:rFonts w:ascii="GHEA Grapalat" w:hAnsi="GHEA Grapalat"/>
        </w:rPr>
        <w:footnoteReference w:customMarkFollows="1" w:id="10"/>
        <w:t>18</w:t>
      </w:r>
      <w:r w:rsidRPr="00B02DC0">
        <w:rPr>
          <w:rFonts w:ascii="GHEA Grapalat" w:hAnsi="GHEA Grapalat"/>
          <w:sz w:val="20"/>
          <w:szCs w:val="20"/>
        </w:rPr>
        <w:t xml:space="preserve">, with revenues </w:t>
      </w:r>
      <w:r>
        <w:rPr>
          <w:rFonts w:ascii="GHEA Grapalat" w:hAnsi="GHEA Grapalat"/>
          <w:sz w:val="20"/>
          <w:szCs w:val="20"/>
        </w:rPr>
        <w:t xml:space="preserve">slightly </w:t>
      </w:r>
      <w:r w:rsidRPr="00B02DC0">
        <w:rPr>
          <w:rFonts w:ascii="GHEA Grapalat" w:hAnsi="GHEA Grapalat"/>
          <w:sz w:val="20"/>
          <w:szCs w:val="20"/>
        </w:rPr>
        <w:t xml:space="preserve">overperformed and expenditures underperformed. </w:t>
      </w:r>
      <w:r>
        <w:rPr>
          <w:rFonts w:ascii="GHEA Grapalat" w:hAnsi="GHEA Grapalat"/>
          <w:sz w:val="20"/>
          <w:szCs w:val="20"/>
        </w:rPr>
        <w:t>T</w:t>
      </w:r>
      <w:r w:rsidRPr="00B02DC0">
        <w:rPr>
          <w:rFonts w:ascii="GHEA Grapalat" w:hAnsi="GHEA Grapalat"/>
          <w:sz w:val="20"/>
          <w:szCs w:val="20"/>
        </w:rPr>
        <w:t>he fiscal policy’s impact on aggregate demand for the quarter</w:t>
      </w:r>
      <w:r>
        <w:rPr>
          <w:rFonts w:ascii="GHEA Grapalat" w:hAnsi="GHEA Grapalat"/>
          <w:sz w:val="20"/>
          <w:szCs w:val="20"/>
        </w:rPr>
        <w:t xml:space="preserve"> wa</w:t>
      </w:r>
      <w:r w:rsidRPr="00B02DC0">
        <w:rPr>
          <w:rFonts w:ascii="GHEA Grapalat" w:hAnsi="GHEA Grapalat"/>
          <w:sz w:val="20"/>
          <w:szCs w:val="20"/>
        </w:rPr>
        <w:t>s estimated 1.</w:t>
      </w:r>
      <w:r>
        <w:rPr>
          <w:rFonts w:ascii="GHEA Grapalat" w:hAnsi="GHEA Grapalat"/>
          <w:sz w:val="20"/>
          <w:szCs w:val="20"/>
        </w:rPr>
        <w:t>8</w:t>
      </w:r>
      <w:r w:rsidRPr="00B02DC0">
        <w:rPr>
          <w:rFonts w:ascii="GHEA Grapalat" w:hAnsi="GHEA Grapalat"/>
          <w:sz w:val="20"/>
          <w:szCs w:val="20"/>
        </w:rPr>
        <w:t xml:space="preserve"> pp expansionary, </w:t>
      </w:r>
      <w:r>
        <w:rPr>
          <w:rFonts w:ascii="GHEA Grapalat" w:hAnsi="GHEA Grapalat"/>
          <w:sz w:val="20"/>
          <w:szCs w:val="20"/>
        </w:rPr>
        <w:t xml:space="preserve">instead of the </w:t>
      </w:r>
      <w:r w:rsidRPr="00B02DC0">
        <w:rPr>
          <w:rFonts w:ascii="GHEA Grapalat" w:hAnsi="GHEA Grapalat"/>
          <w:sz w:val="20"/>
          <w:szCs w:val="20"/>
        </w:rPr>
        <w:t xml:space="preserve">expansionary forecast </w:t>
      </w:r>
      <w:r>
        <w:rPr>
          <w:rFonts w:ascii="GHEA Grapalat" w:hAnsi="GHEA Grapalat"/>
          <w:sz w:val="20"/>
          <w:szCs w:val="20"/>
        </w:rPr>
        <w:t xml:space="preserve">of </w:t>
      </w:r>
      <w:r w:rsidRPr="00B02DC0">
        <w:rPr>
          <w:rFonts w:ascii="GHEA Grapalat" w:hAnsi="GHEA Grapalat"/>
          <w:sz w:val="20"/>
          <w:szCs w:val="20"/>
        </w:rPr>
        <w:t>3.</w:t>
      </w:r>
      <w:r>
        <w:rPr>
          <w:rFonts w:ascii="GHEA Grapalat" w:hAnsi="GHEA Grapalat"/>
          <w:sz w:val="20"/>
          <w:szCs w:val="20"/>
        </w:rPr>
        <w:t>0</w:t>
      </w:r>
      <w:r w:rsidRPr="00B02DC0">
        <w:rPr>
          <w:rFonts w:ascii="GHEA Grapalat" w:hAnsi="GHEA Grapalat"/>
          <w:sz w:val="20"/>
          <w:szCs w:val="20"/>
        </w:rPr>
        <w:t xml:space="preserve"> pp, which was attributable </w:t>
      </w:r>
      <w:r>
        <w:rPr>
          <w:rFonts w:ascii="GHEA Grapalat" w:hAnsi="GHEA Grapalat"/>
          <w:sz w:val="20"/>
          <w:szCs w:val="20"/>
        </w:rPr>
        <w:t xml:space="preserve">to both deviated revenues and expenditures and </w:t>
      </w:r>
      <w:r w:rsidRPr="00B02DC0">
        <w:rPr>
          <w:rFonts w:ascii="GHEA Grapalat" w:hAnsi="GHEA Grapalat"/>
          <w:sz w:val="20"/>
          <w:szCs w:val="20"/>
        </w:rPr>
        <w:t>revised actual economic growth rate and potential GDP estimates.</w:t>
      </w:r>
      <w:r w:rsidRPr="00F6223E">
        <w:rPr>
          <w:rFonts w:ascii="GHEA Grapalat" w:hAnsi="GHEA Grapalat"/>
          <w:sz w:val="20"/>
          <w:szCs w:val="20"/>
        </w:rPr>
        <w:t xml:space="preserve"> </w:t>
      </w:r>
    </w:p>
    <w:p w14:paraId="03F9BFCE" w14:textId="77777777" w:rsidR="004F213F" w:rsidRDefault="004F213F" w:rsidP="004F213F">
      <w:pPr>
        <w:spacing w:line="340" w:lineRule="atLeast"/>
        <w:ind w:firstLine="284"/>
        <w:rPr>
          <w:rFonts w:ascii="GHEA Grapalat" w:hAnsi="GHEA Grapalat" w:cs="Sylfaen"/>
          <w:bCs/>
          <w:iCs/>
          <w:sz w:val="20"/>
          <w:szCs w:val="20"/>
          <w:lang w:val="hy-AM"/>
        </w:rPr>
      </w:pPr>
      <w:r w:rsidRPr="00B02DC0">
        <w:rPr>
          <w:rFonts w:ascii="GHEA Grapalat" w:hAnsi="GHEA Grapalat"/>
          <w:color w:val="000000"/>
          <w:sz w:val="20"/>
          <w:szCs w:val="20"/>
        </w:rPr>
        <w:t>In the f</w:t>
      </w:r>
      <w:r>
        <w:rPr>
          <w:rFonts w:ascii="GHEA Grapalat" w:hAnsi="GHEA Grapalat"/>
          <w:color w:val="000000"/>
          <w:sz w:val="20"/>
          <w:szCs w:val="20"/>
        </w:rPr>
        <w:t>irst</w:t>
      </w:r>
      <w:r w:rsidRPr="00B02DC0">
        <w:rPr>
          <w:rFonts w:ascii="GHEA Grapalat" w:hAnsi="GHEA Grapalat"/>
          <w:color w:val="000000"/>
          <w:sz w:val="20"/>
          <w:szCs w:val="20"/>
        </w:rPr>
        <w:t xml:space="preserve"> quarter of 20</w:t>
      </w:r>
      <w:r>
        <w:rPr>
          <w:rFonts w:ascii="GHEA Grapalat" w:hAnsi="GHEA Grapalat"/>
          <w:color w:val="000000"/>
          <w:sz w:val="20"/>
          <w:szCs w:val="20"/>
        </w:rPr>
        <w:t>20</w:t>
      </w:r>
      <w:r w:rsidRPr="00B02DC0">
        <w:rPr>
          <w:rFonts w:ascii="GHEA Grapalat" w:hAnsi="GHEA Grapalat"/>
          <w:color w:val="000000"/>
          <w:sz w:val="20"/>
          <w:szCs w:val="20"/>
        </w:rPr>
        <w:t xml:space="preserve"> actual budget revenues surpassed the projection by </w:t>
      </w:r>
      <w:r>
        <w:rPr>
          <w:rFonts w:ascii="GHEA Grapalat" w:hAnsi="GHEA Grapalat"/>
          <w:color w:val="000000"/>
          <w:sz w:val="20"/>
          <w:szCs w:val="20"/>
        </w:rPr>
        <w:t>2</w:t>
      </w:r>
      <w:r w:rsidRPr="00B02DC0">
        <w:rPr>
          <w:rFonts w:ascii="GHEA Grapalat" w:hAnsi="GHEA Grapalat"/>
          <w:color w:val="000000"/>
          <w:sz w:val="20"/>
          <w:szCs w:val="20"/>
        </w:rPr>
        <w:t>.</w:t>
      </w:r>
      <w:r>
        <w:rPr>
          <w:rFonts w:ascii="GHEA Grapalat" w:hAnsi="GHEA Grapalat"/>
          <w:color w:val="000000"/>
          <w:sz w:val="20"/>
          <w:szCs w:val="20"/>
        </w:rPr>
        <w:t>9</w:t>
      </w:r>
      <w:r w:rsidRPr="00B02DC0">
        <w:rPr>
          <w:rFonts w:ascii="GHEA Grapalat" w:hAnsi="GHEA Grapalat"/>
          <w:color w:val="000000"/>
          <w:sz w:val="20"/>
          <w:szCs w:val="20"/>
        </w:rPr>
        <w:t xml:space="preserve">% </w:t>
      </w:r>
      <w:r>
        <w:rPr>
          <w:rFonts w:ascii="GHEA Grapalat" w:hAnsi="GHEA Grapalat"/>
          <w:color w:val="000000"/>
          <w:sz w:val="20"/>
          <w:szCs w:val="20"/>
        </w:rPr>
        <w:t xml:space="preserve">primarily </w:t>
      </w:r>
      <w:r w:rsidRPr="00B02DC0">
        <w:rPr>
          <w:rFonts w:ascii="GHEA Grapalat" w:hAnsi="GHEA Grapalat"/>
          <w:color w:val="000000"/>
          <w:sz w:val="20"/>
          <w:szCs w:val="20"/>
        </w:rPr>
        <w:t>thanks to overperformed tax revenues. As a result, t</w:t>
      </w:r>
      <w:r>
        <w:rPr>
          <w:rFonts w:ascii="GHEA Grapalat" w:hAnsi="GHEA Grapalat"/>
          <w:color w:val="000000"/>
          <w:sz w:val="20"/>
          <w:szCs w:val="20"/>
        </w:rPr>
        <w:t>he revenue impulse amounted to 1</w:t>
      </w:r>
      <w:r w:rsidRPr="00B02DC0">
        <w:rPr>
          <w:rFonts w:ascii="GHEA Grapalat" w:hAnsi="GHEA Grapalat"/>
          <w:color w:val="000000"/>
          <w:sz w:val="20"/>
          <w:szCs w:val="20"/>
        </w:rPr>
        <w:t xml:space="preserve">.4 pp </w:t>
      </w:r>
      <w:r>
        <w:rPr>
          <w:rFonts w:ascii="GHEA Grapalat" w:hAnsi="GHEA Grapalat"/>
          <w:color w:val="000000"/>
          <w:sz w:val="20"/>
          <w:szCs w:val="20"/>
        </w:rPr>
        <w:t>contractionary</w:t>
      </w:r>
      <w:r w:rsidRPr="00B02DC0">
        <w:rPr>
          <w:rFonts w:ascii="GHEA Grapalat" w:hAnsi="GHEA Grapalat"/>
          <w:color w:val="000000"/>
          <w:sz w:val="20"/>
          <w:szCs w:val="20"/>
        </w:rPr>
        <w:t xml:space="preserve">, instead of the </w:t>
      </w:r>
      <w:r>
        <w:rPr>
          <w:rFonts w:ascii="GHEA Grapalat" w:hAnsi="GHEA Grapalat"/>
          <w:color w:val="000000"/>
          <w:sz w:val="20"/>
          <w:szCs w:val="20"/>
        </w:rPr>
        <w:t>contractionary</w:t>
      </w:r>
      <w:r w:rsidRPr="00B02DC0">
        <w:rPr>
          <w:rFonts w:ascii="GHEA Grapalat" w:hAnsi="GHEA Grapalat"/>
          <w:color w:val="000000"/>
          <w:sz w:val="20"/>
          <w:szCs w:val="20"/>
        </w:rPr>
        <w:t xml:space="preserve"> forecast </w:t>
      </w:r>
      <w:r>
        <w:rPr>
          <w:rFonts w:ascii="GHEA Grapalat" w:hAnsi="GHEA Grapalat"/>
          <w:color w:val="000000"/>
          <w:sz w:val="20"/>
          <w:szCs w:val="20"/>
        </w:rPr>
        <w:t>of 0</w:t>
      </w:r>
      <w:r w:rsidRPr="00B02DC0">
        <w:rPr>
          <w:rFonts w:ascii="GHEA Grapalat" w:hAnsi="GHEA Grapalat"/>
          <w:color w:val="000000"/>
          <w:sz w:val="20"/>
          <w:szCs w:val="20"/>
        </w:rPr>
        <w:t>.</w:t>
      </w:r>
      <w:r>
        <w:rPr>
          <w:rFonts w:ascii="GHEA Grapalat" w:hAnsi="GHEA Grapalat"/>
          <w:color w:val="000000"/>
          <w:sz w:val="20"/>
          <w:szCs w:val="20"/>
        </w:rPr>
        <w:t>8</w:t>
      </w:r>
      <w:r w:rsidRPr="00B02DC0">
        <w:rPr>
          <w:rFonts w:ascii="GHEA Grapalat" w:hAnsi="GHEA Grapalat"/>
          <w:color w:val="000000"/>
          <w:sz w:val="20"/>
          <w:szCs w:val="20"/>
        </w:rPr>
        <w:t xml:space="preserve"> pp.</w:t>
      </w:r>
      <w:r>
        <w:rPr>
          <w:rFonts w:ascii="GHEA Grapalat" w:hAnsi="GHEA Grapalat"/>
          <w:color w:val="000000"/>
          <w:sz w:val="20"/>
          <w:szCs w:val="20"/>
        </w:rPr>
        <w:t xml:space="preserve"> </w:t>
      </w:r>
    </w:p>
    <w:p w14:paraId="1F3FEA26" w14:textId="77777777" w:rsidR="004F213F" w:rsidRDefault="004F213F" w:rsidP="004F213F">
      <w:pPr>
        <w:spacing w:line="340" w:lineRule="atLeast"/>
        <w:ind w:firstLine="284"/>
        <w:rPr>
          <w:rFonts w:ascii="GHEA Grapalat" w:hAnsi="GHEA Grapalat" w:cs="Sylfaen"/>
          <w:bCs/>
          <w:iCs/>
          <w:sz w:val="20"/>
          <w:szCs w:val="20"/>
          <w:lang w:val="hy-AM"/>
        </w:rPr>
      </w:pPr>
      <w:r>
        <w:rPr>
          <w:rFonts w:ascii="GHEA Grapalat" w:hAnsi="GHEA Grapalat"/>
          <w:sz w:val="20"/>
          <w:szCs w:val="20"/>
        </w:rPr>
        <w:t>In the first quarter b</w:t>
      </w:r>
      <w:r w:rsidRPr="00B02DC0">
        <w:rPr>
          <w:rFonts w:ascii="GHEA Grapalat" w:hAnsi="GHEA Grapalat"/>
          <w:sz w:val="20"/>
          <w:szCs w:val="20"/>
        </w:rPr>
        <w:t xml:space="preserve">udget expenditures </w:t>
      </w:r>
      <w:r>
        <w:rPr>
          <w:rFonts w:ascii="GHEA Grapalat" w:hAnsi="GHEA Grapalat"/>
          <w:sz w:val="20"/>
          <w:szCs w:val="20"/>
        </w:rPr>
        <w:t>made up</w:t>
      </w:r>
      <w:r w:rsidRPr="00B02DC0">
        <w:rPr>
          <w:rFonts w:ascii="GHEA Grapalat" w:hAnsi="GHEA Grapalat"/>
          <w:sz w:val="20"/>
          <w:szCs w:val="20"/>
        </w:rPr>
        <w:t xml:space="preserve"> 96.</w:t>
      </w:r>
      <w:r>
        <w:rPr>
          <w:rFonts w:ascii="GHEA Grapalat" w:hAnsi="GHEA Grapalat"/>
          <w:sz w:val="20"/>
          <w:szCs w:val="20"/>
        </w:rPr>
        <w:t>0</w:t>
      </w:r>
      <w:r w:rsidRPr="00B02DC0">
        <w:rPr>
          <w:rFonts w:ascii="GHEA Grapalat" w:hAnsi="GHEA Grapalat"/>
          <w:sz w:val="20"/>
          <w:szCs w:val="20"/>
        </w:rPr>
        <w:t>% of the Central Bank projection, so the expenditures impulse had a smaller</w:t>
      </w:r>
      <w:r>
        <w:rPr>
          <w:rFonts w:ascii="GHEA Grapalat" w:hAnsi="GHEA Grapalat"/>
          <w:sz w:val="20"/>
          <w:szCs w:val="20"/>
        </w:rPr>
        <w:t xml:space="preserve"> -</w:t>
      </w:r>
      <w:r w:rsidRPr="00B02DC0">
        <w:rPr>
          <w:rFonts w:ascii="GHEA Grapalat" w:hAnsi="GHEA Grapalat"/>
          <w:sz w:val="20"/>
          <w:szCs w:val="20"/>
        </w:rPr>
        <w:t xml:space="preserve"> </w:t>
      </w:r>
      <w:r>
        <w:rPr>
          <w:rFonts w:ascii="GHEA Grapalat" w:hAnsi="GHEA Grapalat"/>
          <w:sz w:val="20"/>
          <w:szCs w:val="20"/>
        </w:rPr>
        <w:t>3</w:t>
      </w:r>
      <w:r w:rsidRPr="00B02DC0">
        <w:rPr>
          <w:rFonts w:ascii="GHEA Grapalat" w:hAnsi="GHEA Grapalat"/>
          <w:sz w:val="20"/>
          <w:szCs w:val="20"/>
        </w:rPr>
        <w:t>.</w:t>
      </w:r>
      <w:r>
        <w:rPr>
          <w:rFonts w:ascii="GHEA Grapalat" w:hAnsi="GHEA Grapalat"/>
          <w:sz w:val="20"/>
          <w:szCs w:val="20"/>
        </w:rPr>
        <w:t>2</w:t>
      </w:r>
      <w:r w:rsidRPr="00B02DC0">
        <w:rPr>
          <w:rFonts w:ascii="GHEA Grapalat" w:hAnsi="GHEA Grapalat"/>
          <w:sz w:val="20"/>
          <w:szCs w:val="20"/>
        </w:rPr>
        <w:t xml:space="preserve"> </w:t>
      </w:r>
      <w:r>
        <w:rPr>
          <w:rFonts w:ascii="GHEA Grapalat" w:hAnsi="GHEA Grapalat"/>
          <w:sz w:val="20"/>
          <w:szCs w:val="20"/>
        </w:rPr>
        <w:t xml:space="preserve">pp </w:t>
      </w:r>
      <w:r w:rsidRPr="00B02DC0">
        <w:rPr>
          <w:rFonts w:ascii="GHEA Grapalat" w:hAnsi="GHEA Grapalat"/>
          <w:sz w:val="20"/>
          <w:szCs w:val="20"/>
        </w:rPr>
        <w:t xml:space="preserve">expansionary </w:t>
      </w:r>
      <w:r>
        <w:rPr>
          <w:rFonts w:ascii="GHEA Grapalat" w:hAnsi="GHEA Grapalat"/>
          <w:sz w:val="20"/>
          <w:szCs w:val="20"/>
        </w:rPr>
        <w:t xml:space="preserve">- </w:t>
      </w:r>
      <w:r w:rsidRPr="00B02DC0">
        <w:rPr>
          <w:rFonts w:ascii="GHEA Grapalat" w:hAnsi="GHEA Grapalat"/>
          <w:sz w:val="20"/>
          <w:szCs w:val="20"/>
        </w:rPr>
        <w:t xml:space="preserve">effect, </w:t>
      </w:r>
      <w:r>
        <w:rPr>
          <w:rFonts w:ascii="GHEA Grapalat" w:hAnsi="GHEA Grapalat"/>
          <w:sz w:val="20"/>
          <w:szCs w:val="20"/>
        </w:rPr>
        <w:t>instead of</w:t>
      </w:r>
      <w:r w:rsidRPr="00B02DC0">
        <w:rPr>
          <w:rFonts w:ascii="GHEA Grapalat" w:hAnsi="GHEA Grapalat"/>
          <w:sz w:val="20"/>
          <w:szCs w:val="20"/>
        </w:rPr>
        <w:t xml:space="preserve"> the </w:t>
      </w:r>
      <w:r>
        <w:rPr>
          <w:rFonts w:ascii="GHEA Grapalat" w:hAnsi="GHEA Grapalat"/>
          <w:sz w:val="20"/>
          <w:szCs w:val="20"/>
        </w:rPr>
        <w:t xml:space="preserve">predicted </w:t>
      </w:r>
      <w:r w:rsidRPr="00B02DC0">
        <w:rPr>
          <w:rFonts w:ascii="GHEA Grapalat" w:hAnsi="GHEA Grapalat"/>
          <w:sz w:val="20"/>
          <w:szCs w:val="20"/>
        </w:rPr>
        <w:t>expansionary</w:t>
      </w:r>
      <w:r>
        <w:rPr>
          <w:rFonts w:ascii="GHEA Grapalat" w:hAnsi="GHEA Grapalat"/>
          <w:sz w:val="20"/>
          <w:szCs w:val="20"/>
        </w:rPr>
        <w:t xml:space="preserve"> 3</w:t>
      </w:r>
      <w:r w:rsidRPr="00B02DC0">
        <w:rPr>
          <w:rFonts w:ascii="GHEA Grapalat" w:hAnsi="GHEA Grapalat"/>
          <w:sz w:val="20"/>
          <w:szCs w:val="20"/>
        </w:rPr>
        <w:t>.9</w:t>
      </w:r>
      <w:r>
        <w:rPr>
          <w:rFonts w:ascii="GHEA Grapalat" w:hAnsi="GHEA Grapalat"/>
          <w:sz w:val="20"/>
          <w:szCs w:val="20"/>
        </w:rPr>
        <w:t xml:space="preserve"> pp</w:t>
      </w:r>
      <w:r w:rsidRPr="00B02DC0">
        <w:rPr>
          <w:rFonts w:ascii="GHEA Grapalat" w:hAnsi="GHEA Grapalat"/>
          <w:sz w:val="20"/>
          <w:szCs w:val="20"/>
        </w:rPr>
        <w:t xml:space="preserve">. </w:t>
      </w:r>
      <w:r w:rsidRPr="00D24D52">
        <w:rPr>
          <w:rFonts w:ascii="GHEA Grapalat" w:hAnsi="GHEA Grapalat"/>
          <w:b/>
          <w:i/>
          <w:sz w:val="20"/>
          <w:szCs w:val="20"/>
        </w:rPr>
        <w:t>G</w:t>
      </w:r>
      <w:r w:rsidRPr="00D24D52">
        <w:rPr>
          <w:rFonts w:ascii="GHEA Grapalat" w:hAnsi="GHEA Grapalat"/>
          <w:b/>
          <w:i/>
          <w:color w:val="000000"/>
          <w:sz w:val="20"/>
          <w:szCs w:val="20"/>
        </w:rPr>
        <w:t>o</w:t>
      </w:r>
      <w:r w:rsidRPr="00D24D52">
        <w:rPr>
          <w:rFonts w:ascii="GHEA Grapalat" w:hAnsi="GHEA Grapalat"/>
          <w:b/>
          <w:i/>
          <w:sz w:val="20"/>
          <w:szCs w:val="20"/>
        </w:rPr>
        <w:t>vernment consumption</w:t>
      </w:r>
      <w:r w:rsidRPr="00B02DC0">
        <w:rPr>
          <w:rFonts w:ascii="GHEA Grapalat" w:hAnsi="GHEA Grapalat"/>
          <w:sz w:val="20"/>
          <w:szCs w:val="20"/>
        </w:rPr>
        <w:t xml:space="preserve"> reached 9</w:t>
      </w:r>
      <w:r>
        <w:rPr>
          <w:rFonts w:ascii="GHEA Grapalat" w:hAnsi="GHEA Grapalat"/>
          <w:sz w:val="20"/>
          <w:szCs w:val="20"/>
        </w:rPr>
        <w:t>4</w:t>
      </w:r>
      <w:r w:rsidRPr="00B02DC0">
        <w:rPr>
          <w:rFonts w:ascii="GHEA Grapalat" w:hAnsi="GHEA Grapalat"/>
          <w:sz w:val="20"/>
          <w:szCs w:val="20"/>
        </w:rPr>
        <w:t>.</w:t>
      </w:r>
      <w:r>
        <w:rPr>
          <w:rFonts w:ascii="GHEA Grapalat" w:hAnsi="GHEA Grapalat"/>
          <w:sz w:val="20"/>
          <w:szCs w:val="20"/>
        </w:rPr>
        <w:t>2</w:t>
      </w:r>
      <w:r w:rsidRPr="00B02DC0">
        <w:rPr>
          <w:rFonts w:ascii="GHEA Grapalat" w:hAnsi="GHEA Grapalat"/>
          <w:sz w:val="20"/>
          <w:szCs w:val="20"/>
        </w:rPr>
        <w:t>% of the projected indicator and actual expenditures</w:t>
      </w:r>
      <w:r w:rsidRPr="00B02DC0">
        <w:rPr>
          <w:rFonts w:ascii="GHEA Grapalat" w:hAnsi="GHEA Grapalat"/>
          <w:b/>
          <w:sz w:val="20"/>
          <w:szCs w:val="20"/>
        </w:rPr>
        <w:t xml:space="preserve"> </w:t>
      </w:r>
      <w:r w:rsidRPr="00D24D52">
        <w:rPr>
          <w:rFonts w:ascii="GHEA Grapalat" w:hAnsi="GHEA Grapalat"/>
          <w:b/>
          <w:i/>
          <w:sz w:val="20"/>
          <w:szCs w:val="20"/>
        </w:rPr>
        <w:t>on non-financial assets</w:t>
      </w:r>
      <w:r w:rsidRPr="00B02DC0">
        <w:rPr>
          <w:rFonts w:ascii="GHEA Grapalat" w:hAnsi="GHEA Grapalat"/>
          <w:sz w:val="20"/>
          <w:szCs w:val="20"/>
        </w:rPr>
        <w:t xml:space="preserve"> amounted to 9</w:t>
      </w:r>
      <w:r>
        <w:rPr>
          <w:rFonts w:ascii="GHEA Grapalat" w:hAnsi="GHEA Grapalat"/>
          <w:sz w:val="20"/>
          <w:szCs w:val="20"/>
        </w:rPr>
        <w:t>7</w:t>
      </w:r>
      <w:r w:rsidRPr="00B02DC0">
        <w:rPr>
          <w:rFonts w:ascii="GHEA Grapalat" w:hAnsi="GHEA Grapalat"/>
          <w:sz w:val="20"/>
          <w:szCs w:val="20"/>
        </w:rPr>
        <w:t>.</w:t>
      </w:r>
      <w:r>
        <w:rPr>
          <w:rFonts w:ascii="GHEA Grapalat" w:hAnsi="GHEA Grapalat"/>
          <w:sz w:val="20"/>
          <w:szCs w:val="20"/>
        </w:rPr>
        <w:t>3</w:t>
      </w:r>
      <w:r w:rsidRPr="00B02DC0">
        <w:rPr>
          <w:rFonts w:ascii="GHEA Grapalat" w:hAnsi="GHEA Grapalat"/>
          <w:sz w:val="20"/>
          <w:szCs w:val="20"/>
        </w:rPr>
        <w:t xml:space="preserve">% of the projection, </w:t>
      </w:r>
      <w:r>
        <w:rPr>
          <w:rFonts w:ascii="GHEA Grapalat" w:hAnsi="GHEA Grapalat"/>
          <w:sz w:val="20"/>
          <w:szCs w:val="20"/>
        </w:rPr>
        <w:t xml:space="preserve">which is primarily attributable to shortfalls of funds intended for capital expenditures </w:t>
      </w:r>
      <w:r w:rsidRPr="00B02DC0">
        <w:rPr>
          <w:rFonts w:ascii="GHEA Grapalat" w:hAnsi="GHEA Grapalat"/>
          <w:sz w:val="20"/>
          <w:szCs w:val="20"/>
        </w:rPr>
        <w:t>under foreign aid.</w:t>
      </w:r>
    </w:p>
    <w:p w14:paraId="72068300" w14:textId="77777777" w:rsidR="004F213F" w:rsidRDefault="004F213F" w:rsidP="004F213F">
      <w:pPr>
        <w:spacing w:line="340" w:lineRule="atLeast"/>
        <w:ind w:firstLine="284"/>
        <w:rPr>
          <w:rFonts w:ascii="GHEA Grapalat" w:hAnsi="GHEA Grapalat" w:cs="Sylfaen"/>
          <w:bCs/>
          <w:iCs/>
          <w:sz w:val="20"/>
          <w:szCs w:val="20"/>
          <w:lang w:val="hy-AM"/>
        </w:rPr>
      </w:pPr>
      <w:r w:rsidRPr="00B02DC0">
        <w:rPr>
          <w:rFonts w:ascii="GHEA Grapalat" w:hAnsi="GHEA Grapalat"/>
          <w:sz w:val="20"/>
          <w:szCs w:val="20"/>
        </w:rPr>
        <w:t xml:space="preserve">With </w:t>
      </w:r>
      <w:r w:rsidRPr="00B02DC0">
        <w:rPr>
          <w:rFonts w:ascii="GHEA Grapalat" w:hAnsi="GHEA Grapalat"/>
          <w:bCs/>
          <w:iCs/>
          <w:color w:val="000000"/>
          <w:sz w:val="20"/>
          <w:szCs w:val="20"/>
        </w:rPr>
        <w:t xml:space="preserve">revenues and expenditures performance described above, </w:t>
      </w:r>
      <w:r>
        <w:rPr>
          <w:rFonts w:ascii="GHEA Grapalat" w:hAnsi="GHEA Grapalat"/>
          <w:bCs/>
          <w:iCs/>
          <w:color w:val="000000"/>
          <w:sz w:val="20"/>
          <w:szCs w:val="20"/>
        </w:rPr>
        <w:t xml:space="preserve">the </w:t>
      </w:r>
      <w:r w:rsidRPr="00B02DC0">
        <w:rPr>
          <w:rFonts w:ascii="GHEA Grapalat" w:hAnsi="GHEA Grapalat"/>
          <w:bCs/>
          <w:iCs/>
          <w:color w:val="000000"/>
          <w:sz w:val="20"/>
          <w:szCs w:val="20"/>
        </w:rPr>
        <w:t xml:space="preserve">state budget generated a </w:t>
      </w:r>
      <w:r>
        <w:rPr>
          <w:rFonts w:ascii="GHEA Grapalat" w:hAnsi="GHEA Grapalat"/>
          <w:bCs/>
          <w:iCs/>
          <w:color w:val="000000"/>
          <w:sz w:val="20"/>
          <w:szCs w:val="20"/>
        </w:rPr>
        <w:t xml:space="preserve">surplus </w:t>
      </w:r>
      <w:r w:rsidRPr="00B02DC0">
        <w:rPr>
          <w:rFonts w:ascii="GHEA Grapalat" w:hAnsi="GHEA Grapalat"/>
          <w:bCs/>
          <w:iCs/>
          <w:color w:val="000000"/>
          <w:sz w:val="20"/>
          <w:szCs w:val="20"/>
        </w:rPr>
        <w:t xml:space="preserve">of AMD </w:t>
      </w:r>
      <w:r>
        <w:rPr>
          <w:rFonts w:ascii="GHEA Grapalat" w:hAnsi="GHEA Grapalat"/>
          <w:bCs/>
          <w:iCs/>
          <w:color w:val="000000"/>
          <w:sz w:val="20"/>
          <w:szCs w:val="20"/>
        </w:rPr>
        <w:t>3</w:t>
      </w:r>
      <w:r w:rsidRPr="00B02DC0">
        <w:rPr>
          <w:rFonts w:ascii="GHEA Grapalat" w:hAnsi="GHEA Grapalat"/>
          <w:bCs/>
          <w:iCs/>
          <w:color w:val="000000"/>
          <w:sz w:val="20"/>
          <w:szCs w:val="20"/>
        </w:rPr>
        <w:t>8.</w:t>
      </w:r>
      <w:r>
        <w:rPr>
          <w:rFonts w:ascii="GHEA Grapalat" w:hAnsi="GHEA Grapalat"/>
          <w:bCs/>
          <w:iCs/>
          <w:color w:val="000000"/>
          <w:sz w:val="20"/>
          <w:szCs w:val="20"/>
        </w:rPr>
        <w:t>0</w:t>
      </w:r>
      <w:r w:rsidRPr="00B02DC0">
        <w:rPr>
          <w:rFonts w:ascii="GHEA Grapalat" w:hAnsi="GHEA Grapalat"/>
          <w:bCs/>
          <w:iCs/>
          <w:color w:val="000000"/>
          <w:sz w:val="20"/>
          <w:szCs w:val="20"/>
        </w:rPr>
        <w:t xml:space="preserve"> billion in the f</w:t>
      </w:r>
      <w:r>
        <w:rPr>
          <w:rFonts w:ascii="GHEA Grapalat" w:hAnsi="GHEA Grapalat"/>
          <w:bCs/>
          <w:iCs/>
          <w:color w:val="000000"/>
          <w:sz w:val="20"/>
          <w:szCs w:val="20"/>
        </w:rPr>
        <w:t xml:space="preserve">irst </w:t>
      </w:r>
      <w:r w:rsidRPr="00B02DC0">
        <w:rPr>
          <w:rFonts w:ascii="GHEA Grapalat" w:hAnsi="GHEA Grapalat"/>
          <w:bCs/>
          <w:iCs/>
          <w:color w:val="000000"/>
          <w:sz w:val="20"/>
          <w:szCs w:val="20"/>
        </w:rPr>
        <w:t>quarter of 20</w:t>
      </w:r>
      <w:r>
        <w:rPr>
          <w:rFonts w:ascii="GHEA Grapalat" w:hAnsi="GHEA Grapalat"/>
          <w:bCs/>
          <w:iCs/>
          <w:color w:val="000000"/>
          <w:sz w:val="20"/>
          <w:szCs w:val="20"/>
        </w:rPr>
        <w:t>20</w:t>
      </w:r>
      <w:r w:rsidRPr="00B02DC0">
        <w:rPr>
          <w:rFonts w:ascii="GHEA Grapalat" w:hAnsi="GHEA Grapalat"/>
          <w:bCs/>
          <w:iCs/>
          <w:color w:val="000000"/>
          <w:sz w:val="20"/>
          <w:szCs w:val="20"/>
        </w:rPr>
        <w:t xml:space="preserve">, which </w:t>
      </w:r>
      <w:r>
        <w:rPr>
          <w:rFonts w:ascii="GHEA Grapalat" w:hAnsi="GHEA Grapalat"/>
          <w:bCs/>
          <w:iCs/>
          <w:color w:val="000000"/>
          <w:sz w:val="20"/>
          <w:szCs w:val="20"/>
        </w:rPr>
        <w:t xml:space="preserve">is </w:t>
      </w:r>
      <w:r w:rsidRPr="00B02DC0">
        <w:rPr>
          <w:rFonts w:ascii="GHEA Grapalat" w:hAnsi="GHEA Grapalat"/>
          <w:bCs/>
          <w:iCs/>
          <w:color w:val="000000"/>
          <w:sz w:val="20"/>
          <w:szCs w:val="20"/>
        </w:rPr>
        <w:t xml:space="preserve">roughly </w:t>
      </w:r>
      <w:r>
        <w:rPr>
          <w:rFonts w:ascii="GHEA Grapalat" w:hAnsi="GHEA Grapalat"/>
          <w:bCs/>
          <w:iCs/>
          <w:color w:val="000000"/>
          <w:sz w:val="20"/>
          <w:szCs w:val="20"/>
        </w:rPr>
        <w:t>three times the Central Bank’s projection of the surplus figure</w:t>
      </w:r>
      <w:r w:rsidRPr="00B02DC0">
        <w:rPr>
          <w:rFonts w:ascii="GHEA Grapalat" w:hAnsi="GHEA Grapalat"/>
          <w:bCs/>
          <w:iCs/>
          <w:color w:val="000000"/>
          <w:sz w:val="20"/>
          <w:szCs w:val="20"/>
        </w:rPr>
        <w:t>.</w:t>
      </w:r>
      <w:r>
        <w:rPr>
          <w:rFonts w:ascii="GHEA Grapalat" w:hAnsi="GHEA Grapalat"/>
          <w:bCs/>
          <w:iCs/>
          <w:color w:val="000000"/>
          <w:sz w:val="20"/>
          <w:szCs w:val="20"/>
        </w:rPr>
        <w:t xml:space="preserve"> Local budgets have reported surpluses too, so the consolidated budget surplus totaled AMD 46.3 billion.</w:t>
      </w:r>
    </w:p>
    <w:p w14:paraId="7EDC96F9" w14:textId="77777777" w:rsidR="004F213F" w:rsidRPr="00692E26" w:rsidRDefault="004F213F" w:rsidP="004F213F">
      <w:pPr>
        <w:spacing w:line="340" w:lineRule="atLeast"/>
        <w:ind w:firstLine="284"/>
        <w:rPr>
          <w:rFonts w:ascii="GHEA Grapalat" w:hAnsi="GHEA Grapalat" w:cs="Sylfaen"/>
          <w:bCs/>
          <w:iCs/>
          <w:color w:val="000000" w:themeColor="text1"/>
          <w:sz w:val="50"/>
          <w:szCs w:val="20"/>
          <w:lang w:val="hy-AM"/>
        </w:rPr>
      </w:pPr>
    </w:p>
    <w:p w14:paraId="6F98D7F3" w14:textId="77777777" w:rsidR="004F213F" w:rsidRPr="00BC7ECF" w:rsidRDefault="004F213F" w:rsidP="004F213F">
      <w:pPr>
        <w:tabs>
          <w:tab w:val="left" w:pos="600"/>
        </w:tabs>
        <w:spacing w:after="120" w:line="300" w:lineRule="atLeast"/>
        <w:ind w:firstLine="284"/>
        <w:jc w:val="both"/>
        <w:rPr>
          <w:rFonts w:ascii="GHEA Grapalat" w:hAnsi="GHEA Grapalat" w:cs="Sylfaen"/>
          <w:b/>
          <w:iCs/>
          <w:color w:val="1F497D"/>
          <w:sz w:val="20"/>
          <w:szCs w:val="20"/>
          <w:vertAlign w:val="superscript"/>
          <w:lang w:val="hy-AM"/>
        </w:rPr>
      </w:pPr>
      <w:r w:rsidRPr="00BC7ECF">
        <w:rPr>
          <w:rFonts w:ascii="GHEA Grapalat" w:hAnsi="GHEA Grapalat" w:cs="Sylfaen"/>
          <w:b/>
          <w:iCs/>
          <w:color w:val="1F497D"/>
          <w:sz w:val="20"/>
          <w:szCs w:val="20"/>
          <w:lang w:val="hy-AM"/>
        </w:rPr>
        <w:t xml:space="preserve">3.2.3. </w:t>
      </w:r>
      <w:r w:rsidRPr="00D24D52">
        <w:rPr>
          <w:rFonts w:ascii="GHEA Grapalat" w:hAnsi="GHEA Grapalat" w:cs="Sylfaen"/>
          <w:b/>
          <w:iCs/>
          <w:color w:val="1F497D"/>
          <w:sz w:val="20"/>
          <w:szCs w:val="20"/>
          <w:lang w:val="hy-AM"/>
        </w:rPr>
        <w:t>The production aspect of the economy</w:t>
      </w:r>
    </w:p>
    <w:p w14:paraId="55A16B1B" w14:textId="77777777" w:rsidR="004F213F" w:rsidRDefault="004F213F" w:rsidP="004F213F">
      <w:pPr>
        <w:spacing w:line="340" w:lineRule="atLeast"/>
        <w:ind w:firstLine="284"/>
        <w:rPr>
          <w:rFonts w:ascii="GHEA Grapalat" w:hAnsi="GHEA Grapalat"/>
          <w:sz w:val="20"/>
          <w:szCs w:val="20"/>
        </w:rPr>
      </w:pPr>
      <w:r w:rsidRPr="00B02DC0">
        <w:rPr>
          <w:rFonts w:ascii="GHEA Grapalat" w:hAnsi="GHEA Grapalat"/>
          <w:sz w:val="20"/>
          <w:szCs w:val="20"/>
        </w:rPr>
        <w:t>In the f</w:t>
      </w:r>
      <w:r>
        <w:rPr>
          <w:rFonts w:ascii="GHEA Grapalat" w:hAnsi="GHEA Grapalat"/>
          <w:sz w:val="20"/>
          <w:szCs w:val="20"/>
        </w:rPr>
        <w:t>irst q</w:t>
      </w:r>
      <w:r w:rsidRPr="00B02DC0">
        <w:rPr>
          <w:rFonts w:ascii="GHEA Grapalat" w:hAnsi="GHEA Grapalat"/>
          <w:sz w:val="20"/>
          <w:szCs w:val="20"/>
        </w:rPr>
        <w:t>uarter of 20</w:t>
      </w:r>
      <w:r>
        <w:rPr>
          <w:rFonts w:ascii="GHEA Grapalat" w:hAnsi="GHEA Grapalat"/>
          <w:sz w:val="20"/>
          <w:szCs w:val="20"/>
        </w:rPr>
        <w:t>20</w:t>
      </w:r>
      <w:r w:rsidRPr="00B02DC0">
        <w:rPr>
          <w:rFonts w:ascii="GHEA Grapalat" w:hAnsi="GHEA Grapalat"/>
          <w:sz w:val="20"/>
          <w:szCs w:val="20"/>
        </w:rPr>
        <w:t xml:space="preserve"> the GDP grew by </w:t>
      </w:r>
      <w:r>
        <w:rPr>
          <w:rFonts w:ascii="GHEA Grapalat" w:hAnsi="GHEA Grapalat"/>
          <w:sz w:val="20"/>
          <w:szCs w:val="20"/>
        </w:rPr>
        <w:t>3</w:t>
      </w:r>
      <w:r w:rsidRPr="00B02DC0">
        <w:rPr>
          <w:rFonts w:ascii="GHEA Grapalat" w:hAnsi="GHEA Grapalat"/>
          <w:sz w:val="20"/>
          <w:szCs w:val="20"/>
        </w:rPr>
        <w:t>.</w:t>
      </w:r>
      <w:r>
        <w:rPr>
          <w:rFonts w:ascii="GHEA Grapalat" w:hAnsi="GHEA Grapalat"/>
          <w:sz w:val="20"/>
          <w:szCs w:val="20"/>
        </w:rPr>
        <w:t>8</w:t>
      </w:r>
      <w:r w:rsidRPr="00B02DC0">
        <w:rPr>
          <w:rFonts w:ascii="GHEA Grapalat" w:hAnsi="GHEA Grapalat"/>
          <w:sz w:val="20"/>
          <w:szCs w:val="20"/>
        </w:rPr>
        <w:t xml:space="preserve">%, which is </w:t>
      </w:r>
      <w:r>
        <w:rPr>
          <w:rFonts w:ascii="GHEA Grapalat" w:hAnsi="GHEA Grapalat"/>
          <w:sz w:val="20"/>
          <w:szCs w:val="20"/>
        </w:rPr>
        <w:t xml:space="preserve">slightly below the projection outlined in the previous program. The deviation came after a more-than-expected decline in construction (-12.1%). It should be noted that the impact of the pandemic and economic restrictions has been factored in the previous forecast. The construction activity was suspended starting from March 27th, so the decline in the first quarter was a result of uncertainty rather than actual restrictions. Already in March, the decline was observable </w:t>
      </w:r>
      <w:r w:rsidRPr="00B02DC0">
        <w:rPr>
          <w:rFonts w:ascii="GHEA Grapalat" w:hAnsi="GHEA Grapalat"/>
          <w:sz w:val="20"/>
          <w:szCs w:val="20"/>
        </w:rPr>
        <w:t>in all sectors of the economy</w:t>
      </w:r>
      <w:r>
        <w:rPr>
          <w:rFonts w:ascii="GHEA Grapalat" w:hAnsi="GHEA Grapalat"/>
          <w:sz w:val="20"/>
          <w:szCs w:val="20"/>
        </w:rPr>
        <w:t xml:space="preserve">, except </w:t>
      </w:r>
      <w:r w:rsidRPr="00B02DC0">
        <w:rPr>
          <w:rFonts w:ascii="GHEA Grapalat" w:hAnsi="GHEA Grapalat"/>
          <w:sz w:val="20"/>
          <w:szCs w:val="20"/>
        </w:rPr>
        <w:t xml:space="preserve">agriculture </w:t>
      </w:r>
      <w:r>
        <w:rPr>
          <w:rFonts w:ascii="GHEA Grapalat" w:hAnsi="GHEA Grapalat"/>
          <w:sz w:val="20"/>
          <w:szCs w:val="20"/>
        </w:rPr>
        <w:t>which suffered the least from the spread of the pandemic and taking of anti-</w:t>
      </w:r>
      <w:r>
        <w:rPr>
          <w:rFonts w:ascii="GHEA Grapalat" w:hAnsi="GHEA Grapalat"/>
          <w:sz w:val="20"/>
          <w:szCs w:val="20"/>
        </w:rPr>
        <w:lastRenderedPageBreak/>
        <w:t xml:space="preserve">pandemic measures. However, the first quarter’s economic growth remained in a positive territory owing to the January-February strong growth, </w:t>
      </w:r>
      <w:r w:rsidRPr="00B02DC0">
        <w:rPr>
          <w:rFonts w:ascii="GHEA Grapalat" w:hAnsi="GHEA Grapalat"/>
          <w:sz w:val="20"/>
          <w:szCs w:val="20"/>
        </w:rPr>
        <w:t xml:space="preserve">with </w:t>
      </w:r>
      <w:r>
        <w:rPr>
          <w:rFonts w:ascii="GHEA Grapalat" w:hAnsi="GHEA Grapalat"/>
          <w:sz w:val="20"/>
          <w:szCs w:val="20"/>
        </w:rPr>
        <w:t xml:space="preserve">agriculture reporting 4.4% growth and services and industry reporting 5.1% and 2.1% growths, respectively, for the first quarter. </w:t>
      </w:r>
    </w:p>
    <w:p w14:paraId="2C96BEF4" w14:textId="77777777" w:rsidR="004F213F" w:rsidRDefault="004F213F" w:rsidP="004F213F">
      <w:pPr>
        <w:spacing w:line="340" w:lineRule="atLeast"/>
        <w:ind w:firstLine="284"/>
        <w:rPr>
          <w:rFonts w:ascii="GHEA Grapalat" w:hAnsi="GHEA Grapalat" w:cs="Sylfaen"/>
          <w:bCs/>
          <w:iCs/>
          <w:sz w:val="20"/>
          <w:szCs w:val="20"/>
          <w:lang w:val="hy-AM"/>
        </w:rPr>
      </w:pPr>
      <w:r>
        <w:rPr>
          <w:rFonts w:ascii="GHEA Grapalat" w:hAnsi="GHEA Grapalat"/>
          <w:sz w:val="20"/>
          <w:szCs w:val="20"/>
        </w:rPr>
        <w:t>In April, relative to the same reference period last year, the decline in economic activity in the face of the pandemic and strict anti-pandemic measures reached 17.2%, induced by slumps in construction (50.1%), trade (33.1%), services (15.9%), industry (8.6%), and agriculture (2.3%).</w:t>
      </w:r>
    </w:p>
    <w:p w14:paraId="2E286FCF" w14:textId="77777777" w:rsidR="004F213F" w:rsidRDefault="004F213F" w:rsidP="004F213F">
      <w:pPr>
        <w:spacing w:line="340" w:lineRule="atLeast"/>
        <w:ind w:firstLine="284"/>
        <w:rPr>
          <w:rFonts w:ascii="GHEA Grapalat" w:hAnsi="GHEA Grapalat" w:cs="Sylfaen"/>
          <w:bCs/>
          <w:iCs/>
          <w:sz w:val="20"/>
          <w:szCs w:val="20"/>
          <w:lang w:val="hy-AM"/>
        </w:rPr>
      </w:pPr>
    </w:p>
    <w:p w14:paraId="60561185" w14:textId="77777777" w:rsidR="004F213F" w:rsidRDefault="004F213F" w:rsidP="004F213F">
      <w:pPr>
        <w:tabs>
          <w:tab w:val="left" w:pos="600"/>
        </w:tabs>
        <w:spacing w:line="320" w:lineRule="atLeast"/>
        <w:ind w:firstLine="284"/>
        <w:jc w:val="both"/>
        <w:rPr>
          <w:rFonts w:ascii="GHEA Grapalat" w:hAnsi="GHEA Grapalat" w:cs="Sylfaen"/>
          <w:b/>
          <w:iCs/>
          <w:color w:val="1F497D"/>
          <w:sz w:val="20"/>
          <w:szCs w:val="20"/>
          <w:lang w:val="hy-AM"/>
        </w:rPr>
      </w:pPr>
    </w:p>
    <w:p w14:paraId="60EAF36E" w14:textId="77777777" w:rsidR="004F213F" w:rsidRDefault="004F213F" w:rsidP="004F213F">
      <w:pPr>
        <w:tabs>
          <w:tab w:val="left" w:pos="600"/>
        </w:tabs>
        <w:spacing w:line="320" w:lineRule="atLeast"/>
        <w:ind w:firstLine="284"/>
        <w:jc w:val="both"/>
        <w:rPr>
          <w:rFonts w:ascii="GHEA Grapalat" w:hAnsi="GHEA Grapalat" w:cs="Sylfaen"/>
          <w:b/>
          <w:iCs/>
          <w:color w:val="1F497D"/>
          <w:sz w:val="20"/>
          <w:szCs w:val="20"/>
          <w:lang w:val="hy-AM"/>
        </w:rPr>
      </w:pPr>
    </w:p>
    <w:p w14:paraId="3089B42E" w14:textId="77777777" w:rsidR="004F213F" w:rsidRPr="00F6223E" w:rsidRDefault="004F213F" w:rsidP="004F213F">
      <w:pPr>
        <w:tabs>
          <w:tab w:val="left" w:pos="600"/>
        </w:tabs>
        <w:spacing w:line="320" w:lineRule="atLeast"/>
        <w:ind w:firstLine="284"/>
        <w:jc w:val="both"/>
        <w:rPr>
          <w:rFonts w:ascii="GHEA Grapalat" w:hAnsi="GHEA Grapalat" w:cs="Sylfaen"/>
          <w:b/>
          <w:iCs/>
          <w:color w:val="1F497D"/>
          <w:sz w:val="20"/>
          <w:szCs w:val="20"/>
          <w:lang w:val="hy-AM"/>
        </w:rPr>
      </w:pPr>
      <w:r w:rsidRPr="007A4BC0">
        <w:rPr>
          <w:rFonts w:ascii="GHEA Grapalat" w:hAnsi="GHEA Grapalat" w:cs="Sylfaen"/>
          <w:b/>
          <w:iCs/>
          <w:color w:val="1F497D"/>
          <w:sz w:val="20"/>
          <w:szCs w:val="20"/>
          <w:lang w:val="hy-AM"/>
        </w:rPr>
        <w:t xml:space="preserve">3.2.4. </w:t>
      </w:r>
      <w:r w:rsidRPr="00D24D52">
        <w:rPr>
          <w:rFonts w:ascii="GHEA Grapalat" w:hAnsi="GHEA Grapalat" w:cs="Sylfaen"/>
          <w:b/>
          <w:iCs/>
          <w:color w:val="1F497D"/>
          <w:sz w:val="20"/>
          <w:szCs w:val="20"/>
          <w:lang w:val="hy-AM"/>
        </w:rPr>
        <w:t>Labor market</w:t>
      </w:r>
    </w:p>
    <w:p w14:paraId="2DD20DCC" w14:textId="77777777" w:rsidR="004F213F" w:rsidRDefault="004F213F" w:rsidP="004F213F">
      <w:pPr>
        <w:spacing w:line="320" w:lineRule="atLeast"/>
        <w:ind w:firstLine="284"/>
        <w:jc w:val="both"/>
        <w:rPr>
          <w:rFonts w:ascii="GHEA Grapalat" w:hAnsi="GHEA Grapalat" w:cs="Sylfaen"/>
          <w:bCs/>
          <w:iCs/>
          <w:sz w:val="20"/>
          <w:szCs w:val="20"/>
          <w:lang w:val="hy-AM"/>
        </w:rPr>
      </w:pPr>
    </w:p>
    <w:p w14:paraId="6E6810B7" w14:textId="77777777" w:rsidR="004F213F" w:rsidRPr="00F6223E" w:rsidRDefault="004F213F" w:rsidP="004F213F">
      <w:pPr>
        <w:spacing w:line="340" w:lineRule="atLeast"/>
        <w:ind w:firstLine="284"/>
        <w:rPr>
          <w:rFonts w:ascii="GHEA Grapalat" w:hAnsi="GHEA Grapalat" w:cs="Sylfaen"/>
          <w:bCs/>
          <w:iCs/>
          <w:sz w:val="20"/>
          <w:szCs w:val="20"/>
          <w:lang w:val="hy-AM"/>
        </w:rPr>
      </w:pPr>
      <w:r w:rsidRPr="00B02DC0">
        <w:rPr>
          <w:rFonts w:ascii="GHEA Grapalat" w:hAnsi="GHEA Grapalat"/>
          <w:sz w:val="20"/>
          <w:szCs w:val="20"/>
        </w:rPr>
        <w:t>In the f</w:t>
      </w:r>
      <w:r>
        <w:rPr>
          <w:rFonts w:ascii="GHEA Grapalat" w:hAnsi="GHEA Grapalat"/>
          <w:sz w:val="20"/>
          <w:szCs w:val="20"/>
        </w:rPr>
        <w:t>irst</w:t>
      </w:r>
      <w:r w:rsidRPr="00B02DC0">
        <w:rPr>
          <w:rFonts w:ascii="GHEA Grapalat" w:hAnsi="GHEA Grapalat"/>
          <w:sz w:val="20"/>
          <w:szCs w:val="20"/>
        </w:rPr>
        <w:t xml:space="preserve"> quarter of 20</w:t>
      </w:r>
      <w:r>
        <w:rPr>
          <w:rFonts w:ascii="GHEA Grapalat" w:hAnsi="GHEA Grapalat"/>
          <w:sz w:val="20"/>
          <w:szCs w:val="20"/>
        </w:rPr>
        <w:t>20</w:t>
      </w:r>
      <w:r w:rsidRPr="00B02DC0">
        <w:rPr>
          <w:rFonts w:ascii="GHEA Grapalat" w:hAnsi="GHEA Grapalat"/>
          <w:sz w:val="20"/>
          <w:szCs w:val="20"/>
        </w:rPr>
        <w:t xml:space="preserve">, </w:t>
      </w:r>
      <w:r>
        <w:rPr>
          <w:rFonts w:ascii="GHEA Grapalat" w:hAnsi="GHEA Grapalat"/>
          <w:sz w:val="20"/>
          <w:szCs w:val="20"/>
        </w:rPr>
        <w:t xml:space="preserve">economic growth was concomitant with </w:t>
      </w:r>
      <w:r w:rsidRPr="00B02DC0">
        <w:rPr>
          <w:rFonts w:ascii="GHEA Grapalat" w:hAnsi="GHEA Grapalat"/>
          <w:sz w:val="20"/>
          <w:szCs w:val="20"/>
        </w:rPr>
        <w:t xml:space="preserve">the </w:t>
      </w:r>
      <w:r>
        <w:rPr>
          <w:rFonts w:ascii="GHEA Grapalat" w:hAnsi="GHEA Grapalat"/>
          <w:sz w:val="20"/>
          <w:szCs w:val="20"/>
        </w:rPr>
        <w:t xml:space="preserve">labor productivity growth of 1.2%. This positively affected the </w:t>
      </w:r>
      <w:r w:rsidRPr="00B02DC0">
        <w:rPr>
          <w:rFonts w:ascii="GHEA Grapalat" w:hAnsi="GHEA Grapalat"/>
          <w:sz w:val="20"/>
          <w:szCs w:val="20"/>
        </w:rPr>
        <w:t>private sector nominal wage growth rate</w:t>
      </w:r>
      <w:r>
        <w:rPr>
          <w:rFonts w:ascii="GHEA Grapalat" w:hAnsi="GHEA Grapalat"/>
          <w:sz w:val="20"/>
          <w:szCs w:val="20"/>
        </w:rPr>
        <w:t xml:space="preserve"> which resides within 7.7% </w:t>
      </w:r>
      <w:r w:rsidRPr="00B02DC0">
        <w:rPr>
          <w:rFonts w:ascii="GHEA Grapalat" w:hAnsi="GHEA Grapalat"/>
          <w:sz w:val="20"/>
          <w:szCs w:val="20"/>
        </w:rPr>
        <w:t xml:space="preserve">- slightly </w:t>
      </w:r>
      <w:r>
        <w:rPr>
          <w:rFonts w:ascii="GHEA Grapalat" w:hAnsi="GHEA Grapalat"/>
          <w:sz w:val="20"/>
          <w:szCs w:val="20"/>
        </w:rPr>
        <w:t>above</w:t>
      </w:r>
      <w:r w:rsidRPr="00B02DC0">
        <w:rPr>
          <w:rFonts w:ascii="GHEA Grapalat" w:hAnsi="GHEA Grapalat"/>
          <w:sz w:val="20"/>
          <w:szCs w:val="20"/>
        </w:rPr>
        <w:t xml:space="preserve"> </w:t>
      </w:r>
      <w:r>
        <w:rPr>
          <w:rFonts w:ascii="GHEA Grapalat" w:hAnsi="GHEA Grapalat"/>
          <w:sz w:val="20"/>
          <w:szCs w:val="20"/>
        </w:rPr>
        <w:t xml:space="preserve">the </w:t>
      </w:r>
      <w:r w:rsidRPr="00B02DC0">
        <w:rPr>
          <w:rFonts w:ascii="GHEA Grapalat" w:hAnsi="GHEA Grapalat"/>
          <w:sz w:val="20"/>
          <w:szCs w:val="20"/>
        </w:rPr>
        <w:t>previous forecast by the Central Bank</w:t>
      </w:r>
      <w:r>
        <w:rPr>
          <w:rFonts w:ascii="GHEA Grapalat" w:hAnsi="GHEA Grapalat"/>
          <w:sz w:val="20"/>
          <w:szCs w:val="20"/>
        </w:rPr>
        <w:t>.</w:t>
      </w:r>
      <w:r w:rsidRPr="00B02DC0">
        <w:rPr>
          <w:rFonts w:ascii="GHEA Grapalat" w:hAnsi="GHEA Grapalat"/>
          <w:sz w:val="20"/>
          <w:szCs w:val="20"/>
        </w:rPr>
        <w:t xml:space="preserve"> </w:t>
      </w:r>
      <w:r>
        <w:rPr>
          <w:rFonts w:ascii="GHEA Grapalat" w:hAnsi="GHEA Grapalat"/>
          <w:sz w:val="20"/>
          <w:szCs w:val="20"/>
        </w:rPr>
        <w:t xml:space="preserve">Note that acceleration of the growth of private sector wage was bolstered also by the minimum salary rise effective from January 2020. </w:t>
      </w:r>
      <w:r w:rsidRPr="00B02DC0">
        <w:rPr>
          <w:rFonts w:ascii="GHEA Grapalat" w:hAnsi="GHEA Grapalat"/>
          <w:sz w:val="20"/>
          <w:szCs w:val="20"/>
        </w:rPr>
        <w:t xml:space="preserve">As a result, </w:t>
      </w:r>
      <w:r>
        <w:rPr>
          <w:rFonts w:ascii="GHEA Grapalat" w:hAnsi="GHEA Grapalat"/>
          <w:sz w:val="20"/>
          <w:szCs w:val="20"/>
        </w:rPr>
        <w:t xml:space="preserve">the low inflation has facilitated the real private sector wage growth as well. </w:t>
      </w:r>
    </w:p>
    <w:p w14:paraId="295632DE" w14:textId="77777777" w:rsidR="004F213F" w:rsidRDefault="004F213F" w:rsidP="004F213F">
      <w:pPr>
        <w:spacing w:line="340" w:lineRule="atLeast"/>
        <w:ind w:firstLine="284"/>
        <w:rPr>
          <w:rFonts w:ascii="GHEA Grapalat" w:hAnsi="GHEA Grapalat" w:cs="Sylfaen"/>
          <w:bCs/>
          <w:iCs/>
          <w:sz w:val="20"/>
          <w:szCs w:val="20"/>
          <w:lang w:val="hy-AM"/>
        </w:rPr>
      </w:pPr>
      <w:r w:rsidRPr="00C70CF3">
        <w:rPr>
          <w:rFonts w:ascii="GHEA Grapalat" w:hAnsi="GHEA Grapalat"/>
          <w:sz w:val="20"/>
          <w:szCs w:val="20"/>
        </w:rPr>
        <w:t xml:space="preserve">With </w:t>
      </w:r>
      <w:r>
        <w:rPr>
          <w:rFonts w:ascii="GHEA Grapalat" w:hAnsi="GHEA Grapalat"/>
          <w:sz w:val="20"/>
          <w:szCs w:val="20"/>
        </w:rPr>
        <w:t xml:space="preserve">economic growth and productivity developments described above, </w:t>
      </w:r>
      <w:r w:rsidRPr="00B02DC0">
        <w:rPr>
          <w:rFonts w:ascii="GHEA Grapalat" w:hAnsi="GHEA Grapalat"/>
          <w:sz w:val="20"/>
          <w:szCs w:val="20"/>
        </w:rPr>
        <w:t>the unemployment rate in the f</w:t>
      </w:r>
      <w:r>
        <w:rPr>
          <w:rFonts w:ascii="GHEA Grapalat" w:hAnsi="GHEA Grapalat"/>
          <w:sz w:val="20"/>
          <w:szCs w:val="20"/>
        </w:rPr>
        <w:t xml:space="preserve">irst </w:t>
      </w:r>
      <w:r w:rsidRPr="00B02DC0">
        <w:rPr>
          <w:rFonts w:ascii="GHEA Grapalat" w:hAnsi="GHEA Grapalat"/>
          <w:sz w:val="20"/>
          <w:szCs w:val="20"/>
        </w:rPr>
        <w:t>quarter of 20</w:t>
      </w:r>
      <w:r>
        <w:rPr>
          <w:rFonts w:ascii="GHEA Grapalat" w:hAnsi="GHEA Grapalat"/>
          <w:sz w:val="20"/>
          <w:szCs w:val="20"/>
        </w:rPr>
        <w:t>20</w:t>
      </w:r>
      <w:r w:rsidRPr="00B02DC0">
        <w:rPr>
          <w:rFonts w:ascii="GHEA Grapalat" w:hAnsi="GHEA Grapalat"/>
          <w:sz w:val="20"/>
          <w:szCs w:val="20"/>
        </w:rPr>
        <w:t xml:space="preserve"> is an estimated 17.8%, which is in line with previous forecasts.</w:t>
      </w:r>
    </w:p>
    <w:p w14:paraId="6AEA482F" w14:textId="77777777" w:rsidR="004F213F" w:rsidRDefault="004F213F" w:rsidP="004F213F">
      <w:pPr>
        <w:spacing w:line="340" w:lineRule="atLeast"/>
        <w:ind w:firstLine="284"/>
        <w:rPr>
          <w:rFonts w:ascii="GHEA Grapalat" w:hAnsi="GHEA Grapalat" w:cs="Arial"/>
          <w:bCs/>
          <w:sz w:val="20"/>
          <w:szCs w:val="20"/>
          <w:lang w:val="hy-AM"/>
        </w:rPr>
      </w:pPr>
      <w:r w:rsidRPr="00B02DC0">
        <w:rPr>
          <w:rFonts w:ascii="GHEA Grapalat" w:hAnsi="GHEA Grapalat"/>
          <w:sz w:val="20"/>
          <w:szCs w:val="20"/>
        </w:rPr>
        <w:t xml:space="preserve">In the </w:t>
      </w:r>
      <w:r>
        <w:rPr>
          <w:rFonts w:ascii="GHEA Grapalat" w:hAnsi="GHEA Grapalat"/>
          <w:sz w:val="20"/>
          <w:szCs w:val="20"/>
        </w:rPr>
        <w:t>period under review</w:t>
      </w:r>
      <w:r w:rsidRPr="00B02DC0">
        <w:rPr>
          <w:rFonts w:ascii="GHEA Grapalat" w:hAnsi="GHEA Grapalat"/>
          <w:sz w:val="20"/>
          <w:szCs w:val="20"/>
        </w:rPr>
        <w:t xml:space="preserve"> </w:t>
      </w:r>
      <w:r>
        <w:rPr>
          <w:rFonts w:ascii="GHEA Grapalat" w:hAnsi="GHEA Grapalat"/>
          <w:sz w:val="20"/>
          <w:szCs w:val="20"/>
        </w:rPr>
        <w:t xml:space="preserve">the </w:t>
      </w:r>
      <w:r w:rsidRPr="00B02DC0">
        <w:rPr>
          <w:rFonts w:ascii="GHEA Grapalat" w:hAnsi="GHEA Grapalat"/>
          <w:sz w:val="20"/>
          <w:szCs w:val="20"/>
        </w:rPr>
        <w:t xml:space="preserve">firms’ unit labor costs </w:t>
      </w:r>
      <w:r>
        <w:rPr>
          <w:rFonts w:ascii="GHEA Grapalat" w:hAnsi="GHEA Grapalat"/>
          <w:sz w:val="20"/>
          <w:szCs w:val="20"/>
        </w:rPr>
        <w:t xml:space="preserve">grew </w:t>
      </w:r>
      <w:r w:rsidRPr="00B02DC0">
        <w:rPr>
          <w:rFonts w:ascii="GHEA Grapalat" w:hAnsi="GHEA Grapalat"/>
          <w:sz w:val="20"/>
          <w:szCs w:val="20"/>
        </w:rPr>
        <w:t xml:space="preserve">by </w:t>
      </w:r>
      <w:r>
        <w:rPr>
          <w:rFonts w:ascii="GHEA Grapalat" w:hAnsi="GHEA Grapalat"/>
          <w:sz w:val="20"/>
          <w:szCs w:val="20"/>
        </w:rPr>
        <w:t>6</w:t>
      </w:r>
      <w:r w:rsidRPr="00B02DC0">
        <w:rPr>
          <w:rFonts w:ascii="GHEA Grapalat" w:hAnsi="GHEA Grapalat"/>
          <w:sz w:val="20"/>
          <w:szCs w:val="20"/>
        </w:rPr>
        <w:t>.</w:t>
      </w:r>
      <w:r>
        <w:rPr>
          <w:rFonts w:ascii="GHEA Grapalat" w:hAnsi="GHEA Grapalat"/>
          <w:sz w:val="20"/>
          <w:szCs w:val="20"/>
        </w:rPr>
        <w:t>5</w:t>
      </w:r>
      <w:r w:rsidRPr="00B02DC0">
        <w:rPr>
          <w:rFonts w:ascii="GHEA Grapalat" w:hAnsi="GHEA Grapalat"/>
          <w:sz w:val="20"/>
          <w:szCs w:val="20"/>
        </w:rPr>
        <w:t xml:space="preserve">%, with private wage growth rate </w:t>
      </w:r>
      <w:r>
        <w:rPr>
          <w:rFonts w:ascii="GHEA Grapalat" w:hAnsi="GHEA Grapalat"/>
          <w:sz w:val="20"/>
          <w:szCs w:val="20"/>
        </w:rPr>
        <w:t xml:space="preserve">pacing faster than the </w:t>
      </w:r>
      <w:r w:rsidRPr="00B02DC0">
        <w:rPr>
          <w:rFonts w:ascii="GHEA Grapalat" w:hAnsi="GHEA Grapalat"/>
          <w:sz w:val="20"/>
          <w:szCs w:val="20"/>
        </w:rPr>
        <w:t xml:space="preserve">output growth per unit of private </w:t>
      </w:r>
      <w:r w:rsidRPr="006B16D4">
        <w:rPr>
          <w:rFonts w:ascii="GHEA Grapalat" w:hAnsi="GHEA Grapalat"/>
          <w:sz w:val="20"/>
          <w:szCs w:val="20"/>
        </w:rPr>
        <w:t>labor</w:t>
      </w:r>
      <w:r w:rsidRPr="00B02DC0">
        <w:rPr>
          <w:rFonts w:ascii="GHEA Grapalat" w:hAnsi="GHEA Grapalat"/>
          <w:sz w:val="20"/>
          <w:szCs w:val="20"/>
        </w:rPr>
        <w:t>.</w:t>
      </w:r>
      <w:r>
        <w:rPr>
          <w:rFonts w:ascii="GHEA Grapalat" w:hAnsi="GHEA Grapalat"/>
          <w:sz w:val="20"/>
          <w:szCs w:val="20"/>
        </w:rPr>
        <w:t xml:space="preserve"> As a result,</w:t>
      </w:r>
      <w:r w:rsidRPr="006B16D4">
        <w:rPr>
          <w:rFonts w:ascii="GHEA Grapalat" w:hAnsi="GHEA Grapalat"/>
          <w:sz w:val="20"/>
          <w:szCs w:val="20"/>
        </w:rPr>
        <w:t xml:space="preserve"> weak inflationary pressures from the labor market are observ</w:t>
      </w:r>
      <w:r>
        <w:rPr>
          <w:rFonts w:ascii="GHEA Grapalat" w:hAnsi="GHEA Grapalat"/>
          <w:sz w:val="20"/>
          <w:szCs w:val="20"/>
        </w:rPr>
        <w:t>able</w:t>
      </w:r>
      <w:r w:rsidRPr="006B16D4">
        <w:rPr>
          <w:rFonts w:ascii="GHEA Grapalat" w:hAnsi="GHEA Grapalat"/>
          <w:sz w:val="20"/>
          <w:szCs w:val="20"/>
        </w:rPr>
        <w:t>.</w:t>
      </w:r>
    </w:p>
    <w:p w14:paraId="38E0359A" w14:textId="77777777" w:rsidR="004F213F" w:rsidRPr="007A4BC0" w:rsidRDefault="004F213F" w:rsidP="004F213F">
      <w:pPr>
        <w:tabs>
          <w:tab w:val="left" w:pos="600"/>
        </w:tabs>
        <w:spacing w:line="270" w:lineRule="atLeast"/>
        <w:jc w:val="both"/>
        <w:rPr>
          <w:rFonts w:ascii="GHEA Grapalat" w:hAnsi="GHEA Grapalat"/>
          <w:b/>
          <w:color w:val="1F497D"/>
          <w:spacing w:val="20"/>
          <w:sz w:val="20"/>
          <w:szCs w:val="20"/>
          <w:lang w:val="hy-AM"/>
        </w:rPr>
      </w:pPr>
    </w:p>
    <w:p w14:paraId="0C751876" w14:textId="77777777" w:rsidR="004F213F" w:rsidRPr="007A4BC0" w:rsidRDefault="004F213F" w:rsidP="004F213F">
      <w:pPr>
        <w:tabs>
          <w:tab w:val="left" w:pos="600"/>
        </w:tabs>
        <w:spacing w:line="270" w:lineRule="atLeast"/>
        <w:jc w:val="both"/>
        <w:rPr>
          <w:rFonts w:ascii="GHEA Grapalat" w:hAnsi="GHEA Grapalat"/>
          <w:b/>
          <w:color w:val="1F497D"/>
          <w:spacing w:val="20"/>
          <w:sz w:val="20"/>
          <w:szCs w:val="20"/>
          <w:lang w:val="hy-AM"/>
        </w:rPr>
      </w:pPr>
    </w:p>
    <w:p w14:paraId="03380D3C" w14:textId="77777777" w:rsidR="004F213F" w:rsidRPr="007A4BC0" w:rsidRDefault="004F213F" w:rsidP="004F213F">
      <w:pPr>
        <w:tabs>
          <w:tab w:val="left" w:pos="600"/>
        </w:tabs>
        <w:spacing w:line="270" w:lineRule="atLeast"/>
        <w:jc w:val="both"/>
        <w:rPr>
          <w:rFonts w:ascii="GHEA Grapalat" w:hAnsi="GHEA Grapalat"/>
          <w:b/>
          <w:color w:val="1F497D"/>
          <w:spacing w:val="20"/>
          <w:sz w:val="20"/>
          <w:szCs w:val="20"/>
          <w:lang w:val="hy-AM"/>
        </w:rPr>
      </w:pPr>
    </w:p>
    <w:p w14:paraId="18606A46" w14:textId="77777777" w:rsidR="004F213F" w:rsidRPr="007A4BC0" w:rsidRDefault="004F213F" w:rsidP="004F213F">
      <w:pPr>
        <w:tabs>
          <w:tab w:val="left" w:pos="600"/>
        </w:tabs>
        <w:spacing w:line="270" w:lineRule="atLeast"/>
        <w:jc w:val="both"/>
        <w:rPr>
          <w:rFonts w:ascii="GHEA Grapalat" w:hAnsi="GHEA Grapalat"/>
          <w:b/>
          <w:color w:val="1F497D"/>
          <w:spacing w:val="20"/>
          <w:sz w:val="20"/>
          <w:szCs w:val="20"/>
          <w:lang w:val="hy-AM"/>
        </w:rPr>
      </w:pPr>
      <w:r w:rsidRPr="007A4BC0">
        <w:rPr>
          <w:rFonts w:ascii="GHEA Grapalat" w:hAnsi="GHEA Grapalat"/>
          <w:b/>
          <w:color w:val="1F497D"/>
          <w:spacing w:val="20"/>
          <w:sz w:val="20"/>
          <w:szCs w:val="20"/>
          <w:lang w:val="hy-AM"/>
        </w:rPr>
        <w:t xml:space="preserve">3.3. </w:t>
      </w:r>
      <w:r w:rsidRPr="00D24D52">
        <w:rPr>
          <w:rFonts w:ascii="GHEA Grapalat" w:hAnsi="GHEA Grapalat"/>
          <w:b/>
          <w:color w:val="1F497D"/>
          <w:spacing w:val="20"/>
          <w:sz w:val="20"/>
          <w:szCs w:val="20"/>
          <w:lang w:val="hy-AM"/>
        </w:rPr>
        <w:t>Financial market developments</w:t>
      </w:r>
    </w:p>
    <w:p w14:paraId="45D9D11B" w14:textId="77777777" w:rsidR="004F213F" w:rsidRPr="007A4BC0" w:rsidRDefault="004F213F" w:rsidP="004F213F">
      <w:pPr>
        <w:tabs>
          <w:tab w:val="left" w:pos="600"/>
        </w:tabs>
        <w:spacing w:line="270" w:lineRule="atLeast"/>
        <w:jc w:val="both"/>
        <w:rPr>
          <w:rFonts w:ascii="GHEA Grapalat" w:hAnsi="GHEA Grapalat"/>
          <w:b/>
          <w:color w:val="1F497D"/>
          <w:spacing w:val="20"/>
          <w:sz w:val="20"/>
          <w:szCs w:val="20"/>
          <w:lang w:val="hy-AM"/>
        </w:rPr>
      </w:pPr>
    </w:p>
    <w:p w14:paraId="2DB9E6A1" w14:textId="77777777" w:rsidR="004F213F" w:rsidRDefault="004F213F" w:rsidP="004F213F">
      <w:pPr>
        <w:spacing w:after="120" w:line="320" w:lineRule="atLeast"/>
        <w:rPr>
          <w:rFonts w:ascii="GHEA Grapalat" w:eastAsia="Calibri" w:hAnsi="GHEA Grapalat"/>
          <w:sz w:val="20"/>
          <w:szCs w:val="20"/>
          <w:lang w:val="hy-AM"/>
        </w:rPr>
      </w:pPr>
      <w:r>
        <w:rPr>
          <w:rFonts w:ascii="GHEA Grapalat" w:eastAsia="Calibri" w:hAnsi="GHEA Grapalat"/>
          <w:sz w:val="20"/>
          <w:szCs w:val="20"/>
        </w:rPr>
        <w:t>I</w:t>
      </w:r>
      <w:r w:rsidRPr="00673BBE">
        <w:rPr>
          <w:rFonts w:ascii="GHEA Grapalat" w:eastAsia="Calibri" w:hAnsi="GHEA Grapalat"/>
          <w:sz w:val="20"/>
          <w:szCs w:val="20"/>
          <w:lang w:val="hy-AM"/>
        </w:rPr>
        <w:t>n the first quarter</w:t>
      </w:r>
      <w:r>
        <w:rPr>
          <w:rFonts w:ascii="GHEA Grapalat" w:eastAsia="Calibri" w:hAnsi="GHEA Grapalat"/>
          <w:sz w:val="20"/>
          <w:szCs w:val="20"/>
        </w:rPr>
        <w:t xml:space="preserve"> of 2020 the u</w:t>
      </w:r>
      <w:r w:rsidRPr="00673BBE">
        <w:rPr>
          <w:rFonts w:ascii="GHEA Grapalat" w:eastAsia="Calibri" w:hAnsi="GHEA Grapalat"/>
          <w:sz w:val="20"/>
          <w:szCs w:val="20"/>
          <w:lang w:val="hy-AM"/>
        </w:rPr>
        <w:t>ncertaint</w:t>
      </w:r>
      <w:r>
        <w:rPr>
          <w:rFonts w:ascii="GHEA Grapalat" w:eastAsia="Calibri" w:hAnsi="GHEA Grapalat"/>
          <w:sz w:val="20"/>
          <w:szCs w:val="20"/>
        </w:rPr>
        <w:t>y</w:t>
      </w:r>
      <w:r w:rsidRPr="00673BBE">
        <w:rPr>
          <w:rFonts w:ascii="GHEA Grapalat" w:eastAsia="Calibri" w:hAnsi="GHEA Grapalat"/>
          <w:sz w:val="20"/>
          <w:szCs w:val="20"/>
          <w:lang w:val="hy-AM"/>
        </w:rPr>
        <w:t xml:space="preserve"> caused by the spread of COVID-19 led to a sharp increase in demand for liquidity in global financial markets, </w:t>
      </w:r>
      <w:r>
        <w:rPr>
          <w:rFonts w:ascii="GHEA Grapalat" w:eastAsia="Calibri" w:hAnsi="GHEA Grapalat"/>
          <w:sz w:val="20"/>
          <w:szCs w:val="20"/>
        </w:rPr>
        <w:t xml:space="preserve">depreciation of </w:t>
      </w:r>
      <w:r>
        <w:rPr>
          <w:rFonts w:ascii="GHEA Grapalat" w:eastAsia="Calibri" w:hAnsi="GHEA Grapalat"/>
          <w:sz w:val="20"/>
          <w:szCs w:val="20"/>
          <w:lang w:val="hy-AM"/>
        </w:rPr>
        <w:t>national currencies</w:t>
      </w:r>
      <w:r w:rsidRPr="00673BBE">
        <w:rPr>
          <w:rFonts w:ascii="GHEA Grapalat" w:eastAsia="Calibri" w:hAnsi="GHEA Grapalat"/>
          <w:sz w:val="20"/>
          <w:szCs w:val="20"/>
          <w:lang w:val="hy-AM"/>
        </w:rPr>
        <w:t xml:space="preserve"> in many countries, </w:t>
      </w:r>
      <w:r>
        <w:rPr>
          <w:rFonts w:ascii="GHEA Grapalat" w:eastAsia="Calibri" w:hAnsi="GHEA Grapalat"/>
          <w:sz w:val="20"/>
          <w:szCs w:val="20"/>
        </w:rPr>
        <w:t xml:space="preserve">and </w:t>
      </w:r>
      <w:r w:rsidRPr="00673BBE">
        <w:rPr>
          <w:rFonts w:ascii="GHEA Grapalat" w:eastAsia="Calibri" w:hAnsi="GHEA Grapalat"/>
          <w:sz w:val="20"/>
          <w:szCs w:val="20"/>
          <w:lang w:val="hy-AM"/>
        </w:rPr>
        <w:t>Armenia was no exception. At the end of the quarter</w:t>
      </w:r>
      <w:r>
        <w:rPr>
          <w:rFonts w:ascii="GHEA Grapalat" w:eastAsia="Calibri" w:hAnsi="GHEA Grapalat"/>
          <w:sz w:val="20"/>
          <w:szCs w:val="20"/>
        </w:rPr>
        <w:t xml:space="preserve">, amid the pandemic-driven </w:t>
      </w:r>
      <w:r w:rsidRPr="00673BBE">
        <w:rPr>
          <w:rFonts w:ascii="GHEA Grapalat" w:eastAsia="Calibri" w:hAnsi="GHEA Grapalat"/>
          <w:sz w:val="20"/>
          <w:szCs w:val="20"/>
          <w:lang w:val="hy-AM"/>
        </w:rPr>
        <w:t>uncertainties</w:t>
      </w:r>
      <w:r>
        <w:rPr>
          <w:rFonts w:ascii="GHEA Grapalat" w:eastAsia="Calibri" w:hAnsi="GHEA Grapalat"/>
          <w:sz w:val="20"/>
          <w:szCs w:val="20"/>
        </w:rPr>
        <w:t xml:space="preserve">, the domestic financial market saw an increasing </w:t>
      </w:r>
      <w:r w:rsidRPr="00673BBE">
        <w:rPr>
          <w:rFonts w:ascii="GHEA Grapalat" w:eastAsia="Calibri" w:hAnsi="GHEA Grapalat"/>
          <w:sz w:val="20"/>
          <w:szCs w:val="20"/>
          <w:lang w:val="hy-AM"/>
        </w:rPr>
        <w:t xml:space="preserve">demand </w:t>
      </w:r>
      <w:r>
        <w:rPr>
          <w:rFonts w:ascii="GHEA Grapalat" w:eastAsia="Calibri" w:hAnsi="GHEA Grapalat"/>
          <w:sz w:val="20"/>
          <w:szCs w:val="20"/>
        </w:rPr>
        <w:t xml:space="preserve">for </w:t>
      </w:r>
      <w:r w:rsidRPr="00673BBE">
        <w:rPr>
          <w:rFonts w:ascii="GHEA Grapalat" w:eastAsia="Calibri" w:hAnsi="GHEA Grapalat"/>
          <w:sz w:val="20"/>
          <w:szCs w:val="20"/>
          <w:lang w:val="hy-AM"/>
        </w:rPr>
        <w:t xml:space="preserve">dram and foreign currency liquidity, and </w:t>
      </w:r>
      <w:r>
        <w:rPr>
          <w:rFonts w:ascii="GHEA Grapalat" w:eastAsia="Calibri" w:hAnsi="GHEA Grapalat"/>
          <w:sz w:val="20"/>
          <w:szCs w:val="20"/>
        </w:rPr>
        <w:t>the</w:t>
      </w:r>
      <w:r w:rsidRPr="00673BBE">
        <w:rPr>
          <w:rFonts w:ascii="GHEA Grapalat" w:eastAsia="Calibri" w:hAnsi="GHEA Grapalat"/>
          <w:sz w:val="20"/>
          <w:szCs w:val="20"/>
          <w:lang w:val="hy-AM"/>
        </w:rPr>
        <w:t xml:space="preserve"> dram</w:t>
      </w:r>
      <w:r>
        <w:rPr>
          <w:rFonts w:ascii="GHEA Grapalat" w:eastAsia="Calibri" w:hAnsi="GHEA Grapalat"/>
          <w:sz w:val="20"/>
          <w:szCs w:val="20"/>
        </w:rPr>
        <w:t xml:space="preserve"> exchange rate depreciation was observable in the meantime</w:t>
      </w:r>
      <w:r w:rsidRPr="00673BBE">
        <w:rPr>
          <w:rFonts w:ascii="GHEA Grapalat" w:eastAsia="Calibri" w:hAnsi="GHEA Grapalat"/>
          <w:sz w:val="20"/>
          <w:szCs w:val="20"/>
          <w:lang w:val="hy-AM"/>
        </w:rPr>
        <w:t>.</w:t>
      </w:r>
    </w:p>
    <w:p w14:paraId="4FD17166" w14:textId="77777777" w:rsidR="004F213F" w:rsidRDefault="004F213F" w:rsidP="004F213F">
      <w:pPr>
        <w:spacing w:after="120" w:line="320" w:lineRule="atLeast"/>
        <w:ind w:firstLine="284"/>
        <w:rPr>
          <w:rFonts w:ascii="GHEA Grapalat" w:eastAsia="Calibri" w:hAnsi="GHEA Grapalat"/>
          <w:sz w:val="20"/>
          <w:szCs w:val="20"/>
        </w:rPr>
      </w:pPr>
      <w:r w:rsidRPr="00F150B4">
        <w:rPr>
          <w:rFonts w:ascii="GHEA Grapalat" w:eastAsia="Calibri" w:hAnsi="GHEA Grapalat"/>
          <w:sz w:val="20"/>
          <w:szCs w:val="20"/>
          <w:lang w:val="hy-AM"/>
        </w:rPr>
        <w:t xml:space="preserve">Unlike </w:t>
      </w:r>
      <w:r>
        <w:rPr>
          <w:rFonts w:ascii="GHEA Grapalat" w:eastAsia="Calibri" w:hAnsi="GHEA Grapalat"/>
          <w:sz w:val="20"/>
          <w:szCs w:val="20"/>
        </w:rPr>
        <w:t xml:space="preserve">the </w:t>
      </w:r>
      <w:r w:rsidRPr="008C484D">
        <w:rPr>
          <w:rFonts w:ascii="GHEA Grapalat" w:eastAsia="Calibri" w:hAnsi="GHEA Grapalat"/>
          <w:sz w:val="20"/>
          <w:szCs w:val="20"/>
          <w:lang w:val="hy-AM"/>
        </w:rPr>
        <w:t>developed</w:t>
      </w:r>
      <w:r w:rsidRPr="00F150B4">
        <w:rPr>
          <w:rFonts w:ascii="GHEA Grapalat" w:eastAsia="Calibri" w:hAnsi="GHEA Grapalat"/>
          <w:sz w:val="20"/>
          <w:szCs w:val="20"/>
          <w:lang w:val="hy-AM"/>
        </w:rPr>
        <w:t xml:space="preserve"> countries </w:t>
      </w:r>
      <w:r>
        <w:rPr>
          <w:rFonts w:ascii="GHEA Grapalat" w:eastAsia="Calibri" w:hAnsi="GHEA Grapalat"/>
          <w:sz w:val="20"/>
          <w:szCs w:val="20"/>
        </w:rPr>
        <w:t xml:space="preserve">that have </w:t>
      </w:r>
      <w:r w:rsidRPr="00F150B4">
        <w:rPr>
          <w:rFonts w:ascii="GHEA Grapalat" w:eastAsia="Calibri" w:hAnsi="GHEA Grapalat"/>
          <w:sz w:val="20"/>
          <w:szCs w:val="20"/>
          <w:lang w:val="hy-AM"/>
        </w:rPr>
        <w:t xml:space="preserve">announced </w:t>
      </w:r>
      <w:r>
        <w:rPr>
          <w:rFonts w:ascii="GHEA Grapalat" w:eastAsia="Calibri" w:hAnsi="GHEA Grapalat"/>
          <w:sz w:val="20"/>
          <w:szCs w:val="20"/>
        </w:rPr>
        <w:t xml:space="preserve">quite stimulative monetary and </w:t>
      </w:r>
      <w:r>
        <w:rPr>
          <w:rFonts w:ascii="GHEA Grapalat" w:eastAsia="Calibri" w:hAnsi="GHEA Grapalat"/>
          <w:sz w:val="20"/>
          <w:szCs w:val="20"/>
          <w:lang w:val="hy-AM"/>
        </w:rPr>
        <w:t xml:space="preserve">fiscal </w:t>
      </w:r>
      <w:r w:rsidRPr="00F150B4">
        <w:rPr>
          <w:rFonts w:ascii="GHEA Grapalat" w:eastAsia="Calibri" w:hAnsi="GHEA Grapalat"/>
          <w:sz w:val="20"/>
          <w:szCs w:val="20"/>
          <w:lang w:val="hy-AM"/>
        </w:rPr>
        <w:t>polici</w:t>
      </w:r>
      <w:r>
        <w:rPr>
          <w:rFonts w:ascii="GHEA Grapalat" w:eastAsia="Calibri" w:hAnsi="GHEA Grapalat"/>
          <w:sz w:val="20"/>
          <w:szCs w:val="20"/>
          <w:lang w:val="hy-AM"/>
        </w:rPr>
        <w:t xml:space="preserve">es to meet liquidity demand, in </w:t>
      </w:r>
      <w:r w:rsidRPr="00F150B4">
        <w:rPr>
          <w:rFonts w:ascii="GHEA Grapalat" w:eastAsia="Calibri" w:hAnsi="GHEA Grapalat"/>
          <w:sz w:val="20"/>
          <w:szCs w:val="20"/>
          <w:lang w:val="hy-AM"/>
        </w:rPr>
        <w:t>developing countries, central banks faced a policy dilemma</w:t>
      </w:r>
      <w:r>
        <w:rPr>
          <w:rFonts w:ascii="GHEA Grapalat" w:eastAsia="Calibri" w:hAnsi="GHEA Grapalat"/>
          <w:sz w:val="20"/>
          <w:szCs w:val="20"/>
        </w:rPr>
        <w:t xml:space="preserve"> of whether </w:t>
      </w:r>
      <w:r w:rsidRPr="00F150B4">
        <w:rPr>
          <w:rFonts w:ascii="GHEA Grapalat" w:eastAsia="Calibri" w:hAnsi="GHEA Grapalat"/>
          <w:sz w:val="20"/>
          <w:szCs w:val="20"/>
          <w:lang w:val="hy-AM"/>
        </w:rPr>
        <w:t>to stimulate aggregate demand or tighten monetary policy</w:t>
      </w:r>
      <w:r>
        <w:rPr>
          <w:rFonts w:ascii="GHEA Grapalat" w:eastAsia="Calibri" w:hAnsi="GHEA Grapalat"/>
          <w:sz w:val="20"/>
          <w:szCs w:val="20"/>
        </w:rPr>
        <w:t>.</w:t>
      </w:r>
      <w:r w:rsidRPr="00F150B4">
        <w:rPr>
          <w:rFonts w:ascii="GHEA Grapalat" w:eastAsia="Calibri" w:hAnsi="GHEA Grapalat"/>
          <w:sz w:val="20"/>
          <w:szCs w:val="20"/>
          <w:lang w:val="hy-AM"/>
        </w:rPr>
        <w:t xml:space="preserve"> One of the reasons for this dilemma is that inflation expectations </w:t>
      </w:r>
      <w:r>
        <w:rPr>
          <w:rFonts w:ascii="GHEA Grapalat" w:eastAsia="Calibri" w:hAnsi="GHEA Grapalat"/>
          <w:sz w:val="20"/>
          <w:szCs w:val="20"/>
          <w:lang w:val="hy-AM"/>
        </w:rPr>
        <w:t xml:space="preserve">in such countries </w:t>
      </w:r>
      <w:r w:rsidRPr="00F150B4">
        <w:rPr>
          <w:rFonts w:ascii="GHEA Grapalat" w:eastAsia="Calibri" w:hAnsi="GHEA Grapalat"/>
          <w:sz w:val="20"/>
          <w:szCs w:val="20"/>
          <w:lang w:val="hy-AM"/>
        </w:rPr>
        <w:t>usu</w:t>
      </w:r>
      <w:r>
        <w:rPr>
          <w:rFonts w:ascii="GHEA Grapalat" w:eastAsia="Calibri" w:hAnsi="GHEA Grapalat"/>
          <w:sz w:val="20"/>
          <w:szCs w:val="20"/>
          <w:lang w:val="hy-AM"/>
        </w:rPr>
        <w:t xml:space="preserve">ally </w:t>
      </w:r>
      <w:r>
        <w:rPr>
          <w:rFonts w:ascii="GHEA Grapalat" w:eastAsia="Calibri" w:hAnsi="GHEA Grapalat"/>
          <w:sz w:val="20"/>
          <w:szCs w:val="20"/>
        </w:rPr>
        <w:t xml:space="preserve">are </w:t>
      </w:r>
      <w:r>
        <w:rPr>
          <w:rFonts w:ascii="GHEA Grapalat" w:eastAsia="Calibri" w:hAnsi="GHEA Grapalat"/>
          <w:sz w:val="20"/>
          <w:szCs w:val="20"/>
          <w:lang w:val="hy-AM"/>
        </w:rPr>
        <w:t>not anchored</w:t>
      </w:r>
      <w:r>
        <w:rPr>
          <w:rFonts w:ascii="GHEA Grapalat" w:eastAsia="Calibri" w:hAnsi="GHEA Grapalat"/>
          <w:sz w:val="20"/>
          <w:szCs w:val="20"/>
        </w:rPr>
        <w:t xml:space="preserve"> </w:t>
      </w:r>
      <w:r>
        <w:rPr>
          <w:rFonts w:ascii="GHEA Grapalat" w:eastAsia="Calibri" w:hAnsi="GHEA Grapalat"/>
          <w:sz w:val="20"/>
          <w:szCs w:val="20"/>
          <w:lang w:val="hy-AM"/>
        </w:rPr>
        <w:t xml:space="preserve">sufficiently, </w:t>
      </w:r>
      <w:r w:rsidRPr="00F150B4">
        <w:rPr>
          <w:rFonts w:ascii="GHEA Grapalat" w:eastAsia="Calibri" w:hAnsi="GHEA Grapalat"/>
          <w:sz w:val="20"/>
          <w:szCs w:val="20"/>
          <w:lang w:val="hy-AM"/>
        </w:rPr>
        <w:t xml:space="preserve">which is reflected </w:t>
      </w:r>
      <w:r>
        <w:rPr>
          <w:rFonts w:ascii="GHEA Grapalat" w:eastAsia="Calibri" w:hAnsi="GHEA Grapalat"/>
          <w:sz w:val="20"/>
          <w:szCs w:val="20"/>
        </w:rPr>
        <w:t xml:space="preserve">also </w:t>
      </w:r>
      <w:r w:rsidRPr="00F150B4">
        <w:rPr>
          <w:rFonts w:ascii="GHEA Grapalat" w:eastAsia="Calibri" w:hAnsi="GHEA Grapalat"/>
          <w:sz w:val="20"/>
          <w:szCs w:val="20"/>
          <w:lang w:val="hy-AM"/>
        </w:rPr>
        <w:t xml:space="preserve">in the high dollarization of assets. However, in recent years, some developing countries, including Armenia, have made some progress in ensuring low, stable inflation in the domestic economy, </w:t>
      </w:r>
      <w:r>
        <w:rPr>
          <w:rFonts w:ascii="GHEA Grapalat" w:eastAsia="Calibri" w:hAnsi="GHEA Grapalat"/>
          <w:sz w:val="20"/>
          <w:szCs w:val="20"/>
        </w:rPr>
        <w:t xml:space="preserve">by </w:t>
      </w:r>
      <w:r w:rsidRPr="00F150B4">
        <w:rPr>
          <w:rFonts w:ascii="GHEA Grapalat" w:eastAsia="Calibri" w:hAnsi="GHEA Grapalat"/>
          <w:sz w:val="20"/>
          <w:szCs w:val="20"/>
          <w:lang w:val="hy-AM"/>
        </w:rPr>
        <w:t xml:space="preserve">anchoring inflation expectations and </w:t>
      </w:r>
      <w:r>
        <w:rPr>
          <w:rFonts w:ascii="GHEA Grapalat" w:eastAsia="Calibri" w:hAnsi="GHEA Grapalat"/>
          <w:sz w:val="20"/>
          <w:szCs w:val="20"/>
        </w:rPr>
        <w:t>enhancing</w:t>
      </w:r>
      <w:r w:rsidRPr="00F150B4">
        <w:rPr>
          <w:rFonts w:ascii="GHEA Grapalat" w:eastAsia="Calibri" w:hAnsi="GHEA Grapalat"/>
          <w:sz w:val="20"/>
          <w:szCs w:val="20"/>
          <w:lang w:val="hy-AM"/>
        </w:rPr>
        <w:t xml:space="preserve"> confidence in </w:t>
      </w:r>
      <w:r>
        <w:rPr>
          <w:rFonts w:ascii="GHEA Grapalat" w:eastAsia="Calibri" w:hAnsi="GHEA Grapalat"/>
          <w:sz w:val="20"/>
          <w:szCs w:val="20"/>
        </w:rPr>
        <w:t xml:space="preserve">the </w:t>
      </w:r>
      <w:r w:rsidRPr="00F150B4">
        <w:rPr>
          <w:rFonts w:ascii="GHEA Grapalat" w:eastAsia="Calibri" w:hAnsi="GHEA Grapalat"/>
          <w:sz w:val="20"/>
          <w:szCs w:val="20"/>
          <w:lang w:val="hy-AM"/>
        </w:rPr>
        <w:t xml:space="preserve">monetary policy. This, </w:t>
      </w:r>
      <w:r>
        <w:rPr>
          <w:rFonts w:ascii="GHEA Grapalat" w:eastAsia="Calibri" w:hAnsi="GHEA Grapalat"/>
          <w:sz w:val="20"/>
          <w:szCs w:val="20"/>
        </w:rPr>
        <w:t>perhaps</w:t>
      </w:r>
      <w:r w:rsidRPr="00F150B4">
        <w:rPr>
          <w:rFonts w:ascii="GHEA Grapalat" w:eastAsia="Calibri" w:hAnsi="GHEA Grapalat"/>
          <w:sz w:val="20"/>
          <w:szCs w:val="20"/>
          <w:lang w:val="hy-AM"/>
        </w:rPr>
        <w:t xml:space="preserve">, </w:t>
      </w:r>
      <w:r>
        <w:rPr>
          <w:rFonts w:ascii="GHEA Grapalat" w:eastAsia="Calibri" w:hAnsi="GHEA Grapalat"/>
          <w:sz w:val="20"/>
          <w:szCs w:val="20"/>
        </w:rPr>
        <w:t>allowed t</w:t>
      </w:r>
      <w:r w:rsidRPr="00F150B4">
        <w:rPr>
          <w:rFonts w:ascii="GHEA Grapalat" w:eastAsia="Calibri" w:hAnsi="GHEA Grapalat"/>
          <w:sz w:val="20"/>
          <w:szCs w:val="20"/>
          <w:lang w:val="hy-AM"/>
        </w:rPr>
        <w:t>he Board of the Central Bank of Armenia (unlike some of partner countries</w:t>
      </w:r>
      <w:r>
        <w:rPr>
          <w:rFonts w:ascii="GHEA Grapalat" w:eastAsia="Calibri" w:hAnsi="GHEA Grapalat"/>
          <w:sz w:val="20"/>
          <w:szCs w:val="20"/>
        </w:rPr>
        <w:t xml:space="preserve"> in this region</w:t>
      </w:r>
      <w:r w:rsidRPr="00F150B4">
        <w:rPr>
          <w:rFonts w:ascii="GHEA Grapalat" w:eastAsia="Calibri" w:hAnsi="GHEA Grapalat"/>
          <w:sz w:val="20"/>
          <w:szCs w:val="20"/>
          <w:lang w:val="hy-AM"/>
        </w:rPr>
        <w:t xml:space="preserve">) </w:t>
      </w:r>
      <w:r>
        <w:rPr>
          <w:rFonts w:ascii="GHEA Grapalat" w:eastAsia="Calibri" w:hAnsi="GHEA Grapalat"/>
          <w:sz w:val="20"/>
          <w:szCs w:val="20"/>
        </w:rPr>
        <w:t xml:space="preserve">deciding </w:t>
      </w:r>
      <w:r w:rsidRPr="00F150B4">
        <w:rPr>
          <w:rFonts w:ascii="GHEA Grapalat" w:eastAsia="Calibri" w:hAnsi="GHEA Grapalat"/>
          <w:sz w:val="20"/>
          <w:szCs w:val="20"/>
          <w:lang w:val="hy-AM"/>
        </w:rPr>
        <w:t xml:space="preserve">to </w:t>
      </w:r>
      <w:r>
        <w:rPr>
          <w:rFonts w:ascii="GHEA Grapalat" w:eastAsia="Calibri" w:hAnsi="GHEA Grapalat"/>
          <w:sz w:val="20"/>
          <w:szCs w:val="20"/>
        </w:rPr>
        <w:t>add m</w:t>
      </w:r>
      <w:r w:rsidRPr="00F150B4">
        <w:rPr>
          <w:rFonts w:ascii="GHEA Grapalat" w:eastAsia="Calibri" w:hAnsi="GHEA Grapalat"/>
          <w:sz w:val="20"/>
          <w:szCs w:val="20"/>
          <w:lang w:val="hy-AM"/>
        </w:rPr>
        <w:t xml:space="preserve">onetary policy stimulus </w:t>
      </w:r>
      <w:r>
        <w:rPr>
          <w:rFonts w:ascii="GHEA Grapalat" w:eastAsia="Calibri" w:hAnsi="GHEA Grapalat"/>
          <w:sz w:val="20"/>
          <w:szCs w:val="20"/>
        </w:rPr>
        <w:t xml:space="preserve">under the </w:t>
      </w:r>
      <w:r w:rsidRPr="00F150B4">
        <w:rPr>
          <w:rFonts w:ascii="GHEA Grapalat" w:eastAsia="Calibri" w:hAnsi="GHEA Grapalat"/>
          <w:sz w:val="20"/>
          <w:szCs w:val="20"/>
          <w:lang w:val="hy-AM"/>
        </w:rPr>
        <w:t>coronavirus</w:t>
      </w:r>
      <w:r>
        <w:rPr>
          <w:rFonts w:ascii="GHEA Grapalat" w:eastAsia="Calibri" w:hAnsi="GHEA Grapalat"/>
          <w:sz w:val="20"/>
          <w:szCs w:val="20"/>
        </w:rPr>
        <w:t>-induced u</w:t>
      </w:r>
      <w:r w:rsidRPr="00F150B4">
        <w:rPr>
          <w:rFonts w:ascii="GHEA Grapalat" w:eastAsia="Calibri" w:hAnsi="GHEA Grapalat"/>
          <w:sz w:val="20"/>
          <w:szCs w:val="20"/>
          <w:lang w:val="hy-AM"/>
        </w:rPr>
        <w:t xml:space="preserve">ncertainty. </w:t>
      </w:r>
      <w:r>
        <w:rPr>
          <w:rFonts w:ascii="GHEA Grapalat" w:eastAsia="Calibri" w:hAnsi="GHEA Grapalat"/>
          <w:sz w:val="20"/>
          <w:szCs w:val="20"/>
        </w:rPr>
        <w:lastRenderedPageBreak/>
        <w:t xml:space="preserve">Considering the estimated impact of </w:t>
      </w:r>
      <w:r w:rsidRPr="00F150B4">
        <w:rPr>
          <w:rFonts w:ascii="GHEA Grapalat" w:eastAsia="Calibri" w:hAnsi="GHEA Grapalat"/>
          <w:sz w:val="20"/>
          <w:szCs w:val="20"/>
          <w:lang w:val="hy-AM"/>
        </w:rPr>
        <w:t xml:space="preserve">the coronavirus, its prevention and remediation measures on macroeconomic and financial markets </w:t>
      </w:r>
      <w:r>
        <w:rPr>
          <w:rFonts w:ascii="GHEA Grapalat" w:eastAsia="Calibri" w:hAnsi="GHEA Grapalat"/>
          <w:sz w:val="20"/>
          <w:szCs w:val="20"/>
        </w:rPr>
        <w:t xml:space="preserve">both in the outside world and </w:t>
      </w:r>
      <w:r w:rsidRPr="00F150B4">
        <w:rPr>
          <w:rFonts w:ascii="GHEA Grapalat" w:eastAsia="Calibri" w:hAnsi="GHEA Grapalat"/>
          <w:sz w:val="20"/>
          <w:szCs w:val="20"/>
          <w:lang w:val="hy-AM"/>
        </w:rPr>
        <w:t xml:space="preserve">Armenia, as well as </w:t>
      </w:r>
      <w:r>
        <w:rPr>
          <w:rFonts w:ascii="GHEA Grapalat" w:eastAsia="Calibri" w:hAnsi="GHEA Grapalat"/>
          <w:sz w:val="20"/>
          <w:szCs w:val="20"/>
        </w:rPr>
        <w:t xml:space="preserve">in view of a low inflationary environment and expected </w:t>
      </w:r>
      <w:r w:rsidRPr="00F150B4">
        <w:rPr>
          <w:rFonts w:ascii="GHEA Grapalat" w:eastAsia="Calibri" w:hAnsi="GHEA Grapalat"/>
          <w:sz w:val="20"/>
          <w:szCs w:val="20"/>
          <w:lang w:val="hy-AM"/>
        </w:rPr>
        <w:t>deflationary effects of the global economy, on March 17</w:t>
      </w:r>
      <w:proofErr w:type="spellStart"/>
      <w:r>
        <w:rPr>
          <w:rFonts w:ascii="GHEA Grapalat" w:eastAsia="Calibri" w:hAnsi="GHEA Grapalat"/>
          <w:sz w:val="20"/>
          <w:szCs w:val="20"/>
        </w:rPr>
        <w:t>th</w:t>
      </w:r>
      <w:proofErr w:type="spellEnd"/>
      <w:r>
        <w:rPr>
          <w:rFonts w:ascii="GHEA Grapalat" w:eastAsia="Calibri" w:hAnsi="GHEA Grapalat"/>
          <w:sz w:val="20"/>
          <w:szCs w:val="20"/>
        </w:rPr>
        <w:t xml:space="preserve"> the </w:t>
      </w:r>
      <w:r w:rsidRPr="00F150B4">
        <w:rPr>
          <w:rFonts w:ascii="GHEA Grapalat" w:eastAsia="Calibri" w:hAnsi="GHEA Grapalat"/>
          <w:sz w:val="20"/>
          <w:szCs w:val="20"/>
          <w:lang w:val="hy-AM"/>
        </w:rPr>
        <w:t xml:space="preserve">Board </w:t>
      </w:r>
      <w:r>
        <w:rPr>
          <w:rFonts w:ascii="GHEA Grapalat" w:eastAsia="Calibri" w:hAnsi="GHEA Grapalat"/>
          <w:sz w:val="20"/>
          <w:szCs w:val="20"/>
        </w:rPr>
        <w:t>cut</w:t>
      </w:r>
      <w:r w:rsidRPr="00F150B4">
        <w:rPr>
          <w:rFonts w:ascii="GHEA Grapalat" w:eastAsia="Calibri" w:hAnsi="GHEA Grapalat"/>
          <w:sz w:val="20"/>
          <w:szCs w:val="20"/>
          <w:lang w:val="hy-AM"/>
        </w:rPr>
        <w:t xml:space="preserve"> the refinancing</w:t>
      </w:r>
      <w:r>
        <w:rPr>
          <w:rFonts w:ascii="GHEA Grapalat" w:eastAsia="Calibri" w:hAnsi="GHEA Grapalat"/>
          <w:sz w:val="20"/>
          <w:szCs w:val="20"/>
        </w:rPr>
        <w:t xml:space="preserve"> by </w:t>
      </w:r>
      <w:r w:rsidRPr="00F150B4">
        <w:rPr>
          <w:rFonts w:ascii="GHEA Grapalat" w:eastAsia="Calibri" w:hAnsi="GHEA Grapalat"/>
          <w:sz w:val="20"/>
          <w:szCs w:val="20"/>
          <w:lang w:val="hy-AM"/>
        </w:rPr>
        <w:t>0.25</w:t>
      </w:r>
      <w:r>
        <w:rPr>
          <w:rFonts w:ascii="GHEA Grapalat" w:eastAsia="Calibri" w:hAnsi="GHEA Grapalat"/>
          <w:sz w:val="20"/>
          <w:szCs w:val="20"/>
        </w:rPr>
        <w:t xml:space="preserve"> pp setting it at 5.25%.</w:t>
      </w:r>
    </w:p>
    <w:p w14:paraId="30F837C3" w14:textId="77777777" w:rsidR="004F213F" w:rsidRPr="000E7095" w:rsidRDefault="004F213F" w:rsidP="004F213F">
      <w:pPr>
        <w:spacing w:after="120" w:line="320" w:lineRule="atLeast"/>
        <w:ind w:firstLine="284"/>
        <w:rPr>
          <w:rFonts w:ascii="GHEA Grapalat" w:eastAsia="Calibri" w:hAnsi="GHEA Grapalat"/>
          <w:sz w:val="20"/>
          <w:szCs w:val="20"/>
        </w:rPr>
      </w:pPr>
      <w:r w:rsidRPr="00443211">
        <w:rPr>
          <w:rFonts w:ascii="GHEA Grapalat" w:eastAsia="Calibri" w:hAnsi="GHEA Grapalat"/>
          <w:sz w:val="20"/>
          <w:szCs w:val="20"/>
        </w:rPr>
        <w:t xml:space="preserve">At the same time, </w:t>
      </w:r>
      <w:r>
        <w:rPr>
          <w:rFonts w:ascii="GHEA Grapalat" w:eastAsia="Calibri" w:hAnsi="GHEA Grapalat"/>
          <w:sz w:val="20"/>
          <w:szCs w:val="20"/>
        </w:rPr>
        <w:t xml:space="preserve">highlighting the importance of conducting </w:t>
      </w:r>
      <w:r w:rsidRPr="00443211">
        <w:rPr>
          <w:rFonts w:ascii="GHEA Grapalat" w:eastAsia="Calibri" w:hAnsi="GHEA Grapalat"/>
          <w:sz w:val="20"/>
          <w:szCs w:val="20"/>
        </w:rPr>
        <w:t>transparent</w:t>
      </w:r>
      <w:r>
        <w:rPr>
          <w:rFonts w:ascii="GHEA Grapalat" w:eastAsia="Calibri" w:hAnsi="GHEA Grapalat"/>
          <w:sz w:val="20"/>
          <w:szCs w:val="20"/>
        </w:rPr>
        <w:t xml:space="preserve"> and </w:t>
      </w:r>
      <w:r w:rsidRPr="00443211">
        <w:rPr>
          <w:rFonts w:ascii="GHEA Grapalat" w:eastAsia="Calibri" w:hAnsi="GHEA Grapalat"/>
          <w:sz w:val="20"/>
          <w:szCs w:val="20"/>
        </w:rPr>
        <w:t>predictable monetary policy</w:t>
      </w:r>
      <w:r>
        <w:rPr>
          <w:rFonts w:ascii="GHEA Grapalat" w:eastAsia="Calibri" w:hAnsi="GHEA Grapalat"/>
          <w:sz w:val="20"/>
          <w:szCs w:val="20"/>
        </w:rPr>
        <w:t xml:space="preserve">, </w:t>
      </w:r>
      <w:r w:rsidRPr="00443211">
        <w:rPr>
          <w:rFonts w:ascii="GHEA Grapalat" w:eastAsia="Calibri" w:hAnsi="GHEA Grapalat"/>
          <w:sz w:val="20"/>
          <w:szCs w:val="20"/>
        </w:rPr>
        <w:t xml:space="preserve">aimed at price stability </w:t>
      </w:r>
      <w:r>
        <w:rPr>
          <w:rFonts w:ascii="GHEA Grapalat" w:eastAsia="Calibri" w:hAnsi="GHEA Grapalat"/>
          <w:sz w:val="20"/>
          <w:szCs w:val="20"/>
        </w:rPr>
        <w:t xml:space="preserve">amid </w:t>
      </w:r>
      <w:r w:rsidRPr="00443211">
        <w:rPr>
          <w:rFonts w:ascii="GHEA Grapalat" w:eastAsia="Calibri" w:hAnsi="GHEA Grapalat"/>
          <w:sz w:val="20"/>
          <w:szCs w:val="20"/>
        </w:rPr>
        <w:t xml:space="preserve">uncertainties, </w:t>
      </w:r>
      <w:r>
        <w:rPr>
          <w:rFonts w:ascii="GHEA Grapalat" w:eastAsia="Calibri" w:hAnsi="GHEA Grapalat"/>
          <w:sz w:val="20"/>
          <w:szCs w:val="20"/>
        </w:rPr>
        <w:t xml:space="preserve">the Board had signaled </w:t>
      </w:r>
      <w:r w:rsidRPr="00443211">
        <w:rPr>
          <w:rFonts w:ascii="GHEA Grapalat" w:eastAsia="Calibri" w:hAnsi="GHEA Grapalat"/>
          <w:sz w:val="20"/>
          <w:szCs w:val="20"/>
        </w:rPr>
        <w:t>the financial market participants that the C</w:t>
      </w:r>
      <w:r>
        <w:rPr>
          <w:rFonts w:ascii="GHEA Grapalat" w:eastAsia="Calibri" w:hAnsi="GHEA Grapalat"/>
          <w:sz w:val="20"/>
          <w:szCs w:val="20"/>
        </w:rPr>
        <w:t xml:space="preserve">entral </w:t>
      </w:r>
      <w:r w:rsidRPr="00443211">
        <w:rPr>
          <w:rFonts w:ascii="GHEA Grapalat" w:eastAsia="Calibri" w:hAnsi="GHEA Grapalat"/>
          <w:sz w:val="20"/>
          <w:szCs w:val="20"/>
        </w:rPr>
        <w:t>B</w:t>
      </w:r>
      <w:r>
        <w:rPr>
          <w:rFonts w:ascii="GHEA Grapalat" w:eastAsia="Calibri" w:hAnsi="GHEA Grapalat"/>
          <w:sz w:val="20"/>
          <w:szCs w:val="20"/>
        </w:rPr>
        <w:t>ank</w:t>
      </w:r>
      <w:r w:rsidRPr="00443211">
        <w:rPr>
          <w:rFonts w:ascii="GHEA Grapalat" w:eastAsia="Calibri" w:hAnsi="GHEA Grapalat"/>
          <w:sz w:val="20"/>
          <w:szCs w:val="20"/>
        </w:rPr>
        <w:t xml:space="preserve"> </w:t>
      </w:r>
      <w:r>
        <w:rPr>
          <w:rFonts w:ascii="GHEA Grapalat" w:eastAsia="Calibri" w:hAnsi="GHEA Grapalat"/>
          <w:sz w:val="20"/>
          <w:szCs w:val="20"/>
        </w:rPr>
        <w:t xml:space="preserve">stands </w:t>
      </w:r>
      <w:r w:rsidRPr="00443211">
        <w:rPr>
          <w:rFonts w:ascii="GHEA Grapalat" w:eastAsia="Calibri" w:hAnsi="GHEA Grapalat"/>
          <w:sz w:val="20"/>
          <w:szCs w:val="20"/>
        </w:rPr>
        <w:t xml:space="preserve">ready to respond appropriately to any developments and </w:t>
      </w:r>
      <w:r>
        <w:rPr>
          <w:rFonts w:ascii="GHEA Grapalat" w:eastAsia="Calibri" w:hAnsi="GHEA Grapalat"/>
          <w:sz w:val="20"/>
          <w:szCs w:val="20"/>
        </w:rPr>
        <w:t xml:space="preserve">emergence of </w:t>
      </w:r>
      <w:r w:rsidRPr="00443211">
        <w:rPr>
          <w:rFonts w:ascii="GHEA Grapalat" w:eastAsia="Calibri" w:hAnsi="GHEA Grapalat"/>
          <w:sz w:val="20"/>
          <w:szCs w:val="20"/>
        </w:rPr>
        <w:t>risks.</w:t>
      </w:r>
    </w:p>
    <w:p w14:paraId="3D800849" w14:textId="77777777" w:rsidR="004F213F" w:rsidRDefault="004F213F" w:rsidP="004F213F">
      <w:pPr>
        <w:spacing w:line="320" w:lineRule="atLeast"/>
        <w:ind w:firstLine="284"/>
        <w:jc w:val="both"/>
        <w:rPr>
          <w:rFonts w:ascii="GHEA Grapalat" w:eastAsia="Calibri" w:hAnsi="GHEA Grapalat"/>
          <w:sz w:val="20"/>
          <w:szCs w:val="20"/>
          <w:lang w:val="hy-AM"/>
        </w:rPr>
      </w:pPr>
    </w:p>
    <w:p w14:paraId="73CAA731" w14:textId="77777777" w:rsidR="004F213F" w:rsidRDefault="004F213F" w:rsidP="004F213F">
      <w:pPr>
        <w:spacing w:line="340" w:lineRule="atLeast"/>
        <w:ind w:firstLine="284"/>
        <w:rPr>
          <w:rFonts w:ascii="GHEA Grapalat" w:hAnsi="GHEA Grapalat"/>
          <w:sz w:val="20"/>
          <w:szCs w:val="20"/>
        </w:rPr>
      </w:pPr>
      <w:r w:rsidRPr="002D352E">
        <w:rPr>
          <w:rFonts w:ascii="GHEA Grapalat" w:hAnsi="GHEA Grapalat"/>
          <w:sz w:val="20"/>
          <w:szCs w:val="20"/>
        </w:rPr>
        <w:t xml:space="preserve">As it was mentioned, the uncertainties </w:t>
      </w:r>
      <w:r>
        <w:rPr>
          <w:rFonts w:ascii="GHEA Grapalat" w:hAnsi="GHEA Grapalat"/>
          <w:sz w:val="20"/>
          <w:szCs w:val="20"/>
        </w:rPr>
        <w:t>amid the spread of COVID-19</w:t>
      </w:r>
      <w:r w:rsidRPr="002D352E">
        <w:rPr>
          <w:rFonts w:ascii="GHEA Grapalat" w:hAnsi="GHEA Grapalat"/>
          <w:sz w:val="20"/>
          <w:szCs w:val="20"/>
        </w:rPr>
        <w:t xml:space="preserve"> had caused a certain increase in demand for dram</w:t>
      </w:r>
      <w:r>
        <w:rPr>
          <w:rFonts w:ascii="GHEA Grapalat" w:hAnsi="GHEA Grapalat"/>
          <w:sz w:val="20"/>
          <w:szCs w:val="20"/>
        </w:rPr>
        <w:t xml:space="preserve"> and </w:t>
      </w:r>
      <w:r w:rsidRPr="002D352E">
        <w:rPr>
          <w:rFonts w:ascii="GHEA Grapalat" w:hAnsi="GHEA Grapalat"/>
          <w:sz w:val="20"/>
          <w:szCs w:val="20"/>
        </w:rPr>
        <w:t>foreign currency liquidity</w:t>
      </w:r>
      <w:r>
        <w:rPr>
          <w:rFonts w:ascii="GHEA Grapalat" w:hAnsi="GHEA Grapalat"/>
          <w:sz w:val="20"/>
          <w:szCs w:val="20"/>
        </w:rPr>
        <w:t xml:space="preserve"> </w:t>
      </w:r>
      <w:r w:rsidRPr="002D352E">
        <w:rPr>
          <w:rFonts w:ascii="GHEA Grapalat" w:hAnsi="GHEA Grapalat"/>
          <w:sz w:val="20"/>
          <w:szCs w:val="20"/>
        </w:rPr>
        <w:t xml:space="preserve">in the </w:t>
      </w:r>
      <w:r>
        <w:rPr>
          <w:rFonts w:ascii="GHEA Grapalat" w:hAnsi="GHEA Grapalat"/>
          <w:sz w:val="20"/>
          <w:szCs w:val="20"/>
        </w:rPr>
        <w:t xml:space="preserve">domestic </w:t>
      </w:r>
      <w:r w:rsidRPr="002D352E">
        <w:rPr>
          <w:rFonts w:ascii="GHEA Grapalat" w:hAnsi="GHEA Grapalat"/>
          <w:sz w:val="20"/>
          <w:szCs w:val="20"/>
        </w:rPr>
        <w:t>financial market.</w:t>
      </w:r>
      <w:r>
        <w:rPr>
          <w:rFonts w:ascii="GHEA Grapalat" w:hAnsi="GHEA Grapalat"/>
          <w:sz w:val="20"/>
          <w:szCs w:val="20"/>
        </w:rPr>
        <w:t xml:space="preserve"> Meanwhile, t</w:t>
      </w:r>
      <w:r w:rsidRPr="00B02DC0">
        <w:rPr>
          <w:rFonts w:ascii="GHEA Grapalat" w:hAnsi="GHEA Grapalat"/>
          <w:sz w:val="20"/>
          <w:szCs w:val="20"/>
        </w:rPr>
        <w:t xml:space="preserve">he Central Bank continued injecting the </w:t>
      </w:r>
      <w:r>
        <w:rPr>
          <w:rFonts w:ascii="GHEA Grapalat" w:hAnsi="GHEA Grapalat"/>
          <w:sz w:val="20"/>
          <w:szCs w:val="20"/>
        </w:rPr>
        <w:t xml:space="preserve">required amount of dram liquidity into the system </w:t>
      </w:r>
      <w:r w:rsidRPr="00B02DC0">
        <w:rPr>
          <w:rFonts w:ascii="GHEA Grapalat" w:hAnsi="GHEA Grapalat"/>
          <w:sz w:val="20"/>
          <w:szCs w:val="20"/>
        </w:rPr>
        <w:t>through its main instrument</w:t>
      </w:r>
      <w:r>
        <w:rPr>
          <w:rFonts w:ascii="GHEA Grapalat" w:hAnsi="GHEA Grapalat"/>
          <w:sz w:val="20"/>
          <w:szCs w:val="20"/>
        </w:rPr>
        <w:t xml:space="preserve"> </w:t>
      </w:r>
      <w:r w:rsidRPr="00B02DC0">
        <w:rPr>
          <w:rFonts w:ascii="GHEA Grapalat" w:hAnsi="GHEA Grapalat"/>
          <w:sz w:val="20"/>
          <w:szCs w:val="20"/>
        </w:rPr>
        <w:t>by letting short-term interest rates stabilize around the policy rate.</w:t>
      </w:r>
      <w:r>
        <w:rPr>
          <w:rFonts w:ascii="GHEA Grapalat" w:hAnsi="GHEA Grapalat"/>
          <w:sz w:val="20"/>
          <w:szCs w:val="20"/>
        </w:rPr>
        <w:t xml:space="preserve"> </w:t>
      </w:r>
    </w:p>
    <w:p w14:paraId="407CF85D" w14:textId="77777777" w:rsidR="004F213F" w:rsidRPr="00887D7F" w:rsidRDefault="004F213F" w:rsidP="004F213F">
      <w:pPr>
        <w:spacing w:line="340" w:lineRule="atLeast"/>
        <w:ind w:firstLine="284"/>
        <w:rPr>
          <w:rFonts w:ascii="GHEA Grapalat" w:hAnsi="GHEA Grapalat"/>
          <w:sz w:val="20"/>
          <w:szCs w:val="20"/>
        </w:rPr>
      </w:pPr>
      <w:r w:rsidRPr="00C4017E">
        <w:rPr>
          <w:rFonts w:ascii="GHEA Grapalat" w:hAnsi="GHEA Grapalat"/>
          <w:sz w:val="20"/>
          <w:szCs w:val="20"/>
        </w:rPr>
        <w:t xml:space="preserve">Demand for foreign currency liquidity has </w:t>
      </w:r>
      <w:r>
        <w:rPr>
          <w:rFonts w:ascii="GHEA Grapalat" w:hAnsi="GHEA Grapalat"/>
          <w:sz w:val="20"/>
          <w:szCs w:val="20"/>
        </w:rPr>
        <w:t xml:space="preserve">in the meantime </w:t>
      </w:r>
      <w:r w:rsidRPr="00C4017E">
        <w:rPr>
          <w:rFonts w:ascii="GHEA Grapalat" w:hAnsi="GHEA Grapalat"/>
          <w:sz w:val="20"/>
          <w:szCs w:val="20"/>
        </w:rPr>
        <w:t>been</w:t>
      </w:r>
      <w:r>
        <w:rPr>
          <w:rFonts w:ascii="GHEA Grapalat" w:hAnsi="GHEA Grapalat"/>
          <w:sz w:val="20"/>
          <w:szCs w:val="20"/>
        </w:rPr>
        <w:t xml:space="preserve"> concurrent with t</w:t>
      </w:r>
      <w:r w:rsidRPr="00C4017E">
        <w:rPr>
          <w:rFonts w:ascii="GHEA Grapalat" w:hAnsi="GHEA Grapalat"/>
          <w:sz w:val="20"/>
          <w:szCs w:val="20"/>
        </w:rPr>
        <w:t xml:space="preserve">he dram </w:t>
      </w:r>
      <w:r>
        <w:rPr>
          <w:rFonts w:ascii="GHEA Grapalat" w:hAnsi="GHEA Grapalat"/>
          <w:sz w:val="20"/>
          <w:szCs w:val="20"/>
        </w:rPr>
        <w:t xml:space="preserve">exchange rate depreciation pressures, </w:t>
      </w:r>
      <w:proofErr w:type="gramStart"/>
      <w:r>
        <w:rPr>
          <w:rFonts w:ascii="GHEA Grapalat" w:hAnsi="GHEA Grapalat"/>
          <w:sz w:val="20"/>
          <w:szCs w:val="20"/>
        </w:rPr>
        <w:t>similar to</w:t>
      </w:r>
      <w:proofErr w:type="gramEnd"/>
      <w:r>
        <w:rPr>
          <w:rFonts w:ascii="GHEA Grapalat" w:hAnsi="GHEA Grapalat"/>
          <w:sz w:val="20"/>
          <w:szCs w:val="20"/>
        </w:rPr>
        <w:t xml:space="preserve"> </w:t>
      </w:r>
      <w:r w:rsidRPr="00C4017E">
        <w:rPr>
          <w:rFonts w:ascii="GHEA Grapalat" w:hAnsi="GHEA Grapalat"/>
          <w:sz w:val="20"/>
          <w:szCs w:val="20"/>
        </w:rPr>
        <w:t xml:space="preserve">many developing countries. However, </w:t>
      </w:r>
      <w:r>
        <w:rPr>
          <w:rFonts w:ascii="GHEA Grapalat" w:hAnsi="GHEA Grapalat"/>
          <w:sz w:val="20"/>
          <w:szCs w:val="20"/>
        </w:rPr>
        <w:t>c</w:t>
      </w:r>
      <w:r w:rsidRPr="00B02DC0">
        <w:rPr>
          <w:rFonts w:ascii="GHEA Grapalat" w:hAnsi="GHEA Grapalat"/>
          <w:sz w:val="20"/>
          <w:szCs w:val="20"/>
        </w:rPr>
        <w:t xml:space="preserve">onsidering the temporary nature of the demand for foreign </w:t>
      </w:r>
      <w:r>
        <w:rPr>
          <w:rFonts w:ascii="GHEA Grapalat" w:hAnsi="GHEA Grapalat"/>
          <w:sz w:val="20"/>
          <w:szCs w:val="20"/>
        </w:rPr>
        <w:t xml:space="preserve">currency </w:t>
      </w:r>
      <w:r w:rsidRPr="00B02DC0">
        <w:rPr>
          <w:rFonts w:ascii="GHEA Grapalat" w:hAnsi="GHEA Grapalat"/>
          <w:sz w:val="20"/>
          <w:szCs w:val="20"/>
        </w:rPr>
        <w:t xml:space="preserve">liquidity, </w:t>
      </w:r>
      <w:r w:rsidRPr="00C4017E">
        <w:rPr>
          <w:rFonts w:ascii="GHEA Grapalat" w:hAnsi="GHEA Grapalat"/>
          <w:sz w:val="20"/>
          <w:szCs w:val="20"/>
        </w:rPr>
        <w:t>in mid-March the Cent</w:t>
      </w:r>
      <w:r>
        <w:rPr>
          <w:rFonts w:ascii="GHEA Grapalat" w:hAnsi="GHEA Grapalat"/>
          <w:sz w:val="20"/>
          <w:szCs w:val="20"/>
        </w:rPr>
        <w:t xml:space="preserve">ral Bank provided the required amount of </w:t>
      </w:r>
      <w:r w:rsidRPr="00C4017E">
        <w:rPr>
          <w:rFonts w:ascii="GHEA Grapalat" w:hAnsi="GHEA Grapalat"/>
          <w:sz w:val="20"/>
          <w:szCs w:val="20"/>
        </w:rPr>
        <w:t>funds to banks through a foreign exchange swap instrument</w:t>
      </w:r>
      <w:r>
        <w:rPr>
          <w:rFonts w:ascii="GHEA Grapalat" w:hAnsi="GHEA Grapalat"/>
          <w:sz w:val="20"/>
          <w:szCs w:val="20"/>
        </w:rPr>
        <w:t>,</w:t>
      </w:r>
      <w:r w:rsidRPr="00C4017E">
        <w:rPr>
          <w:rFonts w:ascii="GHEA Grapalat" w:hAnsi="GHEA Grapalat"/>
          <w:sz w:val="20"/>
          <w:szCs w:val="20"/>
        </w:rPr>
        <w:t xml:space="preserve"> totaling </w:t>
      </w:r>
      <w:r>
        <w:rPr>
          <w:rFonts w:ascii="GHEA Grapalat" w:hAnsi="GHEA Grapalat"/>
          <w:sz w:val="20"/>
          <w:szCs w:val="20"/>
        </w:rPr>
        <w:t>USD</w:t>
      </w:r>
      <w:r w:rsidRPr="00C4017E">
        <w:rPr>
          <w:rFonts w:ascii="GHEA Grapalat" w:hAnsi="GHEA Grapalat"/>
          <w:sz w:val="20"/>
          <w:szCs w:val="20"/>
        </w:rPr>
        <w:t xml:space="preserve"> 53.0 million.</w:t>
      </w:r>
      <w:r>
        <w:rPr>
          <w:rFonts w:ascii="GHEA Grapalat" w:hAnsi="GHEA Grapalat"/>
          <w:sz w:val="20"/>
          <w:szCs w:val="20"/>
        </w:rPr>
        <w:t xml:space="preserve"> T</w:t>
      </w:r>
      <w:r w:rsidRPr="00C4017E">
        <w:rPr>
          <w:rFonts w:ascii="GHEA Grapalat" w:hAnsi="GHEA Grapalat"/>
          <w:sz w:val="20"/>
          <w:szCs w:val="20"/>
        </w:rPr>
        <w:t xml:space="preserve">o </w:t>
      </w:r>
      <w:r>
        <w:rPr>
          <w:rFonts w:ascii="GHEA Grapalat" w:hAnsi="GHEA Grapalat"/>
          <w:sz w:val="20"/>
          <w:szCs w:val="20"/>
        </w:rPr>
        <w:t xml:space="preserve">make sure </w:t>
      </w:r>
      <w:r w:rsidRPr="00C4017E">
        <w:rPr>
          <w:rFonts w:ascii="GHEA Grapalat" w:hAnsi="GHEA Grapalat"/>
          <w:sz w:val="20"/>
          <w:szCs w:val="20"/>
        </w:rPr>
        <w:t>the foreign exchange market</w:t>
      </w:r>
      <w:r>
        <w:rPr>
          <w:rFonts w:ascii="GHEA Grapalat" w:hAnsi="GHEA Grapalat"/>
          <w:sz w:val="20"/>
          <w:szCs w:val="20"/>
        </w:rPr>
        <w:t xml:space="preserve"> operates uninterruptedly,</w:t>
      </w:r>
      <w:r w:rsidRPr="00C4017E">
        <w:rPr>
          <w:rFonts w:ascii="GHEA Grapalat" w:hAnsi="GHEA Grapalat"/>
          <w:sz w:val="20"/>
          <w:szCs w:val="20"/>
        </w:rPr>
        <w:t xml:space="preserve"> in the last week of March</w:t>
      </w:r>
      <w:r>
        <w:rPr>
          <w:rFonts w:ascii="GHEA Grapalat" w:hAnsi="GHEA Grapalat"/>
          <w:sz w:val="20"/>
          <w:szCs w:val="20"/>
        </w:rPr>
        <w:t xml:space="preserve"> </w:t>
      </w:r>
      <w:r w:rsidRPr="00C4017E">
        <w:rPr>
          <w:rFonts w:ascii="GHEA Grapalat" w:hAnsi="GHEA Grapalat"/>
          <w:sz w:val="20"/>
          <w:szCs w:val="20"/>
        </w:rPr>
        <w:t xml:space="preserve">the Central Bank sold </w:t>
      </w:r>
      <w:r>
        <w:rPr>
          <w:rFonts w:ascii="GHEA Grapalat" w:hAnsi="GHEA Grapalat"/>
          <w:sz w:val="20"/>
          <w:szCs w:val="20"/>
        </w:rPr>
        <w:t xml:space="preserve">USD </w:t>
      </w:r>
      <w:r w:rsidRPr="00C4017E">
        <w:rPr>
          <w:rFonts w:ascii="GHEA Grapalat" w:hAnsi="GHEA Grapalat"/>
          <w:sz w:val="20"/>
          <w:szCs w:val="20"/>
        </w:rPr>
        <w:t xml:space="preserve">70.0 million, </w:t>
      </w:r>
      <w:r>
        <w:rPr>
          <w:rFonts w:ascii="GHEA Grapalat" w:hAnsi="GHEA Grapalat"/>
          <w:sz w:val="20"/>
          <w:szCs w:val="20"/>
        </w:rPr>
        <w:t xml:space="preserve">with </w:t>
      </w:r>
      <w:r w:rsidRPr="00C4017E">
        <w:rPr>
          <w:rFonts w:ascii="GHEA Grapalat" w:hAnsi="GHEA Grapalat"/>
          <w:sz w:val="20"/>
          <w:szCs w:val="20"/>
        </w:rPr>
        <w:t xml:space="preserve">net sales </w:t>
      </w:r>
      <w:r>
        <w:rPr>
          <w:rFonts w:ascii="GHEA Grapalat" w:hAnsi="GHEA Grapalat"/>
          <w:sz w:val="20"/>
          <w:szCs w:val="20"/>
        </w:rPr>
        <w:t xml:space="preserve">by the Central Bank </w:t>
      </w:r>
      <w:r w:rsidRPr="00C4017E">
        <w:rPr>
          <w:rFonts w:ascii="GHEA Grapalat" w:hAnsi="GHEA Grapalat"/>
          <w:sz w:val="20"/>
          <w:szCs w:val="20"/>
        </w:rPr>
        <w:t xml:space="preserve">amounting to </w:t>
      </w:r>
      <w:r>
        <w:rPr>
          <w:rFonts w:ascii="GHEA Grapalat" w:hAnsi="GHEA Grapalat"/>
          <w:sz w:val="20"/>
          <w:szCs w:val="20"/>
        </w:rPr>
        <w:t xml:space="preserve">USD </w:t>
      </w:r>
      <w:r w:rsidRPr="00C4017E">
        <w:rPr>
          <w:rFonts w:ascii="GHEA Grapalat" w:hAnsi="GHEA Grapalat"/>
          <w:sz w:val="20"/>
          <w:szCs w:val="20"/>
        </w:rPr>
        <w:t>12.2 million during the quarter</w:t>
      </w:r>
      <w:r>
        <w:rPr>
          <w:rFonts w:ascii="GHEA Grapalat" w:hAnsi="GHEA Grapalat"/>
          <w:sz w:val="20"/>
          <w:szCs w:val="20"/>
        </w:rPr>
        <w:t>, together with January-February purchases of foreign currency</w:t>
      </w:r>
      <w:r w:rsidRPr="00C4017E">
        <w:rPr>
          <w:rFonts w:ascii="GHEA Grapalat" w:hAnsi="GHEA Grapalat"/>
          <w:sz w:val="20"/>
          <w:szCs w:val="20"/>
        </w:rPr>
        <w:t>.</w:t>
      </w:r>
      <w:r>
        <w:rPr>
          <w:rFonts w:ascii="GHEA Grapalat" w:hAnsi="GHEA Grapalat"/>
          <w:sz w:val="20"/>
          <w:szCs w:val="20"/>
        </w:rPr>
        <w:t xml:space="preserve"> </w:t>
      </w:r>
    </w:p>
    <w:p w14:paraId="1550E17A" w14:textId="77777777" w:rsidR="004F213F" w:rsidRPr="00887D7F" w:rsidRDefault="004F213F" w:rsidP="004F213F">
      <w:pPr>
        <w:spacing w:line="340" w:lineRule="atLeast"/>
        <w:ind w:firstLine="284"/>
        <w:rPr>
          <w:rFonts w:ascii="GHEA Grapalat" w:hAnsi="GHEA Grapalat"/>
          <w:sz w:val="20"/>
          <w:szCs w:val="20"/>
        </w:rPr>
      </w:pPr>
      <w:r>
        <w:rPr>
          <w:rFonts w:ascii="GHEA Grapalat" w:hAnsi="GHEA Grapalat"/>
          <w:sz w:val="20"/>
          <w:szCs w:val="20"/>
        </w:rPr>
        <w:t xml:space="preserve">The end of quarter </w:t>
      </w:r>
      <w:r w:rsidRPr="00887D7F">
        <w:rPr>
          <w:rFonts w:ascii="GHEA Grapalat" w:hAnsi="GHEA Grapalat"/>
          <w:sz w:val="20"/>
          <w:szCs w:val="20"/>
        </w:rPr>
        <w:t xml:space="preserve">announcements </w:t>
      </w:r>
      <w:r>
        <w:rPr>
          <w:rFonts w:ascii="GHEA Grapalat" w:hAnsi="GHEA Grapalat"/>
          <w:sz w:val="20"/>
          <w:szCs w:val="20"/>
        </w:rPr>
        <w:t xml:space="preserve">and </w:t>
      </w:r>
      <w:r w:rsidRPr="00887D7F">
        <w:rPr>
          <w:rFonts w:ascii="GHEA Grapalat" w:hAnsi="GHEA Grapalat"/>
          <w:sz w:val="20"/>
          <w:szCs w:val="20"/>
        </w:rPr>
        <w:t xml:space="preserve">tools used by the Central Bank were mainly aimed at mitigating the negative effects of </w:t>
      </w:r>
      <w:r>
        <w:rPr>
          <w:rFonts w:ascii="GHEA Grapalat" w:hAnsi="GHEA Grapalat"/>
          <w:sz w:val="20"/>
          <w:szCs w:val="20"/>
        </w:rPr>
        <w:t>the pan</w:t>
      </w:r>
      <w:r w:rsidRPr="00887D7F">
        <w:rPr>
          <w:rFonts w:ascii="GHEA Grapalat" w:hAnsi="GHEA Grapalat"/>
          <w:sz w:val="20"/>
          <w:szCs w:val="20"/>
        </w:rPr>
        <w:t>demic on the financial market and ensuring financial stability. During this period, despite the stable level of</w:t>
      </w:r>
      <w:r>
        <w:rPr>
          <w:rFonts w:ascii="GHEA Grapalat" w:hAnsi="GHEA Grapalat"/>
          <w:sz w:val="20"/>
          <w:szCs w:val="20"/>
        </w:rPr>
        <w:t xml:space="preserve"> short-term interest rates, existing </w:t>
      </w:r>
      <w:r w:rsidRPr="00887D7F">
        <w:rPr>
          <w:rFonts w:ascii="GHEA Grapalat" w:hAnsi="GHEA Grapalat"/>
          <w:sz w:val="20"/>
          <w:szCs w:val="20"/>
        </w:rPr>
        <w:t>uncertainties were reflected in m</w:t>
      </w:r>
      <w:r>
        <w:rPr>
          <w:rFonts w:ascii="GHEA Grapalat" w:hAnsi="GHEA Grapalat"/>
          <w:sz w:val="20"/>
          <w:szCs w:val="20"/>
        </w:rPr>
        <w:t>id-</w:t>
      </w:r>
      <w:r w:rsidRPr="00887D7F">
        <w:rPr>
          <w:rFonts w:ascii="GHEA Grapalat" w:hAnsi="GHEA Grapalat"/>
          <w:sz w:val="20"/>
          <w:szCs w:val="20"/>
        </w:rPr>
        <w:t>term and long-term government bond</w:t>
      </w:r>
      <w:r>
        <w:rPr>
          <w:rFonts w:ascii="GHEA Grapalat" w:hAnsi="GHEA Grapalat"/>
          <w:sz w:val="20"/>
          <w:szCs w:val="20"/>
        </w:rPr>
        <w:t xml:space="preserve"> yield</w:t>
      </w:r>
      <w:r w:rsidRPr="00887D7F">
        <w:rPr>
          <w:rFonts w:ascii="GHEA Grapalat" w:hAnsi="GHEA Grapalat"/>
          <w:sz w:val="20"/>
          <w:szCs w:val="20"/>
        </w:rPr>
        <w:t xml:space="preserve">s. The gradual decline in bond yields in January-February was followed by a sharp rise in mid-March, raising both the yield curve and the slope. However, the refinancing rate </w:t>
      </w:r>
      <w:r>
        <w:rPr>
          <w:rFonts w:ascii="GHEA Grapalat" w:hAnsi="GHEA Grapalat"/>
          <w:sz w:val="20"/>
          <w:szCs w:val="20"/>
        </w:rPr>
        <w:t xml:space="preserve">cut </w:t>
      </w:r>
      <w:r w:rsidRPr="00887D7F">
        <w:rPr>
          <w:rFonts w:ascii="GHEA Grapalat" w:hAnsi="GHEA Grapalat"/>
          <w:sz w:val="20"/>
          <w:szCs w:val="20"/>
        </w:rPr>
        <w:t xml:space="preserve">by the Central Bank and </w:t>
      </w:r>
      <w:r>
        <w:rPr>
          <w:rFonts w:ascii="GHEA Grapalat" w:hAnsi="GHEA Grapalat"/>
          <w:sz w:val="20"/>
          <w:szCs w:val="20"/>
        </w:rPr>
        <w:t xml:space="preserve">the </w:t>
      </w:r>
      <w:r w:rsidRPr="00887D7F">
        <w:rPr>
          <w:rFonts w:ascii="GHEA Grapalat" w:hAnsi="GHEA Grapalat"/>
          <w:sz w:val="20"/>
          <w:szCs w:val="20"/>
        </w:rPr>
        <w:t>full</w:t>
      </w:r>
      <w:r>
        <w:rPr>
          <w:rFonts w:ascii="GHEA Grapalat" w:hAnsi="GHEA Grapalat"/>
          <w:sz w:val="20"/>
          <w:szCs w:val="20"/>
        </w:rPr>
        <w:t>y</w:t>
      </w:r>
      <w:r w:rsidRPr="00887D7F">
        <w:rPr>
          <w:rFonts w:ascii="GHEA Grapalat" w:hAnsi="GHEA Grapalat"/>
          <w:sz w:val="20"/>
          <w:szCs w:val="20"/>
        </w:rPr>
        <w:t xml:space="preserve"> satisf</w:t>
      </w:r>
      <w:r>
        <w:rPr>
          <w:rFonts w:ascii="GHEA Grapalat" w:hAnsi="GHEA Grapalat"/>
          <w:sz w:val="20"/>
          <w:szCs w:val="20"/>
        </w:rPr>
        <w:t xml:space="preserve">ied </w:t>
      </w:r>
      <w:r w:rsidRPr="00887D7F">
        <w:rPr>
          <w:rFonts w:ascii="GHEA Grapalat" w:hAnsi="GHEA Grapalat"/>
          <w:sz w:val="20"/>
          <w:szCs w:val="20"/>
        </w:rPr>
        <w:t>demand for</w:t>
      </w:r>
      <w:r>
        <w:rPr>
          <w:rFonts w:ascii="GHEA Grapalat" w:hAnsi="GHEA Grapalat"/>
          <w:sz w:val="20"/>
          <w:szCs w:val="20"/>
        </w:rPr>
        <w:t xml:space="preserve"> dram</w:t>
      </w:r>
      <w:r w:rsidRPr="00887D7F">
        <w:rPr>
          <w:rFonts w:ascii="GHEA Grapalat" w:hAnsi="GHEA Grapalat"/>
          <w:sz w:val="20"/>
          <w:szCs w:val="20"/>
        </w:rPr>
        <w:t xml:space="preserve"> liquidity</w:t>
      </w:r>
      <w:r>
        <w:rPr>
          <w:rFonts w:ascii="GHEA Grapalat" w:hAnsi="GHEA Grapalat"/>
          <w:sz w:val="20"/>
          <w:szCs w:val="20"/>
        </w:rPr>
        <w:t xml:space="preserve"> somehow eased </w:t>
      </w:r>
      <w:r w:rsidRPr="00887D7F">
        <w:rPr>
          <w:rFonts w:ascii="GHEA Grapalat" w:hAnsi="GHEA Grapalat"/>
          <w:sz w:val="20"/>
          <w:szCs w:val="20"/>
        </w:rPr>
        <w:t xml:space="preserve">the concerns in the financial market, </w:t>
      </w:r>
      <w:r>
        <w:rPr>
          <w:rFonts w:ascii="GHEA Grapalat" w:hAnsi="GHEA Grapalat"/>
          <w:sz w:val="20"/>
          <w:szCs w:val="20"/>
        </w:rPr>
        <w:t xml:space="preserve">making </w:t>
      </w:r>
      <w:r w:rsidRPr="00887D7F">
        <w:rPr>
          <w:rFonts w:ascii="GHEA Grapalat" w:hAnsi="GHEA Grapalat"/>
          <w:sz w:val="20"/>
          <w:szCs w:val="20"/>
        </w:rPr>
        <w:t>yields in the m</w:t>
      </w:r>
      <w:r>
        <w:rPr>
          <w:rFonts w:ascii="GHEA Grapalat" w:hAnsi="GHEA Grapalat"/>
          <w:sz w:val="20"/>
          <w:szCs w:val="20"/>
        </w:rPr>
        <w:t xml:space="preserve">edium and </w:t>
      </w:r>
      <w:r w:rsidRPr="00887D7F">
        <w:rPr>
          <w:rFonts w:ascii="GHEA Grapalat" w:hAnsi="GHEA Grapalat"/>
          <w:sz w:val="20"/>
          <w:szCs w:val="20"/>
        </w:rPr>
        <w:t xml:space="preserve">long-term </w:t>
      </w:r>
      <w:r>
        <w:rPr>
          <w:rFonts w:ascii="GHEA Grapalat" w:hAnsi="GHEA Grapalat"/>
          <w:sz w:val="20"/>
          <w:szCs w:val="20"/>
        </w:rPr>
        <w:t>segments of the curve to squeeze and come closer to t</w:t>
      </w:r>
      <w:r w:rsidRPr="00887D7F">
        <w:rPr>
          <w:rFonts w:ascii="GHEA Grapalat" w:hAnsi="GHEA Grapalat"/>
          <w:sz w:val="20"/>
          <w:szCs w:val="20"/>
        </w:rPr>
        <w:t>he previous quarter</w:t>
      </w:r>
      <w:r>
        <w:rPr>
          <w:rFonts w:ascii="GHEA Grapalat" w:hAnsi="GHEA Grapalat"/>
          <w:sz w:val="20"/>
          <w:szCs w:val="20"/>
        </w:rPr>
        <w:t>’s level</w:t>
      </w:r>
      <w:r w:rsidRPr="00887D7F">
        <w:rPr>
          <w:rFonts w:ascii="GHEA Grapalat" w:hAnsi="GHEA Grapalat"/>
          <w:sz w:val="20"/>
          <w:szCs w:val="20"/>
        </w:rPr>
        <w:t>.</w:t>
      </w:r>
    </w:p>
    <w:p w14:paraId="5AE6C90E" w14:textId="77777777" w:rsidR="004F213F" w:rsidRDefault="004F213F" w:rsidP="004F213F">
      <w:pPr>
        <w:spacing w:line="340" w:lineRule="atLeast"/>
        <w:ind w:firstLine="284"/>
        <w:rPr>
          <w:rFonts w:ascii="GHEA Grapalat" w:hAnsi="GHEA Grapalat"/>
          <w:sz w:val="20"/>
          <w:szCs w:val="20"/>
        </w:rPr>
      </w:pPr>
      <w:r>
        <w:rPr>
          <w:rFonts w:ascii="GHEA Grapalat" w:hAnsi="GHEA Grapalat"/>
          <w:sz w:val="20"/>
          <w:szCs w:val="20"/>
        </w:rPr>
        <w:t>As to the lending and interest rates of loans in the first quarter of 2020, t</w:t>
      </w:r>
      <w:r w:rsidRPr="00887D7F">
        <w:rPr>
          <w:rFonts w:ascii="GHEA Grapalat" w:hAnsi="GHEA Grapalat"/>
          <w:sz w:val="20"/>
          <w:szCs w:val="20"/>
        </w:rPr>
        <w:t xml:space="preserve">he negative effects of the </w:t>
      </w:r>
      <w:r>
        <w:rPr>
          <w:rFonts w:ascii="GHEA Grapalat" w:hAnsi="GHEA Grapalat"/>
          <w:sz w:val="20"/>
          <w:szCs w:val="20"/>
        </w:rPr>
        <w:t>c</w:t>
      </w:r>
      <w:r w:rsidRPr="00887D7F">
        <w:rPr>
          <w:rFonts w:ascii="GHEA Grapalat" w:hAnsi="GHEA Grapalat"/>
          <w:sz w:val="20"/>
          <w:szCs w:val="20"/>
        </w:rPr>
        <w:t xml:space="preserve">oronavirus </w:t>
      </w:r>
      <w:r>
        <w:rPr>
          <w:rFonts w:ascii="GHEA Grapalat" w:hAnsi="GHEA Grapalat"/>
          <w:sz w:val="20"/>
          <w:szCs w:val="20"/>
        </w:rPr>
        <w:t xml:space="preserve">pandemic did not show up yet </w:t>
      </w:r>
      <w:r w:rsidRPr="00887D7F">
        <w:rPr>
          <w:rFonts w:ascii="GHEA Grapalat" w:hAnsi="GHEA Grapalat"/>
          <w:sz w:val="20"/>
          <w:szCs w:val="20"/>
        </w:rPr>
        <w:t>during th</w:t>
      </w:r>
      <w:r>
        <w:rPr>
          <w:rFonts w:ascii="GHEA Grapalat" w:hAnsi="GHEA Grapalat"/>
          <w:sz w:val="20"/>
          <w:szCs w:val="20"/>
        </w:rPr>
        <w:t>is time: l</w:t>
      </w:r>
      <w:r w:rsidRPr="00887D7F">
        <w:rPr>
          <w:rFonts w:ascii="GHEA Grapalat" w:hAnsi="GHEA Grapalat"/>
          <w:sz w:val="20"/>
          <w:szCs w:val="20"/>
        </w:rPr>
        <w:t xml:space="preserve">ending growth </w:t>
      </w:r>
      <w:r>
        <w:rPr>
          <w:rFonts w:ascii="GHEA Grapalat" w:hAnsi="GHEA Grapalat"/>
          <w:sz w:val="20"/>
          <w:szCs w:val="20"/>
        </w:rPr>
        <w:t xml:space="preserve">remained strong but was, at the </w:t>
      </w:r>
      <w:r w:rsidRPr="00887D7F">
        <w:rPr>
          <w:rFonts w:ascii="GHEA Grapalat" w:hAnsi="GHEA Grapalat"/>
          <w:sz w:val="20"/>
          <w:szCs w:val="20"/>
        </w:rPr>
        <w:t>same time</w:t>
      </w:r>
      <w:r>
        <w:rPr>
          <w:rFonts w:ascii="GHEA Grapalat" w:hAnsi="GHEA Grapalat"/>
          <w:sz w:val="20"/>
          <w:szCs w:val="20"/>
        </w:rPr>
        <w:t>,</w:t>
      </w:r>
      <w:r w:rsidRPr="00887D7F">
        <w:rPr>
          <w:rFonts w:ascii="GHEA Grapalat" w:hAnsi="GHEA Grapalat"/>
          <w:sz w:val="20"/>
          <w:szCs w:val="20"/>
        </w:rPr>
        <w:t xml:space="preserve"> accompanied by a slight increase in interest rates. The 12-month growth of </w:t>
      </w:r>
      <w:r>
        <w:rPr>
          <w:rFonts w:ascii="GHEA Grapalat" w:hAnsi="GHEA Grapalat"/>
          <w:sz w:val="20"/>
          <w:szCs w:val="20"/>
        </w:rPr>
        <w:t xml:space="preserve">total loan portfolio as of </w:t>
      </w:r>
      <w:r w:rsidRPr="00887D7F">
        <w:rPr>
          <w:rFonts w:ascii="GHEA Grapalat" w:hAnsi="GHEA Grapalat"/>
          <w:sz w:val="20"/>
          <w:szCs w:val="20"/>
        </w:rPr>
        <w:t xml:space="preserve">March 2020 </w:t>
      </w:r>
      <w:r>
        <w:rPr>
          <w:rFonts w:ascii="GHEA Grapalat" w:hAnsi="GHEA Grapalat"/>
          <w:sz w:val="20"/>
          <w:szCs w:val="20"/>
        </w:rPr>
        <w:t xml:space="preserve">has been </w:t>
      </w:r>
      <w:r w:rsidRPr="00887D7F">
        <w:rPr>
          <w:rFonts w:ascii="GHEA Grapalat" w:hAnsi="GHEA Grapalat"/>
          <w:sz w:val="20"/>
          <w:szCs w:val="20"/>
        </w:rPr>
        <w:t>19.7%</w:t>
      </w:r>
      <w:r>
        <w:rPr>
          <w:rFonts w:ascii="GHEA Grapalat" w:hAnsi="GHEA Grapalat"/>
          <w:sz w:val="20"/>
          <w:szCs w:val="20"/>
        </w:rPr>
        <w:t xml:space="preserve">, with </w:t>
      </w:r>
      <w:r w:rsidRPr="00887D7F">
        <w:rPr>
          <w:rFonts w:ascii="GHEA Grapalat" w:hAnsi="GHEA Grapalat"/>
          <w:sz w:val="20"/>
          <w:szCs w:val="20"/>
        </w:rPr>
        <w:t>consumer</w:t>
      </w:r>
      <w:r>
        <w:rPr>
          <w:rFonts w:ascii="GHEA Grapalat" w:hAnsi="GHEA Grapalat"/>
          <w:sz w:val="20"/>
          <w:szCs w:val="20"/>
        </w:rPr>
        <w:t xml:space="preserve"> and </w:t>
      </w:r>
      <w:r w:rsidRPr="00887D7F">
        <w:rPr>
          <w:rFonts w:ascii="GHEA Grapalat" w:hAnsi="GHEA Grapalat"/>
          <w:sz w:val="20"/>
          <w:szCs w:val="20"/>
        </w:rPr>
        <w:t xml:space="preserve">mortgage loans </w:t>
      </w:r>
      <w:r>
        <w:rPr>
          <w:rFonts w:ascii="GHEA Grapalat" w:hAnsi="GHEA Grapalat"/>
          <w:sz w:val="20"/>
          <w:szCs w:val="20"/>
        </w:rPr>
        <w:t xml:space="preserve">still holding the biggest share in total lending </w:t>
      </w:r>
      <w:r w:rsidRPr="00887D7F">
        <w:rPr>
          <w:rFonts w:ascii="GHEA Grapalat" w:hAnsi="GHEA Grapalat"/>
          <w:sz w:val="20"/>
          <w:szCs w:val="20"/>
        </w:rPr>
        <w:t xml:space="preserve">both in the previous and this quarter. The pressures in the financial market did not affect the growth rates of lending; in the first quarter they were -0.24%, 1.91% </w:t>
      </w:r>
      <w:r>
        <w:rPr>
          <w:rFonts w:ascii="GHEA Grapalat" w:hAnsi="GHEA Grapalat"/>
          <w:sz w:val="20"/>
          <w:szCs w:val="20"/>
        </w:rPr>
        <w:t>and</w:t>
      </w:r>
      <w:r w:rsidRPr="00887D7F">
        <w:rPr>
          <w:rFonts w:ascii="GHEA Grapalat" w:hAnsi="GHEA Grapalat"/>
          <w:sz w:val="20"/>
          <w:szCs w:val="20"/>
        </w:rPr>
        <w:t xml:space="preserve"> 2.87%, respectively.</w:t>
      </w:r>
    </w:p>
    <w:p w14:paraId="62BBFFB7" w14:textId="23C32494" w:rsidR="004F213F" w:rsidRDefault="004F213F" w:rsidP="004F213F">
      <w:pPr>
        <w:spacing w:line="320" w:lineRule="atLeast"/>
        <w:ind w:firstLine="284"/>
        <w:jc w:val="both"/>
        <w:rPr>
          <w:rFonts w:ascii="Sylfaen" w:hAnsi="Sylfaen"/>
          <w:noProof/>
          <w:sz w:val="20"/>
          <w:szCs w:val="20"/>
          <w:lang w:val="hy-AM"/>
        </w:rPr>
      </w:pPr>
    </w:p>
    <w:p w14:paraId="08E23397" w14:textId="2881D467" w:rsidR="004F213F" w:rsidRPr="004F213F" w:rsidRDefault="004F213F" w:rsidP="004F213F">
      <w:pPr>
        <w:spacing w:line="320" w:lineRule="atLeast"/>
        <w:ind w:firstLine="284"/>
        <w:jc w:val="both"/>
        <w:rPr>
          <w:rFonts w:ascii="Sylfaen" w:hAnsi="Sylfaen"/>
          <w:noProof/>
          <w:sz w:val="20"/>
          <w:szCs w:val="20"/>
        </w:rPr>
      </w:pPr>
      <w:r>
        <w:rPr>
          <w:rFonts w:ascii="Sylfaen" w:hAnsi="Sylfaen"/>
          <w:noProof/>
          <w:sz w:val="20"/>
          <w:szCs w:val="20"/>
        </w:rPr>
        <w:t xml:space="preserve"> </w:t>
      </w:r>
    </w:p>
    <w:p w14:paraId="68E1D051" w14:textId="77777777" w:rsidR="004F213F" w:rsidRPr="003B1EB2" w:rsidRDefault="004F213F" w:rsidP="004F213F">
      <w:pPr>
        <w:pageBreakBefore/>
        <w:autoSpaceDE w:val="0"/>
        <w:autoSpaceDN w:val="0"/>
        <w:adjustRightInd w:val="0"/>
        <w:spacing w:after="120" w:line="312" w:lineRule="auto"/>
        <w:ind w:left="357" w:hanging="357"/>
        <w:contextualSpacing/>
        <w:rPr>
          <w:rFonts w:ascii="GHEA Grapalat" w:hAnsi="GHEA Grapalat" w:cs="GHEA Grapalat"/>
          <w:b/>
          <w:color w:val="1F497D"/>
          <w:spacing w:val="40"/>
          <w:sz w:val="22"/>
          <w:szCs w:val="22"/>
          <w:lang w:val="hy-AM"/>
        </w:rPr>
      </w:pPr>
      <w:r w:rsidRPr="003B1EB2">
        <w:rPr>
          <w:rFonts w:ascii="GHEA Grapalat" w:hAnsi="GHEA Grapalat" w:cs="GHEA Grapalat"/>
          <w:b/>
          <w:color w:val="1F497D"/>
          <w:spacing w:val="40"/>
          <w:sz w:val="22"/>
          <w:szCs w:val="22"/>
          <w:lang w:val="hy-AM"/>
        </w:rPr>
        <w:lastRenderedPageBreak/>
        <w:t xml:space="preserve">4. </w:t>
      </w:r>
      <w:r w:rsidRPr="005E1AC4">
        <w:rPr>
          <w:rFonts w:ascii="GHEA Grapalat" w:hAnsi="GHEA Grapalat" w:cs="GHEA Grapalat"/>
          <w:b/>
          <w:color w:val="1F497D"/>
          <w:spacing w:val="40"/>
          <w:sz w:val="22"/>
          <w:szCs w:val="22"/>
          <w:lang w:val="hy-AM"/>
        </w:rPr>
        <w:t>SUMMING</w:t>
      </w:r>
      <w:r w:rsidRPr="00344A0A">
        <w:rPr>
          <w:rFonts w:ascii="GHEA Grapalat" w:hAnsi="GHEA Grapalat" w:cs="GHEA Grapalat"/>
          <w:b/>
          <w:color w:val="1F497D"/>
          <w:spacing w:val="40"/>
          <w:sz w:val="22"/>
          <w:szCs w:val="22"/>
          <w:lang w:val="hy-AM"/>
        </w:rPr>
        <w:t>-UP</w:t>
      </w:r>
    </w:p>
    <w:p w14:paraId="3A019090" w14:textId="77777777" w:rsidR="004F213F" w:rsidRPr="003B1EB2" w:rsidRDefault="004F213F" w:rsidP="004F213F">
      <w:pPr>
        <w:spacing w:line="320" w:lineRule="atLeast"/>
        <w:ind w:firstLine="284"/>
        <w:jc w:val="both"/>
        <w:rPr>
          <w:rFonts w:ascii="GHEA Grapalat" w:hAnsi="GHEA Grapalat" w:cs="Sylfaen"/>
          <w:color w:val="1F497D"/>
          <w:sz w:val="20"/>
          <w:szCs w:val="20"/>
          <w:lang w:val="hy-AM"/>
        </w:rPr>
      </w:pPr>
    </w:p>
    <w:p w14:paraId="6913B5AF" w14:textId="77777777" w:rsidR="004F213F" w:rsidRPr="005259F3" w:rsidRDefault="004F213F" w:rsidP="004F213F">
      <w:pPr>
        <w:spacing w:line="340" w:lineRule="atLeast"/>
        <w:ind w:firstLine="284"/>
        <w:rPr>
          <w:rFonts w:ascii="GHEA Grapalat" w:hAnsi="GHEA Grapalat" w:cs="GHEA Grapalat"/>
          <w:color w:val="FF0000"/>
          <w:sz w:val="20"/>
          <w:szCs w:val="20"/>
          <w:lang w:val="hy-AM"/>
        </w:rPr>
      </w:pPr>
      <w:r w:rsidRPr="00344A0A">
        <w:rPr>
          <w:rFonts w:ascii="GHEA Grapalat" w:hAnsi="GHEA Grapalat"/>
          <w:b/>
          <w:i/>
          <w:sz w:val="20"/>
          <w:szCs w:val="20"/>
        </w:rPr>
        <w:t xml:space="preserve">The </w:t>
      </w:r>
      <w:r>
        <w:rPr>
          <w:rFonts w:ascii="GHEA Grapalat" w:hAnsi="GHEA Grapalat"/>
          <w:b/>
          <w:i/>
          <w:sz w:val="20"/>
          <w:szCs w:val="20"/>
        </w:rPr>
        <w:t xml:space="preserve">inflation environment will remain low in the upcoming </w:t>
      </w:r>
      <w:proofErr w:type="gramStart"/>
      <w:r>
        <w:rPr>
          <w:rFonts w:ascii="GHEA Grapalat" w:hAnsi="GHEA Grapalat"/>
          <w:b/>
          <w:i/>
          <w:sz w:val="20"/>
          <w:szCs w:val="20"/>
        </w:rPr>
        <w:t>period of time</w:t>
      </w:r>
      <w:proofErr w:type="gramEnd"/>
      <w:r>
        <w:rPr>
          <w:rFonts w:ascii="GHEA Grapalat" w:hAnsi="GHEA Grapalat"/>
          <w:b/>
          <w:i/>
          <w:sz w:val="20"/>
          <w:szCs w:val="20"/>
        </w:rPr>
        <w:t xml:space="preserve">, </w:t>
      </w:r>
      <w:r w:rsidRPr="00344A0A">
        <w:rPr>
          <w:rFonts w:ascii="GHEA Grapalat" w:hAnsi="GHEA Grapalat"/>
          <w:b/>
          <w:i/>
          <w:sz w:val="20"/>
          <w:szCs w:val="20"/>
        </w:rPr>
        <w:t>according to Q</w:t>
      </w:r>
      <w:r>
        <w:rPr>
          <w:rFonts w:ascii="GHEA Grapalat" w:hAnsi="GHEA Grapalat"/>
          <w:b/>
          <w:i/>
          <w:sz w:val="20"/>
          <w:szCs w:val="20"/>
        </w:rPr>
        <w:t>2</w:t>
      </w:r>
      <w:r w:rsidRPr="00344A0A">
        <w:rPr>
          <w:rFonts w:ascii="GHEA Grapalat" w:hAnsi="GHEA Grapalat"/>
          <w:b/>
          <w:i/>
          <w:sz w:val="20"/>
          <w:szCs w:val="20"/>
        </w:rPr>
        <w:t xml:space="preserve"> 2020 monetary policy program</w:t>
      </w:r>
      <w:r>
        <w:rPr>
          <w:rFonts w:ascii="GHEA Grapalat" w:hAnsi="GHEA Grapalat"/>
          <w:b/>
          <w:i/>
          <w:sz w:val="20"/>
          <w:szCs w:val="20"/>
        </w:rPr>
        <w:t xml:space="preserve">, </w:t>
      </w:r>
      <w:r w:rsidRPr="00B33A33">
        <w:rPr>
          <w:rFonts w:ascii="GHEA Grapalat" w:hAnsi="GHEA Grapalat"/>
          <w:sz w:val="20"/>
          <w:szCs w:val="20"/>
        </w:rPr>
        <w:t>dr</w:t>
      </w:r>
      <w:r>
        <w:rPr>
          <w:rFonts w:ascii="GHEA Grapalat" w:hAnsi="GHEA Grapalat"/>
          <w:sz w:val="20"/>
          <w:szCs w:val="20"/>
        </w:rPr>
        <w:t>iven by a</w:t>
      </w:r>
      <w:r w:rsidRPr="00B02DC0">
        <w:rPr>
          <w:rFonts w:ascii="GHEA Grapalat" w:hAnsi="GHEA Grapalat"/>
          <w:sz w:val="20"/>
          <w:szCs w:val="20"/>
        </w:rPr>
        <w:t xml:space="preserve"> </w:t>
      </w:r>
      <w:r>
        <w:rPr>
          <w:rFonts w:ascii="GHEA Grapalat" w:hAnsi="GHEA Grapalat"/>
          <w:sz w:val="20"/>
          <w:szCs w:val="20"/>
        </w:rPr>
        <w:t xml:space="preserve">consideration that, despite an expansionary impact of the fiscal policy compared to the previous year, </w:t>
      </w:r>
      <w:r w:rsidRPr="00B02DC0">
        <w:rPr>
          <w:rFonts w:ascii="GHEA Grapalat" w:hAnsi="GHEA Grapalat"/>
          <w:sz w:val="20"/>
          <w:szCs w:val="20"/>
        </w:rPr>
        <w:t xml:space="preserve">persisting </w:t>
      </w:r>
      <w:r>
        <w:rPr>
          <w:rFonts w:ascii="GHEA Grapalat" w:hAnsi="GHEA Grapalat"/>
          <w:sz w:val="20"/>
          <w:szCs w:val="20"/>
        </w:rPr>
        <w:t xml:space="preserve">minor </w:t>
      </w:r>
      <w:r w:rsidRPr="00B02DC0">
        <w:rPr>
          <w:rFonts w:ascii="GHEA Grapalat" w:hAnsi="GHEA Grapalat"/>
          <w:sz w:val="20"/>
          <w:szCs w:val="20"/>
        </w:rPr>
        <w:t>i</w:t>
      </w:r>
      <w:r>
        <w:rPr>
          <w:rFonts w:ascii="GHEA Grapalat" w:hAnsi="GHEA Grapalat"/>
          <w:sz w:val="20"/>
          <w:szCs w:val="20"/>
        </w:rPr>
        <w:t>mpact of private demand on domestic prices will prevail. At the same time, u</w:t>
      </w:r>
      <w:r w:rsidRPr="00E50FAC">
        <w:rPr>
          <w:rFonts w:ascii="GHEA Grapalat" w:hAnsi="GHEA Grapalat"/>
          <w:sz w:val="20"/>
          <w:szCs w:val="20"/>
        </w:rPr>
        <w:t xml:space="preserve">ncertainties </w:t>
      </w:r>
      <w:r>
        <w:rPr>
          <w:rFonts w:ascii="GHEA Grapalat" w:hAnsi="GHEA Grapalat"/>
          <w:sz w:val="20"/>
          <w:szCs w:val="20"/>
        </w:rPr>
        <w:t xml:space="preserve">over </w:t>
      </w:r>
      <w:r w:rsidRPr="00E50FAC">
        <w:rPr>
          <w:rFonts w:ascii="GHEA Grapalat" w:hAnsi="GHEA Grapalat"/>
          <w:sz w:val="20"/>
          <w:szCs w:val="20"/>
        </w:rPr>
        <w:t xml:space="preserve">the </w:t>
      </w:r>
      <w:r>
        <w:rPr>
          <w:rFonts w:ascii="GHEA Grapalat" w:hAnsi="GHEA Grapalat"/>
          <w:sz w:val="20"/>
          <w:szCs w:val="20"/>
        </w:rPr>
        <w:t xml:space="preserve">extent </w:t>
      </w:r>
      <w:r w:rsidRPr="00E50FAC">
        <w:rPr>
          <w:rFonts w:ascii="GHEA Grapalat" w:hAnsi="GHEA Grapalat"/>
          <w:sz w:val="20"/>
          <w:szCs w:val="20"/>
        </w:rPr>
        <w:t xml:space="preserve">of </w:t>
      </w:r>
      <w:r>
        <w:rPr>
          <w:rFonts w:ascii="GHEA Grapalat" w:hAnsi="GHEA Grapalat"/>
          <w:sz w:val="20"/>
          <w:szCs w:val="20"/>
        </w:rPr>
        <w:t xml:space="preserve">spread of the pandemic </w:t>
      </w:r>
      <w:r w:rsidRPr="00E50FAC">
        <w:rPr>
          <w:rFonts w:ascii="GHEA Grapalat" w:hAnsi="GHEA Grapalat"/>
          <w:sz w:val="20"/>
          <w:szCs w:val="20"/>
        </w:rPr>
        <w:t>and the prospects for economic development are still high</w:t>
      </w:r>
      <w:r>
        <w:rPr>
          <w:rFonts w:ascii="GHEA Grapalat" w:hAnsi="GHEA Grapalat"/>
          <w:sz w:val="20"/>
          <w:szCs w:val="20"/>
        </w:rPr>
        <w:t xml:space="preserve">, therefore the Central Bank will continue </w:t>
      </w:r>
      <w:r w:rsidRPr="00B02DC0">
        <w:rPr>
          <w:rFonts w:ascii="GHEA Grapalat" w:hAnsi="GHEA Grapalat"/>
          <w:sz w:val="20"/>
          <w:szCs w:val="20"/>
        </w:rPr>
        <w:t>pursu</w:t>
      </w:r>
      <w:r>
        <w:rPr>
          <w:rFonts w:ascii="GHEA Grapalat" w:hAnsi="GHEA Grapalat"/>
          <w:sz w:val="20"/>
          <w:szCs w:val="20"/>
        </w:rPr>
        <w:t>ing</w:t>
      </w:r>
      <w:r w:rsidRPr="00B02DC0">
        <w:rPr>
          <w:rFonts w:ascii="GHEA Grapalat" w:hAnsi="GHEA Grapalat"/>
          <w:sz w:val="20"/>
          <w:szCs w:val="20"/>
        </w:rPr>
        <w:t xml:space="preserve"> </w:t>
      </w:r>
      <w:r>
        <w:rPr>
          <w:rFonts w:ascii="GHEA Grapalat" w:hAnsi="GHEA Grapalat"/>
          <w:sz w:val="20"/>
          <w:szCs w:val="20"/>
        </w:rPr>
        <w:t>a stimulative</w:t>
      </w:r>
      <w:r w:rsidRPr="00B02DC0">
        <w:rPr>
          <w:rFonts w:ascii="GHEA Grapalat" w:hAnsi="GHEA Grapalat"/>
          <w:sz w:val="20"/>
          <w:szCs w:val="20"/>
        </w:rPr>
        <w:t xml:space="preserve"> monetary policy </w:t>
      </w:r>
      <w:r>
        <w:rPr>
          <w:rFonts w:ascii="GHEA Grapalat" w:hAnsi="GHEA Grapalat"/>
          <w:sz w:val="20"/>
          <w:szCs w:val="20"/>
        </w:rPr>
        <w:t>in the short term</w:t>
      </w:r>
      <w:r w:rsidRPr="00B02DC0">
        <w:rPr>
          <w:rFonts w:ascii="GHEA Grapalat" w:hAnsi="GHEA Grapalat"/>
          <w:sz w:val="20"/>
          <w:szCs w:val="20"/>
        </w:rPr>
        <w:t xml:space="preserve"> </w:t>
      </w:r>
      <w:r>
        <w:rPr>
          <w:rFonts w:ascii="GHEA Grapalat" w:hAnsi="GHEA Grapalat"/>
          <w:sz w:val="20"/>
          <w:szCs w:val="20"/>
        </w:rPr>
        <w:t>and, if need be, will carry on with that policy in the medium run.</w:t>
      </w:r>
    </w:p>
    <w:p w14:paraId="342DDE74" w14:textId="77777777" w:rsidR="004F213F" w:rsidRPr="008B7DEE" w:rsidRDefault="004F213F" w:rsidP="004F213F">
      <w:pPr>
        <w:spacing w:line="320" w:lineRule="atLeast"/>
        <w:ind w:firstLine="284"/>
        <w:rPr>
          <w:rFonts w:ascii="GHEA Grapalat" w:hAnsi="GHEA Grapalat" w:cs="Sylfaen"/>
          <w:color w:val="FF0000"/>
          <w:sz w:val="20"/>
          <w:szCs w:val="20"/>
          <w:lang w:val="hy-AM"/>
        </w:rPr>
      </w:pPr>
      <w:r w:rsidRPr="00344A0A">
        <w:rPr>
          <w:rFonts w:ascii="GHEA Grapalat" w:hAnsi="GHEA Grapalat"/>
          <w:b/>
          <w:i/>
          <w:sz w:val="20"/>
          <w:szCs w:val="20"/>
        </w:rPr>
        <w:t>In the forecast horizon, risks t</w:t>
      </w:r>
      <w:r>
        <w:rPr>
          <w:rFonts w:ascii="GHEA Grapalat" w:hAnsi="GHEA Grapalat"/>
          <w:b/>
          <w:i/>
          <w:sz w:val="20"/>
          <w:szCs w:val="20"/>
        </w:rPr>
        <w:t>hat i</w:t>
      </w:r>
      <w:r w:rsidRPr="00344A0A">
        <w:rPr>
          <w:rFonts w:ascii="GHEA Grapalat" w:hAnsi="GHEA Grapalat"/>
          <w:b/>
          <w:i/>
          <w:sz w:val="20"/>
          <w:szCs w:val="20"/>
        </w:rPr>
        <w:t xml:space="preserve">nflation </w:t>
      </w:r>
      <w:r>
        <w:rPr>
          <w:rFonts w:ascii="GHEA Grapalat" w:hAnsi="GHEA Grapalat"/>
          <w:b/>
          <w:i/>
          <w:sz w:val="20"/>
          <w:szCs w:val="20"/>
        </w:rPr>
        <w:t xml:space="preserve">would </w:t>
      </w:r>
      <w:r w:rsidRPr="00344A0A">
        <w:rPr>
          <w:rFonts w:ascii="GHEA Grapalat" w:hAnsi="GHEA Grapalat"/>
          <w:b/>
          <w:i/>
          <w:sz w:val="20"/>
          <w:szCs w:val="20"/>
        </w:rPr>
        <w:t>deviat</w:t>
      </w:r>
      <w:r>
        <w:rPr>
          <w:rFonts w:ascii="GHEA Grapalat" w:hAnsi="GHEA Grapalat"/>
          <w:b/>
          <w:i/>
          <w:sz w:val="20"/>
          <w:szCs w:val="20"/>
        </w:rPr>
        <w:t xml:space="preserve">e </w:t>
      </w:r>
      <w:r w:rsidRPr="00344A0A">
        <w:rPr>
          <w:rFonts w:ascii="GHEA Grapalat" w:hAnsi="GHEA Grapalat"/>
          <w:b/>
          <w:i/>
          <w:sz w:val="20"/>
          <w:szCs w:val="20"/>
        </w:rPr>
        <w:t>from</w:t>
      </w:r>
      <w:r>
        <w:rPr>
          <w:rFonts w:ascii="GHEA Grapalat" w:hAnsi="GHEA Grapalat"/>
          <w:b/>
          <w:i/>
          <w:sz w:val="20"/>
          <w:szCs w:val="20"/>
        </w:rPr>
        <w:t xml:space="preserve"> the</w:t>
      </w:r>
      <w:r w:rsidRPr="00344A0A">
        <w:rPr>
          <w:rFonts w:ascii="GHEA Grapalat" w:hAnsi="GHEA Grapalat"/>
          <w:b/>
          <w:i/>
          <w:sz w:val="20"/>
          <w:szCs w:val="20"/>
        </w:rPr>
        <w:t xml:space="preserve"> projection path are generally </w:t>
      </w:r>
      <w:r>
        <w:rPr>
          <w:rFonts w:ascii="GHEA Grapalat" w:hAnsi="GHEA Grapalat"/>
          <w:b/>
          <w:i/>
          <w:sz w:val="20"/>
          <w:szCs w:val="20"/>
        </w:rPr>
        <w:t>downside</w:t>
      </w:r>
      <w:r w:rsidRPr="00344A0A">
        <w:rPr>
          <w:rFonts w:ascii="GHEA Grapalat" w:hAnsi="GHEA Grapalat"/>
          <w:i/>
          <w:sz w:val="20"/>
          <w:szCs w:val="20"/>
        </w:rPr>
        <w:t>.</w:t>
      </w:r>
      <w:r w:rsidRPr="00B02DC0">
        <w:rPr>
          <w:rFonts w:ascii="GHEA Grapalat" w:hAnsi="GHEA Grapalat"/>
          <w:sz w:val="20"/>
          <w:szCs w:val="20"/>
        </w:rPr>
        <w:t xml:space="preserve"> T</w:t>
      </w:r>
      <w:r>
        <w:rPr>
          <w:rFonts w:ascii="GHEA Grapalat" w:hAnsi="GHEA Grapalat"/>
          <w:sz w:val="20"/>
          <w:szCs w:val="20"/>
        </w:rPr>
        <w:t xml:space="preserve">he </w:t>
      </w:r>
      <w:r w:rsidRPr="00B02DC0">
        <w:rPr>
          <w:rFonts w:ascii="GHEA Grapalat" w:hAnsi="GHEA Grapalat"/>
          <w:sz w:val="20"/>
          <w:szCs w:val="20"/>
        </w:rPr>
        <w:t xml:space="preserve">Central Bank is </w:t>
      </w:r>
      <w:r>
        <w:rPr>
          <w:rFonts w:ascii="GHEA Grapalat" w:hAnsi="GHEA Grapalat"/>
          <w:sz w:val="20"/>
          <w:szCs w:val="20"/>
        </w:rPr>
        <w:t xml:space="preserve">monitoring these risks and stands ready to react once they emerge, while </w:t>
      </w:r>
      <w:r w:rsidRPr="00B02DC0">
        <w:rPr>
          <w:rFonts w:ascii="GHEA Grapalat" w:hAnsi="GHEA Grapalat"/>
          <w:sz w:val="20"/>
          <w:szCs w:val="20"/>
        </w:rPr>
        <w:t xml:space="preserve">maintaining price stability in the Republic of </w:t>
      </w:r>
      <w:r w:rsidRPr="005E1AC4">
        <w:rPr>
          <w:rFonts w:ascii="GHEA Grapalat" w:hAnsi="GHEA Grapalat"/>
          <w:sz w:val="20"/>
          <w:szCs w:val="20"/>
        </w:rPr>
        <w:t>Armenia</w:t>
      </w:r>
      <w:r w:rsidRPr="00B02DC0">
        <w:rPr>
          <w:rFonts w:ascii="GHEA Grapalat" w:hAnsi="GHEA Grapalat"/>
          <w:sz w:val="20"/>
          <w:szCs w:val="20"/>
        </w:rPr>
        <w:t>.</w:t>
      </w:r>
    </w:p>
    <w:p w14:paraId="5EBBE6D9" w14:textId="77777777" w:rsidR="004F213F" w:rsidRPr="003D12D2" w:rsidRDefault="004F213F" w:rsidP="004F213F">
      <w:pPr>
        <w:autoSpaceDE w:val="0"/>
        <w:autoSpaceDN w:val="0"/>
        <w:adjustRightInd w:val="0"/>
        <w:spacing w:before="180" w:after="200" w:line="260" w:lineRule="atLeast"/>
        <w:ind w:firstLine="284"/>
        <w:jc w:val="right"/>
        <w:rPr>
          <w:rFonts w:ascii="GHEA Grapalat" w:hAnsi="GHEA Grapalat" w:cs="Sylfaen"/>
          <w:i/>
          <w:iCs/>
          <w:sz w:val="18"/>
          <w:szCs w:val="22"/>
          <w:lang w:val="hy-AM"/>
        </w:rPr>
      </w:pPr>
    </w:p>
    <w:p w14:paraId="0B3C1865" w14:textId="77777777" w:rsidR="004F213F" w:rsidRDefault="004F213F"/>
    <w:sectPr w:rsidR="004F21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E7697" w14:textId="77777777" w:rsidR="00F61CF4" w:rsidRDefault="00F61CF4" w:rsidP="004F213F">
      <w:r>
        <w:separator/>
      </w:r>
    </w:p>
  </w:endnote>
  <w:endnote w:type="continuationSeparator" w:id="0">
    <w:p w14:paraId="6218987A" w14:textId="77777777" w:rsidR="00F61CF4" w:rsidRDefault="00F61CF4" w:rsidP="004F2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LatArm">
    <w:altName w:val="Times New Roman"/>
    <w:panose1 w:val="020B0604020202020204"/>
    <w:charset w:val="00"/>
    <w:family w:val="auto"/>
    <w:pitch w:val="variable"/>
    <w:sig w:usb0="00000003" w:usb1="00000000" w:usb2="00000000" w:usb3="00000000" w:csb0="00000001" w:csb1="00000000"/>
  </w:font>
  <w:font w:name="Times Armenian">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Armenian">
    <w:altName w:val="Arial"/>
    <w:panose1 w:val="020B0604020202020204"/>
    <w:charset w:val="00"/>
    <w:family w:val="swiss"/>
    <w:pitch w:val="variable"/>
    <w:sig w:usb0="00000003" w:usb1="00000000" w:usb2="00000000" w:usb3="00000000" w:csb0="00000001" w:csb1="00000000"/>
  </w:font>
  <w:font w:name="GHEA Grapalat">
    <w:altName w:val="Sylfaen"/>
    <w:panose1 w:val="020B0604020202020204"/>
    <w:charset w:val="00"/>
    <w:family w:val="modern"/>
    <w:notTrueType/>
    <w:pitch w:val="variable"/>
    <w:sig w:usb0="A00006AF" w:usb1="5000204B" w:usb2="00000000" w:usb3="00000000" w:csb0="0000009F" w:csb1="00000000"/>
  </w:font>
  <w:font w:name="Arial LatArm">
    <w:altName w:val="Arial"/>
    <w:panose1 w:val="020B0604020202020204"/>
    <w:charset w:val="00"/>
    <w:family w:val="swiss"/>
    <w:pitch w:val="variable"/>
    <w:sig w:usb0="00000003" w:usb1="00000000" w:usb2="00000000" w:usb3="00000000" w:csb0="00000001" w:csb1="00000000"/>
  </w:font>
  <w:font w:name="Armenian Normal">
    <w:altName w:val="Courier New"/>
    <w:panose1 w:val="020B0604020202020204"/>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4C39C" w14:textId="77777777" w:rsidR="00F61CF4" w:rsidRDefault="00F61CF4" w:rsidP="004F213F">
      <w:r>
        <w:separator/>
      </w:r>
    </w:p>
  </w:footnote>
  <w:footnote w:type="continuationSeparator" w:id="0">
    <w:p w14:paraId="3076F027" w14:textId="77777777" w:rsidR="00F61CF4" w:rsidRDefault="00F61CF4" w:rsidP="004F213F">
      <w:r>
        <w:continuationSeparator/>
      </w:r>
    </w:p>
  </w:footnote>
  <w:footnote w:id="1">
    <w:p w14:paraId="52608FAE" w14:textId="77777777" w:rsidR="004F213F" w:rsidRPr="00D8245E" w:rsidRDefault="004F213F" w:rsidP="004F213F">
      <w:pPr>
        <w:pStyle w:val="FootnoteText"/>
        <w:rPr>
          <w:rFonts w:ascii="GHEA Grapalat" w:hAnsi="GHEA Grapalat"/>
          <w:i/>
          <w:sz w:val="16"/>
          <w:szCs w:val="16"/>
        </w:rPr>
      </w:pPr>
      <w:r>
        <w:rPr>
          <w:rStyle w:val="FootnoteReference"/>
        </w:rPr>
        <w:t>2</w:t>
      </w:r>
      <w:r w:rsidRPr="00D8245E">
        <w:rPr>
          <w:rFonts w:ascii="GHEA Grapalat" w:hAnsi="GHEA Grapalat"/>
          <w:i/>
          <w:sz w:val="16"/>
          <w:szCs w:val="16"/>
        </w:rPr>
        <w:t xml:space="preserve"> The personal consumption expenditure price index target is 2%, which on average is commensurate with headline inflation of 2.4%.</w:t>
      </w:r>
    </w:p>
  </w:footnote>
  <w:footnote w:id="2">
    <w:p w14:paraId="5D74E332" w14:textId="77777777" w:rsidR="004F213F" w:rsidRPr="00FA186C" w:rsidRDefault="004F213F" w:rsidP="004F213F">
      <w:pPr>
        <w:pStyle w:val="FootnoteText"/>
        <w:rPr>
          <w:rFonts w:ascii="GHEA Grapalat" w:hAnsi="GHEA Grapalat"/>
          <w:i/>
          <w:sz w:val="16"/>
          <w:szCs w:val="16"/>
        </w:rPr>
      </w:pPr>
      <w:r>
        <w:rPr>
          <w:rStyle w:val="FootnoteReference"/>
        </w:rPr>
        <w:t>3</w:t>
      </w:r>
      <w:r w:rsidRPr="00FA186C">
        <w:rPr>
          <w:rFonts w:ascii="GHEA Grapalat" w:hAnsi="GHEA Grapalat"/>
          <w:i/>
          <w:sz w:val="16"/>
          <w:szCs w:val="16"/>
        </w:rPr>
        <w:t xml:space="preserve"> For a detailed economic growth forecasts, see the “GDP Projection Probability Distribution”, chart 18, table 2.</w:t>
      </w:r>
    </w:p>
  </w:footnote>
  <w:footnote w:id="3">
    <w:p w14:paraId="683CDEF6" w14:textId="77777777" w:rsidR="004F213F" w:rsidRPr="00FA186C" w:rsidRDefault="004F213F" w:rsidP="004F213F">
      <w:pPr>
        <w:pStyle w:val="FootnoteText"/>
        <w:rPr>
          <w:rFonts w:ascii="GHEA Grapalat" w:hAnsi="GHEA Grapalat"/>
          <w:i/>
          <w:sz w:val="16"/>
          <w:szCs w:val="16"/>
          <w:lang w:val="hy-AM"/>
        </w:rPr>
      </w:pPr>
      <w:r>
        <w:rPr>
          <w:rStyle w:val="FootnoteReference"/>
        </w:rPr>
        <w:t>4</w:t>
      </w:r>
      <w:r w:rsidRPr="00FA186C">
        <w:rPr>
          <w:rFonts w:ascii="GHEA Grapalat" w:hAnsi="GHEA Grapalat"/>
          <w:i/>
          <w:sz w:val="16"/>
          <w:szCs w:val="16"/>
          <w:lang w:val="hy-AM"/>
        </w:rPr>
        <w:t xml:space="preserve"> </w:t>
      </w:r>
      <w:r w:rsidRPr="00FA186C">
        <w:rPr>
          <w:rFonts w:ascii="GHEA Grapalat" w:hAnsi="GHEA Grapalat" w:cstheme="minorHAnsi"/>
          <w:i/>
          <w:sz w:val="16"/>
          <w:szCs w:val="16"/>
        </w:rPr>
        <w:t xml:space="preserve">The change in tangible working capital inventories is not included in demand; it is considered by the RA Statistics Committee as a balancing item and does not show the true level of investments, so supply and demand-side calculated economic growths may vary from each other. See </w:t>
      </w:r>
      <w:hyperlink r:id="rId1" w:history="1">
        <w:r w:rsidRPr="00FA186C">
          <w:rPr>
            <w:rFonts w:ascii="GHEA Grapalat" w:hAnsi="GHEA Grapalat"/>
            <w:i/>
            <w:sz w:val="16"/>
            <w:szCs w:val="16"/>
            <w:lang w:val="hy-AM"/>
          </w:rPr>
          <w:t>https://www.armstat.am/file/article/sv_04_19a_112.pdf</w:t>
        </w:r>
      </w:hyperlink>
      <w:r w:rsidRPr="00FA186C">
        <w:rPr>
          <w:rFonts w:ascii="GHEA Grapalat" w:hAnsi="GHEA Grapalat"/>
          <w:i/>
          <w:sz w:val="16"/>
          <w:szCs w:val="16"/>
          <w:lang w:val="hy-AM"/>
        </w:rPr>
        <w:t>.</w:t>
      </w:r>
    </w:p>
  </w:footnote>
  <w:footnote w:id="4">
    <w:p w14:paraId="02426F7E" w14:textId="77777777" w:rsidR="004F213F" w:rsidRDefault="004F213F" w:rsidP="004F213F">
      <w:pPr>
        <w:pStyle w:val="FootnoteText"/>
      </w:pPr>
      <w:r>
        <w:rPr>
          <w:rStyle w:val="FootnoteReference"/>
        </w:rPr>
        <w:t>5</w:t>
      </w:r>
      <w:r>
        <w:t xml:space="preserve"> The </w:t>
      </w:r>
      <w:r w:rsidRPr="00F8589F">
        <w:t>2020</w:t>
      </w:r>
      <w:r>
        <w:t xml:space="preserve"> </w:t>
      </w:r>
      <w:r w:rsidRPr="00F8589F">
        <w:t>GDP ind</w:t>
      </w:r>
      <w:r>
        <w:t>icator is t</w:t>
      </w:r>
      <w:r w:rsidRPr="00F8589F">
        <w:t>he Central Bank</w:t>
      </w:r>
      <w:r>
        <w:t xml:space="preserve"> forecast</w:t>
      </w:r>
      <w:r w:rsidRPr="00F8589F">
        <w:t>.</w:t>
      </w:r>
    </w:p>
  </w:footnote>
  <w:footnote w:id="5">
    <w:p w14:paraId="49BBEC5F" w14:textId="77777777" w:rsidR="004F213F" w:rsidRDefault="004F213F" w:rsidP="004F213F">
      <w:pPr>
        <w:pStyle w:val="FootnoteText"/>
      </w:pPr>
      <w:r>
        <w:rPr>
          <w:rStyle w:val="FootnoteReference"/>
        </w:rPr>
        <w:t>6</w:t>
      </w:r>
      <w:r>
        <w:t xml:space="preserve"> </w:t>
      </w:r>
      <w:r w:rsidRPr="00E90260">
        <w:t>The calculation of the impact includes lending to the economy, which, alth</w:t>
      </w:r>
      <w:r>
        <w:t xml:space="preserve">ough not affecting the deficit, </w:t>
      </w:r>
      <w:r w:rsidRPr="00E90260">
        <w:t>has an impact on aggregate demand.</w:t>
      </w:r>
    </w:p>
  </w:footnote>
  <w:footnote w:id="6">
    <w:p w14:paraId="4967C9D0" w14:textId="77777777" w:rsidR="004F213F" w:rsidRDefault="004F213F" w:rsidP="004F213F">
      <w:pPr>
        <w:pStyle w:val="FootnoteText"/>
      </w:pPr>
      <w:r>
        <w:rPr>
          <w:rStyle w:val="FootnoteReference"/>
        </w:rPr>
        <w:t>7</w:t>
      </w:r>
      <w:r>
        <w:t xml:space="preserve"> </w:t>
      </w:r>
      <w:r w:rsidRPr="00E90260">
        <w:t xml:space="preserve">The </w:t>
      </w:r>
      <w:r>
        <w:t xml:space="preserve">estimate of the fiscal sector excludes </w:t>
      </w:r>
      <w:r w:rsidRPr="00E90260">
        <w:t xml:space="preserve">the </w:t>
      </w:r>
      <w:r>
        <w:t xml:space="preserve">change to the method of </w:t>
      </w:r>
      <w:r w:rsidRPr="00E90260">
        <w:t xml:space="preserve">advance payment of the profit tax </w:t>
      </w:r>
      <w:r>
        <w:t>under the RA Law “</w:t>
      </w:r>
      <w:r w:rsidRPr="00E90260">
        <w:t xml:space="preserve">On Making </w:t>
      </w:r>
      <w:r>
        <w:t xml:space="preserve">Change to </w:t>
      </w:r>
      <w:r w:rsidRPr="00E90260">
        <w:t>RA Tax Code</w:t>
      </w:r>
      <w:r>
        <w:t xml:space="preserve">” which </w:t>
      </w:r>
      <w:r w:rsidRPr="00E90260">
        <w:t xml:space="preserve">the National Assembly </w:t>
      </w:r>
      <w:r>
        <w:t xml:space="preserve">adopted </w:t>
      </w:r>
      <w:r w:rsidRPr="00E90260">
        <w:t xml:space="preserve">on 15.06.2020, </w:t>
      </w:r>
      <w:r>
        <w:t>so the e</w:t>
      </w:r>
      <w:r w:rsidRPr="00E90260">
        <w:t>n</w:t>
      </w:r>
      <w:r>
        <w:t xml:space="preserve">tries on profit tax </w:t>
      </w:r>
      <w:r w:rsidRPr="00E90260">
        <w:t>are expected to decrease</w:t>
      </w:r>
      <w:r>
        <w:t xml:space="preserve"> against the 2020 projection</w:t>
      </w:r>
      <w:r w:rsidRPr="00E90260">
        <w:t>.</w:t>
      </w:r>
    </w:p>
  </w:footnote>
  <w:footnote w:id="7">
    <w:p w14:paraId="2DB5FE1D" w14:textId="77777777" w:rsidR="004F213F" w:rsidRPr="00FA186C" w:rsidRDefault="004F213F" w:rsidP="004F213F">
      <w:pPr>
        <w:pStyle w:val="FootnoteText"/>
        <w:jc w:val="both"/>
        <w:rPr>
          <w:rFonts w:ascii="GHEA Grapalat" w:hAnsi="GHEA Grapalat"/>
          <w:i/>
          <w:sz w:val="16"/>
          <w:szCs w:val="16"/>
        </w:rPr>
      </w:pPr>
      <w:r>
        <w:rPr>
          <w:rStyle w:val="FootnoteReference"/>
        </w:rPr>
        <w:t>8</w:t>
      </w:r>
      <w:r w:rsidRPr="00FA186C">
        <w:rPr>
          <w:rFonts w:ascii="GHEA Grapalat" w:hAnsi="GHEA Grapalat"/>
          <w:i/>
          <w:sz w:val="16"/>
          <w:szCs w:val="16"/>
        </w:rPr>
        <w:t xml:space="preserve"> The labor market data for 20</w:t>
      </w:r>
      <w:r>
        <w:rPr>
          <w:rFonts w:ascii="GHEA Grapalat" w:hAnsi="GHEA Grapalat"/>
          <w:i/>
          <w:sz w:val="16"/>
          <w:szCs w:val="16"/>
        </w:rPr>
        <w:t>20</w:t>
      </w:r>
      <w:r w:rsidRPr="00FA186C">
        <w:rPr>
          <w:rFonts w:ascii="GHEA Grapalat" w:hAnsi="GHEA Grapalat"/>
          <w:i/>
          <w:sz w:val="16"/>
          <w:szCs w:val="16"/>
        </w:rPr>
        <w:t xml:space="preserve">-2022 are the Central Bank projections based on the actual </w:t>
      </w:r>
      <w:r>
        <w:rPr>
          <w:rFonts w:ascii="GHEA Grapalat" w:hAnsi="GHEA Grapalat"/>
          <w:i/>
          <w:sz w:val="16"/>
          <w:szCs w:val="16"/>
        </w:rPr>
        <w:t>fourth</w:t>
      </w:r>
      <w:r w:rsidRPr="00FA186C">
        <w:rPr>
          <w:rFonts w:ascii="GHEA Grapalat" w:hAnsi="GHEA Grapalat"/>
          <w:i/>
          <w:sz w:val="16"/>
          <w:szCs w:val="16"/>
        </w:rPr>
        <w:t xml:space="preserve"> quarter 2019 data. The growth indicators presented in this sub-section are relative to the same reference period last year, unless otherwise specified.</w:t>
      </w:r>
    </w:p>
  </w:footnote>
  <w:footnote w:id="8">
    <w:p w14:paraId="39E2784D" w14:textId="77777777" w:rsidR="004F213F" w:rsidRDefault="004F213F" w:rsidP="004F213F">
      <w:pPr>
        <w:pStyle w:val="FootnoteText"/>
      </w:pPr>
      <w:r>
        <w:rPr>
          <w:rStyle w:val="FootnoteReference"/>
        </w:rPr>
        <w:t>9</w:t>
      </w:r>
      <w:r>
        <w:t xml:space="preserve"> See: </w:t>
      </w:r>
      <w:hyperlink r:id="rId2">
        <w:r w:rsidRPr="00DE072C">
          <w:rPr>
            <w:rFonts w:ascii="Arial Narrow" w:eastAsia="GHEA Grapalat" w:hAnsi="Arial Narrow" w:cs="GHEA Grapalat"/>
            <w:i/>
            <w:sz w:val="16"/>
            <w:szCs w:val="16"/>
            <w:lang w:val="hy-AM"/>
          </w:rPr>
          <w:t>https://www.armstat.am/file/article/sv_04_20a_142.pdf</w:t>
        </w:r>
      </w:hyperlink>
    </w:p>
  </w:footnote>
  <w:footnote w:id="9">
    <w:p w14:paraId="402DECAD" w14:textId="77777777" w:rsidR="004F213F" w:rsidRPr="00D24D52" w:rsidRDefault="004F213F" w:rsidP="004F213F">
      <w:pPr>
        <w:pStyle w:val="FootnoteText"/>
        <w:rPr>
          <w:rFonts w:ascii="GHEA Grapalat" w:hAnsi="GHEA Grapalat"/>
          <w:i/>
          <w:sz w:val="16"/>
          <w:szCs w:val="16"/>
        </w:rPr>
      </w:pPr>
      <w:r>
        <w:rPr>
          <w:rStyle w:val="FootnoteReference"/>
        </w:rPr>
        <w:t>17</w:t>
      </w:r>
      <w:r w:rsidRPr="00D24D52">
        <w:rPr>
          <w:rFonts w:ascii="GHEA Grapalat" w:hAnsi="GHEA Grapalat"/>
          <w:i/>
          <w:sz w:val="16"/>
          <w:szCs w:val="16"/>
        </w:rPr>
        <w:t xml:space="preserve"> </w:t>
      </w:r>
      <w:r w:rsidRPr="00D24D52">
        <w:rPr>
          <w:rFonts w:ascii="GHEA Grapalat" w:hAnsi="GHEA Grapalat"/>
          <w:i/>
          <w:iCs/>
          <w:sz w:val="16"/>
          <w:szCs w:val="16"/>
        </w:rPr>
        <w:t>The review of the fiscal sector used actual consolidated budget indicators of the f</w:t>
      </w:r>
      <w:r>
        <w:rPr>
          <w:rFonts w:ascii="GHEA Grapalat" w:hAnsi="GHEA Grapalat"/>
          <w:i/>
          <w:iCs/>
          <w:sz w:val="16"/>
          <w:szCs w:val="16"/>
        </w:rPr>
        <w:t xml:space="preserve">irst </w:t>
      </w:r>
      <w:r w:rsidRPr="00D24D52">
        <w:rPr>
          <w:rFonts w:ascii="GHEA Grapalat" w:hAnsi="GHEA Grapalat"/>
          <w:i/>
          <w:iCs/>
          <w:sz w:val="16"/>
          <w:szCs w:val="16"/>
        </w:rPr>
        <w:t>quarter of 20</w:t>
      </w:r>
      <w:r>
        <w:rPr>
          <w:rFonts w:ascii="GHEA Grapalat" w:hAnsi="GHEA Grapalat"/>
          <w:i/>
          <w:iCs/>
          <w:sz w:val="16"/>
          <w:szCs w:val="16"/>
        </w:rPr>
        <w:t>20</w:t>
      </w:r>
      <w:r w:rsidRPr="00D24D52">
        <w:rPr>
          <w:rFonts w:ascii="GHEA Grapalat" w:hAnsi="GHEA Grapalat"/>
          <w:i/>
          <w:iCs/>
          <w:sz w:val="16"/>
          <w:szCs w:val="16"/>
        </w:rPr>
        <w:t>.</w:t>
      </w:r>
    </w:p>
  </w:footnote>
  <w:footnote w:id="10">
    <w:p w14:paraId="3CDD865C" w14:textId="77777777" w:rsidR="004F213F" w:rsidRPr="00D24D52" w:rsidRDefault="004F213F" w:rsidP="004F213F">
      <w:pPr>
        <w:pStyle w:val="FootnoteText"/>
        <w:rPr>
          <w:rFonts w:ascii="GHEA Grapalat" w:hAnsi="GHEA Grapalat"/>
          <w:i/>
          <w:sz w:val="16"/>
          <w:szCs w:val="16"/>
        </w:rPr>
      </w:pPr>
      <w:r>
        <w:rPr>
          <w:rStyle w:val="FootnoteReference"/>
        </w:rPr>
        <w:t>18</w:t>
      </w:r>
      <w:r w:rsidRPr="00D24D52">
        <w:rPr>
          <w:rFonts w:ascii="GHEA Grapalat" w:hAnsi="GHEA Grapalat"/>
          <w:i/>
          <w:sz w:val="16"/>
          <w:szCs w:val="16"/>
        </w:rPr>
        <w:t xml:space="preserve"> The revenue projection was based on the adjusted </w:t>
      </w:r>
      <w:r>
        <w:rPr>
          <w:rFonts w:ascii="GHEA Grapalat" w:hAnsi="GHEA Grapalat"/>
          <w:i/>
          <w:sz w:val="16"/>
          <w:szCs w:val="16"/>
        </w:rPr>
        <w:t>2020 p</w:t>
      </w:r>
      <w:r w:rsidRPr="00D24D52">
        <w:rPr>
          <w:rFonts w:ascii="GHEA Grapalat" w:hAnsi="GHEA Grapalat"/>
          <w:i/>
          <w:sz w:val="16"/>
          <w:szCs w:val="16"/>
        </w:rPr>
        <w:t>lan of the Government.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679"/>
    <w:multiLevelType w:val="multilevel"/>
    <w:tmpl w:val="69045822"/>
    <w:lvl w:ilvl="0">
      <w:start w:val="3"/>
      <w:numFmt w:val="upperRoman"/>
      <w:lvlText w:val="%1."/>
      <w:lvlJc w:val="left"/>
      <w:pPr>
        <w:ind w:left="1080" w:hanging="720"/>
      </w:pPr>
      <w:rPr>
        <w:rFonts w:hint="default"/>
      </w:rPr>
    </w:lvl>
    <w:lvl w:ilvl="1">
      <w:start w:val="2"/>
      <w:numFmt w:val="decimal"/>
      <w:isLgl/>
      <w:lvlText w:val="%1.%2."/>
      <w:lvlJc w:val="left"/>
      <w:pPr>
        <w:ind w:left="1199" w:hanging="720"/>
      </w:pPr>
      <w:rPr>
        <w:rFonts w:hint="default"/>
      </w:rPr>
    </w:lvl>
    <w:lvl w:ilvl="2">
      <w:start w:val="1"/>
      <w:numFmt w:val="decimal"/>
      <w:isLgl/>
      <w:lvlText w:val="%1.%2.%3."/>
      <w:lvlJc w:val="left"/>
      <w:pPr>
        <w:ind w:left="1318" w:hanging="720"/>
      </w:pPr>
      <w:rPr>
        <w:rFonts w:hint="default"/>
        <w:sz w:val="26"/>
        <w:szCs w:val="26"/>
      </w:rPr>
    </w:lvl>
    <w:lvl w:ilvl="3">
      <w:start w:val="1"/>
      <w:numFmt w:val="decimal"/>
      <w:isLgl/>
      <w:lvlText w:val="%1.%2.%3.%4."/>
      <w:lvlJc w:val="left"/>
      <w:pPr>
        <w:ind w:left="1797" w:hanging="1080"/>
      </w:pPr>
      <w:rPr>
        <w:rFonts w:hint="default"/>
      </w:rPr>
    </w:lvl>
    <w:lvl w:ilvl="4">
      <w:start w:val="1"/>
      <w:numFmt w:val="decimal"/>
      <w:isLgl/>
      <w:lvlText w:val="%1.%2.%3.%4.%5."/>
      <w:lvlJc w:val="left"/>
      <w:pPr>
        <w:ind w:left="1916" w:hanging="1080"/>
      </w:pPr>
      <w:rPr>
        <w:rFonts w:hint="default"/>
      </w:rPr>
    </w:lvl>
    <w:lvl w:ilvl="5">
      <w:start w:val="1"/>
      <w:numFmt w:val="decimal"/>
      <w:isLgl/>
      <w:lvlText w:val="%1.%2.%3.%4.%5.%6."/>
      <w:lvlJc w:val="left"/>
      <w:pPr>
        <w:ind w:left="2395" w:hanging="1440"/>
      </w:pPr>
      <w:rPr>
        <w:rFonts w:hint="default"/>
      </w:rPr>
    </w:lvl>
    <w:lvl w:ilvl="6">
      <w:start w:val="1"/>
      <w:numFmt w:val="decimal"/>
      <w:isLgl/>
      <w:lvlText w:val="%1.%2.%3.%4.%5.%6.%7."/>
      <w:lvlJc w:val="left"/>
      <w:pPr>
        <w:ind w:left="2874" w:hanging="1800"/>
      </w:pPr>
      <w:rPr>
        <w:rFonts w:hint="default"/>
      </w:rPr>
    </w:lvl>
    <w:lvl w:ilvl="7">
      <w:start w:val="1"/>
      <w:numFmt w:val="decimal"/>
      <w:isLgl/>
      <w:lvlText w:val="%1.%2.%3.%4.%5.%6.%7.%8."/>
      <w:lvlJc w:val="left"/>
      <w:pPr>
        <w:ind w:left="2993" w:hanging="1800"/>
      </w:pPr>
      <w:rPr>
        <w:rFonts w:hint="default"/>
      </w:rPr>
    </w:lvl>
    <w:lvl w:ilvl="8">
      <w:start w:val="1"/>
      <w:numFmt w:val="decimal"/>
      <w:isLgl/>
      <w:lvlText w:val="%1.%2.%3.%4.%5.%6.%7.%8.%9."/>
      <w:lvlJc w:val="left"/>
      <w:pPr>
        <w:ind w:left="3472" w:hanging="2160"/>
      </w:pPr>
      <w:rPr>
        <w:rFonts w:hint="default"/>
      </w:rPr>
    </w:lvl>
  </w:abstractNum>
  <w:abstractNum w:abstractNumId="1" w15:restartNumberingAfterBreak="0">
    <w:nsid w:val="07AF7690"/>
    <w:multiLevelType w:val="hybridMultilevel"/>
    <w:tmpl w:val="8452C5D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 w15:restartNumberingAfterBreak="0">
    <w:nsid w:val="0E8F4406"/>
    <w:multiLevelType w:val="hybridMultilevel"/>
    <w:tmpl w:val="99108D6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1002B"/>
    <w:multiLevelType w:val="hybridMultilevel"/>
    <w:tmpl w:val="15829B94"/>
    <w:lvl w:ilvl="0" w:tplc="E1B21C9A">
      <w:start w:val="1"/>
      <w:numFmt w:val="upperRoman"/>
      <w:lvlText w:val="%1."/>
      <w:lvlJc w:val="left"/>
      <w:pPr>
        <w:ind w:left="1120" w:hanging="720"/>
      </w:pPr>
      <w:rPr>
        <w:rFonts w:hint="default"/>
        <w:sz w:val="26"/>
        <w:szCs w:val="26"/>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1F7216A2"/>
    <w:multiLevelType w:val="multilevel"/>
    <w:tmpl w:val="11C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10646"/>
    <w:multiLevelType w:val="hybridMultilevel"/>
    <w:tmpl w:val="D494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36B86"/>
    <w:multiLevelType w:val="hybridMultilevel"/>
    <w:tmpl w:val="15829B94"/>
    <w:lvl w:ilvl="0" w:tplc="E1B21C9A">
      <w:start w:val="1"/>
      <w:numFmt w:val="upperRoman"/>
      <w:lvlText w:val="%1."/>
      <w:lvlJc w:val="left"/>
      <w:pPr>
        <w:ind w:left="1120" w:hanging="720"/>
      </w:pPr>
      <w:rPr>
        <w:rFonts w:hint="default"/>
        <w:sz w:val="26"/>
        <w:szCs w:val="26"/>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15:restartNumberingAfterBreak="0">
    <w:nsid w:val="28615410"/>
    <w:multiLevelType w:val="hybridMultilevel"/>
    <w:tmpl w:val="6C5C8806"/>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8"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9" w15:restartNumberingAfterBreak="0">
    <w:nsid w:val="2D315BBD"/>
    <w:multiLevelType w:val="hybridMultilevel"/>
    <w:tmpl w:val="2646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C79F3"/>
    <w:multiLevelType w:val="hybridMultilevel"/>
    <w:tmpl w:val="570AA0F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1" w15:restartNumberingAfterBreak="0">
    <w:nsid w:val="312233B2"/>
    <w:multiLevelType w:val="hybridMultilevel"/>
    <w:tmpl w:val="07746AD6"/>
    <w:lvl w:ilvl="0" w:tplc="0409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12" w15:restartNumberingAfterBreak="0">
    <w:nsid w:val="35320F00"/>
    <w:multiLevelType w:val="hybridMultilevel"/>
    <w:tmpl w:val="DA0EF7A4"/>
    <w:lvl w:ilvl="0" w:tplc="3BF2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A571A5"/>
    <w:multiLevelType w:val="hybridMultilevel"/>
    <w:tmpl w:val="8FCE6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70900"/>
    <w:multiLevelType w:val="hybridMultilevel"/>
    <w:tmpl w:val="C8283D9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5" w15:restartNumberingAfterBreak="0">
    <w:nsid w:val="3A0B69ED"/>
    <w:multiLevelType w:val="hybridMultilevel"/>
    <w:tmpl w:val="22A6C1F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6" w15:restartNumberingAfterBreak="0">
    <w:nsid w:val="41762097"/>
    <w:multiLevelType w:val="hybridMultilevel"/>
    <w:tmpl w:val="F27072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43013101"/>
    <w:multiLevelType w:val="hybridMultilevel"/>
    <w:tmpl w:val="50B0C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A4C5A"/>
    <w:multiLevelType w:val="hybridMultilevel"/>
    <w:tmpl w:val="D09C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C3CB9"/>
    <w:multiLevelType w:val="hybridMultilevel"/>
    <w:tmpl w:val="220C8DFA"/>
    <w:lvl w:ilvl="0" w:tplc="232CB528">
      <w:start w:val="1"/>
      <w:numFmt w:val="bullet"/>
      <w:lvlText w:val=""/>
      <w:lvlJc w:val="left"/>
      <w:pPr>
        <w:ind w:left="1080" w:hanging="360"/>
      </w:pPr>
      <w:rPr>
        <w:rFonts w:ascii="Symbol" w:hAnsi="Symbol" w:hint="default"/>
        <w:color w:val="auto"/>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20" w15:restartNumberingAfterBreak="0">
    <w:nsid w:val="54505409"/>
    <w:multiLevelType w:val="hybridMultilevel"/>
    <w:tmpl w:val="49FE0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2095B"/>
    <w:multiLevelType w:val="multilevel"/>
    <w:tmpl w:val="121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252384"/>
    <w:multiLevelType w:val="hybridMultilevel"/>
    <w:tmpl w:val="77208FCA"/>
    <w:lvl w:ilvl="0" w:tplc="6FBAC772">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3" w15:restartNumberingAfterBreak="0">
    <w:nsid w:val="60B96A33"/>
    <w:multiLevelType w:val="hybridMultilevel"/>
    <w:tmpl w:val="0A02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5" w15:restartNumberingAfterBreak="0">
    <w:nsid w:val="7CD7155D"/>
    <w:multiLevelType w:val="hybridMultilevel"/>
    <w:tmpl w:val="7A1A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626946"/>
    <w:multiLevelType w:val="hybridMultilevel"/>
    <w:tmpl w:val="DED4E77E"/>
    <w:lvl w:ilvl="0" w:tplc="042B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num w:numId="1" w16cid:durableId="899947735">
    <w:abstractNumId w:val="17"/>
  </w:num>
  <w:num w:numId="2" w16cid:durableId="49809066">
    <w:abstractNumId w:val="19"/>
  </w:num>
  <w:num w:numId="3" w16cid:durableId="1790658017">
    <w:abstractNumId w:val="26"/>
  </w:num>
  <w:num w:numId="4" w16cid:durableId="1040855912">
    <w:abstractNumId w:val="24"/>
  </w:num>
  <w:num w:numId="5" w16cid:durableId="1370641571">
    <w:abstractNumId w:val="8"/>
  </w:num>
  <w:num w:numId="6" w16cid:durableId="1644310761">
    <w:abstractNumId w:val="15"/>
  </w:num>
  <w:num w:numId="7" w16cid:durableId="1102149664">
    <w:abstractNumId w:val="14"/>
  </w:num>
  <w:num w:numId="8" w16cid:durableId="1117140868">
    <w:abstractNumId w:val="16"/>
  </w:num>
  <w:num w:numId="9" w16cid:durableId="350030987">
    <w:abstractNumId w:val="6"/>
  </w:num>
  <w:num w:numId="10" w16cid:durableId="1037043061">
    <w:abstractNumId w:val="25"/>
  </w:num>
  <w:num w:numId="11" w16cid:durableId="1842500640">
    <w:abstractNumId w:val="3"/>
  </w:num>
  <w:num w:numId="12" w16cid:durableId="1041252227">
    <w:abstractNumId w:val="12"/>
  </w:num>
  <w:num w:numId="13" w16cid:durableId="1601260872">
    <w:abstractNumId w:val="5"/>
  </w:num>
  <w:num w:numId="14" w16cid:durableId="441149995">
    <w:abstractNumId w:val="22"/>
  </w:num>
  <w:num w:numId="15" w16cid:durableId="1150945127">
    <w:abstractNumId w:val="11"/>
  </w:num>
  <w:num w:numId="16" w16cid:durableId="1182469803">
    <w:abstractNumId w:val="9"/>
  </w:num>
  <w:num w:numId="17" w16cid:durableId="1347827772">
    <w:abstractNumId w:val="0"/>
  </w:num>
  <w:num w:numId="18" w16cid:durableId="251208586">
    <w:abstractNumId w:val="23"/>
  </w:num>
  <w:num w:numId="19" w16cid:durableId="25100923">
    <w:abstractNumId w:val="4"/>
  </w:num>
  <w:num w:numId="20" w16cid:durableId="302514766">
    <w:abstractNumId w:val="21"/>
  </w:num>
  <w:num w:numId="21" w16cid:durableId="1278215313">
    <w:abstractNumId w:val="2"/>
  </w:num>
  <w:num w:numId="22" w16cid:durableId="282620819">
    <w:abstractNumId w:val="10"/>
  </w:num>
  <w:num w:numId="23" w16cid:durableId="1921284348">
    <w:abstractNumId w:val="20"/>
  </w:num>
  <w:num w:numId="24" w16cid:durableId="1170752586">
    <w:abstractNumId w:val="7"/>
  </w:num>
  <w:num w:numId="25" w16cid:durableId="1330602189">
    <w:abstractNumId w:val="1"/>
  </w:num>
  <w:num w:numId="26" w16cid:durableId="868765607">
    <w:abstractNumId w:val="13"/>
  </w:num>
  <w:num w:numId="27" w16cid:durableId="15023522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3F"/>
    <w:rsid w:val="004F213F"/>
    <w:rsid w:val="00F61CF4"/>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47076AEE"/>
  <w15:chartTrackingRefBased/>
  <w15:docId w15:val="{83E5A880-6BC8-AB41-89E2-8FB615CE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13F"/>
    <w:rPr>
      <w:rFonts w:ascii="Times LatArm" w:eastAsia="Times New Roman" w:hAnsi="Times LatArm" w:cs="Times New Roman"/>
      <w:kern w:val="0"/>
      <w:lang w:val="en-US"/>
      <w14:ligatures w14:val="none"/>
    </w:rPr>
  </w:style>
  <w:style w:type="paragraph" w:styleId="Heading1">
    <w:name w:val="heading 1"/>
    <w:basedOn w:val="Normal"/>
    <w:next w:val="Normal"/>
    <w:link w:val="Heading1Char"/>
    <w:qFormat/>
    <w:rsid w:val="004F213F"/>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4F213F"/>
    <w:pPr>
      <w:keepNext/>
      <w:spacing w:line="360" w:lineRule="auto"/>
      <w:ind w:firstLine="540"/>
      <w:jc w:val="right"/>
      <w:outlineLvl w:val="1"/>
    </w:pPr>
    <w:rPr>
      <w:rFonts w:ascii="Times Armenian" w:hAnsi="Times Armenian" w:cs="Arial"/>
      <w:i/>
      <w:iCs/>
      <w:color w:val="000000"/>
      <w:szCs w:val="20"/>
      <w:lang w:val="hy-AM"/>
    </w:rPr>
  </w:style>
  <w:style w:type="paragraph" w:styleId="Heading3">
    <w:name w:val="heading 3"/>
    <w:basedOn w:val="Normal"/>
    <w:next w:val="Normal"/>
    <w:link w:val="Heading3Char"/>
    <w:qFormat/>
    <w:rsid w:val="004F213F"/>
    <w:pPr>
      <w:keepNext/>
      <w:tabs>
        <w:tab w:val="left" w:pos="4500"/>
      </w:tabs>
      <w:spacing w:line="240" w:lineRule="atLeast"/>
      <w:ind w:firstLine="567"/>
      <w:outlineLvl w:val="2"/>
    </w:pPr>
    <w:rPr>
      <w:rFonts w:ascii="Arial Armenian" w:hAnsi="Arial Armenian"/>
      <w:b/>
      <w:sz w:val="20"/>
    </w:rPr>
  </w:style>
  <w:style w:type="paragraph" w:styleId="Heading4">
    <w:name w:val="heading 4"/>
    <w:basedOn w:val="Normal"/>
    <w:next w:val="Normal"/>
    <w:link w:val="Heading4Char"/>
    <w:qFormat/>
    <w:rsid w:val="004F213F"/>
    <w:pPr>
      <w:keepNext/>
      <w:spacing w:before="40" w:after="40"/>
      <w:jc w:val="center"/>
      <w:outlineLvl w:val="3"/>
    </w:pPr>
    <w:rPr>
      <w:rFonts w:ascii="Arial Armenian" w:hAnsi="Arial Armenian"/>
      <w:b/>
      <w:sz w:val="16"/>
    </w:rPr>
  </w:style>
  <w:style w:type="paragraph" w:styleId="Heading5">
    <w:name w:val="heading 5"/>
    <w:basedOn w:val="Normal"/>
    <w:next w:val="Normal"/>
    <w:link w:val="Heading5Char"/>
    <w:qFormat/>
    <w:rsid w:val="004F213F"/>
    <w:pPr>
      <w:keepNext/>
      <w:tabs>
        <w:tab w:val="left" w:pos="4500"/>
      </w:tabs>
      <w:spacing w:line="240" w:lineRule="atLeast"/>
      <w:jc w:val="center"/>
      <w:outlineLvl w:val="4"/>
    </w:pPr>
    <w:rPr>
      <w:rFonts w:ascii="Arial Armenian" w:hAnsi="Arial Armenian"/>
      <w:b/>
      <w:bCs/>
      <w:sz w:val="20"/>
    </w:rPr>
  </w:style>
  <w:style w:type="paragraph" w:styleId="Heading6">
    <w:name w:val="heading 6"/>
    <w:basedOn w:val="Normal"/>
    <w:next w:val="Normal"/>
    <w:link w:val="Heading6Char"/>
    <w:qFormat/>
    <w:rsid w:val="004F213F"/>
    <w:pPr>
      <w:keepNext/>
      <w:spacing w:line="300" w:lineRule="atLeast"/>
      <w:jc w:val="center"/>
      <w:outlineLvl w:val="5"/>
    </w:pPr>
    <w:rPr>
      <w:rFonts w:ascii="Arial Armenian" w:hAnsi="Arial Armenian"/>
      <w:b/>
      <w:sz w:val="20"/>
      <w:szCs w:val="22"/>
      <w:lang w:val="hy-AM"/>
    </w:rPr>
  </w:style>
  <w:style w:type="paragraph" w:styleId="Heading7">
    <w:name w:val="heading 7"/>
    <w:basedOn w:val="Normal"/>
    <w:next w:val="Normal"/>
    <w:link w:val="Heading7Char"/>
    <w:qFormat/>
    <w:rsid w:val="004F213F"/>
    <w:pPr>
      <w:keepNext/>
      <w:spacing w:line="360" w:lineRule="auto"/>
      <w:ind w:left="1701"/>
      <w:jc w:val="center"/>
      <w:outlineLvl w:val="6"/>
    </w:pPr>
    <w:rPr>
      <w:rFonts w:ascii="Arial Armenian" w:hAnsi="Arial Armenian"/>
      <w:b/>
      <w:spacing w:val="40"/>
      <w:sz w:val="22"/>
      <w:szCs w:val="23"/>
    </w:rPr>
  </w:style>
  <w:style w:type="paragraph" w:styleId="Heading8">
    <w:name w:val="heading 8"/>
    <w:basedOn w:val="Normal"/>
    <w:next w:val="Normal"/>
    <w:link w:val="Heading8Char"/>
    <w:qFormat/>
    <w:rsid w:val="004F213F"/>
    <w:pPr>
      <w:keepNext/>
      <w:ind w:left="567" w:right="-113" w:hanging="284"/>
      <w:outlineLvl w:val="7"/>
    </w:pPr>
    <w:rPr>
      <w:rFonts w:ascii="Arial Armenian" w:hAnsi="Arial Armenian"/>
      <w:i/>
      <w:iCs/>
      <w:color w:val="660033"/>
      <w:sz w:val="20"/>
      <w:szCs w:val="20"/>
    </w:rPr>
  </w:style>
  <w:style w:type="paragraph" w:styleId="Heading9">
    <w:name w:val="heading 9"/>
    <w:basedOn w:val="Normal"/>
    <w:next w:val="Normal"/>
    <w:link w:val="Heading9Char"/>
    <w:qFormat/>
    <w:rsid w:val="004F213F"/>
    <w:pPr>
      <w:keepNext/>
      <w:tabs>
        <w:tab w:val="left" w:pos="4500"/>
      </w:tabs>
      <w:spacing w:line="240" w:lineRule="atLeast"/>
      <w:ind w:firstLine="567"/>
      <w:jc w:val="both"/>
      <w:outlineLvl w:val="8"/>
    </w:pPr>
    <w:rPr>
      <w:rFonts w:ascii="Arial Armenian" w:hAnsi="Arial Armeni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13F"/>
    <w:pPr>
      <w:spacing w:after="200" w:line="276" w:lineRule="auto"/>
      <w:ind w:left="720"/>
      <w:contextualSpacing/>
    </w:pPr>
    <w:rPr>
      <w:rFonts w:ascii="GHEA Grapalat" w:eastAsia="Calibri" w:hAnsi="GHEA Grapalat"/>
      <w:sz w:val="22"/>
      <w:szCs w:val="22"/>
    </w:rPr>
  </w:style>
  <w:style w:type="character" w:customStyle="1" w:styleId="Heading1Char">
    <w:name w:val="Heading 1 Char"/>
    <w:basedOn w:val="DefaultParagraphFont"/>
    <w:link w:val="Heading1"/>
    <w:rsid w:val="004F213F"/>
    <w:rPr>
      <w:rFonts w:ascii="Times Armenian" w:eastAsia="Times New Roman" w:hAnsi="Times Armenian" w:cs="Times New Roman"/>
      <w:b/>
      <w:color w:val="000000"/>
      <w:kern w:val="0"/>
      <w:sz w:val="26"/>
      <w:szCs w:val="26"/>
      <w:u w:val="single"/>
      <w:lang w:val="hy-AM"/>
      <w14:ligatures w14:val="none"/>
    </w:rPr>
  </w:style>
  <w:style w:type="character" w:customStyle="1" w:styleId="Heading2Char">
    <w:name w:val="Heading 2 Char"/>
    <w:basedOn w:val="DefaultParagraphFont"/>
    <w:link w:val="Heading2"/>
    <w:rsid w:val="004F213F"/>
    <w:rPr>
      <w:rFonts w:ascii="Times Armenian" w:eastAsia="Times New Roman" w:hAnsi="Times Armenian" w:cs="Arial"/>
      <w:i/>
      <w:iCs/>
      <w:color w:val="000000"/>
      <w:kern w:val="0"/>
      <w:szCs w:val="20"/>
      <w:lang w:val="hy-AM"/>
      <w14:ligatures w14:val="none"/>
    </w:rPr>
  </w:style>
  <w:style w:type="character" w:customStyle="1" w:styleId="Heading3Char">
    <w:name w:val="Heading 3 Char"/>
    <w:basedOn w:val="DefaultParagraphFont"/>
    <w:link w:val="Heading3"/>
    <w:rsid w:val="004F213F"/>
    <w:rPr>
      <w:rFonts w:ascii="Arial Armenian" w:eastAsia="Times New Roman" w:hAnsi="Arial Armenian" w:cs="Times New Roman"/>
      <w:b/>
      <w:kern w:val="0"/>
      <w:sz w:val="20"/>
      <w:lang w:val="en-US"/>
      <w14:ligatures w14:val="none"/>
    </w:rPr>
  </w:style>
  <w:style w:type="character" w:customStyle="1" w:styleId="Heading4Char">
    <w:name w:val="Heading 4 Char"/>
    <w:basedOn w:val="DefaultParagraphFont"/>
    <w:link w:val="Heading4"/>
    <w:rsid w:val="004F213F"/>
    <w:rPr>
      <w:rFonts w:ascii="Arial Armenian" w:eastAsia="Times New Roman" w:hAnsi="Arial Armenian" w:cs="Times New Roman"/>
      <w:b/>
      <w:kern w:val="0"/>
      <w:sz w:val="16"/>
      <w:lang w:val="en-US"/>
      <w14:ligatures w14:val="none"/>
    </w:rPr>
  </w:style>
  <w:style w:type="character" w:customStyle="1" w:styleId="Heading5Char">
    <w:name w:val="Heading 5 Char"/>
    <w:basedOn w:val="DefaultParagraphFont"/>
    <w:link w:val="Heading5"/>
    <w:rsid w:val="004F213F"/>
    <w:rPr>
      <w:rFonts w:ascii="Arial Armenian" w:eastAsia="Times New Roman" w:hAnsi="Arial Armenian" w:cs="Times New Roman"/>
      <w:b/>
      <w:bCs/>
      <w:kern w:val="0"/>
      <w:sz w:val="20"/>
      <w:lang w:val="en-US"/>
      <w14:ligatures w14:val="none"/>
    </w:rPr>
  </w:style>
  <w:style w:type="character" w:customStyle="1" w:styleId="Heading6Char">
    <w:name w:val="Heading 6 Char"/>
    <w:basedOn w:val="DefaultParagraphFont"/>
    <w:link w:val="Heading6"/>
    <w:rsid w:val="004F213F"/>
    <w:rPr>
      <w:rFonts w:ascii="Arial Armenian" w:eastAsia="Times New Roman" w:hAnsi="Arial Armenian" w:cs="Times New Roman"/>
      <w:b/>
      <w:kern w:val="0"/>
      <w:sz w:val="20"/>
      <w:szCs w:val="22"/>
      <w:lang w:val="hy-AM"/>
      <w14:ligatures w14:val="none"/>
    </w:rPr>
  </w:style>
  <w:style w:type="character" w:customStyle="1" w:styleId="Heading7Char">
    <w:name w:val="Heading 7 Char"/>
    <w:basedOn w:val="DefaultParagraphFont"/>
    <w:link w:val="Heading7"/>
    <w:rsid w:val="004F213F"/>
    <w:rPr>
      <w:rFonts w:ascii="Arial Armenian" w:eastAsia="Times New Roman" w:hAnsi="Arial Armenian" w:cs="Times New Roman"/>
      <w:b/>
      <w:spacing w:val="40"/>
      <w:kern w:val="0"/>
      <w:sz w:val="22"/>
      <w:szCs w:val="23"/>
      <w:lang w:val="en-US"/>
      <w14:ligatures w14:val="none"/>
    </w:rPr>
  </w:style>
  <w:style w:type="character" w:customStyle="1" w:styleId="Heading8Char">
    <w:name w:val="Heading 8 Char"/>
    <w:basedOn w:val="DefaultParagraphFont"/>
    <w:link w:val="Heading8"/>
    <w:rsid w:val="004F213F"/>
    <w:rPr>
      <w:rFonts w:ascii="Arial Armenian" w:eastAsia="Times New Roman" w:hAnsi="Arial Armenian" w:cs="Times New Roman"/>
      <w:i/>
      <w:iCs/>
      <w:color w:val="660033"/>
      <w:kern w:val="0"/>
      <w:sz w:val="20"/>
      <w:szCs w:val="20"/>
      <w:lang w:val="en-US"/>
      <w14:ligatures w14:val="none"/>
    </w:rPr>
  </w:style>
  <w:style w:type="character" w:customStyle="1" w:styleId="Heading9Char">
    <w:name w:val="Heading 9 Char"/>
    <w:basedOn w:val="DefaultParagraphFont"/>
    <w:link w:val="Heading9"/>
    <w:rsid w:val="004F213F"/>
    <w:rPr>
      <w:rFonts w:ascii="Arial Armenian" w:eastAsia="Times New Roman" w:hAnsi="Arial Armenian" w:cs="Times New Roman"/>
      <w:b/>
      <w:bCs/>
      <w:kern w:val="0"/>
      <w:sz w:val="20"/>
      <w:lang w:val="en-US"/>
      <w14:ligatures w14:val="none"/>
    </w:rPr>
  </w:style>
  <w:style w:type="paragraph" w:styleId="Title">
    <w:name w:val="Title"/>
    <w:basedOn w:val="Normal"/>
    <w:link w:val="TitleChar"/>
    <w:qFormat/>
    <w:rsid w:val="004F213F"/>
    <w:pPr>
      <w:spacing w:line="312" w:lineRule="auto"/>
      <w:jc w:val="center"/>
    </w:pPr>
    <w:rPr>
      <w:b/>
      <w:szCs w:val="20"/>
    </w:rPr>
  </w:style>
  <w:style w:type="character" w:customStyle="1" w:styleId="TitleChar">
    <w:name w:val="Title Char"/>
    <w:basedOn w:val="DefaultParagraphFont"/>
    <w:link w:val="Title"/>
    <w:rsid w:val="004F213F"/>
    <w:rPr>
      <w:rFonts w:ascii="Times LatArm" w:eastAsia="Times New Roman" w:hAnsi="Times LatArm" w:cs="Times New Roman"/>
      <w:b/>
      <w:kern w:val="0"/>
      <w:szCs w:val="20"/>
      <w:lang w:val="en-US"/>
      <w14:ligatures w14:val="none"/>
    </w:rPr>
  </w:style>
  <w:style w:type="paragraph" w:styleId="BodyText">
    <w:name w:val="Body Text"/>
    <w:basedOn w:val="Normal"/>
    <w:link w:val="BodyTextChar"/>
    <w:rsid w:val="004F213F"/>
    <w:pPr>
      <w:spacing w:line="360" w:lineRule="auto"/>
      <w:jc w:val="both"/>
    </w:pPr>
    <w:rPr>
      <w:rFonts w:ascii="Arial LatArm" w:hAnsi="Arial LatArm"/>
      <w:szCs w:val="20"/>
      <w:lang w:val="x-none" w:eastAsia="x-none"/>
    </w:rPr>
  </w:style>
  <w:style w:type="character" w:customStyle="1" w:styleId="BodyTextChar">
    <w:name w:val="Body Text Char"/>
    <w:basedOn w:val="DefaultParagraphFont"/>
    <w:link w:val="BodyText"/>
    <w:rsid w:val="004F213F"/>
    <w:rPr>
      <w:rFonts w:ascii="Arial LatArm" w:eastAsia="Times New Roman" w:hAnsi="Arial LatArm" w:cs="Times New Roman"/>
      <w:kern w:val="0"/>
      <w:szCs w:val="20"/>
      <w:lang w:val="x-none" w:eastAsia="x-none"/>
      <w14:ligatures w14:val="none"/>
    </w:rPr>
  </w:style>
  <w:style w:type="paragraph" w:styleId="BodyTextIndent2">
    <w:name w:val="Body Text Indent 2"/>
    <w:basedOn w:val="Normal"/>
    <w:link w:val="BodyTextIndent2Char"/>
    <w:rsid w:val="004F213F"/>
    <w:pPr>
      <w:spacing w:line="360" w:lineRule="auto"/>
      <w:ind w:firstLine="706"/>
      <w:jc w:val="both"/>
    </w:pPr>
    <w:rPr>
      <w:rFonts w:ascii="Times Armenian" w:hAnsi="Times Armenian"/>
    </w:rPr>
  </w:style>
  <w:style w:type="character" w:customStyle="1" w:styleId="BodyTextIndent2Char">
    <w:name w:val="Body Text Indent 2 Char"/>
    <w:basedOn w:val="DefaultParagraphFont"/>
    <w:link w:val="BodyTextIndent2"/>
    <w:rsid w:val="004F213F"/>
    <w:rPr>
      <w:rFonts w:ascii="Times Armenian" w:eastAsia="Times New Roman" w:hAnsi="Times Armenian" w:cs="Times New Roman"/>
      <w:kern w:val="0"/>
      <w:lang w:val="en-US"/>
      <w14:ligatures w14:val="none"/>
    </w:rPr>
  </w:style>
  <w:style w:type="paragraph" w:styleId="BodyTextIndent">
    <w:name w:val="Body Text Indent"/>
    <w:basedOn w:val="Normal"/>
    <w:link w:val="BodyTextIndentChar"/>
    <w:rsid w:val="004F213F"/>
    <w:pPr>
      <w:spacing w:line="360" w:lineRule="auto"/>
      <w:ind w:firstLine="700"/>
      <w:jc w:val="both"/>
    </w:pPr>
    <w:rPr>
      <w:rFonts w:ascii="Times Armenian" w:hAnsi="Times Armenian"/>
      <w:color w:val="000000"/>
      <w:lang w:val="hy-AM"/>
    </w:rPr>
  </w:style>
  <w:style w:type="character" w:customStyle="1" w:styleId="BodyTextIndentChar">
    <w:name w:val="Body Text Indent Char"/>
    <w:basedOn w:val="DefaultParagraphFont"/>
    <w:link w:val="BodyTextIndent"/>
    <w:rsid w:val="004F213F"/>
    <w:rPr>
      <w:rFonts w:ascii="Times Armenian" w:eastAsia="Times New Roman" w:hAnsi="Times Armenian" w:cs="Times New Roman"/>
      <w:color w:val="000000"/>
      <w:kern w:val="0"/>
      <w:lang w:val="hy-AM"/>
      <w14:ligatures w14:val="none"/>
    </w:rPr>
  </w:style>
  <w:style w:type="paragraph" w:styleId="BodyTextIndent3">
    <w:name w:val="Body Text Indent 3"/>
    <w:basedOn w:val="Normal"/>
    <w:link w:val="BodyTextIndent3Char"/>
    <w:rsid w:val="004F213F"/>
    <w:pPr>
      <w:spacing w:line="360" w:lineRule="auto"/>
      <w:ind w:firstLine="706"/>
      <w:jc w:val="both"/>
    </w:pPr>
    <w:rPr>
      <w:rFonts w:ascii="Times Armenian" w:hAnsi="Times Armenian"/>
      <w:i/>
      <w:iCs/>
      <w:color w:val="000000"/>
      <w:lang w:val="hy-AM"/>
    </w:rPr>
  </w:style>
  <w:style w:type="character" w:customStyle="1" w:styleId="BodyTextIndent3Char">
    <w:name w:val="Body Text Indent 3 Char"/>
    <w:basedOn w:val="DefaultParagraphFont"/>
    <w:link w:val="BodyTextIndent3"/>
    <w:rsid w:val="004F213F"/>
    <w:rPr>
      <w:rFonts w:ascii="Times Armenian" w:eastAsia="Times New Roman" w:hAnsi="Times Armenian" w:cs="Times New Roman"/>
      <w:i/>
      <w:iCs/>
      <w:color w:val="000000"/>
      <w:kern w:val="0"/>
      <w:lang w:val="hy-AM"/>
      <w14:ligatures w14:val="none"/>
    </w:rPr>
  </w:style>
  <w:style w:type="paragraph" w:styleId="FootnoteText">
    <w:name w:val="footnote text"/>
    <w:basedOn w:val="Normal"/>
    <w:link w:val="FootnoteTextChar2"/>
    <w:uiPriority w:val="99"/>
    <w:rsid w:val="004F213F"/>
    <w:rPr>
      <w:rFonts w:ascii="Times Armenian" w:hAnsi="Times Armenian"/>
      <w:sz w:val="20"/>
      <w:szCs w:val="20"/>
    </w:rPr>
  </w:style>
  <w:style w:type="character" w:customStyle="1" w:styleId="FootnoteTextChar">
    <w:name w:val="Footnote Text Char"/>
    <w:basedOn w:val="DefaultParagraphFont"/>
    <w:uiPriority w:val="99"/>
    <w:rsid w:val="004F213F"/>
    <w:rPr>
      <w:rFonts w:ascii="Times LatArm" w:eastAsia="Times New Roman" w:hAnsi="Times LatArm" w:cs="Times New Roman"/>
      <w:kern w:val="0"/>
      <w:sz w:val="20"/>
      <w:szCs w:val="20"/>
      <w:lang w:val="en-US"/>
      <w14:ligatures w14:val="none"/>
    </w:rPr>
  </w:style>
  <w:style w:type="character" w:customStyle="1" w:styleId="FootnoteTextChar2">
    <w:name w:val="Footnote Text Char2"/>
    <w:link w:val="FootnoteText"/>
    <w:uiPriority w:val="99"/>
    <w:rsid w:val="004F213F"/>
    <w:rPr>
      <w:rFonts w:ascii="Times Armenian" w:eastAsia="Times New Roman" w:hAnsi="Times Armenian" w:cs="Times New Roman"/>
      <w:kern w:val="0"/>
      <w:sz w:val="20"/>
      <w:szCs w:val="20"/>
      <w:lang w:val="en-US"/>
      <w14:ligatures w14:val="none"/>
    </w:rPr>
  </w:style>
  <w:style w:type="character" w:styleId="FootnoteReference">
    <w:name w:val="footnote reference"/>
    <w:uiPriority w:val="99"/>
    <w:rsid w:val="004F213F"/>
    <w:rPr>
      <w:vertAlign w:val="superscript"/>
    </w:rPr>
  </w:style>
  <w:style w:type="paragraph" w:styleId="BodyText2">
    <w:name w:val="Body Text 2"/>
    <w:basedOn w:val="Normal"/>
    <w:link w:val="BodyText2Char"/>
    <w:rsid w:val="004F213F"/>
    <w:pPr>
      <w:spacing w:after="120" w:line="480" w:lineRule="auto"/>
    </w:pPr>
    <w:rPr>
      <w:rFonts w:ascii="Times New Roman" w:hAnsi="Times New Roman"/>
    </w:rPr>
  </w:style>
  <w:style w:type="character" w:customStyle="1" w:styleId="BodyText2Char">
    <w:name w:val="Body Text 2 Char"/>
    <w:basedOn w:val="DefaultParagraphFont"/>
    <w:link w:val="BodyText2"/>
    <w:rsid w:val="004F213F"/>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rsid w:val="004F213F"/>
    <w:pPr>
      <w:tabs>
        <w:tab w:val="center" w:pos="4320"/>
        <w:tab w:val="right" w:pos="8640"/>
      </w:tabs>
    </w:pPr>
    <w:rPr>
      <w:lang w:val="x-none" w:eastAsia="x-none"/>
    </w:rPr>
  </w:style>
  <w:style w:type="character" w:customStyle="1" w:styleId="FooterChar">
    <w:name w:val="Footer Char"/>
    <w:basedOn w:val="DefaultParagraphFont"/>
    <w:link w:val="Footer"/>
    <w:uiPriority w:val="99"/>
    <w:rsid w:val="004F213F"/>
    <w:rPr>
      <w:rFonts w:ascii="Times LatArm" w:eastAsia="Times New Roman" w:hAnsi="Times LatArm" w:cs="Times New Roman"/>
      <w:kern w:val="0"/>
      <w:lang w:val="x-none" w:eastAsia="x-none"/>
      <w14:ligatures w14:val="none"/>
    </w:rPr>
  </w:style>
  <w:style w:type="character" w:styleId="PageNumber">
    <w:name w:val="page number"/>
    <w:basedOn w:val="DefaultParagraphFont"/>
    <w:rsid w:val="004F213F"/>
  </w:style>
  <w:style w:type="paragraph" w:styleId="Header">
    <w:name w:val="header"/>
    <w:aliases w:val="hd"/>
    <w:basedOn w:val="Normal"/>
    <w:link w:val="HeaderChar"/>
    <w:uiPriority w:val="99"/>
    <w:rsid w:val="004F213F"/>
    <w:pPr>
      <w:tabs>
        <w:tab w:val="center" w:pos="4844"/>
        <w:tab w:val="right" w:pos="9689"/>
      </w:tabs>
    </w:pPr>
    <w:rPr>
      <w:lang w:val="x-none" w:eastAsia="x-none"/>
    </w:rPr>
  </w:style>
  <w:style w:type="character" w:customStyle="1" w:styleId="HeaderChar">
    <w:name w:val="Header Char"/>
    <w:aliases w:val="hd Char"/>
    <w:basedOn w:val="DefaultParagraphFont"/>
    <w:link w:val="Header"/>
    <w:uiPriority w:val="99"/>
    <w:rsid w:val="004F213F"/>
    <w:rPr>
      <w:rFonts w:ascii="Times LatArm" w:eastAsia="Times New Roman" w:hAnsi="Times LatArm" w:cs="Times New Roman"/>
      <w:kern w:val="0"/>
      <w:lang w:val="x-none" w:eastAsia="x-none"/>
      <w14:ligatures w14:val="none"/>
    </w:rPr>
  </w:style>
  <w:style w:type="paragraph" w:styleId="BodyText3">
    <w:name w:val="Body Text 3"/>
    <w:basedOn w:val="Normal"/>
    <w:link w:val="BodyText3Char"/>
    <w:rsid w:val="004F213F"/>
    <w:pPr>
      <w:jc w:val="right"/>
    </w:pPr>
    <w:rPr>
      <w:rFonts w:ascii="Arial Armenian" w:hAnsi="Arial Armenian"/>
      <w:b/>
      <w:color w:val="000000"/>
      <w:sz w:val="20"/>
    </w:rPr>
  </w:style>
  <w:style w:type="character" w:customStyle="1" w:styleId="BodyText3Char">
    <w:name w:val="Body Text 3 Char"/>
    <w:basedOn w:val="DefaultParagraphFont"/>
    <w:link w:val="BodyText3"/>
    <w:rsid w:val="004F213F"/>
    <w:rPr>
      <w:rFonts w:ascii="Arial Armenian" w:eastAsia="Times New Roman" w:hAnsi="Arial Armenian" w:cs="Times New Roman"/>
      <w:b/>
      <w:color w:val="000000"/>
      <w:kern w:val="0"/>
      <w:sz w:val="20"/>
      <w:lang w:val="en-US"/>
      <w14:ligatures w14:val="none"/>
    </w:rPr>
  </w:style>
  <w:style w:type="paragraph" w:styleId="PlainText">
    <w:name w:val="Plain Text"/>
    <w:basedOn w:val="Normal"/>
    <w:link w:val="PlainTextChar"/>
    <w:rsid w:val="004F213F"/>
    <w:rPr>
      <w:rFonts w:ascii="Courier New" w:hAnsi="Courier New" w:cs="Courier New"/>
      <w:sz w:val="20"/>
      <w:szCs w:val="20"/>
    </w:rPr>
  </w:style>
  <w:style w:type="character" w:customStyle="1" w:styleId="PlainTextChar">
    <w:name w:val="Plain Text Char"/>
    <w:basedOn w:val="DefaultParagraphFont"/>
    <w:link w:val="PlainText"/>
    <w:rsid w:val="004F213F"/>
    <w:rPr>
      <w:rFonts w:ascii="Courier New" w:eastAsia="Times New Roman" w:hAnsi="Courier New" w:cs="Courier New"/>
      <w:kern w:val="0"/>
      <w:sz w:val="20"/>
      <w:szCs w:val="20"/>
      <w:lang w:val="en-US"/>
      <w14:ligatures w14:val="none"/>
    </w:rPr>
  </w:style>
  <w:style w:type="character" w:styleId="Hyperlink">
    <w:name w:val="Hyperlink"/>
    <w:uiPriority w:val="99"/>
    <w:rsid w:val="004F213F"/>
    <w:rPr>
      <w:color w:val="0000FF"/>
      <w:u w:val="single"/>
    </w:rPr>
  </w:style>
  <w:style w:type="paragraph" w:styleId="BlockText">
    <w:name w:val="Block Text"/>
    <w:basedOn w:val="Normal"/>
    <w:uiPriority w:val="99"/>
    <w:rsid w:val="004F213F"/>
    <w:pPr>
      <w:autoSpaceDE w:val="0"/>
      <w:autoSpaceDN w:val="0"/>
      <w:adjustRightInd w:val="0"/>
      <w:spacing w:line="240" w:lineRule="atLeast"/>
      <w:ind w:left="567" w:right="424" w:firstLine="709"/>
      <w:jc w:val="both"/>
    </w:pPr>
    <w:rPr>
      <w:rFonts w:ascii="Armenian Normal" w:hAnsi="Armenian Normal"/>
      <w:color w:val="000000"/>
      <w:sz w:val="34"/>
      <w:lang w:val="es-AR"/>
    </w:rPr>
  </w:style>
  <w:style w:type="character" w:customStyle="1" w:styleId="BalloonTextChar">
    <w:name w:val="Balloon Text Char"/>
    <w:basedOn w:val="DefaultParagraphFont"/>
    <w:link w:val="BalloonText"/>
    <w:semiHidden/>
    <w:rsid w:val="004F213F"/>
    <w:rPr>
      <w:rFonts w:ascii="Tahoma" w:eastAsia="Times New Roman" w:hAnsi="Tahoma" w:cs="Times New Roman"/>
      <w:sz w:val="16"/>
      <w:szCs w:val="16"/>
      <w:lang w:val="x-none" w:eastAsia="x-none"/>
    </w:rPr>
  </w:style>
  <w:style w:type="paragraph" w:styleId="BalloonText">
    <w:name w:val="Balloon Text"/>
    <w:basedOn w:val="Normal"/>
    <w:link w:val="BalloonTextChar"/>
    <w:semiHidden/>
    <w:rsid w:val="004F213F"/>
    <w:rPr>
      <w:rFonts w:ascii="Tahoma" w:hAnsi="Tahoma"/>
      <w:kern w:val="2"/>
      <w:sz w:val="16"/>
      <w:szCs w:val="16"/>
      <w:lang w:val="x-none" w:eastAsia="x-none"/>
      <w14:ligatures w14:val="standardContextual"/>
    </w:rPr>
  </w:style>
  <w:style w:type="character" w:customStyle="1" w:styleId="BalloonTextChar1">
    <w:name w:val="Balloon Text Char1"/>
    <w:basedOn w:val="DefaultParagraphFont"/>
    <w:uiPriority w:val="99"/>
    <w:semiHidden/>
    <w:rsid w:val="004F213F"/>
    <w:rPr>
      <w:rFonts w:ascii="Times New Roman" w:eastAsia="Times New Roman" w:hAnsi="Times New Roman" w:cs="Times New Roman"/>
      <w:kern w:val="0"/>
      <w:sz w:val="18"/>
      <w:szCs w:val="18"/>
      <w:lang w:val="en-US"/>
      <w14:ligatures w14:val="none"/>
    </w:rPr>
  </w:style>
  <w:style w:type="character" w:styleId="FollowedHyperlink">
    <w:name w:val="FollowedHyperlink"/>
    <w:rsid w:val="004F213F"/>
    <w:rPr>
      <w:color w:val="800080"/>
      <w:u w:val="single"/>
    </w:rPr>
  </w:style>
  <w:style w:type="paragraph" w:customStyle="1" w:styleId="BodyText21">
    <w:name w:val="Body Text 21"/>
    <w:basedOn w:val="Normal"/>
    <w:rsid w:val="004F213F"/>
    <w:pPr>
      <w:tabs>
        <w:tab w:val="left" w:pos="4253"/>
      </w:tabs>
      <w:jc w:val="center"/>
    </w:pPr>
    <w:rPr>
      <w:rFonts w:ascii="Times Armenian" w:hAnsi="Times Armenian"/>
      <w:snapToGrid w:val="0"/>
      <w:sz w:val="20"/>
      <w:szCs w:val="20"/>
    </w:rPr>
  </w:style>
  <w:style w:type="paragraph" w:customStyle="1" w:styleId="xl3089">
    <w:name w:val="xl3089"/>
    <w:basedOn w:val="Normal"/>
    <w:rsid w:val="004F213F"/>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ascii="Arial Armenian" w:hAnsi="Arial Armenian"/>
      <w:color w:val="000000"/>
      <w:sz w:val="12"/>
      <w:szCs w:val="12"/>
    </w:rPr>
  </w:style>
  <w:style w:type="character" w:customStyle="1" w:styleId="EndnoteTextChar">
    <w:name w:val="Endnote Text Char"/>
    <w:basedOn w:val="DefaultParagraphFont"/>
    <w:link w:val="EndnoteText"/>
    <w:semiHidden/>
    <w:rsid w:val="004F213F"/>
    <w:rPr>
      <w:rFonts w:ascii="Times LatArm" w:eastAsia="Times New Roman" w:hAnsi="Times LatArm" w:cs="Times New Roman"/>
      <w:sz w:val="20"/>
      <w:szCs w:val="20"/>
    </w:rPr>
  </w:style>
  <w:style w:type="paragraph" w:styleId="EndnoteText">
    <w:name w:val="endnote text"/>
    <w:basedOn w:val="Normal"/>
    <w:link w:val="EndnoteTextChar"/>
    <w:semiHidden/>
    <w:rsid w:val="004F213F"/>
    <w:rPr>
      <w:kern w:val="2"/>
      <w:sz w:val="20"/>
      <w:szCs w:val="20"/>
      <w:lang w:val="en-AM"/>
      <w14:ligatures w14:val="standardContextual"/>
    </w:rPr>
  </w:style>
  <w:style w:type="character" w:customStyle="1" w:styleId="EndnoteTextChar1">
    <w:name w:val="Endnote Text Char1"/>
    <w:basedOn w:val="DefaultParagraphFont"/>
    <w:uiPriority w:val="99"/>
    <w:semiHidden/>
    <w:rsid w:val="004F213F"/>
    <w:rPr>
      <w:rFonts w:ascii="Times LatArm" w:eastAsia="Times New Roman" w:hAnsi="Times LatArm" w:cs="Times New Roman"/>
      <w:kern w:val="0"/>
      <w:sz w:val="20"/>
      <w:szCs w:val="20"/>
      <w:lang w:val="en-US"/>
      <w14:ligatures w14:val="none"/>
    </w:rPr>
  </w:style>
  <w:style w:type="character" w:customStyle="1" w:styleId="FootnoteTextChar1">
    <w:name w:val="Footnote Text Char1"/>
    <w:uiPriority w:val="99"/>
    <w:rsid w:val="004F213F"/>
    <w:rPr>
      <w:rFonts w:ascii="Times Armenian" w:hAnsi="Times Armenian"/>
      <w:lang w:val="en-US" w:eastAsia="en-US" w:bidi="ar-SA"/>
    </w:rPr>
  </w:style>
  <w:style w:type="paragraph" w:customStyle="1" w:styleId="msonormalcxspmiddle">
    <w:name w:val="msonormalcxspmiddle"/>
    <w:basedOn w:val="Normal"/>
    <w:rsid w:val="004F213F"/>
    <w:pPr>
      <w:spacing w:before="100" w:beforeAutospacing="1" w:after="100" w:afterAutospacing="1"/>
    </w:pPr>
    <w:rPr>
      <w:rFonts w:ascii="Times New Roman" w:hAnsi="Times New Roman"/>
    </w:rPr>
  </w:style>
  <w:style w:type="table" w:styleId="TableGrid">
    <w:name w:val="Table Grid"/>
    <w:basedOn w:val="TableNormal"/>
    <w:uiPriority w:val="39"/>
    <w:rsid w:val="004F213F"/>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4F213F"/>
    <w:rPr>
      <w:i/>
      <w:iCs/>
    </w:rPr>
  </w:style>
  <w:style w:type="paragraph" w:customStyle="1" w:styleId="Default">
    <w:name w:val="Default"/>
    <w:rsid w:val="004F213F"/>
    <w:pPr>
      <w:autoSpaceDE w:val="0"/>
      <w:autoSpaceDN w:val="0"/>
      <w:adjustRightInd w:val="0"/>
    </w:pPr>
    <w:rPr>
      <w:rFonts w:ascii="Arial Armenian" w:eastAsia="Times New Roman" w:hAnsi="Arial Armenian" w:cs="Arial Armenian"/>
      <w:color w:val="000000"/>
      <w:kern w:val="0"/>
      <w:lang w:val="en-US"/>
      <w14:ligatures w14:val="none"/>
    </w:rPr>
  </w:style>
  <w:style w:type="character" w:customStyle="1" w:styleId="apple-converted-space">
    <w:name w:val="apple-converted-space"/>
    <w:rsid w:val="004F213F"/>
  </w:style>
  <w:style w:type="paragraph" w:styleId="NormalWeb">
    <w:name w:val="Normal (Web)"/>
    <w:basedOn w:val="Normal"/>
    <w:uiPriority w:val="99"/>
    <w:unhideWhenUsed/>
    <w:rsid w:val="004F213F"/>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rsid w:val="004F213F"/>
    <w:rPr>
      <w:sz w:val="16"/>
      <w:szCs w:val="16"/>
    </w:rPr>
  </w:style>
  <w:style w:type="paragraph" w:styleId="CommentText">
    <w:name w:val="annotation text"/>
    <w:basedOn w:val="Normal"/>
    <w:link w:val="CommentTextChar"/>
    <w:uiPriority w:val="99"/>
    <w:rsid w:val="004F213F"/>
    <w:rPr>
      <w:sz w:val="20"/>
      <w:szCs w:val="20"/>
    </w:rPr>
  </w:style>
  <w:style w:type="character" w:customStyle="1" w:styleId="CommentTextChar">
    <w:name w:val="Comment Text Char"/>
    <w:basedOn w:val="DefaultParagraphFont"/>
    <w:link w:val="CommentText"/>
    <w:uiPriority w:val="99"/>
    <w:rsid w:val="004F213F"/>
    <w:rPr>
      <w:rFonts w:ascii="Times LatArm" w:eastAsia="Times New Roman" w:hAnsi="Times LatArm" w:cs="Times New Roman"/>
      <w:kern w:val="0"/>
      <w:sz w:val="20"/>
      <w:szCs w:val="20"/>
      <w:lang w:val="en-US"/>
      <w14:ligatures w14:val="none"/>
    </w:rPr>
  </w:style>
  <w:style w:type="character" w:customStyle="1" w:styleId="CommentSubjectChar">
    <w:name w:val="Comment Subject Char"/>
    <w:basedOn w:val="CommentTextChar"/>
    <w:link w:val="CommentSubject"/>
    <w:semiHidden/>
    <w:rsid w:val="004F213F"/>
    <w:rPr>
      <w:rFonts w:ascii="Times LatArm" w:eastAsia="Times New Roman" w:hAnsi="Times LatArm" w:cs="Times New Roman"/>
      <w:b/>
      <w:bCs/>
      <w:kern w:val="0"/>
      <w:sz w:val="20"/>
      <w:szCs w:val="20"/>
      <w:lang w:val="en-US"/>
      <w14:ligatures w14:val="none"/>
    </w:rPr>
  </w:style>
  <w:style w:type="paragraph" w:styleId="CommentSubject">
    <w:name w:val="annotation subject"/>
    <w:basedOn w:val="CommentText"/>
    <w:next w:val="CommentText"/>
    <w:link w:val="CommentSubjectChar"/>
    <w:semiHidden/>
    <w:unhideWhenUsed/>
    <w:rsid w:val="004F213F"/>
    <w:rPr>
      <w:b/>
      <w:bCs/>
    </w:rPr>
  </w:style>
  <w:style w:type="character" w:customStyle="1" w:styleId="CommentSubjectChar1">
    <w:name w:val="Comment Subject Char1"/>
    <w:basedOn w:val="CommentTextChar"/>
    <w:uiPriority w:val="99"/>
    <w:semiHidden/>
    <w:rsid w:val="004F213F"/>
    <w:rPr>
      <w:rFonts w:ascii="Times LatArm" w:eastAsia="Times New Roman" w:hAnsi="Times LatArm" w:cs="Times New Roman"/>
      <w:b/>
      <w:bCs/>
      <w:kern w:val="0"/>
      <w:sz w:val="20"/>
      <w:szCs w:val="20"/>
      <w:lang w:val="en-US"/>
      <w14:ligatures w14:val="none"/>
    </w:rPr>
  </w:style>
  <w:style w:type="character" w:styleId="Strong">
    <w:name w:val="Strong"/>
    <w:basedOn w:val="DefaultParagraphFont"/>
    <w:uiPriority w:val="22"/>
    <w:qFormat/>
    <w:rsid w:val="004F213F"/>
    <w:rPr>
      <w:b/>
      <w:bCs/>
    </w:rPr>
  </w:style>
  <w:style w:type="character" w:customStyle="1" w:styleId="normaltextrun">
    <w:name w:val="normaltextrun"/>
    <w:basedOn w:val="DefaultParagraphFont"/>
    <w:rsid w:val="004F213F"/>
  </w:style>
  <w:style w:type="character" w:customStyle="1" w:styleId="eop">
    <w:name w:val="eop"/>
    <w:basedOn w:val="DefaultParagraphFont"/>
    <w:rsid w:val="004F213F"/>
  </w:style>
  <w:style w:type="paragraph" w:customStyle="1" w:styleId="paragraph">
    <w:name w:val="paragraph"/>
    <w:basedOn w:val="Normal"/>
    <w:rsid w:val="004F213F"/>
    <w:pPr>
      <w:spacing w:before="100" w:beforeAutospacing="1" w:after="100" w:afterAutospacing="1"/>
    </w:pPr>
    <w:rPr>
      <w:rFonts w:ascii="Times New Roman" w:hAnsi="Times New Roman"/>
      <w:lang w:val="ru-RU" w:eastAsia="ru-RU"/>
    </w:rPr>
  </w:style>
  <w:style w:type="character" w:customStyle="1" w:styleId="spellingerror">
    <w:name w:val="spellingerror"/>
    <w:basedOn w:val="DefaultParagraphFont"/>
    <w:rsid w:val="004F2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armstat.am/file/article/sv_04_20a_142.pdf" TargetMode="External"/><Relationship Id="rId1" Type="http://schemas.openxmlformats.org/officeDocument/2006/relationships/hyperlink" Target="https://www.armstat.am/file/article/sv_04_19a_1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8890</Words>
  <Characters>50675</Characters>
  <Application>Microsoft Office Word</Application>
  <DocSecurity>0</DocSecurity>
  <Lines>422</Lines>
  <Paragraphs>118</Paragraphs>
  <ScaleCrop>false</ScaleCrop>
  <Company/>
  <LinksUpToDate>false</LinksUpToDate>
  <CharactersWithSpaces>59447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Anahit Gasparyan</dc:creator>
  <cp:keywords/>
  <dc:description/>
  <cp:lastModifiedBy>Anahit Gasparyan</cp:lastModifiedBy>
  <cp:revision>1</cp:revision>
  <dcterms:created xsi:type="dcterms:W3CDTF">2024-02-11T11:48:00Z</dcterms:created>
  <dcterms:modified xsi:type="dcterms:W3CDTF">2024-02-11T11:54:00Z</dcterms:modified>
</cp:coreProperties>
</file>