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201526395)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Chan   appointed on 01 January 2015</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Chan</w:t>
            </w:r>
          </w:p>
        </w:tc>
        <w:tc>
          <w:tcPr/>
          <w:p>
            <w:pPr>
              <w:jc w:val="center"/>
              <w:spacing w:after="0"/>
            </w:pPr>
            <w:r>
              <w:rPr>
                <w:rStyle w:val="Arial11"/>
              </w:rPr>
              <w:t xml:space="preserve">1234</w:t>
            </w:r>
          </w:p>
        </w:tc>
        <w:tc>
          <w:tcPr/>
          <w:p>
            <w:pPr>
              <w:jc w:val="center"/>
              <w:spacing w:after="0"/>
            </w:pPr>
            <w:r>
              <w:rPr>
                <w:rStyle w:val="Arial11"/>
              </w:rPr>
              <w:t xml:space="preserve">43221</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Chan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25,471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429,273</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pPr/>
            <w:r>
              <w:rPr>
                <w:rStyle w:val="Arial11"/>
              </w:rPr>
              <w:t xml:space="preserve">Borrowings</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w:t>
            </w:r>
          </w:p>
        </w:tc>
      </w:tr>
      <w:tr>
        <w:trPr/>
        <w:tc>
          <w:tcPr>
            <w:tcW w:w="7000" w:type="dxa"/>
          </w:tcPr>
          <w:p/>
        </w:tc>
        <w:tc>
          <w:tcPr>
            <w:tcW w:w="1750" w:type="dxa"/>
          </w:tcP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0</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770,828</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770,828</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57,810</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795,548</w:t>
            </w:r>
          </w:p>
        </w:tc>
        <w:tc>
          <w:tcPr>
            <w:tcW w:w="1750" w:type="dxa"/>
          </w:tcPr>
          <w:p>
            <w:pPr>
              <w:jc w:val="center"/>
              <w:spacing w:after="0"/>
            </w:pPr>
            <w:r>
              <w:rPr>
                <w:rStyle w:val="Arial11"/>
              </w:rPr>
              <w:t xml:space="preserve">1,794,324</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1,804,241</w:t>
            </w:r>
          </w:p>
        </w:tc>
        <w:tc>
          <w:tcPr>
            <w:tcW w:w="1750" w:type="dxa"/>
            <w:tcBorders>
              <w:bottom w:val="single" w:sz="1" w:color="000000"/>
            </w:tcBorders>
          </w:tcPr>
          <w:p>
            <w:pPr>
              <w:jc w:val="center"/>
              <w:spacing w:after="0"/>
            </w:pPr>
            <w:r>
              <w:rPr>
                <w:rStyle w:val="Arial11"/>
              </w:rPr>
              <w:t xml:space="preserve">1,794,324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AAA</w:t>
      </w:r>
    </w:p>
    <w:p>
      <w:pPr>
        <w:pStyle w:val="justifiedParagraph"/>
      </w:pPr>
      <w:r>
        <w:rPr>
          <w:rStyle w:val="Arial11"/>
        </w:rPr>
        <w:t xml:space="preserve">	The Company’s registered office is at Novena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2015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tblGrid>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25,471</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50,942</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EA97CF01"/>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EC2F26F4"/>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AF92AFD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2018-07-29T10:08:11+02:00</dcterms:created>
  <dcterms:modified xsi:type="dcterms:W3CDTF">2018-07-29T10:08:11+02:00</dcterms:modified>
</cp:coreProperties>
</file>

<file path=docProps/custom.xml><?xml version="1.0" encoding="utf-8"?>
<Properties xmlns="http://schemas.openxmlformats.org/officeDocument/2006/custom-properties" xmlns:vt="http://schemas.openxmlformats.org/officeDocument/2006/docPropsVTypes"/>
</file>