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DIRECTOR</w:t>
      </w:r>
    </w:p>
    <w:p>
      <w:pPr>
        <w:pStyle w:val="justifiedParagraph"/>
      </w:pPr>
      <w:r>
        <w:rPr>
          <w:rStyle w:val="Arial11"/>
        </w:rPr>
        <w:t xml:space="preserve">The director of the Company in office at the date of this statement are as follows:</w:t>
      </w:r>
    </w:p>
    <w:p>
      <w:pPr/>
      <w:r>
        <w:rPr/>
        <w:t xml:space="preserve"/>
      </w:r>
    </w:p>
    <w:p>
      <w:pPr>
        <w:pStyle w:val="justifiedParagraph"/>
        <w:numPr>
          <w:ilvl w:val="0"/>
          <w:numId w:val="6"/>
        </w:numPr>
      </w:pPr>
      <w:r>
        <w:rPr>
          <w:rStyle w:val="Arial11"/>
        </w:rPr>
        <w:t xml:space="preserve">ARRANGEMENTS TO ENABLE DIRECTOR TO ACQUIRE SHARES AND DEBENTURES</w:t>
      </w:r>
    </w:p>
    <w:p>
      <w:pPr/>
      <w:r>
        <w:rPr>
          <w:rStyle w:val="Arial11"/>
        </w:rPr>
        <w:t xml:space="preserve">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DIRECTOR'S INTERESTS IN SHARES OR DEBENTURES</w:t>
      </w:r>
    </w:p>
    <w:p>
      <w:pPr/>
      <w:r>
        <w:rPr>
          <w:rStyle w:val="Arial11"/>
        </w:rPr>
        <w:t xml:space="preserve">According to the register of director’s shareholdings, none of the director holding office at the end of the financial year had any interest in the shares or debentures of the Company or its related corporations, except as follows: </w:t>
      </w:r>
    </w:p>
    <w:p>
      <w:pPr/>
      <w:r>
        <w:rPr>
          <w:rStyle w:val="Arial11"/>
        </w:rPr>
        <w:t xml:space="preserve">
          <w:br/>
        </w:t>
      </w:r>
    </w:p>
    <w:p>
      <w:pPr/>
      <w:r>
        <w:rPr>
          <w:u w:val="single"/>
        </w:rPr>
        <w:t xml:space="preserve">The Company</w:t>
      </w:r>
    </w:p>
    <w:p>
      <w:pPr/>
      <w:r>
        <w:rPr>
          <w:rStyle w:val="Arial11"/>
        </w:rPr>
        <w:t xml:space="preserve">
          <w:br/>
          sfsdf
        </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DIRECTORS' CONTRACTUAL BENEFITS</w:t>
      </w:r>
    </w:p>
    <w:p>
      <w:pPr>
        <w:pStyle w:val="justifiedParagraph"/>
      </w:pPr>
      <w:r>
        <w:rPr>
          <w:rStyle w:val="Arial11"/>
        </w:rPr>
        <w:t xml:space="preserve">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OPTIONS GRANTED</w:t>
      </w:r>
    </w:p>
    <w:p>
      <w:pPr>
        <w:pStyle w:val="justifiedParagraph"/>
      </w:pPr>
      <w:r>
        <w:rPr>
          <w:rStyle w:val="Arial11"/>
        </w:rPr>
        <w:t xml:space="preserve">No options were granted during the financial year to subscribe for unissued shares of the Company.</w:t>
      </w:r>
    </w:p>
    <w:p/>
    <w:p>
      <w:pPr>
        <w:pStyle w:val="justifiedParagraph"/>
        <w:numPr>
          <w:ilvl w:val="0"/>
          <w:numId w:val="6"/>
        </w:numPr>
      </w:pPr>
      <w:r>
        <w:rPr>
          <w:rStyle w:val="Arial11"/>
        </w:rPr>
        <w:t xml:space="preserve">OPTIONS EXERCISED</w:t>
      </w:r>
    </w:p>
    <w:p>
      <w:pPr>
        <w:pStyle w:val="justifiedParagraph"/>
      </w:pPr>
      <w:r>
        <w:rPr>
          <w:rStyle w:val="Arial11"/>
        </w:rPr>
        <w:t xml:space="preserve">No shares were issued during the financial year by virtue of the exercise of options to take up unissued shares of the Company.</w:t>
      </w:r>
    </w:p>
    <w:p/>
    <w:p>
      <w:pPr>
        <w:pStyle w:val="justifiedParagraph"/>
        <w:numPr>
          <w:ilvl w:val="0"/>
          <w:numId w:val="6"/>
        </w:numPr>
      </w:pPr>
      <w:r>
        <w:rPr>
          <w:rStyle w:val="Arial11"/>
        </w:rPr>
        <w:t xml:space="preserve">OPTIONS OUTSTANDING</w:t>
      </w:r>
    </w:p>
    <w:p>
      <w:pPr>
        <w:pStyle w:val="justifiedParagraph"/>
      </w:pPr>
      <w:r>
        <w:rPr>
          <w:rStyle w:val="Arial11"/>
        </w:rPr>
        <w:t xml:space="preserve">There were no unissued shares of the Company under option at the end of the financial year.</w:t>
      </w:r>
    </w:p>
    <w:p/>
    <w:p/>
    <w:p>
      <w:pPr>
        <w:pStyle w:val="justifiedParagraph"/>
      </w:pPr>
      <w:r>
        <w:rPr>
          <w:rStyle w:val="Arial11"/>
        </w:rPr>
        <w:t xml:space="preserve">
          sfsdf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11.07.2018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11</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pPr>
              <w:jc w:val="center"/>
              <w:spacing w:after="0"/>
            </w:pPr>
            <w:r>
              <w:rPr>
                <w:rStyle w:val="Arial11"/>
              </w:rPr>
              <w:t xml:space="preserve">6</w:t>
            </w: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7</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pPr>
              <w:jc w:val="center"/>
              <w:spacing w:after="0"/>
            </w:pPr>
            <w:r>
              <w:rPr>
                <w:rStyle w:val="Arial11"/>
              </w:rPr>
              <w:t xml:space="preserve">8</w:t>
            </w: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pPr>
              <w:jc w:val="center"/>
              <w:spacing w:after="0"/>
            </w:pPr>
            <w:r>
              <w:rPr>
                <w:rStyle w:val="Arial11"/>
              </w:rPr>
              <w:t xml:space="preserve">9</w:t>
            </w: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10</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11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11.07.2018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spacing w:after="0"/>
            </w:pPr>
            <w:r>
              <w:rPr>
                <w:rStyle w:val="Arial11"/>
              </w:rPr>
              <w:t xml:space="preserve">Proceeds from borrowings</w:t>
            </w:r>
          </w:p>
        </w:tc>
        <w:tc>
          <w:tcPr>
            <w:tcW w:w="1750" w:type="dxa"/>
          </w:tcPr>
          <w:p>
            <w:pPr>
              <w:jc w:val="center"/>
              <w:spacing w:after="0"/>
            </w:pPr>
            <w:r>
              <w:rPr>
                <w:rStyle w:val="Arial11"/>
              </w:rPr>
              <w:t xml:space="preserve">222</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Repayment of borrowings</w:t>
            </w:r>
          </w:p>
        </w:tc>
        <w:tc>
          <w:tcPr>
            <w:tcW w:w="1750" w:type="dxa"/>
          </w:tcPr>
          <w:p>
            <w:pPr>
              <w:jc w:val="center"/>
              <w:spacing w:after="0"/>
            </w:pPr>
            <w:r>
              <w:rPr>
                <w:rStyle w:val="Arial11"/>
              </w:rPr>
              <w:t xml:space="preserve">555</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(29,600)</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720,412</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1,729,105</w:t>
            </w:r>
          </w:p>
        </w:tc>
        <w:tc>
          <w:tcPr>
            <w:tcW w:w="1750" w:type="dxa"/>
            <w:tcBorders>
              <w:bottom w:val="single" w:sz="1" w:color="000000"/>
            </w:tcBorders>
          </w:tcPr>
          <w:p>
            <w:pPr>
              <w:jc w:val="center"/>
              <w:spacing w:after="0"/>
            </w:pPr>
            <w:r>
              <w:rPr>
                <w:rStyle w:val="Arial11"/>
              </w:rPr>
              <w:t xml:space="preserve">1,782,550</w:t>
            </w:r>
          </w:p>
        </w:tc>
      </w:tr>
    </w:tbl>
    <w:p>
      <w:pPr>
        <w:pStyle w:val="justifiedParagraph"/>
      </w:pPr>
      <w:r>
        <w:rPr>
          <w:rStyle w:val="Arial11"/>
        </w:rPr>
        <w:t xml:space="preserve">These notes form an integral part of and should be read in conjunction with the accompanying financial statements.</w:t>
      </w:r>
    </w:p>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GENERAL INFORMATION</w:t>
      </w:r>
    </w:p>
    <w:p>
      <w:pPr>
        <w:pStyle w:val="justifiedParagraph"/>
      </w:pPr>
      <w:r>
        <w:rPr>
          <w:rStyle w:val="Arial11"/>
        </w:rPr>
        <w:t xml:space="preserve">The Company is incorporated and domiciled in Singapore.</w:t>
      </w:r>
    </w:p>
    <w:p>
      <w:pPr>
        <w:pStyle w:val="justifiedParagraph"/>
      </w:pPr>
      <w:r>
        <w:rPr>
          <w:rStyle w:val="Arial11"/>
        </w:rPr>
        <w:t xml:space="preserve">The Company’s principal activities are those to carry-on the businesses of </w:t>
      </w:r>
    </w:p>
    <w:p>
      <w:pPr>
        <w:pStyle w:val="justifiedParagraph"/>
      </w:pPr>
      <w:r>
        <w:rPr>
          <w:rStyle w:val="Arial11"/>
        </w:rPr>
        <w:t xml:space="preserve">The Company’s registered office is at </w:t>
      </w:r>
    </w:p>
    <w:p>
      <w:pPr>
        <w:pStyle w:val="justifiedParagraph"/>
      </w:pPr>
      <w:r>
        <w:rPr>
          <w:rStyle w:val="Arial11"/>
        </w:rPr>
        <w:t xml:space="preserve">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BASIS OF PREPARATION AND SUMMARY OF SIGNIFICANT ACCOUNTING POLICIES</w:t>
      </w:r>
    </w:p>
    <w:p>
      <w:pPr>
        <w:numPr>
          <w:ilvl w:val="1"/>
          <w:numId w:val="7"/>
        </w:numPr>
      </w:pPr>
      <w:r>
        <w:rPr>
          <w:rStyle w:val="Arial11"/>
        </w:rPr>
        <w:t xml:space="preserve">Basis of preparation</w:t>
      </w:r>
    </w:p>
    <w:p>
      <w:pPr>
        <w:numPr>
          <w:ilvl w:val="2"/>
          <w:numId w:val="6"/>
        </w:numPr>
      </w:pPr>
      <w:r>
        <w:rPr>
          <w:rStyle w:val="Arial11"/>
        </w:rPr>
        <w:t xml:space="preserve">Basis of accounting</w:t>
      </w:r>
    </w:p>
    <w:p>
      <w:pPr>
        <w:pStyle w:val="justifiedParagraph"/>
      </w:pPr>
      <w:r>
        <w:rPr>
          <w:rStyle w:val="Arial11"/>
        </w:rPr>
        <w:t xml:space="preserve">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Adoption of new and revised Singapore Financial Reporting Standards</w:t>
      </w:r>
    </w:p>
    <w:p>
      <w:pPr>
        <w:pStyle w:val="justifiedParagraph"/>
      </w:pPr>
      <w:r>
        <w:rPr>
          <w:rStyle w:val="Arial11"/>
        </w:rPr>
        <w:t xml:space="preserve">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Summary of significant accounting policies</w:t>
      </w:r>
    </w:p>
    <w:p>
      <w:pPr>
        <w:numPr>
          <w:ilvl w:val="3"/>
          <w:numId w:val="6"/>
        </w:numPr>
      </w:pPr>
      <w:r>
        <w:rPr>
          <w:rStyle w:val="Arial11"/>
        </w:rPr>
        <w:t xml:space="preserve">Revenue recognition</w:t>
      </w:r>
    </w:p>
    <w:p>
      <w:pPr>
        <w:pStyle w:val="justifiedParagraph"/>
      </w:pPr>
      <w:r>
        <w:rPr>
          <w:rStyle w:val="Arial11"/>
        </w:rPr>
        <w:t xml:space="preserve">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Employee compensation</w:t>
      </w:r>
    </w:p>
    <w:p>
      <w:pPr>
        <w:pStyle w:val="justifiedParagraph"/>
      </w:pPr>
      <w:r>
        <w:rPr>
          <w:rStyle w:val="Arial11"/>
        </w:rPr>
        <w:t xml:space="preserve">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Operating lease payments</w:t>
      </w:r>
    </w:p>
    <w:p>
      <w:pPr>
        <w:pStyle w:val="justifiedParagraph"/>
      </w:pPr>
      <w:r>
        <w:rPr>
          <w:rStyle w:val="Arial11"/>
        </w:rPr>
        <w:t xml:space="preserve">Payments made under operating leases (net of any incentives received from the lessor) are recognized in profit or loss on a straight-line basis over the period of lease.</w:t>
      </w:r>
    </w:p>
    <w:p>
      <w:pPr>
        <w:pStyle w:val="justifiedParagraph"/>
      </w:pPr>
      <w:r>
        <w:rPr>
          <w:rStyle w:val="Arial11"/>
        </w:rPr>
        <w:t xml:space="preserve">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Borrowing costs</w:t>
      </w:r>
    </w:p>
    <w:p>
      <w:pPr>
        <w:pStyle w:val="justifiedParagraph"/>
      </w:pPr>
      <w:r>
        <w:rPr>
          <w:rStyle w:val="Arial11"/>
        </w:rPr>
        <w:t xml:space="preserve">Borrowing costs are recognised in profit or loss using the effective interest method</w:t>
      </w:r>
    </w:p>
    <w:p>
      <w:pPr>
        <w:numPr>
          <w:ilvl w:val="3"/>
          <w:numId w:val="6"/>
        </w:numPr>
      </w:pPr>
      <w:r>
        <w:rPr>
          <w:rStyle w:val="Arial11"/>
        </w:rPr>
        <w:t xml:space="preserve">Income taxes</w:t>
      </w:r>
    </w:p>
    <w:p>
      <w:pPr>
        <w:pStyle w:val="justifiedParagraph"/>
      </w:pPr>
      <w:r>
        <w:rPr>
          <w:rStyle w:val="Arial11"/>
        </w:rPr>
        <w:t xml:space="preserve">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Current and deferred income taxes are recognised as income or expense in profit or loss.</w:t>
      </w:r>
    </w:p>
    <w:p>
      <w:pPr>
        <w:numPr>
          <w:ilvl w:val="3"/>
          <w:numId w:val="6"/>
        </w:numPr>
      </w:pPr>
      <w:r>
        <w:rPr>
          <w:rStyle w:val="Arial11"/>
        </w:rPr>
        <w:t xml:space="preserve">Inventories</w:t>
      </w:r>
    </w:p>
    <w:p>
      <w:pPr>
        <w:pStyle w:val="justifiedParagraph"/>
      </w:pPr>
      <w:r>
        <w:rPr>
          <w:rStyle w:val="Arial11"/>
        </w:rPr>
        <w:t xml:space="preserve">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r>
        <w:rPr>
          <w:rStyle w:val="Arial11"/>
        </w:rPr>
        <w:t xml:space="preserve">2.2 Summary of significant accounting policies (Cont’d)</w:t>
      </w:r>
    </w:p>
    <w:p>
      <w:pPr>
        <w:numPr>
          <w:ilvl w:val="3"/>
          <w:numId w:val="6"/>
        </w:numPr>
      </w:pPr>
      <w:r>
        <w:rPr>
          <w:rStyle w:val="Arial11"/>
        </w:rPr>
        <w:t xml:space="preserve">Plant and equipment</w:t>
      </w:r>
    </w:p>
    <w:p>
      <w:pPr>
        <w:numPr>
          <w:ilvl w:val="4"/>
          <w:numId w:val="8"/>
        </w:numPr>
      </w:pPr>
      <w:r>
        <w:rPr>
          <w:rStyle w:val="Arial11"/>
        </w:rPr>
        <w:t xml:space="preserve">Measurement</w:t>
      </w:r>
    </w:p>
    <w:p>
      <w:pPr>
        <w:pStyle w:val="justifiedParagraph"/>
      </w:pPr>
      <w:r>
        <w:rPr>
          <w:rStyle w:val="Arial11"/>
        </w:rPr>
        <w:t xml:space="preserve">Plant and equipment are initially recognised at cost and subsequently carried at cost less accumulated depreciation and accumulated impairment losses</w:t>
      </w:r>
    </w:p>
    <w:p>
      <w:pPr>
        <w:pStyle w:val="justifiedParagraph"/>
      </w:pPr>
      <w:r>
        <w:rPr>
          <w:rStyle w:val="Arial11"/>
        </w:rPr>
        <w:t xml:space="preserve">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Depreciation on plant and equipment is calculated using the straight-line method to allocate their depreciable amounts over their estimated useful lives as follows:</w:t>
      </w:r>
    </w:p>
    <w:p>
      <w:pPr>
        <w:pStyle w:val="justifiedParagraph"/>
      </w:pPr>
      <w:r>
        <w:rPr>
          <w:rStyle w:val="Arial11"/>
        </w:rPr>
        <w:t xml:space="preserve">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Impairment of non-financial assets</w:t>
      </w:r>
    </w:p>
    <w:p>
      <w:pPr>
        <w:pStyle w:val="justifiedParagraph"/>
      </w:pPr>
      <w:r>
        <w:rPr>
          <w:rStyle w:val="Arial11"/>
        </w:rPr>
        <w:t xml:space="preserve">Non-financial assets are tested for impairment whenever there is any objective evidence or indication that these assets may be impaired.</w:t>
      </w:r>
    </w:p>
    <w:p>
      <w:pPr>
        <w:pStyle w:val="justifiedParagraph"/>
      </w:pPr>
      <w:r>
        <w:rPr>
          <w:rStyle w:val="Arial11"/>
        </w:rPr>
        <w:t xml:space="preserve">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If the recoverable amount of the asset (or CGU) is estimated to be less than its carrying amount, the carrying amount of the asset (or CGU) is reduced to its recoverable amount.</w:t>
      </w:r>
    </w:p>
    <w:p>
      <w:pPr>
        <w:pStyle w:val="justifiedParagraph"/>
      </w:pPr>
      <w:r>
        <w:rPr>
          <w:rStyle w:val="Arial11"/>
        </w:rPr>
        <w:t xml:space="preserve">The difference between the carrying amount and recoverable amount is recognised as an impairment loss in profit or loss.</w:t>
      </w:r>
    </w:p>
    <w:p>
      <w:pPr>
        <w:pStyle w:val="justifiedParagraph"/>
      </w:pPr>
      <w:r>
        <w:rPr>
          <w:rStyle w:val="Arial11"/>
        </w:rPr>
        <w:t xml:space="preserve">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A reversal of impairment loss for an asset is recognised in profit or loss.</w:t>
      </w:r>
    </w:p>
    <w:p>
      <w:pPr>
        <w:numPr>
          <w:ilvl w:val="3"/>
          <w:numId w:val="6"/>
        </w:numPr>
      </w:pPr>
      <w:r>
        <w:rPr>
          <w:rStyle w:val="Arial11"/>
        </w:rPr>
        <w:t xml:space="preserve">Financial assets</w:t>
      </w:r>
    </w:p>
    <w:p>
      <w:pPr>
        <w:numPr>
          <w:ilvl w:val="5"/>
          <w:numId w:val="8"/>
        </w:numPr>
      </w:pPr>
      <w:r>
        <w:rPr>
          <w:rStyle w:val="Arial11"/>
        </w:rPr>
        <w:t xml:space="preserve">Classification</w:t>
      </w:r>
    </w:p>
    <w:p>
      <w:pPr/>
      <w:r>
        <w:rPr>
          <w:rStyle w:val="Arial11"/>
        </w:rPr>
        <w:t xml:space="preserve">The classification of financial assets depends on the purpose for which the assets were acquired. Management determines the classification of its financial assets at initial recognition.</w:t>
      </w:r>
    </w:p>
    <w:p>
      <w:pPr/>
      <w:r>
        <w:rPr>
          <w:rStyle w:val="Arial11"/>
        </w:rPr>
        <w:t xml:space="preserve">Loans and receivables</w:t>
      </w:r>
    </w:p>
    <w:p>
      <w:pPr/>
      <w:r>
        <w:rPr>
          <w:rStyle w:val="Arial11"/>
        </w:rPr>
        <w:t xml:space="preserve">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r>
        <w:rPr>
          <w:rStyle w:val="Arial11"/>
        </w:rPr>
        <w:t xml:space="preserve">Financial assets (Cont’d)</w:t>
      </w:r>
    </w:p>
    <w:p>
      <w:pPr>
        <w:numPr>
          <w:ilvl w:val="5"/>
          <w:numId w:val="8"/>
        </w:numPr>
      </w:pPr>
      <w:r>
        <w:rPr>
          <w:rStyle w:val="Arial11"/>
        </w:rPr>
        <w:t xml:space="preserve">Recognition and derecognition</w:t>
      </w:r>
    </w:p>
    <w:p>
      <w:pPr>
        <w:pStyle w:val="justifiedParagraph"/>
      </w:pPr>
      <w:r>
        <w:rPr>
          <w:rStyle w:val="Arial11"/>
        </w:rPr>
        <w:t xml:space="preserve">Regular way purchases and sales of financial assets are recognised on trade-date - the date on which the Company commits to purchase or sell the asset.</w:t>
      </w:r>
    </w:p>
    <w:p>
      <w:pPr>
        <w:pStyle w:val="justifiedParagraph"/>
      </w:pPr>
      <w:r>
        <w:rPr>
          <w:rStyle w:val="Arial11"/>
        </w:rPr>
        <w:t xml:space="preserve">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Loans and receivables</w:t>
      </w:r>
    </w:p>
    <w:p>
      <w:pPr>
        <w:pStyle w:val="justifiedParagraph"/>
      </w:pPr>
      <w:r>
        <w:rPr>
          <w:rStyle w:val="Arial11"/>
        </w:rPr>
        <w:t xml:space="preserve">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Trade and other payables</w:t>
      </w:r>
    </w:p>
    <w:p>
      <w:pPr/>
      <w:r>
        <w:rPr>
          <w:rStyle w:val="Arial11"/>
        </w:rPr>
        <w:t xml:space="preserve">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Borrowings</w:t>
      </w:r>
    </w:p>
    <w:p>
      <w:pPr>
        <w:pStyle w:val="justifiedParagraph"/>
      </w:pPr>
      <w:r>
        <w:rPr>
          <w:rStyle w:val="Arial11"/>
        </w:rPr>
        <w:t xml:space="preserve">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Cash and cash equivalents</w:t>
      </w:r>
    </w:p>
    <w:p>
      <w:pPr>
        <w:pStyle w:val="justifiedParagraph"/>
      </w:pPr>
      <w:r>
        <w:rPr>
          <w:rStyle w:val="Arial11"/>
        </w:rPr>
        <w:t xml:space="preserve">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Cash and cash equivalents</w:t>
      </w:r>
    </w:p>
    <w:p>
      <w:pPr>
        <w:pStyle w:val="justifiedParagraph"/>
      </w:pPr>
      <w:r>
        <w:rPr>
          <w:rStyle w:val="Arial11"/>
        </w:rPr>
        <w:t xml:space="preserve">Dividends to the Company’s shareholders are recognized when the dividends are approved for payment.</w:t>
      </w:r>
    </w:p>
    <w:p>
      <w:pPr>
        <w:numPr>
          <w:ilvl w:val="3"/>
          <w:numId w:val="6"/>
        </w:numPr>
      </w:pPr>
      <w:r>
        <w:rPr>
          <w:rStyle w:val="Arial11"/>
        </w:rPr>
        <w:t xml:space="preserve">Currency translation</w:t>
      </w:r>
    </w:p>
    <w:p>
      <w:pPr>
        <w:numPr>
          <w:ilvl w:val="6"/>
          <w:numId w:val="8"/>
        </w:numPr>
      </w:pPr>
      <w:r>
        <w:rPr>
          <w:rStyle w:val="Arial11"/>
        </w:rPr>
        <w:t xml:space="preserve">Functional and presentation currency</w:t>
      </w:r>
    </w:p>
    <w:p>
      <w:pPr>
        <w:pStyle w:val="justifiedParagraph"/>
      </w:pPr>
      <w:r>
        <w:rPr>
          <w:rStyle w:val="Arial11"/>
        </w:rPr>
        <w:t xml:space="preserve">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Share capital </w:t>
      </w:r>
    </w:p>
    <w:p>
      <w:pPr>
        <w:pStyle w:val="justifiedParagraph"/>
      </w:pPr>
      <w:r>
        <w:rPr>
          <w:rStyle w:val="Arial11"/>
        </w:rPr>
        <w:t xml:space="preserve">Ordinary shares are classified as equity. Incremental costs directly attributable to the issuance of new ordinary shares are deducted against the share capital account.</w:t>
      </w:r>
    </w:p>
    <w:p>
      <w:pPr>
        <w:numPr>
          <w:ilvl w:val="0"/>
          <w:numId w:val="7"/>
        </w:numPr>
      </w:pPr>
      <w:r>
        <w:rPr>
          <w:rStyle w:val="Arial11"/>
        </w:rPr>
        <w:t xml:space="preserve">CRITICAL ACCOUNTING ESTIMATES, ASSUMPTIONS AND JUDGEMENTS</w:t>
      </w:r>
    </w:p>
    <w:p>
      <w:pPr>
        <w:pStyle w:val="justifiedParagraph"/>
      </w:pPr>
      <w:r>
        <w:rPr>
          <w:rStyle w:val="Arial11"/>
        </w:rPr>
        <w:t xml:space="preserve">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Critical accounting estimates and assumptions</w:t>
      </w:r>
    </w:p>
    <w:p>
      <w:pPr>
        <w:pStyle w:val="justifiedParagraph"/>
      </w:pPr>
      <w:r>
        <w:rPr>
          <w:rStyle w:val="Arial11"/>
        </w:rPr>
        <w:t xml:space="preserve">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Critical judgements in applying the Company’s accounting policies</w:t>
      </w:r>
    </w:p>
    <w:p>
      <w:pPr>
        <w:pStyle w:val="justifiedParagraph"/>
      </w:pPr>
      <w:r>
        <w:rPr>
          <w:rStyle w:val="Arial11"/>
        </w:rPr>
        <w:t xml:space="preserve">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OCBC Bank</w:t>
            </w:r>
          </w:p>
        </w:tc>
        <w:tc>
          <w:tcPr>
            <w:tcW w:w="1750" w:type="dxa"/>
          </w:tcPr>
          <w:p>
            <w:pPr>
              <w:jc w:val="center"/>
              <w:spacing w:after="0"/>
            </w:pPr>
            <w:r>
              <w:rPr>
                <w:rStyle w:val="Arial11"/>
              </w:rPr>
              <w:t xml:space="preserve">388,471</w:t>
            </w:r>
          </w:p>
        </w:tc>
        <w:tc>
          <w:tcPr>
            <w:tcW w:w="1750" w:type="dxa"/>
          </w:tcPr>
          <w:p>
            <w:pPr>
              <w:jc w:val="center"/>
              <w:spacing w:after="0"/>
            </w:pPr>
            <w:r>
              <w:rPr>
                <w:rStyle w:val="Arial11"/>
              </w:rPr>
              <w:t xml:space="preserve">-</w:t>
            </w:r>
          </w:p>
        </w:tc>
      </w:tr>
      <w:tr>
        <w:trPr/>
        <w:tc>
          <w:tcPr>
            <w:tcW w:w="5250" w:type="dxa"/>
          </w:tcPr>
          <w:p>
            <w:pPr/>
            <w:r>
              <w:rPr/>
              <w:t xml:space="preserve">Hoiio Deposit</w:t>
            </w:r>
          </w:p>
        </w:tc>
        <w:tc>
          <w:tcPr>
            <w:tcW w:w="1750" w:type="dxa"/>
          </w:tcPr>
          <w:p>
            <w:pPr>
              <w:jc w:val="center"/>
              <w:spacing w:after="0"/>
            </w:pPr>
            <w:r>
              <w:rPr>
                <w:rStyle w:val="Arial11"/>
              </w:rPr>
              <w:t xml:space="preserve">15</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388,486</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5250" w:type="dxa"/>
          </w:tcPr>
          <w:p/>
        </w:tc>
      </w:tr>
    </w:tbl>
    <w:p>
      <w:pPr>
        <w:numPr>
          <w:ilvl w:val="0"/>
          <w:numId w:val="7"/>
        </w:numPr>
      </w:pPr>
      <w:r>
        <w:rPr/>
        <w:t xml:space="preserve">FINANCE EXPENSE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Office Equipment Accum Dep</w:t>
            </w:r>
          </w:p>
        </w:tc>
        <w:tc>
          <w:tcPr>
            <w:tcW w:w="1750" w:type="dxa"/>
          </w:tcPr>
          <w:p>
            <w:pPr>
              <w:jc w:val="center"/>
              <w:spacing w:after="0"/>
            </w:pPr>
            <w:r>
              <w:rPr>
                <w:rStyle w:val="Arial11"/>
              </w:rPr>
              <w:t xml:space="preserve">1,392</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389,878</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5250" w:type="dxa"/>
          </w:tcPr>
          <w:p/>
        </w:tc>
      </w:tr>
    </w:tbl>
    <w:p>
      <w:pPr>
        <w:numPr>
          <w:ilvl w:val="0"/>
          <w:numId w:val="7"/>
        </w:numPr>
      </w:pPr>
      <w:r>
        <w:rPr/>
        <w:t xml:space="preserve">EMPLOYEE COMPENSATION</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Accounting Fee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6,850</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389,878</w:t>
            </w:r>
          </w:p>
        </w:tc>
        <w:tc>
          <w:tcPr>
            <w:tcW w:w="1750" w:type="dxa"/>
            <w:tcBorders>
              <w:top w:val="single" w:sz="1" w:color="#000000"/>
              <w:bottom w:val="single" w:sz="18" w:color="#000000"/>
            </w:tcBorders>
          </w:tcPr>
          <w:p>
            <w:pPr>
              <w:jc w:val="center"/>
              <w:spacing w:after="0"/>
            </w:pPr>
            <w:r>
              <w:rPr>
                <w:rStyle w:val="Arial11"/>
              </w:rPr>
              <w:t xml:space="preserve">6,850</w:t>
            </w:r>
          </w:p>
        </w:tc>
      </w:tr>
      <w:tr>
        <w:trPr/>
        <w:tc>
          <w:tcPr>
            <w:tcW w:w="5250" w:type="dxa"/>
          </w:tcPr>
          <w:p/>
        </w:tc>
      </w:tr>
    </w:tbl>
    <w:p>
      <w:pPr>
        <w:numPr>
          <w:ilvl w:val="0"/>
          <w:numId w:val="7"/>
        </w:numPr>
      </w:pPr>
      <w:r>
        <w:rPr/>
        <w:t xml:space="preserve">PROFIT BEFORE INCOME TAX</w:t>
      </w:r>
    </w:p>
    <w:tbl>
      <w:tblGrid>
        <w:gridCol w:w="7000" w:type="dxa"/>
        <w:gridCol w:w="1750" w:type="dxa"/>
        <w:gridCol w:w="1750" w:type="dxa"/>
      </w:tblGrid>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This is determined after charging:</w:t>
            </w:r>
          </w:p>
        </w:tc>
      </w:tr>
      <w:tr>
        <w:trPr/>
        <w:tc>
          <w:tcPr>
            <w:tcW w:w="7000" w:type="dxa"/>
          </w:tcPr>
          <w:p>
            <w:pPr/>
            <w:r>
              <w:rPr/>
              <w:t xml:space="preserve">Prepayments</w:t>
            </w:r>
          </w:p>
        </w:tc>
        <w:tc>
          <w:tcPr>
            <w:tcW w:w="1750" w:type="dxa"/>
            <w:tcBorders>
              <w:bottom w:val="single" w:sz="18" w:color="000000"/>
            </w:tcBorders>
          </w:tcPr>
          <w:p>
            <w:pPr>
              <w:jc w:val="center"/>
              <w:spacing w:after="0"/>
            </w:pPr>
            <w:r>
              <w:rPr>
                <w:rStyle w:val="Arial11"/>
              </w:rPr>
              <w:t xml:space="preserve">300</w:t>
            </w:r>
          </w:p>
        </w:tc>
        <w:tc>
          <w:tcPr>
            <w:tcW w:w="1750" w:type="dxa"/>
            <w:tcBorders>
              <w:bottom w:val="single" w:sz="18" w:color="000000"/>
            </w:tcBorders>
          </w:tcPr>
          <w:p>
            <w:pPr>
              <w:jc w:val="center"/>
              <w:spacing w:after="0"/>
            </w:pPr>
            <w:r>
              <w:rPr>
                <w:rStyle w:val="Arial11"/>
              </w:rPr>
              <w:t xml:space="preserve">-</w:t>
            </w:r>
          </w:p>
        </w:tc>
      </w:tr>
      <w:tr>
        <w:trPr/>
        <w:tc>
          <w:tcPr>
            <w:tcW w:w="7000" w:type="dxa"/>
          </w:tcPr>
          <w:p/>
        </w:tc>
      </w:tr>
    </w:tbl>
    <w:p>
      <w:pPr>
        <w:numPr>
          <w:ilvl w:val="0"/>
          <w:numId w:val="6"/>
        </w:numPr>
      </w:pPr>
      <w:r>
        <w:rPr/>
        <w:t xml:space="preserve">INCOME TAXES</w:t>
      </w:r>
    </w:p>
    <w:tbl>
      <w:tblGrid>
        <w:gridCol w:w="7000" w:type="dxa"/>
        <w:gridCol w:w="1750" w:type="dxa"/>
        <w:gridCol w:w="1750" w:type="dxa"/>
      </w:tblGrid>
      <w:tr>
        <w:trPr/>
        <w:tc>
          <w:tcPr>
            <w:tcW w:w="7000" w:type="dxa"/>
          </w:tcPr>
          <w:p>
            <w:pPr>
              <w:numPr>
                <w:ilvl w:val="1"/>
                <w:numId w:val="7"/>
              </w:numPr>
            </w:pPr>
            <w:r>
              <w:rPr/>
              <w:t xml:space="preserve">Income tax expense</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Tax expense attributable to profit is made up of:</w:t>
            </w:r>
          </w:p>
        </w:tc>
      </w:tr>
      <w:tr>
        <w:trPr/>
        <w:tc>
          <w:tcPr>
            <w:tcW w:w="7000" w:type="dxa"/>
          </w:tcPr>
          <w:p>
            <w:pPr/>
            <w:r>
              <w:rPr/>
              <w:t xml:space="preserve">Current income tax expenses</w:t>
            </w:r>
          </w:p>
        </w:tc>
        <w:tc>
          <w:tcPr>
            <w:tcW w:w="1750" w:type="dxa"/>
          </w:tcPr>
          <w:p>
            <w:pPr>
              <w:jc w:val="center"/>
              <w:spacing w:after="0"/>
            </w:pPr>
            <w:r>
              <w:rPr>
                <w:rStyle w:val="Arial11"/>
              </w:rPr>
              <w:t xml:space="preserve">123</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5250" w:type="dxa"/>
            <w:gridSpan w:val="3"/>
          </w:tcPr>
          <w:p>
            <w:pPr/>
            <w:r>
              <w:rPr/>
              <w:t xml:space="preserve">The tax expense on profit differs from the amount that would arise using the Singapore standard rate of income tax as follows: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r>
        <w:trPr/>
        <w:tc>
          <w:tcPr>
            <w:tcW w:w="7000" w:type="dxa"/>
          </w:tcPr>
          <w:p>
            <w:pPr/>
            <w:r>
              <w:rPr/>
              <w:t xml:space="preserve">Tax calculated at tax rate of 17% (2015: 17%)</w:t>
            </w:r>
          </w:p>
        </w:tc>
        <w:tc>
          <w:tcPr>
            <w:tcW w:w="1750" w:type="dxa"/>
          </w:tcPr>
          <w:p>
            <w:pPr>
              <w:jc w:val="center"/>
              <w:spacing w:after="0"/>
            </w:pPr>
            <w:r>
              <w:rPr>
                <w:rStyle w:val="Arial11"/>
              </w:rPr>
              <w:t xml:space="preserve">111,163</w:t>
            </w:r>
          </w:p>
        </w:tc>
        <w:tc>
          <w:tcPr>
            <w:tcW w:w="1750" w:type="dxa"/>
          </w:tcPr>
          <w:p>
            <w:pPr>
              <w:jc w:val="center"/>
              <w:spacing w:after="0"/>
            </w:pPr>
            <w:r>
              <w:rPr>
                <w:rStyle w:val="Arial11"/>
              </w:rPr>
              <w:t xml:space="preserve">164,117</w:t>
            </w:r>
          </w:p>
        </w:tc>
      </w:tr>
      <w:tr>
        <w:trPr/>
        <w:tc>
          <w:tcPr>
            <w:tcW w:w="7000" w:type="dxa"/>
          </w:tcPr>
          <w:p>
            <w:pPr/>
            <w:r>
              <w:rPr/>
              <w:t xml:space="preserve">Effects of:</w:t>
            </w:r>
          </w:p>
        </w:tc>
      </w:tr>
      <w:tr>
        <w:trPr/>
        <w:tc>
          <w:tcPr>
            <w:tcW w:w="7000" w:type="dxa"/>
          </w:tcPr>
          <w:p>
            <w:pPr/>
            <w:r>
              <w:rPr/>
              <w:t xml:space="preserve">Tax expense</w:t>
            </w: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7000" w:type="dxa"/>
          </w:tcPr>
          <w:p>
            <w:pPr>
              <w:numPr>
                <w:ilvl w:val="1"/>
                <w:numId w:val="6"/>
              </w:numPr>
            </w:pPr>
            <w:r>
              <w:rPr/>
              <w:t xml:space="preserve">Movement in current income tax liabilities: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Beginning of financial year</w:t>
            </w:r>
          </w:p>
        </w:tc>
        <w:tc>
          <w:tcPr>
            <w:tcW w:w="1750" w:type="dxa"/>
          </w:tcPr>
          <w:p>
            <w:pPr>
              <w:jc w:val="center"/>
              <w:spacing w:after="0"/>
            </w:pPr>
            <w:r>
              <w:rPr>
                <w:rStyle w:val="Arial11"/>
              </w:rPr>
              <w:t xml:space="preserve">99,694</w:t>
            </w:r>
          </w:p>
        </w:tc>
      </w:tr>
      <w:tr>
        <w:trPr/>
        <w:tc>
          <w:tcPr>
            <w:tcW w:w="7000" w:type="dxa"/>
          </w:tcPr>
          <w:p>
            <w:pPr/>
            <w:r>
              <w:rPr/>
              <w:t xml:space="preserve">Income tax paid</w:t>
            </w:r>
          </w:p>
        </w:tc>
        <w:tc>
          <w:tcPr>
            <w:tcW w:w="1750" w:type="dxa"/>
          </w:tcPr>
          <w:p>
            <w:pPr>
              <w:jc w:val="center"/>
              <w:spacing w:after="0"/>
            </w:pPr>
            <w:r>
              <w:rPr>
                <w:rStyle w:val="Arial11"/>
              </w:rPr>
              <w:t xml:space="preserve">3,435</w:t>
            </w:r>
          </w:p>
        </w:tc>
        <w:tc>
          <w:tcPr>
            <w:tcW w:w="1750" w:type="dxa"/>
          </w:tcPr>
          <w:p>
            <w:pPr>
              <w:jc w:val="center"/>
              <w:spacing w:after="0"/>
            </w:pPr>
            <w:r>
              <w:rPr>
                <w:rStyle w:val="Arial11"/>
              </w:rPr>
              <w:t xml:space="preserve">- </w:t>
            </w:r>
          </w:p>
        </w:tc>
      </w:tr>
      <w:tr>
        <w:trPr/>
        <w:tc>
          <w:tcPr>
            <w:tcW w:w="7000" w:type="dxa"/>
          </w:tcPr>
          <w:p>
            <w:pPr/>
            <w:r>
              <w:rPr/>
              <w:t xml:space="preserve">Current year tax expense</w:t>
            </w:r>
          </w:p>
        </w:tc>
        <w:tc>
          <w:tcPr>
            <w:tcW w:w="1750" w:type="dxa"/>
          </w:tcPr>
          <w:p>
            <w:pPr>
              <w:jc w:val="center"/>
              <w:spacing w:after="0"/>
            </w:pPr>
            <w:r>
              <w:rPr>
                <w:rStyle w:val="Arial11"/>
              </w:rPr>
              <w:t xml:space="preserve">123</w:t>
            </w:r>
          </w:p>
        </w:tc>
        <w:tc>
          <w:tcPr>
            <w:tcW w:w="1750" w:type="dxa"/>
          </w:tcPr>
          <w:p>
            <w:pPr>
              <w:jc w:val="center"/>
              <w:spacing w:after="0"/>
            </w:pPr>
            <w:r>
              <w:rPr>
                <w:rStyle w:val="Arial11"/>
              </w:rPr>
              <w:t xml:space="preserve">-</w:t>
            </w:r>
          </w:p>
        </w:tc>
      </w:tr>
      <w:tr>
        <w:trPr/>
        <w:tc>
          <w:tcPr>
            <w:tcW w:w="7000" w:type="dxa"/>
          </w:tcPr>
          <w:p>
            <w:pPr/>
            <w:r>
              <w:rPr/>
              <w:t xml:space="preserve">End of financial year</w:t>
            </w:r>
          </w:p>
        </w:tc>
        <w:tc>
          <w:tcPr>
            <w:tcW w:w="1750" w:type="dxa"/>
            <w:tcBorders>
              <w:top w:val="single" w:sz="1" w:color="#000000"/>
              <w:bottom w:val="single" w:sz="18" w:color="#000000"/>
            </w:tcBorders>
          </w:tcPr>
          <w:p>
            <w:pPr>
              <w:jc w:val="center"/>
              <w:spacing w:after="0"/>
            </w:pPr>
            <w:r>
              <w:rPr>
                <w:rStyle w:val="Arial11"/>
              </w:rPr>
              <w:t xml:space="preserve">135,952</w:t>
            </w:r>
          </w:p>
        </w:tc>
        <w:tc>
          <w:tcPr>
            <w:tcW w:w="1750" w:type="dxa"/>
            <w:tcBorders>
              <w:top w:val="single" w:sz="1" w:color="#000000"/>
              <w:bottom w:val="single" w:sz="18" w:color="#000000"/>
            </w:tcBorders>
          </w:tcPr>
          <w:p>
            <w:pPr>
              <w:jc w:val="center"/>
              <w:spacing w:after="0"/>
            </w:pPr>
            <w:r>
              <w:rPr>
                <w:rStyle w:val="Arial11"/>
              </w:rPr>
              <w:t xml:space="preserve">99,694</w:t>
            </w:r>
          </w:p>
        </w:tc>
      </w:tr>
      <w:tr>
        <w:trPr/>
        <w:tc>
          <w:tcPr>
            <w:tcW w:w="7000" w:type="dxa"/>
          </w:tcPr>
          <w:p/>
        </w:tc>
      </w:tr>
      <w:tr>
        <w:trPr/>
        <w:tc>
          <w:tcPr>
            <w:tcW w:w="7000" w:type="dxa"/>
          </w:tcPr>
          <w:p>
            <w:pPr>
              <w:numPr>
                <w:ilvl w:val="0"/>
                <w:numId w:val="7"/>
              </w:numPr>
            </w:pPr>
            <w:r>
              <w:rPr/>
              <w:t xml:space="preserve">TRADE AND OTHER RECEIVABLES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tc>
        <w:tc>
          <w:tcPr>
            <w:tcW w:w="1750" w:type="dxa"/>
          </w:tcPr>
          <w:p>
            <w:pPr>
              <w:jc w:val="center"/>
              <w:spacing w:after="0"/>
            </w:pPr>
            <w:r>
              <w:rPr>
                <w:rStyle w:val="Arial11"/>
              </w:rPr>
              <w:t xml:space="preserve">203,353</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tcBorders>
          </w:tcPr>
          <w:p>
            <w:pPr>
              <w:jc w:val="center"/>
              <w:spacing w:after="0"/>
            </w:pPr>
            <w:r>
              <w:rPr>
                <w:rStyle w:val="Arial11"/>
              </w:rPr>
              <w:t xml:space="preserve">203,353</w:t>
            </w:r>
          </w:p>
        </w:tc>
        <w:tc>
          <w:tcPr>
            <w:tcW w:w="1750" w:type="dxa"/>
            <w:tcBorders>
              <w:top w:val="single" w:sz="1" w:color="000000"/>
            </w:tcBorders>
          </w:tcPr>
          <w:p>
            <w:pPr>
              <w:jc w:val="center"/>
              <w:spacing w:after="0"/>
            </w:pPr>
            <w:r>
              <w:rPr>
                <w:rStyle w:val="Arial11"/>
              </w:rPr>
              <w:t xml:space="preserve">-</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203,353</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r>
        <w:trPr/>
        <w:tc>
          <w:tcPr>
            <w:tcW w:w="7000" w:type="dxa"/>
          </w:tcPr>
          <w:p>
            <w:pPr>
              <w:numPr>
                <w:ilvl w:val="0"/>
                <w:numId w:val="7"/>
              </w:numPr>
            </w:pPr>
            <w:r>
              <w:rPr/>
              <w:t xml:space="preserve">TRADE AND OTHER PAYABLES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rStyle w:val="TableUnderline"/>
              </w:rPr>
              <w:t xml:space="preserve">Other payables</w:t>
            </w:r>
          </w:p>
        </w:tc>
      </w:tr>
      <w:tr>
        <w:trPr/>
        <w:tc>
          <w:tcPr>
            <w:tcW w:w="7000" w:type="dxa"/>
          </w:tcPr>
          <w:p>
            <w:pPr/>
            <w:r>
              <w:rPr/>
              <w:t xml:space="preserve">Trade Receivables - USD</w:t>
            </w:r>
          </w:p>
        </w:tc>
        <w:tc>
          <w:tcPr>
            <w:tcW w:w="1750" w:type="dxa"/>
          </w:tcPr>
          <w:p>
            <w:pPr>
              <w:jc w:val="center"/>
              <w:spacing w:after="0"/>
            </w:pPr>
            <w:r>
              <w:rPr>
                <w:rStyle w:val="Arial11"/>
              </w:rPr>
              <w:t xml:space="preserve">203353</w:t>
            </w:r>
          </w:p>
        </w:tc>
        <w:tc>
          <w:tcPr>
            <w:tcW w:w="1750" w:type="dxa"/>
          </w:tcPr>
          <w:p>
            <w:pPr>
              <w:jc w:val="center"/>
              <w:spacing w:after="0"/>
            </w:pPr>
            <w:r>
              <w:rPr>
                <w:rStyle w:val="Arial11"/>
              </w:rPr>
              <w:t xml:space="preserve">-</w:t>
            </w:r>
          </w:p>
        </w:tc>
      </w:tr>
      <w:tr>
        <w:trPr/>
        <w:tc>
          <w:tcPr>
            <w:tcW w:w="7000" w:type="dxa"/>
          </w:tcPr>
          <w:p>
            <w:pPr/>
            <w:r>
              <w:rPr/>
              <w:t xml:space="preserve">Trade Receivables - USD Exchan</w:t>
            </w:r>
          </w:p>
        </w:tc>
        <w:tc>
          <w:tcPr>
            <w:tcW w:w="1750" w:type="dxa"/>
          </w:tcPr>
          <w:p>
            <w:pPr>
              <w:jc w:val="center"/>
              <w:spacing w:after="0"/>
            </w:pPr>
            <w:r>
              <w:rPr>
                <w:rStyle w:val="Arial11"/>
              </w:rPr>
              <w:t xml:space="preserve">90757</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tcBorders>
          </w:tcPr>
          <w:p>
            <w:pPr>
              <w:jc w:val="center"/>
              <w:spacing w:after="0"/>
            </w:pPr>
            <w:r>
              <w:rPr>
                <w:rStyle w:val="Arial11"/>
              </w:rPr>
              <w:t xml:space="preserve">294109</w:t>
            </w:r>
          </w:p>
        </w:tc>
        <w:tc>
          <w:tcPr>
            <w:tcW w:w="1750" w:type="dxa"/>
            <w:tcBorders>
              <w:top w:val="single" w:sz="1" w:color="000000"/>
            </w:tcBorders>
          </w:tcPr>
          <w:p>
            <w:pPr>
              <w:jc w:val="center"/>
              <w:spacing w:after="0"/>
            </w:pPr>
            <w:r>
              <w:rPr>
                <w:rStyle w:val="Arial11"/>
              </w:rPr>
              <w:t xml:space="preserve">-</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294109</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r>
        <w:trPr/>
        <w:tc>
          <w:tcPr>
            <w:tcW w:w="7000" w:type="dxa"/>
          </w:tcPr>
          <w:p>
            <w:pPr>
              <w:numPr>
                <w:ilvl w:val="0"/>
                <w:numId w:val="7"/>
              </w:numPr>
            </w:pPr>
            <w:r>
              <w:rPr/>
              <w:t xml:space="preserve">BORROWINGS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As at beginning of financial year</w:t>
            </w:r>
          </w:p>
        </w:tc>
        <w:tc>
          <w:tcPr>
            <w:tcW w:w="1750" w:type="dxa"/>
          </w:tcPr>
          <w:p>
            <w:pPr>
              <w:jc w:val="center"/>
              <w:spacing w:after="0"/>
            </w:pPr>
            <w:r>
              <w:rPr>
                <w:rStyle w:val="Arial11"/>
              </w:rPr>
              <w:t xml:space="preserve">-</w:t>
            </w:r>
          </w:p>
        </w:tc>
      </w:tr>
      <w:tr>
        <w:trPr/>
        <w:tc>
          <w:tcPr>
            <w:tcW w:w="7000" w:type="dxa"/>
          </w:tcPr>
          <w:p>
            <w:pPr/>
            <w:r>
              <w:rPr/>
              <w:t xml:space="preserve">Proceeds from borrowings</w:t>
            </w:r>
          </w:p>
        </w:tc>
        <w:tc>
          <w:tcPr>
            <w:tcW w:w="1750" w:type="dxa"/>
          </w:tcPr>
          <w:p>
            <w:pPr>
              <w:jc w:val="center"/>
              <w:spacing w:after="0"/>
            </w:pPr>
            <w:r>
              <w:rPr>
                <w:rStyle w:val="Arial11"/>
              </w:rPr>
              <w:t xml:space="preserve">222</w:t>
            </w:r>
          </w:p>
        </w:tc>
        <w:tc>
          <w:tcPr>
            <w:tcW w:w="1750" w:type="dxa"/>
          </w:tcPr>
          <w:p>
            <w:pPr>
              <w:jc w:val="center"/>
              <w:spacing w:after="0"/>
            </w:pPr>
            <w:r>
              <w:rPr>
                <w:rStyle w:val="Arial11"/>
              </w:rPr>
              <w:t xml:space="preserve">-</w:t>
            </w:r>
          </w:p>
        </w:tc>
      </w:tr>
      <w:tr>
        <w:trPr/>
        <w:tc>
          <w:tcPr>
            <w:tcW w:w="7000" w:type="dxa"/>
          </w:tcPr>
          <w:p>
            <w:pPr/>
            <w:r>
              <w:rPr/>
              <w:t xml:space="preserve">(Less) Repayment of borrowings</w:t>
            </w:r>
          </w:p>
        </w:tc>
        <w:tc>
          <w:tcPr>
            <w:tcW w:w="1750" w:type="dxa"/>
          </w:tcPr>
          <w:p>
            <w:pPr>
              <w:jc w:val="center"/>
              <w:spacing w:after="0"/>
            </w:pPr>
            <w:r>
              <w:rPr>
                <w:rStyle w:val="Arial11"/>
              </w:rPr>
              <w:t xml:space="preserve">555</w:t>
            </w:r>
          </w:p>
        </w:tc>
        <w:tc>
          <w:tcPr>
            <w:tcW w:w="1750" w:type="dxa"/>
          </w:tcPr>
          <w:p>
            <w:pPr>
              <w:jc w:val="center"/>
              <w:spacing w:after="0"/>
            </w:pPr>
            <w:r>
              <w:rPr>
                <w:rStyle w:val="Arial11"/>
              </w:rPr>
              <w:t xml:space="preserve">-</w:t>
            </w:r>
          </w:p>
        </w:tc>
      </w:tr>
      <w:tr>
        <w:trPr/>
        <w:tc>
          <w:tcPr>
            <w:tcW w:w="7000" w:type="dxa"/>
          </w:tcPr>
          <w:p>
            <w:pPr/>
            <w:r>
              <w:rPr/>
              <w:t xml:space="preserve">As at end of financial year</w:t>
            </w: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r>
        <w:trPr/>
        <w:tc>
          <w:tcPr>
            <w:tcW w:w="7000" w:type="dxa"/>
          </w:tcPr>
          <w:p>
            <w:pPr/>
            <w:r>
              <w:rPr/>
              <w:t xml:space="preserve">Current</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Non-current</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FINANCIAL RISK MANAGEMENT </w:t>
      </w:r>
    </w:p>
    <w:p>
      <w:pPr>
        <w:pStyle w:val="justifiedParagraph"/>
      </w:pPr>
      <w:r>
        <w:rPr>
          <w:rStyle w:val="Arial11"/>
        </w:rPr>
        <w:t xml:space="preserve">The Company’s activities expose it to a variety of financial risks. The Company’s overall business strategies, tolerance risk and general risk management philosophy are determined by directors in accordance with prevailing economic and operating conditions.</w:t>
      </w:r>
    </w:p>
    <w:p>
      <w:pPr/>
      <w:r>
        <w:rPr>
          <w:u w:val="single"/>
        </w:rPr>
        <w:t xml:space="preserve">Currency risk</w:t>
      </w:r>
    </w:p>
    <w:p>
      <w:pPr>
        <w:pStyle w:val="justifiedParagraph"/>
      </w:pPr>
      <w:r>
        <w:rPr>
          <w:rStyle w:val="Arial11"/>
        </w:rPr>
        <w:t xml:space="preserve">The Company’s exposure to foreign exchange risk is minimal as transactions are predominantly denominated in , being the functional currency of the Company.</w:t>
      </w:r>
    </w:p>
    <w:p>
      <w:pPr/>
      <w:r>
        <w:rPr>
          <w:u w:val="single"/>
        </w:rPr>
        <w:t xml:space="preserve">Interest rate risk</w:t>
      </w:r>
    </w:p>
    <w:p>
      <w:pPr>
        <w:pStyle w:val="justifiedParagraph"/>
      </w:pPr>
      <w:r>
        <w:rPr>
          <w:rStyle w:val="Arial11"/>
        </w:rPr>
        <w:t xml:space="preserve">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u w:val="single"/>
        </w:rPr>
        <w:t xml:space="preserve">Liquidity risk</w:t>
      </w:r>
    </w:p>
    <w:p>
      <w:pPr>
        <w:pStyle w:val="justifiedParagraph"/>
      </w:pPr>
      <w:r>
        <w:rPr>
          <w:rStyle w:val="Arial11"/>
        </w:rPr>
        <w:t xml:space="preserve">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u w:val="single"/>
        </w:rPr>
        <w:t xml:space="preserve">Fair value measurements</w:t>
      </w:r>
    </w:p>
    <w:p>
      <w:pPr>
        <w:pStyle w:val="justifiedParagraph"/>
      </w:pPr>
      <w:r>
        <w:rPr>
          <w:rStyle w:val="Arial11"/>
        </w:rPr>
        <w:t xml:space="preserve">The Company does not have any financial instruments as at end of the financial year which are measured at fair value. The carrying values of other receivables and other payables are assumed to approximate their fair values.</w:t>
      </w:r>
    </w:p>
    <w:p>
      <w:pPr/>
      <w:r>
        <w:rPr>
          <w:u w:val="single"/>
        </w:rPr>
        <w:t xml:space="preserve">Credit risk</w:t>
      </w:r>
    </w:p>
    <w:p>
      <w:pPr>
        <w:pStyle w:val="justifiedParagraph"/>
      </w:pPr>
      <w:r>
        <w:rPr>
          <w:rStyle w:val="Arial11"/>
        </w:rPr>
        <w:t xml:space="preserve">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FINANCIAL RISK MANAGEMENT (CONT’D)</w:t>
      </w:r>
    </w:p>
    <w:p>
      <w:pPr/>
      <w:r>
        <w:rPr>
          <w:u w:val="single"/>
        </w:rPr>
        <w:t xml:space="preserve">Credit risk (Cont’d)</w:t>
      </w:r>
    </w:p>
    <w:p>
      <w:pPr>
        <w:pStyle w:val="justifiedParagraph"/>
      </w:pPr>
      <w:r>
        <w:rPr>
          <w:rStyle w:val="Arial11"/>
        </w:rPr>
        <w:t xml:space="preserve">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The credit risk for receivables based on the information provided to key management is as follows:</w:t>
      </w:r>
    </w:p>
    <w:p>
      <w:pPr>
        <w:pStyle w:val="justifiedParagraph"/>
        <w:numPr>
          <w:ilvl w:val="1"/>
          <w:numId w:val="6"/>
        </w:numPr>
      </w:pPr>
      <w:r>
        <w:rPr>
          <w:rStyle w:val="Arial11"/>
        </w:rPr>
        <w:t xml:space="preserve">Financial assets that are neither past due nor impaired</w:t>
      </w:r>
    </w:p>
    <w:p>
      <w:pPr>
        <w:pStyle w:val="justifiedParagraph"/>
      </w:pPr>
      <w:r>
        <w:rPr>
          <w:rStyle w:val="Arial11"/>
        </w:rPr>
        <w:t xml:space="preserve">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pStyle w:val="justifiedParagraph"/>
        <w:numPr>
          <w:ilvl w:val="1"/>
          <w:numId w:val="6"/>
        </w:numPr>
      </w:pPr>
      <w:r>
        <w:rPr>
          <w:rStyle w:val="Arial11"/>
        </w:rPr>
        <w:t xml:space="preserve">Financial assets that are past due and/or impaired</w:t>
      </w:r>
    </w:p>
    <w:p>
      <w:pPr>
        <w:pStyle w:val="justifiedParagraph"/>
      </w:pPr>
      <w:r>
        <w:rPr>
          <w:rStyle w:val="Arial11"/>
        </w:rPr>
        <w:t xml:space="preserve">There is no other class of financial assets that is past due and/or impaired.</w:t>
      </w:r>
    </w:p>
    <w:p>
      <w:pPr/>
      <w:r>
        <w:rPr>
          <w:u w:val="single"/>
        </w:rPr>
        <w:t xml:space="preserve">Capital risk</w:t>
      </w:r>
    </w:p>
    <w:p>
      <w:pPr>
        <w:pStyle w:val="justifiedParagraph"/>
      </w:pPr>
      <w:r>
        <w:rPr>
          <w:rStyle w:val="Arial11"/>
        </w:rPr>
        <w:t xml:space="preserve">The Company’s objectives when managing capital are:</w:t>
      </w:r>
    </w:p>
    <w:p>
      <w:pPr/>
      <w:r>
        <w:rPr>
          <w:rStyle w:val="Arial11"/>
        </w:rPr>
        <w:t xml:space="preserve">The capital structure of the Company consists primarily of equity, comprising issued share capital.</w:t>
      </w:r>
    </w:p>
    <w:p>
      <w:pPr/>
      <w:r>
        <w:rPr>
          <w:rStyle w:val="Arial11"/>
        </w:rPr>
        <w:t xml:space="preserve">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RELATED PARTY TRANSACTIONS </w:t>
      </w:r>
    </w:p>
    <w:p>
      <w:pPr/>
      <w:r>
        <w:rPr>
          <w:rStyle w:val="Arial11"/>
        </w:rPr>
        <w:t xml:space="preserve">Related parties comprise mainly of companies which are controlled or significantly influenced by the Company’s key management personnel and their close family members.</w:t>
      </w:r>
    </w:p>
    <w:p>
      <w:pPr/>
      <w:r>
        <w:rPr>
          <w:rStyle w:val="Arial11"/>
        </w:rPr>
        <w:t xml:space="preserve">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RELATED PARTY TRANSACTIONS (CONT’D)</w:t>
      </w:r>
    </w:p>
    <w:p>
      <w:pPr>
        <w:pStyle w:val="justifiedParagraph"/>
      </w:pPr>
      <w:r>
        <w:rPr>
          <w:rStyle w:val="Arial11"/>
        </w:rPr>
        <w:t xml:space="preserve">The inter-company balances are unsecured and interest-free, unless stated otherwise, and are subject to the normal credit terms of the respective parties and are repayable on demand.</w:t>
      </w:r>
    </w:p>
    <w:p>
      <w:pPr/>
      <w:r>
        <w:rPr>
          <w:u w:val="single"/>
        </w:rPr>
        <w:t xml:space="preserve">Key management personnel compensation</w:t>
      </w:r>
    </w:p>
    <w:p>
      <w:pPr/>
      <w:r>
        <w:rPr>
          <w:rStyle w:val="Arial11"/>
        </w:rPr>
        <w:t xml:space="preserve">Director’s remuneration</w:t>
      </w:r>
    </w:p>
    <w:p>
      <w:pPr>
        <w:numPr>
          <w:ilvl w:val="0"/>
          <w:numId w:val="7"/>
        </w:numPr>
      </w:pPr>
      <w:r>
        <w:rPr>
          <w:rStyle w:val="Arial11"/>
        </w:rPr>
        <w:t xml:space="preserve">NEW OR REVISED ACCOUNTING STANDARDS AND INTERPRETATIONS</w:t>
      </w:r>
    </w:p>
    <w:p>
      <w:pPr/>
      <w:r>
        <w:rPr>
          <w:rStyle w:val="Arial11"/>
        </w:rPr>
        <w:t xml:space="preserve">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COMPARATIVE FIGURES </w:t>
      </w:r>
    </w:p>
    <w:p>
      <w:pPr>
        <w:pStyle w:val="justifiedParagraph"/>
      </w:pPr>
      <w:r>
        <w:rPr>
          <w:rStyle w:val="Arial11"/>
        </w:rPr>
        <w:t xml:space="preserve">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COMPARATIVE FIGURES </w:t>
      </w:r>
    </w:p>
    <w:p>
      <w:pPr>
        <w:pStyle w:val="justifiedParagraph"/>
      </w:pPr>
      <w:r>
        <w:rPr>
          <w:rStyle w:val="Arial11"/>
        </w:rPr>
        <w:t xml:space="preserve">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11.07.2018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11.07.2018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EB5962B6"/>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abstractNum>
  <w:abstractNum w:abstractNumId="7">
    <w:nsid w:val="0DF2E00F"/>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abstractNum>
  <w:abstractNum w:abstractNumId="8">
    <w:nsid w:val="F3B340A1"/>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2018-07-16T11:22:44+02:00</dcterms:created>
  <dcterms:modified xsi:type="dcterms:W3CDTF">2018-07-16T11:22:44+02:00</dcterms:modified>
</cp:coreProperties>
</file>

<file path=docProps/custom.xml><?xml version="1.0" encoding="utf-8"?>
<Properties xmlns="http://schemas.openxmlformats.org/officeDocument/2006/custom-properties" xmlns:vt="http://schemas.openxmlformats.org/officeDocument/2006/docPropsVTypes"/>
</file>