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4.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3.xml" ContentType="application/vnd.openxmlformats-officedocument.wordprocessingml.header+xml"/>
  <Override PartName="/word/header16.xml" ContentType="application/vnd.openxmlformats-officedocument.wordprocessingml.header+xml"/>
  <Override PartName="/word/header19.xml" ContentType="application/vnd.openxmlformats-officedocument.wordprocessingml.header+xml"/>
  <Override PartName="/word/header22.xml" ContentType="application/vnd.openxmlformats-officedocument.wordprocessingml.header+xml"/>
  <Override PartName="/word/header46.xml" ContentType="application/vnd.openxmlformats-officedocument.wordprocessingml.header+xml"/>
  <Override PartName="/word/header64.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Style w:val="Arial11"/>
        </w:rPr>
        <w:t xml:space="preserve">
          <w:br/>
          <w:br/>
          <w:br/>
          <w:br/>
          <w:br/>
          <w:br/>
          <w:br/>
          <w:br/>
          <w:br/>
        </w:t>
      </w:r>
    </w:p>
    <w:p>
      <w:pPr/>
      <w:r>
        <w:rPr>
          <w:rStyle w:val="ArialBlack14"/>
        </w:rPr>
        <w:t xml:space="preserve">
          VSIG PTE. LTD.
          <w:br/>
          (Company registration number: 201217559)
        </w:t>
      </w:r>
    </w:p>
    <w:p>
      <w:pPr/>
      <w:r>
        <w:rPr>
          <w:rStyle w:val="ArialBlack14"/>
        </w:rPr>
        <w:t xml:space="preserve">UNAUDITED FINANCIAL STATEMENTS</w:t>
      </w:r>
    </w:p>
    <w:p>
      <w:pPr/>
      <w:r>
        <w:rPr>
          <w:rStyle w:val="ArialBlack14"/>
        </w:rPr>
        <w:t xml:space="preserve">FOR THE FINANCIAL YEAR ENDED 31 DECEMBER 2016</w:t>
      </w:r>
    </w:p>
    <w:p>
      <w:pPr>
        <w:sectPr>
          <w:pgSz w:orient="portrait" w:w="11905.511811024" w:h="16837.795275591"/>
          <w:pgMar w:top="1440" w:right="1440" w:bottom="1440" w:left="1440" w:header="720" w:footer="720" w:gutter="0"/>
          <w:cols w:num="1" w:space="720"/>
        </w:sectPr>
      </w:pPr>
    </w:p>
    <w:p>
      <w:pPr>
        <w:pStyle w:val="justifiedParagraph"/>
      </w:pPr>
      <w:r>
        <w:rPr>
          <w:rStyle w:val="Arial11"/>
        </w:rPr>
        <w:t xml:space="preserve">The director present this statement to the member together with the unaudited financial statements of VSIG PTE. LTD. (“the Company”) for the financial year ended 31 December 2016.</w:t>
      </w:r>
    </w:p>
    <w:p>
      <w:pPr>
        <w:numPr>
          <w:ilvl w:val="0"/>
          <w:numId w:val="6"/>
        </w:numPr>
      </w:pPr>
      <w:r>
        <w:rPr>
          <w:rStyle w:val="Arial11"/>
        </w:rPr>
        <w:t xml:space="preserve">	OPINION OF THE DIRECTOR</w:t>
      </w:r>
    </w:p>
    <w:p>
      <w:pPr>
        <w:numPr>
          <w:ilvl w:val="0"/>
          <w:numId w:val="8"/>
        </w:numPr>
      </w:pPr>
      <w:r>
        <w:rPr>
          <w:rStyle w:val="Arial11"/>
        </w:rPr>
        <w:t xml:space="preserve">the accompanying financial statements of the Company are drawn up so as to give a true and fair view of the financial position of the Company as at 31 December 2016 and the financial performance, changes in equity and cash flows of the Company for the financial year covered by the financial statements; and</w:t>
      </w:r>
    </w:p>
    <w:p>
      <w:pPr>
        <w:numPr>
          <w:ilvl w:val="0"/>
          <w:numId w:val="8"/>
        </w:numPr>
      </w:pPr>
      <w:r>
        <w:rPr>
          <w:rStyle w:val="Arial11"/>
        </w:rPr>
        <w:t xml:space="preserve">at the date of this statement there are reasonable grounds to believe that the Company will be able to pay its debts as and when they fall due.</w:t>
      </w:r>
    </w:p>
    <w:p>
      <w:pPr>
        <w:numPr>
          <w:ilvl w:val="0"/>
          <w:numId w:val="6"/>
        </w:numPr>
      </w:pPr>
      <w:r>
        <w:rPr>
          <w:rStyle w:val="Arial11"/>
        </w:rPr>
        <w:t xml:space="preserve">	DIRECTOR</w:t>
      </w:r>
    </w:p>
    <w:p>
      <w:pPr>
        <w:pStyle w:val="justifiedParagraph"/>
      </w:pPr>
      <w:r>
        <w:rPr>
          <w:rStyle w:val="Arial11"/>
        </w:rPr>
        <w:t xml:space="preserve">	The director of the Company in office at the date of this statement are as follows:</w:t>
      </w:r>
    </w:p>
    <w:p>
      <w:pPr>
        <w:pStyle w:val="justifiedParagraph"/>
      </w:pPr>
      <w:r>
        <w:rPr>
          <w:rStyle w:val="Arial11"/>
        </w:rPr>
        <w:t xml:space="preserve">	aaaa   appointed on 01 January 2015</w:t>
      </w:r>
    </w:p>
    <w:p>
      <w:pPr>
        <w:pStyle w:val="justifiedParagraph"/>
        <w:numPr>
          <w:ilvl w:val="0"/>
          <w:numId w:val="6"/>
        </w:numPr>
      </w:pPr>
      <w:r>
        <w:rPr>
          <w:rStyle w:val="Arial11"/>
        </w:rPr>
        <w:t xml:space="preserve">	ARRANGEMENTS TO ENABLE DIRECTOR TO ACQUIRE SHARES AND 	DEBENTURES</w:t>
      </w:r>
    </w:p>
    <w:p>
      <w:pPr/>
      <w:r>
        <w:rPr>
          <w:rStyle w:val="Arial11"/>
        </w:rPr>
        <w:t xml:space="preserve">	Neither at the end of nor at any time during the financial year was the Company a 	party to any arrangement whose object was to enable the director of the Company to 	acquire benefits by means of the acquisition of shares in, or debentures of, the 	Company or any other body corporate.</w:t>
      </w:r>
    </w:p>
    <w:p>
      <w:pPr>
        <w:pStyle w:val="justifiedParagraph"/>
        <w:numPr>
          <w:ilvl w:val="0"/>
          <w:numId w:val="6"/>
        </w:numPr>
      </w:pPr>
      <w:r>
        <w:rPr>
          <w:rStyle w:val="Arial11"/>
        </w:rPr>
        <w:t xml:space="preserve">	DIRECTOR'S INTERESTS IN SHARES OR DEBENTURES</w:t>
      </w:r>
    </w:p>
    <w:p>
      <w:pPr/>
      <w:r>
        <w:rPr>
          <w:rStyle w:val="Arial11"/>
        </w:rPr>
        <w:t xml:space="preserve">	According to the register of director’s shareholdings, none of the director holding 	office at the end of the financial year had any interest in the shares or debentures of 	the Company or its related corporations, except as follows: </w:t>
      </w:r>
    </w:p>
    <w:tbl>
      <w:tblGrid>
        <w:gridCol w:w="7000" w:type="dxa"/>
        <w:gridCol w:w="1750" w:type="dxa"/>
        <w:gridCol w:w="1750" w:type="dxa"/>
      </w:tblGrid>
      <w:tr>
        <w:trPr/>
        <w:tc>
          <w:tcPr>
            <w:tcW w:w="7000" w:type="dxa"/>
          </w:tcPr>
          <w:p/>
        </w:tc>
        <w:tc>
          <w:tcPr>
            <w:tcW w:w="1750" w:type="dxa"/>
          </w:tcPr>
          <w:p>
            <w:pPr>
              <w:jc w:val="center"/>
              <w:spacing w:after="0"/>
            </w:pPr>
            <w:r>
              <w:rPr>
                <w:rStyle w:val="Arial11"/>
              </w:rPr>
              <w:t xml:space="preserve">At the beginning of financial year</w:t>
            </w:r>
          </w:p>
        </w:tc>
        <w:tc>
          <w:tcPr>
            <w:tcW w:w="1750" w:type="dxa"/>
          </w:tcPr>
          <w:p>
            <w:pPr>
              <w:jc w:val="center"/>
              <w:spacing w:after="0"/>
            </w:pPr>
            <w:r>
              <w:rPr>
                <w:rStyle w:val="Arial11"/>
              </w:rPr>
              <w:t xml:space="preserve">At the end of financial year</w:t>
            </w:r>
          </w:p>
        </w:tc>
      </w:tr>
      <w:tr>
        <w:trPr/>
        <w:tc>
          <w:tcPr>
            <w:tcW w:w="7000" w:type="dxa"/>
          </w:tcPr>
          <w:p>
            <w:pPr/>
            <w:r>
              <w:rPr>
                <w:u w:val="single"/>
              </w:rPr>
              <w:t xml:space="preserve">The Company</w:t>
            </w:r>
          </w:p>
        </w:tc>
      </w:tr>
      <w:tr>
        <w:trPr/>
        <w:tc>
          <w:tcPr/>
          <w:p>
            <w:pPr/>
            <w:r>
              <w:rPr>
                <w:rStyle w:val="Arial11"/>
              </w:rPr>
              <w:t xml:space="preserve">aaaa</w:t>
            </w:r>
          </w:p>
        </w:tc>
        <w:tc>
          <w:tcPr/>
          <w:p>
            <w:pPr>
              <w:jc w:val="center"/>
              <w:spacing w:after="0"/>
            </w:pPr>
            <w:r>
              <w:rPr>
                <w:rStyle w:val="Arial11"/>
              </w:rPr>
              <w:t xml:space="preserve">1234</w:t>
            </w:r>
          </w:p>
        </w:tc>
        <w:tc>
          <w:tcPr/>
          <w:p>
            <w:pPr>
              <w:jc w:val="center"/>
              <w:spacing w:after="0"/>
            </w:pPr>
            <w:r>
              <w:rPr>
                <w:rStyle w:val="Arial11"/>
              </w:rPr>
              <w:t xml:space="preserve">4231</w:t>
            </w:r>
          </w:p>
        </w:tc>
      </w:tr>
    </w:tbl>
    <w:p>
      <w:pPr>
        <w:sectPr>
          <w:headerReference w:type="default" r:id="rId7"/>
          <w:pgSz w:orient="portrait" w:w="11905.511811024" w:h="16837.795275591"/>
          <w:pgMar w:top="1440" w:right="1440" w:bottom="1440" w:left="1440" w:header="720" w:footer="720" w:gutter="0"/>
          <w:cols w:num="1" w:space="720"/>
        </w:sectPr>
      </w:pPr>
    </w:p>
    <w:p>
      <w:pPr>
        <w:pStyle w:val="justifiedParagraph"/>
        <w:numPr>
          <w:ilvl w:val="0"/>
          <w:numId w:val="6"/>
        </w:numPr>
      </w:pPr>
      <w:r>
        <w:rPr>
          <w:rStyle w:val="Arial11"/>
        </w:rPr>
        <w:t xml:space="preserve">	DIRECTORS' CONTRACTUAL BENEFITS</w:t>
      </w:r>
    </w:p>
    <w:p>
      <w:pPr>
        <w:pStyle w:val="justifiedParagraph"/>
      </w:pPr>
      <w:r>
        <w:rPr>
          <w:rStyle w:val="Arial11"/>
        </w:rPr>
        <w:t xml:space="preserve">	Since the end of the previous financial period, no director has received or become 	entitled to receive a benefit which is required to be disclosed under the Singapore 	Companies Act, by reason of a contract made by the Company or a related 	corporation with the directors or with a firm of which he is a member, or with a 	Company in which he has a substantial financial interest, except as disclosed in the 	financial statements.</w:t>
      </w:r>
    </w:p>
    <w:p/>
    <w:p>
      <w:pPr>
        <w:pStyle w:val="justifiedParagraph"/>
        <w:numPr>
          <w:ilvl w:val="0"/>
          <w:numId w:val="6"/>
        </w:numPr>
      </w:pPr>
      <w:r>
        <w:rPr>
          <w:rStyle w:val="Arial11"/>
        </w:rPr>
        <w:t xml:space="preserve">	OPTIONS GRANTED</w:t>
      </w:r>
    </w:p>
    <w:p>
      <w:pPr>
        <w:pStyle w:val="justifiedParagraph"/>
      </w:pPr>
      <w:r>
        <w:rPr>
          <w:rStyle w:val="Arial11"/>
        </w:rPr>
        <w:t xml:space="preserve">	No options were granted during the financial year to subscribe for unissued shares of 	the Company.</w:t>
      </w:r>
    </w:p>
    <w:p/>
    <w:p>
      <w:pPr>
        <w:pStyle w:val="justifiedParagraph"/>
        <w:numPr>
          <w:ilvl w:val="0"/>
          <w:numId w:val="6"/>
        </w:numPr>
      </w:pPr>
      <w:r>
        <w:rPr>
          <w:rStyle w:val="Arial11"/>
        </w:rPr>
        <w:t xml:space="preserve">	OPTIONS EXERCISED</w:t>
      </w:r>
    </w:p>
    <w:p>
      <w:pPr>
        <w:pStyle w:val="justifiedParagraph"/>
      </w:pPr>
      <w:r>
        <w:rPr>
          <w:rStyle w:val="Arial11"/>
        </w:rPr>
        <w:t xml:space="preserve">	No shares were issued during the financial year by virtue of the exercise of options to 	take up unissued shares of the Company.</w:t>
      </w:r>
    </w:p>
    <w:p/>
    <w:p>
      <w:pPr>
        <w:pStyle w:val="justifiedParagraph"/>
        <w:numPr>
          <w:ilvl w:val="0"/>
          <w:numId w:val="6"/>
        </w:numPr>
      </w:pPr>
      <w:r>
        <w:rPr>
          <w:rStyle w:val="Arial11"/>
        </w:rPr>
        <w:t xml:space="preserve">	OPTIONS OUTSTANDING</w:t>
      </w:r>
    </w:p>
    <w:p>
      <w:pPr>
        <w:pStyle w:val="justifiedParagraph"/>
      </w:pPr>
      <w:r>
        <w:rPr>
          <w:rStyle w:val="Arial11"/>
        </w:rPr>
        <w:t xml:space="preserve">	There were no unissued shares of the Company under option at the end of the 	financial year.</w:t>
      </w:r>
    </w:p>
    <w:p/>
    <w:p/>
    <w:p>
      <w:pPr>
        <w:pStyle w:val="justifiedParagraph"/>
      </w:pPr>
      <w:r>
        <w:rPr>
          <w:rStyle w:val="Arial11"/>
        </w:rPr>
        <w:t xml:space="preserve">
          aaaa
          <w:br/>
          Director
        </w:t>
      </w:r>
    </w:p>
    <w:p>
      <w:pPr>
        <w:pStyle w:val="justifiedParagraph"/>
      </w:pPr>
      <w:r>
        <w:rPr>
          <w:rStyle w:val="Arial11"/>
        </w:rPr>
        <w:t xml:space="preserve">Singapore, July 26 2018</w:t>
      </w:r>
    </w:p>
    <w:p>
      <w:pPr>
        <w:sectPr>
          <w:headerReference w:type="default" r:id="rId8"/>
          <w:pgSz w:orient="portrait" w:w="11905.511811024" w:h="16837.795275591"/>
          <w:pgMar w:top="1440" w:right="1440" w:bottom="1440" w:left="1440" w:header="720" w:footer="720" w:gutter="0"/>
          <w:cols w:num="1" w:space="720"/>
        </w:sectPr>
      </w:pPr>
    </w:p>
    <w:tbl>
      <w:tblGrid>
        <w:gridCol w:w="7000" w:type="dxa"/>
        <w:gridCol w:w="1750" w:type="dxa"/>
        <w:gridCol w:w="1750" w:type="dxa"/>
        <w:gridCol w:w="1750" w:type="dxa"/>
      </w:tblGrid>
      <w:tr>
        <w:trPr/>
        <w:tc>
          <w:tcPr>
            <w:tcW w:w="7000" w:type="dxa"/>
          </w:tcPr>
          <w:p/>
        </w:tc>
        <w:tc>
          <w:tcPr>
            <w:tcW w:w="1750" w:type="dxa"/>
          </w:tcPr>
          <w:p>
            <w:pPr>
              <w:jc w:val="center"/>
              <w:spacing w:after="0"/>
            </w:pPr>
            <w:r>
              <w:rPr>
                <w:rStyle w:val="Arial11"/>
              </w:rPr>
              <w:t xml:space="preserve">Notes</w:t>
            </w: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7000" w:type="dxa"/>
          </w:tcPr>
          <w:p>
            <w:pPr/>
            <w:r>
              <w:rPr/>
              <w:t xml:space="preserve">Revenue</w:t>
            </w:r>
          </w:p>
        </w:tc>
        <w:tc>
          <w:tcPr>
            <w:tcW w:w="1750" w:type="dxa"/>
          </w:tcPr>
          <w:p/>
        </w:tc>
        <w:tc>
          <w:tcPr>
            <w:tcW w:w="1750" w:type="dxa"/>
          </w:tcPr>
          <w:p>
            <w:pPr>
              <w:jc w:val="center"/>
              <w:spacing w:after="0"/>
            </w:pPr>
            <w:r>
              <w:rPr>
                <w:rStyle w:val="Arial11"/>
              </w:rPr>
              <w:t xml:space="preserve">2,168,614</w:t>
            </w:r>
          </w:p>
        </w:tc>
        <w:tc>
          <w:tcPr>
            <w:tcW w:w="1750" w:type="dxa"/>
          </w:tcPr>
          <w:p>
            <w:pPr>
              <w:jc w:val="center"/>
              <w:spacing w:after="0"/>
            </w:pPr>
            <w:r>
              <w:rPr>
                <w:rStyle w:val="Arial11"/>
              </w:rPr>
              <w:t xml:space="preserve">3,121,988</w:t>
            </w:r>
          </w:p>
        </w:tc>
      </w:tr>
      <w:tr>
        <w:trPr/>
        <w:tc>
          <w:tcPr>
            <w:tcW w:w="7000" w:type="dxa"/>
          </w:tcPr>
          <w:p>
            <w:pPr/>
            <w:r>
              <w:rPr/>
              <w:t xml:space="preserve">Less: Cost of sales</w:t>
            </w:r>
          </w:p>
        </w:tc>
        <w:tc>
          <w:tcPr>
            <w:tcW w:w="1750" w:type="dxa"/>
          </w:tcPr>
          <w:p/>
        </w:tc>
        <w:tc>
          <w:tcPr>
            <w:tcW w:w="1750" w:type="dxa"/>
            <w:tcBorders>
              <w:bottom w:val="single" w:sz="1" w:color="000000"/>
            </w:tcBorders>
          </w:tcPr>
          <w:p>
            <w:pPr>
              <w:jc w:val="center"/>
              <w:spacing w:after="0"/>
            </w:pPr>
            <w:r>
              <w:rPr>
                <w:rStyle w:val="Arial11"/>
              </w:rPr>
              <w:t xml:space="preserve">(1,338,882)</w:t>
            </w:r>
          </w:p>
        </w:tc>
        <w:tc>
          <w:tcPr>
            <w:tcW w:w="1750" w:type="dxa"/>
            <w:tcBorders>
              <w:bottom w:val="single" w:sz="1" w:color="000000"/>
            </w:tcBorders>
          </w:tcPr>
          <w:p>
            <w:pPr>
              <w:jc w:val="center"/>
              <w:spacing w:after="0"/>
            </w:pPr>
            <w:r>
              <w:rPr>
                <w:rStyle w:val="Arial11"/>
              </w:rPr>
              <w:t xml:space="preserve">(1,978,616)</w:t>
            </w:r>
          </w:p>
        </w:tc>
      </w:tr>
      <w:tr>
        <w:trPr/>
        <w:tc>
          <w:tcPr>
            <w:tcW w:w="7000" w:type="dxa"/>
          </w:tcPr>
          <w:p>
            <w:pPr/>
            <w:r>
              <w:rPr>
                <w:rStyle w:val="ArialBlack11"/>
              </w:rPr>
              <w:t xml:space="preserve">Gross profit</w:t>
            </w:r>
          </w:p>
        </w:tc>
        <w:tc>
          <w:tcPr>
            <w:tcW w:w="1750" w:type="dxa"/>
          </w:tcPr>
          <w:p/>
        </w:tc>
        <w:tc>
          <w:tcPr>
            <w:tcW w:w="1750" w:type="dxa"/>
          </w:tcPr>
          <w:p>
            <w:pPr>
              <w:jc w:val="center"/>
              <w:spacing w:after="0"/>
            </w:pPr>
            <w:r>
              <w:rPr>
                <w:rStyle w:val="Arial11"/>
              </w:rPr>
              <w:t xml:space="preserve">829,732</w:t>
            </w:r>
          </w:p>
        </w:tc>
        <w:tc>
          <w:tcPr>
            <w:tcW w:w="1750" w:type="dxa"/>
          </w:tcPr>
          <w:p>
            <w:pPr>
              <w:jc w:val="center"/>
              <w:spacing w:after="0"/>
            </w:pPr>
            <w:r>
              <w:rPr>
                <w:rStyle w:val="Arial11"/>
              </w:rPr>
              <w:t xml:space="preserve">1,143,372</w:t>
            </w:r>
          </w:p>
        </w:tc>
      </w:tr>
      <w:tr>
        <w:trPr/>
        <w:tc>
          <w:tcPr>
            <w:tcW w:w="7000" w:type="dxa"/>
          </w:tcPr>
          <w:p>
            <w:pPr/>
            <w:r>
              <w:rPr/>
              <w:t xml:space="preserve">Other income</w:t>
            </w:r>
          </w:p>
        </w:tc>
        <w:tc>
          <w:tcPr>
            <w:tcW w:w="1750" w:type="dxa"/>
          </w:tcPr>
          <w:p/>
        </w:tc>
        <w:tc>
          <w:tcPr>
            <w:tcW w:w="1750" w:type="dxa"/>
          </w:tcPr>
          <w:p>
            <w:pPr>
              <w:jc w:val="center"/>
              <w:spacing w:after="0"/>
            </w:pPr>
            <w:r>
              <w:rPr>
                <w:rStyle w:val="Arial11"/>
              </w:rPr>
              <w:t xml:space="preserve">62,733</w:t>
            </w:r>
          </w:p>
        </w:tc>
        <w:tc>
          <w:tcPr>
            <w:tcW w:w="1750" w:type="dxa"/>
          </w:tcPr>
          <w:p>
            <w:pPr>
              <w:jc w:val="center"/>
              <w:spacing w:after="0"/>
            </w:pPr>
            <w:r>
              <w:rPr>
                <w:rStyle w:val="Arial11"/>
              </w:rPr>
              <w:t xml:space="preserve">106,179</w:t>
            </w:r>
          </w:p>
        </w:tc>
      </w:tr>
      <w:tr>
        <w:trPr/>
        <w:tc>
          <w:tcPr>
            <w:tcW w:w="7000" w:type="dxa"/>
          </w:tcPr>
          <w:p>
            <w:pPr/>
            <w:r>
              <w:rPr/>
              <w:t xml:space="preserve">Expenses</w:t>
            </w:r>
          </w:p>
        </w:tc>
      </w:tr>
      <w:tr>
        <w:trPr/>
        <w:tc>
          <w:tcPr>
            <w:tcW w:w="7000" w:type="dxa"/>
          </w:tcPr>
          <w:p>
            <w:pPr/>
            <w:r>
              <w:rPr/>
              <w:t xml:space="preserve">-Administrative</w:t>
            </w:r>
          </w:p>
        </w:tc>
        <w:tc>
          <w:tcPr>
            <w:tcW w:w="1750" w:type="dxa"/>
          </w:tcPr>
          <w:p/>
        </w:tc>
        <w:tc>
          <w:tcPr>
            <w:tcW w:w="1750" w:type="dxa"/>
          </w:tcPr>
          <w:p>
            <w:pPr>
              <w:jc w:val="center"/>
              <w:spacing w:after="0"/>
            </w:pPr>
            <w:r>
              <w:rPr>
                <w:rStyle w:val="Arial11"/>
              </w:rPr>
              <w:t xml:space="preserve">(237,827)</w:t>
            </w:r>
          </w:p>
        </w:tc>
        <w:tc>
          <w:tcPr>
            <w:tcW w:w="1750" w:type="dxa"/>
          </w:tcPr>
          <w:p>
            <w:pPr>
              <w:jc w:val="center"/>
              <w:spacing w:after="0"/>
            </w:pPr>
            <w:r>
              <w:rPr>
                <w:rStyle w:val="Arial11"/>
              </w:rPr>
              <w:t xml:space="preserve">(283,742)</w:t>
            </w:r>
          </w:p>
        </w:tc>
      </w:tr>
      <w:tr>
        <w:trPr/>
        <w:tc>
          <w:tcPr>
            <w:tcW w:w="7000" w:type="dxa"/>
          </w:tcPr>
          <w:p>
            <w:pPr/>
            <w:r>
              <w:rPr/>
              <w:t xml:space="preserve">-Distribution and marketing</w:t>
            </w:r>
          </w:p>
        </w:tc>
        <w:tc>
          <w:tcPr>
            <w:tcW w:w="1750" w:type="dxa"/>
          </w:tcPr>
          <w:p/>
        </w:tc>
        <w:tc>
          <w:tcPr>
            <w:tcW w:w="1750" w:type="dxa"/>
          </w:tcPr>
          <w:p>
            <w:pPr>
              <w:jc w:val="center"/>
              <w:spacing w:after="0"/>
            </w:pPr>
            <w:r>
              <w:rPr>
                <w:rStyle w:val="Arial11"/>
              </w:rPr>
              <w:t xml:space="preserve">(1,049)</w:t>
            </w:r>
          </w:p>
        </w:tc>
        <w:tc>
          <w:tcPr>
            <w:tcW w:w="1750" w:type="dxa"/>
          </w:tcPr>
          <w:p>
            <w:pPr>
              <w:jc w:val="center"/>
              <w:spacing w:after="0"/>
            </w:pPr>
            <w:r>
              <w:rPr>
                <w:rStyle w:val="Arial11"/>
              </w:rPr>
              <w:t xml:space="preserve">(412)</w:t>
            </w:r>
          </w:p>
        </w:tc>
      </w:tr>
      <w:tr>
        <w:trPr/>
        <w:tc>
          <w:tcPr>
            <w:tcW w:w="7000" w:type="dxa"/>
          </w:tcPr>
          <w:p>
            <w:pPr/>
            <w:r>
              <w:rPr/>
              <w:t xml:space="preserve">-Finance Expenses</w:t>
            </w:r>
          </w:p>
        </w:tc>
        <w:tc>
          <w:tcPr>
            <w:tcW w:w="1750" w:type="dxa"/>
          </w:tcPr>
          <w:p/>
        </w:tc>
        <w:tc>
          <w:tcPr>
            <w:tcW w:w="1750" w:type="dxa"/>
            <w:tcBorders>
              <w:bottom w:val="single" w:sz="1" w:color="000000"/>
            </w:tcBorders>
          </w:tcPr>
          <w:p>
            <w:pPr>
              <w:jc w:val="center"/>
              <w:spacing w:after="0"/>
            </w:pPr>
            <w:r>
              <w:rPr>
                <w:rStyle w:val="Arial11"/>
              </w:rPr>
              <w:t xml:space="preserve">(191)</w:t>
            </w:r>
          </w:p>
        </w:tc>
        <w:tc>
          <w:tcPr>
            <w:tcW w:w="1750" w:type="dxa"/>
            <w:tcBorders>
              <w:bottom w:val="single" w:sz="1" w:color="000000"/>
            </w:tcBorders>
          </w:tcPr>
          <w:p>
            <w:pPr>
              <w:jc w:val="center"/>
              <w:spacing w:after="0"/>
            </w:pPr>
            <w:r>
              <w:rPr>
                <w:rStyle w:val="Arial11"/>
              </w:rPr>
              <w:t xml:space="preserve">-</w:t>
            </w:r>
          </w:p>
        </w:tc>
      </w:tr>
      <w:tr>
        <w:trPr/>
        <w:tc>
          <w:tcPr>
            <w:tcW w:w="7000" w:type="dxa"/>
          </w:tcPr>
          <w:p>
            <w:pPr/>
            <w:r>
              <w:rPr>
                <w:rStyle w:val="ArialBlack11"/>
              </w:rPr>
              <w:t xml:space="preserve">Profit before income tax</w:t>
            </w:r>
          </w:p>
        </w:tc>
        <w:tc>
          <w:tcPr>
            <w:tcW w:w="1750" w:type="dxa"/>
          </w:tcPr>
          <w:p/>
        </w:tc>
        <w:tc>
          <w:tcPr>
            <w:tcW w:w="1750" w:type="dxa"/>
          </w:tcPr>
          <w:p>
            <w:pPr>
              <w:jc w:val="center"/>
              <w:spacing w:after="0"/>
            </w:pPr>
            <w:r>
              <w:rPr>
                <w:rStyle w:val="Arial11"/>
              </w:rPr>
              <w:t xml:space="preserve">653,398</w:t>
            </w:r>
          </w:p>
        </w:tc>
        <w:tc>
          <w:tcPr>
            <w:tcW w:w="1750" w:type="dxa"/>
          </w:tcPr>
          <w:p>
            <w:pPr>
              <w:jc w:val="center"/>
              <w:spacing w:after="0"/>
            </w:pPr>
            <w:r>
              <w:rPr>
                <w:rStyle w:val="Arial11"/>
              </w:rPr>
              <w:t xml:space="preserve">965,397</w:t>
            </w:r>
          </w:p>
        </w:tc>
      </w:tr>
      <w:tr>
        <w:trPr/>
        <w:tc>
          <w:tcPr>
            <w:tcW w:w="7000" w:type="dxa"/>
          </w:tcPr>
          <w:p>
            <w:pPr/>
            <w:r>
              <w:rPr/>
              <w:t xml:space="preserve">Income tax expense</w:t>
            </w:r>
          </w:p>
        </w:tc>
        <w:tc>
          <w:tcPr>
            <w:tcW w:w="1750" w:type="dxa"/>
          </w:tcPr>
          <w:p/>
        </w:tc>
        <w:tc>
          <w:tcPr>
            <w:tcW w:w="1750" w:type="dxa"/>
            <w:tcBorders>
              <w:bottom w:val="single" w:sz="1" w:color="000000"/>
            </w:tcBorders>
          </w:tcPr>
          <w:p>
            <w:pPr>
              <w:jc w:val="center"/>
              <w:spacing w:after="0"/>
            </w:pPr>
            <w:r>
              <w:rPr>
                <w:rStyle w:val="Arial11"/>
              </w:rPr>
              <w:t xml:space="preserve">(36,463)</w:t>
            </w:r>
          </w:p>
        </w:tc>
        <w:tc>
          <w:tcPr>
            <w:tcW w:w="1750" w:type="dxa"/>
            <w:tcBorders>
              <w:bottom w:val="single" w:sz="1" w:color="000000"/>
            </w:tcBorders>
          </w:tcPr>
          <w:p>
            <w:pPr>
              <w:jc w:val="center"/>
              <w:spacing w:after="0"/>
            </w:pPr>
            <w:r>
              <w:rPr>
                <w:rStyle w:val="Arial11"/>
              </w:rPr>
              <w:t xml:space="preserve">(99,641)</w:t>
            </w:r>
          </w:p>
        </w:tc>
      </w:tr>
      <w:tr>
        <w:trPr/>
        <w:tc>
          <w:tcPr>
            <w:tcW w:w="7000" w:type="dxa"/>
          </w:tcPr>
          <w:p>
            <w:pPr/>
            <w:r>
              <w:rPr>
                <w:rStyle w:val="ArialBlack11"/>
              </w:rPr>
              <w:t xml:space="preserve">Net profit and total comprehensive income for the year/period</w:t>
            </w:r>
          </w:p>
        </w:tc>
        <w:tc>
          <w:tcPr>
            <w:tcW w:w="1750" w:type="dxa"/>
          </w:tcPr>
          <w:p/>
        </w:tc>
        <w:tc>
          <w:tcPr>
            <w:tcW w:w="1750" w:type="dxa"/>
            <w:tcBorders>
              <w:bottom w:val="single" w:sz="18" w:color="#000000"/>
            </w:tcBorders>
          </w:tcPr>
          <w:p>
            <w:pPr>
              <w:jc w:val="center"/>
              <w:spacing w:after="0"/>
            </w:pPr>
            <w:r>
              <w:rPr>
                <w:rStyle w:val="Arial11"/>
              </w:rPr>
              <w:t xml:space="preserve">616,935</w:t>
            </w:r>
          </w:p>
        </w:tc>
        <w:tc>
          <w:tcPr>
            <w:tcW w:w="1750" w:type="dxa"/>
            <w:tcBorders>
              <w:bottom w:val="single" w:sz="18" w:color="#000000"/>
            </w:tcBorders>
          </w:tcPr>
          <w:p>
            <w:pPr>
              <w:jc w:val="center"/>
              <w:spacing w:after="0"/>
            </w:pPr>
            <w:r>
              <w:rPr>
                <w:rStyle w:val="Arial11"/>
              </w:rPr>
              <w:t xml:space="preserve">865,756</w:t>
            </w:r>
          </w:p>
        </w:tc>
      </w:tr>
    </w:tbl>
    <w:p>
      <w:pPr>
        <w:sectPr>
          <w:headerReference w:type="default" r:id="rId9"/>
          <w:pgSz w:orient="portrait" w:w="11905.511811024" w:h="16837.795275591"/>
          <w:pgMar w:top="1440" w:right="1440" w:bottom="1440" w:left="1440" w:header="720" w:footer="720" w:gutter="0"/>
          <w:cols w:num="1" w:space="720"/>
        </w:sectPr>
      </w:pPr>
    </w:p>
    <w:tbl>
      <w:tblGrid>
        <w:gridCol w:w="7000" w:type="dxa"/>
        <w:gridCol w:w="1750" w:type="dxa"/>
        <w:gridCol w:w="1750" w:type="dxa"/>
        <w:gridCol w:w="1750" w:type="dxa"/>
      </w:tblGrid>
      <w:tr>
        <w:trPr/>
        <w:tc>
          <w:tcPr>
            <w:tcW w:w="7000" w:type="dxa"/>
          </w:tcPr>
          <w:p/>
        </w:tc>
        <w:tc>
          <w:tcPr>
            <w:tcW w:w="1750" w:type="dxa"/>
          </w:tcPr>
          <w:p>
            <w:pPr>
              <w:jc w:val="center"/>
              <w:spacing w:after="0"/>
            </w:pPr>
            <w:r>
              <w:rPr>
                <w:rStyle w:val="Arial11"/>
              </w:rPr>
              <w:t xml:space="preserve">Notes</w:t>
            </w:r>
          </w:p>
        </w:tc>
        <w:tc>
          <w:tcPr>
            <w:tcW w:w="1750" w:type="dxa"/>
          </w:tcPr>
          <w:p>
            <w:pPr>
              <w:jc w:val="center"/>
              <w:spacing w:after="0"/>
            </w:pPr>
            <w:r>
              <w:rPr>
                <w:rStyle w:val="TableUnderline"/>
              </w:rPr>
              <w:t xml:space="preserve">2016</w:t>
            </w:r>
          </w:p>
          <w:p>
            <w:pPr>
              <w:jc w:val="center"/>
              <w:spacing w:after="0"/>
            </w:pPr>
            <w:r>
              <w:rPr>
                <w:rStyle w:val="Arial11"/>
              </w:rPr>
              <w:t xml:space="preserve">$</w:t>
            </w:r>
          </w:p>
        </w:tc>
        <w:tc>
          <w:tcPr>
            <w:tcW w:w="1750" w:type="dxa"/>
          </w:tcPr>
          <w:p>
            <w:pPr>
              <w:jc w:val="center"/>
              <w:spacing w:after="0"/>
            </w:pPr>
            <w:r>
              <w:rPr>
                <w:rStyle w:val="TableUnderline"/>
              </w:rPr>
              <w:t xml:space="preserve">2015</w:t>
            </w:r>
          </w:p>
          <w:p>
            <w:pPr>
              <w:jc w:val="center"/>
              <w:spacing w:after="0"/>
            </w:pPr>
            <w:r>
              <w:rPr>
                <w:rStyle w:val="Arial11"/>
              </w:rPr>
              <w:t xml:space="preserve">$</w:t>
            </w:r>
          </w:p>
        </w:tc>
      </w:tr>
      <w:tr>
        <w:trPr/>
        <w:tc>
          <w:tcPr>
            <w:tcW w:w="7000" w:type="dxa"/>
          </w:tcPr>
          <w:p>
            <w:pPr/>
            <w:r>
              <w:rPr>
                <w:rStyle w:val="ArialBlack11"/>
              </w:rPr>
              <w:t xml:space="preserve">ASSETS</w:t>
            </w:r>
          </w:p>
        </w:tc>
      </w:tr>
      <w:tr>
        <w:trPr/>
        <w:tc>
          <w:tcPr>
            <w:tcW w:w="7000" w:type="dxa"/>
          </w:tcPr>
          <w:p>
            <w:pPr/>
            <w:r>
              <w:rPr>
                <w:rStyle w:val="ArialBlack11"/>
              </w:rPr>
              <w:t xml:space="preserve">Current assets</w:t>
            </w:r>
          </w:p>
        </w:tc>
      </w:tr>
      <w:tr>
        <w:trPr/>
        <w:tc>
          <w:tcPr>
            <w:tcW w:w="7000" w:type="dxa"/>
          </w:tcPr>
          <w:p>
            <w:pPr/>
            <w:r>
              <w:rPr>
                <w:rStyle w:val="Arial11"/>
              </w:rPr>
              <w:t xml:space="preserve">Bank balances</w:t>
            </w:r>
          </w:p>
        </w:tc>
        <w:tc>
          <w:tcPr>
            <w:tcW w:w="1750" w:type="dxa"/>
          </w:tcPr>
          <w:p/>
        </w:tc>
        <w:tc>
          <w:tcPr>
            <w:tcW w:w="1750" w:type="dxa"/>
          </w:tcPr>
          <w:p>
            <w:pPr>
              <w:jc w:val="center"/>
              <w:spacing w:after="0"/>
            </w:pPr>
            <w:r>
              <w:rPr>
                <w:rStyle w:val="Arial11"/>
              </w:rPr>
              <w:t xml:space="preserve">1,804,036</w:t>
            </w:r>
          </w:p>
        </w:tc>
        <w:tc>
          <w:tcPr>
            <w:tcW w:w="1750" w:type="dxa"/>
          </w:tcPr>
          <w:p>
            <w:pPr>
              <w:jc w:val="center"/>
              <w:spacing w:after="0"/>
            </w:pPr>
            <w:r>
              <w:rPr>
                <w:rStyle w:val="Arial11"/>
              </w:rPr>
              <w:t xml:space="preserve">1,008,693</w:t>
            </w:r>
          </w:p>
        </w:tc>
      </w:tr>
      <w:tr>
        <w:trPr/>
        <w:tc>
          <w:tcPr>
            <w:tcW w:w="7000" w:type="dxa"/>
          </w:tcPr>
          <w:p>
            <w:pPr/>
            <w:r>
              <w:rPr>
                <w:rStyle w:val="Arial11"/>
              </w:rPr>
              <w:t xml:space="preserve">Trade and other receivables</w:t>
            </w:r>
          </w:p>
        </w:tc>
        <w:tc>
          <w:tcPr>
            <w:tcW w:w="1750" w:type="dxa"/>
          </w:tcPr>
          <w:p/>
        </w:tc>
        <w:tc>
          <w:tcPr>
            <w:tcW w:w="1750" w:type="dxa"/>
            <w:tcBorders>
              <w:bottom w:val="single" w:sz="1" w:color="000000"/>
            </w:tcBorders>
          </w:tcPr>
          <w:p>
            <w:pPr>
              <w:jc w:val="center"/>
              <w:spacing w:after="0"/>
            </w:pPr>
            <w:r>
              <w:rPr>
                <w:rStyle w:val="Arial11"/>
              </w:rPr>
              <w:t xml:space="preserve">766,294</w:t>
            </w:r>
          </w:p>
        </w:tc>
        <w:tc>
          <w:tcPr>
            <w:tcW w:w="1750" w:type="dxa"/>
            <w:tcBorders>
              <w:bottom w:val="single" w:sz="1" w:color="000000"/>
            </w:tcBorders>
          </w:tcPr>
          <w:p>
            <w:pPr>
              <w:jc w:val="center"/>
              <w:spacing w:after="0"/>
            </w:pPr>
            <w:r>
              <w:rPr>
                <w:rStyle w:val="Arial11"/>
              </w:rPr>
              <w:t xml:space="preserve">494,548</w:t>
            </w:r>
          </w:p>
        </w:tc>
      </w:tr>
      <w:tr>
        <w:trPr/>
        <w:tc>
          <w:tcPr>
            <w:tcW w:w="7000" w:type="dxa"/>
          </w:tcPr>
          <w:p/>
        </w:tc>
        <w:tc>
          <w:tcPr>
            <w:tcW w:w="1750" w:type="dxa"/>
          </w:tcPr>
          <w:p/>
        </w:tc>
        <w:tc>
          <w:tcPr>
            <w:tcW w:w="1750" w:type="dxa"/>
          </w:tcPr>
          <w:p>
            <w:pPr>
              <w:jc w:val="center"/>
              <w:spacing w:after="0"/>
            </w:pPr>
            <w:r>
              <w:rPr>
                <w:rStyle w:val="Arial11"/>
              </w:rPr>
              <w:t xml:space="preserve">2,570,330</w:t>
            </w:r>
          </w:p>
        </w:tc>
        <w:tc>
          <w:tcPr>
            <w:tcW w:w="1750" w:type="dxa"/>
          </w:tcPr>
          <w:p>
            <w:pPr>
              <w:jc w:val="center"/>
              <w:spacing w:after="0"/>
            </w:pPr>
            <w:r>
              <w:rPr>
                <w:rStyle w:val="Arial11"/>
              </w:rPr>
              <w:t xml:space="preserve">1,503,241</w:t>
            </w:r>
          </w:p>
        </w:tc>
      </w:tr>
      <w:tr>
        <w:trPr/>
        <w:tc>
          <w:tcPr>
            <w:tcW w:w="7000" w:type="dxa"/>
          </w:tcPr>
          <w:p>
            <w:pPr/>
            <w:r>
              <w:rPr>
                <w:rStyle w:val="ArialBlack11"/>
              </w:rPr>
              <w:t xml:space="preserve">Non-current assets</w:t>
            </w:r>
          </w:p>
        </w:tc>
      </w:tr>
      <w:tr>
        <w:trPr/>
        <w:tc>
          <w:tcPr>
            <w:tcW w:w="7000" w:type="dxa"/>
          </w:tcPr>
          <w:p>
            <w:pPr/>
            <w:r>
              <w:rPr/>
              <w:t xml:space="preserve">Plant and Equipment</w:t>
            </w:r>
          </w:p>
        </w:tc>
        <w:tc>
          <w:tcPr>
            <w:tcW w:w="1750" w:type="dxa"/>
          </w:tcPr>
          <w:p>
            <w:pPr>
              <w:jc w:val="center"/>
              <w:spacing w:after="0"/>
            </w:pPr>
            <w:r>
              <w:rPr>
                <w:rStyle w:val="Arial11"/>
              </w:rPr>
              <w:t xml:space="preserve">4</w:t>
            </w:r>
          </w:p>
        </w:tc>
        <w:tc>
          <w:tcPr>
            <w:tcW w:w="1750" w:type="dxa"/>
            <w:tcBorders>
              <w:bottom w:val="single" w:sz="1" w:color="000000"/>
            </w:tcBorders>
          </w:tcPr>
          <w:p>
            <w:pPr>
              <w:jc w:val="center"/>
              <w:spacing w:after="0"/>
            </w:pPr>
            <w:r>
              <w:rPr>
                <w:rStyle w:val="Arial11"/>
              </w:rPr>
              <w:t xml:space="preserve">30,988</w:t>
            </w:r>
          </w:p>
        </w:tc>
        <w:tc>
          <w:tcPr>
            <w:tcW w:w="1750" w:type="dxa"/>
            <w:tcBorders>
              <w:bottom w:val="single" w:sz="1" w:color="000000"/>
            </w:tcBorders>
          </w:tcPr>
          <w:p>
            <w:pPr>
              <w:jc w:val="center"/>
              <w:spacing w:after="0"/>
            </w:pPr>
            <w:r>
              <w:rPr>
                <w:rStyle w:val="Arial11"/>
              </w:rPr>
              <w:t xml:space="preserve">912</w:t>
            </w:r>
          </w:p>
        </w:tc>
      </w:tr>
      <w:tr>
        <w:trPr/>
        <w:tc>
          <w:tcPr>
            <w:tcW w:w="7000" w:type="dxa"/>
          </w:tcPr>
          <w:p>
            <w:pPr/>
            <w:r>
              <w:rPr>
                <w:rStyle w:val="ArialBlack11"/>
              </w:rPr>
              <w:t xml:space="preserve">Total assets</w:t>
            </w:r>
          </w:p>
        </w:tc>
        <w:tc>
          <w:tcPr>
            <w:tcW w:w="1750" w:type="dxa"/>
          </w:tcPr>
          <w:p/>
        </w:tc>
        <w:tc>
          <w:tcPr>
            <w:tcW w:w="1750" w:type="dxa"/>
            <w:tcBorders>
              <w:bottom w:val="single" w:sz="1" w:color="000000"/>
            </w:tcBorders>
          </w:tcPr>
          <w:p>
            <w:pPr>
              <w:jc w:val="center"/>
              <w:spacing w:after="0"/>
            </w:pPr>
            <w:r>
              <w:rPr>
                <w:rStyle w:val="Arial11"/>
              </w:rPr>
              <w:t xml:space="preserve">2,601,318</w:t>
            </w:r>
          </w:p>
        </w:tc>
        <w:tc>
          <w:tcPr>
            <w:tcW w:w="1750" w:type="dxa"/>
            <w:tcBorders>
              <w:bottom w:val="single" w:sz="1" w:color="000000"/>
            </w:tcBorders>
          </w:tcPr>
          <w:p>
            <w:pPr>
              <w:jc w:val="center"/>
              <w:spacing w:after="0"/>
            </w:pPr>
            <w:r>
              <w:rPr>
                <w:rStyle w:val="Arial11"/>
              </w:rPr>
              <w:t xml:space="preserve">1,504,153</w:t>
            </w:r>
          </w:p>
        </w:tc>
      </w:tr>
      <w:tr>
        <w:trPr/>
        <w:tc>
          <w:tcPr>
            <w:tcW w:w="7000" w:type="dxa"/>
          </w:tcPr>
          <w:p>
            <w:pPr/>
            <w:r>
              <w:rPr>
                <w:rStyle w:val="ArialBlack11"/>
              </w:rPr>
              <w:t xml:space="preserve">LIABILITIES</w:t>
            </w:r>
          </w:p>
        </w:tc>
      </w:tr>
      <w:tr>
        <w:trPr/>
        <w:tc>
          <w:tcPr>
            <w:tcW w:w="7000" w:type="dxa"/>
          </w:tcPr>
          <w:p>
            <w:pPr/>
            <w:r>
              <w:rPr>
                <w:rStyle w:val="ArialBlack11"/>
              </w:rPr>
              <w:t xml:space="preserve">Current liabilities</w:t>
            </w:r>
          </w:p>
        </w:tc>
      </w:tr>
      <w:tr>
        <w:trPr/>
        <w:tc>
          <w:tcPr>
            <w:tcW w:w="7000" w:type="dxa"/>
          </w:tcPr>
          <w:p>
            <w:pPr/>
            <w:r>
              <w:rPr/>
              <w:t xml:space="preserve">Trade and other payables</w:t>
            </w:r>
          </w:p>
        </w:tc>
        <w:tc>
          <w:tcPr>
            <w:tcW w:w="1750" w:type="dxa"/>
          </w:tcPr>
          <w:p/>
        </w:tc>
        <w:tc>
          <w:tcPr>
            <w:tcW w:w="1750" w:type="dxa"/>
          </w:tcPr>
          <w:p>
            <w:pPr>
              <w:jc w:val="center"/>
              <w:spacing w:after="0"/>
            </w:pPr>
            <w:r>
              <w:rPr>
                <w:rStyle w:val="Arial11"/>
              </w:rPr>
              <w:t xml:space="preserve">267,850</w:t>
            </w:r>
          </w:p>
        </w:tc>
        <w:tc>
          <w:tcPr>
            <w:tcW w:w="1750" w:type="dxa"/>
          </w:tcPr>
          <w:p>
            <w:pPr>
              <w:jc w:val="center"/>
              <w:spacing w:after="0"/>
            </w:pPr>
            <w:r>
              <w:rPr>
                <w:rStyle w:val="Arial11"/>
              </w:rPr>
              <w:t xml:space="preserve">335,291</w:t>
            </w:r>
          </w:p>
        </w:tc>
      </w:tr>
      <w:tr>
        <w:trPr/>
        <w:tc>
          <w:tcPr>
            <w:tcW w:w="7000" w:type="dxa"/>
          </w:tcPr>
          <w:p>
            <w:pPr/>
            <w:r>
              <w:rPr/>
              <w:t xml:space="preserve">Current Income Tax Liabilities</w:t>
            </w:r>
          </w:p>
        </w:tc>
        <w:tc>
          <w:tcPr>
            <w:tcW w:w="1750" w:type="dxa"/>
          </w:tcPr>
          <w:p/>
        </w:tc>
        <w:tc>
          <w:tcPr>
            <w:tcW w:w="1750" w:type="dxa"/>
          </w:tcPr>
          <w:p>
            <w:pPr>
              <w:jc w:val="center"/>
              <w:spacing w:after="0"/>
            </w:pPr>
            <w:r>
              <w:rPr>
                <w:rStyle w:val="Arial11"/>
              </w:rPr>
              <w:t xml:space="preserve">135,951</w:t>
            </w:r>
          </w:p>
        </w:tc>
        <w:tc>
          <w:tcPr>
            <w:tcW w:w="1750" w:type="dxa"/>
          </w:tcPr>
          <w:p>
            <w:pPr>
              <w:jc w:val="center"/>
              <w:spacing w:after="0"/>
            </w:pPr>
            <w:r>
              <w:rPr>
                <w:rStyle w:val="Arial11"/>
              </w:rPr>
              <w:t xml:space="preserve">99,694</w:t>
            </w:r>
          </w:p>
        </w:tc>
      </w:tr>
      <w:tr>
        <w:trPr/>
        <w:tc>
          <w:tcPr>
            <w:tcW w:w="7000" w:type="dxa"/>
          </w:tcPr>
          <w:p>
            <w:pPr/>
            <w:r>
              <w:rPr/>
              <w:t xml:space="preserve">Borrowings</w:t>
            </w:r>
          </w:p>
        </w:tc>
        <w:tc>
          <w:tcPr>
            <w:tcW w:w="1750" w:type="dxa"/>
          </w:tcPr>
          <w:p>
            <w:pPr>
              <w:jc w:val="center"/>
              <w:spacing w:after="0"/>
            </w:pPr>
            <w:r>
              <w:rPr>
                <w:rStyle w:val="Arial11"/>
              </w:rPr>
              <w:t xml:space="preserve">5</w:t>
            </w:r>
          </w:p>
        </w:tc>
        <w:tc>
          <w:tcPr>
            <w:tcW w:w="1750" w:type="dxa"/>
            <w:tcBorders>
              <w:bottom w:val="single" w:sz="1" w:color="000000"/>
            </w:tcBorders>
          </w:tcPr>
          <w:p>
            <w:pPr>
              <w:jc w:val="center"/>
              <w:spacing w:after="0"/>
            </w:pPr>
            <w:r>
              <w:rPr>
                <w:rStyle w:val="Arial11"/>
              </w:rPr>
              <w:t xml:space="preserve">25,471</w:t>
            </w:r>
          </w:p>
        </w:tc>
        <w:tc>
          <w:tcPr>
            <w:tcW w:w="1750" w:type="dxa"/>
            <w:tcBorders>
              <w:bottom w:val="single" w:sz="1" w:color="000000"/>
            </w:tcBorders>
          </w:tcPr>
          <w:p>
            <w:pPr>
              <w:jc w:val="center"/>
              <w:spacing w:after="0"/>
            </w:pPr>
            <w:r>
              <w:rPr>
                <w:rStyle w:val="Arial11"/>
              </w:rPr>
              <w:t xml:space="preserve">-</w:t>
            </w:r>
          </w:p>
        </w:tc>
      </w:tr>
      <w:tr>
        <w:trPr/>
        <w:tc>
          <w:tcPr>
            <w:tcW w:w="7000" w:type="dxa"/>
          </w:tcPr>
          <w:p>
            <w:pPr/>
            <w:r>
              <w:rPr>
                <w:rStyle w:val="ArialBlack11"/>
              </w:rPr>
              <w:t xml:space="preserve">Total liabilities</w:t>
            </w:r>
          </w:p>
        </w:tc>
        <w:tc>
          <w:tcPr>
            <w:tcW w:w="1750" w:type="dxa"/>
          </w:tcPr>
          <w:p/>
        </w:tc>
        <w:tc>
          <w:tcPr>
            <w:tcW w:w="1750" w:type="dxa"/>
            <w:tcBorders>
              <w:bottom w:val="single" w:sz="1" w:color="000000"/>
            </w:tcBorders>
          </w:tcPr>
          <w:p>
            <w:pPr>
              <w:jc w:val="center"/>
              <w:spacing w:after="0"/>
            </w:pPr>
            <w:r>
              <w:rPr>
                <w:rStyle w:val="Arial11"/>
              </w:rPr>
              <w:t xml:space="preserve">429,273</w:t>
            </w:r>
          </w:p>
        </w:tc>
        <w:tc>
          <w:tcPr>
            <w:tcW w:w="1750" w:type="dxa"/>
            <w:tcBorders>
              <w:bottom w:val="single" w:sz="1" w:color="000000"/>
            </w:tcBorders>
          </w:tcPr>
          <w:p>
            <w:pPr>
              <w:jc w:val="center"/>
              <w:spacing w:after="0"/>
            </w:pPr>
            <w:r>
              <w:rPr>
                <w:rStyle w:val="Arial11"/>
              </w:rPr>
              <w:t xml:space="preserve">434,985</w:t>
            </w:r>
          </w:p>
        </w:tc>
      </w:tr>
      <w:tr>
        <w:trPr/>
        <w:tc>
          <w:tcPr>
            <w:tcW w:w="7000" w:type="dxa"/>
          </w:tcPr>
          <w:p>
            <w:pPr/>
            <w:r>
              <w:rPr>
                <w:rStyle w:val="ArialBlack11"/>
              </w:rPr>
              <w:t xml:space="preserve">Non-current liabilities</w:t>
            </w:r>
          </w:p>
        </w:tc>
      </w:tr>
      <w:tr>
        <w:trPr/>
        <w:tc>
          <w:tcPr>
            <w:tcW w:w="7000" w:type="dxa"/>
          </w:tcPr>
          <w:p>
            <w:pPr/>
            <w:r>
              <w:rPr>
                <w:rStyle w:val="Arial11"/>
              </w:rPr>
              <w:t xml:space="preserve">Borrowings</w:t>
            </w:r>
          </w:p>
        </w:tc>
        <w:tc>
          <w:tcPr>
            <w:tcW w:w="1750" w:type="dxa"/>
          </w:tcPr>
          <w:p>
            <w:pPr>
              <w:jc w:val="center"/>
              <w:spacing w:after="0"/>
            </w:pPr>
            <w:r>
              <w:rPr>
                <w:rStyle w:val="Arial11"/>
              </w:rPr>
              <w:t xml:space="preserve">5</w:t>
            </w:r>
          </w:p>
        </w:tc>
        <w:tc>
          <w:tcPr>
            <w:tcW w:w="1750" w:type="dxa"/>
            <w:tcBorders>
              <w:bottom w:val="single" w:sz="1" w:color="000000"/>
            </w:tcBorders>
          </w:tcPr>
          <w:p>
            <w:pPr>
              <w:jc w:val="center"/>
              <w:spacing w:after="0"/>
            </w:pPr>
            <w:r>
              <w:rPr>
                <w:rStyle w:val="Arial11"/>
              </w:rPr>
              <w:t xml:space="preserve">50,942</w:t>
            </w:r>
          </w:p>
        </w:tc>
        <w:tc>
          <w:tcPr>
            <w:tcW w:w="1750" w:type="dxa"/>
            <w:tcBorders>
              <w:bottom w:val="single" w:sz="1" w:color="000000"/>
            </w:tcBorders>
          </w:tcPr>
          <w:p>
            <w:pPr>
              <w:jc w:val="center"/>
              <w:spacing w:after="0"/>
            </w:pPr>
            <w:r>
              <w:rPr>
                <w:rStyle w:val="Arial11"/>
              </w:rPr>
              <w:t xml:space="preserve">-</w:t>
            </w:r>
          </w:p>
        </w:tc>
      </w:tr>
      <w:tr>
        <w:trPr/>
        <w:tc>
          <w:tcPr>
            <w:tcW w:w="7000" w:type="dxa"/>
          </w:tcPr>
          <w:p/>
        </w:tc>
        <w:tc>
          <w:tcPr>
            <w:tcW w:w="1750" w:type="dxa"/>
          </w:tcPr>
          <w:p/>
        </w:tc>
        <w:tc>
          <w:tcPr>
            <w:tcW w:w="1750" w:type="dxa"/>
            <w:tcBorders>
              <w:bottom w:val="single" w:sz="1" w:color="000000"/>
            </w:tcBorders>
          </w:tcPr>
          <w:p>
            <w:pPr>
              <w:jc w:val="center"/>
              <w:spacing w:after="0"/>
            </w:pPr>
            <w:r>
              <w:rPr>
                <w:rStyle w:val="Arial11"/>
              </w:rPr>
              <w:t xml:space="preserve">50,942</w:t>
            </w:r>
          </w:p>
        </w:tc>
        <w:tc>
          <w:tcPr>
            <w:tcW w:w="1750" w:type="dxa"/>
            <w:tcBorders>
              <w:bottom w:val="single" w:sz="1" w:color="000000"/>
            </w:tcBorders>
          </w:tcPr>
          <w:p>
            <w:pPr>
              <w:jc w:val="center"/>
              <w:spacing w:after="0"/>
            </w:pPr>
            <w:r>
              <w:rPr>
                <w:rStyle w:val="Arial11"/>
              </w:rPr>
              <w:t xml:space="preserve">0</w:t>
            </w:r>
          </w:p>
        </w:tc>
      </w:tr>
      <w:tr>
        <w:trPr/>
        <w:tc>
          <w:tcPr>
            <w:tcW w:w="7000" w:type="dxa"/>
          </w:tcPr>
          <w:p>
            <w:pPr/>
            <w:r>
              <w:rPr>
                <w:rStyle w:val="ArialBlack11"/>
              </w:rPr>
              <w:t xml:space="preserve">Total liabilities</w:t>
            </w:r>
          </w:p>
        </w:tc>
        <w:tc>
          <w:tcPr>
            <w:tcW w:w="1750" w:type="dxa"/>
          </w:tcPr>
          <w:p/>
        </w:tc>
        <w:tc>
          <w:tcPr>
            <w:tcW w:w="1750" w:type="dxa"/>
            <w:tcBorders>
              <w:bottom w:val="single" w:sz="1" w:color="000000"/>
            </w:tcBorders>
          </w:tcPr>
          <w:p>
            <w:pPr>
              <w:jc w:val="center"/>
              <w:spacing w:after="0"/>
            </w:pPr>
            <w:r>
              <w:rPr>
                <w:rStyle w:val="Arial11"/>
              </w:rPr>
              <w:t xml:space="preserve">480,215</w:t>
            </w:r>
          </w:p>
        </w:tc>
        <w:tc>
          <w:tcPr>
            <w:tcW w:w="1750" w:type="dxa"/>
            <w:tcBorders>
              <w:bottom w:val="single" w:sz="1" w:color="000000"/>
            </w:tcBorders>
          </w:tcPr>
          <w:p>
            <w:pPr>
              <w:jc w:val="center"/>
              <w:spacing w:after="0"/>
            </w:pPr>
            <w:r>
              <w:rPr>
                <w:rStyle w:val="Arial11"/>
              </w:rPr>
              <w:t xml:space="preserve">434,985</w:t>
            </w:r>
          </w:p>
        </w:tc>
      </w:tr>
      <w:tr>
        <w:trPr/>
        <w:tc>
          <w:tcPr>
            <w:tcW w:w="7000" w:type="dxa"/>
          </w:tcPr>
          <w:p>
            <w:pPr/>
            <w:r>
              <w:rPr>
                <w:rStyle w:val="ArialBlack11"/>
              </w:rPr>
              <w:t xml:space="preserve">NET ASSETS</w:t>
            </w:r>
          </w:p>
        </w:tc>
        <w:tc>
          <w:tcPr>
            <w:tcW w:w="1750" w:type="dxa"/>
          </w:tcPr>
          <w:p/>
        </w:tc>
        <w:tc>
          <w:tcPr>
            <w:tcW w:w="1750" w:type="dxa"/>
            <w:tcBorders>
              <w:bottom w:val="single" w:sz="18" w:color="#000000"/>
            </w:tcBorders>
          </w:tcPr>
          <w:p>
            <w:pPr>
              <w:jc w:val="center"/>
              <w:spacing w:after="0"/>
            </w:pPr>
            <w:r>
              <w:rPr>
                <w:rStyle w:val="Arial11"/>
              </w:rPr>
              <w:t xml:space="preserve">2,121,103</w:t>
            </w:r>
          </w:p>
        </w:tc>
        <w:tc>
          <w:tcPr>
            <w:tcW w:w="1750" w:type="dxa"/>
            <w:tcBorders>
              <w:bottom w:val="single" w:sz="18" w:color="#000000"/>
            </w:tcBorders>
          </w:tcPr>
          <w:p>
            <w:pPr>
              <w:jc w:val="center"/>
              <w:spacing w:after="0"/>
            </w:pPr>
            <w:r>
              <w:rPr>
                <w:rStyle w:val="Arial11"/>
              </w:rPr>
              <w:t xml:space="preserve">1,069,168</w:t>
            </w:r>
          </w:p>
        </w:tc>
      </w:tr>
      <w:tr>
        <w:trPr/>
        <w:tc>
          <w:tcPr>
            <w:tcW w:w="7000" w:type="dxa"/>
          </w:tcPr>
          <w:p>
            <w:pPr/>
            <w:r>
              <w:rPr>
                <w:rStyle w:val="ArialBlack11"/>
              </w:rPr>
              <w:t xml:space="preserve">EQUITY</w:t>
            </w:r>
          </w:p>
        </w:tc>
        <w:tc>
          <w:tcPr>
            <w:tcW w:w="1750" w:type="dxa"/>
          </w:tcPr>
          <w:p/>
        </w:tc>
      </w:tr>
      <w:tr>
        <w:trPr/>
        <w:tc>
          <w:tcPr>
            <w:tcW w:w="7000" w:type="dxa"/>
          </w:tcPr>
          <w:p>
            <w:pPr/>
            <w:r>
              <w:rPr/>
              <w:t xml:space="preserve">Share Capital</w:t>
            </w:r>
          </w:p>
        </w:tc>
        <w:tc>
          <w:tcPr>
            <w:tcW w:w="1750" w:type="dxa"/>
          </w:tcPr>
          <w:p>
            <w:pPr>
              <w:jc w:val="center"/>
              <w:spacing w:after="0"/>
            </w:pPr>
            <w:r>
              <w:rPr>
                <w:rStyle w:val="Arial11"/>
              </w:rPr>
              <w:t xml:space="preserve">6</w:t>
            </w:r>
          </w:p>
        </w:tc>
        <w:tc>
          <w:tcPr>
            <w:tcW w:w="1750" w:type="dxa"/>
          </w:tcPr>
          <w:p>
            <w:pPr>
              <w:jc w:val="center"/>
              <w:spacing w:after="0"/>
            </w:pPr>
            <w:r>
              <w:rPr>
                <w:rStyle w:val="Arial11"/>
              </w:rPr>
              <w:t xml:space="preserve">500,000</w:t>
            </w:r>
          </w:p>
        </w:tc>
        <w:tc>
          <w:tcPr>
            <w:tcW w:w="1750" w:type="dxa"/>
          </w:tcPr>
          <w:p>
            <w:pPr>
              <w:jc w:val="center"/>
              <w:spacing w:after="0"/>
            </w:pPr>
            <w:r>
              <w:rPr>
                <w:rStyle w:val="Arial11"/>
              </w:rPr>
              <w:t xml:space="preserve">65,000</w:t>
            </w:r>
          </w:p>
        </w:tc>
      </w:tr>
      <w:tr>
        <w:trPr/>
        <w:tc>
          <w:tcPr>
            <w:tcW w:w="7000" w:type="dxa"/>
          </w:tcPr>
          <w:p>
            <w:pPr/>
            <w:r>
              <w:rPr/>
              <w:t xml:space="preserve">Retained Profits</w:t>
            </w:r>
          </w:p>
        </w:tc>
        <w:tc>
          <w:tcPr>
            <w:tcW w:w="1750" w:type="dxa"/>
          </w:tcPr>
          <w:p/>
        </w:tc>
        <w:tc>
          <w:tcPr>
            <w:tcW w:w="1750" w:type="dxa"/>
            <w:tcBorders>
              <w:bottom w:val="single" w:sz="1" w:color="000000"/>
            </w:tcBorders>
          </w:tcPr>
          <w:p>
            <w:pPr>
              <w:jc w:val="center"/>
              <w:spacing w:after="0"/>
            </w:pPr>
            <w:r>
              <w:rPr>
                <w:rStyle w:val="Arial11"/>
              </w:rPr>
              <w:t xml:space="preserve">1,621,103</w:t>
            </w:r>
          </w:p>
        </w:tc>
        <w:tc>
          <w:tcPr>
            <w:tcW w:w="1750" w:type="dxa"/>
            <w:tcBorders>
              <w:bottom w:val="single" w:sz="1" w:color="000000"/>
            </w:tcBorders>
          </w:tcPr>
          <w:p>
            <w:pPr>
              <w:jc w:val="center"/>
              <w:spacing w:after="0"/>
            </w:pPr>
            <w:r>
              <w:rPr>
                <w:rStyle w:val="Arial11"/>
              </w:rPr>
              <w:t xml:space="preserve">1,004,167</w:t>
            </w:r>
          </w:p>
        </w:tc>
      </w:tr>
      <w:tr>
        <w:trPr/>
        <w:tc>
          <w:tcPr>
            <w:tcW w:w="7000" w:type="dxa"/>
          </w:tcPr>
          <w:p>
            <w:pPr/>
            <w:r>
              <w:rPr>
                <w:rStyle w:val="ArialBlack11"/>
              </w:rPr>
              <w:t xml:space="preserve">Total Equity</w:t>
            </w:r>
          </w:p>
        </w:tc>
        <w:tc>
          <w:tcPr>
            <w:tcW w:w="1750" w:type="dxa"/>
          </w:tcPr>
          <w:p/>
        </w:tc>
        <w:tc>
          <w:tcPr>
            <w:tcW w:w="1750" w:type="dxa"/>
            <w:tcBorders>
              <w:bottom w:val="single" w:sz="18" w:color="#000000"/>
            </w:tcBorders>
          </w:tcPr>
          <w:p>
            <w:pPr>
              <w:jc w:val="center"/>
              <w:spacing w:after="0"/>
            </w:pPr>
            <w:r>
              <w:rPr>
                <w:rStyle w:val="Arial11"/>
              </w:rPr>
              <w:t xml:space="preserve">2,121,103</w:t>
            </w:r>
          </w:p>
        </w:tc>
        <w:tc>
          <w:tcPr>
            <w:tcW w:w="1750" w:type="dxa"/>
            <w:tcBorders>
              <w:bottom w:val="single" w:sz="18" w:color="#000000"/>
            </w:tcBorders>
          </w:tcPr>
          <w:p>
            <w:pPr>
              <w:jc w:val="center"/>
              <w:spacing w:after="0"/>
            </w:pPr>
            <w:r>
              <w:rPr>
                <w:rStyle w:val="Arial11"/>
              </w:rPr>
              <w:t xml:space="preserve">1,069,167</w:t>
            </w:r>
          </w:p>
        </w:tc>
      </w:tr>
    </w:tbl>
    <w:p>
      <w:pPr>
        <w:sectPr>
          <w:headerReference w:type="default" r:id="rId10"/>
          <w:pgSz w:orient="portrait" w:w="11905.511811024" w:h="16837.795275591"/>
          <w:pgMar w:top="1440" w:right="1440" w:bottom="1440" w:left="1440" w:header="720" w:footer="720" w:gutter="0"/>
          <w:cols w:num="1" w:space="720"/>
        </w:sectPr>
      </w:pPr>
    </w:p>
    <w:tbl>
      <w:tblGrid>
        <w:gridCol w:w="7000" w:type="dxa"/>
        <w:gridCol w:w="1750" w:type="dxa"/>
        <w:gridCol w:w="1750" w:type="dxa"/>
        <w:gridCol w:w="1750" w:type="dxa"/>
      </w:tblGrid>
      <w:tr>
        <w:trPr/>
        <w:tc>
          <w:tcPr>
            <w:tcW w:w="7000" w:type="dxa"/>
          </w:tcPr>
          <w:p/>
        </w:tc>
        <w:tc>
          <w:tcPr>
            <w:tcW w:w="1750" w:type="dxa"/>
            <w:tcBorders>
              <w:bottom w:val="single" w:sz="1" w:color="000000"/>
            </w:tcBorders>
          </w:tcPr>
          <w:p>
            <w:pPr>
              <w:jc w:val="center"/>
              <w:spacing w:after="0"/>
            </w:pPr>
            <w:r>
              <w:rPr>
                <w:rStyle w:val="Arial11"/>
              </w:rPr>
              <w:t xml:space="preserve">Share capital</w:t>
            </w:r>
          </w:p>
        </w:tc>
        <w:tc>
          <w:tcPr>
            <w:tcW w:w="1750" w:type="dxa"/>
            <w:tcBorders>
              <w:bottom w:val="single" w:sz="1" w:color="000000"/>
            </w:tcBorders>
          </w:tcPr>
          <w:p>
            <w:pPr>
              <w:jc w:val="center"/>
              <w:spacing w:after="0"/>
            </w:pPr>
            <w:r>
              <w:rPr>
                <w:rStyle w:val="Arial11"/>
              </w:rPr>
              <w:t xml:space="preserve">Retained profits</w:t>
            </w:r>
          </w:p>
        </w:tc>
        <w:tc>
          <w:tcPr>
            <w:tcW w:w="1750" w:type="dxa"/>
            <w:tcBorders>
              <w:bottom w:val="single" w:sz="1" w:color="000000"/>
            </w:tcBorders>
          </w:tcPr>
          <w:p>
            <w:pPr>
              <w:jc w:val="center"/>
              <w:spacing w:after="0"/>
            </w:pPr>
            <w:r>
              <w:rPr>
                <w:rStyle w:val="Arial11"/>
              </w:rPr>
              <w:t xml:space="preserve">Total</w:t>
            </w:r>
          </w:p>
        </w:tc>
      </w:tr>
      <w:tr>
        <w:trPr/>
        <w:tc>
          <w:tcPr>
            <w:tcW w:w="7000" w:type="dxa"/>
          </w:tcP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Balance as at 01 January 2015</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138,411</w:t>
            </w:r>
          </w:p>
        </w:tc>
        <w:tc>
          <w:tcPr>
            <w:tcW w:w="1750" w:type="dxa"/>
          </w:tcPr>
          <w:p>
            <w:pPr>
              <w:jc w:val="center"/>
              <w:spacing w:after="0"/>
            </w:pPr>
            <w:r>
              <w:rPr>
                <w:rStyle w:val="Arial11"/>
              </w:rPr>
              <w:t xml:space="preserve">203,411</w:t>
            </w:r>
          </w:p>
        </w:tc>
      </w:tr>
      <w:tr>
        <w:trPr/>
        <w:tc>
          <w:tcPr>
            <w:tcW w:w="7000" w:type="dxa"/>
          </w:tcPr>
          <w:p>
            <w:pPr/>
            <w:r>
              <w:rPr/>
              <w:t xml:space="preserve">Total comprehensive income for the financial period</w:t>
            </w:r>
          </w:p>
        </w:tc>
        <w:tc>
          <w:tcPr>
            <w:tcW w:w="1750" w:type="dxa"/>
            <w:tcBorders>
              <w:bottom w:val="single" w:sz="1" w:color="000000"/>
            </w:tcBorders>
          </w:tcPr>
          <w:p>
            <w:pPr>
              <w:jc w:val="center"/>
              <w:spacing w:after="0"/>
            </w:pPr>
            <w:r>
              <w:rPr>
                <w:rStyle w:val="Arial11"/>
              </w:rPr>
              <w:t xml:space="preserve">-</w:t>
            </w:r>
          </w:p>
        </w:tc>
        <w:tc>
          <w:tcPr>
            <w:tcW w:w="1750" w:type="dxa"/>
            <w:tcBorders>
              <w:bottom w:val="single" w:sz="1" w:color="000000"/>
            </w:tcBorders>
          </w:tcPr>
          <w:p>
            <w:pPr>
              <w:jc w:val="center"/>
              <w:spacing w:after="0"/>
            </w:pPr>
            <w:r>
              <w:rPr>
                <w:rStyle w:val="Arial11"/>
              </w:rPr>
              <w:t xml:space="preserve">865,756</w:t>
            </w:r>
          </w:p>
        </w:tc>
        <w:tc>
          <w:tcPr>
            <w:tcW w:w="1750" w:type="dxa"/>
            <w:tcBorders>
              <w:bottom w:val="single" w:sz="1" w:color="000000"/>
            </w:tcBorders>
          </w:tcPr>
          <w:p>
            <w:pPr>
              <w:jc w:val="center"/>
              <w:spacing w:after="0"/>
            </w:pPr>
            <w:r>
              <w:rPr>
                <w:rStyle w:val="Arial11"/>
              </w:rPr>
              <w:t xml:space="preserve">865,756</w:t>
            </w:r>
          </w:p>
        </w:tc>
      </w:tr>
      <w:tr>
        <w:trPr/>
        <w:tc>
          <w:tcPr>
            <w:tcW w:w="7000" w:type="dxa"/>
          </w:tcPr>
          <w:p>
            <w:pPr/>
            <w:r>
              <w:rPr/>
              <w:t xml:space="preserve">Balance as at 31 December 2015</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1,004,168</w:t>
            </w:r>
          </w:p>
        </w:tc>
        <w:tc>
          <w:tcPr>
            <w:tcW w:w="1750" w:type="dxa"/>
          </w:tcPr>
          <w:p>
            <w:pPr>
              <w:jc w:val="center"/>
              <w:spacing w:after="0"/>
            </w:pPr>
            <w:r>
              <w:rPr>
                <w:rStyle w:val="Arial11"/>
              </w:rPr>
              <w:t xml:space="preserve">1,069,168</w:t>
            </w:r>
          </w:p>
        </w:tc>
      </w:tr>
      <w:tr>
        <w:trPr/>
        <w:tc>
          <w:tcPr>
            <w:tcW w:w="7000" w:type="dxa"/>
          </w:tcPr>
          <w:p>
            <w:pPr/>
            <w:r>
              <w:rPr/>
              <w:t xml:space="preserve">Issuance of ordinary shares</w:t>
            </w:r>
          </w:p>
        </w:tc>
        <w:tc>
          <w:tcPr>
            <w:tcW w:w="1750" w:type="dxa"/>
          </w:tcPr>
          <w:p>
            <w:pPr>
              <w:jc w:val="center"/>
              <w:spacing w:after="0"/>
            </w:pPr>
            <w:r>
              <w:rPr>
                <w:rStyle w:val="Arial11"/>
              </w:rPr>
              <w:t xml:space="preserve">435,000</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435,000</w:t>
            </w:r>
          </w:p>
        </w:tc>
      </w:tr>
      <w:tr>
        <w:trPr/>
        <w:tc>
          <w:tcPr>
            <w:tcW w:w="7000" w:type="dxa"/>
          </w:tcPr>
          <w:p>
            <w:pPr/>
            <w:r>
              <w:rPr/>
              <w:t xml:space="preserve">Total comprehensive income for the financial period</w:t>
            </w:r>
          </w:p>
        </w:tc>
        <w:tc>
          <w:tcPr>
            <w:tcW w:w="1750" w:type="dxa"/>
            <w:tcBorders>
              <w:bottom w:val="single" w:sz="1" w:color="000000"/>
            </w:tcBorders>
          </w:tcPr>
          <w:p>
            <w:pPr>
              <w:jc w:val="center"/>
              <w:spacing w:after="0"/>
            </w:pPr>
            <w:r>
              <w:rPr>
                <w:rStyle w:val="Arial11"/>
              </w:rPr>
              <w:t xml:space="preserve">-</w:t>
            </w:r>
          </w:p>
        </w:tc>
        <w:tc>
          <w:tcPr>
            <w:tcW w:w="1750" w:type="dxa"/>
            <w:tcBorders>
              <w:bottom w:val="single" w:sz="1" w:color="000000"/>
            </w:tcBorders>
          </w:tcPr>
          <w:p>
            <w:pPr>
              <w:jc w:val="center"/>
              <w:spacing w:after="0"/>
            </w:pPr>
            <w:r>
              <w:rPr>
                <w:rStyle w:val="Arial11"/>
              </w:rPr>
              <w:t xml:space="preserve">616,935</w:t>
            </w:r>
          </w:p>
        </w:tc>
        <w:tc>
          <w:tcPr>
            <w:tcW w:w="1750" w:type="dxa"/>
            <w:tcBorders>
              <w:bottom w:val="single" w:sz="1" w:color="000000"/>
            </w:tcBorders>
          </w:tcPr>
          <w:p>
            <w:pPr>
              <w:jc w:val="center"/>
              <w:spacing w:after="0"/>
            </w:pPr>
            <w:r>
              <w:rPr>
                <w:rStyle w:val="Arial11"/>
              </w:rPr>
              <w:t xml:space="preserve">616,935</w:t>
            </w:r>
          </w:p>
        </w:tc>
      </w:tr>
      <w:tr>
        <w:trPr/>
        <w:tc>
          <w:tcPr>
            <w:tcW w:w="7000" w:type="dxa"/>
          </w:tcPr>
          <w:p>
            <w:pPr/>
            <w:r>
              <w:rPr/>
              <w:t xml:space="preserve">Balance as at 31 December 2016</w:t>
            </w:r>
          </w:p>
        </w:tc>
        <w:tc>
          <w:tcPr>
            <w:tcW w:w="1750" w:type="dxa"/>
            <w:tcBorders>
              <w:bottom w:val="single" w:sz="18" w:color="#000000"/>
            </w:tcBorders>
          </w:tcPr>
          <w:p>
            <w:pPr>
              <w:jc w:val="center"/>
              <w:spacing w:after="0"/>
            </w:pPr>
            <w:r>
              <w:rPr>
                <w:rStyle w:val="Arial11"/>
              </w:rPr>
              <w:t xml:space="preserve">500,000</w:t>
            </w:r>
          </w:p>
        </w:tc>
        <w:tc>
          <w:tcPr>
            <w:tcW w:w="1750" w:type="dxa"/>
            <w:tcBorders>
              <w:bottom w:val="single" w:sz="18" w:color="#000000"/>
            </w:tcBorders>
          </w:tcPr>
          <w:p>
            <w:pPr>
              <w:jc w:val="center"/>
              <w:spacing w:after="0"/>
            </w:pPr>
            <w:r>
              <w:rPr>
                <w:rStyle w:val="Arial11"/>
              </w:rPr>
              <w:t xml:space="preserve">1,621,103</w:t>
            </w:r>
          </w:p>
        </w:tc>
        <w:tc>
          <w:tcPr>
            <w:tcW w:w="1750" w:type="dxa"/>
            <w:tcBorders>
              <w:bottom w:val="single" w:sz="18" w:color="#000000"/>
            </w:tcBorders>
          </w:tcPr>
          <w:p>
            <w:pPr>
              <w:jc w:val="center"/>
              <w:spacing w:after="0"/>
            </w:pPr>
            <w:r>
              <w:rPr>
                <w:rStyle w:val="Arial11"/>
              </w:rPr>
              <w:t xml:space="preserve">2,121,103</w:t>
            </w:r>
          </w:p>
        </w:tc>
      </w:tr>
    </w:tbl>
    <w:p>
      <w:pPr>
        <w:sectPr>
          <w:headerReference w:type="default" r:id="rId11"/>
          <w:pgSz w:orient="portrait" w:w="11905.511811024" w:h="16837.795275591"/>
          <w:pgMar w:top="1440" w:right="1440" w:bottom="1440" w:left="1440" w:header="720" w:footer="720" w:gutter="0"/>
          <w:cols w:num="1" w:space="720"/>
        </w:sectPr>
      </w:pPr>
    </w:p>
    <w:tbl>
      <w:tblGrid>
        <w:gridCol w:w="8750" w:type="dxa"/>
        <w:gridCol w:w="1750" w:type="dxa"/>
        <w:gridCol w:w="1750" w:type="dxa"/>
      </w:tblGrid>
      <w:tr>
        <w:trPr/>
        <w:tc>
          <w:tcPr>
            <w:tcW w:w="8750" w:type="dxa"/>
          </w:tcPr>
          <w:p/>
        </w:tc>
        <w:tc>
          <w:tcPr>
            <w:tcW w:w="1750" w:type="dxa"/>
          </w:tcPr>
          <w:p>
            <w:pPr>
              <w:jc w:val="center"/>
              <w:spacing w:after="0"/>
            </w:pPr>
            <w:r>
              <w:rPr>
                <w:rStyle w:val="Arial11"/>
              </w:rPr>
              <w:t xml:space="preserve">01.01.2016</w:t>
            </w:r>
          </w:p>
          <w:p>
            <w:pPr>
              <w:jc w:val="center"/>
              <w:spacing w:after="0"/>
            </w:pPr>
            <w:r>
              <w:rPr>
                <w:rStyle w:val="Arial11"/>
              </w:rPr>
              <w:t xml:space="preserve">to</w:t>
            </w:r>
          </w:p>
          <w:p>
            <w:pPr>
              <w:jc w:val="center"/>
              <w:spacing w:after="0"/>
            </w:pPr>
            <w:r>
              <w:rPr>
                <w:rStyle w:val="TableUnderline"/>
              </w:rPr>
              <w:t xml:space="preserve">31.12.2016</w:t>
            </w:r>
          </w:p>
          <w:p>
            <w:pPr>
              <w:jc w:val="center"/>
              <w:spacing w:after="0"/>
            </w:pPr>
            <w:r>
              <w:rPr>
                <w:rStyle w:val="Arial11"/>
              </w:rPr>
              <w:t xml:space="preserve">$</w:t>
            </w:r>
          </w:p>
        </w:tc>
        <w:tc>
          <w:tcPr>
            <w:tcW w:w="1750" w:type="dxa"/>
          </w:tcPr>
          <w:p>
            <w:pPr>
              <w:jc w:val="center"/>
              <w:spacing w:after="0"/>
            </w:pPr>
            <w:r>
              <w:rPr>
                <w:rStyle w:val="Arial11"/>
              </w:rPr>
              <w:t xml:space="preserve">01.01.2015</w:t>
            </w:r>
          </w:p>
          <w:p>
            <w:pPr>
              <w:jc w:val="center"/>
              <w:spacing w:after="0"/>
            </w:pPr>
            <w:r>
              <w:rPr>
                <w:rStyle w:val="Arial11"/>
              </w:rPr>
              <w:t xml:space="preserve">to</w:t>
            </w:r>
          </w:p>
          <w:p>
            <w:pPr>
              <w:jc w:val="center"/>
              <w:spacing w:after="0"/>
            </w:pPr>
            <w:r>
              <w:rPr>
                <w:rStyle w:val="TableUnderline"/>
              </w:rPr>
              <w:t xml:space="preserve">31.12.2015</w:t>
            </w:r>
          </w:p>
          <w:p>
            <w:pPr>
              <w:jc w:val="center"/>
              <w:spacing w:after="0"/>
            </w:pPr>
            <w:r>
              <w:rPr>
                <w:rStyle w:val="Arial11"/>
              </w:rPr>
              <w:t xml:space="preserve">$</w:t>
            </w:r>
          </w:p>
        </w:tc>
      </w:tr>
      <w:tr>
        <w:trPr/>
        <w:tc>
          <w:tcPr>
            <w:tcW w:w="8750" w:type="dxa"/>
          </w:tcPr>
          <w:p>
            <w:pPr>
              <w:spacing w:after="0"/>
            </w:pPr>
            <w:r>
              <w:rPr>
                <w:rStyle w:val="ArialBlack11"/>
              </w:rPr>
              <w:t xml:space="preserve">Cash flows from operating activities</w:t>
            </w:r>
          </w:p>
        </w:tc>
      </w:tr>
      <w:tr>
        <w:trPr/>
        <w:tc>
          <w:tcPr>
            <w:tcW w:w="8750" w:type="dxa"/>
          </w:tcPr>
          <w:p>
            <w:pPr>
              <w:spacing w:after="0"/>
            </w:pPr>
            <w:r>
              <w:rPr>
                <w:rStyle w:val="Arial11"/>
              </w:rPr>
              <w:t xml:space="preserve">Profit before income tax</w:t>
            </w:r>
          </w:p>
        </w:tc>
        <w:tc>
          <w:tcPr>
            <w:tcW w:w="1750" w:type="dxa"/>
          </w:tcPr>
          <w:p>
            <w:pPr>
              <w:jc w:val="center"/>
              <w:spacing w:after="0"/>
            </w:pPr>
            <w:r>
              <w:rPr>
                <w:rStyle w:val="Arial11"/>
              </w:rPr>
              <w:t xml:space="preserve">653,398</w:t>
            </w:r>
          </w:p>
        </w:tc>
        <w:tc>
          <w:tcPr>
            <w:tcW w:w="1750" w:type="dxa"/>
          </w:tcPr>
          <w:p>
            <w:pPr>
              <w:jc w:val="center"/>
              <w:spacing w:after="0"/>
            </w:pPr>
            <w:r>
              <w:rPr>
                <w:rStyle w:val="Arial11"/>
              </w:rPr>
              <w:t xml:space="preserve">965,397</w:t>
            </w:r>
          </w:p>
        </w:tc>
      </w:tr>
      <w:tr>
        <w:trPr/>
        <w:tc>
          <w:tcPr>
            <w:tcW w:w="8750" w:type="dxa"/>
          </w:tcPr>
          <w:p>
            <w:pPr/>
            <w:r>
              <w:rPr/>
              <w:t xml:space="preserve">Adjustments for:</w:t>
            </w:r>
          </w:p>
        </w:tc>
      </w:tr>
      <w:tr>
        <w:trPr/>
        <w:tc>
          <w:tcPr>
            <w:tcW w:w="8750" w:type="dxa"/>
          </w:tcPr>
          <w:p>
            <w:pPr>
              <w:spacing w:after="0"/>
            </w:pPr>
            <w:r>
              <w:rPr>
                <w:rStyle w:val="Arial11"/>
              </w:rPr>
              <w:t xml:space="preserve">	Depreciation</w:t>
            </w:r>
          </w:p>
        </w:tc>
        <w:tc>
          <w:tcPr>
            <w:tcW w:w="1750" w:type="dxa"/>
          </w:tcPr>
          <w:p>
            <w:pPr>
              <w:jc w:val="center"/>
              <w:spacing w:after="0"/>
            </w:pPr>
            <w:r>
              <w:rPr>
                <w:rStyle w:val="Arial11"/>
              </w:rPr>
              <w:t xml:space="preserve">3,014</w:t>
            </w:r>
          </w:p>
        </w:tc>
        <w:tc>
          <w:tcPr>
            <w:tcW w:w="1750" w:type="dxa"/>
          </w:tcPr>
          <w:p>
            <w:pPr>
              <w:jc w:val="center"/>
              <w:spacing w:after="0"/>
            </w:pPr>
            <w:r>
              <w:rPr>
                <w:rStyle w:val="Arial11"/>
              </w:rPr>
              <w:t xml:space="preserve">8,063</w:t>
            </w:r>
          </w:p>
        </w:tc>
      </w:tr>
      <w:tr>
        <w:trPr/>
        <w:tc>
          <w:tcPr>
            <w:tcW w:w="8750" w:type="dxa"/>
          </w:tcPr>
          <w:p>
            <w:pPr>
              <w:spacing w:after="0"/>
            </w:pPr>
            <w:r>
              <w:rPr>
                <w:rStyle w:val="Arial11"/>
              </w:rPr>
              <w:t xml:space="preserve">	Interest on bank borrowings</w:t>
            </w:r>
          </w:p>
        </w:tc>
        <w:tc>
          <w:tcPr>
            <w:tcW w:w="1750" w:type="dxa"/>
            <w:tcBorders>
              <w:bottom w:val="single" w:sz="1" w:color="000000"/>
            </w:tcBorders>
          </w:tcPr>
          <w:p>
            <w:pPr>
              <w:jc w:val="center"/>
              <w:spacing w:after="0"/>
            </w:pPr>
            <w:r>
              <w:rPr>
                <w:rStyle w:val="Arial11"/>
              </w:rPr>
              <w:t xml:space="preserve">191</w:t>
            </w:r>
          </w:p>
        </w:tc>
        <w:tc>
          <w:tcPr>
            <w:tcW w:w="1750" w:type="dxa"/>
            <w:tcBorders>
              <w:bottom w:val="single" w:sz="1" w:color="000000"/>
            </w:tcBorders>
          </w:tcPr>
          <w:p>
            <w:pPr>
              <w:jc w:val="center"/>
              <w:spacing w:after="0"/>
            </w:pPr>
            <w:r>
              <w:rPr>
                <w:rStyle w:val="Arial11"/>
              </w:rPr>
              <w:t xml:space="preserve">-</w:t>
            </w:r>
          </w:p>
        </w:tc>
      </w:tr>
      <w:tr>
        <w:trPr/>
        <w:tc>
          <w:tcPr>
            <w:tcW w:w="8750" w:type="dxa"/>
          </w:tcPr>
          <w:p/>
        </w:tc>
        <w:tc>
          <w:tcPr>
            <w:tcW w:w="1750" w:type="dxa"/>
          </w:tcPr>
          <w:p>
            <w:pPr>
              <w:jc w:val="center"/>
              <w:spacing w:after="0"/>
            </w:pPr>
            <w:r>
              <w:rPr>
                <w:rStyle w:val="Arial11"/>
              </w:rPr>
              <w:t xml:space="preserve">656,603</w:t>
            </w:r>
          </w:p>
        </w:tc>
        <w:tc>
          <w:tcPr>
            <w:tcW w:w="1750" w:type="dxa"/>
          </w:tcPr>
          <w:p>
            <w:pPr>
              <w:jc w:val="center"/>
              <w:spacing w:after="0"/>
            </w:pPr>
            <w:r>
              <w:rPr>
                <w:rStyle w:val="Arial11"/>
              </w:rPr>
              <w:t xml:space="preserve">973,460</w:t>
            </w:r>
          </w:p>
        </w:tc>
      </w:tr>
      <w:tr>
        <w:trPr/>
        <w:tc>
          <w:tcPr>
            <w:tcW w:w="8750" w:type="dxa"/>
          </w:tcPr>
          <w:p>
            <w:pPr>
              <w:spacing w:after="0"/>
            </w:pPr>
            <w:r>
              <w:rPr>
                <w:rStyle w:val="Arial11"/>
              </w:rPr>
              <w:t xml:space="preserve">Change in working capital</w:t>
            </w:r>
          </w:p>
        </w:tc>
      </w:tr>
      <w:tr>
        <w:trPr/>
        <w:tc>
          <w:tcPr>
            <w:tcW w:w="8750" w:type="dxa"/>
          </w:tcPr>
          <w:p>
            <w:pPr>
              <w:spacing w:after="0"/>
            </w:pPr>
            <w:r>
              <w:rPr>
                <w:rStyle w:val="Arial11"/>
              </w:rPr>
              <w:t xml:space="preserve">	Trade and other receivables</w:t>
            </w:r>
          </w:p>
        </w:tc>
        <w:tc>
          <w:tcPr>
            <w:tcW w:w="1750" w:type="dxa"/>
          </w:tcPr>
          <w:p>
            <w:pPr>
              <w:jc w:val="center"/>
              <w:spacing w:after="0"/>
            </w:pPr>
            <w:r>
              <w:rPr>
                <w:rStyle w:val="Arial11"/>
              </w:rPr>
              <w:t xml:space="preserve">181,666</w:t>
            </w:r>
          </w:p>
        </w:tc>
        <w:tc>
          <w:tcPr>
            <w:tcW w:w="1750" w:type="dxa"/>
          </w:tcPr>
          <w:p>
            <w:pPr>
              <w:jc w:val="center"/>
              <w:spacing w:after="0"/>
            </w:pPr>
            <w:r>
              <w:rPr>
                <w:rStyle w:val="Arial11"/>
              </w:rPr>
              <w:t xml:space="preserve">494,548</w:t>
            </w:r>
          </w:p>
        </w:tc>
      </w:tr>
      <w:tr>
        <w:trPr/>
        <w:tc>
          <w:tcPr>
            <w:tcW w:w="8750" w:type="dxa"/>
          </w:tcPr>
          <w:p>
            <w:pPr/>
            <w:r>
              <w:rPr>
                <w:rStyle w:val="Arial11"/>
              </w:rPr>
              <w:t xml:space="preserve">	Trade and other payables</w:t>
            </w:r>
          </w:p>
        </w:tc>
        <w:tc>
          <w:tcPr>
            <w:tcW w:w="1750" w:type="dxa"/>
            <w:tcBorders>
              <w:bottom w:val="single" w:sz="1" w:color="000000"/>
            </w:tcBorders>
          </w:tcPr>
          <w:p>
            <w:pPr>
              <w:jc w:val="center"/>
              <w:spacing w:after="0"/>
            </w:pPr>
            <w:r>
              <w:rPr>
                <w:rStyle w:val="Arial11"/>
              </w:rPr>
              <w:t xml:space="preserve">(67,441)</w:t>
            </w:r>
          </w:p>
        </w:tc>
        <w:tc>
          <w:tcPr>
            <w:tcW w:w="1750" w:type="dxa"/>
            <w:tcBorders>
              <w:bottom w:val="single" w:sz="1" w:color="000000"/>
            </w:tcBorders>
          </w:tcPr>
          <w:p>
            <w:pPr>
              <w:jc w:val="center"/>
              <w:spacing w:after="0"/>
            </w:pPr>
            <w:r>
              <w:rPr>
                <w:rStyle w:val="Arial11"/>
              </w:rPr>
              <w:t xml:space="preserve">335,291</w:t>
            </w:r>
          </w:p>
        </w:tc>
      </w:tr>
      <w:tr>
        <w:trPr/>
        <w:tc>
          <w:tcPr>
            <w:tcW w:w="8750" w:type="dxa"/>
          </w:tcPr>
          <w:p>
            <w:pPr/>
            <w:r>
              <w:rPr>
                <w:rStyle w:val="Arial11"/>
              </w:rPr>
              <w:t xml:space="preserve">Cash generated from operations</w:t>
            </w:r>
          </w:p>
        </w:tc>
        <w:tc>
          <w:tcPr>
            <w:tcW w:w="1750" w:type="dxa"/>
          </w:tcPr>
          <w:p>
            <w:pPr>
              <w:jc w:val="center"/>
              <w:spacing w:after="0"/>
            </w:pPr>
            <w:r>
              <w:rPr>
                <w:rStyle w:val="Arial11"/>
              </w:rPr>
              <w:t xml:space="preserve">770,828</w:t>
            </w:r>
          </w:p>
        </w:tc>
        <w:tc>
          <w:tcPr>
            <w:tcW w:w="1750" w:type="dxa"/>
          </w:tcPr>
          <w:p>
            <w:pPr>
              <w:jc w:val="center"/>
              <w:spacing w:after="0"/>
            </w:pPr>
            <w:r>
              <w:rPr>
                <w:rStyle w:val="Arial11"/>
              </w:rPr>
              <w:t xml:space="preserve">1,803,299</w:t>
            </w:r>
          </w:p>
        </w:tc>
      </w:tr>
      <w:tr>
        <w:trPr/>
        <w:tc>
          <w:tcPr>
            <w:tcW w:w="8750" w:type="dxa"/>
          </w:tcPr>
          <w:p>
            <w:pPr/>
            <w:r>
              <w:rPr>
                <w:rStyle w:val="Arial11"/>
              </w:rPr>
              <w:t xml:space="preserve">Income tax paid</w:t>
            </w:r>
          </w:p>
        </w:tc>
        <w:tc>
          <w:tcPr>
            <w:tcW w:w="1750" w:type="dxa"/>
            <w:tcBorders>
              <w:bottom w:val="single" w:sz="1" w:color="000000"/>
            </w:tcBorders>
          </w:tcPr>
          <w:p>
            <w:pPr>
              <w:jc w:val="center"/>
              <w:spacing w:after="0"/>
            </w:pPr>
            <w:r>
              <w:rPr>
                <w:rStyle w:val="Arial11"/>
              </w:rPr>
              <w:t xml:space="preserve">-</w:t>
            </w:r>
          </w:p>
        </w:tc>
        <w:tc>
          <w:tcPr>
            <w:tcW w:w="1750" w:type="dxa"/>
            <w:tcBorders>
              <w:bottom w:val="single" w:sz="1" w:color="000000"/>
            </w:tcBorders>
          </w:tcPr>
          <w:p>
            <w:pPr>
              <w:jc w:val="center"/>
              <w:spacing w:after="0"/>
            </w:pPr>
            <w:r>
              <w:rPr>
                <w:rStyle w:val="Arial11"/>
              </w:rPr>
              <w:t xml:space="preserve">-</w:t>
            </w:r>
          </w:p>
        </w:tc>
      </w:tr>
      <w:tr>
        <w:trPr/>
        <w:tc>
          <w:tcPr>
            <w:tcW w:w="8750" w:type="dxa"/>
          </w:tcPr>
          <w:p>
            <w:pPr/>
            <w:r>
              <w:rPr>
                <w:rStyle w:val="ArialBlack11"/>
              </w:rPr>
              <w:t xml:space="preserve">Net cash generated from operating activities</w:t>
            </w:r>
          </w:p>
        </w:tc>
        <w:tc>
          <w:tcPr>
            <w:tcW w:w="1750" w:type="dxa"/>
            <w:tcBorders>
              <w:bottom w:val="single" w:sz="1" w:color="000000"/>
            </w:tcBorders>
          </w:tcPr>
          <w:p>
            <w:pPr>
              <w:jc w:val="center"/>
              <w:spacing w:after="0"/>
            </w:pPr>
            <w:r>
              <w:rPr>
                <w:rStyle w:val="Arial11"/>
              </w:rPr>
              <w:t xml:space="preserve">770,828</w:t>
            </w:r>
          </w:p>
        </w:tc>
        <w:tc>
          <w:tcPr>
            <w:tcW w:w="1750" w:type="dxa"/>
            <w:tcBorders>
              <w:bottom w:val="single" w:sz="1" w:color="000000"/>
            </w:tcBorders>
          </w:tcPr>
          <w:p>
            <w:pPr>
              <w:jc w:val="center"/>
              <w:spacing w:after="0"/>
            </w:pPr>
            <w:r>
              <w:rPr>
                <w:rStyle w:val="Arial11"/>
              </w:rPr>
              <w:t xml:space="preserve">1,803,299</w:t>
            </w:r>
          </w:p>
        </w:tc>
      </w:tr>
      <w:tr>
        <w:trPr/>
        <w:tc>
          <w:tcPr>
            <w:tcW w:w="8750" w:type="dxa"/>
          </w:tcPr>
          <w:p>
            <w:pPr>
              <w:spacing w:after="0"/>
            </w:pPr>
            <w:r>
              <w:rPr>
                <w:rStyle w:val="ArialBlack11"/>
              </w:rPr>
              <w:t xml:space="preserve">Cash flows from investing activities</w:t>
            </w:r>
          </w:p>
        </w:tc>
      </w:tr>
      <w:tr>
        <w:trPr/>
        <w:tc>
          <w:tcPr>
            <w:tcW w:w="8750" w:type="dxa"/>
          </w:tcPr>
          <w:p>
            <w:pPr/>
            <w:r>
              <w:rPr>
                <w:rStyle w:val="Arial11"/>
              </w:rPr>
              <w:t xml:space="preserve">Additions to plant and equipment</w:t>
            </w:r>
          </w:p>
        </w:tc>
        <w:tc>
          <w:tcPr>
            <w:tcW w:w="1750" w:type="dxa"/>
            <w:tcBorders>
              <w:bottom w:val="single" w:sz="1" w:color="000000"/>
            </w:tcBorders>
          </w:tcPr>
          <w:p>
            <w:pPr>
              <w:jc w:val="center"/>
              <w:spacing w:after="0"/>
            </w:pPr>
            <w:r>
              <w:rPr>
                <w:rStyle w:val="Arial11"/>
              </w:rPr>
              <w:t xml:space="preserve">(33,090)</w:t>
            </w:r>
          </w:p>
        </w:tc>
        <w:tc>
          <w:tcPr>
            <w:tcW w:w="1750" w:type="dxa"/>
            <w:tcBorders>
              <w:bottom w:val="single" w:sz="1" w:color="000000"/>
            </w:tcBorders>
          </w:tcPr>
          <w:p>
            <w:pPr>
              <w:jc w:val="center"/>
              <w:spacing w:after="0"/>
            </w:pPr>
            <w:r>
              <w:rPr>
                <w:rStyle w:val="Arial11"/>
              </w:rPr>
              <w:t xml:space="preserve">(8,975)</w:t>
            </w:r>
          </w:p>
        </w:tc>
      </w:tr>
      <w:tr>
        <w:trPr/>
        <w:tc>
          <w:tcPr>
            <w:tcW w:w="8750" w:type="dxa"/>
          </w:tcPr>
          <w:p>
            <w:pPr/>
            <w:r>
              <w:rPr>
                <w:rStyle w:val="ArialBlack11"/>
              </w:rPr>
              <w:t xml:space="preserve">Net cash (used in) investing activities</w:t>
            </w:r>
          </w:p>
        </w:tc>
        <w:tc>
          <w:tcPr>
            <w:tcW w:w="1750" w:type="dxa"/>
            <w:tcBorders>
              <w:bottom w:val="single" w:sz="1" w:color="000000"/>
            </w:tcBorders>
          </w:tcPr>
          <w:p>
            <w:pPr>
              <w:jc w:val="center"/>
              <w:spacing w:after="0"/>
            </w:pPr>
            <w:r>
              <w:rPr>
                <w:rStyle w:val="Arial11"/>
              </w:rPr>
              <w:t xml:space="preserve">(33,090)</w:t>
            </w:r>
          </w:p>
        </w:tc>
        <w:tc>
          <w:tcPr>
            <w:tcW w:w="1750" w:type="dxa"/>
            <w:tcBorders>
              <w:bottom w:val="single" w:sz="1" w:color="000000"/>
            </w:tcBorders>
          </w:tcPr>
          <w:p>
            <w:pPr>
              <w:jc w:val="center"/>
              <w:spacing w:after="0"/>
            </w:pPr>
            <w:r>
              <w:rPr>
                <w:rStyle w:val="Arial11"/>
              </w:rPr>
              <w:t xml:space="preserve">(8,975)</w:t>
            </w:r>
          </w:p>
        </w:tc>
      </w:tr>
      <w:tr>
        <w:trPr/>
        <w:tc>
          <w:tcPr>
            <w:tcW w:w="8750" w:type="dxa"/>
          </w:tcPr>
          <w:p>
            <w:pPr>
              <w:spacing w:after="0"/>
            </w:pPr>
            <w:r>
              <w:rPr>
                <w:rStyle w:val="ArialBlack11"/>
              </w:rPr>
              <w:t xml:space="preserve">Cash flows from financing activities:</w:t>
            </w:r>
          </w:p>
        </w:tc>
      </w:tr>
      <w:tr>
        <w:trPr/>
        <w:tc>
          <w:tcPr>
            <w:tcW w:w="8750" w:type="dxa"/>
          </w:tcPr>
          <w:p>
            <w:pPr>
              <w:spacing w:after="0"/>
            </w:pPr>
            <w:r>
              <w:rPr>
                <w:rStyle w:val="Arial11"/>
              </w:rPr>
              <w:t xml:space="preserve">Proceeds from issuance of ordinary shares</w:t>
            </w:r>
          </w:p>
        </w:tc>
        <w:tc>
          <w:tcPr>
            <w:tcW w:w="1750" w:type="dxa"/>
          </w:tcPr>
          <w:p>
            <w:pPr>
              <w:jc w:val="center"/>
              <w:spacing w:after="0"/>
            </w:pPr>
            <w:r>
              <w:rPr>
                <w:rStyle w:val="Arial11"/>
              </w:rPr>
              <w:t xml:space="preserve">435,000</w:t>
            </w:r>
          </w:p>
        </w:tc>
        <w:tc>
          <w:tcPr>
            <w:tcW w:w="1750" w:type="dxa"/>
          </w:tcPr>
          <w:p>
            <w:pPr>
              <w:jc w:val="center"/>
              <w:spacing w:after="0"/>
            </w:pPr>
            <w:r>
              <w:rPr>
                <w:rStyle w:val="Arial11"/>
              </w:rPr>
              <w:t xml:space="preserve">-</w:t>
            </w:r>
          </w:p>
        </w:tc>
      </w:tr>
      <w:tr>
        <w:trPr/>
        <w:tc>
          <w:tcPr>
            <w:tcW w:w="8750" w:type="dxa"/>
          </w:tcPr>
          <w:p>
            <w:pPr>
              <w:spacing w:after="0"/>
            </w:pPr>
            <w:r>
              <w:rPr>
                <w:rStyle w:val="Arial11"/>
              </w:rPr>
              <w:t xml:space="preserve">(Advances)/repayment from a shareholder</w:t>
            </w:r>
          </w:p>
        </w:tc>
        <w:tc>
          <w:tcPr>
            <w:tcW w:w="1750" w:type="dxa"/>
          </w:tcPr>
          <w:p>
            <w:pPr>
              <w:jc w:val="center"/>
              <w:spacing w:after="0"/>
            </w:pPr>
            <w:r>
              <w:rPr>
                <w:rStyle w:val="Arial11"/>
              </w:rPr>
              <w:t xml:space="preserve">(453,412)</w:t>
            </w:r>
          </w:p>
        </w:tc>
        <w:tc>
          <w:tcPr>
            <w:tcW w:w="1750" w:type="dxa"/>
          </w:tcPr>
          <w:p>
            <w:pPr>
              <w:jc w:val="center"/>
              <w:spacing w:after="0"/>
            </w:pPr>
            <w:r>
              <w:rPr>
                <w:rStyle w:val="Arial11"/>
              </w:rPr>
              <w:t xml:space="preserve">-</w:t>
            </w:r>
          </w:p>
        </w:tc>
      </w:tr>
      <w:tr>
        <w:trPr/>
        <w:tc>
          <w:tcPr>
            <w:tcW w:w="8750" w:type="dxa"/>
          </w:tcPr>
          <w:p>
            <w:pPr>
              <w:spacing w:after="0"/>
            </w:pPr>
            <w:r>
              <w:rPr>
                <w:rStyle w:val="Arial11"/>
              </w:rPr>
              <w:t xml:space="preserve">proceeds from borrowings</w:t>
            </w:r>
          </w:p>
        </w:tc>
        <w:tc>
          <w:tcPr>
            <w:tcW w:w="1750" w:type="dxa"/>
          </w:tcPr>
          <w:p>
            <w:pPr>
              <w:jc w:val="center"/>
              <w:spacing w:after="0"/>
            </w:pPr>
            <w:r>
              <w:rPr>
                <w:rStyle w:val="Arial11"/>
              </w:rPr>
              <w:t xml:space="preserve">80,942</w:t>
            </w:r>
          </w:p>
        </w:tc>
        <w:tc>
          <w:tcPr>
            <w:tcW w:w="1750" w:type="dxa"/>
          </w:tcPr>
          <w:p>
            <w:pPr>
              <w:jc w:val="center"/>
              <w:spacing w:after="0"/>
            </w:pPr>
            <w:r>
              <w:rPr>
                <w:rStyle w:val="Arial11"/>
              </w:rPr>
              <w:t xml:space="preserve">-</w:t>
            </w:r>
          </w:p>
        </w:tc>
      </w:tr>
      <w:tr>
        <w:trPr/>
        <w:tc>
          <w:tcPr>
            <w:tcW w:w="8750" w:type="dxa"/>
          </w:tcPr>
          <w:p>
            <w:pPr>
              <w:spacing w:after="0"/>
            </w:pPr>
            <w:r>
              <w:rPr>
                <w:rStyle w:val="Arial11"/>
              </w:rPr>
              <w:t xml:space="preserve">repayment of borrowings</w:t>
            </w:r>
          </w:p>
        </w:tc>
        <w:tc>
          <w:tcPr>
            <w:tcW w:w="1750" w:type="dxa"/>
          </w:tcPr>
          <w:p>
            <w:pPr>
              <w:jc w:val="center"/>
              <w:spacing w:after="0"/>
            </w:pPr>
            <w:r>
              <w:rPr>
                <w:rStyle w:val="Arial11"/>
              </w:rPr>
              <w:t xml:space="preserve">(4,529)</w:t>
            </w:r>
          </w:p>
        </w:tc>
        <w:tc>
          <w:tcPr>
            <w:tcW w:w="1750" w:type="dxa"/>
          </w:tcPr>
          <w:p>
            <w:pPr>
              <w:jc w:val="center"/>
              <w:spacing w:after="0"/>
            </w:pPr>
            <w:r>
              <w:rPr>
                <w:rStyle w:val="Arial11"/>
              </w:rPr>
              <w:t xml:space="preserve">-</w:t>
            </w:r>
          </w:p>
        </w:tc>
      </w:tr>
      <w:tr>
        <w:trPr/>
        <w:tc>
          <w:tcPr>
            <w:tcW w:w="8750" w:type="dxa"/>
          </w:tcPr>
          <w:p>
            <w:pPr/>
            <w:r>
              <w:rPr>
                <w:rStyle w:val="Arial11"/>
              </w:rPr>
              <w:t xml:space="preserve">Interest paid</w:t>
            </w:r>
          </w:p>
        </w:tc>
        <w:tc>
          <w:tcPr>
            <w:tcW w:w="1750" w:type="dxa"/>
            <w:tcBorders>
              <w:bottom w:val="single" w:sz="1" w:color="000000"/>
            </w:tcBorders>
          </w:tcPr>
          <w:p>
            <w:pPr>
              <w:jc w:val="center"/>
              <w:spacing w:after="0"/>
            </w:pPr>
            <w:r>
              <w:rPr>
                <w:rStyle w:val="Arial11"/>
              </w:rPr>
              <w:t xml:space="preserve">(191)</w:t>
            </w:r>
          </w:p>
        </w:tc>
        <w:tc>
          <w:tcPr>
            <w:tcW w:w="1750" w:type="dxa"/>
            <w:tcBorders>
              <w:bottom w:val="single" w:sz="1" w:color="000000"/>
            </w:tcBorders>
          </w:tcPr>
          <w:p>
            <w:pPr>
              <w:jc w:val="center"/>
              <w:spacing w:after="0"/>
            </w:pPr>
            <w:r>
              <w:rPr>
                <w:rStyle w:val="Arial11"/>
              </w:rPr>
              <w:t xml:space="preserve">-</w:t>
            </w:r>
          </w:p>
        </w:tc>
      </w:tr>
      <w:tr>
        <w:trPr/>
        <w:tc>
          <w:tcPr>
            <w:tcW w:w="8750" w:type="dxa"/>
          </w:tcPr>
          <w:p>
            <w:pPr/>
            <w:r>
              <w:rPr>
                <w:rStyle w:val="ArialBlack11"/>
              </w:rPr>
              <w:t xml:space="preserve">Net cash generated from financing activities</w:t>
            </w:r>
          </w:p>
        </w:tc>
        <w:tc>
          <w:tcPr>
            <w:tcW w:w="1750" w:type="dxa"/>
            <w:tcBorders>
              <w:bottom w:val="single" w:sz="1" w:color="000000"/>
            </w:tcBorders>
          </w:tcPr>
          <w:p>
            <w:pPr>
              <w:jc w:val="center"/>
              <w:spacing w:after="0"/>
            </w:pPr>
            <w:r>
              <w:rPr>
                <w:rStyle w:val="Arial11"/>
              </w:rPr>
              <w:t xml:space="preserve">57,810</w:t>
            </w:r>
          </w:p>
        </w:tc>
        <w:tc>
          <w:tcPr>
            <w:tcW w:w="1750" w:type="dxa"/>
            <w:tcBorders>
              <w:bottom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Net increase in cash and cash equivalents</w:t>
            </w:r>
          </w:p>
        </w:tc>
        <w:tc>
          <w:tcPr>
            <w:tcW w:w="1750" w:type="dxa"/>
          </w:tcPr>
          <w:p>
            <w:pPr>
              <w:jc w:val="center"/>
              <w:spacing w:after="0"/>
            </w:pPr>
            <w:r>
              <w:rPr>
                <w:rStyle w:val="Arial11"/>
              </w:rPr>
              <w:t xml:space="preserve">795,548</w:t>
            </w:r>
          </w:p>
        </w:tc>
        <w:tc>
          <w:tcPr>
            <w:tcW w:w="1750" w:type="dxa"/>
          </w:tcPr>
          <w:p>
            <w:pPr>
              <w:jc w:val="center"/>
              <w:spacing w:after="0"/>
            </w:pPr>
            <w:r>
              <w:rPr>
                <w:rStyle w:val="Arial11"/>
              </w:rPr>
              <w:t xml:space="preserve">1,794,324</w:t>
            </w:r>
          </w:p>
        </w:tc>
      </w:tr>
      <w:tr>
        <w:trPr/>
        <w:tc>
          <w:tcPr>
            <w:tcW w:w="8750" w:type="dxa"/>
          </w:tcPr>
          <w:p>
            <w:pPr>
              <w:spacing w:after="0"/>
            </w:pPr>
            <w:r>
              <w:rPr>
                <w:rStyle w:val="Arial11"/>
              </w:rPr>
              <w:t xml:space="preserve">Cash and cash equivalents at beginning of financial year/period</w:t>
            </w:r>
          </w:p>
        </w:tc>
        <w:tc>
          <w:tcPr>
            <w:tcW w:w="1750" w:type="dxa"/>
            <w:tcBorders>
              <w:bottom w:val="single" w:sz="1" w:color="000000"/>
            </w:tcBorders>
          </w:tcPr>
          <w:p>
            <w:pPr>
              <w:jc w:val="center"/>
              <w:spacing w:after="0"/>
            </w:pPr>
            <w:r>
              <w:rPr>
                <w:rStyle w:val="Arial11"/>
              </w:rPr>
              <w:t xml:space="preserve">1,008,693</w:t>
            </w:r>
          </w:p>
        </w:tc>
        <w:tc>
          <w:tcPr>
            <w:tcW w:w="1750" w:type="dxa"/>
            <w:tcBorders>
              <w:bottom w:val="single" w:sz="1" w:color="000000"/>
            </w:tcBorders>
          </w:tcPr>
          <w:p>
            <w:pPr>
              <w:jc w:val="center"/>
              <w:spacing w:after="0"/>
            </w:pPr>
            <w:r>
              <w:rPr>
                <w:rStyle w:val="Arial11"/>
              </w:rPr>
              <w:t xml:space="preserve">-</w:t>
            </w:r>
          </w:p>
        </w:tc>
      </w:tr>
      <w:tr>
        <w:trPr/>
        <w:tc>
          <w:tcPr>
            <w:tcW w:w="8750" w:type="dxa"/>
          </w:tcPr>
          <w:p>
            <w:pPr>
              <w:spacing w:after="0"/>
            </w:pPr>
            <w:r>
              <w:rPr>
                <w:rStyle w:val="ArialBlack11"/>
              </w:rPr>
              <w:t xml:space="preserve">Cash and cash equivalents at end of financial year/period</w:t>
            </w:r>
          </w:p>
        </w:tc>
        <w:tc>
          <w:tcPr>
            <w:tcW w:w="1750" w:type="dxa"/>
            <w:tcBorders>
              <w:bottom w:val="single" w:sz="1" w:color="000000"/>
            </w:tcBorders>
          </w:tcPr>
          <w:p>
            <w:pPr>
              <w:jc w:val="center"/>
              <w:spacing w:after="0"/>
            </w:pPr>
            <w:r>
              <w:rPr>
                <w:rStyle w:val="Arial11"/>
              </w:rPr>
              <w:t xml:space="preserve">1,804,241</w:t>
            </w:r>
          </w:p>
        </w:tc>
        <w:tc>
          <w:tcPr>
            <w:tcW w:w="1750" w:type="dxa"/>
            <w:tcBorders>
              <w:bottom w:val="single" w:sz="1" w:color="000000"/>
            </w:tcBorders>
          </w:tcPr>
          <w:p>
            <w:pPr>
              <w:jc w:val="center"/>
              <w:spacing w:after="0"/>
            </w:pPr>
            <w:r>
              <w:rPr>
                <w:rStyle w:val="Arial11"/>
              </w:rPr>
              <w:t xml:space="preserve">1,794,324</w:t>
            </w:r>
          </w:p>
        </w:tc>
      </w:tr>
    </w:tbl>
    <w:p>
      <w:pPr>
        <w:sectPr>
          <w:headerReference w:type="default" r:id="rId12"/>
          <w:pgSz w:orient="portrait" w:w="11905.511811024" w:h="16837.795275591"/>
          <w:pgMar w:top="1440" w:right="1440" w:bottom="1440" w:left="1440" w:header="720" w:footer="720" w:gutter="0"/>
          <w:cols w:num="1" w:space="720"/>
        </w:sectPr>
      </w:pPr>
    </w:p>
    <w:p>
      <w:pPr>
        <w:pStyle w:val="justifiedParagraph"/>
      </w:pPr>
      <w:r>
        <w:rPr>
          <w:rStyle w:val="Arial11"/>
        </w:rPr>
        <w:t xml:space="preserve">These notes form an integral part of and should be read in conjunction with the accompanying financial statements.</w:t>
      </w:r>
    </w:p>
    <w:p/>
    <w:p>
      <w:pPr>
        <w:numPr>
          <w:ilvl w:val="0"/>
          <w:numId w:val="7"/>
        </w:numPr>
      </w:pPr>
      <w:r>
        <w:rPr>
          <w:rStyle w:val="Arial11"/>
        </w:rPr>
        <w:t xml:space="preserve">	GENERAL INFORMATION</w:t>
      </w:r>
    </w:p>
    <w:p>
      <w:pPr>
        <w:pStyle w:val="justifiedParagraph"/>
      </w:pPr>
      <w:r>
        <w:rPr>
          <w:rStyle w:val="Arial11"/>
        </w:rPr>
        <w:t xml:space="preserve">	The Company is incorporated and domiciled in Singapore.</w:t>
      </w:r>
    </w:p>
    <w:p>
      <w:pPr>
        <w:pStyle w:val="justifiedParagraph"/>
      </w:pPr>
      <w:r>
        <w:rPr>
          <w:rStyle w:val="Arial11"/>
        </w:rPr>
        <w:t xml:space="preserve">	The Company’s principal activities are those to carry-on the businesses of Bbbbbb</w:t>
      </w:r>
    </w:p>
    <w:p>
      <w:pPr>
        <w:pStyle w:val="justifiedParagraph"/>
      </w:pPr>
      <w:r>
        <w:rPr>
          <w:rStyle w:val="Arial11"/>
        </w:rPr>
        <w:t xml:space="preserve">	The Company’s registered office is at Novena</w:t>
      </w:r>
    </w:p>
    <w:p>
      <w:pPr>
        <w:pStyle w:val="justifiedParagraph"/>
      </w:pPr>
      <w:r>
        <w:rPr>
          <w:rStyle w:val="Arial11"/>
        </w:rPr>
        <w:t xml:space="preserve">	The financial statements of the Company for the financial year ended 		December 31 2016 were authorised for issue in accordance with a resolution of the 	directors on the date of Statement by Directors.</w:t>
      </w:r>
    </w:p>
    <w:p>
      <w:pPr>
        <w:numPr>
          <w:ilvl w:val="0"/>
          <w:numId w:val="7"/>
        </w:numPr>
      </w:pPr>
      <w:r>
        <w:rPr>
          <w:rStyle w:val="Arial11"/>
        </w:rPr>
        <w:t xml:space="preserve">	BASIS OF PREPARATION AND SUMMARY OF SIGNIFICANT ACCOUNTING 	POLICIES</w:t>
      </w:r>
    </w:p>
    <w:p>
      <w:pPr>
        <w:numPr>
          <w:ilvl w:val="1"/>
          <w:numId w:val="7"/>
        </w:numPr>
      </w:pPr>
      <w:r>
        <w:rPr>
          <w:rStyle w:val="Arial11"/>
        </w:rPr>
        <w:t xml:space="preserve">	Basis of preparation</w:t>
      </w:r>
    </w:p>
    <w:p>
      <w:pPr>
        <w:numPr>
          <w:ilvl w:val="2"/>
          <w:numId w:val="6"/>
        </w:numPr>
      </w:pPr>
      <w:r>
        <w:rPr>
          <w:rStyle w:val="Arial11"/>
        </w:rPr>
        <w:t xml:space="preserve">	Basis of accounting</w:t>
      </w:r>
    </w:p>
    <w:p>
      <w:pPr>
        <w:pStyle w:val="justifiedParagraph"/>
      </w:pPr>
      <w:r>
        <w:rPr>
          <w:rStyle w:val="Arial11"/>
        </w:rPr>
        <w:t xml:space="preserve">	The financial statements are prepared in accordance with Singapore Financial 	Reporting Standards (“FRS”). The financial statements have been prepared under 	the historical cost convention, except as disclosed in the 	accounting policies below.</w:t>
      </w:r>
    </w:p>
    <w:p>
      <w:pPr>
        <w:pStyle w:val="justifiedParagraph"/>
      </w:pPr>
      <w:r>
        <w:rPr>
          <w:rStyle w:val="Arial11"/>
        </w:rPr>
        <w:t xml:space="preserve">	The preparation of these financial statements in conformity with FRS requires 	management to exercise its judgement in the process of applying the Company’s 	accounting policies. It also requires the use of certain critical accounting estimates 	and assumptions. The areas involving a higher degree of judgement or complexity,or 	areas where assumptions and estimates are significant to the financial statements, 	are disclosed in Note 3</w:t>
      </w:r>
    </w:p>
    <w:p>
      <w:pPr>
        <w:numPr>
          <w:ilvl w:val="2"/>
          <w:numId w:val="6"/>
        </w:numPr>
      </w:pPr>
      <w:r>
        <w:rPr>
          <w:rStyle w:val="Arial11"/>
        </w:rPr>
        <w:t xml:space="preserve">	Adoption of new and revised Singapore Financial Reporting Standards</w:t>
      </w:r>
    </w:p>
    <w:p>
      <w:pPr>
        <w:pStyle w:val="justifiedParagraph"/>
      </w:pPr>
      <w:r>
        <w:rPr>
          <w:rStyle w:val="Arial11"/>
        </w:rPr>
        <w:t xml:space="preserve">	On December 28 2015 the Company adopted the new or amended FRS and 	Interpretations to FRS (“INT FRS”) that are mandatory for application for the financial 	year. The adoption of these new or amended FRS and INT FRS did not result 	insubstantial changes of the Company’s accounting policies and had no material 	effect on the amounts reported for the current or prior financial period.</w:t>
      </w:r>
    </w:p>
    <w:p>
      <w:pPr>
        <w:sectPr>
          <w:headerReference w:type="default" r:id="rId13"/>
          <w:pgSz w:orient="portrait" w:w="11905.511811024" w:h="16837.795275591"/>
          <w:pgMar w:top="1440" w:right="1440" w:bottom="1440" w:left="1440" w:header="720" w:footer="720" w:gutter="0"/>
          <w:cols w:num="1" w:space="720"/>
        </w:sectPr>
      </w:pPr>
    </w:p>
    <w:p>
      <w:pPr>
        <w:numPr>
          <w:ilvl w:val="1"/>
          <w:numId w:val="7"/>
        </w:numPr>
      </w:pPr>
      <w:r>
        <w:rPr>
          <w:rStyle w:val="Arial11"/>
        </w:rPr>
        <w:t xml:space="preserve">	Summary of significant accounting policies</w:t>
      </w:r>
    </w:p>
    <w:p>
      <w:pPr>
        <w:numPr>
          <w:ilvl w:val="3"/>
          <w:numId w:val="6"/>
        </w:numPr>
      </w:pPr>
      <w:r>
        <w:rPr>
          <w:rStyle w:val="Arial11"/>
        </w:rPr>
        <w:t xml:space="preserve">	Revenue recognition</w:t>
      </w:r>
    </w:p>
    <w:p>
      <w:pPr>
        <w:pStyle w:val="justifiedParagraph"/>
      </w:pPr>
      <w:r>
        <w:rPr>
          <w:rStyle w:val="Arial11"/>
        </w:rPr>
        <w:t xml:space="preserve">	Sales comprise the fair value of the consideration received or receivable for the 	rendering of services in the ordinary course of the Company’s activities. Sales are 	presented net of goods and services tax, rebates and discounts.</w:t>
      </w:r>
    </w:p>
    <w:p>
      <w:pPr>
        <w:pStyle w:val="justifiedParagraph"/>
      </w:pPr>
      <w:r>
        <w:rPr>
          <w:rStyle w:val="Arial11"/>
        </w:rPr>
        <w:t xml:space="preserve">	The Company recognises revenue when the amount of revenue and related cost can 	be reliably measured, when it is probable that the collectability of the related 	receivables is reasonably assured and when the specific criteria for each of the 	Company’s activities are met.</w:t>
      </w:r>
    </w:p>
    <w:p>
      <w:pPr>
        <w:numPr>
          <w:ilvl w:val="1"/>
          <w:numId w:val="8"/>
        </w:numPr>
      </w:pPr>
      <w:r>
        <w:rPr>
          <w:rStyle w:val="Arial11"/>
        </w:rPr>
        <w:t xml:space="preserve">Service income</w:t>
      </w:r>
    </w:p>
    <w:p>
      <w:pPr>
        <w:pStyle w:val="justifiedParagraph"/>
      </w:pPr>
      <w:r>
        <w:rPr>
          <w:rStyle w:val="Arial11"/>
        </w:rPr>
        <w:t xml:space="preserve">	Service income is recognised when services are rendered.</w:t>
      </w:r>
    </w:p>
    <w:p>
      <w:pPr>
        <w:numPr>
          <w:ilvl w:val="1"/>
          <w:numId w:val="8"/>
        </w:numPr>
      </w:pPr>
      <w:r>
        <w:rPr>
          <w:rStyle w:val="Arial11"/>
        </w:rPr>
        <w:t xml:space="preserve">Sale of goods</w:t>
      </w:r>
    </w:p>
    <w:p>
      <w:pPr>
        <w:pStyle w:val="justifiedParagraph"/>
      </w:pPr>
      <w:r>
        <w:rPr>
          <w:rStyle w:val="Arial11"/>
        </w:rPr>
        <w:t xml:space="preserve">	Revenue from these sales is recognised when a Company has delivered the 	products to the customer,the customer has accepted the products and collectability of 	the related receivables is reasonably assured.</w:t>
      </w:r>
    </w:p>
    <w:p>
      <w:pPr>
        <w:numPr>
          <w:ilvl w:val="3"/>
          <w:numId w:val="6"/>
        </w:numPr>
      </w:pPr>
      <w:r>
        <w:rPr>
          <w:rStyle w:val="Arial11"/>
        </w:rPr>
        <w:t xml:space="preserve">	Employee compensation</w:t>
      </w:r>
    </w:p>
    <w:p>
      <w:pPr>
        <w:pStyle w:val="justifiedParagraph"/>
      </w:pPr>
      <w:r>
        <w:rPr>
          <w:rStyle w:val="Arial11"/>
        </w:rPr>
        <w:t xml:space="preserve">	Employee benefits are recognised as an expense, unless the cost qualifies to be 	capitalised as an asset.</w:t>
      </w:r>
    </w:p>
    <w:p>
      <w:pPr>
        <w:numPr>
          <w:ilvl w:val="2"/>
          <w:numId w:val="8"/>
        </w:numPr>
      </w:pPr>
      <w:r>
        <w:rPr>
          <w:rStyle w:val="Arial11"/>
        </w:rPr>
        <w:t xml:space="preserve">Defined contribution plans</w:t>
      </w:r>
    </w:p>
    <w:p>
      <w:pPr>
        <w:pStyle w:val="justifiedParagraph"/>
      </w:pPr>
      <w:r>
        <w:rPr>
          <w:rStyle w:val="Arial11"/>
        </w:rPr>
        <w:t xml:space="preserve">	Defined contribution plans are post-employment benefit plans under which the 	Company pays fixed contributions into separate entities such as the Central 	Provident Fund on a mandatory, contractual or voluntary basis. The Company has no 	further payment obligations once the contributions have been paid.</w:t>
      </w:r>
    </w:p>
    <w:p>
      <w:pPr>
        <w:numPr>
          <w:ilvl w:val="2"/>
          <w:numId w:val="8"/>
        </w:numPr>
      </w:pPr>
      <w:r>
        <w:rPr>
          <w:rStyle w:val="Arial11"/>
        </w:rPr>
        <w:t xml:space="preserve">Employee leave entitlement</w:t>
      </w:r>
    </w:p>
    <w:p>
      <w:pPr>
        <w:pStyle w:val="justifiedParagraph"/>
      </w:pPr>
      <w:r>
        <w:rPr>
          <w:rStyle w:val="Arial11"/>
        </w:rPr>
        <w:t xml:space="preserve">	Employee entitlements to annual leave are recognised when they accrue to 	employees. A provision is made for the estimated liability for annual leave as a result 	of services rendered by employees up to the balance sheet date.</w:t>
      </w:r>
    </w:p>
    <w:p>
      <w:pPr>
        <w:numPr>
          <w:ilvl w:val="3"/>
          <w:numId w:val="6"/>
        </w:numPr>
      </w:pPr>
      <w:r>
        <w:rPr>
          <w:rStyle w:val="Arial11"/>
        </w:rPr>
        <w:t xml:space="preserve">	Operating lease payments</w:t>
      </w:r>
    </w:p>
    <w:p>
      <w:pPr>
        <w:pStyle w:val="justifiedParagraph"/>
      </w:pPr>
      <w:r>
        <w:rPr>
          <w:rStyle w:val="Arial11"/>
        </w:rPr>
        <w:t xml:space="preserve">	Payments made under operating leases (net of any incentives received from the 	lessor) are recognized in profit or loss on a straight-line basis over the period of 	lease.</w:t>
      </w:r>
    </w:p>
    <w:p>
      <w:pPr>
        <w:pStyle w:val="justifiedParagraph"/>
      </w:pPr>
      <w:r>
        <w:rPr>
          <w:rStyle w:val="Arial11"/>
        </w:rPr>
        <w:t xml:space="preserve">	Contingent rents are recognised as an expense in profit or loss when incurred.</w:t>
      </w:r>
    </w:p>
    <w:p>
      <w:pPr>
        <w:sectPr>
          <w:pgSz w:orient="portrait" w:w="11905.511811024" w:h="16837.795275591"/>
          <w:pgMar w:top="1440" w:right="1440" w:bottom="1440" w:left="1440" w:header="720" w:footer="720" w:gutter="0"/>
          <w:cols w:num="1" w:space="720"/>
        </w:sectPr>
      </w:pPr>
    </w:p>
    <w:p>
      <w:pPr>
        <w:numPr>
          <w:ilvl w:val="3"/>
          <w:numId w:val="7"/>
        </w:numPr>
      </w:pPr>
      <w:r>
        <w:rPr>
          <w:rStyle w:val="Arial11"/>
        </w:rPr>
        <w:t xml:space="preserve">	Summary of significant accounting policies </w:t>
      </w:r>
    </w:p>
    <w:p>
      <w:pPr>
        <w:numPr>
          <w:ilvl w:val="3"/>
          <w:numId w:val="6"/>
        </w:numPr>
      </w:pPr>
      <w:r>
        <w:rPr>
          <w:rStyle w:val="Arial11"/>
        </w:rPr>
        <w:t xml:space="preserve">	Borrowing costs</w:t>
      </w:r>
    </w:p>
    <w:p>
      <w:pPr>
        <w:pStyle w:val="justifiedParagraph"/>
      </w:pPr>
      <w:r>
        <w:rPr>
          <w:rStyle w:val="Arial11"/>
        </w:rPr>
        <w:t xml:space="preserve">	Borrowing costs are recognised in profit or loss using the effective interest method</w:t>
      </w:r>
    </w:p>
    <w:p>
      <w:pPr>
        <w:numPr>
          <w:ilvl w:val="3"/>
          <w:numId w:val="6"/>
        </w:numPr>
      </w:pPr>
      <w:r>
        <w:rPr>
          <w:rStyle w:val="Arial11"/>
        </w:rPr>
        <w:t xml:space="preserve">	Income taxes</w:t>
      </w:r>
    </w:p>
    <w:p>
      <w:pPr>
        <w:pStyle w:val="justifiedParagraph"/>
      </w:pPr>
      <w:r>
        <w:rPr>
          <w:rStyle w:val="Arial11"/>
        </w:rPr>
        <w:t xml:space="preserve">	Current income tax for current and prior periods is recognised at the amount 	expected to be paid to or recovered from the tax authorities,using the tax rates and 	tax laws that have been enacted or substantively enacted by the balance sheet date</w:t>
      </w:r>
    </w:p>
    <w:p>
      <w:pPr>
        <w:pStyle w:val="justifiedParagraph"/>
      </w:pPr>
      <w:r>
        <w:rPr>
          <w:rStyle w:val="Arial11"/>
        </w:rPr>
        <w:t xml:space="preserve">	Deferred income tax is recognised for all temporary differences arising between the 	tax bases of assets and liabilities and their carrying amounts in the financial 	statements except when the deferred income tax arises from the initial recognition of 	an asset or liability that affects neither accounting nor taxable profit or loss at the time 	of the transaction.</w:t>
      </w:r>
    </w:p>
    <w:p>
      <w:pPr>
        <w:pStyle w:val="justifiedParagraph"/>
      </w:pPr>
      <w:r>
        <w:rPr>
          <w:rStyle w:val="Arial11"/>
        </w:rPr>
        <w:t xml:space="preserve">	A deferred income tax asset is recognised to the extent that it is probable that future 	taxable profit will be available against which the deductible temporary differences and 	tax losses can be utilised.</w:t>
      </w:r>
    </w:p>
    <w:p>
      <w:pPr>
        <w:pStyle w:val="justifiedParagraph"/>
      </w:pPr>
      <w:r>
        <w:rPr>
          <w:rStyle w:val="Arial11"/>
        </w:rPr>
        <w:t xml:space="preserve">	Deferred income tax is measured:</w:t>
      </w:r>
    </w:p>
    <w:p>
      <w:pPr>
        <w:numPr>
          <w:ilvl w:val="3"/>
          <w:numId w:val="8"/>
        </w:numPr>
      </w:pPr>
      <w:r>
        <w:rPr>
          <w:rStyle w:val="Arial11"/>
        </w:rPr>
        <w:t xml:space="preserve">at the tax rates that are expected to apply when the related deferred income tax asset is realised or the deferred income tax liability is settled, based on tax rates and tax laws that have been enacted or substantively enacted by the balance sheet date; and</w:t>
      </w:r>
    </w:p>
    <w:p>
      <w:pPr>
        <w:numPr>
          <w:ilvl w:val="3"/>
          <w:numId w:val="8"/>
        </w:numPr>
      </w:pPr>
      <w:r>
        <w:rPr>
          <w:rStyle w:val="Arial11"/>
        </w:rPr>
        <w:t xml:space="preserve">based on the tax consequence that will follow from the manner in which the Company expects, at the balance sheet date, to recover or settle the carrying amounts of its assets and liabilities.</w:t>
      </w:r>
    </w:p>
    <w:p>
      <w:pPr>
        <w:pStyle w:val="justifiedParagraph"/>
      </w:pPr>
      <w:r>
        <w:rPr>
          <w:rStyle w:val="Arial11"/>
        </w:rPr>
        <w:t xml:space="preserve">	Current and deferred income taxes are recognised as income or expense in profit or 	loss.</w:t>
      </w:r>
    </w:p>
    <w:p>
      <w:pPr>
        <w:numPr>
          <w:ilvl w:val="3"/>
          <w:numId w:val="6"/>
        </w:numPr>
      </w:pPr>
      <w:r>
        <w:rPr>
          <w:rStyle w:val="Arial11"/>
        </w:rPr>
        <w:t xml:space="preserve">	Inventories</w:t>
      </w:r>
    </w:p>
    <w:p>
      <w:pPr>
        <w:pStyle w:val="justifiedParagraph"/>
      </w:pPr>
      <w:r>
        <w:rPr>
          <w:rStyle w:val="Arial11"/>
        </w:rPr>
        <w:t xml:space="preserve">	Inventories are carried at the lower of cost and net realisable value. Cost is 	determined using the first-in, first-out method. Net realisable value is the estimated 	selling price in the ordinary course of business, less applicable variable selling 	expenses.</w:t>
      </w:r>
    </w:p>
    <w:p>
      <w:pPr>
        <w:sectPr>
          <w:pgSz w:orient="portrait" w:w="11905.511811024" w:h="16837.795275591"/>
          <w:pgMar w:top="1440" w:right="1440" w:bottom="1440" w:left="1440" w:header="720" w:footer="720" w:gutter="0"/>
          <w:cols w:num="1" w:space="720"/>
        </w:sectPr>
      </w:pPr>
    </w:p>
    <w:p>
      <w:pPr>
        <w:numPr>
          <w:ilvl w:val="4"/>
          <w:numId w:val="7"/>
        </w:numPr>
      </w:pPr>
      <w:r>
        <w:rPr>
          <w:rStyle w:val="Arial11"/>
        </w:rPr>
        <w:t xml:space="preserve">	Summary of significant accounting policies</w:t>
      </w:r>
    </w:p>
    <w:p>
      <w:pPr>
        <w:numPr>
          <w:ilvl w:val="3"/>
          <w:numId w:val="6"/>
        </w:numPr>
      </w:pPr>
      <w:r>
        <w:rPr>
          <w:rStyle w:val="Arial11"/>
        </w:rPr>
        <w:t xml:space="preserve">	Plant and equipment</w:t>
      </w:r>
    </w:p>
    <w:p>
      <w:pPr>
        <w:numPr>
          <w:ilvl w:val="4"/>
          <w:numId w:val="8"/>
        </w:numPr>
      </w:pPr>
      <w:r>
        <w:rPr>
          <w:rStyle w:val="Arial11"/>
        </w:rPr>
        <w:t xml:space="preserve">Measurement</w:t>
      </w:r>
    </w:p>
    <w:p>
      <w:pPr>
        <w:pStyle w:val="justifiedParagraph"/>
      </w:pPr>
      <w:r>
        <w:rPr>
          <w:rStyle w:val="Arial11"/>
        </w:rPr>
        <w:t xml:space="preserve">	Plant and equipment are initially recognised at cost and subsequently carried at cost 	less accumulated depreciation and accumulated impairment losses</w:t>
      </w:r>
    </w:p>
    <w:p>
      <w:pPr>
        <w:pStyle w:val="justifiedParagraph"/>
      </w:pPr>
      <w:r>
        <w:rPr>
          <w:rStyle w:val="Arial11"/>
        </w:rPr>
        <w:t xml:space="preserve">	The cost of an item of plant and equipment initially recognised includes its purchase 	price and any cost that is directly attributable to bringing the asset to the location and 	condition necessary for it to be capable of operating in the manner intended by 	management.</w:t>
      </w:r>
    </w:p>
    <w:p>
      <w:pPr>
        <w:numPr>
          <w:ilvl w:val="4"/>
          <w:numId w:val="8"/>
        </w:numPr>
      </w:pPr>
      <w:r>
        <w:rPr>
          <w:rStyle w:val="Arial11"/>
        </w:rPr>
        <w:t xml:space="preserve">Depreciation</w:t>
      </w:r>
    </w:p>
    <w:p>
      <w:pPr>
        <w:pStyle w:val="justifiedParagraph"/>
      </w:pPr>
      <w:r>
        <w:rPr>
          <w:rStyle w:val="Arial11"/>
        </w:rPr>
        <w:t xml:space="preserve">	Depreciation on plant and equipment is calculated using the straight-line method to 	allocate their depreciable amounts over their estimated useful lives as follows:</w:t>
      </w:r>
    </w:p>
    <w:p>
      <w:pPr>
        <w:pStyle w:val="justifiedParagraph"/>
      </w:pPr>
      <w:r>
        <w:rPr>
          <w:rStyle w:val="Arial11"/>
        </w:rPr>
        <w:t xml:space="preserve">	The residual values, estimated useful lives and depreciation method of plant and 	equipment are reviewed, and adjusted as appropriate, at the end of each reporting 	period.The effects of any revision are recognised in profit or loss when the changes 	arise.</w:t>
      </w:r>
    </w:p>
    <w:p>
      <w:pPr>
        <w:pStyle w:val="justifiedParagraph"/>
      </w:pPr>
      <w:r>
        <w:rPr>
          <w:rStyle w:val="Arial11"/>
        </w:rPr>
        <w:t xml:space="preserve">	Fully depreciated plant and equipment still in use are retained in the financial 	statements.</w:t>
      </w:r>
    </w:p>
    <w:p>
      <w:pPr>
        <w:numPr>
          <w:ilvl w:val="4"/>
          <w:numId w:val="8"/>
        </w:numPr>
      </w:pPr>
      <w:r>
        <w:rPr>
          <w:rStyle w:val="Arial11"/>
        </w:rPr>
        <w:t xml:space="preserve">Subsequent expenditure</w:t>
      </w:r>
    </w:p>
    <w:p>
      <w:pPr>
        <w:pStyle w:val="justifiedParagraph"/>
      </w:pPr>
      <w:r>
        <w:rPr>
          <w:rStyle w:val="Arial11"/>
        </w:rPr>
        <w:t xml:space="preserve">	Subsequent expenditure relating to plant and equipment that has already been 	recognised is added to the carrying amount of the asset only when it is probable that 	future economic benefits associated with the item will flow to the Company and the 	cost of the item can be measured reliably. All other repair and maintenance expenses 	are recognised in profit or loss when incurred.</w:t>
      </w:r>
    </w:p>
    <w:p>
      <w:pPr>
        <w:numPr>
          <w:ilvl w:val="4"/>
          <w:numId w:val="8"/>
        </w:numPr>
      </w:pPr>
      <w:r>
        <w:rPr>
          <w:rStyle w:val="Arial11"/>
        </w:rPr>
        <w:t xml:space="preserve">Disposal</w:t>
      </w:r>
    </w:p>
    <w:p>
      <w:pPr>
        <w:pStyle w:val="justifiedParagraph"/>
      </w:pPr>
      <w:r>
        <w:rPr>
          <w:rStyle w:val="Arial11"/>
        </w:rPr>
        <w:t xml:space="preserve">	On disposal of an item of plant and equipment, the difference between the disposal 	proceeds and its carrying amount is recognised in profit or loss</w:t>
      </w:r>
    </w:p>
    <w:p>
      <w:pPr>
        <w:sectPr>
          <w:pgSz w:orient="portrait" w:w="11905.511811024" w:h="16837.795275591"/>
          <w:pgMar w:top="1440" w:right="1440" w:bottom="1440" w:left="1440" w:header="720" w:footer="720" w:gutter="0"/>
          <w:cols w:num="1" w:space="720"/>
        </w:sectPr>
      </w:pPr>
    </w:p>
    <w:p>
      <w:pPr>
        <w:numPr>
          <w:ilvl w:val="5"/>
          <w:numId w:val="7"/>
        </w:numPr>
      </w:pPr>
      <w:r>
        <w:rPr>
          <w:rStyle w:val="Arial11"/>
        </w:rPr>
        <w:t xml:space="preserve">	Summary of significant accounting policies</w:t>
      </w:r>
    </w:p>
    <w:p>
      <w:pPr>
        <w:numPr>
          <w:ilvl w:val="3"/>
          <w:numId w:val="6"/>
        </w:numPr>
      </w:pPr>
      <w:r>
        <w:rPr>
          <w:rStyle w:val="Arial11"/>
        </w:rPr>
        <w:t xml:space="preserve">	Impairment of non-financial assets</w:t>
      </w:r>
    </w:p>
    <w:p>
      <w:pPr>
        <w:pStyle w:val="justifiedParagraph"/>
      </w:pPr>
      <w:r>
        <w:rPr>
          <w:rStyle w:val="Arial11"/>
        </w:rPr>
        <w:t xml:space="preserve">	Non-financial assets are tested for impairment whenever there is any objective 	evidence or indication that these assets may be impaired.</w:t>
      </w:r>
    </w:p>
    <w:p>
      <w:pPr>
        <w:pStyle w:val="justifiedParagraph"/>
      </w:pPr>
      <w:r>
        <w:rPr>
          <w:rStyle w:val="Arial11"/>
        </w:rPr>
        <w:t xml:space="preserve">	For the purpose of impairment testing, the recoverable amount (i.e. the higher of the 	fair value less cost to sell and the value-in-use) is determined on an individual asset 	basis unless the asset does not generate cash flows that are largely independent of 	those from other assets. If this is the case, the recoverable amount is determined for 	the CGU to which the asset belongs.</w:t>
      </w:r>
    </w:p>
    <w:p>
      <w:pPr>
        <w:pStyle w:val="justifiedParagraph"/>
      </w:pPr>
      <w:r>
        <w:rPr>
          <w:rStyle w:val="Arial11"/>
        </w:rPr>
        <w:t xml:space="preserve">	If the recoverable amount of the asset (or CGU) is estimated to be less than its 	carrying amount, the carrying amount of the asset (or CGU) is reduced to its 	recoverable amount.</w:t>
      </w:r>
    </w:p>
    <w:p>
      <w:pPr>
        <w:pStyle w:val="justifiedParagraph"/>
      </w:pPr>
      <w:r>
        <w:rPr>
          <w:rStyle w:val="Arial11"/>
        </w:rPr>
        <w:t xml:space="preserve">	The difference between the carrying amount and recoverable amount is recognised 	as an impairment loss in profit or loss.</w:t>
      </w:r>
    </w:p>
    <w:p>
      <w:pPr>
        <w:pStyle w:val="justifiedParagraph"/>
      </w:pPr>
      <w:r>
        <w:rPr>
          <w:rStyle w:val="Arial11"/>
        </w:rPr>
        <w:t xml:space="preserve">	An impairment loss for an asset is reversed only if, there has been a change in the 	estimates used to determine the asset’s recoverable amount since the last 	impairment loss was recognised. The carrying amount of this asset is increased to its 	revised recoverable amount, provided that this amount does not exceed the carrying 	amount that would have been determined (net of any accumulated amortisation or 	depreciation) had no impairment loss been recognised for the asset in prior years.</w:t>
      </w:r>
    </w:p>
    <w:p>
      <w:pPr>
        <w:pStyle w:val="justifiedParagraph"/>
      </w:pPr>
      <w:r>
        <w:rPr>
          <w:rStyle w:val="Arial11"/>
        </w:rPr>
        <w:t xml:space="preserve">	A reversal of impairment loss for an asset is recognised in profit or loss.</w:t>
      </w:r>
    </w:p>
    <w:p>
      <w:pPr>
        <w:numPr>
          <w:ilvl w:val="3"/>
          <w:numId w:val="6"/>
        </w:numPr>
      </w:pPr>
      <w:r>
        <w:rPr>
          <w:rStyle w:val="Arial11"/>
        </w:rPr>
        <w:t xml:space="preserve">	Financial assets</w:t>
      </w:r>
    </w:p>
    <w:p>
      <w:pPr>
        <w:numPr>
          <w:ilvl w:val="5"/>
          <w:numId w:val="8"/>
        </w:numPr>
      </w:pPr>
      <w:r>
        <w:rPr>
          <w:rStyle w:val="Arial11"/>
        </w:rPr>
        <w:t xml:space="preserve">Classification</w:t>
      </w:r>
    </w:p>
    <w:p>
      <w:pPr/>
      <w:r>
        <w:rPr>
          <w:rStyle w:val="Arial11"/>
        </w:rPr>
        <w:t xml:space="preserve">	The classification of financial assets depends on the purpose for which the assets 	were acquired. Management determines the classification of its financial assets at 	initial recognition.</w:t>
      </w:r>
    </w:p>
    <w:p>
      <w:pPr/>
      <w:r>
        <w:rPr>
          <w:rStyle w:val="Arial11"/>
        </w:rPr>
        <w:t xml:space="preserve">	Loans and receivables</w:t>
      </w:r>
    </w:p>
    <w:p>
      <w:pPr/>
      <w:r>
        <w:rPr>
          <w:rStyle w:val="Arial11"/>
        </w:rPr>
        <w:t xml:space="preserve">	Loans and receivables are non-derivative financial assets with fixed or determinable 	payments that are not quoted in an active market. They are presented as current 	assets,except for those maturing later than 12 months after the end of financial 	reporting date which are presented as non-current assets. Loans and receivables are 	presented as “trade receivables” and “cash and bank balances” on the statement of 	financial position.</w:t>
      </w:r>
    </w:p>
    <w:p>
      <w:pPr>
        <w:sectPr>
          <w:pgSz w:orient="portrait" w:w="11905.511811024" w:h="16837.795275591"/>
          <w:pgMar w:top="1440" w:right="1440" w:bottom="1440" w:left="1440" w:header="720" w:footer="720" w:gutter="0"/>
          <w:cols w:num="1" w:space="720"/>
        </w:sectPr>
      </w:pPr>
    </w:p>
    <w:p>
      <w:pPr>
        <w:numPr>
          <w:ilvl w:val="6"/>
          <w:numId w:val="7"/>
        </w:numPr>
      </w:pPr>
      <w:r>
        <w:rPr>
          <w:rStyle w:val="Arial11"/>
        </w:rPr>
        <w:t xml:space="preserve">	Summary of significant accounting policies</w:t>
      </w:r>
    </w:p>
    <w:p>
      <w:pPr>
        <w:numPr>
          <w:ilvl w:val="7"/>
          <w:numId w:val="6"/>
        </w:numPr>
      </w:pPr>
      <w:r>
        <w:rPr>
          <w:rStyle w:val="Arial11"/>
        </w:rPr>
        <w:t xml:space="preserve">	Financial assets (Cont’d)</w:t>
      </w:r>
    </w:p>
    <w:p>
      <w:pPr>
        <w:numPr>
          <w:ilvl w:val="5"/>
          <w:numId w:val="8"/>
        </w:numPr>
      </w:pPr>
      <w:r>
        <w:rPr>
          <w:rStyle w:val="Arial11"/>
        </w:rPr>
        <w:t xml:space="preserve">Recognition and derecognition</w:t>
      </w:r>
    </w:p>
    <w:p>
      <w:pPr>
        <w:pStyle w:val="justifiedParagraph"/>
      </w:pPr>
      <w:r>
        <w:rPr>
          <w:rStyle w:val="Arial11"/>
        </w:rPr>
        <w:t xml:space="preserve">	Regular way purchases and sales of financial assets are recognised on trade-date - 	the date on which the Company commits to purchase or sell the asset.</w:t>
      </w:r>
    </w:p>
    <w:p>
      <w:pPr>
        <w:pStyle w:val="justifiedParagraph"/>
      </w:pPr>
      <w:r>
        <w:rPr>
          <w:rStyle w:val="Arial11"/>
        </w:rPr>
        <w:t xml:space="preserve">	Financial assets are derecognised when the rights to receive cash flows from the 	financial assets have expired or have been transferred and the Company has 	transferred substantially all risks and rewards of ownership. On disposal of a financial 	asset, the difference between the carrying amount and the sale proceeds is 	recognised in the profit or loss.</w:t>
      </w:r>
    </w:p>
    <w:p>
      <w:pPr>
        <w:numPr>
          <w:ilvl w:val="5"/>
          <w:numId w:val="8"/>
        </w:numPr>
      </w:pPr>
      <w:r>
        <w:rPr>
          <w:rStyle w:val="Arial11"/>
        </w:rPr>
        <w:t xml:space="preserve">Initial measurement</w:t>
      </w:r>
    </w:p>
    <w:p>
      <w:pPr>
        <w:pStyle w:val="justifiedParagraph"/>
      </w:pPr>
      <w:r>
        <w:rPr>
          <w:rStyle w:val="Arial11"/>
        </w:rPr>
        <w:t xml:space="preserve">	Financial assets are initially recognised at fair value plus transaction costs.</w:t>
      </w:r>
    </w:p>
    <w:p>
      <w:pPr>
        <w:numPr>
          <w:ilvl w:val="5"/>
          <w:numId w:val="8"/>
        </w:numPr>
      </w:pPr>
      <w:r>
        <w:rPr>
          <w:rStyle w:val="Arial11"/>
        </w:rPr>
        <w:t xml:space="preserve">Subsequent measurement</w:t>
      </w:r>
    </w:p>
    <w:p>
      <w:pPr>
        <w:pStyle w:val="justifiedParagraph"/>
      </w:pPr>
      <w:r>
        <w:rPr>
          <w:rStyle w:val="Arial11"/>
        </w:rPr>
        <w:t xml:space="preserve">	Loans and receivables and financial assets are subsequently carried at amortised 	cost using the effective interest method.</w:t>
      </w:r>
    </w:p>
    <w:p>
      <w:pPr>
        <w:numPr>
          <w:ilvl w:val="5"/>
          <w:numId w:val="8"/>
        </w:numPr>
      </w:pPr>
      <w:r>
        <w:rPr>
          <w:rStyle w:val="Arial11"/>
        </w:rPr>
        <w:t xml:space="preserve">Impairment</w:t>
      </w:r>
    </w:p>
    <w:p>
      <w:pPr>
        <w:pStyle w:val="justifiedParagraph"/>
      </w:pPr>
      <w:r>
        <w:rPr>
          <w:rStyle w:val="Arial11"/>
        </w:rPr>
        <w:t xml:space="preserve">	The Company assesses at each end of financial reporting date whether there is 	objective evidence that a financial asset or a group of financial assets is impaired and 	recognises an allowance for impairment when such evidence exists.</w:t>
      </w:r>
    </w:p>
    <w:p>
      <w:pPr>
        <w:pStyle w:val="justifiedParagraph"/>
      </w:pPr>
      <w:r>
        <w:rPr>
          <w:rStyle w:val="Arial11"/>
        </w:rPr>
        <w:t xml:space="preserve">	Loans and receivables</w:t>
      </w:r>
    </w:p>
    <w:p>
      <w:pPr>
        <w:pStyle w:val="justifiedParagraph"/>
      </w:pPr>
      <w:r>
        <w:rPr>
          <w:rStyle w:val="Arial11"/>
        </w:rPr>
        <w:t xml:space="preserve">	Significant financial difficulties of the debtor, probability that the debtor will enter 	bankruptcy, and default or significant delay in payments are objective evidence that 	these financial assets are impaired.</w:t>
      </w:r>
    </w:p>
    <w:p>
      <w:pPr>
        <w:pStyle w:val="justifiedParagraph"/>
      </w:pPr>
      <w:r>
        <w:rPr>
          <w:rStyle w:val="Arial11"/>
        </w:rPr>
        <w:t xml:space="preserve">	The carrying amount of these assets is reduced through the use of an impairment 	allowance account, which is calculated as the difference between the carrying 	amount and the present value of estimated future cash flows, discounted at the 	original effective interest rate. When the asset becomes uncollectible, it is written off 	against the allowance account. Subsequent recoveries of amounts previously written 	off are recognised against the same line item in the income statement.</w:t>
      </w:r>
    </w:p>
    <w:p>
      <w:pPr>
        <w:pStyle w:val="justifiedParagraph"/>
      </w:pPr>
      <w:r>
        <w:rPr>
          <w:rStyle w:val="Arial11"/>
        </w:rPr>
        <w:t xml:space="preserve">	The allowance for impairment loss account is reduced through the profit or loss in a 	subsequent period when the amount of impairment loss decreases and the related 	decrease can be objectively measured. The carrying amount of the asset previously 	impaired is increased to the extent that the new carrying amount does not exceed the 	amortised cost, had no impairment been recognised in prior periods.</w:t>
      </w:r>
    </w:p>
    <w:p>
      <w:pPr>
        <w:sectPr>
          <w:pgSz w:orient="portrait" w:w="11905.511811024" w:h="16837.795275591"/>
          <w:pgMar w:top="1440" w:right="1440" w:bottom="1440" w:left="1440" w:header="720" w:footer="720" w:gutter="0"/>
          <w:cols w:num="1" w:space="720"/>
        </w:sectPr>
      </w:pPr>
    </w:p>
    <w:p>
      <w:pPr>
        <w:numPr>
          <w:ilvl w:val="7"/>
          <w:numId w:val="7"/>
        </w:numPr>
      </w:pPr>
      <w:r>
        <w:rPr>
          <w:rStyle w:val="Arial11"/>
        </w:rPr>
        <w:t xml:space="preserve">	Summary of significant accounting policies</w:t>
      </w:r>
    </w:p>
    <w:p>
      <w:pPr>
        <w:numPr>
          <w:ilvl w:val="3"/>
          <w:numId w:val="6"/>
        </w:numPr>
      </w:pPr>
      <w:r>
        <w:rPr>
          <w:rStyle w:val="Arial11"/>
        </w:rPr>
        <w:t xml:space="preserve">	Trade and other payables</w:t>
      </w:r>
    </w:p>
    <w:p>
      <w:pPr/>
      <w:r>
        <w:rPr>
          <w:rStyle w:val="Arial11"/>
        </w:rPr>
        <w:t xml:space="preserve">	Trade and other payables represent liabilities for goods and services provided to the 	Company prior to the end of financial year which are unpaid. They are classified as 	current liabilities if payment is due within one year or less (or in the normal operating 	cycle of the business if longer). Otherwise, they are presented as non-current 	liabilities.</w:t>
      </w:r>
    </w:p>
    <w:p>
      <w:pPr>
        <w:numPr>
          <w:ilvl w:val="3"/>
          <w:numId w:val="6"/>
        </w:numPr>
      </w:pPr>
      <w:r>
        <w:rPr>
          <w:rStyle w:val="Arial11"/>
        </w:rPr>
        <w:t xml:space="preserve">	Borrowings</w:t>
      </w:r>
    </w:p>
    <w:p>
      <w:pPr>
        <w:pStyle w:val="justifiedParagraph"/>
      </w:pPr>
      <w:r>
        <w:rPr>
          <w:rStyle w:val="Arial11"/>
        </w:rPr>
        <w:t xml:space="preserve">	Borrowings are presented as current liabilities unless the Company has an 	unconditional right to defer settlement for at least 12 months after the balance sheet 	date, in which case they are presented as non-current liabilities.</w:t>
      </w:r>
    </w:p>
    <w:p>
      <w:pPr>
        <w:pStyle w:val="justifiedParagraph"/>
      </w:pPr>
      <w:r>
        <w:rPr>
          <w:rStyle w:val="Arial11"/>
        </w:rPr>
        <w:t xml:space="preserve">	Borrowings are initially recognised at fair value (net of transaction costs) and 	subsequently carried at amortised cost. Any difference between the proceeds (net of 	transaction costs)and the redemption value is recognised in profit or loss over the 	period of the borrowings using the effective interest method.</w:t>
      </w:r>
    </w:p>
    <w:p>
      <w:pPr>
        <w:numPr>
          <w:ilvl w:val="3"/>
          <w:numId w:val="6"/>
        </w:numPr>
      </w:pPr>
      <w:r>
        <w:rPr>
          <w:rStyle w:val="Arial11"/>
        </w:rPr>
        <w:t xml:space="preserve">	Cash and cash equivalents</w:t>
      </w:r>
    </w:p>
    <w:p>
      <w:pPr>
        <w:pStyle w:val="justifiedParagraph"/>
      </w:pPr>
      <w:r>
        <w:rPr>
          <w:rStyle w:val="Arial11"/>
        </w:rPr>
        <w:t xml:space="preserve">	For the purpose presentation in the statement of cash flows, cash and cash 	equivalents include deposits with financial institutions which are subject to an 	insignificant risk of change</w:t>
      </w:r>
    </w:p>
    <w:p>
      <w:pPr>
        <w:numPr>
          <w:ilvl w:val="3"/>
          <w:numId w:val="6"/>
        </w:numPr>
      </w:pPr>
      <w:r>
        <w:rPr>
          <w:rStyle w:val="Arial11"/>
        </w:rPr>
        <w:t xml:space="preserve">	Cash and cash equivalents</w:t>
      </w:r>
    </w:p>
    <w:p>
      <w:pPr>
        <w:pStyle w:val="justifiedParagraph"/>
      </w:pPr>
      <w:r>
        <w:rPr>
          <w:rStyle w:val="Arial11"/>
        </w:rPr>
        <w:t xml:space="preserve">	Dividends to the Company’s shareholders are recognized when the dividends are 	approved for payment.</w:t>
      </w:r>
    </w:p>
    <w:p>
      <w:pPr>
        <w:numPr>
          <w:ilvl w:val="3"/>
          <w:numId w:val="6"/>
        </w:numPr>
      </w:pPr>
      <w:r>
        <w:rPr>
          <w:rStyle w:val="Arial11"/>
        </w:rPr>
        <w:t xml:space="preserve">	Currency translation</w:t>
      </w:r>
    </w:p>
    <w:p>
      <w:pPr>
        <w:numPr>
          <w:ilvl w:val="6"/>
          <w:numId w:val="8"/>
        </w:numPr>
      </w:pPr>
      <w:r>
        <w:rPr>
          <w:rStyle w:val="Arial11"/>
        </w:rPr>
        <w:t xml:space="preserve">Functional and presentation currency</w:t>
      </w:r>
    </w:p>
    <w:p>
      <w:pPr>
        <w:pStyle w:val="justifiedParagraph"/>
      </w:pPr>
      <w:r>
        <w:rPr>
          <w:rStyle w:val="Arial11"/>
        </w:rPr>
        <w:t xml:space="preserve">	Items included in the financial statements of the Company are measured using the 	currency of the primary economic environment in which the Company operates (‘the 	functional currency’).The financial statements are presented in Singapore Dollar, 	which is the Company’s functional and presentation currency</w:t>
      </w:r>
    </w:p>
    <w:p>
      <w:pPr>
        <w:sectPr>
          <w:pgSz w:orient="portrait" w:w="11905.511811024" w:h="16837.795275591"/>
          <w:pgMar w:top="1440" w:right="1440" w:bottom="1440" w:left="1440" w:header="720" w:footer="720" w:gutter="0"/>
          <w:cols w:num="1" w:space="720"/>
        </w:sectPr>
      </w:pPr>
    </w:p>
    <w:p>
      <w:pPr>
        <w:numPr>
          <w:ilvl w:val="8"/>
          <w:numId w:val="7"/>
        </w:numPr>
      </w:pPr>
      <w:r>
        <w:rPr>
          <w:rStyle w:val="Arial11"/>
        </w:rPr>
        <w:t xml:space="preserve">	Summary of significant accounting policies</w:t>
      </w:r>
    </w:p>
    <w:p>
      <w:pPr>
        <w:numPr>
          <w:ilvl w:val="6"/>
          <w:numId w:val="6"/>
        </w:numPr>
      </w:pPr>
      <w:r>
        <w:rPr>
          <w:rStyle w:val="Arial11"/>
        </w:rPr>
        <w:t xml:space="preserve">	Currency translation (Cont’d)</w:t>
      </w:r>
    </w:p>
    <w:p>
      <w:pPr>
        <w:pStyle w:val="justifiedParagraph"/>
        <w:numPr>
          <w:ilvl w:val="2"/>
          <w:numId w:val="6"/>
        </w:numPr>
      </w:pPr>
      <w:r>
        <w:rPr>
          <w:rStyle w:val="Arial11"/>
        </w:rPr>
        <w:t xml:space="preserve">Currency translation (Cont’d)</w:t>
      </w:r>
    </w:p>
    <w:p>
      <w:pPr>
        <w:numPr>
          <w:ilvl w:val="6"/>
          <w:numId w:val="8"/>
        </w:numPr>
      </w:pPr>
      <w:r>
        <w:rPr>
          <w:rStyle w:val="Arial11"/>
        </w:rPr>
        <w:t xml:space="preserve">Transactions and balances</w:t>
      </w:r>
    </w:p>
    <w:p>
      <w:pPr>
        <w:pStyle w:val="justifiedParagraph"/>
      </w:pPr>
      <w:r>
        <w:rPr>
          <w:rStyle w:val="Arial11"/>
        </w:rPr>
        <w:t xml:space="preserve">	Transactions in a currency other than the functional currency (“foreign currency”) are 	translated into the functional currency using the exchange rates at the dates of the 	transactions.Currency translation differences from the settlement of such transactions 	and from the translation of monetary assets and liabilities denominated in foreign 	currencies at the closing rates at the end of financial reporting date are recognised in 	the profit or loss, unless they arise from borrowings in foreign currencies, other 	currency instruments designated and qualifying as net investment hedges and net 	investment in foreign operations. Those currency translation differences are 	recognised in the currency translation reserve in the financial statements and 	transferred to profit or loss as part of the gain or loss on disposal of the foreign 	operation.</w:t>
      </w:r>
    </w:p>
    <w:p>
      <w:pPr>
        <w:numPr>
          <w:ilvl w:val="3"/>
          <w:numId w:val="6"/>
        </w:numPr>
      </w:pPr>
      <w:r>
        <w:rPr>
          <w:rStyle w:val="Arial11"/>
        </w:rPr>
        <w:t xml:space="preserve">	Share capital </w:t>
      </w:r>
    </w:p>
    <w:p>
      <w:pPr>
        <w:pStyle w:val="justifiedParagraph"/>
      </w:pPr>
      <w:r>
        <w:rPr>
          <w:rStyle w:val="Arial11"/>
        </w:rPr>
        <w:t xml:space="preserve">	Ordinary shares are classified as equity. Incremental costs directly attributable to the 	issuance of new ordinary shares are deducted against the share capital account.</w:t>
      </w:r>
    </w:p>
    <w:p>
      <w:pPr>
        <w:numPr>
          <w:ilvl w:val="0"/>
          <w:numId w:val="7"/>
        </w:numPr>
      </w:pPr>
      <w:r>
        <w:rPr>
          <w:rStyle w:val="Arial11"/>
        </w:rPr>
        <w:t xml:space="preserve">	CRITICAL ACCOUNTING ESTIMATES, ASSUMPTIONS AND JUDGEMENTS</w:t>
      </w:r>
    </w:p>
    <w:p>
      <w:pPr>
        <w:pStyle w:val="justifiedParagraph"/>
      </w:pPr>
      <w:r>
        <w:rPr>
          <w:rStyle w:val="Arial11"/>
        </w:rPr>
        <w:t xml:space="preserve">	Estimates, assumptions and judgements are continually evaluated and are based on 	historical experience and other factors, including expectations of future events that 	are believed to be reasonable under the circumstances.</w:t>
      </w:r>
    </w:p>
    <w:p>
      <w:pPr>
        <w:numPr>
          <w:ilvl w:val="5"/>
          <w:numId w:val="6"/>
        </w:numPr>
      </w:pPr>
      <w:r>
        <w:rPr>
          <w:rStyle w:val="Arial11"/>
        </w:rPr>
        <w:t xml:space="preserve">	Critical accounting estimates and assumptions</w:t>
      </w:r>
    </w:p>
    <w:p>
      <w:pPr>
        <w:pStyle w:val="justifiedParagraph"/>
      </w:pPr>
      <w:r>
        <w:rPr>
          <w:rStyle w:val="Arial11"/>
        </w:rPr>
        <w:t xml:space="preserve">	During the financial year, the management did not make any critical estimates and 	assumptions that had a significant effect on the amounts recognised in the financial 	statements</w:t>
      </w:r>
    </w:p>
    <w:p>
      <w:pPr>
        <w:numPr>
          <w:ilvl w:val="5"/>
          <w:numId w:val="6"/>
        </w:numPr>
      </w:pPr>
      <w:r>
        <w:rPr>
          <w:rStyle w:val="Arial11"/>
        </w:rPr>
        <w:t xml:space="preserve">	Critical judgements in applying the Company’s accounting policies</w:t>
      </w:r>
    </w:p>
    <w:p>
      <w:pPr>
        <w:pStyle w:val="justifiedParagraph"/>
      </w:pPr>
      <w:r>
        <w:rPr>
          <w:rStyle w:val="Arial11"/>
        </w:rPr>
        <w:t xml:space="preserve">	In the process of applying the Company’s accounting policies, the directors are of the 	opinion that there is no application of critical judgement on the amounts recognised in 	the financial statements.</w:t>
      </w:r>
    </w:p>
    <w:p>
      <w:pPr>
        <w:sectPr>
          <w:pgSz w:orient="portrait" w:w="11905.511811024" w:h="16837.795275591"/>
          <w:pgMar w:top="1440" w:right="1440" w:bottom="1440" w:left="1440" w:header="720" w:footer="720" w:gutter="0"/>
          <w:cols w:num="1" w:space="720"/>
        </w:sectPr>
      </w:pPr>
    </w:p>
    <w:tbl>
      <w:tblGrid>
        <w:gridCol w:w="7000" w:type="dxa"/>
        <w:gridCol w:w="1750" w:type="dxa"/>
        <w:gridCol w:w="1750" w:type="dxa"/>
      </w:tblGrid>
      <w:tr>
        <w:trPr/>
        <w:tc>
          <w:tcPr>
            <w:tcW w:w="7000" w:type="dxa"/>
          </w:tcPr>
          <w:p>
            <w:pPr>
              <w:numPr>
                <w:ilvl w:val="0"/>
                <w:numId w:val="7"/>
              </w:numPr>
            </w:pPr>
            <w:r>
              <w:rPr/>
              <w:t xml:space="preserve">BORROWINGS</w:t>
            </w:r>
          </w:p>
        </w:tc>
      </w:tr>
      <w:tr>
        <w:trPr/>
        <w:tc>
          <w:tcPr>
            <w:tcW w:w="7000" w:type="dxa"/>
          </w:tcP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7000" w:type="dxa"/>
          </w:tcPr>
          <w:p>
            <w:pPr/>
            <w:r>
              <w:rPr/>
              <w:t xml:space="preserve">As at beginning of financial year</w:t>
            </w:r>
          </w:p>
        </w:tc>
        <w:tc>
          <w:tcPr>
            <w:tcW w:w="1750" w:type="dxa"/>
          </w:tcPr>
          <w:p>
            <w:pPr>
              <w:jc w:val="center"/>
              <w:spacing w:after="0"/>
            </w:pPr>
            <w:r>
              <w:rPr>
                <w:rStyle w:val="Arial11"/>
              </w:rPr>
              <w:t xml:space="preserve">-</w:t>
            </w:r>
          </w:p>
        </w:tc>
      </w:tr>
      <w:tr>
        <w:trPr/>
        <w:tc>
          <w:tcPr>
            <w:tcW w:w="7000" w:type="dxa"/>
          </w:tcPr>
          <w:p>
            <w:pPr/>
            <w:r>
              <w:rPr/>
              <w:t xml:space="preserve">Proceeds From Borrowings</w:t>
            </w:r>
          </w:p>
        </w:tc>
        <w:tc>
          <w:tcPr>
            <w:tcW w:w="1750" w:type="dxa"/>
          </w:tcPr>
          <w:p>
            <w:pPr>
              <w:jc w:val="center"/>
              <w:spacing w:after="0"/>
            </w:pPr>
            <w:r>
              <w:rPr>
                <w:rStyle w:val="Arial11"/>
              </w:rPr>
              <w:t xml:space="preserve">80,942</w:t>
            </w:r>
          </w:p>
        </w:tc>
        <w:tc>
          <w:tcPr>
            <w:tcW w:w="1750" w:type="dxa"/>
          </w:tcPr>
          <w:p>
            <w:pPr>
              <w:jc w:val="center"/>
              <w:spacing w:after="0"/>
            </w:pPr>
            <w:r>
              <w:rPr>
                <w:rStyle w:val="Arial11"/>
              </w:rPr>
              <w:t xml:space="preserve">-</w:t>
            </w:r>
          </w:p>
        </w:tc>
      </w:tr>
      <w:tr>
        <w:trPr/>
        <w:tc>
          <w:tcPr>
            <w:tcW w:w="7000" w:type="dxa"/>
          </w:tcPr>
          <w:p>
            <w:pPr/>
            <w:r>
              <w:rPr/>
              <w:t xml:space="preserve">(Less) Repayment Of Borrowings</w:t>
            </w:r>
          </w:p>
        </w:tc>
        <w:tc>
          <w:tcPr>
            <w:tcW w:w="1750" w:type="dxa"/>
          </w:tcPr>
          <w:p>
            <w:pPr>
              <w:jc w:val="center"/>
              <w:spacing w:after="0"/>
            </w:pPr>
            <w:r>
              <w:rPr>
                <w:rStyle w:val="Arial11"/>
              </w:rPr>
              <w:t xml:space="preserve">(4,529)</w:t>
            </w:r>
          </w:p>
        </w:tc>
        <w:tc>
          <w:tcPr>
            <w:tcW w:w="1750" w:type="dxa"/>
          </w:tcPr>
          <w:p>
            <w:pPr>
              <w:jc w:val="center"/>
              <w:spacing w:after="0"/>
            </w:pPr>
            <w:r>
              <w:rPr>
                <w:rStyle w:val="Arial11"/>
              </w:rPr>
              <w:t xml:space="preserve">-</w:t>
            </w:r>
          </w:p>
        </w:tc>
      </w:tr>
      <w:tr>
        <w:trPr/>
        <w:tc>
          <w:tcPr>
            <w:tcW w:w="7000" w:type="dxa"/>
          </w:tcPr>
          <w:p>
            <w:pPr/>
            <w:r>
              <w:rPr/>
              <w:t xml:space="preserve">As at end of financial year</w:t>
            </w:r>
          </w:p>
        </w:tc>
        <w:tc>
          <w:tcPr>
            <w:tcW w:w="1750" w:type="dxa"/>
            <w:tcBorders>
              <w:top w:val="single" w:sz="1" w:color="#000000"/>
              <w:bottom w:val="single" w:sz="18" w:color="#000000"/>
            </w:tcBorders>
          </w:tcPr>
          <w:p>
            <w:pPr>
              <w:jc w:val="center"/>
              <w:spacing w:after="0"/>
            </w:pPr>
            <w:r>
              <w:rPr>
                <w:rStyle w:val="Arial11"/>
              </w:rPr>
              <w:t xml:space="preserve">76,413</w:t>
            </w:r>
          </w:p>
        </w:tc>
        <w:tc>
          <w:tcPr>
            <w:tcW w:w="1750" w:type="dxa"/>
            <w:tcBorders>
              <w:top w:val="single" w:sz="1" w:color="#000000"/>
              <w:bottom w:val="single" w:sz="18" w:color="#000000"/>
            </w:tcBorders>
          </w:tcPr>
          <w:p>
            <w:pPr>
              <w:jc w:val="center"/>
              <w:spacing w:after="0"/>
            </w:pPr>
            <w:r>
              <w:rPr>
                <w:rStyle w:val="Arial11"/>
              </w:rPr>
              <w:t xml:space="preserve">191</w:t>
            </w:r>
          </w:p>
        </w:tc>
      </w:tr>
      <w:tr>
        <w:trPr/>
        <w:tc>
          <w:tcPr>
            <w:tcW w:w="7000" w:type="dxa"/>
          </w:tcPr>
          <w:p/>
        </w:tc>
      </w:tr>
      <w:tr>
        <w:trPr/>
        <w:tc>
          <w:tcPr>
            <w:tcW w:w="7000" w:type="dxa"/>
          </w:tcPr>
          <w:p>
            <w:pPr/>
            <w:r>
              <w:rPr/>
              <w:t xml:space="preserve">Current</w:t>
            </w:r>
          </w:p>
        </w:tc>
        <w:tc>
          <w:tcPr>
            <w:tcW w:w="1750" w:type="dxa"/>
          </w:tcPr>
          <w:p>
            <w:pPr>
              <w:jc w:val="center"/>
              <w:spacing w:after="0"/>
            </w:pPr>
            <w:r>
              <w:rPr>
                <w:rStyle w:val="Arial11"/>
              </w:rPr>
              <w:t xml:space="preserve">25,471</w:t>
            </w:r>
          </w:p>
        </w:tc>
        <w:tc>
          <w:tcPr>
            <w:tcW w:w="1750" w:type="dxa"/>
          </w:tcPr>
          <w:p>
            <w:pPr>
              <w:jc w:val="center"/>
              <w:spacing w:after="0"/>
            </w:pPr>
            <w:r>
              <w:rPr>
                <w:rStyle w:val="Arial11"/>
              </w:rPr>
              <w:t xml:space="preserve">-</w:t>
            </w:r>
          </w:p>
        </w:tc>
      </w:tr>
      <w:tr>
        <w:trPr/>
        <w:tc>
          <w:tcPr>
            <w:tcW w:w="7000" w:type="dxa"/>
          </w:tcPr>
          <w:p>
            <w:pPr/>
            <w:r>
              <w:rPr/>
              <w:t xml:space="preserve">Non-current</w:t>
            </w:r>
          </w:p>
        </w:tc>
        <w:tc>
          <w:tcPr>
            <w:tcW w:w="1750" w:type="dxa"/>
          </w:tcPr>
          <w:p>
            <w:pPr>
              <w:jc w:val="center"/>
              <w:spacing w:after="0"/>
            </w:pPr>
            <w:r>
              <w:rPr>
                <w:rStyle w:val="Arial11"/>
              </w:rPr>
              <w:t xml:space="preserve">50,942</w:t>
            </w:r>
          </w:p>
        </w:tc>
        <w:tc>
          <w:tcPr>
            <w:tcW w:w="1750" w:type="dxa"/>
          </w:tcPr>
          <w:p>
            <w:pPr>
              <w:jc w:val="center"/>
              <w:spacing w:after="0"/>
            </w:pPr>
            <w:r>
              <w:rPr>
                <w:rStyle w:val="Arial11"/>
              </w:rPr>
              <w:t xml:space="preserve">-</w:t>
            </w:r>
          </w:p>
        </w:tc>
      </w:tr>
      <w:tr>
        <w:trPr/>
        <w:tc>
          <w:tcPr>
            <w:tcW w:w="7000" w:type="dxa"/>
          </w:tcPr>
          <w:p/>
        </w:tc>
        <w:tc>
          <w:tcPr>
            <w:tcW w:w="1750" w:type="dxa"/>
            <w:tcBorders>
              <w:top w:val="single" w:sz="1" w:color="#000000"/>
              <w:bottom w:val="single" w:sz="18" w:color="#000000"/>
            </w:tcBorders>
          </w:tcPr>
          <w:p>
            <w:pPr>
              <w:jc w:val="center"/>
              <w:spacing w:after="0"/>
            </w:pPr>
            <w:r>
              <w:rPr>
                <w:rStyle w:val="Arial11"/>
              </w:rPr>
              <w:t xml:space="preserve">76,413</w:t>
            </w:r>
          </w:p>
        </w:tc>
        <w:tc>
          <w:tcPr>
            <w:tcW w:w="1750" w:type="dxa"/>
            <w:tcBorders>
              <w:top w:val="single" w:sz="1" w:color="#000000"/>
              <w:bottom w:val="single" w:sz="18" w:color="#000000"/>
            </w:tcBorders>
          </w:tcPr>
          <w:p>
            <w:pPr>
              <w:jc w:val="center"/>
              <w:spacing w:after="0"/>
            </w:pPr>
            <w:r>
              <w:rPr>
                <w:rStyle w:val="Arial11"/>
              </w:rPr>
              <w:t xml:space="preserve">191</w:t>
            </w:r>
          </w:p>
        </w:tc>
      </w:tr>
      <w:tr>
        <w:trPr/>
        <w:tc>
          <w:tcPr>
            <w:tcW w:w="7000" w:type="dxa"/>
          </w:tcPr>
          <w:p/>
        </w:tc>
      </w:tr>
    </w:tbl>
    <w:p>
      <w:pPr>
        <w:sectPr>
          <w:headerReference w:type="default" r:id="rId14"/>
          <w:pgSz w:orient="portrait" w:w="11905.511811024" w:h="16837.795275591"/>
          <w:pgMar w:top="1440" w:right="1440" w:bottom="1440" w:left="1440" w:header="720" w:footer="720" w:gutter="0"/>
          <w:cols w:num="1" w:space="720"/>
        </w:sectPr>
      </w:pPr>
    </w:p>
    <w:tbl>
      <w:tblGrid>
        <w:gridCol w:w="7000" w:type="dxa"/>
        <w:gridCol w:w="1750" w:type="dxa"/>
        <w:gridCol w:w="1750" w:type="dxa"/>
        <w:gridCol w:w="1750" w:type="dxa"/>
        <w:gridCol w:w="1750" w:type="dxa"/>
      </w:tblGrid>
      <w:tr>
        <w:trPr/>
        <w:tc>
          <w:tcPr>
            <w:tcW w:w="7000" w:type="dxa"/>
          </w:tcPr>
          <w:p>
            <w:pPr>
              <w:numPr>
                <w:ilvl w:val="0"/>
                <w:numId w:val="7"/>
              </w:numPr>
            </w:pPr>
            <w:r>
              <w:rPr/>
              <w:t xml:space="preserve">SHARE CAPITAL</w:t>
            </w:r>
          </w:p>
        </w:tc>
      </w:tr>
      <w:tr>
        <w:trPr/>
        <w:tc>
          <w:tcPr>
            <w:tcW w:w="7000" w:type="dxa"/>
          </w:tcPr>
          <w:p/>
        </w:tc>
        <w:tc>
          <w:tcPr>
            <w:tcW w:w="1750" w:type="dxa"/>
          </w:tcPr>
          <w:p>
            <w:pPr>
              <w:jc w:val="center"/>
              <w:spacing w:after="0"/>
            </w:pPr>
            <w:r>
              <w:rPr>
                <w:rStyle w:val="Arial11"/>
              </w:rPr>
              <w:t xml:space="preserve">Number of ordinary shares</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Number of ordinary shares</w:t>
            </w:r>
          </w:p>
        </w:tc>
        <w:tc>
          <w:tcPr>
            <w:tcW w:w="1750" w:type="dxa"/>
          </w:tcPr>
          <w:p>
            <w:pPr>
              <w:jc w:val="center"/>
              <w:spacing w:after="0"/>
            </w:pPr>
            <w:r>
              <w:rPr>
                <w:rStyle w:val="Arial11"/>
              </w:rPr>
              <w:t xml:space="preserve">$</w:t>
            </w:r>
          </w:p>
        </w:tc>
      </w:tr>
      <w:tr>
        <w:trPr/>
        <w:tc>
          <w:tcPr>
            <w:tcW w:w="7000" w:type="dxa"/>
          </w:tcPr>
          <w:p>
            <w:pPr/>
            <w:r>
              <w:rPr/>
              <w:t xml:space="preserve">Issued and fully paid:</w:t>
            </w:r>
          </w:p>
        </w:tc>
      </w:tr>
      <w:tr>
        <w:trPr/>
        <w:tc>
          <w:tcPr>
            <w:tcW w:w="7000" w:type="dxa"/>
          </w:tcPr>
          <w:p>
            <w:pPr/>
            <w:r>
              <w:rPr/>
              <w:t xml:space="preserve">At beginning of financial year</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65,000</w:t>
            </w:r>
          </w:p>
        </w:tc>
      </w:tr>
      <w:tr>
        <w:trPr/>
        <w:tc>
          <w:tcPr>
            <w:tcW w:w="7000" w:type="dxa"/>
          </w:tcPr>
          <w:p>
            <w:pPr/>
            <w:r>
              <w:rPr/>
              <w:t xml:space="preserve">Issuance of ordinary shares</w:t>
            </w:r>
          </w:p>
        </w:tc>
        <w:tc>
          <w:tcPr>
            <w:tcW w:w="1750" w:type="dxa"/>
          </w:tcPr>
          <w:p>
            <w:pPr>
              <w:jc w:val="center"/>
              <w:spacing w:after="0"/>
            </w:pPr>
            <w:r>
              <w:rPr>
                <w:rStyle w:val="Arial11"/>
              </w:rPr>
              <w:t xml:space="preserve">435,000</w:t>
            </w:r>
          </w:p>
        </w:tc>
        <w:tc>
          <w:tcPr>
            <w:tcW w:w="1750" w:type="dxa"/>
          </w:tcPr>
          <w:p>
            <w:pPr>
              <w:jc w:val="center"/>
              <w:spacing w:after="0"/>
            </w:pPr>
            <w:r>
              <w:rPr>
                <w:rStyle w:val="Arial11"/>
              </w:rPr>
              <w:t xml:space="preserve">435,000</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At end of financial year/period</w:t>
            </w:r>
          </w:p>
        </w:tc>
        <w:tc>
          <w:tcPr>
            <w:tcW w:w="1750" w:type="dxa"/>
            <w:tcBorders>
              <w:top w:val="single" w:sz="1" w:color="#000000"/>
              <w:bottom w:val="single" w:sz="18" w:color="#000000"/>
            </w:tcBorders>
          </w:tcPr>
          <w:p>
            <w:pPr>
              <w:jc w:val="center"/>
              <w:spacing w:after="0"/>
            </w:pPr>
            <w:r>
              <w:rPr>
                <w:rStyle w:val="Arial11"/>
              </w:rPr>
              <w:t xml:space="preserve">500,000</w:t>
            </w:r>
          </w:p>
        </w:tc>
        <w:tc>
          <w:tcPr>
            <w:tcW w:w="1750" w:type="dxa"/>
            <w:tcBorders>
              <w:top w:val="single" w:sz="1" w:color="#000000"/>
              <w:bottom w:val="single" w:sz="18" w:color="#000000"/>
            </w:tcBorders>
          </w:tcPr>
          <w:p>
            <w:pPr>
              <w:jc w:val="center"/>
              <w:spacing w:after="0"/>
            </w:pPr>
            <w:r>
              <w:rPr>
                <w:rStyle w:val="Arial11"/>
              </w:rPr>
              <w:t xml:space="preserve">500,000</w:t>
            </w:r>
          </w:p>
        </w:tc>
        <w:tc>
          <w:tcPr>
            <w:tcW w:w="1750" w:type="dxa"/>
            <w:tcBorders>
              <w:top w:val="single" w:sz="1" w:color="#000000"/>
              <w:bottom w:val="single" w:sz="18" w:color="#000000"/>
            </w:tcBorders>
          </w:tcPr>
          <w:p>
            <w:pPr>
              <w:jc w:val="center"/>
              <w:spacing w:after="0"/>
            </w:pPr>
            <w:r>
              <w:rPr>
                <w:rStyle w:val="Arial11"/>
              </w:rPr>
              <w:t xml:space="preserve">65,000</w:t>
            </w:r>
          </w:p>
        </w:tc>
        <w:tc>
          <w:tcPr>
            <w:tcW w:w="1750" w:type="dxa"/>
            <w:tcBorders>
              <w:top w:val="single" w:sz="1" w:color="#000000"/>
              <w:bottom w:val="single" w:sz="18" w:color="#000000"/>
            </w:tcBorders>
          </w:tcPr>
          <w:p>
            <w:pPr>
              <w:jc w:val="center"/>
              <w:spacing w:after="0"/>
            </w:pPr>
            <w:r>
              <w:rPr>
                <w:rStyle w:val="Arial11"/>
              </w:rPr>
              <w:t xml:space="preserve">65,000</w:t>
            </w:r>
          </w:p>
        </w:tc>
      </w:tr>
      <w:tr>
        <w:trPr/>
        <w:tc>
          <w:tcPr>
            <w:tcW w:w="7000" w:type="dxa"/>
          </w:tcPr>
          <w:p/>
        </w:tc>
      </w:tr>
      <w:tr>
        <w:trPr/>
        <w:tc>
          <w:tcPr>
            <w:tcW w:w="8750" w:type="dxa"/>
            <w:gridSpan w:val="5"/>
          </w:tcPr>
          <w:p>
            <w:pPr/>
            <w:r>
              <w:rPr>
                <w:rStyle w:val="justifiedParagraph"/>
              </w:rPr>
              <w:t xml:space="preserve">All issued ordinary shares are fully paid. The newly issued shares rank pari passu in all respects with the previously issued shares. There is no par value for the ordinary share. The holder of the ordinary share is entitled to receive dividends as end when declared by the Company.</w:t>
            </w:r>
          </w:p>
        </w:tc>
      </w:tr>
    </w:tbl>
    <w:p>
      <w:pPr>
        <w:sectPr>
          <w:pgSz w:orient="portrait" w:w="11905.511811024" w:h="16837.795275591"/>
          <w:pgMar w:top="1440" w:right="1440" w:bottom="1440" w:left="1440" w:header="720" w:footer="720" w:gutter="0"/>
          <w:cols w:num="1" w:space="720"/>
        </w:sectPr>
      </w:pPr>
    </w:p>
    <w:tbl>
      <w:tblGrid>
        <w:gridCol w:w="7000" w:type="dxa"/>
        <w:gridCol w:w="1750" w:type="dxa"/>
        <w:gridCol w:w="1750" w:type="dxa"/>
        <w:gridCol w:w="1750" w:type="dxa"/>
      </w:tblGrid>
      <w:tr>
        <w:trPr/>
        <w:tc>
          <w:tcPr>
            <w:tcW w:w="7000" w:type="dxa"/>
          </w:tcPr>
          <w:p>
            <w:pPr>
              <w:numPr>
                <w:ilvl w:val="0"/>
                <w:numId w:val="7"/>
              </w:numPr>
            </w:pPr>
            <w:r>
              <w:rPr/>
              <w:t xml:space="preserve">PLANT AND EQUIPMENT</w:t>
            </w:r>
          </w:p>
        </w:tc>
      </w:tr>
      <w:tr>
        <w:trPr/>
        <w:tc>
          <w:tcPr>
            <w:tcW w:w="7000" w:type="dxa"/>
          </w:tcPr>
          <w:p/>
        </w:tc>
        <w:tc>
          <w:tcPr>
            <w:tcW w:w="1750" w:type="dxa"/>
            <w:tcBorders>
              <w:bottom w:val="single" w:sz="1" w:color="000000"/>
            </w:tcBorders>
          </w:tcPr>
          <w:p>
            <w:pPr>
              <w:jc w:val="center"/>
              <w:spacing w:after="0"/>
            </w:pPr>
            <w:r>
              <w:rPr>
                <w:rStyle w:val="Arial11"/>
              </w:rPr>
              <w:t xml:space="preserve">Computer and Softwares</w:t>
            </w:r>
          </w:p>
        </w:tc>
        <w:tc>
          <w:tcPr>
            <w:tcW w:w="1750" w:type="dxa"/>
            <w:tcBorders>
              <w:bottom w:val="single" w:sz="1" w:color="000000"/>
            </w:tcBorders>
          </w:tcPr>
          <w:p>
            <w:pPr>
              <w:jc w:val="center"/>
              <w:spacing w:after="0"/>
            </w:pPr>
            <w:r>
              <w:rPr>
                <w:rStyle w:val="Arial11"/>
              </w:rPr>
              <w:t xml:space="preserve">Office equipment</w:t>
            </w:r>
          </w:p>
        </w:tc>
        <w:tc>
          <w:tcPr>
            <w:tcW w:w="1750" w:type="dxa"/>
            <w:tcBorders>
              <w:bottom w:val="single" w:sz="1" w:color="000000"/>
            </w:tcBorders>
          </w:tcPr>
          <w:p>
            <w:pPr>
              <w:jc w:val="center"/>
              <w:spacing w:after="0"/>
            </w:pPr>
            <w:r>
              <w:rPr>
                <w:rStyle w:val="Arial11"/>
              </w:rPr>
              <w:t xml:space="preserve">Total</w:t>
            </w:r>
          </w:p>
        </w:tc>
      </w:tr>
      <w:tr>
        <w:trPr/>
        <w:tc>
          <w:tcPr>
            <w:tcW w:w="7000" w:type="dxa"/>
          </w:tcP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rStyle w:val="ArialBlack11"/>
              </w:rPr>
              <w:t xml:space="preserve">Cost: </w:t>
            </w:r>
          </w:p>
        </w:tc>
      </w:tr>
      <w:tr>
        <w:trPr/>
        <w:tc>
          <w:tcPr>
            <w:tcW w:w="7000" w:type="dxa"/>
          </w:tcPr>
          <w:p>
            <w:pPr/>
            <w:r>
              <w:rPr/>
              <w:t xml:space="preserve">As as 1 July 2014</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Additions</w:t>
            </w:r>
          </w:p>
        </w:tc>
        <w:tc>
          <w:tcPr>
            <w:tcW w:w="1750" w:type="dxa"/>
            <w:tcBorders>
              <w:bottom w:val="single" w:sz="1" w:color="000000"/>
            </w:tcBorders>
          </w:tcPr>
          <w:p>
            <w:pPr>
              <w:jc w:val="center"/>
              <w:spacing w:after="0"/>
            </w:pPr>
            <w:r>
              <w:rPr>
                <w:rStyle w:val="Arial11"/>
              </w:rPr>
              <w:t xml:space="preserve">7,607</w:t>
            </w:r>
          </w:p>
        </w:tc>
        <w:tc>
          <w:tcPr>
            <w:tcW w:w="1750" w:type="dxa"/>
            <w:tcBorders>
              <w:bottom w:val="single" w:sz="1" w:color="000000"/>
            </w:tcBorders>
          </w:tcPr>
          <w:p>
            <w:pPr>
              <w:jc w:val="center"/>
              <w:spacing w:after="0"/>
            </w:pPr>
            <w:r>
              <w:rPr>
                <w:rStyle w:val="Arial11"/>
              </w:rPr>
              <w:t xml:space="preserve">1,368</w:t>
            </w:r>
          </w:p>
        </w:tc>
        <w:tc>
          <w:tcPr>
            <w:tcW w:w="1750" w:type="dxa"/>
            <w:tcBorders>
              <w:bottom w:val="single" w:sz="1" w:color="000000"/>
            </w:tcBorders>
          </w:tcPr>
          <w:p>
            <w:pPr>
              <w:jc w:val="center"/>
              <w:spacing w:after="0"/>
            </w:pPr>
            <w:r>
              <w:rPr>
                <w:rStyle w:val="Arial11"/>
              </w:rPr>
              <w:t xml:space="preserve">8,975</w:t>
            </w:r>
          </w:p>
        </w:tc>
      </w:tr>
      <w:tr>
        <w:trPr/>
        <w:tc>
          <w:tcPr>
            <w:tcW w:w="7000" w:type="dxa"/>
          </w:tcPr>
          <w:p>
            <w:pPr/>
            <w:r>
              <w:rPr/>
              <w:t xml:space="preserve">As at 31 December 2015</w:t>
            </w:r>
          </w:p>
        </w:tc>
        <w:tc>
          <w:tcPr>
            <w:tcW w:w="1750" w:type="dxa"/>
          </w:tcPr>
          <w:p>
            <w:pPr>
              <w:jc w:val="center"/>
              <w:spacing w:after="0"/>
            </w:pPr>
            <w:r>
              <w:rPr>
                <w:rStyle w:val="Arial11"/>
              </w:rPr>
              <w:t xml:space="preserve">7,607</w:t>
            </w:r>
          </w:p>
        </w:tc>
        <w:tc>
          <w:tcPr>
            <w:tcW w:w="1750" w:type="dxa"/>
          </w:tcPr>
          <w:p>
            <w:pPr>
              <w:jc w:val="center"/>
              <w:spacing w:after="0"/>
            </w:pPr>
            <w:r>
              <w:rPr>
                <w:rStyle w:val="Arial11"/>
              </w:rPr>
              <w:t xml:space="preserve">1,368</w:t>
            </w:r>
          </w:p>
        </w:tc>
        <w:tc>
          <w:tcPr>
            <w:tcW w:w="1750" w:type="dxa"/>
          </w:tcPr>
          <w:p>
            <w:pPr>
              <w:jc w:val="center"/>
              <w:spacing w:after="0"/>
            </w:pPr>
            <w:r>
              <w:rPr>
                <w:rStyle w:val="Arial11"/>
              </w:rPr>
              <w:t xml:space="preserve">8,975</w:t>
            </w:r>
          </w:p>
        </w:tc>
      </w:tr>
      <w:tr>
        <w:trPr/>
        <w:tc>
          <w:tcPr>
            <w:tcW w:w="7000" w:type="dxa"/>
          </w:tcPr>
          <w:p>
            <w:pPr/>
            <w:r>
              <w:rPr/>
              <w:t xml:space="preserve">Additions</w:t>
            </w:r>
          </w:p>
        </w:tc>
        <w:tc>
          <w:tcPr>
            <w:tcW w:w="1750" w:type="dxa"/>
            <w:tcBorders>
              <w:bottom w:val="single" w:sz="1" w:color="000000"/>
            </w:tcBorders>
          </w:tcPr>
          <w:p>
            <w:pPr>
              <w:jc w:val="center"/>
              <w:spacing w:after="0"/>
            </w:pPr>
            <w:r>
              <w:rPr>
                <w:rStyle w:val="Arial11"/>
              </w:rPr>
              <w:t xml:space="preserve">31,650</w:t>
            </w:r>
          </w:p>
        </w:tc>
        <w:tc>
          <w:tcPr>
            <w:tcW w:w="1750" w:type="dxa"/>
            <w:tcBorders>
              <w:bottom w:val="single" w:sz="1" w:color="000000"/>
            </w:tcBorders>
          </w:tcPr>
          <w:p>
            <w:pPr>
              <w:jc w:val="center"/>
              <w:spacing w:after="0"/>
            </w:pPr>
            <w:r>
              <w:rPr>
                <w:rStyle w:val="Arial11"/>
              </w:rPr>
              <w:t xml:space="preserve">1,440</w:t>
            </w:r>
          </w:p>
        </w:tc>
        <w:tc>
          <w:tcPr>
            <w:tcW w:w="1750" w:type="dxa"/>
            <w:tcBorders>
              <w:bottom w:val="single" w:sz="1" w:color="000000"/>
            </w:tcBorders>
          </w:tcPr>
          <w:p>
            <w:pPr>
              <w:jc w:val="center"/>
              <w:spacing w:after="0"/>
            </w:pPr>
            <w:r>
              <w:rPr>
                <w:rStyle w:val="Arial11"/>
              </w:rPr>
              <w:t xml:space="preserve">33,090</w:t>
            </w:r>
          </w:p>
        </w:tc>
      </w:tr>
      <w:tr>
        <w:trPr/>
        <w:tc>
          <w:tcPr>
            <w:tcW w:w="7000" w:type="dxa"/>
          </w:tcPr>
          <w:p>
            <w:pPr/>
            <w:r>
              <w:rPr/>
              <w:t xml:space="preserve">As at 31 December 2016</w:t>
            </w:r>
          </w:p>
        </w:tc>
        <w:tc>
          <w:tcPr>
            <w:tcW w:w="1750" w:type="dxa"/>
            <w:tcBorders>
              <w:top w:val="single" w:sz="1" w:color="#000000"/>
              <w:bottom w:val="single" w:sz="1" w:color="#000000"/>
            </w:tcBorders>
          </w:tcPr>
          <w:p>
            <w:pPr>
              <w:jc w:val="center"/>
              <w:spacing w:after="0"/>
            </w:pPr>
            <w:r>
              <w:rPr>
                <w:rStyle w:val="Arial11"/>
              </w:rPr>
              <w:t xml:space="preserve">39,257</w:t>
            </w:r>
          </w:p>
        </w:tc>
        <w:tc>
          <w:tcPr>
            <w:tcW w:w="1750" w:type="dxa"/>
            <w:tcBorders>
              <w:top w:val="single" w:sz="1" w:color="#000000"/>
              <w:bottom w:val="single" w:sz="1" w:color="#000000"/>
            </w:tcBorders>
          </w:tcPr>
          <w:p>
            <w:pPr>
              <w:jc w:val="center"/>
              <w:spacing w:after="0"/>
            </w:pPr>
            <w:r>
              <w:rPr>
                <w:rStyle w:val="Arial11"/>
              </w:rPr>
              <w:t xml:space="preserve">2,808</w:t>
            </w:r>
          </w:p>
        </w:tc>
        <w:tc>
          <w:tcPr>
            <w:tcW w:w="1750" w:type="dxa"/>
            <w:tcBorders>
              <w:top w:val="single" w:sz="1" w:color="#000000"/>
              <w:bottom w:val="single" w:sz="1" w:color="#000000"/>
            </w:tcBorders>
          </w:tcPr>
          <w:p>
            <w:pPr>
              <w:jc w:val="center"/>
              <w:spacing w:after="0"/>
            </w:pPr>
            <w:r>
              <w:rPr>
                <w:rStyle w:val="Arial11"/>
              </w:rPr>
              <w:t xml:space="preserve">42,065</w:t>
            </w:r>
          </w:p>
        </w:tc>
      </w:tr>
      <w:tr>
        <w:trPr/>
        <w:tc>
          <w:tcPr>
            <w:tcW w:w="7000" w:type="dxa"/>
          </w:tcPr>
          <w:p/>
        </w:tc>
      </w:tr>
      <w:tr>
        <w:trPr/>
        <w:tc>
          <w:tcPr>
            <w:tcW w:w="7000" w:type="dxa"/>
          </w:tcPr>
          <w:p>
            <w:pPr/>
            <w:r>
              <w:rPr>
                <w:rStyle w:val="ArialBlack11"/>
              </w:rPr>
              <w:t xml:space="preserve">Accumulated depreciation: </w:t>
            </w:r>
          </w:p>
        </w:tc>
      </w:tr>
      <w:tr>
        <w:trPr/>
        <w:tc>
          <w:tcPr>
            <w:tcW w:w="7000" w:type="dxa"/>
          </w:tcPr>
          <w:p>
            <w:pPr/>
            <w:r>
              <w:rPr/>
              <w:t xml:space="preserve">As as 1 July 2014</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Charge for the financial period</w:t>
            </w:r>
          </w:p>
        </w:tc>
        <w:tc>
          <w:tcPr>
            <w:tcW w:w="1750" w:type="dxa"/>
            <w:tcBorders>
              <w:bottom w:val="single" w:sz="1" w:color="000000"/>
            </w:tcBorders>
          </w:tcPr>
          <w:p>
            <w:pPr>
              <w:jc w:val="center"/>
              <w:spacing w:after="0"/>
            </w:pPr>
            <w:r>
              <w:rPr>
                <w:rStyle w:val="Arial11"/>
              </w:rPr>
              <w:t xml:space="preserve">7,607</w:t>
            </w:r>
          </w:p>
        </w:tc>
        <w:tc>
          <w:tcPr>
            <w:tcW w:w="1750" w:type="dxa"/>
            <w:tcBorders>
              <w:bottom w:val="single" w:sz="1" w:color="000000"/>
            </w:tcBorders>
          </w:tcPr>
          <w:p>
            <w:pPr>
              <w:jc w:val="center"/>
              <w:spacing w:after="0"/>
            </w:pPr>
            <w:r>
              <w:rPr>
                <w:rStyle w:val="Arial11"/>
              </w:rPr>
              <w:t xml:space="preserve">456</w:t>
            </w:r>
          </w:p>
        </w:tc>
        <w:tc>
          <w:tcPr>
            <w:tcW w:w="1750" w:type="dxa"/>
            <w:tcBorders>
              <w:bottom w:val="single" w:sz="1" w:color="000000"/>
            </w:tcBorders>
          </w:tcPr>
          <w:p>
            <w:pPr>
              <w:jc w:val="center"/>
              <w:spacing w:after="0"/>
            </w:pPr>
            <w:r>
              <w:rPr>
                <w:rStyle w:val="Arial11"/>
              </w:rPr>
              <w:t xml:space="preserve">8,063</w:t>
            </w:r>
          </w:p>
        </w:tc>
      </w:tr>
      <w:tr>
        <w:trPr/>
        <w:tc>
          <w:tcPr>
            <w:tcW w:w="7000" w:type="dxa"/>
          </w:tcPr>
          <w:p>
            <w:pPr/>
            <w:r>
              <w:rPr/>
              <w:t xml:space="preserve">As at 31 December 2015</w:t>
            </w:r>
          </w:p>
        </w:tc>
        <w:tc>
          <w:tcPr>
            <w:tcW w:w="1750" w:type="dxa"/>
          </w:tcPr>
          <w:p>
            <w:pPr>
              <w:jc w:val="center"/>
              <w:spacing w:after="0"/>
            </w:pPr>
            <w:r>
              <w:rPr>
                <w:rStyle w:val="Arial11"/>
              </w:rPr>
              <w:t xml:space="preserve">7,607</w:t>
            </w:r>
          </w:p>
        </w:tc>
        <w:tc>
          <w:tcPr>
            <w:tcW w:w="1750" w:type="dxa"/>
          </w:tcPr>
          <w:p>
            <w:pPr>
              <w:jc w:val="center"/>
              <w:spacing w:after="0"/>
            </w:pPr>
            <w:r>
              <w:rPr>
                <w:rStyle w:val="Arial11"/>
              </w:rPr>
              <w:t xml:space="preserve">456</w:t>
            </w:r>
          </w:p>
        </w:tc>
        <w:tc>
          <w:tcPr>
            <w:tcW w:w="1750" w:type="dxa"/>
          </w:tcPr>
          <w:p>
            <w:pPr>
              <w:jc w:val="center"/>
              <w:spacing w:after="0"/>
            </w:pPr>
            <w:r>
              <w:rPr>
                <w:rStyle w:val="Arial11"/>
              </w:rPr>
              <w:t xml:space="preserve">8,063</w:t>
            </w:r>
          </w:p>
        </w:tc>
      </w:tr>
      <w:tr>
        <w:trPr/>
        <w:tc>
          <w:tcPr>
            <w:tcW w:w="7000" w:type="dxa"/>
          </w:tcPr>
          <w:p>
            <w:pPr/>
            <w:r>
              <w:rPr/>
              <w:t xml:space="preserve">Charge for the financial period</w:t>
            </w:r>
          </w:p>
        </w:tc>
        <w:tc>
          <w:tcPr>
            <w:tcW w:w="1750" w:type="dxa"/>
            <w:tcBorders>
              <w:bottom w:val="single" w:sz="1" w:color="000000"/>
            </w:tcBorders>
          </w:tcPr>
          <w:p>
            <w:pPr>
              <w:jc w:val="center"/>
              <w:spacing w:after="0"/>
            </w:pPr>
            <w:r>
              <w:rPr>
                <w:rStyle w:val="Arial11"/>
              </w:rPr>
              <w:t xml:space="preserve">2,078</w:t>
            </w:r>
          </w:p>
        </w:tc>
        <w:tc>
          <w:tcPr>
            <w:tcW w:w="1750" w:type="dxa"/>
            <w:tcBorders>
              <w:bottom w:val="single" w:sz="1" w:color="000000"/>
            </w:tcBorders>
          </w:tcPr>
          <w:p>
            <w:pPr>
              <w:jc w:val="center"/>
              <w:spacing w:after="0"/>
            </w:pPr>
            <w:r>
              <w:rPr>
                <w:rStyle w:val="Arial11"/>
              </w:rPr>
              <w:t xml:space="preserve">936</w:t>
            </w:r>
          </w:p>
        </w:tc>
        <w:tc>
          <w:tcPr>
            <w:tcW w:w="1750" w:type="dxa"/>
            <w:tcBorders>
              <w:bottom w:val="single" w:sz="1" w:color="000000"/>
            </w:tcBorders>
          </w:tcPr>
          <w:p>
            <w:pPr>
              <w:jc w:val="center"/>
              <w:spacing w:after="0"/>
            </w:pPr>
            <w:r>
              <w:rPr>
                <w:rStyle w:val="Arial11"/>
              </w:rPr>
              <w:t xml:space="preserve">3,014</w:t>
            </w:r>
          </w:p>
        </w:tc>
      </w:tr>
      <w:tr>
        <w:trPr/>
        <w:tc>
          <w:tcPr>
            <w:tcW w:w="7000" w:type="dxa"/>
          </w:tcPr>
          <w:p>
            <w:pPr/>
            <w:r>
              <w:rPr/>
              <w:t xml:space="preserve">As at 31 December 2016</w:t>
            </w:r>
          </w:p>
        </w:tc>
        <w:tc>
          <w:tcPr>
            <w:tcW w:w="1750" w:type="dxa"/>
            <w:tcBorders>
              <w:top w:val="single" w:sz="1" w:color="#000000"/>
              <w:bottom w:val="single" w:sz="1" w:color="#000000"/>
            </w:tcBorders>
          </w:tcPr>
          <w:p>
            <w:pPr>
              <w:jc w:val="center"/>
              <w:spacing w:after="0"/>
            </w:pPr>
            <w:r>
              <w:rPr>
                <w:rStyle w:val="Arial11"/>
              </w:rPr>
              <w:t xml:space="preserve">9,685</w:t>
            </w:r>
          </w:p>
        </w:tc>
        <w:tc>
          <w:tcPr>
            <w:tcW w:w="1750" w:type="dxa"/>
            <w:tcBorders>
              <w:top w:val="single" w:sz="1" w:color="#000000"/>
              <w:bottom w:val="single" w:sz="1" w:color="#000000"/>
            </w:tcBorders>
          </w:tcPr>
          <w:p>
            <w:pPr>
              <w:jc w:val="center"/>
              <w:spacing w:after="0"/>
            </w:pPr>
            <w:r>
              <w:rPr>
                <w:rStyle w:val="Arial11"/>
              </w:rPr>
              <w:t xml:space="preserve">1,392</w:t>
            </w:r>
          </w:p>
        </w:tc>
        <w:tc>
          <w:tcPr>
            <w:tcW w:w="1750" w:type="dxa"/>
            <w:tcBorders>
              <w:top w:val="single" w:sz="1" w:color="#000000"/>
              <w:bottom w:val="single" w:sz="1" w:color="#000000"/>
            </w:tcBorders>
          </w:tcPr>
          <w:p>
            <w:pPr>
              <w:jc w:val="center"/>
              <w:spacing w:after="0"/>
            </w:pPr>
            <w:r>
              <w:rPr>
                <w:rStyle w:val="Arial11"/>
              </w:rPr>
              <w:t xml:space="preserve">11,077</w:t>
            </w:r>
          </w:p>
        </w:tc>
      </w:tr>
      <w:tr>
        <w:trPr/>
        <w:tc>
          <w:tcPr>
            <w:tcW w:w="7000" w:type="dxa"/>
          </w:tcPr>
          <w:p/>
        </w:tc>
      </w:tr>
      <w:tr>
        <w:trPr/>
        <w:tc>
          <w:tcPr>
            <w:tcW w:w="7000" w:type="dxa"/>
          </w:tcPr>
          <w:p>
            <w:pPr/>
            <w:r>
              <w:rPr>
                <w:rStyle w:val="ArialBlack11"/>
              </w:rPr>
              <w:t xml:space="preserve">Net book value: </w:t>
            </w:r>
          </w:p>
        </w:tc>
      </w:tr>
      <w:tr>
        <w:trPr/>
        <w:tc>
          <w:tcPr>
            <w:tcW w:w="7000" w:type="dxa"/>
          </w:tcPr>
          <w:p>
            <w:pPr/>
            <w:r>
              <w:rPr/>
              <w:t xml:space="preserve">As at 31 December 2016</w:t>
            </w:r>
          </w:p>
        </w:tc>
        <w:tc>
          <w:tcPr>
            <w:tcW w:w="1750" w:type="dxa"/>
            <w:tcBorders>
              <w:bottom w:val="single" w:sz="18" w:color="000000"/>
            </w:tcBorders>
          </w:tcPr>
          <w:p>
            <w:pPr>
              <w:jc w:val="center"/>
              <w:spacing w:after="0"/>
            </w:pPr>
            <w:r>
              <w:rPr>
                <w:rStyle w:val="Arial11"/>
              </w:rPr>
              <w:t xml:space="preserve">29,572</w:t>
            </w:r>
          </w:p>
        </w:tc>
        <w:tc>
          <w:tcPr>
            <w:tcW w:w="1750" w:type="dxa"/>
            <w:tcBorders>
              <w:bottom w:val="single" w:sz="18" w:color="000000"/>
            </w:tcBorders>
          </w:tcPr>
          <w:p>
            <w:pPr>
              <w:jc w:val="center"/>
              <w:spacing w:after="0"/>
            </w:pPr>
            <w:r>
              <w:rPr>
                <w:rStyle w:val="Arial11"/>
              </w:rPr>
              <w:t xml:space="preserve">1,416</w:t>
            </w:r>
          </w:p>
        </w:tc>
        <w:tc>
          <w:tcPr>
            <w:tcW w:w="1750" w:type="dxa"/>
            <w:tcBorders>
              <w:bottom w:val="single" w:sz="18" w:color="000000"/>
            </w:tcBorders>
          </w:tcPr>
          <w:p>
            <w:pPr>
              <w:jc w:val="center"/>
              <w:spacing w:after="0"/>
            </w:pPr>
            <w:r>
              <w:rPr>
                <w:rStyle w:val="Arial11"/>
              </w:rPr>
              <w:t xml:space="preserve">30,988</w:t>
            </w:r>
          </w:p>
        </w:tc>
      </w:tr>
      <w:tr>
        <w:trPr/>
        <w:tc>
          <w:tcPr>
            <w:tcW w:w="7000" w:type="dxa"/>
          </w:tcPr>
          <w:p>
            <w:pPr/>
            <w:r>
              <w:rPr/>
              <w:t xml:space="preserve">As at 31 December 2015</w:t>
            </w:r>
          </w:p>
        </w:tc>
        <w:tc>
          <w:tcPr>
            <w:tcW w:w="1750" w:type="dxa"/>
            <w:tcBorders>
              <w:bottom w:val="single" w:sz="18" w:color="000000"/>
            </w:tcBorders>
          </w:tcPr>
          <w:p>
            <w:pPr>
              <w:jc w:val="center"/>
              <w:spacing w:after="0"/>
            </w:pPr>
            <w:r>
              <w:rPr>
                <w:rStyle w:val="Arial11"/>
              </w:rPr>
              <w:t xml:space="preserve">-</w:t>
            </w:r>
          </w:p>
        </w:tc>
        <w:tc>
          <w:tcPr>
            <w:tcW w:w="1750" w:type="dxa"/>
            <w:tcBorders>
              <w:bottom w:val="single" w:sz="18" w:color="000000"/>
            </w:tcBorders>
          </w:tcPr>
          <w:p>
            <w:pPr>
              <w:jc w:val="center"/>
              <w:spacing w:after="0"/>
            </w:pPr>
            <w:r>
              <w:rPr>
                <w:rStyle w:val="Arial11"/>
              </w:rPr>
              <w:t xml:space="preserve">912</w:t>
            </w:r>
          </w:p>
        </w:tc>
        <w:tc>
          <w:tcPr>
            <w:tcW w:w="1750" w:type="dxa"/>
            <w:tcBorders>
              <w:bottom w:val="single" w:sz="18" w:color="000000"/>
            </w:tcBorders>
          </w:tcPr>
          <w:p>
            <w:pPr>
              <w:jc w:val="center"/>
              <w:spacing w:after="0"/>
            </w:pPr>
            <w:r>
              <w:rPr>
                <w:rStyle w:val="Arial11"/>
              </w:rPr>
              <w:t xml:space="preserve">912</w:t>
            </w:r>
          </w:p>
        </w:tc>
      </w:tr>
    </w:tbl>
    <w:p>
      <w:pPr>
        <w:sectPr>
          <w:pgSz w:orient="portrait" w:w="11905.511811024" w:h="16837.795275591"/>
          <w:pgMar w:top="1440" w:right="1440" w:bottom="1440" w:left="1440" w:header="720" w:footer="720" w:gutter="0"/>
          <w:cols w:num="1" w:space="720"/>
        </w:sectPr>
      </w:pPr>
    </w:p>
    <w:p>
      <w:pPr>
        <w:numPr>
          <w:ilvl w:val="0"/>
          <w:numId w:val="7"/>
        </w:numPr>
      </w:pPr>
      <w:r>
        <w:rPr>
          <w:rStyle w:val="Arial11"/>
        </w:rPr>
        <w:t xml:space="preserve">	FINANCIAL RISK MANAGEMENT </w:t>
      </w:r>
    </w:p>
    <w:p>
      <w:pPr>
        <w:pStyle w:val="justifiedParagraph"/>
      </w:pPr>
      <w:r>
        <w:rPr>
          <w:rStyle w:val="Arial11"/>
        </w:rPr>
        <w:t xml:space="preserve">	The Company’s activities expose it to a variety of financial risks. The Company’s 	overall business strategies, tolerance risk and general risk management philosophy 	are determined by directors in accordance with prevailing economic and operating 	conditions.</w:t>
      </w:r>
    </w:p>
    <w:p>
      <w:pPr/>
      <w:r>
        <w:rPr/>
        <w:t xml:space="preserve">	</w:t>
      </w:r>
      <w:r>
        <w:rPr>
          <w:u w:val="single"/>
        </w:rPr>
        <w:t xml:space="preserve">Currency risk</w:t>
      </w:r>
    </w:p>
    <w:p>
      <w:pPr>
        <w:pStyle w:val="justifiedParagraph"/>
      </w:pPr>
      <w:r>
        <w:rPr>
          <w:rStyle w:val="Arial11"/>
        </w:rPr>
        <w:t xml:space="preserve">	The Company’s exposure to foreign exchange risk is minimal as transactions are 	predominantly denominated in Singapore Dollar, being the functional currency of the Company.</w:t>
      </w:r>
    </w:p>
    <w:p>
      <w:pPr/>
      <w:r>
        <w:rPr/>
        <w:t xml:space="preserve">	</w:t>
      </w:r>
      <w:r>
        <w:rPr>
          <w:u w:val="single"/>
        </w:rPr>
        <w:t xml:space="preserve">Interest rate risk</w:t>
      </w:r>
    </w:p>
    <w:p>
      <w:pPr>
        <w:pStyle w:val="justifiedParagraph"/>
      </w:pPr>
      <w:r>
        <w:rPr>
          <w:rStyle w:val="Arial11"/>
        </w:rPr>
        <w:t xml:space="preserve">	Cash flow interest rate risk is the risk that the future cash flows of a financial 	instrument will fluctuate because of changes in market interest rates. Fair value 	interest rate risk is the risk that the fair value of a financial instrument will fluctuate 	due to changes in market interest rates. As the Company has no significant interest 	bearing assets or liabilities, the Company’s income and operating cash flows are 	substantially independent of changes in market interest rates.</w:t>
      </w:r>
    </w:p>
    <w:p>
      <w:pPr/>
      <w:r>
        <w:rPr/>
        <w:t xml:space="preserve">	</w:t>
      </w:r>
      <w:r>
        <w:rPr>
          <w:u w:val="single"/>
        </w:rPr>
        <w:t xml:space="preserve">Liquidity risk</w:t>
      </w:r>
    </w:p>
    <w:p>
      <w:pPr>
        <w:pStyle w:val="justifiedParagraph"/>
      </w:pPr>
      <w:r>
        <w:rPr>
          <w:rStyle w:val="Arial11"/>
        </w:rPr>
        <w:t xml:space="preserve">	Prudent liquidity management implies maintaining sufficient cash and the availability 	of funding through an adequate amount of committed credit facilities. The Company 	maintains sufficient cash balances to provide flexibility in meeting its day to day 	funding requirements. Cash and cash equivalents are placed with credit worthy 	institutions.</w:t>
      </w:r>
    </w:p>
    <w:p>
      <w:pPr>
        <w:pStyle w:val="justifiedParagraph"/>
      </w:pPr>
      <w:r>
        <w:rPr>
          <w:rStyle w:val="Arial11"/>
        </w:rPr>
        <w:t xml:space="preserve">	The Company’s financial liabilities are due less than 1 year based on the remaining 	period from the reporting date to the contractual maturity date.  Balances due within 	12 months equal their carrying balances as the impact of discounting is not 	significant.</w:t>
      </w:r>
    </w:p>
    <w:p>
      <w:pPr/>
      <w:r>
        <w:rPr/>
        <w:t xml:space="preserve">	</w:t>
      </w:r>
      <w:r>
        <w:rPr>
          <w:u w:val="single"/>
        </w:rPr>
        <w:t xml:space="preserve">Fair value measurements</w:t>
      </w:r>
    </w:p>
    <w:p>
      <w:pPr>
        <w:pStyle w:val="justifiedParagraph"/>
      </w:pPr>
      <w:r>
        <w:rPr>
          <w:rStyle w:val="Arial11"/>
        </w:rPr>
        <w:t xml:space="preserve">	The Company does not have any financial instruments as at end of the financial year 	which are measured at fair value. The carrying values of other receivables and other 	payables are assumed to approximate their fair values.</w:t>
      </w:r>
    </w:p>
    <w:p>
      <w:pPr/>
      <w:r>
        <w:rPr/>
        <w:t xml:space="preserve">	</w:t>
      </w:r>
      <w:r>
        <w:rPr>
          <w:u w:val="single"/>
        </w:rPr>
        <w:t xml:space="preserve">Credit risk</w:t>
      </w:r>
    </w:p>
    <w:p>
      <w:pPr>
        <w:pStyle w:val="justifiedParagraph"/>
      </w:pPr>
      <w:r>
        <w:rPr>
          <w:rStyle w:val="Arial11"/>
        </w:rPr>
        <w:t xml:space="preserve">	Credit risk is the risk that companies and other parties will be unable to meet their 	obligations to the Company resulting in financial loss to the Company. The Company 	manages such risks by dealing with a diverse of credit-worthy counterparties to 	mitigate any significant concentration of credit risk. Credit policy includes assessing 	and evaluation of existing and new customers' credit reliability and monitoring of 	receivable collections. The Company places its cash and cash equivalents with 	creditworthy institutions.</w:t>
      </w:r>
    </w:p>
    <w:p>
      <w:pPr>
        <w:sectPr>
          <w:pgSz w:orient="portrait" w:w="11905.511811024" w:h="16837.795275591"/>
          <w:pgMar w:top="1440" w:right="1440" w:bottom="1440" w:left="1440" w:header="720" w:footer="720" w:gutter="0"/>
          <w:cols w:num="1" w:space="720"/>
        </w:sectPr>
      </w:pPr>
    </w:p>
    <w:p>
      <w:pPr/>
      <w:r>
        <w:rPr/>
        <w:t xml:space="preserve">	</w:t>
      </w:r>
      <w:r>
        <w:rPr>
          <w:u w:val="single"/>
        </w:rPr>
        <w:t xml:space="preserve">Credit risk (Cont’d)</w:t>
      </w:r>
    </w:p>
    <w:p>
      <w:pPr>
        <w:pStyle w:val="justifiedParagraph"/>
      </w:pPr>
      <w:r>
        <w:rPr>
          <w:rStyle w:val="Arial11"/>
        </w:rPr>
        <w:t xml:space="preserve">	The maximum exposure to credit risk in the event that the counterparties fail to 	perform the obligations as at the end of the financial period in relation to each class 	of financial assets is the carrying amount of these assets in the statement of financial 	position.</w:t>
      </w:r>
    </w:p>
    <w:p>
      <w:pPr>
        <w:pStyle w:val="justifiedParagraph"/>
      </w:pPr>
      <w:r>
        <w:rPr>
          <w:rStyle w:val="Arial11"/>
        </w:rPr>
        <w:t xml:space="preserve">	The credit risk for receivables based on the information provided to key management 	is as follows:</w:t>
      </w:r>
    </w:p>
    <w:p>
      <w:pPr>
        <w:numPr>
          <w:ilvl w:val="1"/>
          <w:numId w:val="6"/>
        </w:numPr>
      </w:pPr>
      <w:r>
        <w:rPr>
          <w:rStyle w:val="Arial11"/>
        </w:rPr>
        <w:t xml:space="preserve">Financial assets that are neither past due nor impaired</w:t>
      </w:r>
    </w:p>
    <w:p>
      <w:pPr>
        <w:pStyle w:val="justifiedParagraph"/>
      </w:pPr>
      <w:r>
        <w:rPr>
          <w:rStyle w:val="Arial11"/>
        </w:rPr>
        <w:t xml:space="preserve">	Bank deposits that are neither past due nor impaired are mainly deposits with banks 	with high credit-ratings assigned by international credit-rating agencies. Other 	receivables that are neither past due nor impaired are substantially companies with a 	good collection track record with the Company.</w:t>
      </w:r>
    </w:p>
    <w:p>
      <w:pPr>
        <w:numPr>
          <w:ilvl w:val="1"/>
          <w:numId w:val="6"/>
        </w:numPr>
      </w:pPr>
      <w:r>
        <w:rPr>
          <w:rStyle w:val="Arial11"/>
        </w:rPr>
        <w:t xml:space="preserve">Financial assets that are past due and/or impaired</w:t>
      </w:r>
    </w:p>
    <w:p>
      <w:pPr>
        <w:pStyle w:val="justifiedParagraph"/>
      </w:pPr>
      <w:r>
        <w:rPr>
          <w:rStyle w:val="Arial11"/>
        </w:rPr>
        <w:t xml:space="preserve">	There is no other class of financial assets that is past due and/or impaired.</w:t>
      </w:r>
    </w:p>
    <w:p>
      <w:pPr/>
      <w:r>
        <w:rPr/>
        <w:t xml:space="preserve">	</w:t>
      </w:r>
      <w:r>
        <w:rPr>
          <w:u w:val="single"/>
        </w:rPr>
        <w:t xml:space="preserve">Capital risk</w:t>
      </w:r>
    </w:p>
    <w:p>
      <w:pPr>
        <w:pStyle w:val="justifiedParagraph"/>
      </w:pPr>
      <w:r>
        <w:rPr>
          <w:rStyle w:val="Arial11"/>
        </w:rPr>
        <w:t xml:space="preserve">	The Company’s objectives when managing capital are:</w:t>
      </w:r>
    </w:p>
    <w:p>
      <w:pPr/>
      <w:r>
        <w:rPr>
          <w:rStyle w:val="Arial11"/>
        </w:rPr>
        <w:t xml:space="preserve">	The capital structure of the Company consists primarily of equity, comprising issued 	share capital.</w:t>
      </w:r>
    </w:p>
    <w:p>
      <w:pPr/>
      <w:r>
        <w:rPr>
          <w:rStyle w:val="Arial11"/>
        </w:rPr>
        <w:t xml:space="preserve">	The Company manages its capital structure and makes adjustment to it in light of 	changes in economic conditions. It may maintain or adjust its capital structure 	through the payment of dividends, return of capital or issue of new shares.</w:t>
      </w:r>
    </w:p>
    <w:p>
      <w:pPr>
        <w:numPr>
          <w:ilvl w:val="0"/>
          <w:numId w:val="7"/>
        </w:numPr>
      </w:pPr>
      <w:r>
        <w:rPr>
          <w:rStyle w:val="Arial11"/>
        </w:rPr>
        <w:t xml:space="preserve">	RELATED PARTY TRANSACTIONS </w:t>
      </w:r>
    </w:p>
    <w:p>
      <w:pPr/>
      <w:r>
        <w:rPr>
          <w:rStyle w:val="Arial11"/>
        </w:rPr>
        <w:t xml:space="preserve">	Related parties comprise mainly of companies which are controlled or significantly 	influenced by the Company’s key management personnel and their close family 	members.</w:t>
      </w:r>
    </w:p>
    <w:p>
      <w:pPr/>
      <w:r>
        <w:rPr>
          <w:rStyle w:val="Arial11"/>
        </w:rPr>
        <w:t xml:space="preserve">	Key management personnel of the Company are those persons having the authority 	and responsibility for planning, directing and controlling activities of the Company.  	The directors and executive officers of the Company are considered as key 	management personnel of the Company.</w:t>
      </w:r>
    </w:p>
    <w:p>
      <w:pPr>
        <w:sectPr>
          <w:pgSz w:orient="portrait" w:w="11905.511811024" w:h="16837.795275591"/>
          <w:pgMar w:top="1440" w:right="1440" w:bottom="1440" w:left="1440" w:header="720" w:footer="720" w:gutter="0"/>
          <w:cols w:num="1" w:space="720"/>
        </w:sectPr>
      </w:pPr>
    </w:p>
    <w:p>
      <w:pPr>
        <w:numPr>
          <w:ilvl w:val="0"/>
          <w:numId w:val="7"/>
        </w:numPr>
      </w:pPr>
      <w:r>
        <w:rPr>
          <w:rStyle w:val="Arial11"/>
        </w:rPr>
        <w:t xml:space="preserve">	RELATED PARTY TRANSACTIONS (CONT’D)</w:t>
      </w:r>
    </w:p>
    <w:p>
      <w:pPr>
        <w:pStyle w:val="justifiedParagraph"/>
      </w:pPr>
      <w:r>
        <w:rPr>
          <w:rStyle w:val="Arial11"/>
        </w:rPr>
        <w:t xml:space="preserve">	The inter-company balances are unsecured and interest-free, unless stated 	otherwise, and are subject to the normal credit terms of the respective parties and 	are repayable on demand.</w:t>
      </w:r>
    </w:p>
    <w:p>
      <w:pPr/>
      <w:r>
        <w:rPr/>
        <w:t xml:space="preserve">	</w:t>
      </w:r>
      <w:r>
        <w:rPr>
          <w:u w:val="single"/>
        </w:rPr>
        <w:t xml:space="preserve">Key management personnel compensation</w:t>
      </w:r>
    </w:p>
    <w:p>
      <w:pPr/>
      <w:r>
        <w:rPr>
          <w:rStyle w:val="Arial11"/>
        </w:rPr>
        <w:t xml:space="preserve">	Director’s remuneration</w:t>
      </w:r>
    </w:p>
    <w:p>
      <w:pPr>
        <w:numPr>
          <w:ilvl w:val="0"/>
          <w:numId w:val="7"/>
        </w:numPr>
      </w:pPr>
      <w:r>
        <w:rPr>
          <w:rStyle w:val="Arial11"/>
        </w:rPr>
        <w:t xml:space="preserve">	NEW OR REVISED ACCOUNTING STANDARDS AND INTERPRETATIONS</w:t>
      </w:r>
    </w:p>
    <w:p>
      <w:pPr/>
      <w:r>
        <w:rPr>
          <w:rStyle w:val="Arial11"/>
        </w:rPr>
        <w:t xml:space="preserve">	Certain new standards, amendments and interpretations to existing standards have 	been published and are mandatory for the Company’s accounting periods beginning 	on or after 1 January 2017  or later periods and which the Company has not early 	adopted.</w:t>
      </w:r>
    </w:p>
    <w:p>
      <w:pPr/>
      <w:r>
        <w:rPr>
          <w:rStyle w:val="Arial11"/>
        </w:rPr>
        <w:t xml:space="preserve">	The management anticipates that the adoption of the new amendments to FRS in the 	future periods will not have a material impact on the financial statements of the 	Company and of the Company in the period of their initial adoption.</w:t>
      </w:r>
    </w:p>
    <w:p>
      <w:pPr>
        <w:numPr>
          <w:ilvl w:val="0"/>
          <w:numId w:val="7"/>
        </w:numPr>
      </w:pPr>
      <w:r>
        <w:rPr>
          <w:rStyle w:val="Arial11"/>
        </w:rPr>
        <w:t xml:space="preserve">	COMPARATIVE FIGURES </w:t>
      </w:r>
    </w:p>
    <w:p>
      <w:pPr>
        <w:pStyle w:val="justifiedParagraph"/>
      </w:pPr>
      <w:r>
        <w:rPr>
          <w:rStyle w:val="Arial11"/>
        </w:rPr>
        <w:t xml:space="preserve">	The management anticipates that the adoption of the new amendments to FRS in the 	future periods will not have a material impact on the financial statements of the 	Company and of the Company in the period of their initial adoption.</w:t>
      </w:r>
    </w:p>
    <w:p>
      <w:pPr>
        <w:numPr>
          <w:ilvl w:val="0"/>
          <w:numId w:val="7"/>
        </w:numPr>
      </w:pPr>
      <w:r>
        <w:rPr>
          <w:rStyle w:val="Arial11"/>
        </w:rPr>
        <w:t xml:space="preserve">	COMPARATIVE FIGURES </w:t>
      </w:r>
    </w:p>
    <w:p>
      <w:pPr>
        <w:pStyle w:val="justifiedParagraph"/>
      </w:pPr>
      <w:r>
        <w:rPr>
          <w:rStyle w:val="Arial11"/>
        </w:rPr>
        <w:t xml:space="preserve">	The financial statements cover the financial period since incorporation on 1 July 2014 	to 31 December 2015. This being the first set of financial statements,there are no 	comparative.</w:t>
      </w:r>
    </w:p>
    <w:p>
      <w:pPr>
        <w:pStyle w:val="justifiedParagraph"/>
      </w:pPr>
      <w:r>
        <w:rPr>
          <w:rStyle w:val="Arial11"/>
        </w:rPr>
        <w:t xml:space="preserve">End of unaudited financial statements</w:t>
      </w:r>
    </w:p>
    <w:p>
      <w:pPr>
        <w:sectPr>
          <w:pgSz w:orient="portrait" w:w="11905.511811024" w:h="16837.795275591"/>
          <w:pgMar w:top="1440" w:right="1440" w:bottom="1440" w:left="1440" w:header="720" w:footer="720" w:gutter="0"/>
          <w:cols w:num="1" w:space="720"/>
        </w:sectPr>
      </w:pPr>
    </w:p>
    <w:tbl>
      <w:tblGrid>
        <w:gridCol w:w="8750" w:type="dxa"/>
        <w:gridCol w:w="1750" w:type="dxa"/>
        <w:gridCol w:w="1750" w:type="dxa"/>
      </w:tblGrid>
      <w:tr>
        <w:trPr/>
        <w:tc>
          <w:tcPr>
            <w:tcW w:w="8750" w:type="dxa"/>
          </w:tcPr>
          <w:p>
            <w:pPr>
              <w:spacing w:after="0"/>
            </w:pPr>
            <w:r>
              <w:rPr>
                <w:rStyle w:val="Arial11"/>
              </w:rPr>
              <w:t xml:space="preserve"/>
            </w: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8750" w:type="dxa"/>
          </w:tcPr>
          <w:p>
            <w:pPr/>
            <w:r>
              <w:rPr>
                <w:rStyle w:val="Arial11"/>
              </w:rPr>
              <w:t xml:space="preserve">Revenue</w:t>
            </w:r>
          </w:p>
        </w:tc>
        <w:tc>
          <w:tcPr>
            <w:tcW w:w="1750" w:type="dxa"/>
          </w:tcPr>
          <w:p>
            <w:pPr>
              <w:jc w:val="center"/>
              <w:spacing w:after="0"/>
            </w:pPr>
            <w:r>
              <w:rPr>
                <w:rStyle w:val="Arial11"/>
              </w:rPr>
              <w:t xml:space="preserve">2,168,614</w:t>
            </w:r>
          </w:p>
        </w:tc>
        <w:tc>
          <w:tcPr>
            <w:tcW w:w="1750" w:type="dxa"/>
          </w:tcPr>
          <w:p>
            <w:pPr>
              <w:jc w:val="center"/>
              <w:spacing w:after="0"/>
            </w:pPr>
            <w:r>
              <w:rPr>
                <w:rStyle w:val="Arial11"/>
              </w:rPr>
              <w:t xml:space="preserve">3,121,988</w:t>
            </w:r>
          </w:p>
        </w:tc>
      </w:tr>
      <w:tr>
        <w:trPr/>
        <w:tc>
          <w:tcPr>
            <w:tcW w:w="8750" w:type="dxa"/>
          </w:tcPr>
          <w:p>
            <w:pPr>
              <w:spacing w:after="0"/>
            </w:pPr>
            <w:r>
              <w:rPr>
                <w:rStyle w:val="Arial11"/>
              </w:rPr>
              <w:t xml:space="preserve">Less: Cost of sales</w:t>
            </w:r>
          </w:p>
        </w:tc>
        <w:tc>
          <w:tcPr>
            <w:tcW w:w="1750" w:type="dxa"/>
            <w:tcBorders>
              <w:bottom w:val="single" w:sz="1" w:color="000000"/>
            </w:tcBorders>
          </w:tcPr>
          <w:p>
            <w:pPr>
              <w:jc w:val="center"/>
              <w:spacing w:after="0"/>
            </w:pPr>
            <w:r>
              <w:rPr>
                <w:rStyle w:val="Arial11"/>
              </w:rPr>
              <w:t xml:space="preserve">1,338,882</w:t>
            </w:r>
          </w:p>
        </w:tc>
        <w:tc>
          <w:tcPr>
            <w:tcW w:w="1750" w:type="dxa"/>
            <w:tcBorders>
              <w:bottom w:val="single" w:sz="1" w:color="000000"/>
            </w:tcBorders>
          </w:tcPr>
          <w:p>
            <w:pPr>
              <w:jc w:val="center"/>
              <w:spacing w:after="0"/>
            </w:pPr>
            <w:r>
              <w:rPr>
                <w:rStyle w:val="Arial11"/>
              </w:rPr>
              <w:t xml:space="preserve">1,978,616</w:t>
            </w:r>
          </w:p>
        </w:tc>
      </w:tr>
      <w:tr>
        <w:trPr/>
        <w:tc>
          <w:tcPr>
            <w:tcW w:w="8750" w:type="dxa"/>
          </w:tcPr>
          <w:p>
            <w:pPr/>
            <w:r>
              <w:rPr>
                <w:rStyle w:val="ArialBlack11"/>
              </w:rPr>
              <w:t xml:space="preserve">Gross profit</w:t>
            </w:r>
          </w:p>
        </w:tc>
        <w:tc>
          <w:tcPr>
            <w:tcW w:w="1750" w:type="dxa"/>
          </w:tcPr>
          <w:p>
            <w:pPr>
              <w:jc w:val="center"/>
              <w:spacing w:after="0"/>
            </w:pPr>
            <w:r>
              <w:rPr>
                <w:rStyle w:val="Arial11"/>
              </w:rPr>
              <w:t xml:space="preserve">829,732</w:t>
            </w:r>
          </w:p>
        </w:tc>
        <w:tc>
          <w:tcPr>
            <w:tcW w:w="1750" w:type="dxa"/>
          </w:tcPr>
          <w:p>
            <w:pPr>
              <w:jc w:val="center"/>
              <w:spacing w:after="0"/>
            </w:pPr>
            <w:r>
              <w:rPr>
                <w:rStyle w:val="Arial11"/>
              </w:rPr>
              <w:t xml:space="preserve">1,143,372</w:t>
            </w:r>
          </w:p>
        </w:tc>
      </w:tr>
      <w:tr>
        <w:trPr/>
        <w:tc>
          <w:tcPr>
            <w:tcW w:w="8750" w:type="dxa"/>
          </w:tcPr>
          <w:p/>
        </w:tc>
      </w:tr>
      <w:tr>
        <w:trPr/>
        <w:tc>
          <w:tcPr>
            <w:tcW w:w="8750" w:type="dxa"/>
          </w:tcPr>
          <w:p>
            <w:pPr>
              <w:spacing w:after="0"/>
            </w:pPr>
            <w:r>
              <w:rPr>
                <w:rStyle w:val="Arial11Underline"/>
              </w:rPr>
              <w:t xml:space="preserve">Add: Other income</w:t>
            </w:r>
          </w:p>
        </w:tc>
      </w:tr>
      <w:tr>
        <w:trPr/>
        <w:tc>
          <w:tcPr>
            <w:tcW w:w="8750" w:type="dxa"/>
          </w:tcPr>
          <w:p>
            <w:pPr>
              <w:spacing w:after="0"/>
            </w:pPr>
            <w:r>
              <w:rPr>
                <w:rStyle w:val="Arial11"/>
              </w:rPr>
              <w:t xml:space="preserve">Exchange gain - trade</w:t>
            </w:r>
          </w:p>
        </w:tc>
        <w:tc>
          <w:tcPr>
            <w:tcW w:w="1750" w:type="dxa"/>
            <w:tcBorders>
              <w:top w:val="single" w:sz="1" w:color="#000000"/>
              <w:left w:val="single" w:sz="1" w:color="#000000"/>
            </w:tcBorders>
          </w:tcPr>
          <w:p>
            <w:pPr>
              <w:jc w:val="center"/>
              <w:spacing w:after="0"/>
            </w:pPr>
            <w:r>
              <w:rPr>
                <w:rStyle w:val="Arial11"/>
              </w:rPr>
              <w:t xml:space="preserve">-</w:t>
            </w:r>
          </w:p>
        </w:tc>
        <w:tc>
          <w:tcPr>
            <w:tcW w:w="1750" w:type="dxa"/>
            <w:tcBorders>
              <w:top w:val="single" w:sz="1" w:color="#000000"/>
              <w:right w:val="single" w:sz="1" w:color="#000000"/>
            </w:tcBorders>
          </w:tcPr>
          <w:p>
            <w:pPr>
              <w:jc w:val="center"/>
              <w:spacing w:after="0"/>
            </w:pPr>
            <w:r>
              <w:rPr>
                <w:rStyle w:val="Arial11"/>
              </w:rPr>
              <w:t xml:space="preserve">51,495</w:t>
            </w:r>
          </w:p>
        </w:tc>
      </w:tr>
      <w:tr>
        <w:trPr/>
        <w:tc>
          <w:tcPr>
            <w:tcW w:w="8750" w:type="dxa"/>
          </w:tcPr>
          <w:p>
            <w:pPr>
              <w:spacing w:after="0"/>
            </w:pPr>
            <w:r>
              <w:rPr>
                <w:rStyle w:val="Arial11"/>
              </w:rPr>
              <w:t xml:space="preserve">Exchange gain - non-trade</w:t>
            </w:r>
          </w:p>
        </w:tc>
        <w:tc>
          <w:tcPr>
            <w:tcW w:w="1750" w:type="dxa"/>
            <w:tcBorders>
              <w:left w:val="single" w:sz="1" w:color="#000000"/>
              <w:bottom w:val="single" w:sz="1" w:color="#000000"/>
            </w:tcBorders>
          </w:tcPr>
          <w:p>
            <w:pPr>
              <w:jc w:val="center"/>
              <w:spacing w:after="0"/>
            </w:pPr>
            <w:r>
              <w:rPr>
                <w:rStyle w:val="Arial11"/>
              </w:rPr>
              <w:t xml:space="preserve">62,733</w:t>
            </w:r>
          </w:p>
        </w:tc>
        <w:tc>
          <w:tcPr>
            <w:tcW w:w="1750" w:type="dxa"/>
            <w:tcBorders>
              <w:right w:val="single" w:sz="1" w:color="#000000"/>
              <w:bottom w:val="single" w:sz="1" w:color="#000000"/>
            </w:tcBorders>
          </w:tcPr>
          <w:p>
            <w:pPr>
              <w:jc w:val="center"/>
              <w:spacing w:after="0"/>
            </w:pPr>
            <w:r>
              <w:rPr>
                <w:rStyle w:val="Arial11"/>
              </w:rPr>
              <w:t xml:space="preserve">54,684</w:t>
            </w:r>
          </w:p>
        </w:tc>
      </w:tr>
      <w:tr>
        <w:trPr/>
        <w:tc>
          <w:tcPr>
            <w:tcW w:w="8750" w:type="dxa"/>
          </w:tcPr>
          <w:p/>
        </w:tc>
        <w:tc>
          <w:tcPr>
            <w:tcW w:w="1750" w:type="dxa"/>
          </w:tcPr>
          <w:p>
            <w:pPr>
              <w:jc w:val="center"/>
              <w:spacing w:after="0"/>
            </w:pPr>
            <w:r>
              <w:rPr>
                <w:rStyle w:val="Arial11"/>
              </w:rPr>
              <w:t xml:space="preserve">62,733</w:t>
            </w:r>
          </w:p>
        </w:tc>
        <w:tc>
          <w:tcPr>
            <w:tcW w:w="1750" w:type="dxa"/>
          </w:tcPr>
          <w:p>
            <w:pPr>
              <w:jc w:val="center"/>
              <w:spacing w:after="0"/>
            </w:pPr>
            <w:r>
              <w:rPr>
                <w:rStyle w:val="Arial11"/>
              </w:rPr>
              <w:t xml:space="preserve">106,179</w:t>
            </w:r>
          </w:p>
        </w:tc>
      </w:tr>
      <w:tr>
        <w:trPr/>
        <w:tc>
          <w:tcPr>
            <w:tcW w:w="8750" w:type="dxa"/>
          </w:tcPr>
          <w:p>
            <w:pPr/>
            <w:r>
              <w:rPr/>
              <w:t xml:space="preserve">Less: Expenses</w:t>
            </w:r>
          </w:p>
        </w:tc>
      </w:tr>
      <w:tr>
        <w:trPr/>
        <w:tc>
          <w:tcPr>
            <w:tcW w:w="8750" w:type="dxa"/>
          </w:tcPr>
          <w:p>
            <w:pPr/>
            <w:r>
              <w:rPr>
                <w:rStyle w:val="Arial11"/>
              </w:rPr>
              <w:t xml:space="preserve">Administrative expenses </w:t>
            </w:r>
            <w:r>
              <w:rPr>
                <w:rStyle w:val="Arial11Italic"/>
              </w:rPr>
              <w:t xml:space="preserve">(Appendix II)</w:t>
            </w:r>
          </w:p>
        </w:tc>
        <w:tc>
          <w:tcPr>
            <w:tcW w:w="1750" w:type="dxa"/>
            <w:tcBorders>
              <w:top w:val="single" w:sz="1" w:color="#000000"/>
              <w:left w:val="single" w:sz="1" w:color="#000000"/>
            </w:tcBorders>
          </w:tcPr>
          <w:p>
            <w:pPr>
              <w:jc w:val="center"/>
              <w:spacing w:after="0"/>
            </w:pPr>
            <w:r>
              <w:rPr>
                <w:rStyle w:val="Arial11"/>
              </w:rPr>
              <w:t xml:space="preserve">237,827</w:t>
            </w:r>
          </w:p>
        </w:tc>
        <w:tc>
          <w:tcPr>
            <w:tcW w:w="1750" w:type="dxa"/>
            <w:tcBorders>
              <w:top w:val="single" w:sz="1" w:color="#000000"/>
              <w:right w:val="single" w:sz="1" w:color="#000000"/>
            </w:tcBorders>
          </w:tcPr>
          <w:p>
            <w:pPr>
              <w:jc w:val="center"/>
              <w:spacing w:after="0"/>
            </w:pPr>
            <w:r>
              <w:rPr>
                <w:rStyle w:val="Arial11"/>
              </w:rPr>
              <w:t xml:space="preserve">283,742</w:t>
            </w:r>
          </w:p>
        </w:tc>
      </w:tr>
      <w:tr>
        <w:trPr/>
        <w:tc>
          <w:tcPr>
            <w:tcW w:w="8750" w:type="dxa"/>
          </w:tcPr>
          <w:p>
            <w:pPr/>
            <w:r>
              <w:rPr>
                <w:rStyle w:val="Arial11"/>
              </w:rPr>
              <w:t xml:space="preserve">Distribution and marketing expenses </w:t>
            </w:r>
            <w:r>
              <w:rPr>
                <w:rStyle w:val="Arial11Italic"/>
              </w:rPr>
              <w:t xml:space="preserve">(Appendix II)</w:t>
            </w:r>
          </w:p>
        </w:tc>
        <w:tc>
          <w:tcPr>
            <w:tcW w:w="1750" w:type="dxa"/>
            <w:tcBorders>
              <w:left w:val="single" w:sz="1" w:color="#000000"/>
            </w:tcBorders>
          </w:tcPr>
          <w:p>
            <w:pPr>
              <w:jc w:val="center"/>
              <w:spacing w:after="0"/>
            </w:pPr>
            <w:r>
              <w:rPr>
                <w:rStyle w:val="Arial11"/>
              </w:rPr>
              <w:t xml:space="preserve">1,049</w:t>
            </w:r>
          </w:p>
        </w:tc>
        <w:tc>
          <w:tcPr>
            <w:tcW w:w="1750" w:type="dxa"/>
            <w:tcBorders>
              <w:right w:val="single" w:sz="1" w:color="#000000"/>
            </w:tcBorders>
          </w:tcPr>
          <w:p>
            <w:pPr>
              <w:jc w:val="center"/>
              <w:spacing w:after="0"/>
            </w:pPr>
            <w:r>
              <w:rPr>
                <w:rStyle w:val="Arial11"/>
              </w:rPr>
              <w:t xml:space="preserve">412</w:t>
            </w:r>
          </w:p>
        </w:tc>
      </w:tr>
      <w:tr>
        <w:trPr/>
        <w:tc>
          <w:tcPr>
            <w:tcW w:w="8750" w:type="dxa"/>
          </w:tcPr>
          <w:p>
            <w:pPr/>
            <w:r>
              <w:rPr>
                <w:rStyle w:val="Arial11"/>
              </w:rPr>
              <w:t xml:space="preserve">Finance Expenses </w:t>
            </w:r>
            <w:r>
              <w:rPr>
                <w:rStyle w:val="Arial11Italic"/>
              </w:rPr>
              <w:t xml:space="preserve">(Appendix II)</w:t>
            </w:r>
          </w:p>
        </w:tc>
        <w:tc>
          <w:tcPr>
            <w:tcW w:w="1750" w:type="dxa"/>
            <w:tcBorders>
              <w:left w:val="single" w:sz="1" w:color="#000000"/>
              <w:bottom w:val="single" w:sz="1" w:color="#000000"/>
            </w:tcBorders>
          </w:tcPr>
          <w:p>
            <w:pPr>
              <w:jc w:val="center"/>
              <w:spacing w:after="0"/>
            </w:pPr>
            <w:r>
              <w:rPr>
                <w:rStyle w:val="Arial11"/>
              </w:rPr>
              <w:t xml:space="preserve">191</w:t>
            </w:r>
          </w:p>
        </w:tc>
        <w:tc>
          <w:tcPr>
            <w:tcW w:w="1750" w:type="dxa"/>
            <w:tcBorders>
              <w:right w:val="single" w:sz="1" w:color="#000000"/>
              <w:bottom w:val="single" w:sz="1" w:color="#000000"/>
            </w:tcBorders>
          </w:tcPr>
          <w:p>
            <w:pPr>
              <w:jc w:val="center"/>
              <w:spacing w:after="0"/>
            </w:pPr>
            <w:r>
              <w:rPr>
                <w:rStyle w:val="Arial11"/>
              </w:rPr>
              <w:t xml:space="preserve">-</w:t>
            </w:r>
          </w:p>
        </w:tc>
      </w:tr>
      <w:tr>
        <w:trPr/>
        <w:tc>
          <w:tcPr>
            <w:tcW w:w="8750" w:type="dxa"/>
          </w:tcPr>
          <w:p/>
        </w:tc>
        <w:tc>
          <w:tcPr>
            <w:tcW w:w="1750" w:type="dxa"/>
            <w:tcBorders>
              <w:bottom w:val="single" w:sz="1" w:color="000000"/>
            </w:tcBorders>
          </w:tcPr>
          <w:p>
            <w:pPr>
              <w:jc w:val="center"/>
              <w:spacing w:after="0"/>
            </w:pPr>
            <w:r>
              <w:rPr>
                <w:rStyle w:val="Arial11"/>
              </w:rPr>
              <w:t xml:space="preserve">(239,067)</w:t>
            </w:r>
          </w:p>
        </w:tc>
        <w:tc>
          <w:tcPr>
            <w:tcW w:w="1750" w:type="dxa"/>
            <w:tcBorders>
              <w:bottom w:val="single" w:sz="1" w:color="000000"/>
            </w:tcBorders>
          </w:tcPr>
          <w:p>
            <w:pPr>
              <w:jc w:val="center"/>
              <w:spacing w:after="0"/>
            </w:pPr>
            <w:r>
              <w:rPr>
                <w:rStyle w:val="Arial11"/>
              </w:rPr>
              <w:t xml:space="preserve">(284,154)</w:t>
            </w:r>
          </w:p>
        </w:tc>
      </w:tr>
      <w:tr>
        <w:trPr/>
        <w:tc>
          <w:tcPr>
            <w:tcW w:w="8750" w:type="dxa"/>
          </w:tcPr>
          <w:p>
            <w:pPr/>
            <w:r>
              <w:rPr>
                <w:rStyle w:val="ArialBlack11"/>
              </w:rPr>
              <w:t xml:space="preserve">Profit before income tax</w:t>
            </w:r>
          </w:p>
        </w:tc>
        <w:tc>
          <w:tcPr>
            <w:tcW w:w="1750" w:type="dxa"/>
            <w:tcBorders>
              <w:bottom w:val="single" w:sz="18" w:color="#000000"/>
            </w:tcBorders>
          </w:tcPr>
          <w:p>
            <w:pPr>
              <w:jc w:val="center"/>
              <w:spacing w:after="0"/>
            </w:pPr>
            <w:r>
              <w:rPr>
                <w:rStyle w:val="Arial11"/>
              </w:rPr>
              <w:t xml:space="preserve">653,398</w:t>
            </w:r>
          </w:p>
        </w:tc>
        <w:tc>
          <w:tcPr>
            <w:tcW w:w="1750" w:type="dxa"/>
            <w:tcBorders>
              <w:bottom w:val="single" w:sz="18" w:color="#000000"/>
            </w:tcBorders>
          </w:tcPr>
          <w:p>
            <w:pPr>
              <w:jc w:val="center"/>
              <w:spacing w:after="0"/>
            </w:pPr>
            <w:r>
              <w:rPr>
                <w:rStyle w:val="Arial11"/>
              </w:rPr>
              <w:t xml:space="preserve">965,397</w:t>
            </w:r>
          </w:p>
        </w:tc>
      </w:tr>
    </w:tbl>
    <w:p>
      <w:pPr>
        <w:sectPr>
          <w:headerReference w:type="default" r:id="rId15"/>
          <w:pgSz w:orient="portrait" w:w="11905.511811024" w:h="16837.795275591"/>
          <w:pgMar w:top="1440" w:right="1440" w:bottom="1440" w:left="1440" w:header="720" w:footer="720" w:gutter="0"/>
          <w:cols w:num="1" w:space="720"/>
        </w:sectPr>
      </w:pPr>
    </w:p>
    <w:tbl>
      <w:tblGrid>
        <w:gridCol w:w="8750" w:type="dxa"/>
        <w:gridCol w:w="1750" w:type="dxa"/>
        <w:gridCol w:w="1750" w:type="dxa"/>
      </w:tblGrid>
      <w:tr>
        <w:trPr/>
        <w:tc>
          <w:tcPr>
            <w:tcW w:w="8750" w:type="dxa"/>
          </w:tcPr>
          <w:p>
            <w:pPr>
              <w:spacing w:after="0"/>
            </w:pPr>
            <w:r>
              <w:rPr>
                <w:rStyle w:val="Arial11"/>
              </w:rPr>
              <w:t xml:space="preserve"/>
            </w: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8750" w:type="dxa"/>
          </w:tcPr>
          <w:p>
            <w:pPr/>
            <w:r>
              <w:rPr>
                <w:rStyle w:val="TableUnderline"/>
              </w:rPr>
              <w:t xml:space="preserve">Administrative expenses</w:t>
            </w:r>
          </w:p>
        </w:tc>
      </w:tr>
      <w:tr>
        <w:trPr/>
        <w:tc>
          <w:tcPr>
            <w:tcW w:w="8750" w:type="dxa"/>
          </w:tcPr>
          <w:p>
            <w:pPr>
              <w:spacing w:after="0"/>
            </w:pPr>
            <w:r>
              <w:rPr>
                <w:rStyle w:val="Arial11"/>
              </w:rPr>
              <w:t xml:space="preserve">Accounting fee</w:t>
            </w:r>
          </w:p>
        </w:tc>
        <w:tc>
          <w:tcPr>
            <w:tcW w:w="1750" w:type="dxa"/>
            <w:tcBorders>
              <w:top w:val="single" w:sz="1" w:color="#000000"/>
              <w:left w:val="single" w:sz="1" w:color="#000000"/>
            </w:tcBorders>
          </w:tcPr>
          <w:p>
            <w:pPr>
              <w:jc w:val="center"/>
              <w:spacing w:after="0"/>
            </w:pPr>
            <w:r>
              <w:rPr>
                <w:rStyle w:val="Arial11"/>
              </w:rPr>
              <w:t xml:space="preserve">5,100</w:t>
            </w:r>
          </w:p>
        </w:tc>
        <w:tc>
          <w:tcPr>
            <w:tcW w:w="1750" w:type="dxa"/>
            <w:tcBorders>
              <w:top w:val="single" w:sz="1" w:color="#000000"/>
              <w:right w:val="single" w:sz="1" w:color="#000000"/>
            </w:tcBorders>
          </w:tcPr>
          <w:p>
            <w:pPr>
              <w:jc w:val="center"/>
              <w:spacing w:after="0"/>
            </w:pPr>
            <w:r>
              <w:rPr>
                <w:rStyle w:val="Arial11"/>
              </w:rPr>
              <w:t xml:space="preserve">6,850</w:t>
            </w:r>
          </w:p>
        </w:tc>
      </w:tr>
      <w:tr>
        <w:trPr/>
        <w:tc>
          <w:tcPr>
            <w:tcW w:w="8750" w:type="dxa"/>
          </w:tcPr>
          <w:p>
            <w:pPr>
              <w:spacing w:after="0"/>
            </w:pPr>
            <w:r>
              <w:rPr>
                <w:rStyle w:val="Arial11"/>
              </w:rPr>
              <w:t xml:space="preserve">Entertainment</w:t>
            </w:r>
          </w:p>
        </w:tc>
        <w:tc>
          <w:tcPr>
            <w:tcW w:w="1750" w:type="dxa"/>
            <w:tcBorders>
              <w:left w:val="single" w:sz="1" w:color="#000000"/>
            </w:tcBorders>
          </w:tcPr>
          <w:p>
            <w:pPr>
              <w:jc w:val="center"/>
              <w:spacing w:after="0"/>
            </w:pPr>
            <w:r>
              <w:rPr>
                <w:rStyle w:val="Arial11"/>
              </w:rPr>
              <w:t xml:space="preserve">722</w:t>
            </w:r>
          </w:p>
        </w:tc>
        <w:tc>
          <w:tcPr>
            <w:tcW w:w="1750" w:type="dxa"/>
            <w:tcBorders>
              <w:right w:val="single" w:sz="1" w:color="#000000"/>
            </w:tcBorders>
          </w:tcPr>
          <w:p>
            <w:pPr>
              <w:jc w:val="center"/>
              <w:spacing w:after="0"/>
            </w:pPr>
            <w:r>
              <w:rPr>
                <w:rStyle w:val="Arial11"/>
              </w:rPr>
              <w:t xml:space="preserve">406</w:t>
            </w:r>
          </w:p>
        </w:tc>
      </w:tr>
      <w:tr>
        <w:trPr/>
        <w:tc>
          <w:tcPr>
            <w:tcW w:w="8750" w:type="dxa"/>
          </w:tcPr>
          <w:p>
            <w:pPr>
              <w:spacing w:after="0"/>
            </w:pPr>
            <w:r>
              <w:rPr>
                <w:rStyle w:val="Arial11"/>
              </w:rPr>
              <w:t xml:space="preserve">Bank charges</w:t>
            </w:r>
          </w:p>
        </w:tc>
        <w:tc>
          <w:tcPr>
            <w:tcW w:w="1750" w:type="dxa"/>
            <w:tcBorders>
              <w:left w:val="single" w:sz="1" w:color="#000000"/>
            </w:tcBorders>
          </w:tcPr>
          <w:p>
            <w:pPr>
              <w:jc w:val="center"/>
              <w:spacing w:after="0"/>
            </w:pPr>
            <w:r>
              <w:rPr>
                <w:rStyle w:val="Arial11"/>
              </w:rPr>
              <w:t xml:space="preserve">472</w:t>
            </w:r>
          </w:p>
        </w:tc>
        <w:tc>
          <w:tcPr>
            <w:tcW w:w="1750" w:type="dxa"/>
            <w:tcBorders>
              <w:right w:val="single" w:sz="1" w:color="#000000"/>
            </w:tcBorders>
          </w:tcPr>
          <w:p>
            <w:pPr>
              <w:jc w:val="center"/>
              <w:spacing w:after="0"/>
            </w:pPr>
            <w:r>
              <w:rPr>
                <w:rStyle w:val="Arial11"/>
              </w:rPr>
              <w:t xml:space="preserve">1,232</w:t>
            </w:r>
          </w:p>
        </w:tc>
      </w:tr>
      <w:tr>
        <w:trPr/>
        <w:tc>
          <w:tcPr>
            <w:tcW w:w="8750" w:type="dxa"/>
          </w:tcPr>
          <w:p>
            <w:pPr>
              <w:spacing w:after="0"/>
            </w:pPr>
            <w:r>
              <w:rPr>
                <w:rStyle w:val="Arial11"/>
              </w:rPr>
              <w:t xml:space="preserve">Compilation fee</w:t>
            </w:r>
          </w:p>
        </w:tc>
        <w:tc>
          <w:tcPr>
            <w:tcW w:w="1750" w:type="dxa"/>
            <w:tcBorders>
              <w:left w:val="single" w:sz="1" w:color="#000000"/>
            </w:tcBorders>
          </w:tcPr>
          <w:p>
            <w:pPr>
              <w:jc w:val="center"/>
              <w:spacing w:after="0"/>
            </w:pPr>
            <w:r>
              <w:rPr>
                <w:rStyle w:val="Arial11"/>
              </w:rPr>
              <w:t xml:space="preserve">900</w:t>
            </w:r>
          </w:p>
        </w:tc>
        <w:tc>
          <w:tcPr>
            <w:tcW w:w="1750" w:type="dxa"/>
            <w:tcBorders>
              <w:right w:val="single" w:sz="1" w:color="#000000"/>
            </w:tcBorders>
          </w:tcPr>
          <w:p>
            <w:pPr>
              <w:jc w:val="center"/>
              <w:spacing w:after="0"/>
            </w:pPr>
            <w:r>
              <w:rPr>
                <w:rStyle w:val="Arial11"/>
              </w:rPr>
              <w:t xml:space="preserve">900</w:t>
            </w:r>
          </w:p>
        </w:tc>
      </w:tr>
      <w:tr>
        <w:trPr/>
        <w:tc>
          <w:tcPr>
            <w:tcW w:w="8750" w:type="dxa"/>
          </w:tcPr>
          <w:p>
            <w:pPr>
              <w:spacing w:after="0"/>
            </w:pPr>
            <w:r>
              <w:rPr>
                <w:rStyle w:val="Arial11"/>
              </w:rPr>
              <w:t xml:space="preserve">Depreciation</w:t>
            </w:r>
          </w:p>
        </w:tc>
        <w:tc>
          <w:tcPr>
            <w:tcW w:w="1750" w:type="dxa"/>
            <w:tcBorders>
              <w:left w:val="single" w:sz="1" w:color="#000000"/>
            </w:tcBorders>
          </w:tcPr>
          <w:p>
            <w:pPr>
              <w:jc w:val="center"/>
              <w:spacing w:after="0"/>
            </w:pPr>
            <w:r>
              <w:rPr>
                <w:rStyle w:val="Arial11"/>
              </w:rPr>
              <w:t xml:space="preserve">3,014</w:t>
            </w:r>
          </w:p>
        </w:tc>
        <w:tc>
          <w:tcPr>
            <w:tcW w:w="1750" w:type="dxa"/>
            <w:tcBorders>
              <w:right w:val="single" w:sz="1" w:color="#000000"/>
            </w:tcBorders>
          </w:tcPr>
          <w:p>
            <w:pPr>
              <w:jc w:val="center"/>
              <w:spacing w:after="0"/>
            </w:pPr>
            <w:r>
              <w:rPr>
                <w:rStyle w:val="Arial11"/>
              </w:rPr>
              <w:t xml:space="preserve">8,063</w:t>
            </w:r>
          </w:p>
        </w:tc>
      </w:tr>
      <w:tr>
        <w:trPr/>
        <w:tc>
          <w:tcPr>
            <w:tcW w:w="8750" w:type="dxa"/>
          </w:tcPr>
          <w:p>
            <w:pPr>
              <w:spacing w:after="0"/>
            </w:pPr>
            <w:r>
              <w:rPr>
                <w:rStyle w:val="Arial11"/>
              </w:rPr>
              <w:t xml:space="preserve">Director's remuneration</w:t>
            </w:r>
          </w:p>
        </w:tc>
        <w:tc>
          <w:tcPr>
            <w:tcW w:w="1750" w:type="dxa"/>
            <w:tcBorders>
              <w:left w:val="single" w:sz="1" w:color="#000000"/>
            </w:tcBorders>
          </w:tcPr>
          <w:p>
            <w:pPr>
              <w:jc w:val="center"/>
              <w:spacing w:after="0"/>
            </w:pPr>
            <w:r>
              <w:rPr>
                <w:rStyle w:val="Arial11"/>
              </w:rPr>
              <w:t xml:space="preserve">36,000</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Insurance</w:t>
            </w:r>
          </w:p>
        </w:tc>
        <w:tc>
          <w:tcPr>
            <w:tcW w:w="1750" w:type="dxa"/>
            <w:tcBorders>
              <w:left w:val="single" w:sz="1" w:color="#000000"/>
            </w:tcBorders>
          </w:tcPr>
          <w:p>
            <w:pPr>
              <w:jc w:val="center"/>
              <w:spacing w:after="0"/>
            </w:pPr>
            <w:r>
              <w:rPr>
                <w:rStyle w:val="Arial11"/>
              </w:rPr>
              <w:t xml:space="preserve">1,000</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Internet expenses</w:t>
            </w:r>
          </w:p>
        </w:tc>
        <w:tc>
          <w:tcPr>
            <w:tcW w:w="1750" w:type="dxa"/>
            <w:tcBorders>
              <w:left w:val="single" w:sz="1" w:color="#000000"/>
            </w:tcBorders>
          </w:tcPr>
          <w:p>
            <w:pPr>
              <w:jc w:val="center"/>
              <w:spacing w:after="0"/>
            </w:pPr>
            <w:r>
              <w:rPr>
                <w:rStyle w:val="Arial11"/>
              </w:rPr>
              <w:t xml:space="preserve">88</w:t>
            </w:r>
          </w:p>
        </w:tc>
        <w:tc>
          <w:tcPr>
            <w:tcW w:w="1750" w:type="dxa"/>
            <w:tcBorders>
              <w:right w:val="single" w:sz="1" w:color="#000000"/>
            </w:tcBorders>
          </w:tcPr>
          <w:p>
            <w:pPr>
              <w:jc w:val="center"/>
              <w:spacing w:after="0"/>
            </w:pPr>
            <w:r>
              <w:rPr>
                <w:rStyle w:val="Arial11"/>
              </w:rPr>
              <w:t xml:space="preserve">383</w:t>
            </w:r>
          </w:p>
        </w:tc>
      </w:tr>
      <w:tr>
        <w:trPr/>
        <w:tc>
          <w:tcPr>
            <w:tcW w:w="8750" w:type="dxa"/>
          </w:tcPr>
          <w:p>
            <w:pPr>
              <w:spacing w:after="0"/>
            </w:pPr>
            <w:r>
              <w:rPr>
                <w:rStyle w:val="Arial11"/>
              </w:rPr>
              <w:t xml:space="preserve">Late penalty</w:t>
            </w:r>
          </w:p>
        </w:tc>
        <w:tc>
          <w:tcPr>
            <w:tcW w:w="1750" w:type="dxa"/>
            <w:tcBorders>
              <w:left w:val="single" w:sz="1" w:color="#000000"/>
            </w:tcBorders>
          </w:tcPr>
          <w:p>
            <w:pPr>
              <w:jc w:val="center"/>
              <w:spacing w:after="0"/>
            </w:pPr>
            <w:r>
              <w:rPr>
                <w:rStyle w:val="Arial11"/>
              </w:rPr>
              <w:t xml:space="preserve">10</w:t>
            </w:r>
          </w:p>
        </w:tc>
        <w:tc>
          <w:tcPr>
            <w:tcW w:w="1750" w:type="dxa"/>
            <w:tcBorders>
              <w:right w:val="single" w:sz="1" w:color="#000000"/>
            </w:tcBorders>
          </w:tcPr>
          <w:p>
            <w:pPr>
              <w:jc w:val="center"/>
              <w:spacing w:after="0"/>
            </w:pPr>
            <w:r>
              <w:rPr>
                <w:rStyle w:val="Arial11"/>
              </w:rPr>
              <w:t xml:space="preserve">267</w:t>
            </w:r>
          </w:p>
        </w:tc>
      </w:tr>
      <w:tr>
        <w:trPr/>
        <w:tc>
          <w:tcPr>
            <w:tcW w:w="8750" w:type="dxa"/>
          </w:tcPr>
          <w:p>
            <w:pPr>
              <w:spacing w:after="0"/>
            </w:pPr>
            <w:r>
              <w:rPr>
                <w:rStyle w:val="Arial11"/>
              </w:rPr>
              <w:t xml:space="preserve">Nominee director fee</w:t>
            </w:r>
          </w:p>
        </w:tc>
        <w:tc>
          <w:tcPr>
            <w:tcW w:w="1750" w:type="dxa"/>
            <w:tcBorders>
              <w:left w:val="single" w:sz="1" w:color="#000000"/>
            </w:tcBorders>
          </w:tcPr>
          <w:p>
            <w:pPr>
              <w:jc w:val="center"/>
              <w:spacing w:after="0"/>
            </w:pPr>
            <w:r>
              <w:rPr>
                <w:rStyle w:val="Arial11"/>
              </w:rPr>
              <w:t xml:space="preserve">3,450</w:t>
            </w:r>
          </w:p>
        </w:tc>
        <w:tc>
          <w:tcPr>
            <w:tcW w:w="1750" w:type="dxa"/>
            <w:tcBorders>
              <w:right w:val="single" w:sz="1" w:color="#000000"/>
            </w:tcBorders>
          </w:tcPr>
          <w:p>
            <w:pPr>
              <w:jc w:val="center"/>
              <w:spacing w:after="0"/>
            </w:pPr>
            <w:r>
              <w:rPr>
                <w:rStyle w:val="Arial11"/>
              </w:rPr>
              <w:t xml:space="preserve">2,750</w:t>
            </w:r>
          </w:p>
        </w:tc>
      </w:tr>
      <w:tr>
        <w:trPr/>
        <w:tc>
          <w:tcPr>
            <w:tcW w:w="8750" w:type="dxa"/>
          </w:tcPr>
          <w:p>
            <w:pPr>
              <w:spacing w:after="0"/>
            </w:pPr>
            <w:r>
              <w:rPr>
                <w:rStyle w:val="Arial11"/>
              </w:rPr>
              <w:t xml:space="preserve">Postage and courier</w:t>
            </w:r>
          </w:p>
        </w:tc>
        <w:tc>
          <w:tcPr>
            <w:tcW w:w="1750" w:type="dxa"/>
            <w:tcBorders>
              <w:left w:val="single" w:sz="1" w:color="#000000"/>
            </w:tcBorders>
          </w:tcPr>
          <w:p>
            <w:pPr>
              <w:jc w:val="center"/>
              <w:spacing w:after="0"/>
            </w:pPr>
            <w:r>
              <w:rPr>
                <w:rStyle w:val="Arial11"/>
              </w:rPr>
              <w:t xml:space="preserve">4</w:t>
            </w:r>
          </w:p>
        </w:tc>
        <w:tc>
          <w:tcPr>
            <w:tcW w:w="1750" w:type="dxa"/>
            <w:tcBorders>
              <w:right w:val="single" w:sz="1" w:color="#000000"/>
            </w:tcBorders>
          </w:tcPr>
          <w:p>
            <w:pPr>
              <w:jc w:val="center"/>
              <w:spacing w:after="0"/>
            </w:pPr>
            <w:r>
              <w:rPr>
                <w:rStyle w:val="Arial11"/>
              </w:rPr>
              <w:t xml:space="preserve">2</w:t>
            </w:r>
          </w:p>
        </w:tc>
      </w:tr>
      <w:tr>
        <w:trPr/>
        <w:tc>
          <w:tcPr>
            <w:tcW w:w="8750" w:type="dxa"/>
          </w:tcPr>
          <w:p>
            <w:pPr>
              <w:spacing w:after="0"/>
            </w:pPr>
            <w:r>
              <w:rPr>
                <w:rStyle w:val="Arial11"/>
              </w:rPr>
              <w:t xml:space="preserve">Professional fee</w:t>
            </w:r>
          </w:p>
        </w:tc>
        <w:tc>
          <w:tcPr>
            <w:tcW w:w="1750" w:type="dxa"/>
            <w:tcBorders>
              <w:left w:val="single" w:sz="1" w:color="#000000"/>
            </w:tcBorders>
          </w:tcPr>
          <w:p>
            <w:pPr>
              <w:jc w:val="center"/>
              <w:spacing w:after="0"/>
            </w:pPr>
            <w:r>
              <w:rPr>
                <w:rStyle w:val="Arial11"/>
              </w:rPr>
              <w:t xml:space="preserve">600</w:t>
            </w:r>
          </w:p>
        </w:tc>
        <w:tc>
          <w:tcPr>
            <w:tcW w:w="1750" w:type="dxa"/>
            <w:tcBorders>
              <w:right w:val="single" w:sz="1" w:color="#000000"/>
            </w:tcBorders>
          </w:tcPr>
          <w:p>
            <w:pPr>
              <w:jc w:val="center"/>
              <w:spacing w:after="0"/>
            </w:pPr>
            <w:r>
              <w:rPr>
                <w:rStyle w:val="Arial11"/>
              </w:rPr>
              <w:t xml:space="preserve">1,650</w:t>
            </w:r>
          </w:p>
        </w:tc>
      </w:tr>
      <w:tr>
        <w:trPr/>
        <w:tc>
          <w:tcPr>
            <w:tcW w:w="8750" w:type="dxa"/>
          </w:tcPr>
          <w:p>
            <w:pPr>
              <w:spacing w:after="0"/>
            </w:pPr>
            <w:r>
              <w:rPr>
                <w:rStyle w:val="Arial11"/>
              </w:rPr>
              <w:t xml:space="preserve">Printing and stationery</w:t>
            </w:r>
          </w:p>
        </w:tc>
        <w:tc>
          <w:tcPr>
            <w:tcW w:w="1750" w:type="dxa"/>
            <w:tcBorders>
              <w:left w:val="single" w:sz="1" w:color="#000000"/>
            </w:tcBorders>
          </w:tcPr>
          <w:p>
            <w:pPr>
              <w:jc w:val="center"/>
              <w:spacing w:after="0"/>
            </w:pPr>
            <w:r>
              <w:rPr>
                <w:rStyle w:val="Arial11"/>
              </w:rPr>
              <w:t xml:space="preserve">259</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Rental</w:t>
            </w:r>
          </w:p>
        </w:tc>
        <w:tc>
          <w:tcPr>
            <w:tcW w:w="1750" w:type="dxa"/>
            <w:tcBorders>
              <w:left w:val="single" w:sz="1" w:color="#000000"/>
            </w:tcBorders>
          </w:tcPr>
          <w:p>
            <w:pPr>
              <w:jc w:val="center"/>
              <w:spacing w:after="0"/>
            </w:pPr>
            <w:r>
              <w:rPr>
                <w:rStyle w:val="Arial11"/>
              </w:rPr>
              <w:t xml:space="preserve">3,600</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Secretarial fee</w:t>
            </w:r>
          </w:p>
        </w:tc>
        <w:tc>
          <w:tcPr>
            <w:tcW w:w="1750" w:type="dxa"/>
            <w:tcBorders>
              <w:left w:val="single" w:sz="1" w:color="#000000"/>
            </w:tcBorders>
          </w:tcPr>
          <w:p>
            <w:pPr>
              <w:jc w:val="center"/>
              <w:spacing w:after="0"/>
            </w:pPr>
            <w:r>
              <w:rPr>
                <w:rStyle w:val="Arial11"/>
              </w:rPr>
              <w:t xml:space="preserve">1,436</w:t>
            </w:r>
          </w:p>
        </w:tc>
        <w:tc>
          <w:tcPr>
            <w:tcW w:w="1750" w:type="dxa"/>
            <w:tcBorders>
              <w:right w:val="single" w:sz="1" w:color="#000000"/>
            </w:tcBorders>
          </w:tcPr>
          <w:p>
            <w:pPr>
              <w:jc w:val="center"/>
              <w:spacing w:after="0"/>
            </w:pPr>
            <w:r>
              <w:rPr>
                <w:rStyle w:val="Arial11"/>
              </w:rPr>
              <w:t xml:space="preserve">1,475</w:t>
            </w:r>
          </w:p>
        </w:tc>
      </w:tr>
      <w:tr>
        <w:trPr/>
        <w:tc>
          <w:tcPr>
            <w:tcW w:w="8750" w:type="dxa"/>
          </w:tcPr>
          <w:p>
            <w:pPr>
              <w:spacing w:after="0"/>
            </w:pPr>
            <w:r>
              <w:rPr>
                <w:rStyle w:val="Arial11"/>
              </w:rPr>
              <w:t xml:space="preserve">Salaries</w:t>
            </w:r>
          </w:p>
        </w:tc>
        <w:tc>
          <w:tcPr>
            <w:tcW w:w="1750" w:type="dxa"/>
            <w:tcBorders>
              <w:left w:val="single" w:sz="1" w:color="#000000"/>
            </w:tcBorders>
          </w:tcPr>
          <w:p>
            <w:pPr>
              <w:jc w:val="center"/>
              <w:spacing w:after="0"/>
            </w:pPr>
            <w:r>
              <w:rPr>
                <w:rStyle w:val="Arial11"/>
              </w:rPr>
              <w:t xml:space="preserve">156,484</w:t>
            </w:r>
          </w:p>
        </w:tc>
        <w:tc>
          <w:tcPr>
            <w:tcW w:w="1750" w:type="dxa"/>
            <w:tcBorders>
              <w:right w:val="single" w:sz="1" w:color="#000000"/>
            </w:tcBorders>
          </w:tcPr>
          <w:p>
            <w:pPr>
              <w:jc w:val="center"/>
              <w:spacing w:after="0"/>
            </w:pPr>
            <w:r>
              <w:rPr>
                <w:rStyle w:val="Arial11"/>
              </w:rPr>
              <w:t xml:space="preserve">256,338</w:t>
            </w:r>
          </w:p>
        </w:tc>
      </w:tr>
      <w:tr>
        <w:trPr/>
        <w:tc>
          <w:tcPr>
            <w:tcW w:w="8750" w:type="dxa"/>
          </w:tcPr>
          <w:p>
            <w:pPr>
              <w:spacing w:after="0"/>
            </w:pPr>
            <w:r>
              <w:rPr>
                <w:rStyle w:val="Arial11"/>
              </w:rPr>
              <w:t xml:space="preserve">Employment pass</w:t>
            </w:r>
          </w:p>
        </w:tc>
        <w:tc>
          <w:tcPr>
            <w:tcW w:w="1750" w:type="dxa"/>
            <w:tcBorders>
              <w:left w:val="single" w:sz="1" w:color="#000000"/>
            </w:tcBorders>
          </w:tcPr>
          <w:p>
            <w:pPr>
              <w:jc w:val="center"/>
              <w:spacing w:after="0"/>
            </w:pPr>
            <w:r>
              <w:rPr>
                <w:rStyle w:val="Arial11"/>
              </w:rPr>
              <w:t xml:space="preserve">180</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Taxation fee</w:t>
            </w:r>
          </w:p>
        </w:tc>
        <w:tc>
          <w:tcPr>
            <w:tcW w:w="1750" w:type="dxa"/>
            <w:tcBorders>
              <w:left w:val="single" w:sz="1" w:color="#000000"/>
            </w:tcBorders>
          </w:tcPr>
          <w:p>
            <w:pPr>
              <w:jc w:val="center"/>
              <w:spacing w:after="0"/>
            </w:pPr>
            <w:r>
              <w:rPr>
                <w:rStyle w:val="Arial11"/>
              </w:rPr>
              <w:t xml:space="preserve">1,200</w:t>
            </w:r>
          </w:p>
        </w:tc>
        <w:tc>
          <w:tcPr>
            <w:tcW w:w="1750" w:type="dxa"/>
            <w:tcBorders>
              <w:right w:val="single" w:sz="1" w:color="#000000"/>
            </w:tcBorders>
          </w:tcPr>
          <w:p>
            <w:pPr>
              <w:jc w:val="center"/>
              <w:spacing w:after="0"/>
            </w:pPr>
            <w:r>
              <w:rPr>
                <w:rStyle w:val="Arial11"/>
              </w:rPr>
              <w:t xml:space="preserve">1,200</w:t>
            </w:r>
          </w:p>
        </w:tc>
      </w:tr>
      <w:tr>
        <w:trPr/>
        <w:tc>
          <w:tcPr>
            <w:tcW w:w="8750" w:type="dxa"/>
          </w:tcPr>
          <w:p>
            <w:pPr>
              <w:spacing w:after="0"/>
            </w:pPr>
            <w:r>
              <w:rPr>
                <w:rStyle w:val="Arial11"/>
              </w:rPr>
              <w:t xml:space="preserve">Exchange loss - trade</w:t>
            </w:r>
          </w:p>
        </w:tc>
        <w:tc>
          <w:tcPr>
            <w:tcW w:w="1750" w:type="dxa"/>
            <w:tcBorders>
              <w:left w:val="single" w:sz="1" w:color="#000000"/>
            </w:tcBorders>
          </w:tcPr>
          <w:p>
            <w:pPr>
              <w:jc w:val="center"/>
              <w:spacing w:after="0"/>
            </w:pPr>
            <w:r>
              <w:rPr>
                <w:rStyle w:val="Arial11"/>
              </w:rPr>
              <w:t xml:space="preserve">23,309</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Administrative expenses</w:t>
            </w:r>
          </w:p>
        </w:tc>
        <w:tc>
          <w:tcPr>
            <w:tcW w:w="1750" w:type="dxa"/>
            <w:tcBorders>
              <w:left w:val="single" w:sz="1" w:color="#000000"/>
            </w:tcBorders>
          </w:tcPr>
          <w:p>
            <w:pPr>
              <w:jc w:val="center"/>
              <w:spacing w:after="0"/>
            </w:pPr>
            <w:r>
              <w:rPr>
                <w:rStyle w:val="Arial11"/>
              </w:rPr>
              <w:t xml:space="preserve">-</w:t>
            </w:r>
          </w:p>
        </w:tc>
        <w:tc>
          <w:tcPr>
            <w:tcW w:w="1750" w:type="dxa"/>
            <w:tcBorders>
              <w:right w:val="single" w:sz="1" w:color="#000000"/>
            </w:tcBorders>
          </w:tcPr>
          <w:p>
            <w:pPr>
              <w:jc w:val="center"/>
              <w:spacing w:after="0"/>
            </w:pPr>
            <w:r>
              <w:rPr>
                <w:rStyle w:val="Arial11"/>
              </w:rPr>
              <w:t xml:space="preserve">200</w:t>
            </w:r>
          </w:p>
        </w:tc>
      </w:tr>
      <w:tr>
        <w:trPr/>
        <w:tc>
          <w:tcPr>
            <w:tcW w:w="8750" w:type="dxa"/>
          </w:tcPr>
          <w:p>
            <w:pPr>
              <w:spacing w:after="0"/>
            </w:pPr>
            <w:r>
              <w:rPr>
                <w:rStyle w:val="Arial11"/>
              </w:rPr>
              <w:t xml:space="preserve">Freight charges</w:t>
            </w:r>
          </w:p>
        </w:tc>
        <w:tc>
          <w:tcPr>
            <w:tcW w:w="1750" w:type="dxa"/>
            <w:tcBorders>
              <w:left w:val="single" w:sz="1" w:color="#000000"/>
            </w:tcBorders>
          </w:tcPr>
          <w:p>
            <w:pPr>
              <w:jc w:val="center"/>
              <w:spacing w:after="0"/>
            </w:pPr>
            <w:r>
              <w:rPr>
                <w:rStyle w:val="Arial11"/>
              </w:rPr>
              <w:t xml:space="preserve">-</w:t>
            </w:r>
          </w:p>
        </w:tc>
        <w:tc>
          <w:tcPr>
            <w:tcW w:w="1750" w:type="dxa"/>
            <w:tcBorders>
              <w:right w:val="single" w:sz="1" w:color="#000000"/>
            </w:tcBorders>
          </w:tcPr>
          <w:p>
            <w:pPr>
              <w:jc w:val="center"/>
              <w:spacing w:after="0"/>
            </w:pPr>
            <w:r>
              <w:rPr>
                <w:rStyle w:val="Arial11"/>
              </w:rPr>
              <w:t xml:space="preserve">574</w:t>
            </w:r>
          </w:p>
        </w:tc>
      </w:tr>
      <w:tr>
        <w:trPr/>
        <w:tc>
          <w:tcPr>
            <w:tcW w:w="8750" w:type="dxa"/>
          </w:tcPr>
          <w:p>
            <w:pPr>
              <w:spacing w:after="0"/>
            </w:pPr>
            <w:r>
              <w:rPr>
                <w:rStyle w:val="Arial11"/>
              </w:rPr>
              <w:t xml:space="preserve">Office supplies</w:t>
            </w:r>
          </w:p>
        </w:tc>
        <w:tc>
          <w:tcPr>
            <w:tcW w:w="1750" w:type="dxa"/>
            <w:tcBorders>
              <w:left w:val="single" w:sz="1" w:color="#000000"/>
            </w:tcBorders>
          </w:tcPr>
          <w:p>
            <w:pPr>
              <w:jc w:val="center"/>
              <w:spacing w:after="0"/>
            </w:pPr>
            <w:r>
              <w:rPr>
                <w:rStyle w:val="Arial11"/>
              </w:rPr>
              <w:t xml:space="preserve">-</w:t>
            </w:r>
          </w:p>
        </w:tc>
        <w:tc>
          <w:tcPr>
            <w:tcW w:w="1750" w:type="dxa"/>
            <w:tcBorders>
              <w:right w:val="single" w:sz="1" w:color="#000000"/>
            </w:tcBorders>
          </w:tcPr>
          <w:p>
            <w:pPr>
              <w:jc w:val="center"/>
              <w:spacing w:after="0"/>
            </w:pPr>
            <w:r>
              <w:rPr>
                <w:rStyle w:val="Arial11"/>
              </w:rPr>
              <w:t xml:space="preserve">1,022</w:t>
            </w:r>
          </w:p>
        </w:tc>
      </w:tr>
      <w:tr>
        <w:trPr/>
        <w:tc>
          <w:tcPr>
            <w:tcW w:w="8750" w:type="dxa"/>
          </w:tcPr>
          <w:p>
            <w:pPr>
              <w:spacing w:after="0"/>
            </w:pPr>
            <w:r>
              <w:rPr>
                <w:rStyle w:val="Arial11"/>
              </w:rPr>
              <w:t xml:space="preserve">Skill development levy &amp; SINDA</w:t>
            </w:r>
          </w:p>
        </w:tc>
        <w:tc>
          <w:tcPr>
            <w:tcW w:w="1750" w:type="dxa"/>
            <w:tcBorders>
              <w:left w:val="single" w:sz="1" w:color="#000000"/>
              <w:bottom w:val="single" w:sz="1" w:color="#000000"/>
            </w:tcBorders>
          </w:tcPr>
          <w:p>
            <w:pPr>
              <w:jc w:val="center"/>
              <w:spacing w:after="0"/>
            </w:pPr>
            <w:r>
              <w:rPr>
                <w:rStyle w:val="Arial11"/>
              </w:rPr>
              <w:t xml:space="preserve">-</w:t>
            </w:r>
          </w:p>
        </w:tc>
        <w:tc>
          <w:tcPr>
            <w:tcW w:w="1750" w:type="dxa"/>
            <w:tcBorders>
              <w:right w:val="single" w:sz="1" w:color="#000000"/>
              <w:bottom w:val="single" w:sz="1" w:color="#000000"/>
            </w:tcBorders>
          </w:tcPr>
          <w:p>
            <w:pPr>
              <w:jc w:val="center"/>
              <w:spacing w:after="0"/>
            </w:pPr>
            <w:r>
              <w:rPr>
                <w:rStyle w:val="Arial11"/>
              </w:rPr>
              <w:t xml:space="preserve">430</w:t>
            </w:r>
          </w:p>
        </w:tc>
      </w:tr>
      <w:tr>
        <w:trPr/>
        <w:tc>
          <w:tcPr>
            <w:tcW w:w="8750" w:type="dxa"/>
          </w:tcPr>
          <w:p/>
        </w:tc>
        <w:tc>
          <w:tcPr>
            <w:tcW w:w="1750" w:type="dxa"/>
          </w:tcPr>
          <w:p>
            <w:pPr>
              <w:jc w:val="center"/>
              <w:spacing w:after="0"/>
            </w:pPr>
            <w:r>
              <w:rPr>
                <w:rStyle w:val="Arial11"/>
              </w:rPr>
              <w:t xml:space="preserve">(237,827)</w:t>
            </w:r>
          </w:p>
        </w:tc>
        <w:tc>
          <w:tcPr>
            <w:tcW w:w="1750" w:type="dxa"/>
          </w:tcPr>
          <w:p>
            <w:pPr>
              <w:jc w:val="center"/>
              <w:spacing w:after="0"/>
            </w:pPr>
            <w:r>
              <w:rPr>
                <w:rStyle w:val="Arial11"/>
              </w:rPr>
              <w:t xml:space="preserve">(283,742)</w:t>
            </w:r>
          </w:p>
        </w:tc>
      </w:tr>
      <w:tr>
        <w:trPr/>
        <w:tc>
          <w:tcPr>
            <w:tcW w:w="8750" w:type="dxa"/>
          </w:tcPr>
          <w:p>
            <w:pPr>
              <w:spacing w:after="0"/>
            </w:pPr>
            <w:r>
              <w:rPr>
                <w:rStyle w:val="TableUnderline"/>
              </w:rPr>
              <w:t xml:space="preserve">Distribution and marketing expenses</w:t>
            </w:r>
          </w:p>
        </w:tc>
      </w:tr>
      <w:tr>
        <w:trPr/>
        <w:tc>
          <w:tcPr>
            <w:tcW w:w="8750" w:type="dxa"/>
          </w:tcPr>
          <w:p>
            <w:pPr>
              <w:spacing w:after="0"/>
            </w:pPr>
            <w:r>
              <w:rPr>
                <w:rStyle w:val="Arial11"/>
              </w:rPr>
              <w:t xml:space="preserve">Telephone expenses</w:t>
            </w:r>
          </w:p>
        </w:tc>
        <w:tc>
          <w:tcPr>
            <w:tcW w:w="1750" w:type="dxa"/>
            <w:tcBorders>
              <w:top w:val="single" w:sz="1" w:color="#000000"/>
              <w:left w:val="single" w:sz="1" w:color="#000000"/>
            </w:tcBorders>
          </w:tcPr>
          <w:p>
            <w:pPr>
              <w:jc w:val="center"/>
              <w:spacing w:after="0"/>
            </w:pPr>
            <w:r>
              <w:rPr>
                <w:rStyle w:val="Arial11"/>
              </w:rPr>
              <w:t xml:space="preserve">244</w:t>
            </w:r>
          </w:p>
        </w:tc>
        <w:tc>
          <w:tcPr>
            <w:tcW w:w="1750" w:type="dxa"/>
            <w:tcBorders>
              <w:top w:val="single" w:sz="1" w:color="#000000"/>
              <w:right w:val="single" w:sz="1" w:color="#000000"/>
            </w:tcBorders>
          </w:tcPr>
          <w:p>
            <w:pPr>
              <w:jc w:val="center"/>
              <w:spacing w:after="0"/>
            </w:pPr>
            <w:r>
              <w:rPr>
                <w:rStyle w:val="Arial11"/>
              </w:rPr>
              <w:t xml:space="preserve">412</w:t>
            </w:r>
          </w:p>
        </w:tc>
      </w:tr>
      <w:tr>
        <w:trPr/>
        <w:tc>
          <w:tcPr>
            <w:tcW w:w="8750" w:type="dxa"/>
          </w:tcPr>
          <w:p>
            <w:pPr>
              <w:spacing w:after="0"/>
            </w:pPr>
            <w:r>
              <w:rPr>
                <w:rStyle w:val="Arial11"/>
              </w:rPr>
              <w:t xml:space="preserve">Transportation</w:t>
            </w:r>
          </w:p>
        </w:tc>
        <w:tc>
          <w:tcPr>
            <w:tcW w:w="1750" w:type="dxa"/>
            <w:tcBorders>
              <w:left w:val="single" w:sz="1" w:color="#000000"/>
            </w:tcBorders>
          </w:tcPr>
          <w:p>
            <w:pPr>
              <w:jc w:val="center"/>
              <w:spacing w:after="0"/>
            </w:pPr>
            <w:r>
              <w:rPr>
                <w:rStyle w:val="Arial11"/>
              </w:rPr>
              <w:t xml:space="preserve">155</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Travelling expenses</w:t>
            </w:r>
          </w:p>
        </w:tc>
        <w:tc>
          <w:tcPr>
            <w:tcW w:w="1750" w:type="dxa"/>
            <w:tcBorders>
              <w:left w:val="single" w:sz="1" w:color="#000000"/>
              <w:bottom w:val="single" w:sz="1" w:color="#000000"/>
            </w:tcBorders>
          </w:tcPr>
          <w:p>
            <w:pPr>
              <w:jc w:val="center"/>
              <w:spacing w:after="0"/>
            </w:pPr>
            <w:r>
              <w:rPr>
                <w:rStyle w:val="Arial11"/>
              </w:rPr>
              <w:t xml:space="preserve">651</w:t>
            </w:r>
          </w:p>
        </w:tc>
        <w:tc>
          <w:tcPr>
            <w:tcW w:w="1750" w:type="dxa"/>
            <w:tcBorders>
              <w:right w:val="single" w:sz="1" w:color="#000000"/>
              <w:bottom w:val="single" w:sz="1" w:color="#000000"/>
            </w:tcBorders>
          </w:tcPr>
          <w:p>
            <w:pPr>
              <w:jc w:val="center"/>
              <w:spacing w:after="0"/>
            </w:pPr>
            <w:r>
              <w:rPr>
                <w:rStyle w:val="Arial11"/>
              </w:rPr>
              <w:t xml:space="preserve">-</w:t>
            </w:r>
          </w:p>
        </w:tc>
      </w:tr>
      <w:tr>
        <w:trPr/>
        <w:tc>
          <w:tcPr>
            <w:tcW w:w="8750" w:type="dxa"/>
          </w:tcPr>
          <w:p/>
        </w:tc>
        <w:tc>
          <w:tcPr>
            <w:tcW w:w="1750" w:type="dxa"/>
          </w:tcPr>
          <w:p>
            <w:pPr>
              <w:jc w:val="center"/>
              <w:spacing w:after="0"/>
            </w:pPr>
            <w:r>
              <w:rPr>
                <w:rStyle w:val="Arial11"/>
              </w:rPr>
              <w:t xml:space="preserve">(1,049)</w:t>
            </w:r>
          </w:p>
        </w:tc>
        <w:tc>
          <w:tcPr>
            <w:tcW w:w="1750" w:type="dxa"/>
          </w:tcPr>
          <w:p>
            <w:pPr>
              <w:jc w:val="center"/>
              <w:spacing w:after="0"/>
            </w:pPr>
            <w:r>
              <w:rPr>
                <w:rStyle w:val="Arial11"/>
              </w:rPr>
              <w:t xml:space="preserve">(412)</w:t>
            </w:r>
          </w:p>
        </w:tc>
      </w:tr>
      <w:tr>
        <w:trPr/>
        <w:tc>
          <w:tcPr>
            <w:tcW w:w="8750" w:type="dxa"/>
          </w:tcPr>
          <w:p>
            <w:pPr>
              <w:spacing w:after="0"/>
            </w:pPr>
            <w:r>
              <w:rPr>
                <w:rStyle w:val="TableUnderline"/>
              </w:rPr>
              <w:t xml:space="preserve">Finance expenses</w:t>
            </w:r>
          </w:p>
        </w:tc>
      </w:tr>
      <w:tr>
        <w:trPr/>
        <w:tc>
          <w:tcPr>
            <w:tcW w:w="8750" w:type="dxa"/>
          </w:tcPr>
          <w:p>
            <w:pPr>
              <w:spacing w:after="0"/>
            </w:pPr>
            <w:r>
              <w:rPr>
                <w:rStyle w:val="Arial11"/>
              </w:rPr>
              <w:t xml:space="preserve">Interest on bank borrowings</w:t>
            </w:r>
          </w:p>
        </w:tc>
        <w:tc>
          <w:tcPr>
            <w:tcW w:w="1750" w:type="dxa"/>
            <w:tcBorders>
              <w:top w:val="single" w:sz="1" w:color="#000000"/>
              <w:left w:val="single" w:sz="1" w:color="#000000"/>
              <w:right w:val="single" w:sz="1" w:color="#000000"/>
              <w:bottom w:val="single" w:sz="1" w:color="#000000"/>
            </w:tcBorders>
          </w:tcPr>
          <w:p>
            <w:pPr>
              <w:jc w:val="center"/>
              <w:spacing w:after="0"/>
            </w:pPr>
            <w:r>
              <w:rPr>
                <w:rStyle w:val="Arial11"/>
              </w:rPr>
              <w:t xml:space="preserve">191</w:t>
            </w:r>
          </w:p>
        </w:tc>
        <w:tc>
          <w:tcPr>
            <w:tcW w:w="1750" w:type="dxa"/>
            <w:tcBorders>
              <w:top w:val="single" w:sz="1" w:color="#000000"/>
              <w:left w:val="single" w:sz="1" w:color="#000000"/>
              <w:right w:val="single" w:sz="1" w:color="#000000"/>
              <w:bottom w:val="single" w:sz="1" w:color="#000000"/>
            </w:tcBorders>
          </w:tcPr>
          <w:p>
            <w:pPr>
              <w:jc w:val="center"/>
              <w:spacing w:after="0"/>
            </w:pPr>
            <w:r>
              <w:rPr>
                <w:rStyle w:val="Arial11"/>
              </w:rPr>
              <w:t xml:space="preserve">-</w:t>
            </w:r>
          </w:p>
        </w:tc>
      </w:tr>
      <w:tr>
        <w:trPr/>
        <w:tc>
          <w:tcPr>
            <w:tcW w:w="8750" w:type="dxa"/>
          </w:tcPr>
          <w:p/>
        </w:tc>
        <w:tc>
          <w:tcPr>
            <w:tcW w:w="1750" w:type="dxa"/>
          </w:tcPr>
          <w:p>
            <w:pPr>
              <w:jc w:val="center"/>
              <w:spacing w:after="0"/>
            </w:pPr>
            <w:r>
              <w:rPr>
                <w:rStyle w:val="Arial11"/>
              </w:rPr>
              <w:t xml:space="preserve">(191)</w:t>
            </w:r>
          </w:p>
        </w:tc>
        <w:tc>
          <w:tcPr>
            <w:tcW w:w="1750" w:type="dxa"/>
          </w:tcPr>
          <w:p>
            <w:pPr>
              <w:jc w:val="center"/>
              <w:spacing w:after="0"/>
            </w:pPr>
            <w:r>
              <w:rPr>
                <w:rStyle w:val="Arial11"/>
              </w:rPr>
              <w:t xml:space="preserve">-</w:t>
            </w:r>
          </w:p>
        </w:tc>
      </w:tr>
    </w:tbl>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VSIG PTE. LTD.</w:t>
    </w:r>
  </w:p>
  <w:p>
    <w:pPr/>
    <w:r>
      <w:rPr>
        <w:rStyle w:val="ArialBlack11"/>
      </w:rPr>
      <w:t xml:space="preserve">
        STATEMENT OF COMPREHENSIVE INCOME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VSIG PTE. LTD.</w:t>
    </w:r>
  </w:p>
  <w:p>
    <w:pPr/>
    <w:r>
      <w:rPr>
        <w:rStyle w:val="ArialBlack11"/>
      </w:rPr>
      <w:t xml:space="preserve">
        STATEMENT OF FINANCIAL POSITION
        <w:br/>
        AS AT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VSIG PTE. LTD.</w:t>
    </w:r>
  </w:p>
  <w:p>
    <w:pPr/>
    <w:r>
      <w:rPr>
        <w:rStyle w:val="ArialBlack11"/>
      </w:rPr>
      <w:t xml:space="preserve">
        STATEMENT OF CHANGES IN EQUITY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VSIG PTE. LTD.</w:t>
    </w:r>
  </w:p>
  <w:p>
    <w:pPr/>
    <w:r>
      <w:rPr>
        <w:rStyle w:val="ArialBlack11"/>
      </w:rPr>
      <w:t xml:space="preserve">
        STATEMENT OF CASH FLOWS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VSIG PTE. LTD.</w:t>
    </w:r>
  </w:p>
  <w:p>
    <w:pPr/>
    <w:r>
      <w:rPr>
        <w:rStyle w:val="ArialBlack11"/>
      </w:rPr>
      <w:t xml:space="preserve">
        DIRECTOR'S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center"/>
      <w:spacing w:after="0"/>
    </w:pPr>
    <w:r>
      <w:rPr>
        <w:rStyle w:val="ArialBlack11"/>
      </w:rPr>
      <w:t xml:space="preserve">VSIG PTE. LTD.</w:t>
    </w:r>
  </w:p>
  <w:p>
    <w:pPr>
      <w:jc w:val="center"/>
      <w:spacing w:after="0"/>
    </w:pPr>
    <w:r>
      <w:rPr>
        <w:rStyle w:val="ArialBlack11"/>
      </w:rPr>
      <w:t xml:space="preserve">
        DETAILED INCOME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VSIG PTE. LTD.</w:t>
    </w:r>
  </w:p>
  <w:p>
    <w:pPr/>
    <w:r>
      <w:rPr>
        <w:rStyle w:val="ArialBlack11"/>
      </w:rPr>
      <w:t xml:space="preserve">
        DIRECTOR'S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nsid w:val="0B5F533C"/>
    <w:multiLevelType w:val="multilevel"/>
    <w:lvl w:ilvl="0">
      <w:start w:val="1"/>
      <w:numFmt w:val="decimal"/>
      <w:suff w:val="tab"/>
      <w:lvlText w:val="%1."/>
      <w:pPr>
        <w:tabs>
          <w:tab w:val="num" w:pos="360"/>
        </w:tabs>
        <w:ind w:left="360" w:hanging="360"/>
      </w:pPr>
      <w:rPr>
        <w:rFonts/>
      </w:rPr>
    </w:lvl>
    <w:lvl w:ilvl="1">
      <w:start w:val="1"/>
      <w:numFmt w:val="lowerRoman"/>
      <w:suff w:val="tab"/>
      <w:lvlText w:val="(%2)"/>
      <w:pPr>
        <w:tabs>
          <w:tab w:val="num" w:pos="720"/>
        </w:tabs>
        <w:ind w:left="1000" w:hanging="360"/>
      </w:pPr>
      <w:rPr>
        <w:rFonts/>
      </w:rPr>
    </w:lvl>
    <w:lvl w:ilvl="2">
      <w:start w:val="1"/>
      <w:numFmt w:val="lowerLetter"/>
      <w:suff w:val="tab"/>
      <w:lvlText w:val="%3)"/>
      <w:pPr>
        <w:tabs>
          <w:tab w:val="num" w:pos="720"/>
        </w:tabs>
        <w:ind w:left="360" w:hanging="360"/>
      </w:pPr>
      <w:rPr>
        <w:rFonts/>
      </w:rPr>
    </w:lvl>
    <w:lvl w:ilvl="3">
      <w:start w:val="1"/>
      <w:numFmt w:val="lowerLetter"/>
      <w:suff w:val="tab"/>
      <w:lvlText w:val="(%4)"/>
      <w:pPr>
        <w:tabs>
          <w:tab w:val="num" w:pos="720"/>
        </w:tabs>
        <w:ind w:left="360" w:hanging="360"/>
      </w:pPr>
      <w:rPr>
        <w:rFonts/>
      </w:rPr>
    </w:lvl>
    <w:lvl w:ilvl="4">
      <w:start w:val="1"/>
      <w:numFmt w:val="lowerLetter"/>
      <w:suff w:val="tab"/>
      <w:lvlText w:val="(%5)"/>
      <w:pPr>
        <w:tabs>
          <w:tab w:val="num" w:pos="720"/>
        </w:tabs>
        <w:ind w:left="360" w:hanging="360"/>
      </w:pPr>
      <w:rPr>
        <w:rFonts/>
      </w:rPr>
    </w:lvl>
    <w:lvl w:ilvl="5">
      <w:start w:val="1"/>
      <w:numFmt w:val="lowerLetter"/>
      <w:suff w:val="tab"/>
      <w:lvlText w:val="(%6)"/>
      <w:pPr>
        <w:tabs>
          <w:tab w:val="num" w:pos="720"/>
        </w:tabs>
        <w:ind w:left="360" w:hanging="360"/>
      </w:pPr>
      <w:rPr>
        <w:rFonts/>
      </w:rPr>
    </w:lvl>
    <w:lvl w:ilvl="6">
      <w:start w:val="14"/>
      <w:numFmt w:val="lowerLetter"/>
      <w:suff w:val="tab"/>
      <w:lvlText w:val="(%7)"/>
      <w:pPr>
        <w:tabs>
          <w:tab w:val="num" w:pos="720"/>
        </w:tabs>
        <w:ind w:left="360" w:hanging="360"/>
      </w:pPr>
      <w:rPr>
        <w:rFonts/>
      </w:rPr>
    </w:lvl>
    <w:lvl w:ilvl="7">
      <w:start w:val="9"/>
      <w:numFmt w:val="lowerLetter"/>
      <w:suff w:val="tab"/>
      <w:lvlText w:val="(%8)"/>
      <w:pPr>
        <w:tabs>
          <w:tab w:val="num" w:pos="720"/>
        </w:tabs>
        <w:ind w:left="360" w:hanging="360"/>
      </w:pPr>
      <w:rPr>
        <w:rFonts/>
      </w:rPr>
    </w:lvl>
  </w:abstractNum>
  <w:abstractNum w:abstractNumId="7">
    <w:nsid w:val="36784239"/>
    <w:multiLevelType w:val="multilevel"/>
    <w:lvl w:ilvl="0">
      <w:start w:val="1"/>
      <w:numFmt w:val="decimal"/>
      <w:suff w:val="tab"/>
      <w:lvlText w:val="%1."/>
      <w:pPr>
        <w:tabs>
          <w:tab w:val="num" w:pos="360"/>
        </w:tabs>
        <w:ind w:left="360" w:hanging="360"/>
      </w:pPr>
      <w:rPr>
        <w:rFonts/>
      </w:rPr>
    </w:lvl>
    <w:lvl w:ilvl="1">
      <w:start w:val="1"/>
      <w:numFmt w:val="decimal"/>
      <w:suff w:val="tab"/>
      <w:lvlText w:val="%1.%2"/>
      <w:pPr>
        <w:tabs>
          <w:tab w:val="num" w:pos="360"/>
        </w:tabs>
        <w:ind w:left="360" w:hanging="360"/>
      </w:pPr>
      <w:rPr>
        <w:rFonts/>
      </w:rPr>
    </w:lvl>
    <w:lvl w:ilvl="2">
      <w:start w:val="2"/>
      <w:numFmt w:val="decimal"/>
      <w:suff w:val="tab"/>
      <w:lvlText w:val="%1.%2"/>
      <w:pPr>
        <w:tabs>
          <w:tab w:val="num" w:pos="360"/>
        </w:tabs>
        <w:ind w:left="360" w:hanging="360"/>
      </w:pPr>
      <w:rPr>
        <w:rFonts/>
      </w:rPr>
    </w:lvl>
    <w:lvl w:ilvl="3">
      <w:start w:val="2"/>
      <w:numFmt w:val="decimal"/>
      <w:suff w:val="tab"/>
      <w:lvlText w:val="%1.%2"/>
      <w:pPr>
        <w:tabs>
          <w:tab w:val="num" w:pos="360"/>
        </w:tabs>
        <w:ind w:left="360" w:hanging="360"/>
      </w:pPr>
      <w:rPr>
        <w:rFonts/>
      </w:rPr>
    </w:lvl>
    <w:lvl w:ilvl="4">
      <w:start w:val="2"/>
      <w:numFmt w:val="decimal"/>
      <w:suff w:val="tab"/>
      <w:lvlText w:val="%1.%2"/>
      <w:pPr>
        <w:tabs>
          <w:tab w:val="num" w:pos="360"/>
        </w:tabs>
        <w:ind w:left="360" w:hanging="360"/>
      </w:pPr>
      <w:rPr>
        <w:rFonts/>
      </w:rPr>
    </w:lvl>
    <w:lvl w:ilvl="5">
      <w:start w:val="2"/>
      <w:numFmt w:val="decimal"/>
      <w:suff w:val="tab"/>
      <w:lvlText w:val="%1.%2"/>
      <w:pPr>
        <w:tabs>
          <w:tab w:val="num" w:pos="360"/>
        </w:tabs>
        <w:ind w:left="360" w:hanging="360"/>
      </w:pPr>
      <w:rPr>
        <w:rFonts/>
      </w:rPr>
    </w:lvl>
    <w:lvl w:ilvl="6">
      <w:start w:val="2"/>
      <w:numFmt w:val="decimal"/>
      <w:suff w:val="tab"/>
      <w:lvlText w:val="%1.%2"/>
      <w:pPr>
        <w:tabs>
          <w:tab w:val="num" w:pos="360"/>
        </w:tabs>
        <w:ind w:left="360" w:hanging="360"/>
      </w:pPr>
      <w:rPr>
        <w:rFonts/>
      </w:rPr>
    </w:lvl>
    <w:lvl w:ilvl="7">
      <w:start w:val="2"/>
      <w:numFmt w:val="decimal"/>
      <w:suff w:val="tab"/>
      <w:lvlText w:val="%1.%2"/>
      <w:pPr>
        <w:tabs>
          <w:tab w:val="num" w:pos="360"/>
        </w:tabs>
        <w:ind w:left="360" w:hanging="360"/>
      </w:pPr>
      <w:rPr>
        <w:rFonts/>
      </w:rPr>
    </w:lvl>
    <w:lvl w:ilvl="8">
      <w:start w:val="2"/>
      <w:numFmt w:val="decimal"/>
      <w:suff w:val="tab"/>
      <w:lvlText w:val="%1.%2"/>
      <w:pPr>
        <w:tabs>
          <w:tab w:val="num" w:pos="360"/>
        </w:tabs>
        <w:ind w:left="360" w:hanging="360"/>
      </w:pPr>
      <w:rPr>
        <w:rFonts/>
      </w:rPr>
    </w:lvl>
  </w:abstractNum>
  <w:abstractNum w:abstractNumId="8">
    <w:nsid w:val="D1D5923F"/>
    <w:multiLevelType w:val="multilevel"/>
    <w:lvl w:ilvl="0">
      <w:start w:val="1"/>
      <w:numFmt w:val="lowerRoman"/>
      <w:suff w:val="tab"/>
      <w:lvlText w:val="(%1)"/>
      <w:pPr>
        <w:tabs>
          <w:tab w:val="num" w:pos="720"/>
        </w:tabs>
        <w:ind w:left="1000" w:hanging="360"/>
      </w:pPr>
      <w:rPr>
        <w:rFonts/>
      </w:rPr>
    </w:lvl>
    <w:lvl w:ilvl="1">
      <w:start w:val="1"/>
      <w:numFmt w:val="lowerRoman"/>
      <w:suff w:val="tab"/>
      <w:lvlText w:val="(%2)"/>
      <w:pPr>
        <w:tabs>
          <w:tab w:val="num" w:pos="720"/>
        </w:tabs>
        <w:ind w:left="1000" w:hanging="360"/>
      </w:pPr>
      <w:rPr>
        <w:rFonts/>
      </w:rPr>
    </w:lvl>
    <w:lvl w:ilvl="2">
      <w:start w:val="1"/>
      <w:numFmt w:val="lowerRoman"/>
      <w:suff w:val="tab"/>
      <w:lvlText w:val="(%3)"/>
      <w:pPr>
        <w:tabs>
          <w:tab w:val="num" w:pos="720"/>
        </w:tabs>
        <w:ind w:left="1000" w:hanging="360"/>
      </w:pPr>
      <w:rPr>
        <w:rFonts/>
      </w:rPr>
    </w:lvl>
    <w:lvl w:ilvl="3">
      <w:start w:val="1"/>
      <w:numFmt w:val="lowerRoman"/>
      <w:suff w:val="tab"/>
      <w:lvlText w:val="(%4)"/>
      <w:pPr>
        <w:tabs>
          <w:tab w:val="num" w:pos="720"/>
        </w:tabs>
        <w:ind w:left="1000" w:hanging="360"/>
      </w:pPr>
      <w:rPr>
        <w:rFonts/>
      </w:rPr>
    </w:lvl>
    <w:lvl w:ilvl="4">
      <w:start w:val="1"/>
      <w:numFmt w:val="lowerRoman"/>
      <w:suff w:val="tab"/>
      <w:lvlText w:val="(%5)"/>
      <w:pPr>
        <w:tabs>
          <w:tab w:val="num" w:pos="720"/>
        </w:tabs>
        <w:ind w:left="1000" w:hanging="360"/>
      </w:pPr>
      <w:rPr>
        <w:rFonts/>
      </w:rPr>
    </w:lvl>
    <w:lvl w:ilvl="5">
      <w:start w:val="1"/>
      <w:numFmt w:val="lowerRoman"/>
      <w:suff w:val="tab"/>
      <w:lvlText w:val="(%6)"/>
      <w:pPr>
        <w:tabs>
          <w:tab w:val="num" w:pos="720"/>
        </w:tabs>
        <w:ind w:left="1000" w:hanging="360"/>
      </w:pPr>
      <w:rPr>
        <w:rFonts/>
      </w:rPr>
    </w:lvl>
    <w:lvl w:ilvl="6">
      <w:start w:val="1"/>
      <w:numFmt w:val="lowerRoman"/>
      <w:suff w:val="tab"/>
      <w:lvlText w:val="(%7)"/>
      <w:pPr>
        <w:tabs>
          <w:tab w:val="num" w:pos="720"/>
        </w:tabs>
        <w:ind w:left="1000" w:hanging="360"/>
      </w:pPr>
      <w:rPr>
        <w:rFonts/>
      </w:rPr>
    </w:lvl>
  </w:abstractNum>
  <w:num w:numId="6">
    <w:abstractNumId w:val="6"/>
  </w:num>
  <w:num w:numId="7">
    <w:abstractNumId w:val="7"/>
  </w:num>
  <w:num w:numId="8">
    <w:abstractNumId w:val="8"/>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ArialBlack14"/>
    <w:rPr>
      <w:rFonts w:ascii="Arial" w:hAnsi="Arial" w:eastAsia="Arial" w:cs="Arial"/>
      <w:sz w:val="28"/>
      <w:szCs w:val="28"/>
      <w:b/>
      <w:bCs/>
    </w:rPr>
  </w:style>
  <w:style w:type="character">
    <w:name w:val="ArialBlack11"/>
    <w:rPr>
      <w:rFonts w:ascii="Arial" w:hAnsi="Arial" w:eastAsia="Arial" w:cs="Arial"/>
      <w:sz w:val="22"/>
      <w:szCs w:val="22"/>
      <w:b/>
      <w:bCs/>
    </w:rPr>
  </w:style>
  <w:style w:type="character">
    <w:name w:val="Arial11"/>
    <w:rPr>
      <w:rFonts w:ascii="Arial" w:hAnsi="Arial" w:eastAsia="Arial" w:cs="Arial"/>
      <w:sz w:val="22"/>
      <w:szCs w:val="22"/>
    </w:rPr>
  </w:style>
  <w:style w:type="character">
    <w:name w:val="TableUnderline"/>
    <w:rPr>
      <w:rFonts w:ascii="Arial" w:hAnsi="Arial" w:eastAsia="Arial" w:cs="Arial"/>
      <w:sz w:val="22"/>
      <w:szCs w:val="22"/>
      <w:u w:val="single"/>
    </w:rPr>
  </w:style>
  <w:style w:type="character">
    <w:name w:val="Arial11Italic"/>
    <w:rPr>
      <w:rFonts w:ascii="Arial" w:hAnsi="Arial" w:eastAsia="Arial" w:cs="Arial"/>
      <w:sz w:val="22"/>
      <w:szCs w:val="22"/>
      <w:i/>
      <w:iCs/>
    </w:rPr>
  </w:style>
  <w:style w:type="character">
    <w:name w:val="myOwnStyle"/>
    <w:rPr>
      <w:color w:val="FF0000"/>
    </w:rPr>
  </w:style>
  <w:style w:type="paragraph" w:customStyle="1" w:styleId="P-Style">
    <w:name w:val="P-Style"/>
    <w:basedOn w:val="Normal"/>
    <w:pPr>
      <w:spacing w:after="95"/>
    </w:pPr>
  </w:style>
  <w:style w:type="paragraph" w:customStyle="1" w:styleId="justifiedParagraph">
    <w:name w:val="justifiedParagraph"/>
    <w:basedOn w:val="Normal"/>
    <w:pPr>
      <w:jc w:val="both"/>
      <w:spacing w:after="1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4.xml"/><Relationship Id="rId8" Type="http://schemas.openxmlformats.org/officeDocument/2006/relationships/header" Target="header7.xml"/><Relationship Id="rId9" Type="http://schemas.openxmlformats.org/officeDocument/2006/relationships/header" Target="header10.xml"/><Relationship Id="rId10" Type="http://schemas.openxmlformats.org/officeDocument/2006/relationships/header" Target="header13.xml"/><Relationship Id="rId11" Type="http://schemas.openxmlformats.org/officeDocument/2006/relationships/header" Target="header16.xml"/><Relationship Id="rId12" Type="http://schemas.openxmlformats.org/officeDocument/2006/relationships/header" Target="header19.xml"/><Relationship Id="rId13" Type="http://schemas.openxmlformats.org/officeDocument/2006/relationships/header" Target="header22.xml"/><Relationship Id="rId14" Type="http://schemas.openxmlformats.org/officeDocument/2006/relationships/header" Target="header46.xml"/><Relationship Id="rId15" Type="http://schemas.openxmlformats.org/officeDocument/2006/relationships/header" Target="header6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2018-07-26T18:25:50+02:00</dcterms:created>
  <dcterms:modified xsi:type="dcterms:W3CDTF">2018-07-26T18:25:50+02:00</dcterms:modified>
</cp:coreProperties>
</file>

<file path=docProps/custom.xml><?xml version="1.0" encoding="utf-8"?>
<Properties xmlns="http://schemas.openxmlformats.org/officeDocument/2006/custom-properties" xmlns:vt="http://schemas.openxmlformats.org/officeDocument/2006/docPropsVTypes"/>
</file>