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r>
        <w:rPr/>
        <w:t xml:space="preserve"/>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r>
              <w:rPr/>
              <w:t xml:space="preserve">At the end of financial year</w:t>
            </w:r>
          </w:p>
        </w:tc>
      </w:tr>
      <w:tr>
        <w:trPr/>
        <w:tc>
          <w:tcPr>
            <w:tcW w:w="7000" w:type="dxa"/>
          </w:tcPr>
          <w:p>
            <w:pPr/>
            <w:r>
              <w:rPr>
                <w:u w:val="single"/>
              </w:rPr>
              <w:t xml:space="preserve">The Company</w:t>
            </w:r>
          </w:p>
        </w:tc>
      </w:tr>
      <w:tr>
        <w:trPr/>
        <w:tc>
          <w:tcPr/>
          <w:p>
            <w:pPr/>
            <w:r>
              <w:rPr>
                <w:rStyle w:val="Arial11"/>
              </w:rPr>
              <w:t xml:space="preserve"/>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20.07.2018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20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20.07.2018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Income Tax Expenses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99,641</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525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2</w:t>
            </w:r>
          </w:p>
        </w:tc>
      </w:tr>
      <w:tr>
        <w:trPr/>
        <w:tc>
          <w:tcPr>
            <w:tcW w:w="7000" w:type="dxa"/>
          </w:tcPr>
          <w:p>
            <w:pPr/>
            <w:r>
              <w:rPr/>
              <w:t xml:space="preserve">Under provision in prior year</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2</w:t>
            </w:r>
          </w:p>
        </w:tc>
      </w:tr>
      <w:tr>
        <w:trPr/>
        <w:tc>
          <w:tcPr>
            <w:tcW w:w="7000" w:type="dxa"/>
          </w:tcPr>
          <w:p>
            <w:pPr/>
            <w:r>
              <w:rPr/>
              <w:t xml:space="preserve">Under provision in prior year</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20.07.2018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20.07.2018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A6FF4EFD"/>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7BC988A5"/>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7CAAE5A7"/>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2018-07-16T18:50:37+02:00</dcterms:created>
  <dcterms:modified xsi:type="dcterms:W3CDTF">2018-07-16T18:50:37+02:00</dcterms:modified>
</cp:coreProperties>
</file>

<file path=docProps/custom.xml><?xml version="1.0" encoding="utf-8"?>
<Properties xmlns="http://schemas.openxmlformats.org/officeDocument/2006/custom-properties" xmlns:vt="http://schemas.openxmlformats.org/officeDocument/2006/docPropsVTypes"/>
</file>