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707070"/>
          <w:sz w:val="18"/>
          <w:szCs w:val="18"/>
        </w:rPr>
        <w:t xml:space="preserve">GENERATIVE AI IN FINANCE   |   DAY 1, 9:00 TO 11:00</w:t>
      </w:r>
    </w:p>
    <w:p>
      <w:pPr>
        <w:spacing w:after="200"/>
      </w:pPr>
      <w:r>
        <w:rPr>
          <w:b/>
          <w:bCs/>
          <w:color w:val="202020"/>
          <w:sz w:val="40"/>
          <w:szCs w:val="40"/>
        </w:rPr>
        <w:t xml:space="preserve">Technical Indicators in R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Student handout. Five scripts, A through E. Bring this with you and follow along in RStudio.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Four ways people decide to trade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40"/>
      </w:tblGrid>
      <w:tr>
        <w:tc>
          <w:tcPr>
            <w:tcW w:type="dxa" w:w="220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3F3F3F"/>
                <w:sz w:val="20"/>
                <w:szCs w:val="20"/>
              </w:rPr>
              <w:t xml:space="preserve">Belief based</w:t>
            </w:r>
          </w:p>
        </w:tc>
        <w:tc>
          <w:tcPr>
            <w:tcW w:type="dxa" w:w="78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A company's story or product is appealing on its own, regardless of financial or market factors.</w:t>
            </w:r>
          </w:p>
        </w:tc>
      </w:tr>
      <w:tr>
        <w:tc>
          <w:tcPr>
            <w:tcW w:type="dxa" w:w="220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3F3F3F"/>
                <w:sz w:val="20"/>
                <w:szCs w:val="20"/>
              </w:rPr>
              <w:t xml:space="preserve">Fundamental</w:t>
            </w:r>
          </w:p>
        </w:tc>
        <w:tc>
          <w:tcPr>
            <w:tcW w:type="dxa" w:w="78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Traditional financial indicators (earnings, revenue) trigger the decision, regardless of sector or product.</w:t>
            </w:r>
          </w:p>
        </w:tc>
      </w:tr>
      <w:tr>
        <w:tc>
          <w:tcPr>
            <w:tcW w:type="dxa" w:w="220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3F3F3F"/>
                <w:sz w:val="20"/>
                <w:szCs w:val="20"/>
              </w:rPr>
              <w:t xml:space="preserve">Technical</w:t>
            </w:r>
          </w:p>
        </w:tc>
        <w:tc>
          <w:tcPr>
            <w:tcW w:type="dxa" w:w="78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Price action itself, not the reason behind it, triggers the decision: crossovers, momentum, chart patterns.</w:t>
            </w:r>
          </w:p>
        </w:tc>
      </w:tr>
      <w:tr>
        <w:tc>
          <w:tcPr>
            <w:tcW w:type="dxa" w:w="220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3F3F3F"/>
                <w:sz w:val="20"/>
                <w:szCs w:val="20"/>
              </w:rPr>
              <w:t xml:space="preserve">High frequency</w:t>
            </w:r>
          </w:p>
        </w:tc>
        <w:tc>
          <w:tcPr>
            <w:tcW w:type="dxa" w:w="78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Algorithmic scalping measured in fractions of a second. No human in the loop, profit from market making.</w:t>
            </w:r>
          </w:p>
        </w:tc>
      </w:tr>
    </w:tbl>
    <w:p>
      <w:pPr>
        <w:spacing w:after="120" w:before="160"/>
      </w:pPr>
      <w:r>
        <w:rPr>
          <w:color w:val="3F3F3F"/>
          <w:sz w:val="22"/>
          <w:szCs w:val="22"/>
        </w:rPr>
        <w:t xml:space="preserve">Today's session focuses on technical trading. The goal is not to make you a trader, only to help you understand the tools well enough to build with them responsibly.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A word of caution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In the short term, trading is a negative sum game. Market makers earn on the transaction. Retail investors pay a fee, or lose the race to faster traders.</w:t>
      </w:r>
    </w:p>
    <w:p>
      <w:pPr>
        <w:pBdr>
          <w:top w:val="single" w:color="D3D3D3" w:sz="4"/>
          <w:bottom w:val="single" w:color="D3D3D3" w:sz="4"/>
          <w:left w:val="single" w:color="D3D3D3" w:sz="4"/>
          <w:right w:val="single" w:color="D3D3D3" w:sz="4"/>
        </w:pBdr>
        <w:shd w:fill="EEEEEE" w:val="clear"/>
        <w:spacing w:after="160" w:before="100"/>
        <w:ind w:left="431" w:right="431"/>
      </w:pPr>
      <w:r>
        <w:rPr>
          <w:i/>
          <w:iCs/>
          <w:color w:val="202020"/>
          <w:sz w:val="22"/>
          <w:szCs w:val="22"/>
        </w:rPr>
        <w:t xml:space="preserve">This is also the Knight Capital session. Script C asks you to flip one line of trading logic and rerun the backtest. That flip is the same category of mistake that cost Knight Capital roughly $440 million in 45 minutes: an automated rule, deployed with confidence, that nobody caught before it ran.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Why stock prices resist forecasting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Prices behave like a random walk, not a series with stable trend and seasonality.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Known information is already reflected in the price, so pattern based forecasts have little left to exploit.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External shocks (earnings misses, tariffs, litigation) can move a price for reasons that have nothing to do with the company's actual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A forecast that leads to action can itself change the market, making the next forecast harder.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What technical trading assumes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What over why: price action matters more than the reason behind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Price reflects information: known information is already priced 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Emotion moves markets: fear and greed drive some share of every trade.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Volatility is required: without price fluctuation there is nothing to detect.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Our tools: quantmod and TTR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quantmod handles the request to Yahoo Finance and organizes the response into an xts time series object.</w:t>
      </w:r>
    </w:p>
    <w:p>
      <w:pPr>
        <w:spacing w:after="160" w:before="80"/>
      </w:pPr>
      <w:r>
        <w:rPr>
          <w:rFonts w:ascii="Courier New" w:cs="Courier New" w:eastAsia="Courier New" w:hAnsi="Courier New"/>
          <w:color w:val="202020"/>
          <w:sz w:val="20"/>
          <w:szCs w:val="20"/>
        </w:rPr>
        <w:t xml:space="preserve">getSymbols("AAPL", src = "yahoo")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TTR (Technical Trading Rules) provides the indicator functions used today.</w:t>
      </w:r>
    </w:p>
    <w:p>
      <w:pPr>
        <w:spacing w:after="160" w:before="80"/>
      </w:pPr>
      <w:r>
        <w:rPr>
          <w:rFonts w:ascii="Courier New" w:cs="Courier New" w:eastAsia="Courier New" w:hAnsi="Courier New"/>
          <w:color w:val="202020"/>
          <w:sz w:val="20"/>
          <w:szCs w:val="20"/>
        </w:rPr>
        <w:t xml:space="preserve">SMA()    EMA()    MACD()    RSI()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Script A: get data, subset, plot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File: A_TTR.R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Get real stock data with getSymbols().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Subset an xts object by year, date range, or open ended window.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Plot the time series, including a dynamic dygraph and a candlestick chart.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What is a simple moving average (SMA), and why lag it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A smoothing technique that reduces noise by averaging price over the last n periods. The first n minus 1 values are always NA, since there is not yet enough history to average.</w:t>
      </w:r>
    </w:p>
    <w:p>
      <w:pPr>
        <w:pBdr>
          <w:top w:val="single" w:color="D3D3D3" w:sz="4"/>
          <w:bottom w:val="single" w:color="D3D3D3" w:sz="4"/>
          <w:left w:val="single" w:color="D3D3D3" w:sz="4"/>
          <w:right w:val="single" w:color="D3D3D3" w:sz="4"/>
        </w:pBdr>
        <w:shd w:fill="EEEEEE" w:val="clear"/>
        <w:spacing w:after="160" w:before="100"/>
        <w:ind w:left="431" w:right="431"/>
      </w:pPr>
      <w:r>
        <w:rPr>
          <w:i/>
          <w:iCs/>
          <w:color w:val="202020"/>
          <w:sz w:val="22"/>
          <w:szCs w:val="22"/>
        </w:rPr>
        <w:t xml:space="preserve">Why lag it: a closing price is only known at 4:00 PM. You cannot trade on today's close until tomorrow's market open. Every indicator built on closing prices must shift forward one period before it becomes a realistic trading rule. Skip the lag, and your backtest quietly trades on information you would not have had yet.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Script B: SMA windows, then EMA comparison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File: B_TTR.R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Build five SMA windows (3, 10, 30, 100, 250 day) and compare the smoothing effect.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Then build the same windows as EMA, and overlay SMA and EMA on the same chart.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Compare the last 15 days directly: which one moves first when price changes direction?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The exponential moving average (EMA)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An SMA treats every day in its window the same. An EMA does not: it gives more weight to recent prices and less weight to older ones.</w:t>
      </w:r>
    </w:p>
    <w:p>
      <w:pPr>
        <w:pBdr>
          <w:top w:val="single" w:color="D3D3D3" w:sz="4"/>
          <w:bottom w:val="single" w:color="D3D3D3" w:sz="4"/>
          <w:left w:val="single" w:color="D3D3D3" w:sz="4"/>
          <w:right w:val="single" w:color="D3D3D3" w:sz="4"/>
        </w:pBdr>
        <w:shd w:fill="EEEEEE" w:val="clear"/>
        <w:spacing w:after="160" w:before="100"/>
        <w:ind w:left="431" w:right="431"/>
      </w:pPr>
      <w:r>
        <w:rPr>
          <w:i/>
          <w:iCs/>
          <w:color w:val="202020"/>
          <w:sz w:val="22"/>
          <w:szCs w:val="22"/>
        </w:rPr>
        <w:t xml:space="preserve">An analogy: think about how you personally weigh news. Yesterday's headline still matters, but this morning's headline matters more. An EMA works the same way with prices.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Multiplier = 2 / (n + 1)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EMA today = (Price today × multiplier) + (EMA yesterday × (1 minus multiplier))</w:t>
      </w:r>
    </w:p>
    <w:p>
      <w:pPr>
        <w:pStyle w:val="Heading2"/>
        <w:spacing w:after="120" w:before="260"/>
      </w:pPr>
      <w:r>
        <w:rPr>
          <w:b/>
          <w:bCs/>
          <w:color w:val="707070"/>
          <w:sz w:val="24"/>
          <w:szCs w:val="24"/>
        </w:rPr>
        <w:t xml:space="preserve">Worked example, with n = 3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Multiplier = 2 / (3 + 1) = 0.5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7240"/>
      </w:tblGrid>
      <w:tr>
        <w:tc>
          <w:tcPr>
            <w:tcW w:type="dxa" w:w="1200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Day</w:t>
            </w:r>
          </w:p>
        </w:tc>
        <w:tc>
          <w:tcPr>
            <w:tcW w:type="dxa" w:w="1600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7240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SMA seed / EMA</w:t>
            </w:r>
          </w:p>
        </w:tc>
      </w:tr>
      <w:tr>
        <w:tc>
          <w:tcPr>
            <w:tcW w:type="dxa" w:w="1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10</w:t>
            </w:r>
          </w:p>
        </w:tc>
        <w:tc>
          <w:tcPr>
            <w:tcW w:type="dxa" w:w="7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11</w:t>
            </w:r>
          </w:p>
        </w:tc>
        <w:tc>
          <w:tcPr>
            <w:tcW w:type="dxa" w:w="724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9</w:t>
            </w:r>
          </w:p>
        </w:tc>
        <w:tc>
          <w:tcPr>
            <w:tcW w:type="dxa" w:w="7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SMA(10, 11, 9) = 10, used to seed the first EMA</w:t>
            </w:r>
          </w:p>
        </w:tc>
      </w:tr>
      <w:tr>
        <w:tc>
          <w:tcPr>
            <w:tcW w:type="dxa" w:w="120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724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(12 × 0.5) + (10 × 0.5) = 11</w:t>
            </w:r>
          </w:p>
        </w:tc>
      </w:tr>
      <w:tr>
        <w:tc>
          <w:tcPr>
            <w:tcW w:type="dxa" w:w="1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13</w:t>
            </w:r>
          </w:p>
        </w:tc>
        <w:tc>
          <w:tcPr>
            <w:tcW w:type="dxa" w:w="7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(13 × 0.5) + (11 × 0.5) = 12</w:t>
            </w:r>
          </w:p>
        </w:tc>
      </w:tr>
    </w:tbl>
    <w:p>
      <w:pPr>
        <w:spacing w:after="120" w:before="160"/>
      </w:pPr>
      <w:r>
        <w:rPr>
          <w:color w:val="3F3F3F"/>
          <w:sz w:val="22"/>
          <w:szCs w:val="22"/>
        </w:rPr>
        <w:t xml:space="preserve">Day 4's EMA leans on day 4's actual price as much as it leans on all of history combined. That is the recency weighting in action.</w:t>
      </w:r>
    </w:p>
    <w:p>
      <w:pPr>
        <w:pStyle w:val="Heading2"/>
        <w:spacing w:after="120" w:before="260"/>
      </w:pPr>
      <w:r>
        <w:rPr>
          <w:b/>
          <w:bCs/>
          <w:color w:val="707070"/>
          <w:sz w:val="24"/>
          <w:szCs w:val="24"/>
        </w:rPr>
        <w:t xml:space="preserve">SMA and EMA, side by side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70"/>
        <w:gridCol w:w="3770"/>
      </w:tblGrid>
      <w:tr>
        <w:tc>
          <w:tcPr>
            <w:tcW w:type="dxa" w:w="2500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3770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SMA</w:t>
            </w:r>
          </w:p>
        </w:tc>
        <w:tc>
          <w:tcPr>
            <w:tcW w:type="dxa" w:w="3770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</w:t>
            </w:r>
          </w:p>
        </w:tc>
      </w:tr>
      <w:tr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3F3F3F"/>
                <w:sz w:val="20"/>
                <w:szCs w:val="20"/>
              </w:rPr>
              <w:t xml:space="preserve">Weighting</w:t>
            </w:r>
          </w:p>
        </w:tc>
        <w:tc>
          <w:tcPr>
            <w:tcW w:type="dxa" w:w="37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Every day counts equally</w:t>
            </w:r>
          </w:p>
        </w:tc>
        <w:tc>
          <w:tcPr>
            <w:tcW w:type="dxa" w:w="37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Recent days count more</w:t>
            </w:r>
          </w:p>
        </w:tc>
      </w:tr>
      <w:tr>
        <w:tc>
          <w:tcPr>
            <w:tcW w:type="dxa" w:w="250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3F3F3F"/>
                <w:sz w:val="20"/>
                <w:szCs w:val="20"/>
              </w:rPr>
              <w:t xml:space="preserve">Reaction speed</w:t>
            </w:r>
          </w:p>
        </w:tc>
        <w:tc>
          <w:tcPr>
            <w:tcW w:type="dxa" w:w="377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Slower to reflect a new trend</w:t>
            </w:r>
          </w:p>
        </w:tc>
        <w:tc>
          <w:tcPr>
            <w:tcW w:type="dxa" w:w="377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Faster to reflect a new trend</w:t>
            </w:r>
          </w:p>
        </w:tc>
      </w:tr>
      <w:tr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3F3F3F"/>
                <w:sz w:val="20"/>
                <w:szCs w:val="20"/>
              </w:rPr>
              <w:t xml:space="preserve">Smoothness</w:t>
            </w:r>
          </w:p>
        </w:tc>
        <w:tc>
          <w:tcPr>
            <w:tcW w:type="dxa" w:w="37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Smoother, fewer false signals</w:t>
            </w:r>
          </w:p>
        </w:tc>
        <w:tc>
          <w:tcPr>
            <w:tcW w:type="dxa" w:w="37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Noisier, more false signals</w:t>
            </w:r>
          </w:p>
        </w:tc>
      </w:tr>
      <w:tr>
        <w:tc>
          <w:tcPr>
            <w:tcW w:type="dxa" w:w="250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3F3F3F"/>
                <w:sz w:val="20"/>
                <w:szCs w:val="20"/>
              </w:rPr>
              <w:t xml:space="preserve">Where we use it</w:t>
            </w:r>
          </w:p>
        </w:tc>
        <w:tc>
          <w:tcPr>
            <w:tcW w:type="dxa" w:w="377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Golden / death cross</w:t>
            </w:r>
          </w:p>
        </w:tc>
        <w:tc>
          <w:tcPr>
            <w:tcW w:type="dxa" w:w="377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MACD's fast, slow, signal lines</w:t>
            </w:r>
          </w:p>
        </w:tc>
      </w:tr>
    </w:tbl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The golden cross and the death cross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The most widely used SMA based indicator: a 50 day average crossing a 200 day average. This signal is conventionally built on SMA, not EMA. The slower, smoother average is the point: it filters out short term noise so the cross means something.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Golden cross: the 50 day average rises above the 200 day average. Often read as bullish.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Death cross: the 50 day average falls below the 200 day average. Often read as bearish.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200 days is roughly 9.5 months of trading. 50 days is roughly 2.4 months. Backtest to confirm these windows fit the equity you are trading.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Script C: build it, lag it, backtest it, then break it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File: C_TTR_50Day_200Day_SMA.R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3F3F3F"/>
          <w:sz w:val="22"/>
          <w:szCs w:val="22"/>
        </w:rPr>
        <w:t xml:space="preserve">Calculate the 50 and 200 day SMA on a real equity.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3F3F3F"/>
          <w:sz w:val="22"/>
          <w:szCs w:val="22"/>
        </w:rPr>
        <w:t xml:space="preserve">Build a trading rule: 1 if 50 day is above 200 day, 0 otherwise.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3F3F3F"/>
          <w:sz w:val="22"/>
          <w:szCs w:val="22"/>
        </w:rPr>
        <w:t xml:space="preserve">Lag the rule by one period, so it reflects what you could actually have known.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3F3F3F"/>
          <w:sz w:val="22"/>
          <w:szCs w:val="22"/>
        </w:rPr>
        <w:t xml:space="preserve">Backtest: multiply the rule by daily returns and review cumulative performance.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3F3F3F"/>
          <w:sz w:val="22"/>
          <w:szCs w:val="22"/>
        </w:rPr>
        <w:t xml:space="preserve">Now flip one line: swap the 1 and the 0. Rerun the backtest.</w:t>
      </w:r>
    </w:p>
    <w:p>
      <w:pPr>
        <w:pBdr>
          <w:top w:val="single" w:color="D3D3D3" w:sz="4"/>
          <w:bottom w:val="single" w:color="D3D3D3" w:sz="4"/>
          <w:left w:val="single" w:color="D3D3D3" w:sz="4"/>
          <w:right w:val="single" w:color="D3D3D3" w:sz="4"/>
        </w:pBdr>
        <w:shd w:fill="EEEEEE" w:val="clear"/>
        <w:spacing w:after="160" w:before="100"/>
        <w:ind w:left="431" w:right="431"/>
      </w:pPr>
      <w:r>
        <w:rPr>
          <w:i/>
          <w:iCs/>
          <w:color w:val="202020"/>
          <w:sz w:val="22"/>
          <w:szCs w:val="22"/>
        </w:rPr>
        <w:t xml:space="preserve">That last step, flipping one line and getting a materially different, and much worse, result, is the same shape of mistake as Knight Capital. The code ran. Nobody had reviewed what it actually did.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MACD: momentum from two moving averages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Moving Average Convergence Divergence. Measures whether momentum is building or fading.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3F3F3F"/>
          <w:sz w:val="22"/>
          <w:szCs w:val="22"/>
        </w:rPr>
        <w:t xml:space="preserve">Calculate a fast average and a slow average (nFast, typically 12 periods, nSlow, typically 26 periods). MACD conventionally uses EMA here, not SMA.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3F3F3F"/>
          <w:sz w:val="22"/>
          <w:szCs w:val="22"/>
        </w:rPr>
        <w:t xml:space="preserve">Subtract: fast minus slow. This difference is the MACD line.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3F3F3F"/>
          <w:sz w:val="22"/>
          <w:szCs w:val="22"/>
        </w:rPr>
        <w:t xml:space="preserve">Calculate a signal line: a further EMA (nSig, typically 9 periods) of that difference.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3F3F3F"/>
          <w:sz w:val="22"/>
          <w:szCs w:val="22"/>
        </w:rPr>
        <w:t xml:space="preserve">When MACD rises above the signal line, momentum is accelerating: a buy signal. The reverse is a sell signal.</w:t>
      </w:r>
    </w:p>
    <w:p>
      <w:pPr>
        <w:pBdr>
          <w:top w:val="single" w:color="D3D3D3" w:sz="4"/>
          <w:bottom w:val="single" w:color="D3D3D3" w:sz="4"/>
          <w:left w:val="single" w:color="D3D3D3" w:sz="4"/>
          <w:right w:val="single" w:color="D3D3D3" w:sz="4"/>
        </w:pBdr>
        <w:shd w:fill="EEEEEE" w:val="clear"/>
        <w:spacing w:after="160" w:before="100"/>
        <w:ind w:left="431" w:right="431"/>
      </w:pPr>
      <w:r>
        <w:rPr>
          <w:i/>
          <w:iCs/>
          <w:color w:val="202020"/>
          <w:sz w:val="22"/>
          <w:szCs w:val="22"/>
        </w:rPr>
        <w:t xml:space="preserve">MACD does not buy low and sell high. It buys high and sells higher. It will never capture the exact top or bottom.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Script D: calculate both SMA and EMA MACD, then compare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File: D_TTR.R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Calculate MACD by hand using both SMA and EMA, then confirm each against TTR::MACD().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Plot the two MACD lines together and see where they disagree.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Continue with the EMA version for the backtest, since that is what most trading platforms compute by default.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RSI: a momentum oscillator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An index between 0 and 100, comparing average gains to average losses over a window, typically 14 periods. Below 30 is read as oversold. Above 70 is read as overbought.</w:t>
      </w:r>
    </w:p>
    <w:p>
      <w:pPr>
        <w:spacing w:after="160" w:before="80"/>
      </w:pPr>
      <w:r>
        <w:rPr>
          <w:rFonts w:ascii="Courier New" w:cs="Courier New" w:eastAsia="Courier New" w:hAnsi="Courier New"/>
          <w:color w:val="202020"/>
          <w:sz w:val="20"/>
          <w:szCs w:val="20"/>
        </w:rPr>
        <w:t xml:space="preserve">RS = Avg Gain / Avg Loss</w:t>
      </w:r>
    </w:p>
    <w:p>
      <w:pPr>
        <w:spacing w:after="160" w:before="80"/>
      </w:pPr>
      <w:r>
        <w:rPr>
          <w:rFonts w:ascii="Courier New" w:cs="Courier New" w:eastAsia="Courier New" w:hAnsi="Courier New"/>
          <w:color w:val="202020"/>
          <w:sz w:val="20"/>
          <w:szCs w:val="20"/>
        </w:rPr>
        <w:t xml:space="preserve">RSI = 100 minus (100 divided by 1 plus RS)</w:t>
      </w:r>
    </w:p>
    <w:p>
      <w:pPr>
        <w:pBdr>
          <w:top w:val="single" w:color="D3D3D3" w:sz="4"/>
          <w:bottom w:val="single" w:color="D3D3D3" w:sz="4"/>
          <w:left w:val="single" w:color="D3D3D3" w:sz="4"/>
          <w:right w:val="single" w:color="D3D3D3" w:sz="4"/>
        </w:pBdr>
        <w:shd w:fill="EEEEEE" w:val="clear"/>
        <w:spacing w:after="160" w:before="100"/>
        <w:ind w:left="431" w:right="431"/>
      </w:pPr>
      <w:r>
        <w:rPr>
          <w:i/>
          <w:iCs/>
          <w:color w:val="202020"/>
          <w:sz w:val="22"/>
          <w:szCs w:val="22"/>
        </w:rPr>
        <w:t xml:space="preserve">Avg Gain and Avg Loss both divide by the same window (n, typically 14), not by a separate count of up days or down days. That shared denominator is what keeps the ratio meaningful.</w:t>
      </w:r>
    </w:p>
    <w:p>
      <w:pPr>
        <w:pStyle w:val="Heading2"/>
        <w:spacing w:after="120" w:before="260"/>
      </w:pPr>
      <w:r>
        <w:rPr>
          <w:b/>
          <w:bCs/>
          <w:color w:val="707070"/>
          <w:sz w:val="24"/>
          <w:szCs w:val="24"/>
        </w:rPr>
        <w:t xml:space="preserve">Worked example, n = 14 throughout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8"/>
        <w:gridCol w:w="2008"/>
        <w:gridCol w:w="2008"/>
        <w:gridCol w:w="2008"/>
        <w:gridCol w:w="2008"/>
      </w:tblGrid>
      <w:tr>
        <w:tc>
          <w:tcPr>
            <w:tcW w:type="dxa" w:w="2008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Case</w:t>
            </w:r>
          </w:p>
        </w:tc>
        <w:tc>
          <w:tcPr>
            <w:tcW w:type="dxa" w:w="2008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Total gain</w:t>
            </w:r>
          </w:p>
        </w:tc>
        <w:tc>
          <w:tcPr>
            <w:tcW w:type="dxa" w:w="2008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Total loss</w:t>
            </w:r>
          </w:p>
        </w:tc>
        <w:tc>
          <w:tcPr>
            <w:tcW w:type="dxa" w:w="2008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RS</w:t>
            </w:r>
          </w:p>
        </w:tc>
        <w:tc>
          <w:tcPr>
            <w:tcW w:type="dxa" w:w="2008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RSI</w:t>
            </w:r>
          </w:p>
        </w:tc>
      </w:tr>
      <w:tr>
        <w:tc>
          <w:tcPr>
            <w:tcW w:type="dxa" w:w="200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Neutral</w:t>
            </w:r>
          </w:p>
        </w:tc>
        <w:tc>
          <w:tcPr>
            <w:tcW w:type="dxa" w:w="200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70707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8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Overbought</w:t>
            </w:r>
          </w:p>
        </w:tc>
        <w:tc>
          <w:tcPr>
            <w:tcW w:type="dxa" w:w="2008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70</w:t>
            </w:r>
          </w:p>
        </w:tc>
        <w:tc>
          <w:tcPr>
            <w:tcW w:type="dxa" w:w="2008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8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10</w:t>
            </w:r>
          </w:p>
        </w:tc>
        <w:tc>
          <w:tcPr>
            <w:tcW w:type="dxa" w:w="2008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707070"/>
                <w:sz w:val="20"/>
                <w:szCs w:val="20"/>
              </w:rPr>
              <w:t xml:space="preserve">90.9</w:t>
            </w:r>
          </w:p>
        </w:tc>
      </w:tr>
      <w:tr>
        <w:tc>
          <w:tcPr>
            <w:tcW w:type="dxa" w:w="200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Oversold</w:t>
            </w:r>
          </w:p>
        </w:tc>
        <w:tc>
          <w:tcPr>
            <w:tcW w:type="dxa" w:w="200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56</w:t>
            </w:r>
          </w:p>
        </w:tc>
        <w:tc>
          <w:tcPr>
            <w:tcW w:type="dxa" w:w="200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F3F3F"/>
                <w:sz w:val="20"/>
                <w:szCs w:val="20"/>
              </w:rPr>
              <w:t xml:space="preserve">0.125</w:t>
            </w:r>
          </w:p>
        </w:tc>
        <w:tc>
          <w:tcPr>
            <w:tcW w:type="dxa" w:w="200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707070"/>
                <w:sz w:val="20"/>
                <w:szCs w:val="20"/>
              </w:rPr>
              <w:t xml:space="preserve">11.1</w:t>
            </w:r>
          </w:p>
        </w:tc>
      </w:tr>
    </w:tbl>
    <w:p>
      <w:pPr>
        <w:spacing w:after="120" w:before="160"/>
      </w:pPr>
      <w:r>
        <w:rPr>
          <w:color w:val="3F3F3F"/>
          <w:sz w:val="22"/>
          <w:szCs w:val="22"/>
        </w:rPr>
        <w:t xml:space="preserve">Every row divides by the same n = 14. Only the gain and loss totals change, and that alone moves RSI from neutral to overbought to oversold.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We use SMA for this calculation, matching the scripts. EMA is more common in practice.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Script E: RSI and compound rules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File: E_TTR.R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Calculate RSI for a real equity and plot it against the closing price, marking the 30 and 70 thresholds.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Turn RSI into a backtestable indicator and review cumulative return.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Combine RSI with MACD into a single compound rule, then compare capital at risk between the two approaches.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Rules to carry forward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Every indicator built on closing prices needs a lag before it becomes a realistic trading rule.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Backtest before you trust a rule, and rerun the backtest any time you change the logic.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A single flipped line can turn a working strategy into a Knight Capital story. Review before you deploy.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No single indicator is reliable alone. Combine signals, and still expect to be wrong sometimes.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Notes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6A6A6A"/>
      <w:sz w:val="32"/>
      <w:szCs w:val="32"/>
    </w:rPr>
  </w:style>
  <w:style w:type="paragraph" w:styleId="Heading2">
    <w:name w:val="Heading 2"/>
    <w:basedOn w:val="Normal"/>
    <w:next w:val="Normal"/>
    <w:qFormat/>
    <w:rPr>
      <w:color w:val="6A6A6A"/>
      <w:sz w:val="26"/>
      <w:szCs w:val="26"/>
    </w:rPr>
  </w:style>
  <w:style w:type="paragraph" w:styleId="Heading3">
    <w:name w:val="Heading 3"/>
    <w:basedOn w:val="Normal"/>
    <w:next w:val="Normal"/>
    <w:qFormat/>
    <w:rPr>
      <w:color w:val="4646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6A6A6A"/>
    </w:rPr>
  </w:style>
  <w:style w:type="paragraph" w:styleId="Heading5">
    <w:name w:val="Heading 5"/>
    <w:basedOn w:val="Normal"/>
    <w:next w:val="Normal"/>
    <w:qFormat/>
    <w:rPr>
      <w:color w:val="6A6A6A"/>
    </w:rPr>
  </w:style>
  <w:style w:type="paragraph" w:styleId="Heading6">
    <w:name w:val="Heading 6"/>
    <w:basedOn w:val="Normal"/>
    <w:next w:val="Normal"/>
    <w:qFormat/>
    <w:rPr>
      <w:color w:val="46464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56565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2026-07-06T22:39:00.874Z</dcterms:created>
  <dcterms:modified xsi:type="dcterms:W3CDTF">2026-07-06T22:39:00.874Z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