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80"/>
      </w:pPr>
      <w:r>
        <w:rPr>
          <w:rFonts w:ascii="Cambria" w:cs="Cambria" w:eastAsia="Cambria" w:hAnsi="Cambria"/>
          <w:b/>
          <w:bCs/>
          <w:color w:val="000000"/>
          <w:sz w:val="40"/>
          <w:szCs w:val="40"/>
        </w:rPr>
        <w:t xml:space="preserve">Portfolio Optimization</w:t>
      </w:r>
    </w:p>
    <w:p>
      <w:pPr>
        <w:spacing w:after="100"/>
      </w:pPr>
      <w:r>
        <w:rPr>
          <w:rFonts w:ascii="Calibri" w:cs="Calibri" w:eastAsia="Calibri" w:hAnsi="Calibri"/>
          <w:color w:val="666666"/>
          <w:sz w:val="21"/>
          <w:szCs w:val="21"/>
        </w:rPr>
        <w:t xml:space="preserve">A take-home reference for the quantitative half of Day 2. Everything here is calculated in R; the language model only interprets the finished numbers.</w:t>
      </w:r>
    </w:p>
    <w:p>
      <w:pPr>
        <w:pBdr>
          <w:bottom w:val="single" w:color="BFBFBF" w:sz="6" w:space="1"/>
        </w:pBdr>
        <w:spacing w:after="120" w:before="40"/>
      </w:pPr>
      <w:r>
        <w:rPr>
          <w:sz w:val="2"/>
          <w:szCs w:val="2"/>
        </w:rPr>
        <w:t xml:space="preserve"/>
      </w:r>
    </w:p>
    <w:p>
      <w:pPr>
        <w:pStyle w:val="Heading1"/>
        <w:spacing w:after="90" w:before="220"/>
      </w:pPr>
      <w:r>
        <w:rPr>
          <w:rFonts w:ascii="Cambria" w:cs="Cambria" w:eastAsia="Cambria" w:hAnsi="Cambria"/>
          <w:b/>
          <w:bCs/>
          <w:color w:val="000000"/>
          <w:sz w:val="30"/>
          <w:szCs w:val="30"/>
        </w:rPr>
        <w:t xml:space="preserve">The big picture</w:t>
      </w:r>
    </w:p>
    <w:p>
      <w:pPr>
        <w:spacing w:after="100" w:line="264"/>
      </w:pPr>
      <w:r>
        <w:rPr>
          <w:rFonts w:ascii="Calibri" w:cs="Calibri" w:eastAsia="Calibri" w:hAnsi="Calibri"/>
          <w:color w:val="1A1A1A"/>
          <w:sz w:val="21"/>
          <w:szCs w:val="21"/>
        </w:rPr>
        <w:t xml:space="preserve">You start with a basket of stocks and end with a set of portfolio weights: how much of your money goes into each name. Different weighting methods answer different questions. This reference covers the three the course builds, plus the rolling diagnostics that watch a portfolio over time.</w:t>
      </w: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Pr>
      <w:tblGrid>
        <w:gridCol w:w="10800"/>
      </w:tblGrid>
      <w:tr>
        <w:tc>
          <w:tcPr>
            <w:tcW w:type="dxa" w:w="10800"/>
            <w:shd w:fill="EDEDED" w:color="auto" w:val="clear"/>
            <w:tcMar>
              <w:top w:type="dxa" w:w="140"/>
              <w:left w:type="dxa" w:w="200"/>
              <w:bottom w:type="dxa" w:w="140"/>
              <w:right w:type="dxa" w:w="200"/>
            </w:tcMar>
          </w:tcPr>
          <w:p>
            <w:pPr>
              <w:spacing w:after="40"/>
            </w:pPr>
            <w:r>
              <w:rPr>
                <w:rFonts w:ascii="Calibri" w:cs="Calibri" w:eastAsia="Calibri" w:hAnsi="Calibri"/>
                <w:b/>
                <w:bCs/>
                <w:caps/>
                <w:color w:val="000000"/>
                <w:spacing w:val="20"/>
                <w:sz w:val="19"/>
                <w:szCs w:val="19"/>
              </w:rPr>
              <w:t xml:space="preserve">The one principle to remember</w:t>
            </w:r>
          </w:p>
          <w:p>
            <w:pPr>
              <w:spacing w:after="0" w:line="258"/>
            </w:pPr>
            <w:r>
              <w:rPr>
                <w:rFonts w:ascii="Calibri" w:cs="Calibri" w:eastAsia="Calibri" w:hAnsi="Calibri"/>
                <w:b/>
                <w:bCs/>
                <w:color w:val="000000"/>
                <w:sz w:val="20"/>
                <w:szCs w:val="20"/>
              </w:rPr>
              <w:t xml:space="preserve">R does the math. The language model only reads and explains the result. </w:t>
            </w:r>
            <w:r>
              <w:rPr>
                <w:rFonts w:ascii="Calibri" w:cs="Calibri" w:eastAsia="Calibri" w:hAnsi="Calibri"/>
                <w:color w:val="1A1A1A"/>
                <w:sz w:val="20"/>
                <w:szCs w:val="20"/>
              </w:rPr>
              <w:t xml:space="preserve">A weighting is never shipped straight from an optimizer to a trading system without a human reviewing it. That missing human step is what ended Knight Capital in 45 minutes.</w:t>
            </w:r>
          </w:p>
        </w:tc>
      </w:tr>
    </w:tbl>
    <w:p>
      <w:pPr>
        <w:pStyle w:val="Heading1"/>
        <w:spacing w:after="90" w:before="220"/>
      </w:pPr>
      <w:r>
        <w:rPr>
          <w:rFonts w:ascii="Cambria" w:cs="Cambria" w:eastAsia="Cambria" w:hAnsi="Cambria"/>
          <w:b/>
          <w:bCs/>
          <w:color w:val="000000"/>
          <w:sz w:val="30"/>
          <w:szCs w:val="30"/>
        </w:rPr>
        <w:t xml:space="preserve">From prices to returns (Script A)</w:t>
      </w:r>
    </w:p>
    <w:p>
      <w:pPr>
        <w:spacing w:after="100" w:line="264"/>
      </w:pPr>
      <w:r>
        <w:rPr>
          <w:rFonts w:ascii="Calibri" w:cs="Calibri" w:eastAsia="Calibri" w:hAnsi="Calibri"/>
          <w:color w:val="1A1A1A"/>
          <w:sz w:val="21"/>
          <w:szCs w:val="21"/>
        </w:rPr>
        <w:t xml:space="preserve">Optimizers work on returns, not price levels, because returns are comparable across stocks. The daily simple return is the percentage change from one day to the next.</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800"/>
      </w:tblGrid>
      <w:tr>
        <w:tc>
          <w:tcPr>
            <w:tcW w:type="dxa" w:w="10800"/>
            <w:shd w:fill="2B2B2B" w:color="auto" w:val="clear"/>
            <w:tcMar>
              <w:top w:type="dxa" w:w="160"/>
              <w:left w:type="dxa" w:w="220"/>
              <w:bottom w:type="dxa" w:w="160"/>
              <w:right w:type="dxa" w:w="220"/>
            </w:tcMar>
          </w:tcPr>
          <w:p>
            <w:pPr>
              <w:spacing w:after="60"/>
            </w:pPr>
            <w:r>
              <w:rPr>
                <w:rFonts w:ascii="Calibri" w:cs="Calibri" w:eastAsia="Calibri" w:hAnsi="Calibri"/>
                <w:b/>
                <w:bCs/>
                <w:caps/>
                <w:color w:val="FFFFFF"/>
                <w:spacing w:val="30"/>
                <w:sz w:val="17"/>
                <w:szCs w:val="17"/>
              </w:rPr>
              <w:t xml:space="preserve">Simple return</w:t>
            </w:r>
          </w:p>
          <w:p>
            <w:pPr>
              <w:spacing w:after="50" w:line="264"/>
            </w:pPr>
            <w:r>
              <w:rPr>
                <w:rFonts w:ascii="Consolas" w:cs="Consolas" w:eastAsia="Consolas" w:hAnsi="Consolas"/>
                <w:color w:val="000000"/>
                <w:sz w:val="19"/>
                <w:szCs w:val="19"/>
              </w:rPr>
              <w:t xml:space="preserve">r_t  =  (P_t - P_{t-1}) / P_{t-1}</w:t>
            </w:r>
          </w:p>
          <w:p>
            <w:pPr>
              <w:spacing w:after="0" w:line="264"/>
            </w:pPr>
            <w:r>
              <w:rPr>
                <w:rFonts w:ascii="Calibri" w:cs="Calibri" w:eastAsia="Calibri" w:hAnsi="Calibri"/>
                <w:color w:val="DDDDDD"/>
                <w:sz w:val="19"/>
                <w:szCs w:val="19"/>
              </w:rPr>
              <w:t xml:space="preserve">P is the adjusted close. We use simple returns so that weights times returns equals the portfolio return exactly.</w:t>
            </w:r>
          </w:p>
        </w:tc>
      </w:tr>
    </w:tbl>
    <w:p>
      <w:pPr>
        <w:spacing w:after="100" w:line="264"/>
      </w:pPr>
      <w:r>
        <w:rPr>
          <w:rFonts w:ascii="Calibri" w:cs="Calibri" w:eastAsia="Calibri" w:hAnsi="Calibri"/>
          <w:b/>
          <w:bCs/>
          <w:color w:val="1A1A1A"/>
          <w:sz w:val="21"/>
          <w:szCs w:val="21"/>
        </w:rPr>
        <w:t xml:space="preserve">Log returns </w:t>
      </w:r>
      <w:r>
        <w:rPr>
          <w:rFonts w:ascii="Calibri" w:cs="Calibri" w:eastAsia="Calibri" w:hAnsi="Calibri"/>
          <w:color w:val="1A1A1A"/>
          <w:sz w:val="21"/>
          <w:szCs w:val="21"/>
        </w:rPr>
        <w:t xml:space="preserve">are an alternative: they add cleanly across time but not across assets, so simple returns fit portfolio weighting better. In R: </w:t>
      </w:r>
      <w:r>
        <w:rPr>
          <w:rFonts w:ascii="Consolas" w:cs="Consolas" w:eastAsia="Consolas" w:hAnsi="Consolas"/>
          <w:color w:val="000000"/>
          <w:sz w:val="19"/>
          <w:szCs w:val="19"/>
        </w:rPr>
        <w:t xml:space="preserve">PerformanceAnalytics::Return.calculate(prices, method = "discrete")</w:t>
      </w:r>
      <w:r>
        <w:rPr>
          <w:rFonts w:ascii="Calibri" w:cs="Calibri" w:eastAsia="Calibri" w:hAnsi="Calibri"/>
          <w:color w:val="1A1A1A"/>
          <w:sz w:val="21"/>
          <w:szCs w:val="21"/>
        </w:rPr>
        <w:t xml:space="preserve">.</w:t>
      </w:r>
    </w:p>
    <w:p>
      <w:pPr>
        <w:pStyle w:val="Heading1"/>
        <w:spacing w:after="90" w:before="220"/>
      </w:pPr>
      <w:r>
        <w:rPr>
          <w:rFonts w:ascii="Cambria" w:cs="Cambria" w:eastAsia="Cambria" w:hAnsi="Cambria"/>
          <w:b/>
          <w:bCs/>
          <w:color w:val="000000"/>
          <w:sz w:val="30"/>
          <w:szCs w:val="30"/>
        </w:rPr>
        <w:t xml:space="preserve">The covariance matrix: the key input</w:t>
      </w:r>
    </w:p>
    <w:p>
      <w:pPr>
        <w:spacing w:after="100" w:line="264"/>
      </w:pPr>
      <w:r>
        <w:rPr>
          <w:rFonts w:ascii="Calibri" w:cs="Calibri" w:eastAsia="Calibri" w:hAnsi="Calibri"/>
          <w:color w:val="1A1A1A"/>
          <w:sz w:val="21"/>
          <w:szCs w:val="21"/>
        </w:rPr>
        <w:t xml:space="preserve">Every optimizer here depends on the covariance matrix, which captures two things at once: how volatile each stock is on its own, and how the stocks move together. Two stocks that move in opposite directions reduce portfolio risk more than either does alone. That is the entire engine of diversification.</w:t>
      </w:r>
    </w:p>
    <w:p>
      <w:pPr>
        <w:spacing w:after="100" w:line="264"/>
      </w:pPr>
      <w:r>
        <w:rPr>
          <w:rFonts w:ascii="Calibri" w:cs="Calibri" w:eastAsia="Calibri" w:hAnsi="Calibri"/>
          <w:color w:val="1A1A1A"/>
          <w:sz w:val="21"/>
          <w:szCs w:val="21"/>
        </w:rPr>
        <w:t xml:space="preserve">In R: </w:t>
      </w:r>
      <w:r>
        <w:rPr>
          <w:rFonts w:ascii="Consolas" w:cs="Consolas" w:eastAsia="Consolas" w:hAnsi="Consolas"/>
          <w:color w:val="000000"/>
          <w:sz w:val="19"/>
          <w:szCs w:val="19"/>
        </w:rPr>
        <w:t xml:space="preserve">cov_matrix &lt;- cov(returns_df)</w:t>
      </w:r>
      <w:r>
        <w:rPr>
          <w:rFonts w:ascii="Calibri" w:cs="Calibri" w:eastAsia="Calibri" w:hAnsi="Calibri"/>
          <w:color w:val="1A1A1A"/>
          <w:sz w:val="21"/>
          <w:szCs w:val="21"/>
        </w:rPr>
        <w:t xml:space="preserve">.  Correlation is the same idea scaled to a range of -1 to 1: </w:t>
      </w:r>
      <w:r>
        <w:rPr>
          <w:rFonts w:ascii="Consolas" w:cs="Consolas" w:eastAsia="Consolas" w:hAnsi="Consolas"/>
          <w:color w:val="000000"/>
          <w:sz w:val="19"/>
          <w:szCs w:val="19"/>
        </w:rPr>
        <w:t xml:space="preserve">cor(returns_df)</w:t>
      </w:r>
      <w:r>
        <w:rPr>
          <w:rFonts w:ascii="Calibri" w:cs="Calibri" w:eastAsia="Calibri" w:hAnsi="Calibri"/>
          <w:color w:val="1A1A1A"/>
          <w:sz w:val="21"/>
          <w:szCs w:val="21"/>
        </w:rPr>
        <w:t xml:space="preserve">.</w:t>
      </w:r>
    </w:p>
    <w:p>
      <w:pPr>
        <w:pStyle w:val="Heading1"/>
        <w:spacing w:after="90" w:before="220"/>
      </w:pPr>
      <w:r>
        <w:rPr>
          <w:rFonts w:ascii="Cambria" w:cs="Cambria" w:eastAsia="Cambria" w:hAnsi="Cambria"/>
          <w:b/>
          <w:bCs/>
          <w:color w:val="000000"/>
          <w:sz w:val="30"/>
          <w:szCs w:val="30"/>
        </w:rPr>
        <w:t xml:space="preserve">Minimum variance portfolio (Script B)</w:t>
      </w:r>
    </w:p>
    <w:p>
      <w:pPr>
        <w:spacing w:after="100" w:line="264"/>
      </w:pPr>
      <w:r>
        <w:rPr>
          <w:rFonts w:ascii="Calibri" w:cs="Calibri" w:eastAsia="Calibri" w:hAnsi="Calibri"/>
          <w:color w:val="1A1A1A"/>
          <w:sz w:val="21"/>
          <w:szCs w:val="21"/>
        </w:rPr>
        <w:t xml:space="preserve">Goal: the calmest possible portfolio. It minimizes total portfolio variance, ignoring expected return entirely. It answers: what mix wobbles the least?</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800"/>
      </w:tblGrid>
      <w:tr>
        <w:tc>
          <w:tcPr>
            <w:tcW w:type="dxa" w:w="10800"/>
            <w:shd w:fill="2B2B2B" w:color="auto" w:val="clear"/>
            <w:tcMar>
              <w:top w:type="dxa" w:w="160"/>
              <w:left w:type="dxa" w:w="220"/>
              <w:bottom w:type="dxa" w:w="160"/>
              <w:right w:type="dxa" w:w="220"/>
            </w:tcMar>
          </w:tcPr>
          <w:p>
            <w:pPr>
              <w:spacing w:after="60"/>
            </w:pPr>
            <w:r>
              <w:rPr>
                <w:rFonts w:ascii="Calibri" w:cs="Calibri" w:eastAsia="Calibri" w:hAnsi="Calibri"/>
                <w:b/>
                <w:bCs/>
                <w:caps/>
                <w:color w:val="FFFFFF"/>
                <w:spacing w:val="30"/>
                <w:sz w:val="17"/>
                <w:szCs w:val="17"/>
              </w:rPr>
              <w:t xml:space="preserve">The optimization</w:t>
            </w:r>
          </w:p>
          <w:p>
            <w:pPr>
              <w:spacing w:after="50" w:line="264"/>
            </w:pPr>
            <w:r>
              <w:rPr>
                <w:rFonts w:ascii="Consolas" w:cs="Consolas" w:eastAsia="Consolas" w:hAnsi="Consolas"/>
                <w:color w:val="000000"/>
                <w:sz w:val="19"/>
                <w:szCs w:val="19"/>
              </w:rPr>
              <w:t xml:space="preserve">minimize   w' Σ w</w:t>
            </w:r>
          </w:p>
          <w:p>
            <w:pPr>
              <w:spacing w:after="50" w:line="264"/>
            </w:pPr>
            <w:r>
              <w:rPr>
                <w:rFonts w:ascii="Consolas" w:cs="Consolas" w:eastAsia="Consolas" w:hAnsi="Consolas"/>
                <w:color w:val="000000"/>
                <w:sz w:val="19"/>
                <w:szCs w:val="19"/>
              </w:rPr>
              <w:t xml:space="preserve">subject to sum(w) = 1   and   w ≥ 0</w:t>
            </w:r>
          </w:p>
          <w:p>
            <w:pPr>
              <w:spacing w:after="0" w:line="264"/>
            </w:pPr>
            <w:r>
              <w:rPr>
                <w:rFonts w:ascii="Calibri" w:cs="Calibri" w:eastAsia="Calibri" w:hAnsi="Calibri"/>
                <w:color w:val="DDDDDD"/>
                <w:sz w:val="19"/>
                <w:szCs w:val="19"/>
              </w:rPr>
              <w:t xml:space="preserve">w is the vector of weights, Σ is the covariance matrix. The two constraints: all capital is invested, and no short selling.</w:t>
            </w:r>
          </w:p>
        </w:tc>
      </w:tr>
    </w:tbl>
    <w:p>
      <w:pPr>
        <w:spacing w:after="100" w:line="264"/>
      </w:pPr>
      <w:r>
        <w:rPr>
          <w:rFonts w:ascii="Calibri" w:cs="Calibri" w:eastAsia="Calibri" w:hAnsi="Calibri"/>
          <w:color w:val="1A1A1A"/>
          <w:sz w:val="21"/>
          <w:szCs w:val="21"/>
        </w:rPr>
        <w:t xml:space="preserve">Solved with </w:t>
      </w:r>
      <w:r>
        <w:rPr>
          <w:rFonts w:ascii="Consolas" w:cs="Consolas" w:eastAsia="Consolas" w:hAnsi="Consolas"/>
          <w:color w:val="000000"/>
          <w:sz w:val="19"/>
          <w:szCs w:val="19"/>
        </w:rPr>
        <w:t xml:space="preserve">quadprog::solve.QP()</w:t>
      </w:r>
      <w:r>
        <w:rPr>
          <w:rFonts w:ascii="Calibri" w:cs="Calibri" w:eastAsia="Calibri" w:hAnsi="Calibri"/>
          <w:color w:val="1A1A1A"/>
          <w:sz w:val="21"/>
          <w:szCs w:val="21"/>
        </w:rPr>
        <w:t xml:space="preserve">. Expect the result to spread across names but tilt toward the calmer ones, and its volatility should be lower than any single stock in the basket.</w:t>
      </w:r>
    </w:p>
    <w:p>
      <w:pPr>
        <w:pStyle w:val="Heading1"/>
        <w:spacing w:after="90" w:before="220"/>
      </w:pPr>
      <w:r>
        <w:rPr>
          <w:rFonts w:ascii="Cambria" w:cs="Cambria" w:eastAsia="Cambria" w:hAnsi="Cambria"/>
          <w:b/>
          <w:bCs/>
          <w:color w:val="000000"/>
          <w:sz w:val="30"/>
          <w:szCs w:val="30"/>
        </w:rPr>
        <w:t xml:space="preserve">Maximum Sharpe ratio portfolio (Script C)</w:t>
      </w:r>
    </w:p>
    <w:p>
      <w:pPr>
        <w:spacing w:after="100" w:line="264"/>
      </w:pPr>
      <w:r>
        <w:rPr>
          <w:rFonts w:ascii="Calibri" w:cs="Calibri" w:eastAsia="Calibri" w:hAnsi="Calibri"/>
          <w:color w:val="1A1A1A"/>
          <w:sz w:val="21"/>
          <w:szCs w:val="21"/>
        </w:rPr>
        <w:t xml:space="preserve">Goal: the best return per unit of risk. The Sharpe ratio rewards return and penalizes volatility, so this portfolio chases efficiency rather than calm.</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800"/>
      </w:tblGrid>
      <w:tr>
        <w:tc>
          <w:tcPr>
            <w:tcW w:type="dxa" w:w="10800"/>
            <w:shd w:fill="2B2B2B" w:color="auto" w:val="clear"/>
            <w:tcMar>
              <w:top w:type="dxa" w:w="160"/>
              <w:left w:type="dxa" w:w="220"/>
              <w:bottom w:type="dxa" w:w="160"/>
              <w:right w:type="dxa" w:w="220"/>
            </w:tcMar>
          </w:tcPr>
          <w:p>
            <w:pPr>
              <w:spacing w:after="60"/>
            </w:pPr>
            <w:r>
              <w:rPr>
                <w:rFonts w:ascii="Calibri" w:cs="Calibri" w:eastAsia="Calibri" w:hAnsi="Calibri"/>
                <w:b/>
                <w:bCs/>
                <w:caps/>
                <w:color w:val="FFFFFF"/>
                <w:spacing w:val="30"/>
                <w:sz w:val="17"/>
                <w:szCs w:val="17"/>
              </w:rPr>
              <w:t xml:space="preserve">Sharpe ratio</w:t>
            </w:r>
          </w:p>
          <w:p>
            <w:pPr>
              <w:spacing w:after="50" w:line="264"/>
            </w:pPr>
            <w:r>
              <w:rPr>
                <w:rFonts w:ascii="Consolas" w:cs="Consolas" w:eastAsia="Consolas" w:hAnsi="Consolas"/>
                <w:color w:val="000000"/>
                <w:sz w:val="19"/>
                <w:szCs w:val="19"/>
              </w:rPr>
              <w:t xml:space="preserve">Sharpe  =  (R_p - R_f) / σ_p</w:t>
            </w:r>
          </w:p>
          <w:p>
            <w:pPr>
              <w:spacing w:after="0" w:line="264"/>
            </w:pPr>
            <w:r>
              <w:rPr>
                <w:rFonts w:ascii="Calibri" w:cs="Calibri" w:eastAsia="Calibri" w:hAnsi="Calibri"/>
                <w:color w:val="DDDDDD"/>
                <w:sz w:val="19"/>
                <w:szCs w:val="19"/>
              </w:rPr>
              <w:t xml:space="preserve">R_p is portfolio return, R_f is the risk free rate, σ_p is portfolio volatility.</w:t>
            </w:r>
          </w:p>
        </w:tc>
      </w:tr>
    </w:tbl>
    <w:p>
      <w:pPr>
        <w:spacing w:after="100" w:line="264"/>
      </w:pPr>
      <w:r>
        <w:rPr>
          <w:rFonts w:ascii="Calibri" w:cs="Calibri" w:eastAsia="Calibri" w:hAnsi="Calibri"/>
          <w:color w:val="1A1A1A"/>
          <w:sz w:val="21"/>
          <w:szCs w:val="21"/>
        </w:rPr>
        <w:t xml:space="preserve">Because the Sharpe ratio is a ratio of two functions of the weights, the solver cannot maximize it head on. Script C uses the </w:t>
      </w:r>
      <w:r>
        <w:rPr>
          <w:rFonts w:ascii="Consolas" w:cs="Consolas" w:eastAsia="Consolas" w:hAnsi="Consolas"/>
          <w:color w:val="000000"/>
          <w:sz w:val="19"/>
          <w:szCs w:val="19"/>
        </w:rPr>
        <w:t xml:space="preserve">PortfolioAnalytics</w:t>
      </w:r>
      <w:r>
        <w:rPr>
          <w:rFonts w:ascii="Calibri" w:cs="Calibri" w:eastAsia="Calibri" w:hAnsi="Calibri"/>
          <w:color w:val="1A1A1A"/>
          <w:sz w:val="21"/>
          <w:szCs w:val="21"/>
        </w:rPr>
        <w:t xml:space="preserve"> wrapper (describe the portfolio, let it solve), with the quadprog reformulation offered as optional depth. Expect this portfolio to concentrate into two or three names: it has no reason to hold anything mediocre.</w:t>
      </w: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Pr>
      <w:tblGrid>
        <w:gridCol w:w="10800"/>
      </w:tblGrid>
      <w:tr>
        <w:tc>
          <w:tcPr>
            <w:tcW w:type="dxa" w:w="10800"/>
            <w:shd w:fill="EDEDED" w:color="auto" w:val="clear"/>
            <w:tcMar>
              <w:top w:type="dxa" w:w="140"/>
              <w:left w:type="dxa" w:w="200"/>
              <w:bottom w:type="dxa" w:w="140"/>
              <w:right w:type="dxa" w:w="200"/>
            </w:tcMar>
          </w:tcPr>
          <w:p>
            <w:pPr>
              <w:spacing w:after="40"/>
            </w:pPr>
            <w:r>
              <w:rPr>
                <w:rFonts w:ascii="Calibri" w:cs="Calibri" w:eastAsia="Calibri" w:hAnsi="Calibri"/>
                <w:b/>
                <w:bCs/>
                <w:caps/>
                <w:color w:val="000000"/>
                <w:spacing w:val="20"/>
                <w:sz w:val="19"/>
                <w:szCs w:val="19"/>
              </w:rPr>
              <w:t xml:space="preserve">Risk free rate</w:t>
            </w:r>
          </w:p>
          <w:p>
            <w:pPr>
              <w:spacing w:after="0" w:line="258"/>
            </w:pPr>
            <w:r>
              <w:rPr>
                <w:rFonts w:ascii="Calibri" w:cs="Calibri" w:eastAsia="Calibri" w:hAnsi="Calibri"/>
                <w:color w:val="1A1A1A"/>
                <w:sz w:val="20"/>
                <w:szCs w:val="20"/>
              </w:rPr>
              <w:t xml:space="preserve">The course uses 3.5% as a classroom value. The standard real-world proxy is the 3 month US Treasury bill: look up the current value on treasury.gov or FRED series </w:t>
            </w:r>
            <w:r>
              <w:rPr>
                <w:rFonts w:ascii="Consolas" w:cs="Consolas" w:eastAsia="Consolas" w:hAnsi="Consolas"/>
                <w:color w:val="000000"/>
                <w:sz w:val="19"/>
                <w:szCs w:val="19"/>
              </w:rPr>
              <w:t xml:space="preserve">DTB3</w:t>
            </w:r>
            <w:r>
              <w:rPr>
                <w:rFonts w:ascii="Calibri" w:cs="Calibri" w:eastAsia="Calibri" w:hAnsi="Calibri"/>
                <w:color w:val="1A1A1A"/>
                <w:sz w:val="20"/>
                <w:szCs w:val="20"/>
              </w:rPr>
              <w:t xml:space="preserve">, then enter it as a decimal.</w:t>
            </w:r>
          </w:p>
        </w:tc>
      </w:tr>
    </w:tbl>
    <w:p>
      <w:pPr>
        <w:pStyle w:val="Heading1"/>
        <w:spacing w:after="90" w:before="220"/>
      </w:pPr>
      <w:r>
        <w:rPr>
          <w:rFonts w:ascii="Cambria" w:cs="Cambria" w:eastAsia="Cambria" w:hAnsi="Cambria"/>
          <w:b/>
          <w:bCs/>
          <w:color w:val="000000"/>
          <w:sz w:val="30"/>
          <w:szCs w:val="30"/>
        </w:rPr>
        <w:t xml:space="preserve">Inverse volatility weighting (the app's stand-in)</w:t>
      </w:r>
    </w:p>
    <w:p>
      <w:pPr>
        <w:spacing w:after="100" w:line="264"/>
      </w:pPr>
      <w:r>
        <w:rPr>
          <w:rFonts w:ascii="Calibri" w:cs="Calibri" w:eastAsia="Calibri" w:hAnsi="Calibri"/>
          <w:color w:val="1A1A1A"/>
          <w:sz w:val="21"/>
          <w:szCs w:val="21"/>
        </w:rPr>
        <w:t xml:space="preserve">The browser app cannot easily run a quadratic program, so it uses inverse volatility weighting instead: a real, widely used heuristic that captures the same instinct as minimum variance (lean toward calmer names) with no solver.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800"/>
      </w:tblGrid>
      <w:tr>
        <w:tc>
          <w:tcPr>
            <w:tcW w:type="dxa" w:w="10800"/>
            <w:shd w:fill="2B2B2B" w:color="auto" w:val="clear"/>
            <w:tcMar>
              <w:top w:type="dxa" w:w="160"/>
              <w:left w:type="dxa" w:w="220"/>
              <w:bottom w:type="dxa" w:w="160"/>
              <w:right w:type="dxa" w:w="220"/>
            </w:tcMar>
          </w:tcPr>
          <w:p>
            <w:pPr>
              <w:spacing w:after="60"/>
            </w:pPr>
            <w:r>
              <w:rPr>
                <w:rFonts w:ascii="Calibri" w:cs="Calibri" w:eastAsia="Calibri" w:hAnsi="Calibri"/>
                <w:b/>
                <w:bCs/>
                <w:caps/>
                <w:color w:val="FFFFFF"/>
                <w:spacing w:val="30"/>
                <w:sz w:val="17"/>
                <w:szCs w:val="17"/>
              </w:rPr>
              <w:t xml:space="preserve">Inverse volatility weight</w:t>
            </w:r>
          </w:p>
          <w:p>
            <w:pPr>
              <w:spacing w:after="50" w:line="264"/>
            </w:pPr>
            <w:r>
              <w:rPr>
                <w:rFonts w:ascii="Consolas" w:cs="Consolas" w:eastAsia="Consolas" w:hAnsi="Consolas"/>
                <w:color w:val="000000"/>
                <w:sz w:val="19"/>
                <w:szCs w:val="19"/>
              </w:rPr>
              <w:t xml:space="preserve">w_i  =  (1 / σ_i)  /  sum_j (1 / σ_j)</w:t>
            </w:r>
          </w:p>
          <w:p>
            <w:pPr>
              <w:spacing w:after="0" w:line="264"/>
            </w:pPr>
            <w:r>
              <w:rPr>
                <w:rFonts w:ascii="Calibri" w:cs="Calibri" w:eastAsia="Calibri" w:hAnsi="Calibri"/>
                <w:color w:val="DDDDDD"/>
                <w:sz w:val="19"/>
                <w:szCs w:val="19"/>
              </w:rPr>
              <w:t xml:space="preserve">Each weight is proportional to one over that stock's volatility, then all weights are normalized to sum to 1.</w:t>
            </w:r>
          </w:p>
        </w:tc>
      </w:tr>
    </w:tbl>
    <w:p>
      <w:pPr>
        <w:spacing w:after="100" w:line="264"/>
      </w:pPr>
      <w:r>
        <w:rPr>
          <w:rFonts w:ascii="Calibri" w:cs="Calibri" w:eastAsia="Calibri" w:hAnsi="Calibri"/>
          <w:color w:val="1A1A1A"/>
          <w:sz w:val="21"/>
          <w:szCs w:val="21"/>
        </w:rPr>
        <w:t xml:space="preserve">It is not identical to minimum variance (it ignores correlation between stocks), but for a teaching app it is a fair and defensible stand-in, and it keeps every calculation in plain JavaScript.</w:t>
      </w:r>
    </w:p>
    <w:p>
      <w:pPr>
        <w:pStyle w:val="Heading1"/>
        <w:spacing w:after="90" w:before="220"/>
      </w:pPr>
      <w:r>
        <w:rPr>
          <w:rFonts w:ascii="Cambria" w:cs="Cambria" w:eastAsia="Cambria" w:hAnsi="Cambria"/>
          <w:b/>
          <w:bCs/>
          <w:color w:val="000000"/>
          <w:sz w:val="30"/>
          <w:szCs w:val="30"/>
        </w:rPr>
        <w:t xml:space="preserve">The three methods at a glance</w:t>
      </w:r>
    </w:p>
    <w:tbl>
      <w:tblPr>
        <w:tblW w:type="dxa" w:w="108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3900"/>
        <w:gridCol w:w="3700"/>
      </w:tblGrid>
      <w:tr>
        <w:trPr>
          <w:tblHeader/>
        </w:trPr>
        <w:tc>
          <w:tcPr>
            <w:tcW w:type="dxa" w:w="3200"/>
            <w:shd w:fill="2B2B2B" w:color="auto" w:val="clear"/>
            <w:tcMar>
              <w:top w:type="dxa" w:w="80"/>
              <w:left w:type="dxa" w:w="140"/>
              <w:bottom w:type="dxa" w:w="80"/>
              <w:right w:type="dxa" w:w="140"/>
            </w:tcMar>
          </w:tcPr>
          <w:p>
            <w:r>
              <w:rPr>
                <w:rFonts w:ascii="Calibri" w:cs="Calibri" w:eastAsia="Calibri" w:hAnsi="Calibri"/>
                <w:b/>
                <w:bCs/>
                <w:color w:val="FFFFFF"/>
                <w:sz w:val="19"/>
                <w:szCs w:val="19"/>
              </w:rPr>
              <w:t xml:space="preserve">Method</w:t>
            </w:r>
          </w:p>
        </w:tc>
        <w:tc>
          <w:tcPr>
            <w:tcW w:type="dxa" w:w="3900"/>
            <w:shd w:fill="2B2B2B" w:color="auto" w:val="clear"/>
            <w:tcMar>
              <w:top w:type="dxa" w:w="80"/>
              <w:left w:type="dxa" w:w="140"/>
              <w:bottom w:type="dxa" w:w="80"/>
              <w:right w:type="dxa" w:w="140"/>
            </w:tcMar>
          </w:tcPr>
          <w:p>
            <w:r>
              <w:rPr>
                <w:rFonts w:ascii="Calibri" w:cs="Calibri" w:eastAsia="Calibri" w:hAnsi="Calibri"/>
                <w:b/>
                <w:bCs/>
                <w:color w:val="FFFFFF"/>
                <w:sz w:val="19"/>
                <w:szCs w:val="19"/>
              </w:rPr>
              <w:t xml:space="preserve">Optimizes for</w:t>
            </w:r>
          </w:p>
        </w:tc>
        <w:tc>
          <w:tcPr>
            <w:tcW w:type="dxa" w:w="3700"/>
            <w:shd w:fill="2B2B2B" w:color="auto" w:val="clear"/>
            <w:tcMar>
              <w:top w:type="dxa" w:w="80"/>
              <w:left w:type="dxa" w:w="140"/>
              <w:bottom w:type="dxa" w:w="80"/>
              <w:right w:type="dxa" w:w="140"/>
            </w:tcMar>
          </w:tcPr>
          <w:p>
            <w:r>
              <w:rPr>
                <w:rFonts w:ascii="Calibri" w:cs="Calibri" w:eastAsia="Calibri" w:hAnsi="Calibri"/>
                <w:b/>
                <w:bCs/>
                <w:color w:val="FFFFFF"/>
                <w:sz w:val="19"/>
                <w:szCs w:val="19"/>
              </w:rPr>
              <w:t xml:space="preserve">Typical shape</w:t>
            </w:r>
          </w:p>
        </w:tc>
      </w:tr>
      <w:tr>
        <w:tc>
          <w:tcPr>
            <w:tcW w:type="dxa" w:w="3200"/>
            <w:shd w:fill="FFFFFF" w:color="auto" w:val="clear"/>
            <w:tcMar>
              <w:top w:type="dxa" w:w="70"/>
              <w:left w:type="dxa" w:w="140"/>
              <w:bottom w:type="dxa" w:w="70"/>
              <w:right w:type="dxa" w:w="140"/>
            </w:tcMar>
          </w:tcPr>
          <w:p>
            <w:r>
              <w:rPr>
                <w:rFonts w:ascii="Calibri" w:cs="Calibri" w:eastAsia="Calibri" w:hAnsi="Calibri"/>
                <w:color w:val="1A1A1A"/>
                <w:sz w:val="19"/>
                <w:szCs w:val="19"/>
              </w:rPr>
              <w:t xml:space="preserve">Equal weight (1/N)</w:t>
            </w:r>
          </w:p>
        </w:tc>
        <w:tc>
          <w:tcPr>
            <w:tcW w:type="dxa" w:w="3900"/>
            <w:shd w:fill="FFFFFF" w:color="auto" w:val="clear"/>
            <w:tcMar>
              <w:top w:type="dxa" w:w="70"/>
              <w:left w:type="dxa" w:w="140"/>
              <w:bottom w:type="dxa" w:w="70"/>
              <w:right w:type="dxa" w:w="140"/>
            </w:tcMar>
          </w:tcPr>
          <w:p>
            <w:r>
              <w:rPr>
                <w:rFonts w:ascii="Calibri" w:cs="Calibri" w:eastAsia="Calibri" w:hAnsi="Calibri"/>
                <w:color w:val="1A1A1A"/>
                <w:sz w:val="19"/>
                <w:szCs w:val="19"/>
              </w:rPr>
              <w:t xml:space="preserve">nothing, a naive benchmark</w:t>
            </w:r>
          </w:p>
        </w:tc>
        <w:tc>
          <w:tcPr>
            <w:tcW w:type="dxa" w:w="3700"/>
            <w:shd w:fill="FFFFFF" w:color="auto" w:val="clear"/>
            <w:tcMar>
              <w:top w:type="dxa" w:w="70"/>
              <w:left w:type="dxa" w:w="140"/>
              <w:bottom w:type="dxa" w:w="70"/>
              <w:right w:type="dxa" w:w="140"/>
            </w:tcMar>
          </w:tcPr>
          <w:p>
            <w:r>
              <w:rPr>
                <w:rFonts w:ascii="Calibri" w:cs="Calibri" w:eastAsia="Calibri" w:hAnsi="Calibri"/>
                <w:color w:val="1A1A1A"/>
                <w:sz w:val="19"/>
                <w:szCs w:val="19"/>
              </w:rPr>
              <w:t xml:space="preserve">flat, every name the same</w:t>
            </w:r>
          </w:p>
        </w:tc>
      </w:tr>
      <w:tr>
        <w:tc>
          <w:tcPr>
            <w:tcW w:type="dxa" w:w="3200"/>
            <w:shd w:fill="F5F5F5" w:color="auto" w:val="clear"/>
            <w:tcMar>
              <w:top w:type="dxa" w:w="70"/>
              <w:left w:type="dxa" w:w="140"/>
              <w:bottom w:type="dxa" w:w="70"/>
              <w:right w:type="dxa" w:w="140"/>
            </w:tcMar>
          </w:tcPr>
          <w:p>
            <w:r>
              <w:rPr>
                <w:rFonts w:ascii="Calibri" w:cs="Calibri" w:eastAsia="Calibri" w:hAnsi="Calibri"/>
                <w:color w:val="1A1A1A"/>
                <w:sz w:val="19"/>
                <w:szCs w:val="19"/>
              </w:rPr>
              <w:t xml:space="preserve">Minimum variance</w:t>
            </w:r>
          </w:p>
        </w:tc>
        <w:tc>
          <w:tcPr>
            <w:tcW w:type="dxa" w:w="3900"/>
            <w:shd w:fill="F5F5F5" w:color="auto" w:val="clear"/>
            <w:tcMar>
              <w:top w:type="dxa" w:w="70"/>
              <w:left w:type="dxa" w:w="140"/>
              <w:bottom w:type="dxa" w:w="70"/>
              <w:right w:type="dxa" w:w="140"/>
            </w:tcMar>
          </w:tcPr>
          <w:p>
            <w:r>
              <w:rPr>
                <w:rFonts w:ascii="Calibri" w:cs="Calibri" w:eastAsia="Calibri" w:hAnsi="Calibri"/>
                <w:color w:val="1A1A1A"/>
                <w:sz w:val="19"/>
                <w:szCs w:val="19"/>
              </w:rPr>
              <w:t xml:space="preserve">lowest total risk</w:t>
            </w:r>
          </w:p>
        </w:tc>
        <w:tc>
          <w:tcPr>
            <w:tcW w:type="dxa" w:w="3700"/>
            <w:shd w:fill="F5F5F5" w:color="auto" w:val="clear"/>
            <w:tcMar>
              <w:top w:type="dxa" w:w="70"/>
              <w:left w:type="dxa" w:w="140"/>
              <w:bottom w:type="dxa" w:w="70"/>
              <w:right w:type="dxa" w:w="140"/>
            </w:tcMar>
          </w:tcPr>
          <w:p>
            <w:r>
              <w:rPr>
                <w:rFonts w:ascii="Calibri" w:cs="Calibri" w:eastAsia="Calibri" w:hAnsi="Calibri"/>
                <w:color w:val="1A1A1A"/>
                <w:sz w:val="19"/>
                <w:szCs w:val="19"/>
              </w:rPr>
              <w:t xml:space="preserve">spread, tilted to calm names</w:t>
            </w:r>
          </w:p>
        </w:tc>
      </w:tr>
      <w:tr>
        <w:tc>
          <w:tcPr>
            <w:tcW w:type="dxa" w:w="3200"/>
            <w:shd w:fill="FFFFFF" w:color="auto" w:val="clear"/>
            <w:tcMar>
              <w:top w:type="dxa" w:w="70"/>
              <w:left w:type="dxa" w:w="140"/>
              <w:bottom w:type="dxa" w:w="70"/>
              <w:right w:type="dxa" w:w="140"/>
            </w:tcMar>
          </w:tcPr>
          <w:p>
            <w:r>
              <w:rPr>
                <w:rFonts w:ascii="Calibri" w:cs="Calibri" w:eastAsia="Calibri" w:hAnsi="Calibri"/>
                <w:color w:val="1A1A1A"/>
                <w:sz w:val="19"/>
                <w:szCs w:val="19"/>
              </w:rPr>
              <w:t xml:space="preserve">Maximum Sharpe</w:t>
            </w:r>
          </w:p>
        </w:tc>
        <w:tc>
          <w:tcPr>
            <w:tcW w:type="dxa" w:w="3900"/>
            <w:shd w:fill="FFFFFF" w:color="auto" w:val="clear"/>
            <w:tcMar>
              <w:top w:type="dxa" w:w="70"/>
              <w:left w:type="dxa" w:w="140"/>
              <w:bottom w:type="dxa" w:w="70"/>
              <w:right w:type="dxa" w:w="140"/>
            </w:tcMar>
          </w:tcPr>
          <w:p>
            <w:r>
              <w:rPr>
                <w:rFonts w:ascii="Calibri" w:cs="Calibri" w:eastAsia="Calibri" w:hAnsi="Calibri"/>
                <w:color w:val="1A1A1A"/>
                <w:sz w:val="19"/>
                <w:szCs w:val="19"/>
              </w:rPr>
              <w:t xml:space="preserve">best return per unit of risk</w:t>
            </w:r>
          </w:p>
        </w:tc>
        <w:tc>
          <w:tcPr>
            <w:tcW w:type="dxa" w:w="3700"/>
            <w:shd w:fill="FFFFFF" w:color="auto" w:val="clear"/>
            <w:tcMar>
              <w:top w:type="dxa" w:w="70"/>
              <w:left w:type="dxa" w:w="140"/>
              <w:bottom w:type="dxa" w:w="70"/>
              <w:right w:type="dxa" w:w="140"/>
            </w:tcMar>
          </w:tcPr>
          <w:p>
            <w:r>
              <w:rPr>
                <w:rFonts w:ascii="Calibri" w:cs="Calibri" w:eastAsia="Calibri" w:hAnsi="Calibri"/>
                <w:color w:val="1A1A1A"/>
                <w:sz w:val="19"/>
                <w:szCs w:val="19"/>
              </w:rPr>
              <w:t xml:space="preserve">concentrated in a few names</w:t>
            </w:r>
          </w:p>
        </w:tc>
      </w:tr>
      <w:tr>
        <w:tc>
          <w:tcPr>
            <w:tcW w:type="dxa" w:w="3200"/>
            <w:shd w:fill="F5F5F5" w:color="auto" w:val="clear"/>
            <w:tcMar>
              <w:top w:type="dxa" w:w="70"/>
              <w:left w:type="dxa" w:w="140"/>
              <w:bottom w:type="dxa" w:w="70"/>
              <w:right w:type="dxa" w:w="140"/>
            </w:tcMar>
          </w:tcPr>
          <w:p>
            <w:r>
              <w:rPr>
                <w:rFonts w:ascii="Calibri" w:cs="Calibri" w:eastAsia="Calibri" w:hAnsi="Calibri"/>
                <w:color w:val="1A1A1A"/>
                <w:sz w:val="19"/>
                <w:szCs w:val="19"/>
              </w:rPr>
              <w:t xml:space="preserve">Inverse volatility</w:t>
            </w:r>
          </w:p>
        </w:tc>
        <w:tc>
          <w:tcPr>
            <w:tcW w:type="dxa" w:w="3900"/>
            <w:shd w:fill="F5F5F5" w:color="auto" w:val="clear"/>
            <w:tcMar>
              <w:top w:type="dxa" w:w="70"/>
              <w:left w:type="dxa" w:w="140"/>
              <w:bottom w:type="dxa" w:w="70"/>
              <w:right w:type="dxa" w:w="140"/>
            </w:tcMar>
          </w:tcPr>
          <w:p>
            <w:r>
              <w:rPr>
                <w:rFonts w:ascii="Calibri" w:cs="Calibri" w:eastAsia="Calibri" w:hAnsi="Calibri"/>
                <w:color w:val="1A1A1A"/>
                <w:sz w:val="19"/>
                <w:szCs w:val="19"/>
              </w:rPr>
              <w:t xml:space="preserve">lower risk, no solver needed</w:t>
            </w:r>
          </w:p>
        </w:tc>
        <w:tc>
          <w:tcPr>
            <w:tcW w:type="dxa" w:w="3700"/>
            <w:shd w:fill="F5F5F5" w:color="auto" w:val="clear"/>
            <w:tcMar>
              <w:top w:type="dxa" w:w="70"/>
              <w:left w:type="dxa" w:w="140"/>
              <w:bottom w:type="dxa" w:w="70"/>
              <w:right w:type="dxa" w:w="140"/>
            </w:tcMar>
          </w:tcPr>
          <w:p>
            <w:r>
              <w:rPr>
                <w:rFonts w:ascii="Calibri" w:cs="Calibri" w:eastAsia="Calibri" w:hAnsi="Calibri"/>
                <w:color w:val="1A1A1A"/>
                <w:sz w:val="19"/>
                <w:szCs w:val="19"/>
              </w:rPr>
              <w:t xml:space="preserve">tilted to calm names, ignores correlation</w:t>
            </w:r>
          </w:p>
        </w:tc>
      </w:tr>
    </w:tbl>
    <w:p>
      <w:pPr>
        <w:spacing w:after="100" w:line="264"/>
      </w:pPr>
      <w:r>
        <w:rPr>
          <w:rFonts w:ascii="Calibri" w:cs="Calibri" w:eastAsia="Calibri" w:hAnsi="Calibri"/>
          <w:color w:val="1A1A1A"/>
          <w:sz w:val="21"/>
          <w:szCs w:val="21"/>
        </w:rPr>
        <w:t xml:space="preserve"/>
      </w: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Pr>
      <w:tblGrid>
        <w:gridCol w:w="10800"/>
      </w:tblGrid>
      <w:tr>
        <w:tc>
          <w:tcPr>
            <w:tcW w:type="dxa" w:w="10800"/>
            <w:shd w:fill="EDEDED" w:color="auto" w:val="clear"/>
            <w:tcMar>
              <w:top w:type="dxa" w:w="140"/>
              <w:left w:type="dxa" w:w="200"/>
              <w:bottom w:type="dxa" w:w="140"/>
              <w:right w:type="dxa" w:w="200"/>
            </w:tcMar>
          </w:tcPr>
          <w:p>
            <w:pPr>
              <w:spacing w:after="40"/>
            </w:pPr>
            <w:r>
              <w:rPr>
                <w:rFonts w:ascii="Calibri" w:cs="Calibri" w:eastAsia="Calibri" w:hAnsi="Calibri"/>
                <w:b/>
                <w:bCs/>
                <w:caps/>
                <w:color w:val="000000"/>
                <w:spacing w:val="20"/>
                <w:sz w:val="19"/>
                <w:szCs w:val="19"/>
              </w:rPr>
              <w:t xml:space="preserve">How to read a comparison</w:t>
            </w:r>
          </w:p>
          <w:p>
            <w:pPr>
              <w:spacing w:after="0" w:line="258"/>
            </w:pPr>
            <w:r>
              <w:rPr>
                <w:rFonts w:ascii="Calibri" w:cs="Calibri" w:eastAsia="Calibri" w:hAnsi="Calibri"/>
                <w:color w:val="1A1A1A"/>
                <w:sz w:val="20"/>
                <w:szCs w:val="20"/>
              </w:rPr>
              <w:t xml:space="preserve">Minimum variance should win on volatility. Maximum Sharpe should win on the Sharpe ratio. Equal weight usually lands in the middle on both. If either optimizer loses its own column, something upstream is wrong, and noticing that is more valuable than the table itself.</w:t>
            </w:r>
          </w:p>
        </w:tc>
      </w:tr>
    </w:tbl>
    <w:p>
      <w:r>
        <w:br w:type="page"/>
      </w:r>
    </w:p>
    <w:p>
      <w:pPr>
        <w:pStyle w:val="Heading1"/>
        <w:spacing w:after="90" w:before="220"/>
      </w:pPr>
      <w:r>
        <w:rPr>
          <w:rFonts w:ascii="Cambria" w:cs="Cambria" w:eastAsia="Cambria" w:hAnsi="Cambria"/>
          <w:b/>
          <w:bCs/>
          <w:color w:val="000000"/>
          <w:sz w:val="30"/>
          <w:szCs w:val="30"/>
        </w:rPr>
        <w:t xml:space="preserve">Rolling diagnostics (Scripts E and F)</w:t>
      </w:r>
    </w:p>
    <w:p>
      <w:pPr>
        <w:spacing w:after="100" w:line="264"/>
      </w:pPr>
      <w:r>
        <w:rPr>
          <w:rFonts w:ascii="Calibri" w:cs="Calibri" w:eastAsia="Calibri" w:hAnsi="Calibri"/>
          <w:color w:val="1A1A1A"/>
          <w:sz w:val="21"/>
          <w:szCs w:val="21"/>
        </w:rPr>
        <w:t xml:space="preserve">A single number for the whole history hides how a portfolio behaves over time. Rolling metrics recompute inside a moving window, so you can watch risk change. Every rolling metric starts late: it needs a full window of data before its first value.</w:t>
      </w:r>
    </w:p>
    <w:p>
      <w:pPr>
        <w:pStyle w:val="Heading2"/>
        <w:spacing w:after="60" w:before="180"/>
      </w:pPr>
      <w:r>
        <w:rPr>
          <w:rFonts w:ascii="Cambria" w:cs="Cambria" w:eastAsia="Cambria" w:hAnsi="Cambria"/>
          <w:b/>
          <w:bCs/>
          <w:color w:val="1A1A1A"/>
          <w:sz w:val="24"/>
          <w:szCs w:val="24"/>
        </w:rPr>
        <w:t xml:space="preserve">Rolling correlation</w:t>
      </w:r>
    </w:p>
    <w:p>
      <w:pPr>
        <w:spacing w:after="100" w:line="264"/>
      </w:pPr>
      <w:r>
        <w:rPr>
          <w:rFonts w:ascii="Calibri" w:cs="Calibri" w:eastAsia="Calibri" w:hAnsi="Calibri"/>
          <w:color w:val="1A1A1A"/>
          <w:sz w:val="21"/>
          <w:szCs w:val="21"/>
        </w:rPr>
        <w:t xml:space="preserve">The optimizer used one average correlation. Rolling correlation shows how much that single number hides. Computed with </w:t>
      </w:r>
      <w:r>
        <w:rPr>
          <w:rFonts w:ascii="Consolas" w:cs="Consolas" w:eastAsia="Consolas" w:hAnsi="Consolas"/>
          <w:color w:val="000000"/>
          <w:sz w:val="19"/>
          <w:szCs w:val="19"/>
        </w:rPr>
        <w:t xml:space="preserve">TTR::runCor(x, y, n)</w:t>
      </w:r>
      <w:r>
        <w:rPr>
          <w:rFonts w:ascii="Calibri" w:cs="Calibri" w:eastAsia="Calibri" w:hAnsi="Calibri"/>
          <w:color w:val="1A1A1A"/>
          <w:sz w:val="21"/>
          <w:szCs w:val="21"/>
        </w:rPr>
        <w:t xml:space="preserve"> over both a 30 day (reactive, noisy) and a 90 day (smooth, slow) window.</w:t>
      </w: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Pr>
      <w:tblGrid>
        <w:gridCol w:w="10800"/>
      </w:tblGrid>
      <w:tr>
        <w:tc>
          <w:tcPr>
            <w:tcW w:type="dxa" w:w="10800"/>
            <w:shd w:fill="EDEDED" w:color="auto" w:val="clear"/>
            <w:tcMar>
              <w:top w:type="dxa" w:w="140"/>
              <w:left w:type="dxa" w:w="200"/>
              <w:bottom w:type="dxa" w:w="140"/>
              <w:right w:type="dxa" w:w="200"/>
            </w:tcMar>
          </w:tcPr>
          <w:p>
            <w:pPr>
              <w:spacing w:after="40"/>
            </w:pPr>
            <w:r>
              <w:rPr>
                <w:rFonts w:ascii="Calibri" w:cs="Calibri" w:eastAsia="Calibri" w:hAnsi="Calibri"/>
                <w:b/>
                <w:bCs/>
                <w:caps/>
                <w:color w:val="000000"/>
                <w:spacing w:val="20"/>
                <w:sz w:val="19"/>
                <w:szCs w:val="19"/>
              </w:rPr>
              <w:t xml:space="preserve">The stress warning</w:t>
            </w:r>
          </w:p>
          <w:p>
            <w:pPr>
              <w:spacing w:after="0" w:line="258"/>
            </w:pPr>
            <w:r>
              <w:rPr>
                <w:rFonts w:ascii="Calibri" w:cs="Calibri" w:eastAsia="Calibri" w:hAnsi="Calibri"/>
                <w:color w:val="1A1A1A"/>
                <w:sz w:val="20"/>
                <w:szCs w:val="20"/>
              </w:rPr>
              <w:t xml:space="preserve">Correlations drift toward 1 in market stress: stocks that normally diversify each other start moving together, exactly when you least want it. A rolling view catches this; a single averaged number never will.</w:t>
            </w:r>
          </w:p>
        </w:tc>
      </w:tr>
    </w:tbl>
    <w:p>
      <w:pPr>
        <w:pStyle w:val="Heading2"/>
        <w:spacing w:after="60" w:before="180"/>
      </w:pPr>
      <w:r>
        <w:rPr>
          <w:rFonts w:ascii="Cambria" w:cs="Cambria" w:eastAsia="Cambria" w:hAnsi="Cambria"/>
          <w:b/>
          <w:bCs/>
          <w:color w:val="1A1A1A"/>
          <w:sz w:val="24"/>
          <w:szCs w:val="24"/>
        </w:rPr>
        <w:t xml:space="preserve">Rolling Sharpe</w:t>
      </w:r>
    </w:p>
    <w:p>
      <w:pPr>
        <w:spacing w:after="100" w:line="264"/>
      </w:pPr>
      <w:r>
        <w:rPr>
          <w:rFonts w:ascii="Calibri" w:cs="Calibri" w:eastAsia="Calibri" w:hAnsi="Calibri"/>
          <w:color w:val="1A1A1A"/>
          <w:sz w:val="21"/>
          <w:szCs w:val="21"/>
        </w:rPr>
        <w:t xml:space="preserve">The same return-per-risk idea, tracked over time. Built from a rolling mean and a rolling standard deviation (</w:t>
      </w:r>
      <w:r>
        <w:rPr>
          <w:rFonts w:ascii="Consolas" w:cs="Consolas" w:eastAsia="Consolas" w:hAnsi="Consolas"/>
          <w:color w:val="000000"/>
          <w:sz w:val="19"/>
          <w:szCs w:val="19"/>
        </w:rPr>
        <w:t xml:space="preserve">TTR::runSD</w:t>
      </w:r>
      <w:r>
        <w:rPr>
          <w:rFonts w:ascii="Calibri" w:cs="Calibri" w:eastAsia="Calibri" w:hAnsi="Calibri"/>
          <w:color w:val="1A1A1A"/>
          <w:sz w:val="21"/>
          <w:szCs w:val="21"/>
        </w:rPr>
        <w:t xml:space="preserve">), then annualized by multiplying by the square root of 252 trading days. A rolling Sharpe near or below zero means the portfolio was not being paid for the risk it carried.</w:t>
      </w:r>
    </w:p>
    <w:p>
      <w:pPr>
        <w:pStyle w:val="Heading2"/>
        <w:spacing w:after="60" w:before="180"/>
      </w:pPr>
      <w:r>
        <w:rPr>
          <w:rFonts w:ascii="Cambria" w:cs="Cambria" w:eastAsia="Cambria" w:hAnsi="Cambria"/>
          <w:b/>
          <w:bCs/>
          <w:color w:val="1A1A1A"/>
          <w:sz w:val="24"/>
          <w:szCs w:val="24"/>
        </w:rPr>
        <w:t xml:space="preserve">Rolling beta</w:t>
      </w:r>
    </w:p>
    <w:p>
      <w:pPr>
        <w:spacing w:after="100" w:line="264"/>
      </w:pPr>
      <w:r>
        <w:rPr>
          <w:rFonts w:ascii="Calibri" w:cs="Calibri" w:eastAsia="Calibri" w:hAnsi="Calibri"/>
          <w:color w:val="1A1A1A"/>
          <w:sz w:val="21"/>
          <w:szCs w:val="21"/>
        </w:rPr>
        <w:t xml:space="preserve">Beta is market sensitivity, measured against SPY (an S&amp;P 500 ETF used only as a reference). It answers: how much does the portfolio move relative to the market?</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10800"/>
      </w:tblGrid>
      <w:tr>
        <w:tc>
          <w:tcPr>
            <w:tcW w:type="dxa" w:w="10800"/>
            <w:shd w:fill="2B2B2B" w:color="auto" w:val="clear"/>
            <w:tcMar>
              <w:top w:type="dxa" w:w="160"/>
              <w:left w:type="dxa" w:w="220"/>
              <w:bottom w:type="dxa" w:w="160"/>
              <w:right w:type="dxa" w:w="220"/>
            </w:tcMar>
          </w:tcPr>
          <w:p>
            <w:pPr>
              <w:spacing w:after="60"/>
            </w:pPr>
            <w:r>
              <w:rPr>
                <w:rFonts w:ascii="Calibri" w:cs="Calibri" w:eastAsia="Calibri" w:hAnsi="Calibri"/>
                <w:b/>
                <w:bCs/>
                <w:caps/>
                <w:color w:val="FFFFFF"/>
                <w:spacing w:val="30"/>
                <w:sz w:val="17"/>
                <w:szCs w:val="17"/>
              </w:rPr>
              <w:t xml:space="preserve">Beta</w:t>
            </w:r>
          </w:p>
          <w:p>
            <w:pPr>
              <w:spacing w:after="50" w:line="264"/>
            </w:pPr>
            <w:r>
              <w:rPr>
                <w:rFonts w:ascii="Consolas" w:cs="Consolas" w:eastAsia="Consolas" w:hAnsi="Consolas"/>
                <w:color w:val="000000"/>
                <w:sz w:val="19"/>
                <w:szCs w:val="19"/>
              </w:rPr>
              <w:t xml:space="preserve">beta  =  cov(portfolio, market) / var(market)</w:t>
            </w:r>
          </w:p>
          <w:p>
            <w:pPr>
              <w:spacing w:after="0" w:line="264"/>
            </w:pPr>
            <w:r>
              <w:rPr>
                <w:rFonts w:ascii="Calibri" w:cs="Calibri" w:eastAsia="Calibri" w:hAnsi="Calibri"/>
                <w:color w:val="DDDDDD"/>
                <w:sz w:val="19"/>
                <w:szCs w:val="19"/>
              </w:rPr>
              <w:t xml:space="preserve">beta = 1 moves with the market.  above 1 is more volatile.  below 1 is calmer.</w:t>
            </w:r>
          </w:p>
        </w:tc>
      </w:tr>
    </w:tbl>
    <w:p>
      <w:pPr>
        <w:spacing w:after="100" w:line="264"/>
      </w:pPr>
      <w:r>
        <w:rPr>
          <w:rFonts w:ascii="Calibri" w:cs="Calibri" w:eastAsia="Calibri" w:hAnsi="Calibri"/>
          <w:color w:val="1A1A1A"/>
          <w:sz w:val="21"/>
          <w:szCs w:val="21"/>
        </w:rPr>
        <w:t xml:space="preserve">Watching beta drift tells you your risk profile is changing even when your holdings have not.</w:t>
      </w:r>
    </w:p>
    <w:p>
      <w:pPr>
        <w:pStyle w:val="Heading1"/>
        <w:spacing w:after="90" w:before="220"/>
      </w:pPr>
      <w:r>
        <w:rPr>
          <w:rFonts w:ascii="Cambria" w:cs="Cambria" w:eastAsia="Cambria" w:hAnsi="Cambria"/>
          <w:b/>
          <w:bCs/>
          <w:color w:val="000000"/>
          <w:sz w:val="30"/>
          <w:szCs w:val="30"/>
        </w:rPr>
        <w:t xml:space="preserve">R function quick reference</w:t>
      </w:r>
    </w:p>
    <w:tbl>
      <w:tblPr>
        <w:tblW w:type="dxa" w:w="10800"/>
        <w:tblBorders>
          <w:top w:val="single" w:color="BFBFBF" w:sz="2"/>
          <w:left w:val="single" w:color="BFBFBF" w:sz="2"/>
          <w:bottom w:val="single" w:color="BFBFBF" w:sz="2"/>
          <w:right w:val="single" w:color="BFBFBF" w:sz="2"/>
          <w:insideH w:val="single" w:color="BFBFBF" w:sz="2"/>
          <w:insideV w:val="single" w:color="BFBFBF" w:sz="2"/>
        </w:tblBorders>
      </w:tblPr>
      <w:tblGrid>
        <w:gridCol w:w="4300"/>
        <w:gridCol w:w="6500"/>
      </w:tblGrid>
      <w:tr>
        <w:trPr>
          <w:tblHeader/>
        </w:trPr>
        <w:tc>
          <w:tcPr>
            <w:tcW w:type="dxa" w:w="4300"/>
            <w:shd w:fill="2B2B2B" w:color="auto" w:val="clear"/>
            <w:tcMar>
              <w:top w:type="dxa" w:w="80"/>
              <w:left w:type="dxa" w:w="140"/>
              <w:bottom w:type="dxa" w:w="80"/>
              <w:right w:type="dxa" w:w="140"/>
            </w:tcMar>
          </w:tcPr>
          <w:p>
            <w:r>
              <w:rPr>
                <w:rFonts w:ascii="Calibri" w:cs="Calibri" w:eastAsia="Calibri" w:hAnsi="Calibri"/>
                <w:b/>
                <w:bCs/>
                <w:color w:val="FFFFFF"/>
                <w:sz w:val="19"/>
                <w:szCs w:val="19"/>
              </w:rPr>
              <w:t xml:space="preserve">Task</w:t>
            </w:r>
          </w:p>
        </w:tc>
        <w:tc>
          <w:tcPr>
            <w:tcW w:type="dxa" w:w="6500"/>
            <w:shd w:fill="2B2B2B" w:color="auto" w:val="clear"/>
            <w:tcMar>
              <w:top w:type="dxa" w:w="80"/>
              <w:left w:type="dxa" w:w="140"/>
              <w:bottom w:type="dxa" w:w="80"/>
              <w:right w:type="dxa" w:w="140"/>
            </w:tcMar>
          </w:tcPr>
          <w:p>
            <w:r>
              <w:rPr>
                <w:rFonts w:ascii="Calibri" w:cs="Calibri" w:eastAsia="Calibri" w:hAnsi="Calibri"/>
                <w:b/>
                <w:bCs/>
                <w:color w:val="FFFFFF"/>
                <w:sz w:val="19"/>
                <w:szCs w:val="19"/>
              </w:rPr>
              <w:t xml:space="preserve">Function</w:t>
            </w:r>
          </w:p>
        </w:tc>
      </w:tr>
      <w:tr>
        <w:tc>
          <w:tcPr>
            <w:tcW w:type="dxa" w:w="4300"/>
            <w:shd w:fill="FFFFFF" w:color="auto" w:val="clear"/>
            <w:tcMar>
              <w:top w:type="dxa" w:w="70"/>
              <w:left w:type="dxa" w:w="140"/>
              <w:bottom w:type="dxa" w:w="70"/>
              <w:right w:type="dxa" w:w="140"/>
            </w:tcMar>
          </w:tcPr>
          <w:p>
            <w:r>
              <w:rPr>
                <w:rFonts w:ascii="Calibri" w:cs="Calibri" w:eastAsia="Calibri" w:hAnsi="Calibri"/>
                <w:color w:val="1A1A1A"/>
                <w:sz w:val="19"/>
                <w:szCs w:val="19"/>
              </w:rPr>
              <w:t xml:space="preserve">Fetch prices</w:t>
            </w:r>
          </w:p>
        </w:tc>
        <w:tc>
          <w:tcPr>
            <w:tcW w:type="dxa" w:w="6500"/>
            <w:shd w:fill="FFFFFF" w:color="auto" w:val="clear"/>
            <w:tcMar>
              <w:top w:type="dxa" w:w="70"/>
              <w:left w:type="dxa" w:w="140"/>
              <w:bottom w:type="dxa" w:w="70"/>
              <w:right w:type="dxa" w:w="140"/>
            </w:tcMar>
          </w:tcPr>
          <w:p>
            <w:r>
              <w:rPr>
                <w:rFonts w:ascii="Consolas" w:cs="Consolas" w:eastAsia="Consolas" w:hAnsi="Consolas"/>
                <w:color w:val="000000"/>
                <w:sz w:val="19"/>
                <w:szCs w:val="19"/>
              </w:rPr>
              <w:t xml:space="preserve">quantmod::getSymbols()</w:t>
            </w:r>
          </w:p>
        </w:tc>
      </w:tr>
      <w:tr>
        <w:tc>
          <w:tcPr>
            <w:tcW w:type="dxa" w:w="4300"/>
            <w:shd w:fill="F5F5F5" w:color="auto" w:val="clear"/>
            <w:tcMar>
              <w:top w:type="dxa" w:w="70"/>
              <w:left w:type="dxa" w:w="140"/>
              <w:bottom w:type="dxa" w:w="70"/>
              <w:right w:type="dxa" w:w="140"/>
            </w:tcMar>
          </w:tcPr>
          <w:p>
            <w:r>
              <w:rPr>
                <w:rFonts w:ascii="Calibri" w:cs="Calibri" w:eastAsia="Calibri" w:hAnsi="Calibri"/>
                <w:color w:val="1A1A1A"/>
                <w:sz w:val="19"/>
                <w:szCs w:val="19"/>
              </w:rPr>
              <w:t xml:space="preserve">Prices to returns</w:t>
            </w:r>
          </w:p>
        </w:tc>
        <w:tc>
          <w:tcPr>
            <w:tcW w:type="dxa" w:w="6500"/>
            <w:shd w:fill="F5F5F5" w:color="auto" w:val="clear"/>
            <w:tcMar>
              <w:top w:type="dxa" w:w="70"/>
              <w:left w:type="dxa" w:w="140"/>
              <w:bottom w:type="dxa" w:w="70"/>
              <w:right w:type="dxa" w:w="140"/>
            </w:tcMar>
          </w:tcPr>
          <w:p>
            <w:r>
              <w:rPr>
                <w:rFonts w:ascii="Consolas" w:cs="Consolas" w:eastAsia="Consolas" w:hAnsi="Consolas"/>
                <w:color w:val="000000"/>
                <w:sz w:val="19"/>
                <w:szCs w:val="19"/>
              </w:rPr>
              <w:t xml:space="preserve">PerformanceAnalytics::Return.calculate()</w:t>
            </w:r>
          </w:p>
        </w:tc>
      </w:tr>
      <w:tr>
        <w:tc>
          <w:tcPr>
            <w:tcW w:type="dxa" w:w="4300"/>
            <w:shd w:fill="FFFFFF" w:color="auto" w:val="clear"/>
            <w:tcMar>
              <w:top w:type="dxa" w:w="70"/>
              <w:left w:type="dxa" w:w="140"/>
              <w:bottom w:type="dxa" w:w="70"/>
              <w:right w:type="dxa" w:w="140"/>
            </w:tcMar>
          </w:tcPr>
          <w:p>
            <w:r>
              <w:rPr>
                <w:rFonts w:ascii="Calibri" w:cs="Calibri" w:eastAsia="Calibri" w:hAnsi="Calibri"/>
                <w:color w:val="1A1A1A"/>
                <w:sz w:val="19"/>
                <w:szCs w:val="19"/>
              </w:rPr>
              <w:t xml:space="preserve">Covariance / correlation</w:t>
            </w:r>
          </w:p>
        </w:tc>
        <w:tc>
          <w:tcPr>
            <w:tcW w:type="dxa" w:w="6500"/>
            <w:shd w:fill="FFFFFF" w:color="auto" w:val="clear"/>
            <w:tcMar>
              <w:top w:type="dxa" w:w="70"/>
              <w:left w:type="dxa" w:w="140"/>
              <w:bottom w:type="dxa" w:w="70"/>
              <w:right w:type="dxa" w:w="140"/>
            </w:tcMar>
          </w:tcPr>
          <w:p>
            <w:r>
              <w:rPr>
                <w:rFonts w:ascii="Consolas" w:cs="Consolas" w:eastAsia="Consolas" w:hAnsi="Consolas"/>
                <w:color w:val="000000"/>
                <w:sz w:val="19"/>
                <w:szCs w:val="19"/>
              </w:rPr>
              <w:t xml:space="preserve">cov()  /  cor()</w:t>
            </w:r>
          </w:p>
        </w:tc>
      </w:tr>
      <w:tr>
        <w:tc>
          <w:tcPr>
            <w:tcW w:type="dxa" w:w="4300"/>
            <w:shd w:fill="F5F5F5" w:color="auto" w:val="clear"/>
            <w:tcMar>
              <w:top w:type="dxa" w:w="70"/>
              <w:left w:type="dxa" w:w="140"/>
              <w:bottom w:type="dxa" w:w="70"/>
              <w:right w:type="dxa" w:w="140"/>
            </w:tcMar>
          </w:tcPr>
          <w:p>
            <w:r>
              <w:rPr>
                <w:rFonts w:ascii="Calibri" w:cs="Calibri" w:eastAsia="Calibri" w:hAnsi="Calibri"/>
                <w:color w:val="1A1A1A"/>
                <w:sz w:val="19"/>
                <w:szCs w:val="19"/>
              </w:rPr>
              <w:t xml:space="preserve">Solve min variance / max Sharpe</w:t>
            </w:r>
          </w:p>
        </w:tc>
        <w:tc>
          <w:tcPr>
            <w:tcW w:type="dxa" w:w="6500"/>
            <w:shd w:fill="F5F5F5" w:color="auto" w:val="clear"/>
            <w:tcMar>
              <w:top w:type="dxa" w:w="70"/>
              <w:left w:type="dxa" w:w="140"/>
              <w:bottom w:type="dxa" w:w="70"/>
              <w:right w:type="dxa" w:w="140"/>
            </w:tcMar>
          </w:tcPr>
          <w:p>
            <w:r>
              <w:rPr>
                <w:rFonts w:ascii="Consolas" w:cs="Consolas" w:eastAsia="Consolas" w:hAnsi="Consolas"/>
                <w:color w:val="000000"/>
                <w:sz w:val="19"/>
                <w:szCs w:val="19"/>
              </w:rPr>
              <w:t xml:space="preserve">quadprog::solve.QP()</w:t>
            </w:r>
          </w:p>
        </w:tc>
      </w:tr>
      <w:tr>
        <w:tc>
          <w:tcPr>
            <w:tcW w:type="dxa" w:w="4300"/>
            <w:shd w:fill="FFFFFF" w:color="auto" w:val="clear"/>
            <w:tcMar>
              <w:top w:type="dxa" w:w="70"/>
              <w:left w:type="dxa" w:w="140"/>
              <w:bottom w:type="dxa" w:w="70"/>
              <w:right w:type="dxa" w:w="140"/>
            </w:tcMar>
          </w:tcPr>
          <w:p>
            <w:r>
              <w:rPr>
                <w:rFonts w:ascii="Calibri" w:cs="Calibri" w:eastAsia="Calibri" w:hAnsi="Calibri"/>
                <w:color w:val="1A1A1A"/>
                <w:sz w:val="19"/>
                <w:szCs w:val="19"/>
              </w:rPr>
              <w:t xml:space="preserve">Max Sharpe wrapper</w:t>
            </w:r>
          </w:p>
        </w:tc>
        <w:tc>
          <w:tcPr>
            <w:tcW w:type="dxa" w:w="6500"/>
            <w:shd w:fill="FFFFFF" w:color="auto" w:val="clear"/>
            <w:tcMar>
              <w:top w:type="dxa" w:w="70"/>
              <w:left w:type="dxa" w:w="140"/>
              <w:bottom w:type="dxa" w:w="70"/>
              <w:right w:type="dxa" w:w="140"/>
            </w:tcMar>
          </w:tcPr>
          <w:p>
            <w:r>
              <w:rPr>
                <w:rFonts w:ascii="Consolas" w:cs="Consolas" w:eastAsia="Consolas" w:hAnsi="Consolas"/>
                <w:color w:val="000000"/>
                <w:sz w:val="19"/>
                <w:szCs w:val="19"/>
              </w:rPr>
              <w:t xml:space="preserve">PortfolioAnalytics::optimize.portfolio()</w:t>
            </w:r>
          </w:p>
        </w:tc>
      </w:tr>
      <w:tr>
        <w:tc>
          <w:tcPr>
            <w:tcW w:type="dxa" w:w="4300"/>
            <w:shd w:fill="F5F5F5" w:color="auto" w:val="clear"/>
            <w:tcMar>
              <w:top w:type="dxa" w:w="70"/>
              <w:left w:type="dxa" w:w="140"/>
              <w:bottom w:type="dxa" w:w="70"/>
              <w:right w:type="dxa" w:w="140"/>
            </w:tcMar>
          </w:tcPr>
          <w:p>
            <w:r>
              <w:rPr>
                <w:rFonts w:ascii="Calibri" w:cs="Calibri" w:eastAsia="Calibri" w:hAnsi="Calibri"/>
                <w:color w:val="1A1A1A"/>
                <w:sz w:val="19"/>
                <w:szCs w:val="19"/>
              </w:rPr>
              <w:t xml:space="preserve">Rolling correlation</w:t>
            </w:r>
          </w:p>
        </w:tc>
        <w:tc>
          <w:tcPr>
            <w:tcW w:type="dxa" w:w="6500"/>
            <w:shd w:fill="F5F5F5" w:color="auto" w:val="clear"/>
            <w:tcMar>
              <w:top w:type="dxa" w:w="70"/>
              <w:left w:type="dxa" w:w="140"/>
              <w:bottom w:type="dxa" w:w="70"/>
              <w:right w:type="dxa" w:w="140"/>
            </w:tcMar>
          </w:tcPr>
          <w:p>
            <w:r>
              <w:rPr>
                <w:rFonts w:ascii="Consolas" w:cs="Consolas" w:eastAsia="Consolas" w:hAnsi="Consolas"/>
                <w:color w:val="000000"/>
                <w:sz w:val="19"/>
                <w:szCs w:val="19"/>
              </w:rPr>
              <w:t xml:space="preserve">TTR::runCor()</w:t>
            </w:r>
          </w:p>
        </w:tc>
      </w:tr>
      <w:tr>
        <w:tc>
          <w:tcPr>
            <w:tcW w:type="dxa" w:w="4300"/>
            <w:shd w:fill="FFFFFF" w:color="auto" w:val="clear"/>
            <w:tcMar>
              <w:top w:type="dxa" w:w="70"/>
              <w:left w:type="dxa" w:w="140"/>
              <w:bottom w:type="dxa" w:w="70"/>
              <w:right w:type="dxa" w:w="140"/>
            </w:tcMar>
          </w:tcPr>
          <w:p>
            <w:r>
              <w:rPr>
                <w:rFonts w:ascii="Calibri" w:cs="Calibri" w:eastAsia="Calibri" w:hAnsi="Calibri"/>
                <w:color w:val="1A1A1A"/>
                <w:sz w:val="19"/>
                <w:szCs w:val="19"/>
              </w:rPr>
              <w:t xml:space="preserve">Rolling standard deviation</w:t>
            </w:r>
          </w:p>
        </w:tc>
        <w:tc>
          <w:tcPr>
            <w:tcW w:type="dxa" w:w="6500"/>
            <w:shd w:fill="FFFFFF" w:color="auto" w:val="clear"/>
            <w:tcMar>
              <w:top w:type="dxa" w:w="70"/>
              <w:left w:type="dxa" w:w="140"/>
              <w:bottom w:type="dxa" w:w="70"/>
              <w:right w:type="dxa" w:w="140"/>
            </w:tcMar>
          </w:tcPr>
          <w:p>
            <w:r>
              <w:rPr>
                <w:rFonts w:ascii="Consolas" w:cs="Consolas" w:eastAsia="Consolas" w:hAnsi="Consolas"/>
                <w:color w:val="000000"/>
                <w:sz w:val="19"/>
                <w:szCs w:val="19"/>
              </w:rPr>
              <w:t xml:space="preserve">TTR::runSD()</w:t>
            </w:r>
          </w:p>
        </w:tc>
      </w:tr>
      <w:tr>
        <w:tc>
          <w:tcPr>
            <w:tcW w:type="dxa" w:w="4300"/>
            <w:shd w:fill="F5F5F5" w:color="auto" w:val="clear"/>
            <w:tcMar>
              <w:top w:type="dxa" w:w="70"/>
              <w:left w:type="dxa" w:w="140"/>
              <w:bottom w:type="dxa" w:w="70"/>
              <w:right w:type="dxa" w:w="140"/>
            </w:tcMar>
          </w:tcPr>
          <w:p>
            <w:r>
              <w:rPr>
                <w:rFonts w:ascii="Calibri" w:cs="Calibri" w:eastAsia="Calibri" w:hAnsi="Calibri"/>
                <w:color w:val="1A1A1A"/>
                <w:sz w:val="19"/>
                <w:szCs w:val="19"/>
              </w:rPr>
              <w:t xml:space="preserve">Rolling beta</w:t>
            </w:r>
          </w:p>
        </w:tc>
        <w:tc>
          <w:tcPr>
            <w:tcW w:type="dxa" w:w="6500"/>
            <w:shd w:fill="F5F5F5" w:color="auto" w:val="clear"/>
            <w:tcMar>
              <w:top w:type="dxa" w:w="70"/>
              <w:left w:type="dxa" w:w="140"/>
              <w:bottom w:type="dxa" w:w="70"/>
              <w:right w:type="dxa" w:w="140"/>
            </w:tcMar>
          </w:tcPr>
          <w:p>
            <w:r>
              <w:rPr>
                <w:rFonts w:ascii="Consolas" w:cs="Consolas" w:eastAsia="Consolas" w:hAnsi="Consolas"/>
                <w:color w:val="000000"/>
                <w:sz w:val="19"/>
                <w:szCs w:val="19"/>
              </w:rPr>
              <w:t xml:space="preserve">zoo::rollapply()</w:t>
            </w:r>
          </w:p>
        </w:tc>
      </w:tr>
      <w:tr>
        <w:tc>
          <w:tcPr>
            <w:tcW w:type="dxa" w:w="4300"/>
            <w:shd w:fill="FFFFFF" w:color="auto" w:val="clear"/>
            <w:tcMar>
              <w:top w:type="dxa" w:w="70"/>
              <w:left w:type="dxa" w:w="140"/>
              <w:bottom w:type="dxa" w:w="70"/>
              <w:right w:type="dxa" w:w="140"/>
            </w:tcMar>
          </w:tcPr>
          <w:p>
            <w:r>
              <w:rPr>
                <w:rFonts w:ascii="Calibri" w:cs="Calibri" w:eastAsia="Calibri" w:hAnsi="Calibri"/>
                <w:color w:val="1A1A1A"/>
                <w:sz w:val="19"/>
                <w:szCs w:val="19"/>
              </w:rPr>
              <w:t xml:space="preserve">Export for the LLM</w:t>
            </w:r>
          </w:p>
        </w:tc>
        <w:tc>
          <w:tcPr>
            <w:tcW w:type="dxa" w:w="6500"/>
            <w:shd w:fill="FFFFFF" w:color="auto" w:val="clear"/>
            <w:tcMar>
              <w:top w:type="dxa" w:w="70"/>
              <w:left w:type="dxa" w:w="140"/>
              <w:bottom w:type="dxa" w:w="70"/>
              <w:right w:type="dxa" w:w="140"/>
            </w:tcMar>
          </w:tcPr>
          <w:p>
            <w:r>
              <w:rPr>
                <w:rFonts w:ascii="Consolas" w:cs="Consolas" w:eastAsia="Consolas" w:hAnsi="Consolas"/>
                <w:color w:val="000000"/>
                <w:sz w:val="19"/>
                <w:szCs w:val="19"/>
              </w:rPr>
              <w:t xml:space="preserve">jsonlite::write_json()</w:t>
            </w:r>
          </w:p>
        </w:tc>
      </w:tr>
    </w:tbl>
    <w:p>
      <w:pPr>
        <w:spacing w:after="100" w:line="264"/>
      </w:pPr>
      <w:r>
        <w:rPr>
          <w:rFonts w:ascii="Calibri" w:cs="Calibri" w:eastAsia="Calibri" w:hAnsi="Calibri"/>
          <w:color w:val="1A1A1A"/>
          <w:sz w:val="21"/>
          <w:szCs w:val="21"/>
        </w:rPr>
        <w:t xml:space="preserve"/>
      </w: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Pr>
      <w:tblGrid>
        <w:gridCol w:w="10800"/>
      </w:tblGrid>
      <w:tr>
        <w:tc>
          <w:tcPr>
            <w:tcW w:type="dxa" w:w="10800"/>
            <w:shd w:fill="EDEDED" w:color="auto" w:val="clear"/>
            <w:tcMar>
              <w:top w:type="dxa" w:w="140"/>
              <w:left w:type="dxa" w:w="200"/>
              <w:bottom w:type="dxa" w:w="140"/>
              <w:right w:type="dxa" w:w="200"/>
            </w:tcMar>
          </w:tcPr>
          <w:p>
            <w:pPr>
              <w:spacing w:after="40"/>
            </w:pPr>
            <w:r>
              <w:rPr>
                <w:rFonts w:ascii="Calibri" w:cs="Calibri" w:eastAsia="Calibri" w:hAnsi="Calibri"/>
                <w:b/>
                <w:bCs/>
                <w:caps/>
                <w:color w:val="000000"/>
                <w:spacing w:val="20"/>
                <w:sz w:val="19"/>
                <w:szCs w:val="19"/>
              </w:rPr>
              <w:t xml:space="preserve">Take-home checklist: do you understand it?</w:t>
            </w:r>
          </w:p>
          <w:p>
            <w:pPr>
              <w:spacing w:after="60" w:line="258"/>
            </w:pPr>
            <w:r>
              <w:rPr>
                <w:rFonts w:ascii="Calibri" w:cs="Calibri" w:eastAsia="Calibri" w:hAnsi="Calibri"/>
                <w:color w:val="000000"/>
                <w:sz w:val="20"/>
                <w:szCs w:val="20"/>
              </w:rPr>
              <w:t xml:space="preserve">❑  </w:t>
            </w:r>
            <w:r>
              <w:rPr>
                <w:rFonts w:ascii="Calibri" w:cs="Calibri" w:eastAsia="Calibri" w:hAnsi="Calibri"/>
                <w:color w:val="1A1A1A"/>
                <w:sz w:val="20"/>
                <w:szCs w:val="20"/>
              </w:rPr>
              <w:t xml:space="preserve">Why we optimize on returns, not prices.</w:t>
            </w:r>
          </w:p>
          <w:p>
            <w:pPr>
              <w:spacing w:after="60" w:line="258"/>
            </w:pPr>
            <w:r>
              <w:rPr>
                <w:rFonts w:ascii="Calibri" w:cs="Calibri" w:eastAsia="Calibri" w:hAnsi="Calibri"/>
                <w:color w:val="000000"/>
                <w:sz w:val="20"/>
                <w:szCs w:val="20"/>
              </w:rPr>
              <w:t xml:space="preserve">❑  </w:t>
            </w:r>
            <w:r>
              <w:rPr>
                <w:rFonts w:ascii="Calibri" w:cs="Calibri" w:eastAsia="Calibri" w:hAnsi="Calibri"/>
                <w:color w:val="1A1A1A"/>
                <w:sz w:val="20"/>
                <w:szCs w:val="20"/>
              </w:rPr>
              <w:t xml:space="preserve">Why the covariance matrix, not any single stock's risk, drives the result.</w:t>
            </w:r>
          </w:p>
          <w:p>
            <w:pPr>
              <w:spacing w:after="60" w:line="258"/>
            </w:pPr>
            <w:r>
              <w:rPr>
                <w:rFonts w:ascii="Calibri" w:cs="Calibri" w:eastAsia="Calibri" w:hAnsi="Calibri"/>
                <w:color w:val="000000"/>
                <w:sz w:val="20"/>
                <w:szCs w:val="20"/>
              </w:rPr>
              <w:t xml:space="preserve">❑  </w:t>
            </w:r>
            <w:r>
              <w:rPr>
                <w:rFonts w:ascii="Calibri" w:cs="Calibri" w:eastAsia="Calibri" w:hAnsi="Calibri"/>
                <w:color w:val="1A1A1A"/>
                <w:sz w:val="20"/>
                <w:szCs w:val="20"/>
              </w:rPr>
              <w:t xml:space="preserve">The difference between minimum variance and maximum Sharpe.</w:t>
            </w:r>
          </w:p>
          <w:p>
            <w:pPr>
              <w:spacing w:after="60" w:line="258"/>
            </w:pPr>
            <w:r>
              <w:rPr>
                <w:rFonts w:ascii="Calibri" w:cs="Calibri" w:eastAsia="Calibri" w:hAnsi="Calibri"/>
                <w:color w:val="000000"/>
                <w:sz w:val="20"/>
                <w:szCs w:val="20"/>
              </w:rPr>
              <w:t xml:space="preserve">❑  </w:t>
            </w:r>
            <w:r>
              <w:rPr>
                <w:rFonts w:ascii="Calibri" w:cs="Calibri" w:eastAsia="Calibri" w:hAnsi="Calibri"/>
                <w:color w:val="1A1A1A"/>
                <w:sz w:val="20"/>
                <w:szCs w:val="20"/>
              </w:rPr>
              <w:t xml:space="preserve">Why the app uses inverse volatility instead, and what it gives up.</w:t>
            </w:r>
          </w:p>
          <w:p>
            <w:pPr>
              <w:spacing w:after="0" w:line="258"/>
            </w:pPr>
            <w:r>
              <w:rPr>
                <w:rFonts w:ascii="Calibri" w:cs="Calibri" w:eastAsia="Calibri" w:hAnsi="Calibri"/>
                <w:color w:val="000000"/>
                <w:sz w:val="20"/>
                <w:szCs w:val="20"/>
              </w:rPr>
              <w:t xml:space="preserve">❑  </w:t>
            </w:r>
            <w:r>
              <w:rPr>
                <w:rFonts w:ascii="Calibri" w:cs="Calibri" w:eastAsia="Calibri" w:hAnsi="Calibri"/>
                <w:color w:val="1A1A1A"/>
                <w:sz w:val="20"/>
                <w:szCs w:val="20"/>
              </w:rPr>
              <w:t xml:space="preserve">What a rolling metric shows that a single number cannot.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5"/>
        <w:szCs w:val="15"/>
      </w:rPr>
      <w:t xml:space="preserve">Portfolio Optimization Reference  ·  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2" w:space="4"/>
      </w:pBdr>
      <w:spacing w:after="40"/>
    </w:pPr>
    <w:r>
      <w:rPr>
        <w:rFonts w:ascii="Calibri" w:cs="Calibri" w:eastAsia="Calibri" w:hAnsi="Calibri"/>
        <w:b/>
        <w:bCs/>
        <w:color w:val="000000"/>
        <w:spacing w:val="40"/>
        <w:sz w:val="16"/>
        <w:szCs w:val="16"/>
      </w:rPr>
      <w:t xml:space="preserve">DATA SCIENCE TRACK</w:t>
    </w:r>
    <w:r>
      <w:rPr>
        <w:rFonts w:ascii="Calibri" w:cs="Calibri" w:eastAsia="Calibri" w:hAnsi="Calibri"/>
        <w:color w:val="666666"/>
        <w:sz w:val="16"/>
        <w:szCs w:val="16"/>
      </w:rPr>
      <w:t xml:space="preserve">     Generative AI in Finance  ·  Day 2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2026-07-21T03:30:04.377Z</dcterms:created>
  <dcterms:modified xsi:type="dcterms:W3CDTF">2026-07-21T03:30:04.389Z</dcterms:modified>
</cp:coreProperties>
</file>

<file path=docProps/custom.xml><?xml version="1.0" encoding="utf-8"?>
<Properties xmlns="http://schemas.openxmlformats.org/officeDocument/2006/custom-properties" xmlns:vt="http://schemas.openxmlformats.org/officeDocument/2006/docPropsVTypes"/>
</file>