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left"/>
        <w:rPr/>
      </w:pPr>
      <w:r>
        <w:rPr>
          <w:rFonts w:ascii="Calibri" w:hAnsi="Calibri"/>
          <w:b/>
          <w:i w:val="false"/>
          <w:color w:val="006666"/>
          <w:sz w:val="44"/>
        </w:rPr>
        <w:t>IntelliNex</w:t>
      </w:r>
    </w:p>
    <w:p>
      <w:pPr>
        <w:pStyle w:val="Normal"/>
        <w:spacing w:before="0" w:after="40"/>
        <w:jc w:val="left"/>
        <w:rPr/>
      </w:pPr>
      <w:r>
        <w:rPr>
          <w:rFonts w:ascii="Calibri" w:hAnsi="Calibri"/>
          <w:b w:val="false"/>
          <w:i w:val="false"/>
          <w:color w:val="646464"/>
          <w:sz w:val="22"/>
        </w:rPr>
        <w:t>Hospital Management Information System</w:t>
      </w:r>
    </w:p>
    <w:p>
      <w:pPr>
        <w:pStyle w:val="Normal"/>
        <w:spacing w:before="0" w:after="80"/>
        <w:jc w:val="left"/>
        <w:rPr/>
      </w:pPr>
      <w:r>
        <w:rPr>
          <w:rFonts w:ascii="Calibri" w:hAnsi="Calibri"/>
          <w:b w:val="false"/>
          <w:i/>
          <w:color w:val="646464"/>
          <w:sz w:val="20"/>
        </w:rPr>
        <w:t>For Quality Healthcare Service Delivery</w:t>
      </w:r>
    </w:p>
    <w:p>
      <w:pPr>
        <w:pStyle w:val="Normal"/>
        <w:pBdr>
          <w:bottom w:val="single" w:sz="6" w:space="1" w:color="006666"/>
        </w:pBdr>
        <w:spacing w:before="0" w:after="160"/>
        <w:rPr/>
      </w:pPr>
      <w:r>
        <w:rPr/>
      </w:r>
    </w:p>
    <w:p>
      <w:pPr>
        <w:pStyle w:val="Normal"/>
        <w:spacing w:before="0" w:after="280"/>
        <w:jc w:val="left"/>
        <w:rPr/>
      </w:pPr>
      <w:r>
        <w:rPr>
          <w:rFonts w:ascii="Calibri" w:hAnsi="Calibri"/>
          <w:b w:val="false"/>
          <w:i w:val="false"/>
          <w:color w:val="646464"/>
          <w:sz w:val="18"/>
        </w:rPr>
        <w:t xml:space="preserve">P.O. Box 8407-30100, Eldoret  |  Tel: 0116 695 005  |  Email: </w:t>
      </w:r>
      <w:r>
        <w:rPr>
          <w:rFonts w:ascii="Calibri" w:hAnsi="Calibri"/>
          <w:b w:val="false"/>
          <w:i w:val="false"/>
          <w:color w:val="646464"/>
          <w:sz w:val="18"/>
        </w:rPr>
        <w:t>safkenltd@gmail.com</w:t>
      </w:r>
    </w:p>
    <w:p>
      <w:pPr>
        <w:pStyle w:val="Normal"/>
        <w:spacing w:before="0" w:after="280"/>
        <w:jc w:val="left"/>
        <w:rPr/>
      </w:pPr>
      <w:r>
        <w:rPr>
          <w:rFonts w:ascii="Calibri" w:hAnsi="Calibri"/>
          <w:b w:val="false"/>
          <w:i w:val="false"/>
          <w:color w:val="1E1E1E"/>
          <w:sz w:val="22"/>
        </w:rPr>
        <w:t>19 August 2026</w:t>
      </w:r>
    </w:p>
    <w:p>
      <w:pPr>
        <w:pStyle w:val="Normal"/>
        <w:spacing w:before="0" w:after="40"/>
        <w:jc w:val="left"/>
        <w:rPr/>
      </w:pPr>
      <w:r>
        <w:rPr>
          <w:rFonts w:ascii="Calibri" w:hAnsi="Calibri"/>
          <w:b/>
          <w:i w:val="false"/>
          <w:color w:val="1E1E1E"/>
          <w:sz w:val="22"/>
        </w:rPr>
        <w:t>The Hospital Director</w:t>
      </w:r>
    </w:p>
    <w:p>
      <w:pPr>
        <w:pStyle w:val="Normal"/>
        <w:spacing w:before="0" w:after="40"/>
        <w:jc w:val="left"/>
        <w:rPr/>
      </w:pPr>
      <w:r>
        <w:rPr>
          <w:rFonts w:ascii="Calibri" w:hAnsi="Calibri"/>
          <w:b w:val="false"/>
          <w:i w:val="false"/>
          <w:color w:val="1E1E1E"/>
          <w:sz w:val="22"/>
        </w:rPr>
        <w:t>Tophill Hospital</w:t>
      </w:r>
    </w:p>
    <w:p>
      <w:pPr>
        <w:pStyle w:val="Normal"/>
        <w:spacing w:before="0" w:after="40"/>
        <w:jc w:val="left"/>
        <w:rPr/>
      </w:pPr>
      <w:r>
        <w:rPr>
          <w:rFonts w:ascii="Calibri" w:hAnsi="Calibri"/>
          <w:b w:val="false"/>
          <w:i w:val="false"/>
          <w:color w:val="1E1E1E"/>
          <w:sz w:val="22"/>
        </w:rPr>
        <w:t>Elgon View, next to Boma Inn Hotel</w:t>
      </w:r>
    </w:p>
    <w:p>
      <w:pPr>
        <w:pStyle w:val="Normal"/>
        <w:spacing w:before="0" w:after="280"/>
        <w:jc w:val="left"/>
        <w:rPr/>
      </w:pPr>
      <w:r>
        <w:rPr>
          <w:rFonts w:ascii="Calibri" w:hAnsi="Calibri"/>
          <w:b w:val="false"/>
          <w:i w:val="false"/>
          <w:color w:val="1E1E1E"/>
          <w:sz w:val="22"/>
        </w:rPr>
        <w:t>P.O. Box 6689-30100, Eldoret, Kenya</w:t>
      </w:r>
    </w:p>
    <w:p>
      <w:pPr>
        <w:pStyle w:val="Normal"/>
        <w:spacing w:before="0" w:after="280"/>
        <w:jc w:val="left"/>
        <w:rPr/>
      </w:pPr>
      <w:r>
        <w:rPr>
          <w:rFonts w:ascii="Calibri" w:hAnsi="Calibri"/>
          <w:b/>
          <w:i w:val="false"/>
          <w:color w:val="006666"/>
          <w:sz w:val="22"/>
        </w:rPr>
        <w:t xml:space="preserve">RE: </w:t>
      </w:r>
      <w:r>
        <w:rPr>
          <w:rFonts w:ascii="Calibri" w:hAnsi="Calibri"/>
          <w:b/>
          <w:i w:val="false"/>
          <w:color w:val="1E1E1E"/>
          <w:sz w:val="22"/>
        </w:rPr>
        <w:t>Introduction of IntelliNex — Hospital Management Information System (HMIS)</w:t>
      </w:r>
    </w:p>
    <w:p>
      <w:pPr>
        <w:pStyle w:val="Normal"/>
        <w:spacing w:before="0" w:after="200"/>
        <w:jc w:val="left"/>
        <w:rPr/>
      </w:pPr>
      <w:r>
        <w:rPr>
          <w:rFonts w:ascii="Calibri" w:hAnsi="Calibri"/>
          <w:b w:val="false"/>
          <w:i w:val="false"/>
          <w:color w:val="1E1E1E"/>
          <w:sz w:val="22"/>
        </w:rPr>
        <w:t>Dear Hospital Director,</w:t>
      </w:r>
    </w:p>
    <w:p>
      <w:pPr>
        <w:pStyle w:val="Normal"/>
        <w:spacing w:before="0" w:after="200"/>
        <w:jc w:val="left"/>
        <w:rPr/>
      </w:pPr>
      <w:r>
        <w:rPr>
          <w:rFonts w:ascii="Calibri" w:hAnsi="Calibri"/>
          <w:b w:val="false"/>
          <w:i w:val="false"/>
          <w:color w:val="1E1E1E"/>
          <w:sz w:val="22"/>
        </w:rPr>
        <w:t>We write with great pleasure to introduce IntelliNex, a comprehensive Hospital Management Information System designed for specialist hospitals such as Tophill Hospital. IntelliNex unifies clinical, administrative and financial workflows so your teams spend less time on paperwork and more time on patients — from neurosurgery and critical care through dialysis, diagnostics and billing.</w:t>
      </w:r>
    </w:p>
    <w:p>
      <w:pPr>
        <w:pStyle w:val="Normal"/>
        <w:spacing w:before="0" w:after="280"/>
        <w:jc w:val="left"/>
        <w:rPr/>
      </w:pPr>
      <w:r>
        <w:rPr>
          <w:rFonts w:ascii="Calibri" w:hAnsi="Calibri"/>
          <w:b w:val="false"/>
          <w:i w:val="false"/>
          <w:color w:val="1E1E1E"/>
          <w:sz w:val="22"/>
        </w:rPr>
        <w:t>Tophill Hospital’s commitment to advanced neuro and spine care, 24/7 emergency services, modern imaging and a wide specialist network requires an information system of matching calibre. IntelliNex is built for that setting: secure role-based access, live patient flow, and modules that map to the services you already advertise to the public.</w:t>
      </w:r>
    </w:p>
    <w:p>
      <w:pPr>
        <w:pStyle w:val="Normal"/>
        <w:spacing w:before="80" w:after="160"/>
        <w:jc w:val="left"/>
        <w:rPr/>
      </w:pPr>
      <w:r>
        <w:rPr>
          <w:rFonts w:ascii="Calibri" w:hAnsi="Calibri"/>
          <w:b/>
          <w:i w:val="false"/>
          <w:color w:val="006666"/>
          <w:sz w:val="24"/>
        </w:rPr>
        <w:t>Key capabilities</w:t>
      </w:r>
    </w:p>
    <w:p>
      <w:pPr>
        <w:pStyle w:val="ListBullet"/>
        <w:numPr>
          <w:ilvl w:val="0"/>
          <w:numId w:val="1"/>
        </w:numPr>
        <w:spacing w:before="40" w:after="80"/>
        <w:ind w:left="283" w:hanging="360"/>
        <w:contextualSpacing/>
        <w:rPr/>
      </w:pPr>
      <w:r>
        <w:rPr>
          <w:rFonts w:ascii="Calibri" w:hAnsi="Calibri"/>
          <w:b/>
          <w:color w:val="006666"/>
          <w:sz w:val="22"/>
        </w:rPr>
        <w:t xml:space="preserve">Role-based access and security: </w:t>
      </w:r>
      <w:r>
        <w:rPr>
          <w:rFonts w:ascii="Calibri" w:hAnsi="Calibri"/>
          <w:color w:val="1E1E1E"/>
          <w:sz w:val="22"/>
        </w:rPr>
        <w:t>Granular permissions for administrators, doctors, nurses, laboratory, billing, pharmacy and registration. JWT authentication and hashed passwords protect staff access.</w:t>
      </w:r>
    </w:p>
    <w:p>
      <w:pPr>
        <w:pStyle w:val="ListBullet"/>
        <w:numPr>
          <w:ilvl w:val="0"/>
          <w:numId w:val="1"/>
        </w:numPr>
        <w:spacing w:before="40" w:after="80"/>
        <w:ind w:left="283" w:hanging="360"/>
        <w:contextualSpacing/>
        <w:rPr/>
      </w:pPr>
      <w:r>
        <w:rPr>
          <w:rFonts w:ascii="Calibri" w:hAnsi="Calibri"/>
          <w:b/>
          <w:color w:val="006666"/>
          <w:sz w:val="22"/>
        </w:rPr>
        <w:t xml:space="preserve">Patient registration, triage and queues: </w:t>
      </w:r>
      <w:r>
        <w:rPr>
          <w:rFonts w:ascii="Calibri" w:hAnsi="Calibri"/>
          <w:color w:val="1E1E1E"/>
          <w:sz w:val="22"/>
        </w:rPr>
        <w:t>Full demographics, encounter history, acuity-based triaging and live queues across service points to reduce waiting times and improve coordination on arrival.</w:t>
      </w:r>
    </w:p>
    <w:p>
      <w:pPr>
        <w:pStyle w:val="ListBullet"/>
        <w:numPr>
          <w:ilvl w:val="0"/>
          <w:numId w:val="1"/>
        </w:numPr>
        <w:spacing w:before="40" w:after="80"/>
        <w:ind w:left="283" w:hanging="360"/>
        <w:contextualSpacing/>
        <w:rPr/>
      </w:pPr>
      <w:r>
        <w:rPr>
          <w:rFonts w:ascii="Calibri" w:hAnsi="Calibri"/>
          <w:b/>
          <w:color w:val="006666"/>
          <w:sz w:val="22"/>
        </w:rPr>
        <w:t xml:space="preserve">Specialist clinics: </w:t>
      </w:r>
      <w:r>
        <w:rPr>
          <w:rFonts w:ascii="Calibri" w:hAnsi="Calibri"/>
          <w:color w:val="1E1E1E"/>
          <w:sz w:val="22"/>
        </w:rPr>
        <w:t>Dedicated clinic boards for neurosurgery, cardiology, renal care, ophthalmology, ENT, dermatology, mental health, dental, nutrition and physiotherapy — with appointments, patient lists and clinical notes.</w:t>
      </w:r>
    </w:p>
    <w:p>
      <w:pPr>
        <w:pStyle w:val="ListBullet"/>
        <w:numPr>
          <w:ilvl w:val="0"/>
          <w:numId w:val="1"/>
        </w:numPr>
        <w:spacing w:before="40" w:after="80"/>
        <w:ind w:left="283" w:hanging="360"/>
        <w:contextualSpacing/>
        <w:rPr/>
      </w:pPr>
      <w:r>
        <w:rPr>
          <w:rFonts w:ascii="Calibri" w:hAnsi="Calibri"/>
          <w:b/>
          <w:color w:val="006666"/>
          <w:sz w:val="22"/>
        </w:rPr>
        <w:t xml:space="preserve">Renal unit and dialysis: </w:t>
      </w:r>
      <w:r>
        <w:rPr>
          <w:rFonts w:ascii="Calibri" w:hAnsi="Calibri"/>
          <w:color w:val="1E1E1E"/>
          <w:sz w:val="22"/>
        </w:rPr>
        <w:t>Session scheduling, machine status, patient registry and clinical notes so haemodialysis and related renal care sit alongside the rest of the hospital record.</w:t>
      </w:r>
    </w:p>
    <w:p>
      <w:pPr>
        <w:pStyle w:val="ListBullet"/>
        <w:numPr>
          <w:ilvl w:val="0"/>
          <w:numId w:val="1"/>
        </w:numPr>
        <w:spacing w:before="40" w:after="80"/>
        <w:ind w:left="283" w:hanging="360"/>
        <w:contextualSpacing/>
        <w:rPr/>
      </w:pPr>
      <w:r>
        <w:rPr>
          <w:rFonts w:ascii="Calibri" w:hAnsi="Calibri"/>
          <w:b/>
          <w:color w:val="006666"/>
          <w:sz w:val="22"/>
        </w:rPr>
        <w:t xml:space="preserve">Inpatient, ICU, maternity and radiology: </w:t>
      </w:r>
      <w:r>
        <w:rPr>
          <w:rFonts w:ascii="Calibri" w:hAnsi="Calibri"/>
          <w:color w:val="1E1E1E"/>
          <w:sz w:val="22"/>
        </w:rPr>
        <w:t>Ward and bed management, critical care admissions, maternity workflows, and diagnostic imaging orders to support Tophill’s surgical and inpatient services.</w:t>
      </w:r>
    </w:p>
    <w:p>
      <w:pPr>
        <w:pStyle w:val="ListBullet"/>
        <w:numPr>
          <w:ilvl w:val="0"/>
          <w:numId w:val="1"/>
        </w:numPr>
        <w:spacing w:before="40" w:after="80"/>
        <w:ind w:left="283" w:hanging="360"/>
        <w:contextualSpacing/>
        <w:rPr/>
      </w:pPr>
      <w:r>
        <w:rPr>
          <w:rFonts w:ascii="Calibri" w:hAnsi="Calibri"/>
          <w:b/>
          <w:color w:val="006666"/>
          <w:sz w:val="22"/>
        </w:rPr>
        <w:t xml:space="preserve">Laboratory and pharmacy: </w:t>
      </w:r>
      <w:r>
        <w:rPr>
          <w:rFonts w:ascii="Calibri" w:hAnsi="Calibri"/>
          <w:color w:val="1E1E1E"/>
          <w:sz w:val="22"/>
        </w:rPr>
        <w:t>Lab orders and results, prescription and dispensing, and drug inventory control for your 24/7 pharmacy and modern laboratory.</w:t>
      </w:r>
    </w:p>
    <w:p>
      <w:pPr>
        <w:pStyle w:val="ListBullet"/>
        <w:numPr>
          <w:ilvl w:val="0"/>
          <w:numId w:val="1"/>
        </w:numPr>
        <w:spacing w:before="40" w:after="80"/>
        <w:ind w:left="283" w:hanging="360"/>
        <w:contextualSpacing/>
        <w:rPr/>
      </w:pPr>
      <w:r>
        <w:rPr>
          <w:rFonts w:ascii="Calibri" w:hAnsi="Calibri"/>
          <w:b/>
          <w:color w:val="006666"/>
          <w:sz w:val="22"/>
        </w:rPr>
        <w:t xml:space="preserve">Billing and insurance claims: </w:t>
      </w:r>
      <w:r>
        <w:rPr>
          <w:rFonts w:ascii="Calibri" w:hAnsi="Calibri"/>
          <w:color w:val="1E1E1E"/>
          <w:sz w:val="22"/>
        </w:rPr>
        <w:t>Charge capture, invoicing, and an insurance claims workspace (submit, review, approve or reject) covering partners such as SHA/NHIF, AAR, Jubilee, Madison, CIC and Britam.</w:t>
      </w:r>
    </w:p>
    <w:p>
      <w:pPr>
        <w:pStyle w:val="ListBullet"/>
        <w:numPr>
          <w:ilvl w:val="0"/>
          <w:numId w:val="1"/>
        </w:numPr>
        <w:spacing w:before="40" w:after="80"/>
        <w:ind w:left="283" w:hanging="360"/>
        <w:contextualSpacing/>
        <w:rPr/>
      </w:pPr>
      <w:r>
        <w:rPr>
          <w:rFonts w:ascii="Calibri" w:hAnsi="Calibri"/>
          <w:b/>
          <w:color w:val="006666"/>
          <w:sz w:val="22"/>
        </w:rPr>
        <w:t xml:space="preserve">Online patient booking (public portal): </w:t>
      </w:r>
      <w:r>
        <w:rPr>
          <w:rFonts w:ascii="Calibri" w:hAnsi="Calibri"/>
          <w:color w:val="1E1E1E"/>
          <w:sz w:val="22"/>
        </w:rPr>
        <w:t>Patients request an OPD or specialist visit without a staff login. The form can be opened at the hospital portal or embedded on tophillhospital.com. Registration accepts the request into the live diary; an SMS confirmation is sent when messaging is configured. WhatsApp is available as a click-to-chat follow-up with the booking code.</w:t>
      </w:r>
    </w:p>
    <w:p>
      <w:pPr>
        <w:pStyle w:val="ListBullet"/>
        <w:numPr>
          <w:ilvl w:val="0"/>
          <w:numId w:val="1"/>
        </w:numPr>
        <w:spacing w:before="40" w:after="80"/>
        <w:ind w:left="283" w:hanging="360"/>
        <w:contextualSpacing/>
        <w:rPr/>
      </w:pPr>
      <w:r>
        <w:rPr>
          <w:rFonts w:ascii="Calibri" w:hAnsi="Calibri"/>
          <w:b/>
          <w:color w:val="006666"/>
          <w:sz w:val="22"/>
        </w:rPr>
        <w:t xml:space="preserve">Telemedicine: </w:t>
      </w:r>
      <w:r>
        <w:rPr>
          <w:rFonts w:ascii="Calibri" w:hAnsi="Calibri"/>
          <w:color w:val="1E1E1E"/>
          <w:sz w:val="22"/>
        </w:rPr>
        <w:t>Session management for remote consultations (including Zoom-based visits), with consent and continuity of care for referred patients outside Eldoret.</w:t>
      </w:r>
    </w:p>
    <w:p>
      <w:pPr>
        <w:pStyle w:val="ListBullet"/>
        <w:numPr>
          <w:ilvl w:val="0"/>
          <w:numId w:val="1"/>
        </w:numPr>
        <w:spacing w:before="40" w:after="80"/>
        <w:ind w:left="283" w:hanging="360"/>
        <w:contextualSpacing/>
        <w:rPr/>
      </w:pPr>
      <w:r>
        <w:rPr>
          <w:rFonts w:ascii="Calibri" w:hAnsi="Calibri"/>
          <w:b/>
          <w:color w:val="006666"/>
          <w:sz w:val="22"/>
        </w:rPr>
        <w:t xml:space="preserve">IntelliNex Field (mobile companion): </w:t>
      </w:r>
      <w:r>
        <w:rPr>
          <w:rFonts w:ascii="Calibri" w:hAnsi="Calibri"/>
          <w:color w:val="1E1E1E"/>
          <w:sz w:val="22"/>
        </w:rPr>
        <w:t>An offline-capable Android app for outreach: form capture, external chemist workflows and critical asset checks, with sync when connectivity returns.</w:t>
      </w:r>
    </w:p>
    <w:p>
      <w:pPr>
        <w:pStyle w:val="ListBullet"/>
        <w:numPr>
          <w:ilvl w:val="0"/>
          <w:numId w:val="1"/>
        </w:numPr>
        <w:spacing w:before="40" w:after="80"/>
        <w:ind w:left="283" w:hanging="360"/>
        <w:contextualSpacing/>
        <w:rPr/>
      </w:pPr>
      <w:r>
        <w:rPr>
          <w:rFonts w:ascii="Calibri" w:hAnsi="Calibri"/>
          <w:b/>
          <w:color w:val="006666"/>
          <w:sz w:val="22"/>
        </w:rPr>
        <w:t xml:space="preserve">Finance, procurement and HR overviews: </w:t>
      </w:r>
      <w:r>
        <w:rPr>
          <w:rFonts w:ascii="Calibri" w:hAnsi="Calibri"/>
          <w:color w:val="1E1E1E"/>
          <w:sz w:val="22"/>
        </w:rPr>
        <w:t>Dashboards for revenue and expenses, purchase orders and vendors, and staffing — linked to the operational modules already in daily use.</w:t>
      </w:r>
    </w:p>
    <w:p>
      <w:pPr>
        <w:pStyle w:val="ListBullet"/>
        <w:numPr>
          <w:ilvl w:val="0"/>
          <w:numId w:val="1"/>
        </w:numPr>
        <w:spacing w:before="40" w:after="80"/>
        <w:ind w:left="283" w:hanging="360"/>
        <w:contextualSpacing/>
        <w:rPr/>
      </w:pPr>
      <w:r>
        <w:rPr>
          <w:rFonts w:ascii="Calibri" w:hAnsi="Calibri"/>
          <w:b/>
          <w:color w:val="006666"/>
          <w:sz w:val="22"/>
        </w:rPr>
        <w:t xml:space="preserve">Management and MOH reporting: </w:t>
      </w:r>
      <w:r>
        <w:rPr>
          <w:rFonts w:ascii="Calibri" w:hAnsi="Calibri"/>
          <w:color w:val="1E1E1E"/>
          <w:sz w:val="22"/>
        </w:rPr>
        <w:t>Hospital overview (visits, occupancy, departmental performance), financial and clinical summaries, plus Kenya MOH report formats (including 705, 708, 711, 717, 730 and 731+).</w:t>
      </w:r>
    </w:p>
    <w:p>
      <w:pPr>
        <w:pStyle w:val="ListBullet"/>
        <w:numPr>
          <w:ilvl w:val="0"/>
          <w:numId w:val="1"/>
        </w:numPr>
        <w:spacing w:before="40" w:after="80"/>
        <w:ind w:left="283" w:hanging="360"/>
        <w:contextualSpacing/>
        <w:rPr/>
      </w:pPr>
      <w:r>
        <w:rPr>
          <w:rFonts w:ascii="Calibri" w:hAnsi="Calibri"/>
          <w:b/>
          <w:color w:val="006666"/>
          <w:sz w:val="22"/>
        </w:rPr>
        <w:t xml:space="preserve">Modern, accessible interface: </w:t>
      </w:r>
      <w:r>
        <w:rPr>
          <w:rFonts w:ascii="Calibri" w:hAnsi="Calibri"/>
          <w:color w:val="1E1E1E"/>
          <w:sz w:val="22"/>
        </w:rPr>
        <w:t>Responsive web application with dark/light mode and accessibility support, usable from desktop, tablet or phone.</w:t>
      </w:r>
    </w:p>
    <w:p>
      <w:pPr>
        <w:pStyle w:val="Normal"/>
        <w:spacing w:before="0" w:after="80"/>
        <w:jc w:val="left"/>
        <w:rPr/>
      </w:pPr>
      <w:r>
        <w:rPr/>
      </w:r>
    </w:p>
    <w:p>
      <w:pPr>
        <w:pStyle w:val="Normal"/>
        <w:spacing w:before="120" w:after="160"/>
        <w:jc w:val="left"/>
        <w:rPr/>
      </w:pPr>
      <w:r>
        <w:rPr>
          <w:rFonts w:ascii="Calibri" w:hAnsi="Calibri"/>
          <w:b/>
          <w:i w:val="false"/>
          <w:color w:val="006666"/>
          <w:sz w:val="24"/>
        </w:rPr>
        <w:t>A typical visit in IntelliNex</w:t>
      </w:r>
    </w:p>
    <w:p>
      <w:pPr>
        <w:pStyle w:val="Normal"/>
        <w:spacing w:before="0" w:after="200"/>
        <w:jc w:val="left"/>
        <w:rPr/>
      </w:pPr>
      <w:r>
        <w:rPr>
          <w:rFonts w:ascii="Calibri" w:hAnsi="Calibri"/>
          <w:b w:val="false"/>
          <w:i w:val="false"/>
          <w:color w:val="1E1E1E"/>
          <w:sz w:val="22"/>
        </w:rPr>
        <w:t>A referred patient can request a specialist slot online, be triaged on arrival, seen in the neurosurgery clinic, continue to a scheduled dialysis session, and leave with an insurance claim already in motion — one record, not four separate paper trails.</w:t>
      </w:r>
    </w:p>
    <w:p>
      <w:pPr>
        <w:pStyle w:val="Normal"/>
        <w:spacing w:before="0" w:after="200"/>
        <w:jc w:val="left"/>
        <w:rPr/>
      </w:pPr>
      <w:r>
        <w:rPr>
          <w:rFonts w:ascii="Calibri" w:hAnsi="Calibri"/>
          <w:b w:val="false"/>
          <w:i w:val="false"/>
          <w:color w:val="1E1E1E"/>
          <w:sz w:val="22"/>
        </w:rPr>
        <w:t>IntelliNex is already serving healthcare facilities in the Eldoret region. We would welcome the opportunity to demonstrate these workflows at Tophill Hospital, tailored to your departments, insurance partners and public website.</w:t>
      </w:r>
    </w:p>
    <w:p>
      <w:pPr>
        <w:pStyle w:val="Normal"/>
        <w:spacing w:before="0" w:after="280"/>
        <w:jc w:val="left"/>
        <w:rPr/>
      </w:pPr>
      <w:r>
        <w:rPr>
          <w:rFonts w:ascii="Calibri" w:hAnsi="Calibri"/>
          <w:b w:val="false"/>
          <w:i w:val="false"/>
          <w:color w:val="1E1E1E"/>
          <w:sz w:val="22"/>
        </w:rPr>
        <w:t>We are confident that IntelliNex can strengthen operational efficiency and the patient experience at Tophill Hospital, in keeping with your mission of exceptional, technology-driven care. We look forward to a productive partnership.</w:t>
      </w:r>
    </w:p>
    <w:p>
      <w:pPr>
        <w:pStyle w:val="Normal"/>
        <w:spacing w:before="0" w:after="560"/>
        <w:jc w:val="left"/>
        <w:rPr/>
      </w:pPr>
      <w:r>
        <w:rPr>
          <w:rFonts w:ascii="Calibri" w:hAnsi="Calibri"/>
          <w:b w:val="false"/>
          <w:i w:val="false"/>
          <w:color w:val="1E1E1E"/>
          <w:sz w:val="22"/>
        </w:rPr>
        <w:t>Yours faithfully,</w:t>
      </w:r>
    </w:p>
    <w:p>
      <w:pPr>
        <w:pStyle w:val="Normal"/>
        <w:spacing w:before="0" w:after="40"/>
        <w:jc w:val="left"/>
        <w:rPr/>
      </w:pPr>
      <w:r>
        <w:rPr>
          <w:rFonts w:ascii="Calibri" w:hAnsi="Calibri"/>
          <w:b w:val="false"/>
          <w:i w:val="false"/>
          <w:color w:val="646464"/>
          <w:sz w:val="22"/>
        </w:rPr>
        <w:t>_______________________________</w:t>
      </w:r>
    </w:p>
    <w:p>
      <w:pPr>
        <w:pStyle w:val="Normal"/>
        <w:spacing w:before="0" w:after="40"/>
        <w:jc w:val="left"/>
        <w:rPr/>
      </w:pPr>
      <w:r>
        <w:rPr>
          <w:rFonts w:ascii="Calibri" w:hAnsi="Calibri"/>
          <w:b/>
          <w:i w:val="false"/>
          <w:color w:val="1E1E1E"/>
          <w:sz w:val="22"/>
        </w:rPr>
        <w:t>[Authorised Signatory Name]</w:t>
      </w:r>
    </w:p>
    <w:p>
      <w:pPr>
        <w:pStyle w:val="Normal"/>
        <w:spacing w:before="0" w:after="40"/>
        <w:jc w:val="left"/>
        <w:rPr/>
      </w:pPr>
      <w:r>
        <w:rPr>
          <w:rFonts w:ascii="Calibri" w:hAnsi="Calibri"/>
          <w:b w:val="false"/>
          <w:i w:val="false"/>
          <w:color w:val="1E1E1E"/>
          <w:sz w:val="22"/>
        </w:rPr>
        <w:t>Director</w:t>
      </w:r>
    </w:p>
    <w:p>
      <w:pPr>
        <w:pStyle w:val="Normal"/>
        <w:spacing w:before="0" w:after="40"/>
        <w:jc w:val="left"/>
        <w:rPr/>
      </w:pPr>
      <w:r>
        <w:rPr>
          <w:rFonts w:ascii="Calibri" w:hAnsi="Calibri"/>
          <w:b/>
          <w:i w:val="false"/>
          <w:color w:val="006666"/>
          <w:sz w:val="22"/>
        </w:rPr>
        <w:t>Safariland Products Kenya Limited</w:t>
      </w:r>
    </w:p>
    <w:p>
      <w:pPr>
        <w:pStyle w:val="Normal"/>
        <w:spacing w:before="0" w:after="40"/>
        <w:jc w:val="left"/>
        <w:rPr/>
      </w:pPr>
      <w:r>
        <w:rPr>
          <w:rFonts w:ascii="Calibri" w:hAnsi="Calibri"/>
          <w:b w:val="false"/>
          <w:i w:val="false"/>
          <w:color w:val="646464"/>
          <w:sz w:val="20"/>
        </w:rPr>
        <w:t>P.O. Box 8407-30100, Eldoret  |  Tel: 0116 695 005</w:t>
      </w:r>
    </w:p>
    <w:p>
      <w:pPr>
        <w:pStyle w:val="Normal"/>
        <w:spacing w:before="0" w:after="0"/>
        <w:jc w:val="left"/>
        <w:rPr/>
      </w:pPr>
      <w:r>
        <w:rPr>
          <w:rFonts w:ascii="Calibri" w:hAnsi="Calibri"/>
          <w:b w:val="false"/>
          <w:i w:val="false"/>
          <w:color w:val="646464"/>
          <w:sz w:val="20"/>
        </w:rPr>
        <w:t>mbemedicalcentre@gmail.com</w:t>
      </w:r>
    </w:p>
    <w:p>
      <w:pPr>
        <w:pStyle w:val="Normal"/>
        <w:pBdr>
          <w:bottom w:val="single" w:sz="6" w:space="1" w:color="006666"/>
        </w:pBdr>
        <w:spacing w:before="0" w:after="160"/>
        <w:rPr/>
      </w:pPr>
      <w:r>
        <w:rPr/>
      </w:r>
    </w:p>
    <w:p>
      <w:pPr>
        <w:pStyle w:val="Normal"/>
        <w:spacing w:before="0" w:after="0"/>
        <w:jc w:val="center"/>
        <w:rPr/>
      </w:pPr>
      <w:r>
        <w:rPr>
          <w:rFonts w:ascii="Calibri" w:hAnsi="Calibri"/>
          <w:b w:val="false"/>
          <w:i/>
          <w:color w:val="646464"/>
          <w:sz w:val="18"/>
        </w:rPr>
        <w:t>IntelliNex — Empowering Healthcare Through Technology</w:t>
      </w:r>
    </w:p>
    <w:sectPr>
      <w:type w:val="nextPage"/>
      <w:pgSz w:w="12240" w:h="15840"/>
      <w:pgMar w:left="1701"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3</Pages>
  <Words>653</Words>
  <Characters>4115</Characters>
  <CharactersWithSpaces>4728</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2026-08-19T13:44:11Z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