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B0CC6" w14:textId="77777777" w:rsidR="0021323C" w:rsidRPr="00A9514C" w:rsidRDefault="0021323C" w:rsidP="003E3E6C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9514C">
        <w:rPr>
          <w:rFonts w:ascii="Times New Roman" w:hAnsi="Times New Roman" w:cs="Times New Roman"/>
          <w:b/>
          <w:bCs/>
        </w:rPr>
        <w:t>CAPSTONE REPORT</w:t>
      </w:r>
    </w:p>
    <w:p w14:paraId="2495BC9B" w14:textId="77777777" w:rsidR="0021323C" w:rsidRPr="00A9514C" w:rsidRDefault="0021323C" w:rsidP="003E3E6C">
      <w:pPr>
        <w:pStyle w:val="ListParagraph"/>
        <w:numPr>
          <w:ilvl w:val="0"/>
          <w:numId w:val="10"/>
        </w:numPr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A9514C">
        <w:rPr>
          <w:rFonts w:ascii="Times New Roman" w:hAnsi="Times New Roman" w:cs="Times New Roman"/>
          <w:b/>
          <w:bCs/>
        </w:rPr>
        <w:t>Customer Distribution by State</w:t>
      </w:r>
    </w:p>
    <w:p w14:paraId="1F715463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21323C">
        <w:rPr>
          <w:rFonts w:ascii="Times New Roman" w:hAnsi="Times New Roman" w:cs="Times New Roman"/>
          <w:b/>
          <w:bCs/>
        </w:rPr>
        <w:t>Observation:</w:t>
      </w:r>
    </w:p>
    <w:p w14:paraId="59BF17C8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All states in this sample dataset have an equal number of customers.</w:t>
      </w:r>
    </w:p>
    <w:p w14:paraId="130027E1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Therefore, no single state has a significantly larger or smaller customer base</w:t>
      </w:r>
    </w:p>
    <w:p w14:paraId="08069C83" w14:textId="77777777" w:rsidR="0021323C" w:rsidRPr="00A9514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00AF02CB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Even though the sample data is evenly distributed, in a real-world scenario, identifying states with larger customer bases would allow a business to:</w:t>
      </w:r>
    </w:p>
    <w:p w14:paraId="550AD7DF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Focus marketing spend: Invest more in states with higher customer counts to maximize returns.</w:t>
      </w:r>
    </w:p>
    <w:p w14:paraId="1C0873B6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Tailor campaigns regionally: Customize messaging based on regional preferences or demographics.</w:t>
      </w:r>
    </w:p>
    <w:p w14:paraId="0B4BC910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Optimize resource allocation: Plan staffing, branches, or events in high-density states.</w:t>
      </w:r>
    </w:p>
    <w:p w14:paraId="756D2A46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For states with smaller customer bases, strategies might include:</w:t>
      </w:r>
    </w:p>
    <w:p w14:paraId="77FBB9DC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Running targeted promotions to attract new customers.</w:t>
      </w:r>
    </w:p>
    <w:p w14:paraId="0F1625A2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Investigating barriers to entry or market gaps.</w:t>
      </w:r>
    </w:p>
    <w:p w14:paraId="5FAE834E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44F01DCE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4AB432D7" w14:textId="77777777" w:rsidR="0021323C" w:rsidRPr="00A9514C" w:rsidRDefault="0021323C" w:rsidP="003E3E6C">
      <w:pPr>
        <w:pStyle w:val="ListParagraph"/>
        <w:numPr>
          <w:ilvl w:val="0"/>
          <w:numId w:val="10"/>
        </w:numPr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A9514C">
        <w:rPr>
          <w:rFonts w:ascii="Times New Roman" w:hAnsi="Times New Roman" w:cs="Times New Roman"/>
          <w:b/>
          <w:bCs/>
        </w:rPr>
        <w:t>New Customers by Year</w:t>
      </w:r>
    </w:p>
    <w:p w14:paraId="7E0F351F" w14:textId="77777777" w:rsidR="0021323C" w:rsidRPr="0021323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21323C">
        <w:rPr>
          <w:rFonts w:ascii="Times New Roman" w:hAnsi="Times New Roman" w:cs="Times New Roman"/>
          <w:b/>
          <w:bCs/>
        </w:rPr>
        <w:t>Implications</w:t>
      </w:r>
    </w:p>
    <w:p w14:paraId="2875F05B" w14:textId="77777777" w:rsidR="0021323C" w:rsidRPr="0021323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Steady growth from 2021–2023 indicates that past recruitment strategies were effective.</w:t>
      </w:r>
    </w:p>
    <w:p w14:paraId="4F92A3E8" w14:textId="77777777" w:rsidR="0021323C" w:rsidRPr="0021323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Slowdown in 2024 suggests potential challenges in reaching new customers or market saturation.</w:t>
      </w:r>
    </w:p>
    <w:p w14:paraId="47A6D4BF" w14:textId="77777777" w:rsidR="0021323C" w:rsidRPr="0021323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Uneven growth could impact revenue forecasts if not addressed promptly.</w:t>
      </w:r>
    </w:p>
    <w:p w14:paraId="663C7894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Recommendations</w:t>
      </w:r>
    </w:p>
    <w:p w14:paraId="38EAB3C3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Reinforce successful channels: Continue strategies that drove growth in 2022–2023.</w:t>
      </w:r>
    </w:p>
    <w:p w14:paraId="1EFF0C32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lastRenderedPageBreak/>
        <w:t>Target new markets: Focus on states or segments with low customer penetration.</w:t>
      </w:r>
    </w:p>
    <w:p w14:paraId="3983912A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Monitor trends closely: Track acquisitions monthly or quarterly to identify issues early.</w:t>
      </w:r>
    </w:p>
    <w:p w14:paraId="0764B82D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Enhance marketing efforts: Introduce campaigns or promotions to attract new customers.</w:t>
      </w:r>
    </w:p>
    <w:p w14:paraId="3DFA4780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4595D955" w14:textId="77777777" w:rsidR="0021323C" w:rsidRPr="00A9514C" w:rsidRDefault="0021323C" w:rsidP="003E3E6C">
      <w:pPr>
        <w:pStyle w:val="ListParagraph"/>
        <w:numPr>
          <w:ilvl w:val="1"/>
          <w:numId w:val="7"/>
        </w:numPr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A9514C">
        <w:rPr>
          <w:rFonts w:ascii="Times New Roman" w:hAnsi="Times New Roman" w:cs="Times New Roman"/>
          <w:b/>
          <w:bCs/>
        </w:rPr>
        <w:t>Active vs Dormant Customers</w:t>
      </w:r>
    </w:p>
    <w:p w14:paraId="20BF77EF" w14:textId="77777777" w:rsidR="0021323C" w:rsidRPr="003E3E6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3E3E6C">
        <w:rPr>
          <w:rFonts w:ascii="Times New Roman" w:hAnsi="Times New Roman" w:cs="Times New Roman"/>
          <w:b/>
          <w:bCs/>
        </w:rPr>
        <w:t>Implications</w:t>
      </w:r>
    </w:p>
    <w:p w14:paraId="6C68CE6F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 xml:space="preserve">A high percentage of dormant customers indicates low engagement, which can reduce </w:t>
      </w:r>
      <w:r w:rsidRPr="00A9514C">
        <w:rPr>
          <w:rFonts w:ascii="Times New Roman" w:hAnsi="Times New Roman" w:cs="Times New Roman"/>
        </w:rPr>
        <w:t xml:space="preserve">   </w:t>
      </w:r>
      <w:r w:rsidRPr="0021323C">
        <w:rPr>
          <w:rFonts w:ascii="Times New Roman" w:hAnsi="Times New Roman" w:cs="Times New Roman"/>
        </w:rPr>
        <w:t>revenue and limit cross-selling opportunities.</w:t>
      </w:r>
    </w:p>
    <w:p w14:paraId="0BC46486" w14:textId="77777777" w:rsidR="0021323C" w:rsidRPr="00A9514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 xml:space="preserve">Dormancy may suggest that the bank is losing touch with its customer base or facing </w:t>
      </w:r>
      <w:r w:rsidRPr="00A9514C">
        <w:rPr>
          <w:rFonts w:ascii="Times New Roman" w:hAnsi="Times New Roman" w:cs="Times New Roman"/>
        </w:rPr>
        <w:t xml:space="preserve">  </w:t>
      </w:r>
      <w:r w:rsidRPr="0021323C">
        <w:rPr>
          <w:rFonts w:ascii="Times New Roman" w:hAnsi="Times New Roman" w:cs="Times New Roman"/>
        </w:rPr>
        <w:t>competitive pressure from more engaging financial services.</w:t>
      </w:r>
    </w:p>
    <w:p w14:paraId="08512740" w14:textId="77777777" w:rsidR="0021323C" w:rsidRPr="00A9514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2C5B6910" w14:textId="77777777" w:rsidR="0021323C" w:rsidRPr="003E3E6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  <w:b/>
          <w:bCs/>
        </w:rPr>
      </w:pPr>
      <w:r w:rsidRPr="003E3E6C">
        <w:rPr>
          <w:rFonts w:ascii="Times New Roman" w:hAnsi="Times New Roman" w:cs="Times New Roman"/>
          <w:b/>
          <w:bCs/>
        </w:rPr>
        <w:t>Recommendations</w:t>
      </w:r>
    </w:p>
    <w:p w14:paraId="49DA6819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Re-engagement campaigns: Use personalized promotions, notifications, or loyalty rewards to encourage dormant customers to transact.</w:t>
      </w:r>
    </w:p>
    <w:p w14:paraId="5AD86664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Customer insights: Conduct surveys or analyze behavior to understand why accounts are inactive.</w:t>
      </w:r>
    </w:p>
    <w:p w14:paraId="3ADCE5F7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A9514C">
        <w:rPr>
          <w:rFonts w:ascii="Times New Roman" w:hAnsi="Times New Roman" w:cs="Times New Roman"/>
        </w:rPr>
        <w:t>Product optimization: Introduce features or services that increase daily or monthly usage.</w:t>
      </w:r>
    </w:p>
    <w:p w14:paraId="476F1430" w14:textId="77777777" w:rsidR="0021323C" w:rsidRPr="00A9514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  <w:r w:rsidRPr="0021323C">
        <w:rPr>
          <w:rFonts w:ascii="Times New Roman" w:hAnsi="Times New Roman" w:cs="Times New Roman"/>
        </w:rPr>
        <w:t>Segmented marketing: Focus on high-value dormant customers with tailored incentives to reactivate accounts.</w:t>
      </w:r>
    </w:p>
    <w:p w14:paraId="0B665F04" w14:textId="77777777" w:rsidR="0021323C" w:rsidRPr="00A9514C" w:rsidRDefault="0021323C" w:rsidP="003E3E6C">
      <w:pPr>
        <w:pStyle w:val="ListParagraph"/>
        <w:numPr>
          <w:ilvl w:val="1"/>
          <w:numId w:val="7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Channel Usage Analysis</w:t>
      </w:r>
    </w:p>
    <w:p w14:paraId="7157CD4E" w14:textId="77777777" w:rsidR="0021323C" w:rsidRPr="003E3E6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3E3E6C">
        <w:rPr>
          <w:b/>
          <w:bCs/>
        </w:rPr>
        <w:t>Implications</w:t>
      </w:r>
    </w:p>
    <w:p w14:paraId="506C13A9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A9514C">
        <w:lastRenderedPageBreak/>
        <w:t xml:space="preserve">The </w:t>
      </w:r>
      <w:r w:rsidRPr="00A9514C">
        <w:rPr>
          <w:rStyle w:val="Strong"/>
          <w:rFonts w:eastAsiaTheme="majorEastAsia"/>
          <w:b w:val="0"/>
          <w:bCs w:val="0"/>
        </w:rPr>
        <w:t>mobile channel’s dominance</w:t>
      </w:r>
      <w:r w:rsidRPr="00A9514C">
        <w:t xml:space="preserve"> in transaction volume highlights customers’ strong preference for convenience and on-the-go banking. This positions mobile as the primary customer engagement platform.</w:t>
      </w:r>
    </w:p>
    <w:p w14:paraId="5D3B0AA4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A9514C">
        <w:t xml:space="preserve">The </w:t>
      </w:r>
      <w:r w:rsidRPr="00A9514C">
        <w:rPr>
          <w:rStyle w:val="Strong"/>
          <w:rFonts w:eastAsiaTheme="majorEastAsia"/>
          <w:b w:val="0"/>
          <w:bCs w:val="0"/>
        </w:rPr>
        <w:t>online channel’s higher transaction value</w:t>
      </w:r>
      <w:r w:rsidRPr="00A9514C">
        <w:t xml:space="preserve"> indicates customer trust in the web platform for large or business-related transactions.</w:t>
      </w:r>
    </w:p>
    <w:p w14:paraId="3D142406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A9514C">
        <w:rPr>
          <w:rStyle w:val="Strong"/>
          <w:rFonts w:eastAsiaTheme="majorEastAsia"/>
          <w:b w:val="0"/>
          <w:bCs w:val="0"/>
        </w:rPr>
        <w:t>ATM and POS channels’ low activity</w:t>
      </w:r>
      <w:r w:rsidRPr="00A9514C">
        <w:t xml:space="preserve"> suggests a continuing shift from physical to digital banking, signaling potential overinvestment in traditional infrastructure.</w:t>
      </w:r>
    </w:p>
    <w:p w14:paraId="48B6C9FA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276F66D2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Invest Heavily in Mobile Banking</w:t>
      </w:r>
    </w:p>
    <w:p w14:paraId="77C8487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Prioritize mobile app innovation, including faster performance, intuitive design, and personalized financial tools.</w:t>
      </w:r>
    </w:p>
    <w:p w14:paraId="59904C87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Expand features for instant transfers, digital payments, and alerts to sustain engagement.</w:t>
      </w:r>
    </w:p>
    <w:p w14:paraId="0FD4AE7D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Strengthen Online Platform Security and Capacity</w:t>
      </w:r>
    </w:p>
    <w:p w14:paraId="6D36A3E9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Enhance cybersecurity, authentication, and fraud monitoring to protect high-value transactions.</w:t>
      </w:r>
    </w:p>
    <w:p w14:paraId="643B0BD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Ensure high reliability and user trust for large-scale financial operations.</w:t>
      </w:r>
    </w:p>
    <w:p w14:paraId="4841399A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Rationalize Physical Channel Operations (ATM/POS)</w:t>
      </w:r>
    </w:p>
    <w:p w14:paraId="094B9946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Review cost efficiency and consider reducing reliance on physical networks.</w:t>
      </w:r>
    </w:p>
    <w:p w14:paraId="3443BB1E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lastRenderedPageBreak/>
        <w:t>Launch targeted campaigns to transition remaining customers to digital channels.</w:t>
      </w:r>
    </w:p>
    <w:p w14:paraId="256E3994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10A3A7C7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 xml:space="preserve">5. </w:t>
      </w:r>
      <w:r w:rsidRPr="00A9514C">
        <w:rPr>
          <w:b/>
          <w:bCs/>
        </w:rPr>
        <w:t>Average Transaction Amount per City</w:t>
      </w:r>
    </w:p>
    <w:p w14:paraId="71683BEE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46D013F8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Regional Spending Variance: Cities like Los Angeles show significantly higher average transaction amounts, indicating a concentration of high-value or business-related activity.</w:t>
      </w:r>
    </w:p>
    <w:p w14:paraId="379AEA56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Market Potential: Regions with higher averages likely contribute more to overall revenue and may benefit from tailored financial products or premium services.</w:t>
      </w:r>
    </w:p>
    <w:p w14:paraId="4D1CA588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Digital Channel Correlation: Cities with strong online and mobile adoption tend to have larger transaction values, reinforcing the importance of digital engagement.</w:t>
      </w:r>
    </w:p>
    <w:p w14:paraId="5F072666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Customer Behavior Insight: Lower averages in cities like Dallas and New York suggest predominantly personal or routine transactions, pointing to growth opportunities through value-added services.</w:t>
      </w:r>
    </w:p>
    <w:p w14:paraId="305908A6" w14:textId="77777777" w:rsidR="0021323C" w:rsidRPr="003E3E6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3E3E6C">
        <w:rPr>
          <w:b/>
          <w:bCs/>
        </w:rPr>
        <w:t>Recommendations</w:t>
      </w:r>
    </w:p>
    <w:p w14:paraId="62AD89D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Strengthen Presence in High-Value Cities (e.g., Los Angeles, Atlanta):</w:t>
      </w:r>
    </w:p>
    <w:p w14:paraId="368EE104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Focus marketing and relationship management efforts on business clients and affluent segments.</w:t>
      </w:r>
    </w:p>
    <w:p w14:paraId="225B285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Introduce premium banking products, investment tools, and exclusive loyalty programs.</w:t>
      </w:r>
    </w:p>
    <w:p w14:paraId="1E27CCA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Stimulate Growth in Lower-Average Cities (e.g., Dallas, New York):</w:t>
      </w:r>
    </w:p>
    <w:p w14:paraId="77E1FE59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Encourage higher-value digital transactions through incentives or bundled financial services.</w:t>
      </w:r>
    </w:p>
    <w:p w14:paraId="33E78F9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Educate customers about the benefits of savings and investment accounts.</w:t>
      </w:r>
    </w:p>
    <w:p w14:paraId="557BBBF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Enhance Regional Digital Adoption:</w:t>
      </w:r>
    </w:p>
    <w:p w14:paraId="06E6CA1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Promote online and mobile platforms to increase transaction convenience and average value across all cities.</w:t>
      </w:r>
    </w:p>
    <w:p w14:paraId="5EE3F2F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Tailor digital campaigns to regional behavior and customer demographics.</w:t>
      </w:r>
    </w:p>
    <w:p w14:paraId="69ED4F1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Risk and Monitoring Focus:</w:t>
      </w:r>
    </w:p>
    <w:p w14:paraId="5000F3C2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Implement enhanced fraud detection in high-value regions to safeguard against large or irregular transactions.</w:t>
      </w:r>
    </w:p>
    <w:p w14:paraId="4F944CB7" w14:textId="77777777" w:rsidR="0021323C" w:rsidRPr="00A9514C" w:rsidRDefault="0021323C" w:rsidP="003E3E6C">
      <w:pPr>
        <w:pStyle w:val="NormalWeb"/>
        <w:numPr>
          <w:ilvl w:val="0"/>
          <w:numId w:val="44"/>
        </w:numPr>
        <w:spacing w:line="480" w:lineRule="auto"/>
        <w:jc w:val="both"/>
        <w:rPr>
          <w:b/>
          <w:bCs/>
        </w:rPr>
      </w:pPr>
      <w:r w:rsidRPr="00A9514C">
        <w:rPr>
          <w:b/>
          <w:bCs/>
        </w:rPr>
        <w:t>Account Type Performance</w:t>
      </w:r>
    </w:p>
    <w:p w14:paraId="074FF04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20C0DD69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Savings accounts generate the highest total transaction value, indicating strong customer trust and preference for high-value deposits and transfers. They are key contributors to overall financial performance.</w:t>
      </w:r>
    </w:p>
    <w:p w14:paraId="21FAB8EC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Checking accounts maintain steady transaction activity but lower average amounts, reflecting their role in daily, routine banking. They provide consistent engagement but limited revenue growth.</w:t>
      </w:r>
    </w:p>
    <w:p w14:paraId="2A94FCEB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Mobile accounts show low transaction volume and value, suggesting either limited functionality, lower adoption, or customers’ hesitation to use them for larger transactions.</w:t>
      </w:r>
    </w:p>
    <w:p w14:paraId="30B78C47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0C8D4F85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Prioritize Savings Accounts for Promotion</w:t>
      </w:r>
    </w:p>
    <w:p w14:paraId="24305EFC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Highlight savings products in marketing campaigns to attract high-value customers.</w:t>
      </w:r>
    </w:p>
    <w:p w14:paraId="6EB8AFD4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Introduce premium tiers, better interest rates, or loyalty incentives to strengthen retention and encourage higher deposits.</w:t>
      </w:r>
    </w:p>
    <w:p w14:paraId="3E3E4064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Enhance Checking Account Engagement</w:t>
      </w:r>
    </w:p>
    <w:p w14:paraId="7539173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Bundle checking accounts with savings, credit cards, or loan offers to increase overall product usage.</w:t>
      </w:r>
    </w:p>
    <w:p w14:paraId="2A3C7F7C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Offer rewards or cashback programs for frequent transactions to boost activity and average balances.</w:t>
      </w:r>
    </w:p>
    <w:p w14:paraId="6DF37E1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Grow Mobile Account Adoption</w:t>
      </w:r>
    </w:p>
    <w:p w14:paraId="3139A548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Improve app functionality, speed, and ease of use to encourage more digital transactions.</w:t>
      </w:r>
    </w:p>
    <w:p w14:paraId="0B867C1F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Launch digital marketing initiatives showcasing convenience, 24/7 access, and low fees to attract tech-savvy users.</w:t>
      </w:r>
    </w:p>
    <w:p w14:paraId="4154773F" w14:textId="77777777" w:rsidR="0021323C" w:rsidRPr="003E3E6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3E3E6C">
        <w:rPr>
          <w:b/>
          <w:bCs/>
        </w:rPr>
        <w:t>High-Value Transaction Classification</w:t>
      </w:r>
    </w:p>
    <w:p w14:paraId="606F786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2F6A594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A significant share of transactions (around 25%) falls under the high-value category (&gt; $5,000), indicating substantial movement of large funds that could pose higher fraud and compliance risks.</w:t>
      </w:r>
    </w:p>
    <w:p w14:paraId="1DEF3D6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Medium-value transactions (500–5000) dominate overall activity, suggesting healthy customer engagement and typical retail or small-business behavior.</w:t>
      </w:r>
    </w:p>
    <w:p w14:paraId="7E12642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The presence of multiple high-value online transfers implies a growing dependence on digital channels for major financial activities—heightening the need for enhanced security and verification controls.</w:t>
      </w:r>
    </w:p>
    <w:p w14:paraId="5CB0988E" w14:textId="77777777" w:rsidR="003E3E6C" w:rsidRDefault="0021323C" w:rsidP="003E3E6C">
      <w:pPr>
        <w:pStyle w:val="NormalWeb"/>
        <w:spacing w:line="480" w:lineRule="auto"/>
        <w:ind w:left="-270"/>
        <w:jc w:val="both"/>
      </w:pPr>
      <w:r w:rsidRPr="0021323C">
        <w:t>Low-value transactions remain routine and low-risk, reflecting normal day-to-day banking operations.</w:t>
      </w:r>
    </w:p>
    <w:p w14:paraId="50957BC9" w14:textId="65E3513E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rPr>
          <w:b/>
          <w:bCs/>
        </w:rPr>
        <w:t>Recommendations</w:t>
      </w:r>
    </w:p>
    <w:p w14:paraId="11BAB93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Implement Enhanced Fraud Monitoring for High-Value Transactions</w:t>
      </w:r>
    </w:p>
    <w:p w14:paraId="4361569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Deploy advanced analytics and AI-based systems to detect unusual transfer patterns.</w:t>
      </w:r>
    </w:p>
    <w:p w14:paraId="0843BB3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Introduce multi-factor authentication and customer confirmation for large or irregular payments.</w:t>
      </w:r>
    </w:p>
    <w:p w14:paraId="297311F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Set Tiered Transaction Controls and Alerts</w:t>
      </w:r>
    </w:p>
    <w:p w14:paraId="3E840AE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Define daily and per-transaction limits based on account type and customer risk profile.</w:t>
      </w:r>
    </w:p>
    <w:p w14:paraId="6AA38DF8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Enable instant SMS or app notifications for high-value movements to improve transparency and early fraud detection.</w:t>
      </w:r>
    </w:p>
    <w:p w14:paraId="1F8A509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Strengthen Risk Governance and Compliance Oversight</w:t>
      </w:r>
    </w:p>
    <w:p w14:paraId="18418C9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Conduct regular audits of large transactions to ensure regulatory compliance (AML, KYC).</w:t>
      </w:r>
    </w:p>
    <w:p w14:paraId="25BC36E2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Create automated escalation protocols for flagged transactions above defined thresholds.</w:t>
      </w:r>
    </w:p>
    <w:p w14:paraId="40923965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Customer Segmentation and Education</w:t>
      </w:r>
    </w:p>
    <w:p w14:paraId="44B0A17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Identify high-value clients and offer dedicated relationship management to improve trust and retention.</w:t>
      </w:r>
    </w:p>
    <w:p w14:paraId="47305BC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Educate customers about safe digital practices and how to recognize suspicious activity.</w:t>
      </w:r>
    </w:p>
    <w:p w14:paraId="253CD40E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299FE7DE" w14:textId="77777777" w:rsidR="0021323C" w:rsidRPr="00A9514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Failed Transaction Rate by Channel</w:t>
      </w:r>
    </w:p>
    <w:p w14:paraId="768EEDC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644441EE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POS (Point of Sale) channel has the highest failure rate at 40%, indicating operational or technical issues at retail or merchant endpoints.</w:t>
      </w:r>
    </w:p>
    <w:p w14:paraId="29A23D7A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Mobile and Online channels show moderate to low failure rates, suggesting that app and web-based transactions are generally reliable.</w:t>
      </w:r>
    </w:p>
    <w:p w14:paraId="501D2804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ATM transactions appear stable, with no failures in the sample, reinforcing ATM reliability.</w:t>
      </w:r>
    </w:p>
    <w:p w14:paraId="09951239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High failure rates in POS can affect customer satisfaction, cause delays in payments, and increase support workload.</w:t>
      </w:r>
    </w:p>
    <w:p w14:paraId="36E8D658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1D73CC4E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lastRenderedPageBreak/>
        <w:t>Recommendations</w:t>
      </w:r>
    </w:p>
    <w:p w14:paraId="7E719A1C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Investigate POS Failures</w:t>
      </w:r>
      <w:r w:rsidRPr="00A9514C">
        <w:t xml:space="preserve"> </w:t>
      </w:r>
      <w:r w:rsidRPr="0021323C">
        <w:t>Audit POS terminals for software, connectivity, or configuration issues.</w:t>
      </w:r>
    </w:p>
    <w:p w14:paraId="673212D7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Coordinate with merchants to ensure proper device maintenance and updates.</w:t>
      </w:r>
    </w:p>
    <w:p w14:paraId="0709A6E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Enhance Monitoring and Alerts</w:t>
      </w:r>
    </w:p>
    <w:p w14:paraId="185411B5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Implement real-time tracking of failed POS transactions.</w:t>
      </w:r>
    </w:p>
    <w:p w14:paraId="6C380BEB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Notify support teams and customers immediately to reduce inconvenience.</w:t>
      </w:r>
    </w:p>
    <w:p w14:paraId="3D2E14EE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2BE5D14B" w14:textId="77777777" w:rsidR="0021323C" w:rsidRPr="00A9514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Monthly Deposit Revenue</w:t>
      </w:r>
    </w:p>
    <w:p w14:paraId="2A9AF42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15944D3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Significant variation in monthly deposits indicates seasonal and business-cycle effects.</w:t>
      </w:r>
    </w:p>
    <w:p w14:paraId="7562E56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Peak months (e.g., January) may create opportunities for investment or require liquidity management.</w:t>
      </w:r>
    </w:p>
    <w:p w14:paraId="6E08C4D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Low months (e.g., October) may indicate reduced client activity or spending, potentially impacting cash flow.</w:t>
      </w:r>
    </w:p>
    <w:p w14:paraId="61744D2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Understanding these patterns is critical for forecasting, operational planning, and risk management.</w:t>
      </w:r>
    </w:p>
    <w:p w14:paraId="45C01A3F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75BBB74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lastRenderedPageBreak/>
        <w:t>Liquidity Planning: Maintain sufficient cash reserves in low-deposit months and optimize investments during peak months.</w:t>
      </w:r>
    </w:p>
    <w:p w14:paraId="3D7226AF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Analyze Drivers: Identify causes of peaks and troughs (e.g., payroll cycles, client payments) to better predict trends.</w:t>
      </w:r>
    </w:p>
    <w:p w14:paraId="5F42DAF8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Customer Engagement: Introduce promotions or incentives during low months to encourage deposits.</w:t>
      </w:r>
    </w:p>
    <w:p w14:paraId="22D73C4E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Monitoring: Implement dashboards for real-time tracking and forecasting of monthly deposit trends.</w:t>
      </w:r>
    </w:p>
    <w:p w14:paraId="36313881" w14:textId="77777777" w:rsidR="0021323C" w:rsidRPr="00A9514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Customers with Multiple Accounts</w:t>
      </w:r>
    </w:p>
    <w:p w14:paraId="1951813C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66D7A280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Multi-account customers typically represent higher-value clients with larger combined balances and more frequent transactions.</w:t>
      </w:r>
    </w:p>
    <w:p w14:paraId="7982022E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They offer insights into customer loyalty and engagement, as they are likely more invested in the bank’s products.</w:t>
      </w:r>
    </w:p>
    <w:p w14:paraId="0B9A9E5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Single-account customers may indicate untapped potential, suggesting opportunities for cross-selling or upselling.</w:t>
      </w:r>
    </w:p>
    <w:p w14:paraId="45B849CA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49F3A558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Focus on Retention: Prioritize relationship management for multi-account clients through personalized offers and enhanced services.</w:t>
      </w:r>
    </w:p>
    <w:p w14:paraId="231B0E7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lastRenderedPageBreak/>
        <w:t>Cross-Selling Opportunities: Encourage single-account clients to open additional accounts or adopt complementary products.</w:t>
      </w:r>
    </w:p>
    <w:p w14:paraId="6005C6FC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Enhanced Support &amp; Monitoring: Ensure multi-account clients have a smooth experience, as service issues could risk multiple product relationships.</w:t>
      </w:r>
    </w:p>
    <w:p w14:paraId="58AFABC1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Data-Driven Marketing: Use transaction and balance data to tailor promotions and identify high-potential clients for targeted campaigns.</w:t>
      </w:r>
    </w:p>
    <w:p w14:paraId="665CEEC4" w14:textId="77777777" w:rsidR="0021323C" w:rsidRPr="00A9514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Gender-Based Spending Patterns</w:t>
      </w:r>
    </w:p>
    <w:p w14:paraId="1640C560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4DE0A42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Differences in total transaction values between genders can reveal spending preferences, product usage, and engagement patterns.</w:t>
      </w:r>
    </w:p>
    <w:p w14:paraId="3E055EE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Higher transaction volumes for one gender may indicate opportunities for targeted campaigns or specialized financial products.</w:t>
      </w:r>
    </w:p>
    <w:p w14:paraId="6F179B3D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Lower spending from a particular gender segment could point to under-served customer needs or engagement gaps.</w:t>
      </w:r>
    </w:p>
    <w:p w14:paraId="77AB57A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Recommendations</w:t>
      </w:r>
    </w:p>
    <w:p w14:paraId="034DF86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Targeted Marketing Campaigns: Tailor promotions, rewards, or product bundles to the gender segment demonstrating higher spending or growth potential.</w:t>
      </w:r>
    </w:p>
    <w:p w14:paraId="613E9E4B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Product Development: Introduce or modify products to better meet the needs of underrepresented or lower-spending gender segments.</w:t>
      </w:r>
    </w:p>
    <w:p w14:paraId="3A4B8328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Customer Engagement: Use insights to design personalized communication strategies that improve loyalty and usage across all segments.</w:t>
      </w:r>
    </w:p>
    <w:p w14:paraId="7DF37330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Continuous Monitoring: Track spending trends over time to detect shifts in behavior and adjust marketing strategies proactively.</w:t>
      </w:r>
    </w:p>
    <w:p w14:paraId="7F96FA96" w14:textId="77777777" w:rsidR="0021323C" w:rsidRPr="00A9514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Top 5 Customers by Total Transaction Value</w:t>
      </w:r>
    </w:p>
    <w:p w14:paraId="5E1839F6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62747AB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Top customers contribute a disproportionate share of transaction volume, making them critical to overall revenue.</w:t>
      </w:r>
    </w:p>
    <w:p w14:paraId="2995A5D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They likely have high balances, multiple accounts, and frequent transactions, indicating strong engagement and trust in the bank.</w:t>
      </w:r>
    </w:p>
    <w:p w14:paraId="6D07E246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Understanding their behavior provides insights into premium client needs and service expectations.</w:t>
      </w:r>
    </w:p>
    <w:p w14:paraId="628087F8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77ED2EB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Premium Loyalty Programs: Design tailored rewards, exclusive offers, or priority support to retain top-tier clients.</w:t>
      </w:r>
    </w:p>
    <w:p w14:paraId="612581A9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Relationship Management: Assign dedicated relationship managers or personalized financial advisory services to these customers.</w:t>
      </w:r>
    </w:p>
    <w:p w14:paraId="76EC1B50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Cross-Selling Opportunities: Offer high-value products (investments, loans, credit cards) based on their transaction behavior and preferences.</w:t>
      </w:r>
    </w:p>
    <w:p w14:paraId="5AE0D3FB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Data-Driven Insights: Monitor transaction patterns to anticipate needs and detect early signs of reduced engagement.</w:t>
      </w:r>
    </w:p>
    <w:p w14:paraId="7E313133" w14:textId="77777777" w:rsidR="0021323C" w:rsidRPr="00A9514C" w:rsidRDefault="0021323C" w:rsidP="003E3E6C">
      <w:pPr>
        <w:pStyle w:val="NormalWeb"/>
        <w:numPr>
          <w:ilvl w:val="1"/>
          <w:numId w:val="14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Cross-State Transfers</w:t>
      </w:r>
    </w:p>
    <w:p w14:paraId="40397CBF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787371B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Frequent cross-state transfers indicate strong inter-regional client activity and reliance on the bank’s digital transfer capabilities.</w:t>
      </w:r>
    </w:p>
    <w:p w14:paraId="7FDF755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High volume of such transfers may reveal business clients or individuals with multi-location financial needs, which could be leveraged for tailored services.</w:t>
      </w:r>
    </w:p>
    <w:p w14:paraId="3AA66DF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Low cross-state activity could suggest untapped opportunities to expand services or awareness in certain regions.</w:t>
      </w:r>
    </w:p>
    <w:p w14:paraId="1DD670D5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46B360C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Promote Digital Transfer Services: Market cross-state transfer features to clients with accounts in multiple states, emphasizing speed, security, and convenience.</w:t>
      </w:r>
    </w:p>
    <w:p w14:paraId="6A93FA52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Target Business Clients: Identify businesses with multi-state operations and offer customized banking solutions such as bulk transfers or preferential fees.</w:t>
      </w:r>
    </w:p>
    <w:p w14:paraId="49F701B1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Regional Growth Strategy: Encourage account holders in low-activity states to engage in inter-state banking through incentives or bundled services.</w:t>
      </w:r>
    </w:p>
    <w:p w14:paraId="2408BE57" w14:textId="77777777" w:rsidR="0021323C" w:rsidRPr="00A9514C" w:rsidRDefault="0021323C" w:rsidP="003E3E6C">
      <w:p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 xml:space="preserve">14. </w:t>
      </w:r>
      <w:r w:rsidRPr="00A9514C">
        <w:rPr>
          <w:b/>
          <w:bCs/>
        </w:rPr>
        <w:t>Dormant High-Balance Accounts</w:t>
      </w:r>
    </w:p>
    <w:p w14:paraId="7E7ADDAD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4A974064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Idle Capital Risk: Significant funds sitting in accounts without recent activity represent idle capital, which could impact the bank’s liquidity management and revenue opportunities.</w:t>
      </w:r>
    </w:p>
    <w:p w14:paraId="278E10A0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Customer Engagement Concerns: Dormant accounts may signal disengaged customers who might be considering switching to competitors or have shifted to alternative financial services.</w:t>
      </w:r>
    </w:p>
    <w:p w14:paraId="10208ADE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Fraud and Compliance Risk: Accounts with high balances but no transactions over a long period could be targets for fraudulent activities or money laundering, requiring closer scrutiny.</w:t>
      </w:r>
    </w:p>
    <w:p w14:paraId="4B7C17BA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72A7136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Re-engagement Campaigns: Proactively contact customers holding dormant high-balance accounts with targeted offers or personalized financial advice to encourage activity and strengthen loyalty.</w:t>
      </w:r>
    </w:p>
    <w:p w14:paraId="0EA17380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Product Upselling: Introduce premium or investment products tailored for customers with substantial idle funds to optimize returns for both parties.</w:t>
      </w:r>
    </w:p>
    <w:p w14:paraId="62D8B7CF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Fraud Monitoring: Implement enhanced monitoring and compliance checks on dormant accounts with large balances to mitigate fraud or regulatory risks.</w:t>
      </w:r>
    </w:p>
    <w:p w14:paraId="2F1076E3" w14:textId="77777777" w:rsidR="0021323C" w:rsidRPr="00A9514C" w:rsidRDefault="0021323C" w:rsidP="003E3E6C">
      <w:pPr>
        <w:pStyle w:val="NormalWeb"/>
        <w:numPr>
          <w:ilvl w:val="1"/>
          <w:numId w:val="31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Contribution to Revenue</w:t>
      </w:r>
    </w:p>
    <w:p w14:paraId="25ADB184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lastRenderedPageBreak/>
        <w:t>Implications</w:t>
      </w:r>
    </w:p>
    <w:p w14:paraId="137FE0A2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Revenue Concentration: Some cities contribute significantly more revenue than others, indicating regional economic strength or customer density differences.</w:t>
      </w:r>
    </w:p>
    <w:p w14:paraId="2BD96BD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Growth Opportunities: Cities with lower transaction revenue might indicate under-penetrated markets or less affluent customer bases.</w:t>
      </w:r>
    </w:p>
    <w:p w14:paraId="4F0BBBE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Resource Allocation: Disparities in city-level revenue highlight the need for tailored marketing, sales, and service strategies to maximize returns.</w:t>
      </w:r>
    </w:p>
    <w:p w14:paraId="1035473F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Competitive Positioning: High-performing cities could face increasing competition, requiring proactive retention and engagement efforts.</w:t>
      </w:r>
    </w:p>
    <w:p w14:paraId="66FAEEB0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43A3B59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Focus Investment on High-Performing Cities: Allocate more resources to maintain and grow revenue in top cities through targeted promotions, enhanced customer experience, and expanded service offerings.</w:t>
      </w:r>
    </w:p>
    <w:p w14:paraId="7A7B6CE0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Market Development in Low-Performing Cities: Conduct market research to understand barriers and develop strategies such as localized marketing, partnerships, or product adjustments to boost revenue.</w:t>
      </w:r>
    </w:p>
    <w:p w14:paraId="6C0CBE9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Segmented Customer Approaches: Customize engagement tactics based on city-specific customer demographics and behavior to optimize effectiveness.</w:t>
      </w:r>
    </w:p>
    <w:p w14:paraId="3FF89261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Monitor City Trends: Establish regular reporting to track revenue shifts by city and adjust strategies proactively.</w:t>
      </w:r>
    </w:p>
    <w:p w14:paraId="3E145FE4" w14:textId="77777777" w:rsidR="0021323C" w:rsidRPr="00A9514C" w:rsidRDefault="0021323C" w:rsidP="003E3E6C">
      <w:pPr>
        <w:pStyle w:val="NormalWeb"/>
        <w:numPr>
          <w:ilvl w:val="1"/>
          <w:numId w:val="31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lastRenderedPageBreak/>
        <w:t>Suspicious Same-Day Transactions</w:t>
      </w:r>
    </w:p>
    <w:p w14:paraId="2EAF80B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1DE928D3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Potential Fraud or Money Laundering: Deposits and withdrawals of identical amounts on the same day could indicate layering activities common in money laundering or other fraudulent behaviors.</w:t>
      </w:r>
    </w:p>
    <w:p w14:paraId="14CFD94F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Account Manipulation: Such matching transactions may be used to obscure the origin or destination of funds, evading detection.</w:t>
      </w:r>
    </w:p>
    <w:p w14:paraId="04D05716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Systemic Risk Indicator: Multiple accounts exhibiting this behavior increase overall institutional risk and regulatory scrutiny.</w:t>
      </w:r>
    </w:p>
    <w:p w14:paraId="6BFA546A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  <w:r w:rsidRPr="0021323C">
        <w:t>Recommendations</w:t>
      </w:r>
    </w:p>
    <w:p w14:paraId="5191D403" w14:textId="333244D9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Immediate Investigation: Flag these transactions for detailed manual review by the fraud detection team to confirm suspicious intent.</w:t>
      </w:r>
    </w:p>
    <w:p w14:paraId="627F6994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Enhanced Monitoring: Implement automated alerts to detect identical deposit-withdrawal pairs on the same day moving forward.</w:t>
      </w:r>
    </w:p>
    <w:p w14:paraId="4D024196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Customer Contact: Reach out to customers involved to verify transaction legitimacy and clarify intentions.</w:t>
      </w:r>
    </w:p>
    <w:p w14:paraId="6A9AE3C4" w14:textId="77777777" w:rsidR="0021323C" w:rsidRPr="00A9514C" w:rsidRDefault="0021323C" w:rsidP="003E3E6C">
      <w:pPr>
        <w:pStyle w:val="NormalWeb"/>
        <w:numPr>
          <w:ilvl w:val="1"/>
          <w:numId w:val="31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Average Balance by Account Type</w:t>
      </w:r>
    </w:p>
    <w:p w14:paraId="5320D2F5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2D49EB67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High Average Balances Indicate Strong Engagement: Account types with higher average balances suggest more committed and engaged customers.</w:t>
      </w:r>
    </w:p>
    <w:p w14:paraId="07D8A590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Low Average Balances Signal Risk: Account types with low average balances might indicate lower customer loyalty or potential attrition.</w:t>
      </w:r>
    </w:p>
    <w:p w14:paraId="1D54424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Opportunity for Growth: Certain account types may be underutilized or underserved, revealing areas for product development or marketing.</w:t>
      </w:r>
    </w:p>
    <w:p w14:paraId="44807EA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1086CD98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Target High-Balance Account Holders: Design premium retention campaigns offering exclusive benefits to reinforce loyalty among customers with high average balances.</w:t>
      </w:r>
    </w:p>
    <w:p w14:paraId="1E89F14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Boost Low-Balance Accounts: Implement educational initiatives, incentives, or bundled products to encourage increased usage and balance growth.</w:t>
      </w:r>
    </w:p>
    <w:p w14:paraId="2CFAC97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Tailor Campaigns by Account Type: Customize messaging and offers based on the typical usage patterns and needs of each account type.</w:t>
      </w:r>
    </w:p>
    <w:p w14:paraId="2C101122" w14:textId="77777777" w:rsidR="0021323C" w:rsidRPr="00A9514C" w:rsidRDefault="0021323C" w:rsidP="003E3E6C">
      <w:pPr>
        <w:pStyle w:val="ListParagraph"/>
        <w:numPr>
          <w:ilvl w:val="1"/>
          <w:numId w:val="31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Digital Channel Adoption per State</w:t>
      </w:r>
    </w:p>
    <w:p w14:paraId="7F6E0796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3B25F536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States with High Mobile and Online Transactions Show Strong Digital Adoption: These regions are more receptive to digital banking, reflecting effective customer behavior shifts.</w:t>
      </w:r>
    </w:p>
    <w:p w14:paraId="3A3CEBDD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Regions with Low Digital Usage Indicate Barriers: Lower digital transaction counts may signal infrastructure issues, limited digital literacy, or preference for traditional channels.</w:t>
      </w:r>
    </w:p>
    <w:p w14:paraId="4E314F8E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54C5E55C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Focus Marketing on High-Adoption States: Reinforce digital engagement by promoting advanced features, loyalty rewards, and personalized offers in these regions.</w:t>
      </w:r>
    </w:p>
    <w:p w14:paraId="46FCCE0B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Invest in Education and Infrastructure in Low-Adoption States: Launch digital literacy programs, improve app usability, and enhance network accessibility to remove adoption barriers.</w:t>
      </w:r>
    </w:p>
    <w:p w14:paraId="6B794ABE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Leverage Regional Data to Customize Campaigns: Use state-specific insights to design campaigns addressing local preferences and challenges.</w:t>
      </w:r>
    </w:p>
    <w:p w14:paraId="2735578E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446CB83B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19E47A84" w14:textId="77777777" w:rsidR="0021323C" w:rsidRPr="00A9514C" w:rsidRDefault="0021323C" w:rsidP="003E3E6C">
      <w:pPr>
        <w:pStyle w:val="NormalWeb"/>
        <w:numPr>
          <w:ilvl w:val="1"/>
          <w:numId w:val="31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Monthly Transaction Growth Rate</w:t>
      </w:r>
    </w:p>
    <w:p w14:paraId="6D3CCD94" w14:textId="7DD9620A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50A78660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Business Health Insight: Growth indicates rising engagement and adoption, while declines may signal churn, service issues, or seasonal effects.</w:t>
      </w:r>
    </w:p>
    <w:p w14:paraId="45DAE206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Resource Allocation: Fluctuations inform where to focus operational support, marketing, or product enhancements.</w:t>
      </w:r>
    </w:p>
    <w:p w14:paraId="791DCF27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Strategic Planning: Patterns help anticipate demand, optimize campaigns, and adjust for market trends.</w:t>
      </w:r>
    </w:p>
    <w:p w14:paraId="07A0F63F" w14:textId="17930D66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451371B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Capitalize on Growth: Invest in marketing, promotions, and digital channels during growth periods to maximize engagement.</w:t>
      </w:r>
    </w:p>
    <w:p w14:paraId="15FED82C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Address Declines: Investigate causes of drops in transaction volumes—such as customer dissatisfaction or technical issues—and implement corrective actions.</w:t>
      </w:r>
    </w:p>
    <w:p w14:paraId="6CB7BD2A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Leverage Seasonality: Align campaigns, staffing, and system capacity with anticipated peaks and troughs.</w:t>
      </w:r>
    </w:p>
    <w:p w14:paraId="5FE0E267" w14:textId="77777777" w:rsidR="0021323C" w:rsidRPr="00A9514C" w:rsidRDefault="0021323C" w:rsidP="003E3E6C">
      <w:pPr>
        <w:pStyle w:val="NormalWeb"/>
        <w:numPr>
          <w:ilvl w:val="1"/>
          <w:numId w:val="31"/>
        </w:numPr>
        <w:spacing w:line="480" w:lineRule="auto"/>
        <w:ind w:left="-270" w:hanging="90"/>
        <w:jc w:val="both"/>
        <w:rPr>
          <w:b/>
          <w:bCs/>
        </w:rPr>
      </w:pPr>
      <w:r w:rsidRPr="00A9514C">
        <w:rPr>
          <w:b/>
          <w:bCs/>
        </w:rPr>
        <w:t>Customer Activity Segmentation</w:t>
      </w:r>
    </w:p>
    <w:p w14:paraId="515A63DB" w14:textId="7F75CDF4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Implications</w:t>
      </w:r>
    </w:p>
    <w:p w14:paraId="13B5AB9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Engagement Insights: Distribution shows which portion of customers are highly active versus moderate or dormant, highlighting engagement gaps.</w:t>
      </w:r>
    </w:p>
    <w:p w14:paraId="3B8584D2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Revenue Potential: Active customers likely generate more revenue, while dormant users represent untapped potential.</w:t>
      </w:r>
    </w:p>
    <w:p w14:paraId="0C453D84" w14:textId="77777777" w:rsidR="0021323C" w:rsidRPr="00A9514C" w:rsidRDefault="0021323C" w:rsidP="003E3E6C">
      <w:pPr>
        <w:pStyle w:val="NormalWeb"/>
        <w:spacing w:line="480" w:lineRule="auto"/>
        <w:ind w:left="-270"/>
        <w:jc w:val="both"/>
      </w:pPr>
      <w:r w:rsidRPr="0021323C">
        <w:t>Risk of Churn: A high percentage of dormant accounts may indicate dissatisfaction or lack of product awareness.</w:t>
      </w:r>
    </w:p>
    <w:p w14:paraId="5755A088" w14:textId="656B09EA" w:rsidR="0021323C" w:rsidRPr="0021323C" w:rsidRDefault="0021323C" w:rsidP="003E3E6C">
      <w:pPr>
        <w:pStyle w:val="NormalWeb"/>
        <w:spacing w:line="480" w:lineRule="auto"/>
        <w:ind w:left="-270" w:hanging="90"/>
        <w:jc w:val="both"/>
        <w:rPr>
          <w:b/>
          <w:bCs/>
        </w:rPr>
      </w:pPr>
      <w:r w:rsidRPr="0021323C">
        <w:rPr>
          <w:b/>
          <w:bCs/>
        </w:rPr>
        <w:t>Recommendations</w:t>
      </w:r>
    </w:p>
    <w:p w14:paraId="0AFC685C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lastRenderedPageBreak/>
        <w:t>Target Dormant Customers: Launch personalized campaigns, reminders, or incentives to encourage transactions.</w:t>
      </w:r>
    </w:p>
    <w:p w14:paraId="103C5AEE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Nurture Moderate Users: Offer rewards, educational content, or loyalty programs to move them to active status.</w:t>
      </w:r>
    </w:p>
    <w:p w14:paraId="76791734" w14:textId="77777777" w:rsidR="0021323C" w:rsidRPr="0021323C" w:rsidRDefault="0021323C" w:rsidP="003E3E6C">
      <w:pPr>
        <w:pStyle w:val="NormalWeb"/>
        <w:spacing w:line="480" w:lineRule="auto"/>
        <w:ind w:left="-270"/>
        <w:jc w:val="both"/>
      </w:pPr>
      <w:r w:rsidRPr="0021323C">
        <w:t>Reward Active Users: Maintain loyalty and retention through premium benefits, priority services, or referral incentives.</w:t>
      </w:r>
    </w:p>
    <w:p w14:paraId="1E7C0F51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18645FC9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5DBB4ED3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75CBE651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2A4FA052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4BC63D09" w14:textId="77777777" w:rsidR="0021323C" w:rsidRPr="0021323C" w:rsidRDefault="0021323C" w:rsidP="003E3E6C">
      <w:pPr>
        <w:pStyle w:val="NormalWeb"/>
        <w:spacing w:line="480" w:lineRule="auto"/>
        <w:jc w:val="both"/>
      </w:pPr>
    </w:p>
    <w:p w14:paraId="0F20548B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66581CE7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5D59C3E6" w14:textId="77777777" w:rsidR="0021323C" w:rsidRPr="0021323C" w:rsidRDefault="0021323C" w:rsidP="003E3E6C">
      <w:pPr>
        <w:pStyle w:val="NormalWeb"/>
        <w:spacing w:line="480" w:lineRule="auto"/>
        <w:ind w:left="-270" w:hanging="90"/>
        <w:jc w:val="both"/>
      </w:pPr>
    </w:p>
    <w:p w14:paraId="57BD43AB" w14:textId="77777777" w:rsidR="0021323C" w:rsidRPr="00A9514C" w:rsidRDefault="0021323C" w:rsidP="003E3E6C">
      <w:pPr>
        <w:pStyle w:val="NormalWeb"/>
        <w:spacing w:line="480" w:lineRule="auto"/>
        <w:ind w:left="-270" w:hanging="90"/>
        <w:jc w:val="both"/>
      </w:pPr>
    </w:p>
    <w:p w14:paraId="12D9CD4B" w14:textId="77777777" w:rsidR="0021323C" w:rsidRPr="00A9514C" w:rsidRDefault="0021323C" w:rsidP="003E3E6C">
      <w:pPr>
        <w:spacing w:line="480" w:lineRule="auto"/>
        <w:ind w:left="-270" w:hanging="90"/>
        <w:jc w:val="both"/>
      </w:pPr>
    </w:p>
    <w:p w14:paraId="48A56560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0C2EF762" w14:textId="77777777" w:rsidR="0021323C" w:rsidRPr="0021323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00D52679" w14:textId="77777777" w:rsidR="0021323C" w:rsidRPr="00A9514C" w:rsidRDefault="0021323C" w:rsidP="003E3E6C">
      <w:pPr>
        <w:pStyle w:val="ListParagraph"/>
        <w:spacing w:line="480" w:lineRule="auto"/>
        <w:ind w:left="-270" w:hanging="90"/>
        <w:jc w:val="both"/>
        <w:rPr>
          <w:rFonts w:ascii="Times New Roman" w:hAnsi="Times New Roman" w:cs="Times New Roman"/>
        </w:rPr>
      </w:pPr>
    </w:p>
    <w:p w14:paraId="0C31A875" w14:textId="77777777" w:rsidR="0021323C" w:rsidRPr="00A9514C" w:rsidRDefault="0021323C" w:rsidP="003E3E6C">
      <w:pPr>
        <w:spacing w:line="480" w:lineRule="auto"/>
        <w:jc w:val="both"/>
        <w:rPr>
          <w:rFonts w:ascii="Times New Roman" w:hAnsi="Times New Roman" w:cs="Times New Roman"/>
        </w:rPr>
      </w:pPr>
    </w:p>
    <w:sectPr w:rsidR="0021323C" w:rsidRPr="00A95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2234F"/>
    <w:multiLevelType w:val="multilevel"/>
    <w:tmpl w:val="750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2FD4"/>
    <w:multiLevelType w:val="multilevel"/>
    <w:tmpl w:val="1490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F38E8"/>
    <w:multiLevelType w:val="multilevel"/>
    <w:tmpl w:val="B0E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51063"/>
    <w:multiLevelType w:val="multilevel"/>
    <w:tmpl w:val="952E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53437"/>
    <w:multiLevelType w:val="multilevel"/>
    <w:tmpl w:val="CF5C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B7547"/>
    <w:multiLevelType w:val="multilevel"/>
    <w:tmpl w:val="ED82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024C1"/>
    <w:multiLevelType w:val="multilevel"/>
    <w:tmpl w:val="5B6E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75786"/>
    <w:multiLevelType w:val="multilevel"/>
    <w:tmpl w:val="CD7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5377"/>
    <w:multiLevelType w:val="multilevel"/>
    <w:tmpl w:val="6E9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32C60"/>
    <w:multiLevelType w:val="multilevel"/>
    <w:tmpl w:val="561A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3161D"/>
    <w:multiLevelType w:val="multilevel"/>
    <w:tmpl w:val="2E6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630CA"/>
    <w:multiLevelType w:val="multilevel"/>
    <w:tmpl w:val="D83E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823A27"/>
    <w:multiLevelType w:val="multilevel"/>
    <w:tmpl w:val="6EA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D4C40"/>
    <w:multiLevelType w:val="multilevel"/>
    <w:tmpl w:val="FD24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726FE"/>
    <w:multiLevelType w:val="multilevel"/>
    <w:tmpl w:val="2C6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C1D9B"/>
    <w:multiLevelType w:val="multilevel"/>
    <w:tmpl w:val="F644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537278"/>
    <w:multiLevelType w:val="hybridMultilevel"/>
    <w:tmpl w:val="F770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47287"/>
    <w:multiLevelType w:val="hybridMultilevel"/>
    <w:tmpl w:val="E204418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9282E"/>
    <w:multiLevelType w:val="multilevel"/>
    <w:tmpl w:val="F976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1381F"/>
    <w:multiLevelType w:val="multilevel"/>
    <w:tmpl w:val="95A2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65B41"/>
    <w:multiLevelType w:val="multilevel"/>
    <w:tmpl w:val="5196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91904"/>
    <w:multiLevelType w:val="multilevel"/>
    <w:tmpl w:val="AB5C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505BCB"/>
    <w:multiLevelType w:val="multilevel"/>
    <w:tmpl w:val="8C6A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5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355D49"/>
    <w:multiLevelType w:val="multilevel"/>
    <w:tmpl w:val="E8D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E5A29"/>
    <w:multiLevelType w:val="multilevel"/>
    <w:tmpl w:val="4626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F1839"/>
    <w:multiLevelType w:val="multilevel"/>
    <w:tmpl w:val="EA3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91C23"/>
    <w:multiLevelType w:val="multilevel"/>
    <w:tmpl w:val="48DE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0834CC"/>
    <w:multiLevelType w:val="multilevel"/>
    <w:tmpl w:val="5A0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2F78D0"/>
    <w:multiLevelType w:val="multilevel"/>
    <w:tmpl w:val="212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625B5"/>
    <w:multiLevelType w:val="multilevel"/>
    <w:tmpl w:val="7A00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40335D"/>
    <w:multiLevelType w:val="hybridMultilevel"/>
    <w:tmpl w:val="CD06FC9E"/>
    <w:lvl w:ilvl="0" w:tplc="BBAC6E52">
      <w:start w:val="6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A89150B"/>
    <w:multiLevelType w:val="multilevel"/>
    <w:tmpl w:val="1250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FC087D"/>
    <w:multiLevelType w:val="multilevel"/>
    <w:tmpl w:val="9BF8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701241"/>
    <w:multiLevelType w:val="multilevel"/>
    <w:tmpl w:val="D74A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AF5AE8"/>
    <w:multiLevelType w:val="multilevel"/>
    <w:tmpl w:val="63E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A67D9"/>
    <w:multiLevelType w:val="multilevel"/>
    <w:tmpl w:val="56EC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D34993"/>
    <w:multiLevelType w:val="multilevel"/>
    <w:tmpl w:val="8B36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AC70EC"/>
    <w:multiLevelType w:val="multilevel"/>
    <w:tmpl w:val="BDC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F80404"/>
    <w:multiLevelType w:val="multilevel"/>
    <w:tmpl w:val="9BCE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182791"/>
    <w:multiLevelType w:val="multilevel"/>
    <w:tmpl w:val="00C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F249E"/>
    <w:multiLevelType w:val="multilevel"/>
    <w:tmpl w:val="F9D4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7023B2"/>
    <w:multiLevelType w:val="multilevel"/>
    <w:tmpl w:val="3A30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C56F0A"/>
    <w:multiLevelType w:val="multilevel"/>
    <w:tmpl w:val="250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40DEA"/>
    <w:multiLevelType w:val="multilevel"/>
    <w:tmpl w:val="0C42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654050">
    <w:abstractNumId w:val="17"/>
  </w:num>
  <w:num w:numId="2" w16cid:durableId="1596010292">
    <w:abstractNumId w:val="42"/>
  </w:num>
  <w:num w:numId="3" w16cid:durableId="327053550">
    <w:abstractNumId w:val="15"/>
  </w:num>
  <w:num w:numId="4" w16cid:durableId="838151970">
    <w:abstractNumId w:val="4"/>
  </w:num>
  <w:num w:numId="5" w16cid:durableId="1378092995">
    <w:abstractNumId w:val="34"/>
  </w:num>
  <w:num w:numId="6" w16cid:durableId="2026780522">
    <w:abstractNumId w:val="28"/>
  </w:num>
  <w:num w:numId="7" w16cid:durableId="1123429423">
    <w:abstractNumId w:val="22"/>
  </w:num>
  <w:num w:numId="8" w16cid:durableId="1187669155">
    <w:abstractNumId w:val="8"/>
  </w:num>
  <w:num w:numId="9" w16cid:durableId="236865258">
    <w:abstractNumId w:val="38"/>
  </w:num>
  <w:num w:numId="10" w16cid:durableId="1601332527">
    <w:abstractNumId w:val="16"/>
  </w:num>
  <w:num w:numId="11" w16cid:durableId="1208640034">
    <w:abstractNumId w:val="43"/>
  </w:num>
  <w:num w:numId="12" w16cid:durableId="348532309">
    <w:abstractNumId w:val="25"/>
  </w:num>
  <w:num w:numId="13" w16cid:durableId="1255431251">
    <w:abstractNumId w:val="19"/>
  </w:num>
  <w:num w:numId="14" w16cid:durableId="1123812314">
    <w:abstractNumId w:val="39"/>
  </w:num>
  <w:num w:numId="15" w16cid:durableId="755058079">
    <w:abstractNumId w:val="26"/>
  </w:num>
  <w:num w:numId="16" w16cid:durableId="286472440">
    <w:abstractNumId w:val="12"/>
  </w:num>
  <w:num w:numId="17" w16cid:durableId="3168760">
    <w:abstractNumId w:val="21"/>
  </w:num>
  <w:num w:numId="18" w16cid:durableId="1471285118">
    <w:abstractNumId w:val="23"/>
  </w:num>
  <w:num w:numId="19" w16cid:durableId="190144101">
    <w:abstractNumId w:val="13"/>
  </w:num>
  <w:num w:numId="20" w16cid:durableId="1531842930">
    <w:abstractNumId w:val="14"/>
  </w:num>
  <w:num w:numId="21" w16cid:durableId="1072778527">
    <w:abstractNumId w:val="33"/>
  </w:num>
  <w:num w:numId="22" w16cid:durableId="416678607">
    <w:abstractNumId w:val="7"/>
  </w:num>
  <w:num w:numId="23" w16cid:durableId="1274508632">
    <w:abstractNumId w:val="36"/>
  </w:num>
  <w:num w:numId="24" w16cid:durableId="952593387">
    <w:abstractNumId w:val="10"/>
  </w:num>
  <w:num w:numId="25" w16cid:durableId="986280090">
    <w:abstractNumId w:val="31"/>
  </w:num>
  <w:num w:numId="26" w16cid:durableId="1440949529">
    <w:abstractNumId w:val="2"/>
  </w:num>
  <w:num w:numId="27" w16cid:durableId="1900289344">
    <w:abstractNumId w:val="32"/>
  </w:num>
  <w:num w:numId="28" w16cid:durableId="980383094">
    <w:abstractNumId w:val="0"/>
  </w:num>
  <w:num w:numId="29" w16cid:durableId="23679433">
    <w:abstractNumId w:val="41"/>
  </w:num>
  <w:num w:numId="30" w16cid:durableId="1638335985">
    <w:abstractNumId w:val="5"/>
  </w:num>
  <w:num w:numId="31" w16cid:durableId="846745655">
    <w:abstractNumId w:val="18"/>
  </w:num>
  <w:num w:numId="32" w16cid:durableId="1840316815">
    <w:abstractNumId w:val="9"/>
  </w:num>
  <w:num w:numId="33" w16cid:durableId="1469281490">
    <w:abstractNumId w:val="27"/>
  </w:num>
  <w:num w:numId="34" w16cid:durableId="1550070791">
    <w:abstractNumId w:val="11"/>
  </w:num>
  <w:num w:numId="35" w16cid:durableId="134874628">
    <w:abstractNumId w:val="35"/>
  </w:num>
  <w:num w:numId="36" w16cid:durableId="298153153">
    <w:abstractNumId w:val="24"/>
  </w:num>
  <w:num w:numId="37" w16cid:durableId="1776094170">
    <w:abstractNumId w:val="6"/>
  </w:num>
  <w:num w:numId="38" w16cid:durableId="740181774">
    <w:abstractNumId w:val="37"/>
  </w:num>
  <w:num w:numId="39" w16cid:durableId="2105373614">
    <w:abstractNumId w:val="20"/>
  </w:num>
  <w:num w:numId="40" w16cid:durableId="712270974">
    <w:abstractNumId w:val="29"/>
  </w:num>
  <w:num w:numId="41" w16cid:durableId="1119109575">
    <w:abstractNumId w:val="3"/>
  </w:num>
  <w:num w:numId="42" w16cid:durableId="1555894447">
    <w:abstractNumId w:val="40"/>
  </w:num>
  <w:num w:numId="43" w16cid:durableId="1637679374">
    <w:abstractNumId w:val="1"/>
  </w:num>
  <w:num w:numId="44" w16cid:durableId="14811204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3C"/>
    <w:rsid w:val="0021323C"/>
    <w:rsid w:val="003E3E6C"/>
    <w:rsid w:val="00A9514C"/>
    <w:rsid w:val="00C3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34D0"/>
  <w15:chartTrackingRefBased/>
  <w15:docId w15:val="{D230979B-30D5-F544-A252-22E0A4CD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32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323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E3E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3E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3E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E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3E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1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6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2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3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1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4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0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35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4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6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2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3030</Words>
  <Characters>17274</Characters>
  <Application>Microsoft Office Word</Application>
  <DocSecurity>0</DocSecurity>
  <Lines>143</Lines>
  <Paragraphs>40</Paragraphs>
  <ScaleCrop>false</ScaleCrop>
  <Company/>
  <LinksUpToDate>false</LinksUpToDate>
  <CharactersWithSpaces>20264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mensah</dc:creator>
  <cp:keywords/>
  <dc:description/>
  <cp:lastModifiedBy>Ralph mensah</cp:lastModifiedBy>
  <cp:revision>2</cp:revision>
  <dcterms:created xsi:type="dcterms:W3CDTF">2025-11-09T14:57:00Z</dcterms:created>
  <dcterms:modified xsi:type="dcterms:W3CDTF">2025-11-09T14:57:00Z</dcterms:modified>
</cp:coreProperties>
</file>