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26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26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26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26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26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926"/>
            </w:tabs>
            <w:spacing w:after="0" w:before="0" w:line="240" w:lineRule="auto"/>
            <w:ind w:left="240" w:right="0" w:firstLine="21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Process Flow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926"/>
            </w:tabs>
            <w:spacing w:after="0" w:before="0" w:line="240" w:lineRule="auto"/>
            <w:ind w:left="240" w:right="0" w:firstLine="21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26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APPLICABLE REFERENCES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26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QUALITY RECORDS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procedure defines the process of Documentation Control and items that require reviews, approval, and revision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scope of the Standard Operating Procedure is to outline the process of approval, issuance, change and modification of technical documentation.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u w:val="single"/>
          <w:rtl w:val="0"/>
        </w:rPr>
        <w:t xml:space="preserve">(Company)</w:t>
      </w:r>
      <w:r w:rsidDel="00000000" w:rsidR="00000000" w:rsidRPr="00000000">
        <w:rPr>
          <w:vertAlign w:val="baseline"/>
          <w:rtl w:val="0"/>
        </w:rPr>
        <w:t xml:space="preserve"> – Tungsten Parts Wyoming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PO</w:t>
      </w:r>
      <w:r w:rsidDel="00000000" w:rsidR="00000000" w:rsidRPr="00000000">
        <w:rPr>
          <w:vertAlign w:val="baseline"/>
          <w:rtl w:val="0"/>
        </w:rPr>
        <w:t xml:space="preserve"> – Purchase Order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ITAR </w:t>
      </w:r>
      <w:r w:rsidDel="00000000" w:rsidR="00000000" w:rsidRPr="00000000">
        <w:rPr>
          <w:vertAlign w:val="baseline"/>
          <w:rtl w:val="0"/>
        </w:rPr>
        <w:t xml:space="preserve">– International Traffic &amp; Arms Regulation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u w:val="single"/>
          <w:vertAlign w:val="baseline"/>
          <w:rtl w:val="0"/>
        </w:rPr>
        <w:t xml:space="preserve">ECO/ECN </w:t>
      </w:r>
      <w:r w:rsidDel="00000000" w:rsidR="00000000" w:rsidRPr="00000000">
        <w:rPr>
          <w:vertAlign w:val="baseline"/>
          <w:rtl w:val="0"/>
        </w:rPr>
        <w:t xml:space="preserve">– Engineering change order/notice 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Engineering/Quality</w:t>
      </w:r>
      <w:r w:rsidDel="00000000" w:rsidR="00000000" w:rsidRPr="00000000">
        <w:rPr>
          <w:vertAlign w:val="baseline"/>
          <w:rtl w:val="0"/>
        </w:rPr>
        <w:t xml:space="preserve"> – reviews all incoming technical documentation and determines if revision changes have been made. Creates technical documentation with proper naming and revision numbering scheme.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u w:val="single"/>
          <w:vertAlign w:val="baseline"/>
          <w:rtl w:val="0"/>
        </w:rPr>
        <w:t xml:space="preserve">Management</w:t>
      </w:r>
      <w:r w:rsidDel="00000000" w:rsidR="00000000" w:rsidRPr="00000000">
        <w:rPr>
          <w:vertAlign w:val="baseline"/>
          <w:rtl w:val="0"/>
        </w:rPr>
        <w:t xml:space="preserve"> – records any revision changes identified by engineering and communicates to relevant party.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Documents outlined in this process may describe hardware, software, licensed materials, user documentation, user manuals, and operating procedures. Not all </w:t>
      </w:r>
      <w:r w:rsidDel="00000000" w:rsidR="00000000" w:rsidRPr="00000000">
        <w:rPr>
          <w:rtl w:val="0"/>
        </w:rPr>
        <w:t xml:space="preserve">(Company)</w:t>
      </w:r>
      <w:r w:rsidDel="00000000" w:rsidR="00000000" w:rsidRPr="00000000">
        <w:rPr>
          <w:vertAlign w:val="baseline"/>
          <w:rtl w:val="0"/>
        </w:rPr>
        <w:t xml:space="preserve"> documentation is required to be versioned or released, this will depend on intended use and the need to formally control the document, many design documents are maintained in a revision control system and will not need versioning on the document itself due to the fact that the revision control system will provide this functionality.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Internal/informal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8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During the development process, there will be many documents that are generated to</w:t>
      </w:r>
    </w:p>
    <w:p w:rsidR="00000000" w:rsidDel="00000000" w:rsidP="00000000" w:rsidRDefault="00000000" w:rsidRPr="00000000">
      <w:pPr>
        <w:ind w:left="1008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capture ideas, concepts, and points of discussion; these documents are intended to</w:t>
      </w:r>
    </w:p>
    <w:p w:rsidR="00000000" w:rsidDel="00000000" w:rsidP="00000000" w:rsidRDefault="00000000" w:rsidRPr="00000000">
      <w:pPr>
        <w:ind w:left="1008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bring clarity during the design phase of the development and are not necessarily formal</w:t>
      </w:r>
    </w:p>
    <w:p w:rsidR="00000000" w:rsidDel="00000000" w:rsidP="00000000" w:rsidRDefault="00000000" w:rsidRPr="00000000">
      <w:pPr>
        <w:ind w:left="1008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nature. These documents shall not be required to follow the formal document control</w:t>
      </w:r>
    </w:p>
    <w:p w:rsidR="00000000" w:rsidDel="00000000" w:rsidP="00000000" w:rsidRDefault="00000000" w:rsidRPr="00000000">
      <w:pPr>
        <w:ind w:left="1008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process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Part Number/Revision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8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New documents/items are automatically assigned an item number or manually assigned</w:t>
      </w:r>
    </w:p>
    <w:p w:rsidR="00000000" w:rsidDel="00000000" w:rsidP="00000000" w:rsidRDefault="00000000" w:rsidRPr="00000000">
      <w:pPr>
        <w:ind w:left="1008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 item number based (i.e. to allow for documents to be grouped by product line). Modified document/item requires an incremental rise in the major revision letter or the minor revision number depending on the modification, &lt;Major&gt;&lt;Minor&gt;.</w:t>
      </w:r>
    </w:p>
    <w:p w:rsidR="00000000" w:rsidDel="00000000" w:rsidP="00000000" w:rsidRDefault="00000000" w:rsidRPr="00000000">
      <w:pPr>
        <w:ind w:left="1008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8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Modification to the document’s design, structure, or adding/deleting functional descriptions described by the content.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ind w:left="720" w:hanging="72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Modification to the document’s description that does not change the functionality of the item being described by the document, but adds clarity/robustness to the existing description.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Minimum Format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368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Document name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68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Part #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68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ITAR Controlled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68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Date of Change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68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Revision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68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Author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368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Description of change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CUSTOMER TECHNICAL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Document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8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soon as customer drawings are received they will be reviewed for any changes and placed into appropriate customer folder on </w:t>
      </w:r>
      <w:r w:rsidDel="00000000" w:rsidR="00000000" w:rsidRPr="00000000">
        <w:rPr>
          <w:rtl w:val="0"/>
        </w:rPr>
        <w:t xml:space="preserve">(Company)</w:t>
      </w:r>
      <w:r w:rsidDel="00000000" w:rsidR="00000000" w:rsidRPr="00000000">
        <w:rPr>
          <w:vertAlign w:val="baseline"/>
          <w:rtl w:val="0"/>
        </w:rPr>
        <w:t xml:space="preserve"> secure server. Any relevant nomenclature such as: revision number, date, description etc will be noted. 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Change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8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customer drawing has been updated since the first iteration then change order form/ECO will be issued to notify any relevant party and the ‘old’ drawing will be moved to Down Rev folder on </w:t>
      </w:r>
      <w:r w:rsidDel="00000000" w:rsidR="00000000" w:rsidRPr="00000000">
        <w:rPr>
          <w:rtl w:val="0"/>
        </w:rPr>
        <w:t xml:space="preserve">(Company)</w:t>
      </w:r>
      <w:r w:rsidDel="00000000" w:rsidR="00000000" w:rsidRPr="00000000">
        <w:rPr>
          <w:vertAlign w:val="baseline"/>
          <w:rtl w:val="0"/>
        </w:rPr>
        <w:t xml:space="preserve"> secure server.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APPLICABLE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documentation &amp; drawings.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QUALITY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applicable Quality records.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40" w:lineRule="auto"/>
        <w:ind w:left="432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40" w:lineRule="auto"/>
        <w:ind w:left="432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headerReference r:id="rId7" w:type="even"/>
      <w:footerReference r:id="rId8" w:type="default"/>
      <w:footerReference r:id="rId9" w:type="first"/>
      <w:footerReference r:id="rId10" w:type="even"/>
      <w:pgSz w:h="15840" w:w="12240"/>
      <w:pgMar w:bottom="1152" w:top="1608" w:left="1152" w:right="115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Copyright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[Insert Company Name]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  All rights reserved.  May not be reproduced without permission. All hard copies should be checked against the current electronic version within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[Document Control System]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prior to use and destroyed promptly thereafter.  All hard copies are considered Uncontrolled documents.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188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88"/>
      <w:gridCol w:w="4680"/>
      <w:gridCol w:w="1260"/>
      <w:gridCol w:w="2160"/>
      <w:tblGridChange w:id="0">
        <w:tblGrid>
          <w:gridCol w:w="2088"/>
          <w:gridCol w:w="4680"/>
          <w:gridCol w:w="1260"/>
          <w:gridCol w:w="2160"/>
        </w:tblGrid>
      </w:tblGridChange>
    </w:tblGrid>
    <w:tr>
      <w:trPr>
        <w:trHeight w:val="440" w:hRule="atLeast"/>
      </w:trPr>
      <w:tc>
        <w:tcPr>
          <w:vMerge w:val="restart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00"/>
              <w:tab w:val="center" w:pos="2070"/>
              <w:tab w:val="right" w:pos="891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00"/>
              <w:tab w:val="center" w:pos="2070"/>
              <w:tab w:val="right" w:pos="891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00"/>
              <w:tab w:val="center" w:pos="2070"/>
              <w:tab w:val="right" w:pos="891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Control of Technical Documentation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00"/>
              <w:tab w:val="center" w:pos="2070"/>
              <w:tab w:val="right" w:pos="891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00"/>
              <w:tab w:val="center" w:pos="2070"/>
              <w:tab w:val="right" w:pos="891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Pg.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40" w:hRule="atLeast"/>
      </w:trPr>
      <w:tc>
        <w:tcPr>
          <w:vMerge w:val="continue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00"/>
              <w:tab w:val="center" w:pos="2070"/>
              <w:tab w:val="right" w:pos="891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00"/>
              <w:tab w:val="center" w:pos="2070"/>
              <w:tab w:val="right" w:pos="891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 Number: PR-700-001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00"/>
              <w:tab w:val="center" w:pos="2070"/>
              <w:tab w:val="right" w:pos="891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Rev: 01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00"/>
              <w:tab w:val="center" w:pos="2070"/>
              <w:tab w:val="right" w:pos="891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800"/>
        <w:tab w:val="center" w:pos="2070"/>
        <w:tab w:val="right" w:pos="891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68" w:hanging="359.9999999999999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8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2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4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6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0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2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1008" w:hanging="576"/>
      <w:contextualSpacing w:val="0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spacing w:before="120" w:lineRule="auto"/>
      <w:ind w:left="1584" w:hanging="720"/>
      <w:contextualSpacing w:val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ind w:left="2160" w:hanging="864"/>
      <w:contextualSpacing w:val="0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ind w:left="1008" w:hanging="1008"/>
      <w:contextualSpacing w:val="0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ind w:left="1152" w:hanging="1152"/>
      <w:contextualSpacing w:val="0"/>
    </w:pPr>
    <w:rPr>
      <w:sz w:val="20"/>
      <w:szCs w:val="20"/>
      <w:u w:val="singl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/Relationships>
</file>