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5d8a"/>
          <w:sz w:val="28"/>
          <w:szCs w:val="28"/>
          <w:rtl w:val="0"/>
        </w:rPr>
        <w:t xml:space="preserve">BANKING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50"/>
          <w:szCs w:val="50"/>
          <w:rtl w:val="0"/>
        </w:rPr>
        <w:t xml:space="preserve">ASP.NET Core Backend Architecture &amp; API Design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7085"/>
          <w:sz w:val="21"/>
          <w:szCs w:val="21"/>
          <w:rtl w:val="0"/>
        </w:rPr>
        <w:t xml:space="preserve">Modular monolith, vertical slices, stable API contracts and secure request handling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2448"/>
        <w:gridCol w:w="7200"/>
        <w:tblGridChange w:id="0">
          <w:tblGrid>
            <w:gridCol w:w="2448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BL-API-003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Internal / Educational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Architecture Decision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Begin as a modular monolith. Extract services only when independent scaling, deployment or team ownership provides measurable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the ASP.NET Core structure, module boundaries, endpoint conventions, dependency rules, middleware, validation, errors, OpenAPI and backend implementation practices.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ASP.NET Core 10 API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Modular monolith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Vertical slices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REST/JSON endpoints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OpenAPI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ProblemDetails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Authorization hooks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limiting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Health checks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Logging and correlation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schema details beyond integration contracts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Mobile UI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 infrastructure procedures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1.3 Prerequisites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BL-SETUP-001 complete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PostgreSQL available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 C# classes/interfaces/async concepts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Project Boundary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handbook assumes a banking simulator using test data and fake money. It is not a compliance certification or authorization to operate a real financial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2. Solution Structure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backend/</w:t>
        <w:br w:type="textWrapping"/>
        <w:t xml:space="preserve">  Banking.sln</w:t>
        <w:br w:type="textWrapping"/>
        <w:t xml:space="preserve">  src/</w:t>
        <w:br w:type="textWrapping"/>
        <w:t xml:space="preserve">    Banking.Api/</w:t>
        <w:br w:type="textWrapping"/>
        <w:t xml:space="preserve">    Banking.SharedKernel/</w:t>
        <w:br w:type="textWrapping"/>
        <w:t xml:space="preserve">    Modules/</w:t>
        <w:br w:type="textWrapping"/>
        <w:t xml:space="preserve">      Banking.Identity/</w:t>
        <w:br w:type="textWrapping"/>
        <w:t xml:space="preserve">      Banking.Customers/</w:t>
        <w:br w:type="textWrapping"/>
        <w:t xml:space="preserve">      Banking.Accounts/</w:t>
        <w:br w:type="textWrapping"/>
        <w:t xml:space="preserve">      Banking.Ledger/</w:t>
        <w:br w:type="textWrapping"/>
        <w:t xml:space="preserve">      Banking.Transfers/</w:t>
        <w:br w:type="textWrapping"/>
        <w:t xml:space="preserve">      Banking.Notifications/</w:t>
        <w:br w:type="textWrapping"/>
        <w:t xml:space="preserve">      Banking.Audit/</w:t>
        <w:br w:type="textWrapping"/>
        <w:t xml:space="preserve">  tests/</w:t>
        <w:br w:type="textWrapping"/>
        <w:t xml:space="preserve">    Banking.UnitTests/</w:t>
        <w:br w:type="textWrapping"/>
        <w:t xml:space="preserve">    Banking.IntegrationTests/</w:t>
        <w:br w:type="textWrapping"/>
        <w:t xml:space="preserve">    Banking.ArchitectureTests/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Banking.Api is the composition root.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Modules expose explicit registration/mapping entry points.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SharedKernel contains only genuinely shared primitives such as Money, Result, strongly typed IDs or common abstractions; it must not become a miscellaneous dumping ground.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3. Module Contract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interface IModule</w:t>
        <w:br w:type="textWrapping"/>
        <w:t xml:space="preserve">{</w:t>
        <w:br w:type="textWrapping"/>
        <w:t xml:space="preserve">    static abstract IServiceCollection AddModule(</w:t>
        <w:br w:type="textWrapping"/>
        <w:t xml:space="preserve">        IServiceCollection services,</w:t>
        <w:br w:type="textWrapping"/>
        <w:t xml:space="preserve">        IConfiguration configuration);</w:t>
        <w:br w:type="textWrapping"/>
        <w:br w:type="textWrapping"/>
        <w:t xml:space="preserve">    static abstract IEndpointRouteBuilder MapEndpoints(</w:t>
        <w:br w:type="textWrapping"/>
        <w:t xml:space="preserve">        IEndpointRouteBuilder endpoints);</w:t>
        <w:br w:type="textWrapping"/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module owns its domain rules, application handlers, persistence configuration and endpoint mapping.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Cross-module interaction should use public application contracts/events, not direct writes to another module's tables.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Vertical Slice Convention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Transfers/</w:t>
        <w:br w:type="textWrapping"/>
        <w:t xml:space="preserve">  Application/</w:t>
        <w:br w:type="textWrapping"/>
        <w:t xml:space="preserve">    CreateTransfer/</w:t>
        <w:br w:type="textWrapping"/>
        <w:t xml:space="preserve">      CreateTransferCommand.cs</w:t>
        <w:br w:type="textWrapping"/>
        <w:t xml:space="preserve">      CreateTransferHandler.cs</w:t>
        <w:br w:type="textWrapping"/>
        <w:t xml:space="preserve">      CreateTransferValidator.cs</w:t>
        <w:br w:type="textWrapping"/>
        <w:t xml:space="preserve">      CreateTransferResult.cs</w:t>
        <w:br w:type="textWrapping"/>
        <w:t xml:space="preserve">  Domain/</w:t>
        <w:br w:type="textWrapping"/>
        <w:t xml:space="preserve">    Transfer.cs</w:t>
        <w:br w:type="textWrapping"/>
        <w:t xml:space="preserve">    TransferStatus.cs</w:t>
        <w:br w:type="textWrapping"/>
        <w:t xml:space="preserve">  Infrastructure/</w:t>
        <w:br w:type="textWrapping"/>
        <w:t xml:space="preserve">    TransferRepository.cs</w:t>
        <w:br w:type="textWrapping"/>
        <w:t xml:space="preserve">  Endpoints/</w:t>
        <w:br w:type="textWrapping"/>
        <w:t xml:space="preserve">    CreateTransferEndpoint.cs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HTTP and URI Conventions</w:t>
      </w:r>
    </w:p>
    <w:tbl>
      <w:tblPr>
        <w:tblStyle w:val="Table3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4896"/>
        <w:gridCol w:w="3168"/>
        <w:tblGridChange w:id="0">
          <w:tblGrid>
            <w:gridCol w:w="1728"/>
            <w:gridCol w:w="4896"/>
            <w:gridCol w:w="3168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Prefix public API with major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/api/v1/accounts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nouns, plural where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/api/v1/transfers/{id}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POST /api/v1/transfers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GET resource/collection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GET /api/v1/accounts/{id}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PATCH for partial profile/settings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PATCH /api/v1/profile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application/problem+json / ProblemDetails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400, 401, 403, 404, 409, 422, 429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Cursor preferred for large history; page acceptable initially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?cursor=...&amp;limit=50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6. DTO and Domain Separation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bind EF entities directly as public API request/response contracts.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Validate request shape before invoking domain behavior.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Map domain failures to stable API error codes/messages.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allow mass assignment by deserializing unrestricted client properties onto entities.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7. Validation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Structural validation: required fields, string length, UUID/format, amount syntax.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Domain validation: amount &gt; 0, allowed currency, account status.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Authorization validation: source account belongs to current customer or caller has explicit elevated permission.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State/concurrency validation: sufficient balance, transfer state allows transition.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8. Error Contract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"type": "https://banking-lab/errors/insufficient-funds",</w:t>
        <w:br w:type="textWrapping"/>
        <w:t xml:space="preserve">  "title": "Transfer cannot be completed",</w:t>
        <w:br w:type="textWrapping"/>
        <w:t xml:space="preserve">  "status": 422,</w:t>
        <w:br w:type="textWrapping"/>
        <w:t xml:space="preserve">  "detail": "The source account does not have enough available funds.",</w:t>
        <w:br w:type="textWrapping"/>
        <w:t xml:space="preserve">  "traceId": "00-..."</w:t>
        <w:br w:type="textWrapping"/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send raw exception text or stack traces to production clients.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correlation/trace ID for support and diagnostics.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9. Middleware Order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Forwarded headers (trusted proxy configuration)</w:t>
        <w:br w:type="textWrapping"/>
        <w:t xml:space="preserve">Exception handling / ProblemDetails</w:t>
        <w:br w:type="textWrapping"/>
        <w:t xml:space="preserve">HTTPS / security headers as appropriate</w:t>
        <w:br w:type="textWrapping"/>
        <w:t xml:space="preserve">Request logging / tracing</w:t>
        <w:br w:type="textWrapping"/>
        <w:t xml:space="preserve">Rate limiting</w:t>
        <w:br w:type="textWrapping"/>
        <w:t xml:space="preserve">Authentication</w:t>
        <w:br w:type="textWrapping"/>
        <w:t xml:space="preserve">Authorization</w:t>
        <w:br w:type="textWrapping"/>
        <w:t xml:space="preserve">Endpoint execution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10. Authentication and Authorization Integration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Identity module owns login/refresh/logout and user credential concerns.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Feature endpoints depend on authorization abstractions/claims, not password implementation details.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object-ID endpoint performs object-level authorization.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capabilities use explicit policies rather than UI-hidden buttons.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11. OpenAPI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Generate OpenAPI during development/build and treat it as the API contract.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 request/response/error models and authentication requirements.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expose internal-only endpoints by accident.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 exposure of interactive docs should be a deliberate choice.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12. Rate Limiting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3600"/>
        <w:gridCol w:w="4032"/>
        <w:tblGridChange w:id="0">
          <w:tblGrid>
            <w:gridCol w:w="2448"/>
            <w:gridCol w:w="3600"/>
            <w:gridCol w:w="403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Endpoint/Flow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Initial Lab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5 attempts/minute per relevant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Also implement account lockout/backoff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Password recovery/OTP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3 attempts/15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Avoid account enumeration.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10/minute/customer + business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Protect sensitive business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Read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100/minute/user as starting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Tune from measurements.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13. Health Checks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GET /health/live   -&gt; process alive</w:t>
        <w:br w:type="textWrapping"/>
        <w:t xml:space="preserve">GET /health/ready  -&gt; dependencies required for serving traffic are healthy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Readiness may include PostgreSQL and required critical services.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expose sensitive dependency details publicly.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14. Logging and Tracing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structured logs.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Include trace ID, endpoint, user/customer internal identifier where appropriate, result status and duration.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log passwords, tokens, private keys or full sensitive request bodies.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 important domain spans such as transfer validation and ledger posting.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15. Background Processing Boundary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an outbox record written inside the same database transaction for notifications or asynchronous integrations.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failed notification must not roll back an already committed transfer.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16. API Acceptance Rules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public endpoints have stable versioned routes.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authenticated object access has authorization tests.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money-changing commands accept/require idempotency semantics.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expected domain errors map to deterministic HTTP responses.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OpenAPI builds without schema errors.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Health endpoints are container-friendly.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endpoint logs credentials or tokens.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Atomic Task Register</w:t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592"/>
        <w:gridCol w:w="3744"/>
        <w:gridCol w:w="2592"/>
        <w:tblGridChange w:id="0">
          <w:tblGrid>
            <w:gridCol w:w="1440"/>
            <w:gridCol w:w="2592"/>
            <w:gridCol w:w="3744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solution projects.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API, SharedKernel and module projects.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`dotnet build` succeeds.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module registration pattern.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composition entry 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 starts with modules registered.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system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Map `/api/v1/system/info`.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Returns documented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ProblemDetails.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Map exceptions/domain errors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Invalid request returns stable problem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request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Validate DTO before handler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Malformed payload returns 400/422 as designed.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OpenAPI.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Generate document for v1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OpenAPI artifact loads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authentication middleware.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Validate access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Protected endpoint rejects missing/invalid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object-level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Check ownership by current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User cannot access another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rate limiting.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login/transfer/read policies.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Exceeded policy returns 429.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health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live/ready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Container probe receives correct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structured logging.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Include trace and duration.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Logs contain no secret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architecture tests.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Enforce module dependency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Invalid cross-module reference fails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Troubleshooting Guide</w:t>
      </w:r>
    </w:p>
    <w:tbl>
      <w:tblPr>
        <w:tblStyle w:val="Table6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168"/>
        <w:gridCol w:w="4320"/>
        <w:tblGridChange w:id="0">
          <w:tblGrid>
            <w:gridCol w:w="3024"/>
            <w:gridCol w:w="316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Everything depends on SharedKernel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SharedKernel is being used as a dumping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Move feature-specific types back into modules and expose narrow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403/404 behavior leaks object existence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Authorization and lookup ordering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a policy for hidden resources and apply consistently.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OpenAPI shows EF navigation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Entities are exposed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Return explicit DTOs and configure schema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Multiple exception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Endpoints catch exceptions ad 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Centralize error mapping through exception handler/ProblemDetails.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Health check leaks DB 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Verbose details are returned publicly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Return generic public status; keep detailed diagnostics internal.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Microsoft .NET Support Policy</w:t>
      </w:r>
      <w:r w:rsidDel="00000000" w:rsidR="00000000" w:rsidRPr="00000000">
        <w:rPr>
          <w:rtl w:val="0"/>
        </w:rPr>
        <w:br w:type="textWrapping"/>
        <w:t xml:space="preserve">https://dotnet.microsoft.com/en-us/platform/support/policy</w:t>
        <w:br w:type="textWrapping"/>
        <w:t xml:space="preserve">.NET 10 is the active LTS baseline for this project; verify patch level before installation.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Architecture Recommendations</w:t>
      </w:r>
      <w:r w:rsidDel="00000000" w:rsidR="00000000" w:rsidRPr="00000000">
        <w:rPr>
          <w:rtl w:val="0"/>
        </w:rPr>
        <w:br w:type="textWrapping"/>
        <w:t xml:space="preserve">https://docs.flutter.dev/app-architecture/recommendations</w:t>
        <w:br w:type="textWrapping"/>
        <w:t xml:space="preserve">Official guidance for UI/data separation, repositories, ViewModels, dependency injection, immutable data, navigation and testing.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App Architecture Guide</w:t>
      </w:r>
      <w:r w:rsidDel="00000000" w:rsidR="00000000" w:rsidRPr="00000000">
        <w:rPr>
          <w:rtl w:val="0"/>
        </w:rPr>
        <w:br w:type="textWrapping"/>
        <w:t xml:space="preserve">https://docs.flutter.dev/app-architecture/guide</w:t>
        <w:br w:type="textWrapping"/>
        <w:t xml:space="preserve">Official architecture guide describing Views, ViewModels, repositories and services.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Supabase: Connect to Postgres</w:t>
      </w:r>
      <w:r w:rsidDel="00000000" w:rsidR="00000000" w:rsidRPr="00000000">
        <w:rPr>
          <w:rtl w:val="0"/>
        </w:rPr>
        <w:br w:type="textWrapping"/>
        <w:t xml:space="preserve">https://supabase.com/docs/guides/database/connecting-to-postgres</w:t>
        <w:br w:type="textWrapping"/>
        <w:t xml:space="preserve">Connection choices for persistent backends, direct connections and Supavisor pooling.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Automatic HTTPS</w:t>
      </w:r>
      <w:r w:rsidDel="00000000" w:rsidR="00000000" w:rsidRPr="00000000">
        <w:rPr>
          <w:rtl w:val="0"/>
        </w:rPr>
        <w:br w:type="textWrapping"/>
        <w:t xml:space="preserve">https://caddyserver.com/docs/automatic-https</w:t>
        <w:br w:type="textWrapping"/>
        <w:t xml:space="preserve">Automatic TLS certificate provisioning and HTTP-to-HTTPS redirection.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Reverse Proxy</w:t>
      </w:r>
      <w:r w:rsidDel="00000000" w:rsidR="00000000" w:rsidRPr="00000000">
        <w:rPr>
          <w:rtl w:val="0"/>
        </w:rPr>
        <w:br w:type="textWrapping"/>
        <w:t xml:space="preserve">https://caddyserver.com/docs/caddyfile/directives/reverse_proxy</w:t>
        <w:br w:type="textWrapping"/>
        <w:t xml:space="preserve">Reverse proxy behavior and upstream configuration.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Production</w:t>
      </w:r>
      <w:r w:rsidDel="00000000" w:rsidR="00000000" w:rsidRPr="00000000">
        <w:rPr>
          <w:rtl w:val="0"/>
        </w:rPr>
        <w:br w:type="textWrapping"/>
        <w:t xml:space="preserve">https://docs.docker.com/compose/how-tos/production/</w:t>
        <w:br w:type="textWrapping"/>
        <w:t xml:space="preserve">Production-oriented Compose differences and deployment guidance.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Secrets</w:t>
      </w:r>
      <w:r w:rsidDel="00000000" w:rsidR="00000000" w:rsidRPr="00000000">
        <w:rPr>
          <w:rtl w:val="0"/>
        </w:rPr>
        <w:br w:type="textWrapping"/>
        <w:t xml:space="preserve">https://docs.docker.com/compose/how-tos/use-secrets/</w:t>
        <w:br w:type="textWrapping"/>
        <w:t xml:space="preserve">Per-service secret mounting and guidance against embedding secrets in source.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ASVS</w:t>
      </w:r>
      <w:r w:rsidDel="00000000" w:rsidR="00000000" w:rsidRPr="00000000">
        <w:rPr>
          <w:rtl w:val="0"/>
        </w:rPr>
        <w:br w:type="textWrapping"/>
        <w:t xml:space="preserve">https://owasp.org/www-project-application-security-verification-standard/</w:t>
        <w:br w:type="textWrapping"/>
        <w:t xml:space="preserve">Application security requirements and verification baseline. Current stable ASVS listed by OWASP is 5.0.0.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API Security Top 10</w:t>
      </w:r>
      <w:r w:rsidDel="00000000" w:rsidR="00000000" w:rsidRPr="00000000">
        <w:rPr>
          <w:rtl w:val="0"/>
        </w:rPr>
        <w:br w:type="textWrapping"/>
        <w:t xml:space="preserve">https://owasp.org/API-Security/editions/2023/en/0x11-t10/</w:t>
        <w:br w:type="textWrapping"/>
        <w:t xml:space="preserve">API-specific security risks including broken object authorization, authentication and sensitive business flows.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MASVS</w:t>
      </w:r>
      <w:r w:rsidDel="00000000" w:rsidR="00000000" w:rsidRPr="00000000">
        <w:rPr>
          <w:rtl w:val="0"/>
        </w:rPr>
        <w:br w:type="textWrapping"/>
        <w:t xml:space="preserve">https://mas.owasp.org/MASVS/</w:t>
        <w:br w:type="textWrapping"/>
        <w:t xml:space="preserve">Mobile security verification controls for storage, cryptography, authentication, network, platform, code, resilience and privacy.</w:t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Change Log</w:t>
      </w:r>
    </w:p>
    <w:tbl>
      <w:tblPr>
        <w:tblStyle w:val="Table7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728"/>
        <w:gridCol w:w="6480"/>
        <w:gridCol w:w="1440"/>
        <w:tblGridChange w:id="0">
          <w:tblGrid>
            <w:gridCol w:w="1152"/>
            <w:gridCol w:w="1728"/>
            <w:gridCol w:w="64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Initial controlled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5"/>
        <w:szCs w:val="15"/>
        <w:u w:val="none"/>
        <w:shd w:fill="auto" w:val="clear"/>
        <w:vertAlign w:val="baseline"/>
        <w:rtl w:val="0"/>
      </w:rPr>
      <w:t xml:space="preserve">BL-API-003  |  Version 1.0  |  Internal Educational Project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83153"/>
        <w:sz w:val="16"/>
        <w:szCs w:val="16"/>
        <w:u w:val="none"/>
        <w:shd w:fill="auto" w:val="clear"/>
        <w:vertAlign w:val="baseline"/>
        <w:rtl w:val="0"/>
      </w:rPr>
      <w:t xml:space="preserve">BANKING LAB  |  BL-API-003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4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83153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d8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293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83153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styleId="SmallNote" w:customStyle="1">
    <w:name w:val="Small Note"/>
    <w:rPr>
      <w:rFonts w:ascii="Aptos" w:hAnsi="Aptos"/>
      <w:color w:val="667085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dBJc4zK03JQqIn55FgvONjoMw==">CgMxLjA4AHIhMVpQLXNYQThtTnJxaGRtU1ZBRWRyeDJOTGpPREVzS1hu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