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2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5d8a"/>
          <w:sz w:val="28"/>
          <w:szCs w:val="28"/>
          <w:rtl w:val="0"/>
        </w:rPr>
        <w:t xml:space="preserve">BANKING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83153"/>
          <w:sz w:val="50"/>
          <w:szCs w:val="50"/>
          <w:rtl w:val="0"/>
        </w:rPr>
        <w:t xml:space="preserve">Banking Features &amp; Domain Rules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667085"/>
          <w:sz w:val="21"/>
          <w:szCs w:val="21"/>
          <w:rtl w:val="0"/>
        </w:rPr>
        <w:t xml:space="preserve">Business behavior, state transitions, acceptance criteria and reusable feature contracts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Layout w:type="fixed"/>
        <w:tblLook w:val="0400"/>
      </w:tblPr>
      <w:tblGrid>
        <w:gridCol w:w="2448"/>
        <w:gridCol w:w="7200"/>
        <w:tblGridChange w:id="0">
          <w:tblGrid>
            <w:gridCol w:w="2448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BL-DOM-006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Approved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23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Internal / Educational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ea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Domain Rule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The client proposes actions. The backend domain decides whether they are valid. Domain rules must be testable without a Flutter screen or HTTP request.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Defines the business meaning of Banking Lab entities and features so UI, API, database and tests implement the same behavior.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1.1 In Scope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Customers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Accounts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Balances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Transfers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Beneficiaries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Transaction history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Limits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Audit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Scheduled transfers/savings extensions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1.2 Out of Scope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 bank product pricing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Interest/tax law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KYC/AML regulatory workflows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External payment rails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1.3 Prerequisites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BL-DATA-004 ledger concepts understood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BL-SEC-005 security policies available</w:t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4e5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Project Boundary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This handbook assumes a banking simulator using test data and fake money. It is not a compliance certification or authorization to operate a real financial institution.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2. Domain Glossary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7488"/>
        <w:tblGridChange w:id="0">
          <w:tblGrid>
            <w:gridCol w:w="2592"/>
            <w:gridCol w:w="7488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Business profile linked to an authenticated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Currency-specific logical balance container owned by a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Ledger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Accounting event grouping balanced ledger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Ledger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Signed posting against an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Business instruction to move value between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Available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Amount eligible for a new debit under current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Ledger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Balance derived from posted ledger entries.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Beneficiary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Saved recipient reference; not proof of authorization for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Idempotency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Identifier for one logical sensitive command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Audit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Security/business record of an actor performing/attempting an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3. Customer Rules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authenticated user maps to one primary lab customer unless a future multi-profile design is explicitly added.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Profile changes are validated and audited where security-relevant.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Disabling a customer prevents new sensitive operations but does not delete historical ledger/audit records.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4. Account Lifecycle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Pending -&gt; Active -&gt; Frozen -&gt; Closed</w:t>
        <w:br w:type="textWrapping"/>
        <w:t xml:space="preserve">              \--------&gt; Closed</w:t>
        <w:br w:type="textWrapping"/>
        <w:br w:type="textWrapping"/>
        <w:t xml:space="preserve">Only Active accounts may normally initiate transfers.</w:t>
        <w:br w:type="textWrapping"/>
        <w:t xml:space="preserve">Frozen accounts remain visible but cannot initiate debits.</w:t>
        <w:br w:type="textWrapping"/>
        <w:t xml:space="preserve">Closed accounts remain historically referencable.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5. Balance Definitions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Ledger balance = sum of posted ledger entries for the account/currency.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Available balance initially equals ledger balance minus active holds/reservations if holds are later added.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cached/materialized balance is an optimization, not the source of truth.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6. Transfer State Machine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Created -&gt; Validating -&gt; Posted -&gt; Completed</w:t>
        <w:br w:type="textWrapping"/>
        <w:t xml:space="preserve">   |          |           |</w:t>
        <w:br w:type="textWrapping"/>
        <w:t xml:space="preserve">   |          +---------&gt; Failed</w:t>
        <w:br w:type="textWrapping"/>
        <w:t xml:space="preserve">   +--------------------&gt; Cancelled (only before posting, if supported)</w:t>
        <w:br w:type="textWrapping"/>
        <w:br w:type="textWrapping"/>
        <w:t xml:space="preserve">Once ledger posting is committed, cancellation becomes a reversal/refund operation, not deletion.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7. Transfer Rules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 must be greater than zero.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 and destination must exist and be eligible.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 and destination cannot be the same account for a normal transfer.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Currency must match supported transfer rules; initial lab version allows same-currency internal transfer only.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Caller must be authorized for the source account.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 must have sufficient available balance.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logical transfer submission uses one idempotency key.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Ledger posting and transfer state commit atomically.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Receipt/reference number is stable once created.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8. Beneficiary Rules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beneficiary is a convenience record referencing a destination; it does not bypass destination validation.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Duplicate beneficiary handling should be deterministic.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Adding or editing a beneficiary may require step-up authentication in a later security phase.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cooldown may be introduced before high-value transfer to a newly added beneficiary.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9. Transaction History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 posted financial activity relevant to the authenticated customer's accounts.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History is paginated.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item includes stable reference, timestamp, direction, amount, currency, status/type and safe counterparty description.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Detail view never exposes another customer's private profile beyond the approved counterparty display fields.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10. Initial Lab Limits</w:t>
      </w:r>
    </w:p>
    <w:tbl>
      <w:tblPr>
        <w:tblStyle w:val="Table4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Simulation Values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Any amount/velocity limits in the lab are example policies, not recommendations for a real bank.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3600"/>
        <w:gridCol w:w="3888"/>
        <w:tblGridChange w:id="0">
          <w:tblGrid>
            <w:gridCol w:w="2592"/>
            <w:gridCol w:w="3600"/>
            <w:gridCol w:w="3888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 Initial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Enforced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Single transfer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&gt; PHP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Domain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Single transfer 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PHP 50,000 simulation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Domain/risk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Daily outgoing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PHP 100,000 simulation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Domain/risk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Transfer API 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10/minute/customer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API security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New beneficiary cooldown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Optional 30 minutes in advanced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Risk 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11. Notifications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Transfer completion/failure may create notification events through the outbox.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Notification delivery failure never changes committed ledger state.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Notifications contain minimal sensitive information.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12. Audit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Record login success/failure categories, security changes, transfer attempts/outcomes, admin actions and device/session events where implemented.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Audit event contains actor, action, target/reference, timestamp and trace ID.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Audit records are not editable by normal customers.</w:t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13. Admin Domain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 capabilities are separate policies, not a Boolean supplied by the client.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 lab actions: freeze/unfreeze account, inspect audit event, disable customer, review flagged transfer.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Every admin mutation requires an audit event and optional reason.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14. Feature Acceptance Matrix</w:t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8352"/>
        <w:tblGridChange w:id="0">
          <w:tblGrid>
            <w:gridCol w:w="2016"/>
            <w:gridCol w:w="835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Valid user can authenticate; invalid credentials do not reveal sensitive details; session lifecycle 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Customer sees only owned accounts and current derived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Valid transfer posts balanced ledger atomically; duplicate retry does not duplicate movement.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Paginated history contains only authorized 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Allowed fields update; privileged fields cannot be mass-assigned.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Sensitive actions create traceable audit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Committed transfer can emit notification without coupling delivery to ledger commit.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15. Advanced Reusable Features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Scheduled transfers implemented as future commands that still use the same transfer posting service.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Savings account can reuse Account + Ledger while adding product-specific withdrawal/interest rules.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Multiple currencies require explicit FX/exchange-rate domain objects; do not silently debit one currency and credit another without balanced multi-currency accounting design.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External bank transfers require a separate integration/settlement model and are outside initial scope.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Atomic Task Register</w:t>
      </w:r>
    </w:p>
    <w:tbl>
      <w:tblPr>
        <w:tblStyle w:val="Table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592"/>
        <w:gridCol w:w="3744"/>
        <w:gridCol w:w="2592"/>
        <w:tblGridChange w:id="0">
          <w:tblGrid>
            <w:gridCol w:w="1440"/>
            <w:gridCol w:w="2592"/>
            <w:gridCol w:w="3744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Define customer lifecycle.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Document enabled/disabled behavior.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Profile/security tests reflect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Define account states.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transition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Frozen/closed account debit tests fail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Money value object.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Validate amount/currency semantics.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Invalid money cannot enter 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balance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Derive from posted ledger entries.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Seed ledger produces expected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transfer aggregate/state.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Control valid state transitions.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Invalid transition throws/returns domain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transfer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Amount/currency/source/destination/funds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Unit tests cover each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beneficiary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duplicate/ownership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Customer sees only owned beneficiaries.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history contract.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Define safe fields and pagination.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API/mobile models match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limits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Keep limit policy replaceable.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Tests can inject different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notification domain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Emit after successful business event via outbox.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Notification failure cannot change ledger.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audit event contract.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Define required actor/action/target.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Sensitive actions create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Define admin policies.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Separate privileged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Customer role cannot execute admin domain command.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DOM-013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Document future extensions.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Scheduled transfer/savings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New features reuse existing primitives without modifying ledger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Microsoft .NET Support Policy</w:t>
      </w:r>
      <w:r w:rsidDel="00000000" w:rsidR="00000000" w:rsidRPr="00000000">
        <w:rPr>
          <w:rtl w:val="0"/>
        </w:rPr>
        <w:br w:type="textWrapping"/>
        <w:t xml:space="preserve">https://dotnet.microsoft.com/en-us/platform/support/policy</w:t>
        <w:br w:type="textWrapping"/>
        <w:t xml:space="preserve">.NET 10 is the active LTS baseline for this project; verify patch level before installation.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Architecture Recommendations</w:t>
      </w:r>
      <w:r w:rsidDel="00000000" w:rsidR="00000000" w:rsidRPr="00000000">
        <w:rPr>
          <w:rtl w:val="0"/>
        </w:rPr>
        <w:br w:type="textWrapping"/>
        <w:t xml:space="preserve">https://docs.flutter.dev/app-architecture/recommendations</w:t>
        <w:br w:type="textWrapping"/>
        <w:t xml:space="preserve">Official guidance for UI/data separation, repositories, ViewModels, dependency injection, immutable data, navigation and testing.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App Architecture Guide</w:t>
      </w:r>
      <w:r w:rsidDel="00000000" w:rsidR="00000000" w:rsidRPr="00000000">
        <w:rPr>
          <w:rtl w:val="0"/>
        </w:rPr>
        <w:br w:type="textWrapping"/>
        <w:t xml:space="preserve">https://docs.flutter.dev/app-architecture/guide</w:t>
        <w:br w:type="textWrapping"/>
        <w:t xml:space="preserve">Official architecture guide describing Views, ViewModels, repositories and services.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Supabase: Connect to Postgres</w:t>
      </w:r>
      <w:r w:rsidDel="00000000" w:rsidR="00000000" w:rsidRPr="00000000">
        <w:rPr>
          <w:rtl w:val="0"/>
        </w:rPr>
        <w:br w:type="textWrapping"/>
        <w:t xml:space="preserve">https://supabase.com/docs/guides/database/connecting-to-postgres</w:t>
        <w:br w:type="textWrapping"/>
        <w:t xml:space="preserve">Connection choices for persistent backends, direct connections and Supavisor pooling.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Automatic HTTPS</w:t>
      </w:r>
      <w:r w:rsidDel="00000000" w:rsidR="00000000" w:rsidRPr="00000000">
        <w:rPr>
          <w:rtl w:val="0"/>
        </w:rPr>
        <w:br w:type="textWrapping"/>
        <w:t xml:space="preserve">https://caddyserver.com/docs/automatic-https</w:t>
        <w:br w:type="textWrapping"/>
        <w:t xml:space="preserve">Automatic TLS certificate provisioning and HTTP-to-HTTPS redirection.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Reverse Proxy</w:t>
      </w:r>
      <w:r w:rsidDel="00000000" w:rsidR="00000000" w:rsidRPr="00000000">
        <w:rPr>
          <w:rtl w:val="0"/>
        </w:rPr>
        <w:br w:type="textWrapping"/>
        <w:t xml:space="preserve">https://caddyserver.com/docs/caddyfile/directives/reverse_proxy</w:t>
        <w:br w:type="textWrapping"/>
        <w:t xml:space="preserve">Reverse proxy behavior and upstream configuration.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Production</w:t>
      </w:r>
      <w:r w:rsidDel="00000000" w:rsidR="00000000" w:rsidRPr="00000000">
        <w:rPr>
          <w:rtl w:val="0"/>
        </w:rPr>
        <w:br w:type="textWrapping"/>
        <w:t xml:space="preserve">https://docs.docker.com/compose/how-tos/production/</w:t>
        <w:br w:type="textWrapping"/>
        <w:t xml:space="preserve">Production-oriented Compose differences and deployment guidance.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Secrets</w:t>
      </w:r>
      <w:r w:rsidDel="00000000" w:rsidR="00000000" w:rsidRPr="00000000">
        <w:rPr>
          <w:rtl w:val="0"/>
        </w:rPr>
        <w:br w:type="textWrapping"/>
        <w:t xml:space="preserve">https://docs.docker.com/compose/how-tos/use-secrets/</w:t>
        <w:br w:type="textWrapping"/>
        <w:t xml:space="preserve">Per-service secret mounting and guidance against embedding secrets in source.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ASVS</w:t>
      </w:r>
      <w:r w:rsidDel="00000000" w:rsidR="00000000" w:rsidRPr="00000000">
        <w:rPr>
          <w:rtl w:val="0"/>
        </w:rPr>
        <w:br w:type="textWrapping"/>
        <w:t xml:space="preserve">https://owasp.org/www-project-application-security-verification-standard/</w:t>
        <w:br w:type="textWrapping"/>
        <w:t xml:space="preserve">Application security requirements and verification baseline. Current stable ASVS listed by OWASP is 5.0.0.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API Security Top 10</w:t>
      </w:r>
      <w:r w:rsidDel="00000000" w:rsidR="00000000" w:rsidRPr="00000000">
        <w:rPr>
          <w:rtl w:val="0"/>
        </w:rPr>
        <w:br w:type="textWrapping"/>
        <w:t xml:space="preserve">https://owasp.org/API-Security/editions/2023/en/0x11-t10/</w:t>
        <w:br w:type="textWrapping"/>
        <w:t xml:space="preserve">API-specific security risks including broken object authorization, authentication and sensitive business flows.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MASVS</w:t>
      </w:r>
      <w:r w:rsidDel="00000000" w:rsidR="00000000" w:rsidRPr="00000000">
        <w:rPr>
          <w:rtl w:val="0"/>
        </w:rPr>
        <w:br w:type="textWrapping"/>
        <w:t xml:space="preserve">https://mas.owasp.org/MASVS/</w:t>
        <w:br w:type="textWrapping"/>
        <w:t xml:space="preserve">Mobile security verification controls for storage, cryptography, authentication, network, platform, code, resilience and privacy.</w:t>
      </w:r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Change Log</w:t>
      </w:r>
    </w:p>
    <w:tbl>
      <w:tblPr>
        <w:tblStyle w:val="Table8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1728"/>
        <w:gridCol w:w="6480"/>
        <w:gridCol w:w="1440"/>
        <w:tblGridChange w:id="0">
          <w:tblGrid>
            <w:gridCol w:w="1152"/>
            <w:gridCol w:w="1728"/>
            <w:gridCol w:w="648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23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Initial controlled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79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5"/>
        <w:szCs w:val="15"/>
        <w:u w:val="none"/>
        <w:shd w:fill="auto" w:val="clear"/>
        <w:vertAlign w:val="baseline"/>
        <w:rtl w:val="0"/>
      </w:rPr>
      <w:t xml:space="preserve">BL-DOM-006  |  Version 1.0  |  Internal Educational Project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83153"/>
        <w:sz w:val="16"/>
        <w:szCs w:val="16"/>
        <w:u w:val="none"/>
        <w:shd w:fill="auto" w:val="clear"/>
        <w:vertAlign w:val="baseline"/>
        <w:rtl w:val="0"/>
      </w:rPr>
      <w:t xml:space="preserve">BANKING LAB  |  BL-DOM-006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4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83153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d8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293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83153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00"/>
      <w:ind w:left="259" w:right="259"/>
    </w:pPr>
    <w:rPr>
      <w:rFonts w:ascii="Consolas" w:hAnsi="Consolas"/>
      <w:sz w:val="16"/>
    </w:rPr>
  </w:style>
  <w:style w:type="paragraph" w:styleId="SmallNote" w:customStyle="1">
    <w:name w:val="Small Note"/>
    <w:rPr>
      <w:rFonts w:ascii="Aptos" w:hAnsi="Aptos"/>
      <w:color w:val="667085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2k+MrDIcqzwjGKpPERHrgXMqg==">CgMxLjA4AHIhMVR3bHNuckhoV3R2Q2xRcGR4VHFMdlJOaC16OHBYQkd1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