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Aptos Display" w:hAnsi="Aptos Display"/>
          <w:b/>
          <w:color w:val="2F5D8A"/>
          <w:sz w:val="28"/>
        </w:rPr>
        <w:t>BANKING LAB</w:t>
      </w:r>
    </w:p>
    <w:p>
      <w:pPr>
        <w:jc w:val="center"/>
      </w:pPr>
      <w:r>
        <w:rPr>
          <w:rFonts w:ascii="Aptos Display" w:hAnsi="Aptos Display"/>
          <w:b/>
          <w:color w:val="183153"/>
          <w:sz w:val="50"/>
        </w:rPr>
        <w:t>CI/CD, Observability, Operations &amp; Incident Readiness Guide</w:t>
      </w:r>
    </w:p>
    <w:p>
      <w:pPr>
        <w:jc w:val="center"/>
      </w:pPr>
      <w:r>
        <w:rPr>
          <w:rFonts w:ascii="Aptos" w:hAnsi="Aptos"/>
          <w:b w:val="0"/>
          <w:color w:val="667085"/>
          <w:sz w:val="21"/>
        </w:rPr>
        <w:t>Build/test/security pipelines, telemetry, dashboards, alerts and incident discipline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Document ID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BL-CICD-009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Version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1.0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Status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Approved Baseline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Priority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P2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Date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23 August 2026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Classification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Internal / Educational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83153"/>
                <w:sz w:val="18"/>
              </w:rPr>
              <w:t>Operations Goal</w:t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Deployment should be boring, observable and reversible where possible. If every release feels like a ritual sacrifice to the server gods, the pipeline is not done.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Purpose and Scope</w:t>
      </w:r>
    </w:p>
    <w:p>
      <w:r>
        <w:t>Defines continuous integration/delivery gates, artifact versioning, security scans, telemetry, dashboards, alerts, release operations and incident response.</w:t>
      </w:r>
    </w:p>
    <w:p>
      <w:pPr>
        <w:pStyle w:val="Heading2"/>
      </w:pPr>
      <w:r>
        <w:t>1.1 In Scope</w:t>
      </w:r>
    </w:p>
    <w:p>
      <w:pPr>
        <w:pStyle w:val="ListBullet"/>
        <w:spacing w:after="44"/>
      </w:pPr>
      <w:r>
        <w:t>GitHub Actions</w:t>
      </w:r>
    </w:p>
    <w:p>
      <w:pPr>
        <w:pStyle w:val="ListBullet"/>
        <w:spacing w:after="44"/>
      </w:pPr>
      <w:r>
        <w:t>Build/test gates</w:t>
      </w:r>
    </w:p>
    <w:p>
      <w:pPr>
        <w:pStyle w:val="ListBullet"/>
        <w:spacing w:after="44"/>
      </w:pPr>
      <w:r>
        <w:t>Security scanning</w:t>
      </w:r>
    </w:p>
    <w:p>
      <w:pPr>
        <w:pStyle w:val="ListBullet"/>
        <w:spacing w:after="44"/>
      </w:pPr>
      <w:r>
        <w:t>Container registry</w:t>
      </w:r>
    </w:p>
    <w:p>
      <w:pPr>
        <w:pStyle w:val="ListBullet"/>
        <w:spacing w:after="44"/>
      </w:pPr>
      <w:r>
        <w:t>Deployment workflow</w:t>
      </w:r>
    </w:p>
    <w:p>
      <w:pPr>
        <w:pStyle w:val="ListBullet"/>
        <w:spacing w:after="44"/>
      </w:pPr>
      <w:r>
        <w:t>OpenTelemetry</w:t>
      </w:r>
    </w:p>
    <w:p>
      <w:pPr>
        <w:pStyle w:val="ListBullet"/>
        <w:spacing w:after="44"/>
      </w:pPr>
      <w:r>
        <w:t>Metrics/logs/traces</w:t>
      </w:r>
    </w:p>
    <w:p>
      <w:pPr>
        <w:pStyle w:val="ListBullet"/>
        <w:spacing w:after="44"/>
      </w:pPr>
      <w:r>
        <w:t>Health/alerts</w:t>
      </w:r>
    </w:p>
    <w:p>
      <w:pPr>
        <w:pStyle w:val="ListBullet"/>
        <w:spacing w:after="44"/>
      </w:pPr>
      <w:r>
        <w:t>Incident response</w:t>
      </w:r>
    </w:p>
    <w:p>
      <w:pPr>
        <w:pStyle w:val="ListBullet"/>
        <w:spacing w:after="44"/>
      </w:pPr>
      <w:r>
        <w:t>Post-incident review</w:t>
      </w:r>
    </w:p>
    <w:p>
      <w:pPr>
        <w:pStyle w:val="Heading2"/>
      </w:pPr>
      <w:r>
        <w:t>1.2 Out of Scope</w:t>
      </w:r>
    </w:p>
    <w:p>
      <w:pPr>
        <w:pStyle w:val="ListBullet"/>
        <w:spacing w:after="44"/>
      </w:pPr>
      <w:r>
        <w:t>24x7 production SOC</w:t>
      </w:r>
    </w:p>
    <w:p>
      <w:pPr>
        <w:pStyle w:val="ListBullet"/>
        <w:spacing w:after="44"/>
      </w:pPr>
      <w:r>
        <w:t>Enterprise SIEM procurement</w:t>
      </w:r>
    </w:p>
    <w:p>
      <w:pPr>
        <w:pStyle w:val="ListBullet"/>
        <w:spacing w:after="44"/>
      </w:pPr>
      <w:r>
        <w:t>Regulatory reporting</w:t>
      </w:r>
    </w:p>
    <w:p>
      <w:pPr>
        <w:pStyle w:val="Heading2"/>
      </w:pPr>
      <w:r>
        <w:t>1.3 Prerequisites</w:t>
      </w:r>
    </w:p>
    <w:p>
      <w:pPr>
        <w:pStyle w:val="ListBullet"/>
        <w:spacing w:after="44"/>
      </w:pPr>
      <w:r>
        <w:t>BL-QA-007 quality gates defined</w:t>
      </w:r>
    </w:p>
    <w:p>
      <w:pPr>
        <w:pStyle w:val="ListBullet"/>
        <w:spacing w:after="44"/>
      </w:pPr>
      <w:r>
        <w:t>BL-OPS-008 deployment runbook available</w:t>
      </w:r>
    </w:p>
    <w:p>
      <w:pPr>
        <w:pStyle w:val="ListBullet"/>
        <w:spacing w:after="44"/>
      </w:pPr>
      <w:r>
        <w:t>GitHub repository and registry access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83153"/>
                <w:sz w:val="18"/>
              </w:rPr>
              <w:t>Project Boundary</w:t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This handbook assumes a banking simulator using test data and fake money. It is not a compliance certification or authorization to operate a real financial institution.</w:t>
            </w:r>
          </w:p>
        </w:tc>
      </w:tr>
    </w:tbl>
    <w:p>
      <w:pPr>
        <w:spacing w:after="0"/>
      </w:pPr>
    </w:p>
    <w:p>
      <w:pPr>
        <w:pStyle w:val="Heading1"/>
      </w:pPr>
      <w:r>
        <w:t>2. Branch and Release Model</w:t>
      </w:r>
    </w:p>
    <w:p>
      <w:pPr>
        <w:pStyle w:val="ListBullet"/>
        <w:spacing w:after="44"/>
      </w:pPr>
      <w:r>
        <w:t>Use short-lived feature branches or trunk-based development with pull requests.</w:t>
      </w:r>
    </w:p>
    <w:p>
      <w:pPr>
        <w:pStyle w:val="ListBullet"/>
        <w:spacing w:after="44"/>
      </w:pPr>
      <w:r>
        <w:t>`main` must remain releasable.</w:t>
      </w:r>
    </w:p>
    <w:p>
      <w:pPr>
        <w:pStyle w:val="ListBullet"/>
        <w:spacing w:after="44"/>
      </w:pPr>
      <w:r>
        <w:t>Tag deployable releases such as `v0.1.0` and immutable container tags/digests.</w:t>
      </w:r>
    </w:p>
    <w:p>
      <w:pPr>
        <w:pStyle w:val="ListBullet"/>
        <w:spacing w:after="44"/>
      </w:pPr>
      <w:r>
        <w:t>Never deploy an untracked local build to staging as the official artifact.</w:t>
      </w:r>
    </w:p>
    <w:p>
      <w:pPr>
        <w:pStyle w:val="Heading1"/>
      </w:pPr>
      <w:r>
        <w:t>3. CI Pipeline</w:t>
      </w:r>
    </w:p>
    <w:p>
      <w:pPr>
        <w:pStyle w:val="CodeBlock"/>
      </w:pPr>
      <w:r>
        <w:t>Pull Request</w:t>
        <w:br/>
        <w:t xml:space="preserve">  -&gt; restore dependencies</w:t>
        <w:br/>
        <w:t xml:space="preserve">  -&gt; format/lint/analyze</w:t>
        <w:br/>
        <w:t xml:space="preserve">  -&gt; build backend/mobile</w:t>
        <w:br/>
        <w:t xml:space="preserve">  -&gt; unit tests</w:t>
        <w:br/>
        <w:t xml:space="preserve">  -&gt; integration/API tests</w:t>
        <w:br/>
        <w:t xml:space="preserve">  -&gt; Flutter tests</w:t>
        <w:br/>
        <w:t xml:space="preserve">  -&gt; OpenAPI generation</w:t>
        <w:br/>
        <w:t xml:space="preserve">  -&gt; security scans</w:t>
        <w:br/>
        <w:t xml:space="preserve">  -&gt; container build</w:t>
        <w:br/>
        <w:t xml:space="preserve">  -&gt; artifact/report publication</w:t>
      </w:r>
    </w:p>
    <w:p>
      <w:pPr>
        <w:pStyle w:val="Heading1"/>
      </w:pPr>
      <w:r>
        <w:t>4. Suggested GitHub Actions Jobs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tblHeader w:val="true"/>
        </w:trPr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Job</w:t>
            </w:r>
          </w:p>
        </w:tc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Primary Commands/Checks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backend-build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dotnet restore, dotnet build -c Release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backend-test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dotnet test incl. unit/integration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flutter-quality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flutter pub get, flutter analyze, flutter test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openapi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generate/validate API schema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codeql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static code security analysis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secret-scan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Gitleaks or equivalent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dependency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Dependabot alerts / dependency review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container-scan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Trivy or equivalent on built image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image-publish</w:t>
            </w:r>
          </w:p>
        </w:tc>
        <w:tc>
          <w:tcPr>
            <w:tcW w:type="dxa" w:w="7776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Push immutable image after protected branch/tag gates</w:t>
            </w:r>
          </w:p>
        </w:tc>
      </w:tr>
    </w:tbl>
    <w:p>
      <w:pPr>
        <w:pStyle w:val="Heading1"/>
      </w:pPr>
      <w:r>
        <w:t>5. Security Gate Behavior</w:t>
      </w:r>
    </w:p>
    <w:p>
      <w:pPr>
        <w:pStyle w:val="ListBullet"/>
        <w:spacing w:after="44"/>
      </w:pPr>
      <w:r>
        <w:t>Critical secret leaks block immediately.</w:t>
      </w:r>
    </w:p>
    <w:p>
      <w:pPr>
        <w:pStyle w:val="ListBullet"/>
        <w:spacing w:after="44"/>
      </w:pPr>
      <w:r>
        <w:t>Critical/high dependency/container findings are reviewed before promotion.</w:t>
      </w:r>
    </w:p>
    <w:p>
      <w:pPr>
        <w:pStyle w:val="ListBullet"/>
        <w:spacing w:after="44"/>
      </w:pPr>
      <w:r>
        <w:t>Do not suppress a finding merely to make the pipeline green; document false-positive evidence.</w:t>
      </w:r>
    </w:p>
    <w:p>
      <w:pPr>
        <w:pStyle w:val="ListBullet"/>
        <w:spacing w:after="44"/>
      </w:pPr>
      <w:r>
        <w:t>Scan results are artifacts of the release.</w:t>
      </w:r>
    </w:p>
    <w:p>
      <w:pPr>
        <w:pStyle w:val="Heading1"/>
      </w:pPr>
      <w:r>
        <w:t>6. Deployment Promotion</w:t>
      </w:r>
    </w:p>
    <w:p>
      <w:pPr>
        <w:pStyle w:val="CodeBlock"/>
      </w:pPr>
      <w:r>
        <w:t>Commit/PR -&gt; CI green</w:t>
        <w:br/>
        <w:t xml:space="preserve">          |</w:t>
        <w:br/>
        <w:t xml:space="preserve">          v</w:t>
        <w:br/>
        <w:t xml:space="preserve">      merge main</w:t>
        <w:br/>
        <w:t xml:space="preserve">          |</w:t>
        <w:br/>
        <w:t xml:space="preserve">          v</w:t>
        <w:br/>
        <w:t xml:space="preserve"> tagged container image</w:t>
        <w:br/>
        <w:t xml:space="preserve">          |</w:t>
        <w:br/>
        <w:t xml:space="preserve">          v</w:t>
        <w:br/>
        <w:t xml:space="preserve">        staging</w:t>
        <w:br/>
        <w:t xml:space="preserve">    migration + smoke</w:t>
        <w:br/>
        <w:t xml:space="preserve">          |</w:t>
        <w:br/>
        <w:t xml:space="preserve">          v</w:t>
        <w:br/>
        <w:t xml:space="preserve">  approved production-like</w:t>
        <w:br/>
        <w:t xml:space="preserve"> deployment using same image</w:t>
      </w:r>
    </w:p>
    <w:p>
      <w:pPr>
        <w:pStyle w:val="ListBullet"/>
        <w:spacing w:after="44"/>
      </w:pPr>
      <w:r>
        <w:t>Build once, promote the same image. Avoid rebuilding different binaries for each environment.</w:t>
      </w:r>
    </w:p>
    <w:p>
      <w:pPr>
        <w:pStyle w:val="Heading1"/>
      </w:pPr>
      <w:r>
        <w:t>7. OpenTelemetry Baseline</w:t>
      </w:r>
    </w:p>
    <w:p>
      <w:pPr>
        <w:pStyle w:val="ListBullet"/>
        <w:spacing w:after="44"/>
      </w:pPr>
      <w:r>
        <w:t>Instrument ASP.NET inbound HTTP requests.</w:t>
      </w:r>
    </w:p>
    <w:p>
      <w:pPr>
        <w:pStyle w:val="ListBullet"/>
        <w:spacing w:after="44"/>
      </w:pPr>
      <w:r>
        <w:t>Instrument Npgsql/EF database calls with appropriate privacy controls.</w:t>
      </w:r>
    </w:p>
    <w:p>
      <w:pPr>
        <w:pStyle w:val="ListBullet"/>
        <w:spacing w:after="44"/>
      </w:pPr>
      <w:r>
        <w:t>Create custom spans around transfer validation/posting and outbox processing.</w:t>
      </w:r>
    </w:p>
    <w:p>
      <w:pPr>
        <w:pStyle w:val="ListBullet"/>
        <w:spacing w:after="44"/>
      </w:pPr>
      <w:r>
        <w:t>Export metrics/traces through OpenTelemetry Collector where introduced.</w:t>
      </w:r>
    </w:p>
    <w:p>
      <w:pPr>
        <w:pStyle w:val="ListBullet"/>
        <w:spacing w:after="44"/>
      </w:pPr>
      <w:r>
        <w:t>Correlate structured logs with trace IDs.</w:t>
      </w:r>
    </w:p>
    <w:p>
      <w:pPr>
        <w:pStyle w:val="Heading1"/>
      </w:pPr>
      <w:r>
        <w:t>8. Minimum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Why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HTTP request count/rate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Traffic baseline.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HTTP latency p50/p95/p99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Performance/regression.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5xx error rate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Reliability.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401/403/429 counts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Security/auth/abuse signals.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DB connection pool usage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Capacity and leaks.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DB query duration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Database bottlenecks.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Transfer success/failure count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Critical business flow health.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Outbox backlog age/count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Async delivery problems.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Container CPU/memory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Resource saturation.</w:t>
            </w:r>
          </w:p>
        </w:tc>
      </w:tr>
      <w:tr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Readiness state</w:t>
            </w:r>
          </w:p>
        </w:tc>
        <w:tc>
          <w:tcPr>
            <w:tcW w:type="dxa" w:w="691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Deployment/dependency health.</w:t>
            </w:r>
          </w:p>
        </w:tc>
      </w:tr>
    </w:tbl>
    <w:p>
      <w:pPr>
        <w:pStyle w:val="Heading1"/>
      </w:pPr>
      <w:r>
        <w:t>9. Logging Standard</w:t>
      </w:r>
    </w:p>
    <w:p>
      <w:pPr>
        <w:pStyle w:val="ListBullet"/>
        <w:spacing w:after="44"/>
      </w:pPr>
      <w:r>
        <w:t>JSON/structured logs in production-like environments.</w:t>
      </w:r>
    </w:p>
    <w:p>
      <w:pPr>
        <w:pStyle w:val="ListBullet"/>
        <w:spacing w:after="44"/>
      </w:pPr>
      <w:r>
        <w:t>Fields: timestamp, level, service, environment, trace_id, event name, safe actor/reference, status, duration.</w:t>
      </w:r>
    </w:p>
    <w:p>
      <w:pPr>
        <w:pStyle w:val="ListBullet"/>
        <w:spacing w:after="44"/>
      </w:pPr>
      <w:r>
        <w:t>No passwords, tokens, keys or sensitive body dumps.</w:t>
      </w:r>
    </w:p>
    <w:p>
      <w:pPr>
        <w:pStyle w:val="ListBullet"/>
        <w:spacing w:after="44"/>
      </w:pPr>
      <w:r>
        <w:t>Retention is finite and appropriate to the learning environment.</w:t>
      </w:r>
    </w:p>
    <w:p>
      <w:pPr>
        <w:pStyle w:val="Heading1"/>
      </w:pPr>
      <w:r>
        <w:t>10. Dashboard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 w:val="true"/>
        </w:trPr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Dashboard</w:t>
            </w:r>
          </w:p>
        </w:tc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Panels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API Overview</w:t>
            </w:r>
          </w:p>
        </w:tc>
        <w:tc>
          <w:tcPr>
            <w:tcW w:type="dxa" w:w="763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Request rate, p95 latency, 5xx, 401/403/429, CPU/memory.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Transfers</w:t>
            </w:r>
          </w:p>
        </w:tc>
        <w:tc>
          <w:tcPr>
            <w:tcW w:type="dxa" w:w="763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Created/completed/failed, posting duration, idempotent replays, business failures.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Database</w:t>
            </w:r>
          </w:p>
        </w:tc>
        <w:tc>
          <w:tcPr>
            <w:tcW w:type="dxa" w:w="763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Connections, query latency, errors, storage trend.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Security</w:t>
            </w:r>
          </w:p>
        </w:tc>
        <w:tc>
          <w:tcPr>
            <w:tcW w:type="dxa" w:w="763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Login failures, rate-limit hits, refresh reuse detections, admin actions.</w:t>
            </w:r>
          </w:p>
        </w:tc>
      </w:tr>
      <w:tr>
        <w:tc>
          <w:tcPr>
            <w:tcW w:type="dxa" w:w="24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Deployment</w:t>
            </w:r>
          </w:p>
        </w:tc>
        <w:tc>
          <w:tcPr>
            <w:tcW w:type="dxa" w:w="763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Version, uptime, readiness, recent error rate.</w:t>
            </w:r>
          </w:p>
        </w:tc>
      </w:tr>
    </w:tbl>
    <w:p>
      <w:pPr>
        <w:pStyle w:val="Heading1"/>
      </w:pPr>
      <w:r>
        <w:t>11. Initial Alert Ideas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83153"/>
                <w:sz w:val="18"/>
              </w:rPr>
              <w:t>Learning Thresholds</w:t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These are starting points for a simulator. Tune from observed baselines; real bank alert thresholds require far more engineering.</w:t>
            </w:r>
          </w:p>
        </w:tc>
      </w:tr>
    </w:tbl>
    <w:p>
      <w:pPr>
        <w:spacing w:after="0"/>
      </w:pPr>
    </w:p>
    <w:p>
      <w:pPr>
        <w:pStyle w:val="ListBullet"/>
        <w:spacing w:after="44"/>
      </w:pPr>
      <w:r>
        <w:t>Readiness fails for more than 2-5 minutes.</w:t>
      </w:r>
    </w:p>
    <w:p>
      <w:pPr>
        <w:pStyle w:val="ListBullet"/>
        <w:spacing w:after="44"/>
      </w:pPr>
      <w:r>
        <w:t>5xx error rate exceeds a chosen baseline for 5 minutes.</w:t>
      </w:r>
    </w:p>
    <w:p>
      <w:pPr>
        <w:pStyle w:val="ListBullet"/>
        <w:spacing w:after="44"/>
      </w:pPr>
      <w:r>
        <w:t>Transfer failure rate suddenly deviates from normal.</w:t>
      </w:r>
    </w:p>
    <w:p>
      <w:pPr>
        <w:pStyle w:val="ListBullet"/>
        <w:spacing w:after="44"/>
      </w:pPr>
      <w:r>
        <w:t>Database connection pool approaches exhaustion.</w:t>
      </w:r>
    </w:p>
    <w:p>
      <w:pPr>
        <w:pStyle w:val="ListBullet"/>
        <w:spacing w:after="44"/>
      </w:pPr>
      <w:r>
        <w:t>Outbox backlog grows beyond threshold.</w:t>
      </w:r>
    </w:p>
    <w:p>
      <w:pPr>
        <w:pStyle w:val="ListBullet"/>
        <w:spacing w:after="44"/>
      </w:pPr>
      <w:r>
        <w:t>Repeated refresh-token reuse detection occurs.</w:t>
      </w:r>
    </w:p>
    <w:p>
      <w:pPr>
        <w:pStyle w:val="ListBullet"/>
        <w:spacing w:after="44"/>
      </w:pPr>
      <w:r>
        <w:t>Disk/resource usage approaches capacity.</w:t>
      </w:r>
    </w:p>
    <w:p>
      <w:pPr>
        <w:pStyle w:val="Heading1"/>
      </w:pPr>
      <w:r>
        <w:t>12. Incident Severity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880"/>
      </w:tblGrid>
      <w:tr>
        <w:trPr>
          <w:tblHeader w:val="true"/>
        </w:trPr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Immediate Action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SEV-1</w:t>
            </w:r>
          </w:p>
        </w:tc>
        <w:tc>
          <w:tcPr>
            <w:tcW w:type="dxa" w:w="60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Data corruption, auth bypass, secret compromise, duplicate/incorrect ledger movement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Stop harmful flow, preserve evidence, contain, escalate.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SEV-2</w:t>
            </w:r>
          </w:p>
        </w:tc>
        <w:tc>
          <w:tcPr>
            <w:tcW w:type="dxa" w:w="60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Major outage or widespread failed transfers without data corruption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Stabilize service, rollback/fix, communicate internally.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SEV-3</w:t>
            </w:r>
          </w:p>
        </w:tc>
        <w:tc>
          <w:tcPr>
            <w:tcW w:type="dxa" w:w="60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Partial degradation or limited feature outage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Investigate and schedule fix.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SEV-4</w:t>
            </w:r>
          </w:p>
        </w:tc>
        <w:tc>
          <w:tcPr>
            <w:tcW w:type="dxa" w:w="604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Minor operational issue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Normal backlog.</w:t>
            </w:r>
          </w:p>
        </w:tc>
      </w:tr>
    </w:tbl>
    <w:p>
      <w:pPr>
        <w:pStyle w:val="Heading1"/>
      </w:pPr>
      <w:r>
        <w:t>13. Incident Workflow</w:t>
      </w:r>
    </w:p>
    <w:p>
      <w:pPr>
        <w:pStyle w:val="ListNumber"/>
        <w:spacing w:after="56"/>
      </w:pPr>
      <w:r>
        <w:t>Detect and assign incident lead.</w:t>
      </w:r>
    </w:p>
    <w:p>
      <w:pPr>
        <w:pStyle w:val="ListNumber"/>
        <w:spacing w:after="56"/>
      </w:pPr>
      <w:r>
        <w:t>Classify severity and affected environment.</w:t>
      </w:r>
    </w:p>
    <w:p>
      <w:pPr>
        <w:pStyle w:val="ListNumber"/>
        <w:spacing w:after="56"/>
      </w:pPr>
      <w:r>
        <w:t>Preserve logs/traces/database evidence; do not destroy evidence in panic.</w:t>
      </w:r>
    </w:p>
    <w:p>
      <w:pPr>
        <w:pStyle w:val="ListNumber"/>
        <w:spacing w:after="56"/>
      </w:pPr>
      <w:r>
        <w:t>Contain: disable risky endpoint/feature, revoke credentials, rollback compatible version, or isolate dependency as appropriate.</w:t>
      </w:r>
    </w:p>
    <w:p>
      <w:pPr>
        <w:pStyle w:val="ListNumber"/>
        <w:spacing w:after="56"/>
      </w:pPr>
      <w:r>
        <w:t>Restore service/data integrity.</w:t>
      </w:r>
    </w:p>
    <w:p>
      <w:pPr>
        <w:pStyle w:val="ListNumber"/>
        <w:spacing w:after="56"/>
      </w:pPr>
      <w:r>
        <w:t>Verify critical journey and ledger consistency.</w:t>
      </w:r>
    </w:p>
    <w:p>
      <w:pPr>
        <w:pStyle w:val="ListNumber"/>
        <w:spacing w:after="56"/>
      </w:pPr>
      <w:r>
        <w:t>Record timeline, root cause, contributing factors and corrective actions.</w:t>
      </w:r>
    </w:p>
    <w:p>
      <w:pPr>
        <w:pStyle w:val="ListNumber"/>
        <w:spacing w:after="56"/>
      </w:pPr>
      <w:r>
        <w:t>Rotate compromised secrets and invalidate sessions when required.</w:t>
      </w:r>
    </w:p>
    <w:p>
      <w:pPr>
        <w:pStyle w:val="ListNumber"/>
        <w:spacing w:after="56"/>
      </w:pPr>
      <w:r>
        <w:t>Create post-incident tasks with owners.</w:t>
      </w:r>
    </w:p>
    <w:p>
      <w:pPr>
        <w:pStyle w:val="Heading1"/>
      </w:pPr>
      <w:r>
        <w:t>14. Post-Incident Review Template</w:t>
      </w:r>
    </w:p>
    <w:p>
      <w:pPr>
        <w:pStyle w:val="ListBullet"/>
        <w:spacing w:after="44"/>
      </w:pPr>
      <w:r>
        <w:t>Impact and duration.</w:t>
      </w:r>
    </w:p>
    <w:p>
      <w:pPr>
        <w:pStyle w:val="ListBullet"/>
        <w:spacing w:after="44"/>
      </w:pPr>
      <w:r>
        <w:t>Detection method.</w:t>
      </w:r>
    </w:p>
    <w:p>
      <w:pPr>
        <w:pStyle w:val="ListBullet"/>
        <w:spacing w:after="44"/>
      </w:pPr>
      <w:r>
        <w:t>Timeline.</w:t>
      </w:r>
    </w:p>
    <w:p>
      <w:pPr>
        <w:pStyle w:val="ListBullet"/>
        <w:spacing w:after="44"/>
      </w:pPr>
      <w:r>
        <w:t>Technical root cause.</w:t>
      </w:r>
    </w:p>
    <w:p>
      <w:pPr>
        <w:pStyle w:val="ListBullet"/>
        <w:spacing w:after="44"/>
      </w:pPr>
      <w:r>
        <w:t>Why existing controls/tests did not prevent/detect sooner.</w:t>
      </w:r>
    </w:p>
    <w:p>
      <w:pPr>
        <w:pStyle w:val="ListBullet"/>
        <w:spacing w:after="44"/>
      </w:pPr>
      <w:r>
        <w:t>Data/security impact.</w:t>
      </w:r>
    </w:p>
    <w:p>
      <w:pPr>
        <w:pStyle w:val="ListBullet"/>
        <w:spacing w:after="44"/>
      </w:pPr>
      <w:r>
        <w:t>Recovery actions.</w:t>
      </w:r>
    </w:p>
    <w:p>
      <w:pPr>
        <w:pStyle w:val="ListBullet"/>
        <w:spacing w:after="44"/>
      </w:pPr>
      <w:r>
        <w:t>Permanent corrective actions.</w:t>
      </w:r>
    </w:p>
    <w:p>
      <w:pPr>
        <w:pStyle w:val="ListBullet"/>
        <w:spacing w:after="44"/>
      </w:pPr>
      <w:r>
        <w:t>Documentation/test changes.</w:t>
      </w:r>
    </w:p>
    <w:p>
      <w:pPr>
        <w:pStyle w:val="Heading1"/>
      </w:pPr>
      <w:r>
        <w:t>15. Maintenance Cadence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tblHeader w:val="true"/>
        </w:trPr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Cadence</w:t>
            </w:r>
          </w:p>
        </w:tc>
        <w:tc>
          <w:tcPr>
            <w:tcW w:type="dxa" w:w="5083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Activity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Per PR</w:t>
            </w:r>
          </w:p>
        </w:tc>
        <w:tc>
          <w:tcPr>
            <w:tcW w:type="dxa" w:w="748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Build, tests, security scans, architecture checks.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Per release</w:t>
            </w:r>
          </w:p>
        </w:tc>
        <w:tc>
          <w:tcPr>
            <w:tcW w:type="dxa" w:w="748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Migration review, smoke, scans, deployment record.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Weekly during active build</w:t>
            </w:r>
          </w:p>
        </w:tc>
        <w:tc>
          <w:tcPr>
            <w:tcW w:type="dxa" w:w="748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Dependency/security alert review.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Monthly</w:t>
            </w:r>
          </w:p>
        </w:tc>
        <w:tc>
          <w:tcPr>
            <w:tcW w:type="dxa" w:w="748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Restore drill or selected operational exercise; dashboard/alert review.</w:t>
            </w:r>
          </w:p>
        </w:tc>
      </w:tr>
      <w:tr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Quarterly for extended project</w:t>
            </w:r>
          </w:p>
        </w:tc>
        <w:tc>
          <w:tcPr>
            <w:tcW w:type="dxa" w:w="748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Threat model and architecture review; credential/secret inventory.</w:t>
            </w:r>
          </w:p>
        </w:tc>
      </w:tr>
    </w:tbl>
    <w:p>
      <w:pPr>
        <w:pStyle w:val="Heading2"/>
      </w:pPr>
      <w:r>
        <w:t>Atomic Task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3744"/>
        <w:gridCol w:w="2592"/>
      </w:tblGrid>
      <w:tr>
        <w:trPr>
          <w:tblHeader w:val="true"/>
        </w:trPr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Task ID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Objective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Verification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CICD-001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PR CI workflow.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Build/test backend and Flutter.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PR cannot merge with failing required checks.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CICD-002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integration DB service/Testcontainers.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Run real DB tests in CI.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Ledger tests pass in clean runner.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CICD-003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OpenAPI generation.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Publish/validate schema artifact.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Contract changes are reviewable.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CICD-004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secret scanning.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Configure Gitleaks/equivalent.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Committed test secret causes job failure.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CICD-005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CodeQL/security analysis.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Scan supported languages.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Results appear in security workflow.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CICD-006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dependency review.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Enable alerts/PR review.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Risky dependency change is visible.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CICD-007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container scan.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Scan built runtime image.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Critical image finding blocks promotion by policy.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CICD-008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Publish immutable image.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Tag with version/commit digest.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Same image can be promoted.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CICD-009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staging deployment workflow.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Run migration + deploy + health/smoke.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Deployment record produced.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CICD-010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OpenTelemetry.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Emit traces/metrics/log correlation.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One request visible end-to-end.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CICD-011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dashboards.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API/transfer/DB/security/deploy views.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Key signals visible without log spelunking.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CICD-012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alerts.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Define readiness/error/capacity rules.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Test alert fires in controlled exercise.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CICD-013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Run incident game day.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Simulate API failure/secret rotation or DB outage.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Team follows documented workflow.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CICD-014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Write post-incident review.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Use template after exercise.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Corrective tasks feed backlog/docs/tests.</w:t>
            </w:r>
          </w:p>
        </w:tc>
      </w:tr>
    </w:tbl>
    <w:p>
      <w:pPr>
        <w:pStyle w:val="Heading2"/>
      </w:pPr>
      <w:r>
        <w:t>Troubleshooting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168"/>
        <w:gridCol w:w="4320"/>
      </w:tblGrid>
      <w:tr>
        <w:trPr>
          <w:tblHeader w:val="true"/>
        </w:trPr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Likely Cause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Resolution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CI passes locally but fails in runner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Undeclared environment dependency/timezone/path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Make dependencies explicit and use deterministic configuration.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Security scanner floods low-value findings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No severity/policy tuning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Define triage rules, suppress only documented false positives.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Tracing has broken request chains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Trace context not propagated through HTTP/background work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Configure instrumentation and carry correlation metadata through outbox jobs.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Dashboard says healthy while users fail transfers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Only infrastructure metrics are monitored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Add business-flow metrics and synthetic smoke checks.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Rollback deploys but app cannot start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DB migration is not backward compatible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Use backward-compatible migrations/expand-contract patterns or forward-fix.</w:t>
            </w:r>
          </w:p>
        </w:tc>
      </w:tr>
    </w:tbl>
    <w:p>
      <w:pPr>
        <w:pStyle w:val="Heading1"/>
      </w:pPr>
      <w:r>
        <w:t>References</w:t>
      </w:r>
    </w:p>
    <w:p>
      <w:r>
        <w:rPr>
          <w:rFonts w:ascii="Aptos" w:hAnsi="Aptos"/>
          <w:b/>
          <w:color w:val="183153"/>
          <w:sz w:val="17"/>
        </w:rPr>
        <w:t>Microsoft .NET Support Policy</w:t>
      </w:r>
      <w:r>
        <w:br/>
        <w:t>https://dotnet.microsoft.com/en-us/platform/support/policy</w:t>
        <w:br/>
        <w:t>.NET 10 is the active LTS baseline for this project; verify patch level before installation.</w:t>
      </w:r>
    </w:p>
    <w:p>
      <w:r>
        <w:rPr>
          <w:rFonts w:ascii="Aptos" w:hAnsi="Aptos"/>
          <w:b/>
          <w:color w:val="183153"/>
          <w:sz w:val="17"/>
        </w:rPr>
        <w:t>Flutter Architecture Recommendations</w:t>
      </w:r>
      <w:r>
        <w:br/>
        <w:t>https://docs.flutter.dev/app-architecture/recommendations</w:t>
        <w:br/>
        <w:t>Official guidance for UI/data separation, repositories, ViewModels, dependency injection, immutable data, navigation and testing.</w:t>
      </w:r>
    </w:p>
    <w:p>
      <w:r>
        <w:rPr>
          <w:rFonts w:ascii="Aptos" w:hAnsi="Aptos"/>
          <w:b/>
          <w:color w:val="183153"/>
          <w:sz w:val="17"/>
        </w:rPr>
        <w:t>Flutter App Architecture Guide</w:t>
      </w:r>
      <w:r>
        <w:br/>
        <w:t>https://docs.flutter.dev/app-architecture/guide</w:t>
        <w:br/>
        <w:t>Official architecture guide describing Views, ViewModels, repositories and services.</w:t>
      </w:r>
    </w:p>
    <w:p>
      <w:r>
        <w:rPr>
          <w:rFonts w:ascii="Aptos" w:hAnsi="Aptos"/>
          <w:b/>
          <w:color w:val="183153"/>
          <w:sz w:val="17"/>
        </w:rPr>
        <w:t>Supabase: Connect to Postgres</w:t>
      </w:r>
      <w:r>
        <w:br/>
        <w:t>https://supabase.com/docs/guides/database/connecting-to-postgres</w:t>
        <w:br/>
        <w:t>Connection choices for persistent backends, direct connections and Supavisor pooling.</w:t>
      </w:r>
    </w:p>
    <w:p>
      <w:r>
        <w:rPr>
          <w:rFonts w:ascii="Aptos" w:hAnsi="Aptos"/>
          <w:b/>
          <w:color w:val="183153"/>
          <w:sz w:val="17"/>
        </w:rPr>
        <w:t>Caddy Automatic HTTPS</w:t>
      </w:r>
      <w:r>
        <w:br/>
        <w:t>https://caddyserver.com/docs/automatic-https</w:t>
        <w:br/>
        <w:t>Automatic TLS certificate provisioning and HTTP-to-HTTPS redirection.</w:t>
      </w:r>
    </w:p>
    <w:p>
      <w:r>
        <w:rPr>
          <w:rFonts w:ascii="Aptos" w:hAnsi="Aptos"/>
          <w:b/>
          <w:color w:val="183153"/>
          <w:sz w:val="17"/>
        </w:rPr>
        <w:t>Caddy Reverse Proxy</w:t>
      </w:r>
      <w:r>
        <w:br/>
        <w:t>https://caddyserver.com/docs/caddyfile/directives/reverse_proxy</w:t>
        <w:br/>
        <w:t>Reverse proxy behavior and upstream configuration.</w:t>
      </w:r>
    </w:p>
    <w:p>
      <w:r>
        <w:rPr>
          <w:rFonts w:ascii="Aptos" w:hAnsi="Aptos"/>
          <w:b/>
          <w:color w:val="183153"/>
          <w:sz w:val="17"/>
        </w:rPr>
        <w:t>Docker Compose Production</w:t>
      </w:r>
      <w:r>
        <w:br/>
        <w:t>https://docs.docker.com/compose/how-tos/production/</w:t>
        <w:br/>
        <w:t>Production-oriented Compose differences and deployment guidance.</w:t>
      </w:r>
    </w:p>
    <w:p>
      <w:r>
        <w:rPr>
          <w:rFonts w:ascii="Aptos" w:hAnsi="Aptos"/>
          <w:b/>
          <w:color w:val="183153"/>
          <w:sz w:val="17"/>
        </w:rPr>
        <w:t>Docker Compose Secrets</w:t>
      </w:r>
      <w:r>
        <w:br/>
        <w:t>https://docs.docker.com/compose/how-tos/use-secrets/</w:t>
        <w:br/>
        <w:t>Per-service secret mounting and guidance against embedding secrets in source.</w:t>
      </w:r>
    </w:p>
    <w:p>
      <w:r>
        <w:rPr>
          <w:rFonts w:ascii="Aptos" w:hAnsi="Aptos"/>
          <w:b/>
          <w:color w:val="183153"/>
          <w:sz w:val="17"/>
        </w:rPr>
        <w:t>OWASP ASVS</w:t>
      </w:r>
      <w:r>
        <w:br/>
        <w:t>https://owasp.org/www-project-application-security-verification-standard/</w:t>
        <w:br/>
        <w:t>Application security requirements and verification baseline. Current stable ASVS listed by OWASP is 5.0.0.</w:t>
      </w:r>
    </w:p>
    <w:p>
      <w:r>
        <w:rPr>
          <w:rFonts w:ascii="Aptos" w:hAnsi="Aptos"/>
          <w:b/>
          <w:color w:val="183153"/>
          <w:sz w:val="17"/>
        </w:rPr>
        <w:t>OWASP API Security Top 10</w:t>
      </w:r>
      <w:r>
        <w:br/>
        <w:t>https://owasp.org/API-Security/editions/2023/en/0x11-t10/</w:t>
        <w:br/>
        <w:t>API-specific security risks including broken object authorization, authentication and sensitive business flows.</w:t>
      </w:r>
    </w:p>
    <w:p>
      <w:r>
        <w:rPr>
          <w:rFonts w:ascii="Aptos" w:hAnsi="Aptos"/>
          <w:b/>
          <w:color w:val="183153"/>
          <w:sz w:val="17"/>
        </w:rPr>
        <w:t>OWASP MASVS</w:t>
      </w:r>
      <w:r>
        <w:br/>
        <w:t>https://mas.owasp.org/MASVS/</w:t>
        <w:br/>
        <w:t>Mobile security verification controls for storage, cryptography, authentication, network, platform, code, resilience and privacy.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6480"/>
        <w:gridCol w:w="1440"/>
      </w:tblGrid>
      <w:tr>
        <w:trPr>
          <w:tblHeader w:val="true"/>
        </w:trPr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Change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1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1.0</w:t>
            </w:r>
          </w:p>
        </w:tc>
        <w:tc>
          <w:tcPr>
            <w:tcW w:type="dxa" w:w="17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23 Aug 2026</w:t>
            </w:r>
          </w:p>
        </w:tc>
        <w:tc>
          <w:tcPr>
            <w:tcW w:type="dxa" w:w="64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Initial controlled release.</w:t>
            </w:r>
          </w:p>
        </w:tc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Approved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085"/>
        <w:sz w:val="15"/>
      </w:rPr>
      <w:t>BL-CICD-009  |  Version 1.0  |  Internal Educational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83153"/>
        <w:sz w:val="16"/>
      </w:rPr>
      <w:t>BANKING LAB  |  BL-CICD-009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customStyle="1" w:styleId="SmallNote">
    <w:name w:val="Small Note"/>
    <w:rPr>
      <w:rFonts w:ascii="Aptos" w:hAnsi="Aptos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