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520" w:lineRule="auto"/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2f5d8a"/>
          <w:sz w:val="28"/>
          <w:szCs w:val="28"/>
          <w:rtl w:val="0"/>
        </w:rPr>
        <w:t xml:space="preserve">BANKING 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83153"/>
          <w:sz w:val="50"/>
          <w:szCs w:val="50"/>
          <w:rtl w:val="0"/>
        </w:rPr>
        <w:t xml:space="preserve">Authentication, Authorization &amp; Application Security Standard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667085"/>
          <w:sz w:val="21"/>
          <w:szCs w:val="21"/>
          <w:rtl w:val="0"/>
        </w:rPr>
        <w:t xml:space="preserve">Threat model, token lifecycle, object authorization, mobile controls and security gates</w:t>
      </w:r>
      <w:r w:rsidDel="00000000" w:rsidR="00000000" w:rsidRPr="00000000">
        <w:rPr>
          <w:rtl w:val="0"/>
        </w:rPr>
      </w:r>
    </w:p>
    <w:tbl>
      <w:tblPr>
        <w:tblStyle w:val="Table1"/>
        <w:tblW w:w="9648.0" w:type="dxa"/>
        <w:jc w:val="center"/>
        <w:tblLayout w:type="fixed"/>
        <w:tblLook w:val="0400"/>
      </w:tblPr>
      <w:tblGrid>
        <w:gridCol w:w="2448"/>
        <w:gridCol w:w="7200"/>
        <w:tblGridChange w:id="0">
          <w:tblGrid>
            <w:gridCol w:w="2448"/>
            <w:gridCol w:w="7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f1f8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83153"/>
                <w:sz w:val="17"/>
                <w:szCs w:val="17"/>
                <w:rtl w:val="0"/>
              </w:rPr>
              <w:t xml:space="preserve">Document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BL-SEC-005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f1f8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83153"/>
                <w:sz w:val="17"/>
                <w:szCs w:val="17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f1f8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83153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Approved Baseline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f1f8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83153"/>
                <w:sz w:val="17"/>
                <w:szCs w:val="17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f1f8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83153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23 August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f1f8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83153"/>
                <w:sz w:val="17"/>
                <w:szCs w:val="17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Internal / Educational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</w:tcBorders>
            <w:shd w:fill="eaf1f8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83153"/>
                <w:sz w:val="18"/>
                <w:szCs w:val="18"/>
                <w:rtl w:val="0"/>
              </w:rPr>
              <w:t xml:space="preserve">Security Position</w:t>
              <w:br w:type="textWrapping"/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This document is a project security standard, not a claim of banking compliance. Real financial services require legal, regulatory, operational and independent security work far beyond this lab.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1. Purpose and Scope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Defines mandatory security controls for the Banking Lab mobile client, ASP.NET API, database and deployment path.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1.1 In Scope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Threat modeling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Passwords/session tokens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JWT access tokens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Rotating refresh tokens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Object/function authorization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Mobile secure storage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Biometric step-up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TLS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Rate limiting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Secrets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Logging privacy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OWASP mapping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Security tests</w:t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1.2 Out of Scope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PCI DSS certification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KYC/AML program design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Real banking regulatory certification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Production penetration-test attestation</w:t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  <w:t xml:space="preserve">1.3 Prerequisites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Architecture documents 001-004 available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HTTPS-capable deployment planned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Team understands basic authentication/authorization distinction</w:t>
      </w:r>
    </w:p>
    <w:tbl>
      <w:tblPr>
        <w:tblStyle w:val="Table2"/>
        <w:tblW w:w="10166.0" w:type="dxa"/>
        <w:jc w:val="center"/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0"/>
          <w:tblHeader w:val="0"/>
        </w:trPr>
        <w:tc>
          <w:tcPr>
            <w:shd w:fill="fff4e5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83153"/>
                <w:sz w:val="18"/>
                <w:szCs w:val="18"/>
                <w:rtl w:val="0"/>
              </w:rPr>
              <w:t xml:space="preserve">Project Boundary</w:t>
              <w:br w:type="textWrapping"/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This handbook assumes a banking simulator using test data and fake money. It is not a compliance certification or authorization to operate a real financial institution.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r w:rsidDel="00000000" w:rsidR="00000000" w:rsidRPr="00000000">
        <w:rPr>
          <w:rtl w:val="0"/>
        </w:rPr>
        <w:t xml:space="preserve">2. Assets and Trust Boundaries</w:t>
      </w:r>
    </w:p>
    <w:tbl>
      <w:tblPr>
        <w:tblStyle w:val="Table3"/>
        <w:tblW w:w="1036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3456"/>
        <w:gridCol w:w="4464"/>
        <w:tblGridChange w:id="0">
          <w:tblGrid>
            <w:gridCol w:w="2448"/>
            <w:gridCol w:w="3456"/>
            <w:gridCol w:w="4464"/>
          </w:tblGrid>
        </w:tblGridChange>
      </w:tblGrid>
      <w:tr>
        <w:trPr>
          <w:cantSplit w:val="0"/>
          <w:tblHeader w:val="1"/>
        </w:trPr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Asset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Why Sensitive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Primary Protection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Credentials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Account takeover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Password hashing, rate limits, MFA/step-up where added.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Access/refresh 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Session impersonation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Short TTL, secure storage, rotation/revocation.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Account/transaction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Privacy and fraud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Object authorization, TLS, least privilege.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Ledger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Financial 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Server-only mutations, DB transactions, audit.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Signing/encryption secrets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System compromise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Secrets manager/mounted secrets, rotation.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Audit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Investigation 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Append-only controls, limited access.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pStyle w:val="Heading1"/>
        <w:rPr/>
      </w:pPr>
      <w:r w:rsidDel="00000000" w:rsidR="00000000" w:rsidRPr="00000000">
        <w:rPr>
          <w:rtl w:val="0"/>
        </w:rPr>
        <w:t xml:space="preserve">3. Threat Model Summary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Malicious/modified mobile client calls API directly.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Attacker guesses account or transaction identifiers.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Credential stuffing/brute force against login.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Stolen refresh token is replayed.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Network attacker observes/modifies traffic.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The developer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accidentally logs/commits credentials.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Authorized </w:t>
      </w:r>
      <w:r w:rsidDel="00000000" w:rsidR="00000000" w:rsidRPr="00000000">
        <w:rPr>
          <w:rtl w:val="0"/>
        </w:rPr>
        <w:t xml:space="preserve">users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abuse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sensitive flows at high velocity.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Compromised dependency/container introduces vulnerability.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Insider/admin capability is broader than necessary.</w:t>
      </w:r>
    </w:p>
    <w:p w:rsidR="00000000" w:rsidDel="00000000" w:rsidP="00000000" w:rsidRDefault="00000000" w:rsidRPr="00000000" w14:paraId="0000004E">
      <w:pPr>
        <w:pStyle w:val="Heading1"/>
        <w:rPr/>
      </w:pPr>
      <w:r w:rsidDel="00000000" w:rsidR="00000000" w:rsidRPr="00000000">
        <w:rPr>
          <w:rtl w:val="0"/>
        </w:rPr>
        <w:t xml:space="preserve">4. Authentication Baseline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 ASP.NET Identity or another audited identity implementation rather than inventing password hashing.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Passwords are hashed using the framework's supported password hasher; plaintext passwords are never stored or logged.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Login error responses should not unnecessarily enumerate whether an account exists.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Support account lockout/backoff appropriate to the lab.</w:t>
      </w:r>
    </w:p>
    <w:p w:rsidR="00000000" w:rsidDel="00000000" w:rsidP="00000000" w:rsidRDefault="00000000" w:rsidRPr="00000000" w14:paraId="00000053">
      <w:pPr>
        <w:pStyle w:val="Heading1"/>
        <w:rPr/>
      </w:pPr>
      <w:r w:rsidDel="00000000" w:rsidR="00000000" w:rsidRPr="00000000">
        <w:rPr>
          <w:rtl w:val="0"/>
        </w:rPr>
        <w:t xml:space="preserve">5. Access Token Standard</w:t>
      </w:r>
    </w:p>
    <w:tbl>
      <w:tblPr>
        <w:tblStyle w:val="Table4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7776"/>
        <w:tblGridChange w:id="0">
          <w:tblGrid>
            <w:gridCol w:w="2448"/>
            <w:gridCol w:w="7776"/>
          </w:tblGrid>
        </w:tblGridChange>
      </w:tblGrid>
      <w:tr>
        <w:trPr>
          <w:cantSplit w:val="0"/>
          <w:tblHeader w:val="1"/>
        </w:trPr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Lifetime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Short-lived; initial lab target 5-15 minutes.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Transport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Authorization: Bearer over HTTPS only.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Claims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Minimal identifiers/roles/policies required by API.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Issuer, audience, signature, expiry, algorithm configuration.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Prefer memory where practical; never plaintext general preferences.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Logging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Never log full token.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pStyle w:val="Heading1"/>
        <w:rPr/>
      </w:pPr>
      <w:r w:rsidDel="00000000" w:rsidR="00000000" w:rsidRPr="00000000">
        <w:rPr>
          <w:rtl w:val="0"/>
        </w:rPr>
        <w:t xml:space="preserve">6. Refresh Token Standard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Generate cryptographically random tokens.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Store only a hash server-side.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Associate with user/device/session metadata.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Rotate on every successful refresh.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Revoke the previous token when rotated.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Detect reuse of an already-rotated/revoked token and invalidate the relevant session family according to policy.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Expire and revoke on logout/password/security events as defined.</w:t>
      </w:r>
    </w:p>
    <w:p w:rsidR="00000000" w:rsidDel="00000000" w:rsidP="00000000" w:rsidRDefault="00000000" w:rsidRPr="00000000" w14:paraId="0000006A">
      <w:pPr>
        <w:pStyle w:val="Heading1"/>
        <w:rPr/>
      </w:pPr>
      <w:r w:rsidDel="00000000" w:rsidR="00000000" w:rsidRPr="00000000">
        <w:rPr>
          <w:rtl w:val="0"/>
        </w:rPr>
        <w:t xml:space="preserve">7. Authorization Standard</w:t>
      </w:r>
    </w:p>
    <w:tbl>
      <w:tblPr>
        <w:tblStyle w:val="Table5"/>
        <w:tblW w:w="10166.0" w:type="dxa"/>
        <w:jc w:val="center"/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0"/>
          <w:tblHeader w:val="0"/>
        </w:trPr>
        <w:tc>
          <w:tcPr>
            <w:shd w:fill="eaf1f8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83153"/>
                <w:sz w:val="18"/>
                <w:szCs w:val="18"/>
                <w:rtl w:val="0"/>
              </w:rPr>
              <w:t xml:space="preserve">OWASP API Priority</w:t>
              <w:br w:type="textWrapping"/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Every function that accepts an object identifier from a user must perform object-level authorization. The UI hiding another user's account is not </w:t>
            </w:r>
            <w:r w:rsidDel="00000000" w:rsidR="00000000" w:rsidRPr="00000000">
              <w:rPr>
                <w:color w:val="1f2937"/>
                <w:sz w:val="17"/>
                <w:szCs w:val="17"/>
                <w:rtl w:val="0"/>
              </w:rPr>
              <w:t xml:space="preserve">authorized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 explicit ASP.NET authorization policies.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Verify account ownership on every customer account resource.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Verify transfer visibility against source/destination/customer policy.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 separate admin policies with least privilege.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Reject mass assignment of privileged/status fields.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Return only fields the caller is authorized to view.</w:t>
      </w:r>
    </w:p>
    <w:p w:rsidR="00000000" w:rsidDel="00000000" w:rsidP="00000000" w:rsidRDefault="00000000" w:rsidRPr="00000000" w14:paraId="00000073">
      <w:pPr>
        <w:pStyle w:val="Heading1"/>
        <w:rPr/>
      </w:pPr>
      <w:r w:rsidDel="00000000" w:rsidR="00000000" w:rsidRPr="00000000">
        <w:rPr>
          <w:rtl w:val="0"/>
        </w:rPr>
        <w:t xml:space="preserve">8. Sensitive Business Flows</w:t>
      </w:r>
    </w:p>
    <w:tbl>
      <w:tblPr>
        <w:tblStyle w:val="Table6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7632"/>
        <w:tblGridChange w:id="0">
          <w:tblGrid>
            <w:gridCol w:w="2592"/>
            <w:gridCol w:w="7632"/>
          </w:tblGrid>
        </w:tblGridChange>
      </w:tblGrid>
      <w:tr>
        <w:trPr>
          <w:cantSplit w:val="0"/>
          <w:tblHeader w:val="1"/>
        </w:trPr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Controls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Rate limiting, lockout/backoff, safe errors, audit.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Transfer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Authorization, funds/business validation, idempotency, velocity/amount limits, audit.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Beneficiary add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Re-auth/step-up as project evolves, cooldown/risk signal.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Password/security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Current credential or strong step-up, revoke old sessions.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Admin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Explicit policy, audit with actor/target/reason.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pStyle w:val="Heading1"/>
        <w:rPr/>
      </w:pPr>
      <w:r w:rsidDel="00000000" w:rsidR="00000000" w:rsidRPr="00000000">
        <w:rPr>
          <w:rtl w:val="0"/>
        </w:rPr>
        <w:t xml:space="preserve">9. Mobile Security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Store refresh tokens through flutter_secure_storage/platform secure storage.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 biometric authentication via platform APIs only as a local/step-up factor.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Never place secrets in source code, assets or Dart constants.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Disable or redact sensitive HTTP logging in release builds.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Protect sensitive screens from casual app-switcher exposure where feasible.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Treat rooted/jailbroken devices as a risk factor, not as a complete security decision.</w:t>
      </w:r>
    </w:p>
    <w:p w:rsidR="00000000" w:rsidDel="00000000" w:rsidP="00000000" w:rsidRDefault="00000000" w:rsidRPr="00000000" w14:paraId="00000087">
      <w:pPr>
        <w:pStyle w:val="Heading1"/>
        <w:rPr/>
      </w:pPr>
      <w:r w:rsidDel="00000000" w:rsidR="00000000" w:rsidRPr="00000000">
        <w:rPr>
          <w:rtl w:val="0"/>
        </w:rPr>
        <w:t xml:space="preserve">10. Transport and Caddy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Production-like deployment exposes HTTPS only; Caddy handles certificate provisioning/renewal when domain/DNS/ports permit.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Redirect HTTP to HTTPS.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 HSTS only after confirming HTTPS is correct for the intended host.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Forwarded headers must only be trusted from the known reverse proxy path.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Do not use `tls_insecure_skip_verify` as a convenience for upstream TLS.</w:t>
      </w:r>
    </w:p>
    <w:p w:rsidR="00000000" w:rsidDel="00000000" w:rsidP="00000000" w:rsidRDefault="00000000" w:rsidRPr="00000000" w14:paraId="0000008D">
      <w:pPr>
        <w:pStyle w:val="Heading1"/>
        <w:rPr/>
      </w:pPr>
      <w:r w:rsidDel="00000000" w:rsidR="00000000" w:rsidRPr="00000000">
        <w:rPr>
          <w:rtl w:val="0"/>
        </w:rPr>
        <w:t xml:space="preserve">11. Secrets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Local development: dotnet user-secrets plus untracked .env where unavoidable.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Container deployment: prefer Docker Compose secrets/mounted secret files when applicable.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Never commit database passwords, JWT signing keys or Supabase service credentials.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Rotate any secret that appears in Git history, even if the commit is later deleted.</w:t>
      </w:r>
    </w:p>
    <w:p w:rsidR="00000000" w:rsidDel="00000000" w:rsidP="00000000" w:rsidRDefault="00000000" w:rsidRPr="00000000" w14:paraId="00000092">
      <w:pPr>
        <w:pStyle w:val="Heading1"/>
        <w:rPr/>
      </w:pPr>
      <w:r w:rsidDel="00000000" w:rsidR="00000000" w:rsidRPr="00000000">
        <w:rPr>
          <w:rtl w:val="0"/>
        </w:rPr>
        <w:t xml:space="preserve">12. Database Least Privilege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Create a dedicated application database role.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Application role should not be a PostgreSQL superuser.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Migration </w:t>
      </w:r>
      <w:r w:rsidDel="00000000" w:rsidR="00000000" w:rsidRPr="00000000">
        <w:rPr>
          <w:rtl w:val="0"/>
        </w:rPr>
        <w:t xml:space="preserve">roles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may have broader schema permissions than runtime </w:t>
      </w:r>
      <w:r w:rsidDel="00000000" w:rsidR="00000000" w:rsidRPr="00000000">
        <w:rPr>
          <w:rtl w:val="0"/>
        </w:rPr>
        <w:t xml:space="preserve">roles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Do not expose PostgreSQL/Redis ports publicly.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Flutter never receives database credentials.</w:t>
      </w:r>
    </w:p>
    <w:p w:rsidR="00000000" w:rsidDel="00000000" w:rsidP="00000000" w:rsidRDefault="00000000" w:rsidRPr="00000000" w14:paraId="00000098">
      <w:pPr>
        <w:pStyle w:val="Heading1"/>
        <w:rPr/>
      </w:pPr>
      <w:r w:rsidDel="00000000" w:rsidR="00000000" w:rsidRPr="00000000">
        <w:rPr>
          <w:rtl w:val="0"/>
        </w:rPr>
        <w:t xml:space="preserve">13. Logging and Privacy</w:t>
      </w:r>
    </w:p>
    <w:tbl>
      <w:tblPr>
        <w:tblStyle w:val="Table7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1"/>
        </w:trPr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Never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Allowed With Care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Passwords, access/refresh tokens, signing keys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Internal user/customer IDs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Full authentication headers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Trace/correlation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Full sensitive request bodies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Endpoint name/status/duration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Secrets or connection strings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Security event category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Unnecessary personal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Masked/reference identifiers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pStyle w:val="Heading1"/>
        <w:rPr/>
      </w:pPr>
      <w:r w:rsidDel="00000000" w:rsidR="00000000" w:rsidRPr="00000000">
        <w:rPr>
          <w:rtl w:val="0"/>
        </w:rPr>
        <w:t xml:space="preserve">14. Security Verification Mapping</w:t>
      </w:r>
    </w:p>
    <w:tbl>
      <w:tblPr>
        <w:tblStyle w:val="Table8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2"/>
        <w:gridCol w:w="6768"/>
        <w:tblGridChange w:id="0">
          <w:tblGrid>
            <w:gridCol w:w="3312"/>
            <w:gridCol w:w="6768"/>
          </w:tblGrid>
        </w:tblGridChange>
      </w:tblGrid>
      <w:tr>
        <w:trPr>
          <w:cantSplit w:val="0"/>
          <w:tblHeader w:val="1"/>
        </w:trPr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Project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OWASP ASVS 5.0.0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Backend/application security requirements and verification checklist.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OWASP API Security Top 10 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API threat awareness, especially object authorization, authentication, resource limits and sensitive flows.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OWASP MASVS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Mobile storage/auth/network/platform/privacy controls.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pStyle w:val="Heading1"/>
        <w:rPr/>
      </w:pPr>
      <w:r w:rsidDel="00000000" w:rsidR="00000000" w:rsidRPr="00000000">
        <w:rPr>
          <w:rtl w:val="0"/>
        </w:rPr>
        <w:t xml:space="preserve">15. Required Abuse Tests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User A requests User B account ID.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User A requests User B transaction ID.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User modifies transfer sourceAccountId after UI selection.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Expired/invalid/tampered access token.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Reused refresh token.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Duplicate transfer request with same idempotency key.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Same idempotency key with a different payload.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Negative, zero, extreme and malformed amounts.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High-rate login and transfer attempts.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Mass-assignment attempt including status/role/owner fields.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Large request body and unexpected content type.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Known secret string accidentally emitted to logs.</w:t>
      </w:r>
    </w:p>
    <w:p w:rsidR="00000000" w:rsidDel="00000000" w:rsidP="00000000" w:rsidRDefault="00000000" w:rsidRPr="00000000" w14:paraId="000000BB">
      <w:pPr>
        <w:pStyle w:val="Heading1"/>
        <w:rPr/>
      </w:pPr>
      <w:r w:rsidDel="00000000" w:rsidR="00000000" w:rsidRPr="00000000">
        <w:rPr>
          <w:rtl w:val="0"/>
        </w:rPr>
        <w:t xml:space="preserve">16. Release Security Gate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 critical/high unresolved security defects accepted without explicit documented risk </w:t>
      </w:r>
      <w:r w:rsidDel="00000000" w:rsidR="00000000" w:rsidRPr="00000000">
        <w:rPr>
          <w:rtl w:val="0"/>
        </w:rPr>
        <w:t xml:space="preserve">decisions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Secrets scan passes.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Dependency/container scans reviewed.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Authorization integration tests pass.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HTTPS deployment verified.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Production-like config disables debug exception pages.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Backup/restore and audit logging verified for release candidate.</w:t>
      </w:r>
    </w:p>
    <w:p w:rsidR="00000000" w:rsidDel="00000000" w:rsidP="00000000" w:rsidRDefault="00000000" w:rsidRPr="00000000" w14:paraId="000000C3">
      <w:pPr>
        <w:pStyle w:val="Heading2"/>
        <w:rPr/>
      </w:pPr>
      <w:r w:rsidDel="00000000" w:rsidR="00000000" w:rsidRPr="00000000">
        <w:rPr>
          <w:rtl w:val="0"/>
        </w:rPr>
        <w:t xml:space="preserve">Atomic Task Register</w:t>
      </w:r>
    </w:p>
    <w:tbl>
      <w:tblPr>
        <w:tblStyle w:val="Table9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0"/>
        <w:gridCol w:w="2592"/>
        <w:gridCol w:w="3744"/>
        <w:gridCol w:w="2592"/>
        <w:tblGridChange w:id="0">
          <w:tblGrid>
            <w:gridCol w:w="1440"/>
            <w:gridCol w:w="2592"/>
            <w:gridCol w:w="3744"/>
            <w:gridCol w:w="2592"/>
          </w:tblGrid>
        </w:tblGridChange>
      </w:tblGrid>
      <w:tr>
        <w:trPr>
          <w:cantSplit w:val="0"/>
          <w:tblHeader w:val="1"/>
        </w:trPr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Task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SEC-001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Create threat model.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List assets, actors, trust boundaries and top abuse cases.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Reviewed threat table exists.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SEC-002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Configure password identity.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Use framework-supported hashing and lockout.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Plaintext password never reaches storage/logs.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SEC-003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Implement access token validation.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Configure issuer/audience/signature/expiry.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Tampered/expired token is rejected.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SEC-004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Implement rotating refresh tokens.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Hash, rotate, revoke and detect reuse.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Replay test invalidates session as designed.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SEC-005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Implement object authorization.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Check ownership on all ID-based resources.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Cross-user tests fail securely.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SEC-006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Implement function policies.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Separate customer/admin privileges.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Customer cannot call admin functions.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SEC-007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Configure rate limits.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Apply to login/recovery/transfers/read flows.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Abuse test returns 429.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SEC-008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Secure mobile token storage.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Wrap platform secure storage.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Release app has no token in preferences/logs.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SEC-009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Add biometric step-up.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Require local_auth before configured action.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Cancel/failure prevents client submit.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SEC-010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Configure TLS/Caddy.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Serve API through trusted HTTPS.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HTTP redirects and certificate validates.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SEC-011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Implement secrets policy.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Move secrets out of tracked config.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Git scan finds no credentials.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SEC-012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Create security test suite.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Automate abuse cases.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Security suite runs in CI.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SEC-013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Map OWASP controls.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Create ASVS/API/MASVS checklist references.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Release review can trace controls to tests.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pStyle w:val="Heading2"/>
        <w:rPr/>
      </w:pPr>
      <w:r w:rsidDel="00000000" w:rsidR="00000000" w:rsidRPr="00000000">
        <w:rPr>
          <w:rtl w:val="0"/>
        </w:rPr>
        <w:t xml:space="preserve">Troubleshooting Guide</w:t>
      </w:r>
    </w:p>
    <w:tbl>
      <w:tblPr>
        <w:tblStyle w:val="Table10"/>
        <w:tblW w:w="10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4"/>
        <w:gridCol w:w="3168"/>
        <w:gridCol w:w="4320"/>
        <w:tblGridChange w:id="0">
          <w:tblGrid>
            <w:gridCol w:w="3024"/>
            <w:gridCol w:w="3168"/>
            <w:gridCol w:w="4320"/>
          </w:tblGrid>
        </w:tblGridChange>
      </w:tblGrid>
      <w:tr>
        <w:trPr>
          <w:cantSplit w:val="0"/>
          <w:tblHeader w:val="1"/>
        </w:trPr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Symptom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Likely 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User can read guessed account 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Authorization relies on UI/customer-supplied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Resolve current customer server-side and enforce object ownership.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Refresh token theft gives long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No rotation/reuse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Store token hash, rotate each refresh and revoke family on replay.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Tokens appear in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Verbose HTTP/exception logging captures headers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Redact authorization headers and disable sensitive client logging.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Caddy HTTPS works but API thinks requests are HTTP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Forwarded-header/proxy configuration 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Configure trusted proxy forwarding before security middleware decisions.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Secret removed from file but still exposed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Credential exists in Git history/build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Rotate the credential; history rewriting alone does not un-leak 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pStyle w:val="Heading1"/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83153"/>
          <w:sz w:val="17"/>
          <w:szCs w:val="17"/>
          <w:rtl w:val="0"/>
        </w:rPr>
        <w:t xml:space="preserve">Microsoft .NET Support Policy</w:t>
      </w:r>
      <w:r w:rsidDel="00000000" w:rsidR="00000000" w:rsidRPr="00000000">
        <w:rPr>
          <w:rtl w:val="0"/>
        </w:rPr>
        <w:br w:type="textWrapping"/>
        <w:t xml:space="preserve">https://dotnet.microsoft.com/en-us/platform/support/policy</w:t>
        <w:br w:type="textWrapping"/>
        <w:t xml:space="preserve">.NET 10 is the active LTS baseline for this project; verify patch level before installation.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83153"/>
          <w:sz w:val="17"/>
          <w:szCs w:val="17"/>
          <w:rtl w:val="0"/>
        </w:rPr>
        <w:t xml:space="preserve">Flutter Architecture Recommendations</w:t>
      </w:r>
      <w:r w:rsidDel="00000000" w:rsidR="00000000" w:rsidRPr="00000000">
        <w:rPr>
          <w:rtl w:val="0"/>
        </w:rPr>
        <w:br w:type="textWrapping"/>
        <w:t xml:space="preserve">https://docs.flutter.dev/app-architecture/recommendations</w:t>
        <w:br w:type="textWrapping"/>
        <w:t xml:space="preserve">Official guidance for UI/data separation, repositories, ViewModels, dependency injection, immutable data, navigation and testing.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83153"/>
          <w:sz w:val="17"/>
          <w:szCs w:val="17"/>
          <w:rtl w:val="0"/>
        </w:rPr>
        <w:t xml:space="preserve">Flutter App Architecture Guide</w:t>
      </w:r>
      <w:r w:rsidDel="00000000" w:rsidR="00000000" w:rsidRPr="00000000">
        <w:rPr>
          <w:rtl w:val="0"/>
        </w:rPr>
        <w:br w:type="textWrapping"/>
        <w:t xml:space="preserve">https://docs.flutter.dev/app-architecture/guide</w:t>
        <w:br w:type="textWrapping"/>
        <w:t xml:space="preserve">Official architecture guide describing Views, ViewModels, repositories and services.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83153"/>
          <w:sz w:val="17"/>
          <w:szCs w:val="17"/>
          <w:rtl w:val="0"/>
        </w:rPr>
        <w:t xml:space="preserve">Supabase: Connect to Postgres</w:t>
      </w:r>
      <w:r w:rsidDel="00000000" w:rsidR="00000000" w:rsidRPr="00000000">
        <w:rPr>
          <w:rtl w:val="0"/>
        </w:rPr>
        <w:br w:type="textWrapping"/>
        <w:t xml:space="preserve">https://supabase.com/docs/guides/database/connecting-to-postgres</w:t>
        <w:br w:type="textWrapping"/>
        <w:t xml:space="preserve">Connection choices for persistent backends, direct connections and Supavisor pooling.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83153"/>
          <w:sz w:val="17"/>
          <w:szCs w:val="17"/>
          <w:rtl w:val="0"/>
        </w:rPr>
        <w:t xml:space="preserve">Caddy Automatic HTTPS</w:t>
      </w:r>
      <w:r w:rsidDel="00000000" w:rsidR="00000000" w:rsidRPr="00000000">
        <w:rPr>
          <w:rtl w:val="0"/>
        </w:rPr>
        <w:br w:type="textWrapping"/>
        <w:t xml:space="preserve">https://caddyserver.com/docs/automatic-https</w:t>
        <w:br w:type="textWrapping"/>
        <w:t xml:space="preserve">Automatic TLS certificate provisioning and HTTP-to-HTTPS redirection.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83153"/>
          <w:sz w:val="17"/>
          <w:szCs w:val="17"/>
          <w:rtl w:val="0"/>
        </w:rPr>
        <w:t xml:space="preserve">Caddy Reverse Proxy</w:t>
      </w:r>
      <w:r w:rsidDel="00000000" w:rsidR="00000000" w:rsidRPr="00000000">
        <w:rPr>
          <w:rtl w:val="0"/>
        </w:rPr>
        <w:br w:type="textWrapping"/>
        <w:t xml:space="preserve">https://caddyserver.com/docs/caddyfile/directives/reverse_proxy</w:t>
        <w:br w:type="textWrapping"/>
        <w:t xml:space="preserve">Reverse proxy behavior and upstream configuration.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83153"/>
          <w:sz w:val="17"/>
          <w:szCs w:val="17"/>
          <w:rtl w:val="0"/>
        </w:rPr>
        <w:t xml:space="preserve">Docker Compose Production</w:t>
      </w:r>
      <w:r w:rsidDel="00000000" w:rsidR="00000000" w:rsidRPr="00000000">
        <w:rPr>
          <w:rtl w:val="0"/>
        </w:rPr>
        <w:br w:type="textWrapping"/>
        <w:t xml:space="preserve">https://docs.docker.com/compose/how-tos/production/</w:t>
        <w:br w:type="textWrapping"/>
        <w:t xml:space="preserve">Production-oriented Compose differences and deployment guidance.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83153"/>
          <w:sz w:val="17"/>
          <w:szCs w:val="17"/>
          <w:rtl w:val="0"/>
        </w:rPr>
        <w:t xml:space="preserve">Docker Compose Secrets</w:t>
      </w:r>
      <w:r w:rsidDel="00000000" w:rsidR="00000000" w:rsidRPr="00000000">
        <w:rPr>
          <w:rtl w:val="0"/>
        </w:rPr>
        <w:br w:type="textWrapping"/>
        <w:t xml:space="preserve">https://docs.docker.com/compose/how-tos/use-secrets/</w:t>
        <w:br w:type="textWrapping"/>
        <w:t xml:space="preserve">Per-service secret mounting and guidance against embedding secrets in source.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83153"/>
          <w:sz w:val="17"/>
          <w:szCs w:val="17"/>
          <w:rtl w:val="0"/>
        </w:rPr>
        <w:t xml:space="preserve">OWASP ASVS</w:t>
      </w:r>
      <w:r w:rsidDel="00000000" w:rsidR="00000000" w:rsidRPr="00000000">
        <w:rPr>
          <w:rtl w:val="0"/>
        </w:rPr>
        <w:br w:type="textWrapping"/>
        <w:t xml:space="preserve">https://owasp.org/www-project-application-security-verification-standard/</w:t>
        <w:br w:type="textWrapping"/>
        <w:t xml:space="preserve">Application security requirements and verification baseline. Current stable ASVS listed by OWASP is 5.0.0.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83153"/>
          <w:sz w:val="17"/>
          <w:szCs w:val="17"/>
          <w:rtl w:val="0"/>
        </w:rPr>
        <w:t xml:space="preserve">OWASP API Security Top 10</w:t>
      </w:r>
      <w:r w:rsidDel="00000000" w:rsidR="00000000" w:rsidRPr="00000000">
        <w:rPr>
          <w:rtl w:val="0"/>
        </w:rPr>
        <w:br w:type="textWrapping"/>
        <w:t xml:space="preserve">https://owasp.org/API-Security/editions/2023/en/0x11-t10/</w:t>
        <w:br w:type="textWrapping"/>
        <w:t xml:space="preserve">API-specific security risks including broken object authorization, authentication and sensitive business flows.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83153"/>
          <w:sz w:val="17"/>
          <w:szCs w:val="17"/>
          <w:rtl w:val="0"/>
        </w:rPr>
        <w:t xml:space="preserve">OWASP MASVS</w:t>
      </w:r>
      <w:r w:rsidDel="00000000" w:rsidR="00000000" w:rsidRPr="00000000">
        <w:rPr>
          <w:rtl w:val="0"/>
        </w:rPr>
        <w:br w:type="textWrapping"/>
        <w:t xml:space="preserve">https://mas.owasp.org/MASVS/</w:t>
        <w:br w:type="textWrapping"/>
        <w:t xml:space="preserve">Mobile security verification controls for storage, cryptography, authentication, network, platform, code, resilience and privacy.</w:t>
      </w:r>
    </w:p>
    <w:p w:rsidR="00000000" w:rsidDel="00000000" w:rsidP="00000000" w:rsidRDefault="00000000" w:rsidRPr="00000000" w14:paraId="0000011B">
      <w:pPr>
        <w:pStyle w:val="Heading1"/>
        <w:rPr/>
      </w:pPr>
      <w:r w:rsidDel="00000000" w:rsidR="00000000" w:rsidRPr="00000000">
        <w:rPr>
          <w:rtl w:val="0"/>
        </w:rPr>
        <w:t xml:space="preserve">Change Log</w:t>
      </w:r>
    </w:p>
    <w:tbl>
      <w:tblPr>
        <w:tblStyle w:val="Table11"/>
        <w:tblW w:w="108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52"/>
        <w:gridCol w:w="1728"/>
        <w:gridCol w:w="6480"/>
        <w:gridCol w:w="1440"/>
        <w:tblGridChange w:id="0">
          <w:tblGrid>
            <w:gridCol w:w="1152"/>
            <w:gridCol w:w="1728"/>
            <w:gridCol w:w="6480"/>
            <w:gridCol w:w="1440"/>
          </w:tblGrid>
        </w:tblGridChange>
      </w:tblGrid>
      <w:tr>
        <w:trPr>
          <w:cantSplit w:val="0"/>
          <w:tblHeader w:val="1"/>
        </w:trPr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23 Aug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Initial controlled release.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Approved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979" w:top="979" w:left="1037" w:right="103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67085"/>
        <w:sz w:val="15"/>
        <w:szCs w:val="15"/>
        <w:u w:val="none"/>
        <w:shd w:fill="auto" w:val="clear"/>
        <w:vertAlign w:val="baseline"/>
        <w:rtl w:val="0"/>
      </w:rPr>
      <w:t xml:space="preserve">BL-SEC-005  |  Version 1.0  |  Internal Educational Project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183153"/>
        <w:sz w:val="16"/>
        <w:szCs w:val="16"/>
        <w:u w:val="none"/>
        <w:shd w:fill="auto" w:val="clear"/>
        <w:vertAlign w:val="baseline"/>
        <w:rtl w:val="0"/>
      </w:rPr>
      <w:t xml:space="preserve">BANKING LAB  |  BL-SEC-005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18"/>
        <w:szCs w:val="18"/>
        <w:lang w:val="en"/>
      </w:rPr>
    </w:rPrDefault>
    <w:pPrDefault>
      <w:pPr>
        <w:spacing w:after="84" w:line="25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b w:val="1"/>
      <w:bCs w:val="1"/>
      <w:color w:val="183153"/>
      <w:sz w:val="33"/>
      <w:szCs w:val="33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b w:val="1"/>
      <w:bCs w:val="1"/>
      <w:color w:val="2f5d8a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b w:val="1"/>
      <w:bCs w:val="1"/>
      <w:color w:val="1f2937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80" w:before="160" w:line="240" w:lineRule="auto"/>
    </w:pPr>
    <w:rPr>
      <w:rFonts w:ascii="Play" w:cs="Play" w:eastAsia="Play" w:hAnsi="Play"/>
      <w:b w:val="1"/>
      <w:bCs w:val="1"/>
      <w:color w:val="183153"/>
      <w:sz w:val="50"/>
      <w:szCs w:val="50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CodeBlock" w:customStyle="1">
    <w:name w:val="Code Block"/>
    <w:pPr>
      <w:spacing w:after="100"/>
      <w:ind w:left="259" w:right="259"/>
    </w:pPr>
    <w:rPr>
      <w:rFonts w:ascii="Consolas" w:hAnsi="Consolas"/>
      <w:sz w:val="16"/>
    </w:rPr>
  </w:style>
  <w:style w:type="paragraph" w:styleId="SmallNote" w:customStyle="1">
    <w:name w:val="Small Note"/>
    <w:rPr>
      <w:rFonts w:ascii="Aptos" w:hAnsi="Aptos"/>
      <w:color w:val="667085"/>
      <w:sz w:val="1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/TXJTq9sZbLfVr8SAIkVRPagmQ==">CgMxLjA4AHIhMVVfN1NnRDNQMWZzZ0x0bE56UVlrdUlxX0ZPc2I0NGFq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