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tabs>
          <w:tab w:val="right" w:pos="9360"/>
        </w:tabs>
        <w:spacing w:before="0" w:after="160" w:line="480" w:lineRule="auto"/>
        <w:jc w:val="left"/>
      </w:pPr>
      <w:r>
        <w:rPr>
          <w:rFonts w:ascii="Arial" w:hAnsi="Arial" w:cs="Arial" w:eastAsia="Arial"/>
          <w:sz w:val="24"/>
          <w:szCs w:val="24"/>
        </w:rPr>
        <w:t xml:space="preserve">JSC/86/26/EXSM</w:t>
        <w:tab/>
        <w:t xml:space="preserve">Teshie</w:t>
      </w:r>
    </w:p>
    <w:p>
      <w:pPr>
        <w:spacing w:before="0" w:after="160" w:line="480" w:lineRule="auto"/>
        <w:jc w:val="left"/>
      </w:pPr>
      <w:r>
        <w:rPr>
          <w:rFonts w:ascii="Arial" w:hAnsi="Arial" w:cs="Arial" w:eastAsia="Arial"/>
          <w:sz w:val="24"/>
          <w:szCs w:val="24"/>
        </w:rPr>
        <w:t xml:space="preserve">Nov.</w:t>
      </w:r>
    </w:p>
    <w:p>
      <w:pPr>
        <w:spacing w:before="0" w:after="160" w:line="480" w:lineRule="auto"/>
        <w:jc w:val="center"/>
      </w:pPr>
      <w:r>
        <w:rPr>
          <w:rFonts w:ascii="Arial" w:hAnsi="Arial" w:cs="Arial" w:eastAsia="Arial"/>
          <w:b/>
          <w:u w:val="single"/>
          <w:sz w:val="24"/>
          <w:szCs w:val="24"/>
        </w:rPr>
        <w:t xml:space="preserve">REVIEW OF “COMMANDO: WINNING THE GREEN BERET” BY HUGH McMANNERS</w:t>
      </w:r>
    </w:p>
    <w:p>
      <w:pPr>
        <w:keepNext/>
        <w:spacing w:before="0" w:after="160" w:line="480" w:lineRule="auto"/>
        <w:jc w:val="left"/>
      </w:pPr>
      <w:r>
        <w:rPr>
          <w:rFonts w:ascii="Arial" w:hAnsi="Arial" w:cs="Arial" w:eastAsia="Arial"/>
          <w:b/>
          <w:u w:val="single"/>
          <w:sz w:val="24"/>
          <w:szCs w:val="24"/>
        </w:rPr>
        <w:t xml:space="preserve">INTRODUCTION</w:t>
      </w:r>
    </w:p>
    <w:p>
      <w:pPr>
        <w:spacing w:before="0" w:after="160" w:line="480" w:lineRule="auto"/>
        <w:jc w:val="both"/>
      </w:pPr>
      <w:r>
        <w:rPr>
          <w:rFonts w:ascii="Arial" w:hAnsi="Arial" w:cs="Arial" w:eastAsia="Arial"/>
          <w:sz w:val="24"/>
          <w:szCs w:val="24"/>
        </w:rPr>
        <w:t xml:space="preserve">1.</w:t>
        <w:tab/>
      </w:r>
      <w:r>
        <w:rPr>
          <w:rFonts w:ascii="Arial" w:hAnsi="Arial" w:cs="Arial" w:eastAsia="Arial"/>
          <w:sz w:val="24"/>
          <w:szCs w:val="24"/>
        </w:rPr>
        <w:t xml:space="preserve">Few emblems in the profession of arms command the prestige and mystique associated with the Green Beret of the British Commando. Born in the darkest days of the Second World War, when Britain raised volunteer raiding forces to strike back at occupied Europe, the Commandos earned a reputation so formidable that Hitler declared captured Commandos to be outside the protection of the Geneva Conventions.</w:t>
      </w:r>
      <w:r>
        <w:rPr>
          <w:rStyle w:val="FootnoteReference"/>
          <w:rFonts w:ascii="Arial" w:hAnsi="Arial" w:cs="Arial" w:eastAsia="Arial"/>
          <w:sz w:val="24"/>
          <w:szCs w:val="24"/>
          <w:vertAlign w:val="superscript"/>
        </w:rPr>
        <w:footnoteReference w:id="1"/>
      </w:r>
      <w:r>
        <w:rPr>
          <w:rFonts w:ascii="Arial" w:hAnsi="Arial" w:cs="Arial" w:eastAsia="Arial"/>
          <w:sz w:val="24"/>
          <w:szCs w:val="24"/>
        </w:rPr>
        <w:t xml:space="preserve"> Today the flame is carried by the Royal Marines and the soldiers, sailors and airmen of 3 Commando Brigade, almost all of whom must pass the same gruelling Commando Course before wearing the beret. The distinction of the Commando therefore lies not merely in physical toughness, but in a carefully engineered process of selection that tests determination, discipline, judgement and character under conditions of extreme fatigue. Understanding that process offers enduring insight into how elite military forces are built and sustained.</w:t>
      </w:r>
    </w:p>
    <w:p>
      <w:pPr>
        <w:spacing w:before="0" w:after="160" w:line="480" w:lineRule="auto"/>
        <w:jc w:val="both"/>
      </w:pPr>
      <w:r>
        <w:rPr>
          <w:rFonts w:ascii="Arial" w:hAnsi="Arial" w:cs="Arial" w:eastAsia="Arial"/>
          <w:sz w:val="24"/>
          <w:szCs w:val="24"/>
        </w:rPr>
        <w:t xml:space="preserve">2.</w:t>
        <w:tab/>
      </w:r>
      <w:r>
        <w:rPr>
          <w:rFonts w:ascii="Arial" w:hAnsi="Arial" w:cs="Arial" w:eastAsia="Arial"/>
          <w:sz w:val="24"/>
          <w:szCs w:val="24"/>
        </w:rPr>
        <w:t xml:space="preserve">“Commando: Winning the Green Beret” by Hugh McManners vividly captures this process. Drawn from a five-part television documentary which the author devised with the producer-director Charles Thompson,</w:t>
      </w:r>
      <w:r>
        <w:rPr>
          <w:rStyle w:val="FootnoteReference"/>
          <w:rFonts w:ascii="Arial" w:hAnsi="Arial" w:cs="Arial" w:eastAsia="Arial"/>
          <w:sz w:val="24"/>
          <w:szCs w:val="24"/>
          <w:vertAlign w:val="superscript"/>
        </w:rPr>
        <w:footnoteReference w:id="2"/>
      </w:r>
      <w:r>
        <w:rPr>
          <w:rFonts w:ascii="Arial" w:hAnsi="Arial" w:cs="Arial" w:eastAsia="Arial"/>
          <w:sz w:val="24"/>
          <w:szCs w:val="24"/>
        </w:rPr>
        <w:t xml:space="preserve"> the book follows 638 Recruit Troop and All Arms Commando Course 4/92 through the winter of 1992 as they battle the Final Exercise and the four Commando Tests for the right to wear the Green Beret. </w:t>
      </w:r>
      <w:r>
        <w:rPr>
          <w:rFonts w:ascii="Arial" w:hAnsi="Arial" w:cs="Arial" w:eastAsia="Arial"/>
          <w:i/>
          <w:sz w:val="24"/>
          <w:szCs w:val="24"/>
        </w:rPr>
        <w:t xml:space="preserve">Publishers Weekly</w:t>
      </w:r>
      <w:r>
        <w:rPr>
          <w:rFonts w:ascii="Arial" w:hAnsi="Arial" w:cs="Arial" w:eastAsia="Arial"/>
          <w:sz w:val="24"/>
          <w:szCs w:val="24"/>
        </w:rPr>
        <w:t xml:space="preserve"> described it as a “brief and arresting” account of why Britain’s Royal Marine Commandos are so highly regarded as amphibious infantry.</w:t>
      </w:r>
      <w:r>
        <w:rPr>
          <w:rStyle w:val="FootnoteReference"/>
          <w:rFonts w:ascii="Arial" w:hAnsi="Arial" w:cs="Arial" w:eastAsia="Arial"/>
          <w:sz w:val="24"/>
          <w:szCs w:val="24"/>
          <w:vertAlign w:val="superscript"/>
        </w:rPr>
        <w:footnoteReference w:id="3"/>
      </w:r>
    </w:p>
    <w:p>
      <w:pPr>
        <w:keepNext/>
        <w:spacing w:before="0" w:after="160" w:line="480" w:lineRule="auto"/>
        <w:jc w:val="left"/>
      </w:pPr>
      <w:r>
        <w:rPr>
          <w:rFonts w:ascii="Arial" w:hAnsi="Arial" w:cs="Arial" w:eastAsia="Arial"/>
          <w:b/>
          <w:u w:val="single"/>
          <w:sz w:val="24"/>
          <w:szCs w:val="24"/>
        </w:rPr>
        <w:t xml:space="preserve">AIM</w:t>
      </w:r>
    </w:p>
    <w:p>
      <w:pPr>
        <w:spacing w:before="0" w:after="160" w:line="480" w:lineRule="auto"/>
        <w:jc w:val="both"/>
      </w:pPr>
      <w:r>
        <w:rPr>
          <w:rFonts w:ascii="Arial" w:hAnsi="Arial" w:cs="Arial" w:eastAsia="Arial"/>
          <w:sz w:val="24"/>
          <w:szCs w:val="24"/>
        </w:rPr>
        <w:t xml:space="preserve">3.</w:t>
        <w:tab/>
      </w:r>
      <w:r>
        <w:rPr>
          <w:rFonts w:ascii="Arial" w:hAnsi="Arial" w:cs="Arial" w:eastAsia="Arial"/>
          <w:sz w:val="24"/>
          <w:szCs w:val="24"/>
        </w:rPr>
        <w:t xml:space="preserve">To review the book “Commando: Winning the Green Beret” by Hugh McManners with the goal of drawing lessons, assessing its scope and relevance and making recommendations.</w:t>
      </w:r>
    </w:p>
    <w:p>
      <w:pPr>
        <w:keepNext/>
        <w:spacing w:before="0" w:after="160" w:line="480" w:lineRule="auto"/>
        <w:jc w:val="left"/>
      </w:pPr>
      <w:r>
        <w:rPr>
          <w:rFonts w:ascii="Arial" w:hAnsi="Arial" w:cs="Arial" w:eastAsia="Arial"/>
          <w:b/>
          <w:u w:val="single"/>
          <w:sz w:val="24"/>
          <w:szCs w:val="24"/>
        </w:rPr>
        <w:t xml:space="preserve">SCOPE</w:t>
      </w:r>
    </w:p>
    <w:p>
      <w:pPr>
        <w:spacing w:before="0" w:after="160" w:line="480" w:lineRule="auto"/>
        <w:jc w:val="both"/>
      </w:pPr>
      <w:r>
        <w:rPr>
          <w:rFonts w:ascii="Arial" w:hAnsi="Arial" w:cs="Arial" w:eastAsia="Arial"/>
          <w:sz w:val="24"/>
          <w:szCs w:val="24"/>
        </w:rPr>
        <w:t xml:space="preserve">4.</w:t>
        <w:tab/>
      </w:r>
      <w:r>
        <w:rPr>
          <w:rFonts w:ascii="Arial" w:hAnsi="Arial" w:cs="Arial" w:eastAsia="Arial"/>
          <w:sz w:val="24"/>
          <w:szCs w:val="24"/>
        </w:rPr>
        <w:t xml:space="preserve">To achieve the above objectives, the presentation will cover the following:</w:t>
      </w:r>
    </w:p>
    <w:p>
      <w:pPr>
        <w:numPr>
          <w:ilvl w:val="0"/>
          <w:numId w:val="4000"/>
        </w:numPr>
        <w:spacing w:before="0" w:after="0" w:line="360" w:lineRule="auto"/>
        <w:ind w:left="1080" w:hanging="360"/>
        <w:jc w:val="both"/>
      </w:pPr>
      <w:r>
        <w:rPr>
          <w:rFonts w:ascii="Arial" w:hAnsi="Arial" w:cs="Arial" w:eastAsia="Arial"/>
          <w:sz w:val="24"/>
          <w:szCs w:val="24"/>
        </w:rPr>
        <w:t xml:space="preserve">Biography of the author</w:t>
      </w:r>
    </w:p>
    <w:p>
      <w:pPr>
        <w:numPr>
          <w:ilvl w:val="0"/>
          <w:numId w:val="4000"/>
        </w:numPr>
        <w:spacing w:before="0" w:after="0" w:line="360" w:lineRule="auto"/>
        <w:ind w:left="1080" w:hanging="360"/>
        <w:jc w:val="both"/>
      </w:pPr>
      <w:r>
        <w:rPr>
          <w:rFonts w:ascii="Arial" w:hAnsi="Arial" w:cs="Arial" w:eastAsia="Arial"/>
          <w:sz w:val="24"/>
          <w:szCs w:val="24"/>
        </w:rPr>
        <w:t xml:space="preserve">Overview of the book</w:t>
      </w:r>
    </w:p>
    <w:p>
      <w:pPr>
        <w:numPr>
          <w:ilvl w:val="0"/>
          <w:numId w:val="4000"/>
        </w:numPr>
        <w:spacing w:before="0" w:after="0" w:line="360" w:lineRule="auto"/>
        <w:ind w:left="1080" w:hanging="360"/>
        <w:jc w:val="both"/>
      </w:pPr>
      <w:r>
        <w:rPr>
          <w:rFonts w:ascii="Arial" w:hAnsi="Arial" w:cs="Arial" w:eastAsia="Arial"/>
          <w:sz w:val="24"/>
          <w:szCs w:val="24"/>
        </w:rPr>
        <w:t xml:space="preserve">Summary of the book</w:t>
      </w:r>
    </w:p>
    <w:p>
      <w:pPr>
        <w:numPr>
          <w:ilvl w:val="0"/>
          <w:numId w:val="4000"/>
        </w:numPr>
        <w:spacing w:before="0" w:after="0" w:line="360" w:lineRule="auto"/>
        <w:ind w:left="1080" w:hanging="360"/>
        <w:jc w:val="both"/>
      </w:pPr>
      <w:r>
        <w:rPr>
          <w:rFonts w:ascii="Arial" w:hAnsi="Arial" w:cs="Arial" w:eastAsia="Arial"/>
          <w:sz w:val="24"/>
          <w:szCs w:val="24"/>
        </w:rPr>
        <w:t xml:space="preserve">Evaluation of the style of the writer</w:t>
      </w:r>
    </w:p>
    <w:p>
      <w:pPr>
        <w:numPr>
          <w:ilvl w:val="0"/>
          <w:numId w:val="4000"/>
        </w:numPr>
        <w:spacing w:before="0" w:after="160" w:line="360" w:lineRule="auto"/>
        <w:ind w:left="1080" w:hanging="360"/>
        <w:jc w:val="both"/>
      </w:pPr>
      <w:r>
        <w:rPr>
          <w:rFonts w:ascii="Arial" w:hAnsi="Arial" w:cs="Arial" w:eastAsia="Arial"/>
          <w:sz w:val="24"/>
          <w:szCs w:val="24"/>
        </w:rPr>
        <w:t xml:space="preserve">Lessons learnt</w:t>
      </w:r>
    </w:p>
    <w:p>
      <w:pPr>
        <w:keepNext/>
        <w:spacing w:before="0" w:after="160" w:line="480" w:lineRule="auto"/>
        <w:jc w:val="left"/>
      </w:pPr>
      <w:r>
        <w:rPr>
          <w:rFonts w:ascii="Arial" w:hAnsi="Arial" w:cs="Arial" w:eastAsia="Arial"/>
          <w:b/>
          <w:u w:val="single"/>
          <w:sz w:val="24"/>
          <w:szCs w:val="24"/>
        </w:rPr>
        <w:t xml:space="preserve">BIOGRAPHY OF THE AUTHOR</w:t>
      </w:r>
    </w:p>
    <w:p>
      <w:pPr>
        <w:spacing w:before="0" w:after="160" w:line="480" w:lineRule="auto"/>
        <w:jc w:val="both"/>
      </w:pPr>
      <w:r>
        <w:rPr>
          <w:rFonts w:ascii="Arial" w:hAnsi="Arial" w:cs="Arial" w:eastAsia="Arial"/>
          <w:sz w:val="24"/>
          <w:szCs w:val="24"/>
        </w:rPr>
        <w:t xml:space="preserve">5.</w:t>
        <w:tab/>
      </w:r>
      <w:r>
        <w:rPr>
          <w:rFonts w:ascii="Arial" w:hAnsi="Arial" w:cs="Arial" w:eastAsia="Arial"/>
          <w:sz w:val="24"/>
          <w:szCs w:val="24"/>
        </w:rPr>
        <w:t xml:space="preserve">Joseph Hugh McManners is a former British Army officer, journalist, author and television producer with first-hand experience of commando soldiering. Born in Oxford in 1952 and raised largely in Australia, he read Geography at St Edmund Hall, Oxford,</w:t>
      </w:r>
      <w:r>
        <w:rPr>
          <w:rStyle w:val="FootnoteReference"/>
          <w:rFonts w:ascii="Arial" w:hAnsi="Arial" w:cs="Arial" w:eastAsia="Arial"/>
          <w:sz w:val="24"/>
          <w:szCs w:val="24"/>
          <w:vertAlign w:val="superscript"/>
        </w:rPr>
        <w:footnoteReference w:id="4"/>
      </w:r>
      <w:r>
        <w:rPr>
          <w:rFonts w:ascii="Arial" w:hAnsi="Arial" w:cs="Arial" w:eastAsia="Arial"/>
          <w:sz w:val="24"/>
          <w:szCs w:val="24"/>
        </w:rPr>
        <w:t xml:space="preserve"> and was commissioned into the Royal Artillery in 1973. He passed the All Arms Commando Course himself and served five years with 148 (Meiktila) Commando Forward Observation Battery as a commando, military parachutist and army diving supervisor, and later ran the British Army’s jungle warfare training school in Belize.</w:t>
      </w:r>
      <w:r>
        <w:rPr>
          <w:rStyle w:val="FootnoteReference"/>
          <w:rFonts w:ascii="Arial" w:hAnsi="Arial" w:cs="Arial" w:eastAsia="Arial"/>
          <w:sz w:val="24"/>
          <w:szCs w:val="24"/>
          <w:vertAlign w:val="superscript"/>
        </w:rPr>
        <w:footnoteReference w:id="5"/>
      </w:r>
      <w:r>
        <w:rPr>
          <w:rFonts w:ascii="Arial" w:hAnsi="Arial" w:cs="Arial" w:eastAsia="Arial"/>
          <w:sz w:val="24"/>
          <w:szCs w:val="24"/>
        </w:rPr>
        <w:t xml:space="preserve"> During the Falklands War of 1982 he commanded a Naval Gunfire Forward Observation Party operating with the Special Boat Service and was Mentioned in Despatches for his service between 21 May and 15 June 1982.</w:t>
      </w:r>
      <w:r>
        <w:rPr>
          <w:rStyle w:val="FootnoteReference"/>
          <w:rFonts w:ascii="Arial" w:hAnsi="Arial" w:cs="Arial" w:eastAsia="Arial"/>
          <w:sz w:val="24"/>
          <w:szCs w:val="24"/>
          <w:vertAlign w:val="superscript"/>
        </w:rPr>
        <w:footnoteReference w:id="6"/>
      </w:r>
      <w:r>
        <w:rPr>
          <w:rFonts w:ascii="Arial" w:hAnsi="Arial" w:cs="Arial" w:eastAsia="Arial"/>
          <w:sz w:val="24"/>
          <w:szCs w:val="24"/>
        </w:rPr>
        <w:t xml:space="preserve"> He spent some thirteen years with 3 Commando Brigade before leaving the Army in the rank of Major in 1989.</w:t>
      </w:r>
    </w:p>
    <w:p>
      <w:pPr>
        <w:spacing w:before="0" w:after="160" w:line="480" w:lineRule="auto"/>
        <w:jc w:val="both"/>
      </w:pPr>
      <w:r>
        <w:rPr>
          <w:rFonts w:ascii="Arial" w:hAnsi="Arial" w:cs="Arial" w:eastAsia="Arial"/>
          <w:sz w:val="24"/>
          <w:szCs w:val="24"/>
        </w:rPr>
        <w:t xml:space="preserve">6.</w:t>
        <w:tab/>
      </w:r>
      <w:r>
        <w:rPr>
          <w:rFonts w:ascii="Arial" w:hAnsi="Arial" w:cs="Arial" w:eastAsia="Arial"/>
          <w:sz w:val="24"/>
          <w:szCs w:val="24"/>
        </w:rPr>
        <w:t xml:space="preserve">Following his military career, McManners became Defence Correspondent of </w:t>
      </w:r>
      <w:r>
        <w:rPr>
          <w:rFonts w:ascii="Arial" w:hAnsi="Arial" w:cs="Arial" w:eastAsia="Arial"/>
          <w:i/>
          <w:sz w:val="24"/>
          <w:szCs w:val="24"/>
        </w:rPr>
        <w:t xml:space="preserve">The Sunday Times</w:t>
      </w:r>
      <w:r>
        <w:rPr>
          <w:rFonts w:ascii="Arial" w:hAnsi="Arial" w:cs="Arial" w:eastAsia="Arial"/>
          <w:sz w:val="24"/>
          <w:szCs w:val="24"/>
        </w:rPr>
        <w:t xml:space="preserve"> and contributed to </w:t>
      </w:r>
      <w:r>
        <w:rPr>
          <w:rFonts w:ascii="Arial" w:hAnsi="Arial" w:cs="Arial" w:eastAsia="Arial"/>
          <w:i/>
          <w:sz w:val="24"/>
          <w:szCs w:val="24"/>
        </w:rPr>
        <w:t xml:space="preserve">The Observer</w:t>
      </w:r>
      <w:r>
        <w:rPr>
          <w:rFonts w:ascii="Arial" w:hAnsi="Arial" w:cs="Arial" w:eastAsia="Arial"/>
          <w:sz w:val="24"/>
          <w:szCs w:val="24"/>
        </w:rPr>
        <w:t xml:space="preserve"> and </w:t>
      </w:r>
      <w:r>
        <w:rPr>
          <w:rFonts w:ascii="Arial" w:hAnsi="Arial" w:cs="Arial" w:eastAsia="Arial"/>
          <w:i/>
          <w:sz w:val="24"/>
          <w:szCs w:val="24"/>
        </w:rPr>
        <w:t xml:space="preserve">The Daily Telegraph</w:t>
      </w:r>
      <w:r>
        <w:rPr>
          <w:rFonts w:ascii="Arial" w:hAnsi="Arial" w:cs="Arial" w:eastAsia="Arial"/>
          <w:sz w:val="24"/>
          <w:szCs w:val="24"/>
        </w:rPr>
        <w:t xml:space="preserve">. He has produced television documentaries, edited </w:t>
      </w:r>
      <w:r>
        <w:rPr>
          <w:rFonts w:ascii="Arial" w:hAnsi="Arial" w:cs="Arial" w:eastAsia="Arial"/>
          <w:i/>
          <w:sz w:val="24"/>
          <w:szCs w:val="24"/>
        </w:rPr>
        <w:t xml:space="preserve">Command</w:t>
      </w:r>
      <w:r>
        <w:rPr>
          <w:rFonts w:ascii="Arial" w:hAnsi="Arial" w:cs="Arial" w:eastAsia="Arial"/>
          <w:sz w:val="24"/>
          <w:szCs w:val="24"/>
        </w:rPr>
        <w:t xml:space="preserve"> magazine and written some fifteen books on subjects ranging from special forces and survival to the psychology of combat.</w:t>
      </w:r>
      <w:r>
        <w:rPr>
          <w:rStyle w:val="FootnoteReference"/>
          <w:rFonts w:ascii="Arial" w:hAnsi="Arial" w:cs="Arial" w:eastAsia="Arial"/>
          <w:sz w:val="24"/>
          <w:szCs w:val="24"/>
          <w:vertAlign w:val="superscript"/>
        </w:rPr>
        <w:footnoteReference w:id="7"/>
      </w:r>
      <w:r>
        <w:rPr>
          <w:rFonts w:ascii="Arial" w:hAnsi="Arial" w:cs="Arial" w:eastAsia="Arial"/>
          <w:sz w:val="24"/>
          <w:szCs w:val="24"/>
        </w:rPr>
        <w:t xml:space="preserve"> His works include </w:t>
      </w:r>
      <w:r>
        <w:rPr>
          <w:rFonts w:ascii="Arial" w:hAnsi="Arial" w:cs="Arial" w:eastAsia="Arial"/>
          <w:i/>
          <w:sz w:val="24"/>
          <w:szCs w:val="24"/>
        </w:rPr>
        <w:t xml:space="preserve">Falklands Commando</w:t>
      </w:r>
      <w:r>
        <w:rPr>
          <w:rFonts w:ascii="Arial" w:hAnsi="Arial" w:cs="Arial" w:eastAsia="Arial"/>
          <w:sz w:val="24"/>
          <w:szCs w:val="24"/>
        </w:rPr>
        <w:t xml:space="preserve"> (1984), one of the first eye-witness accounts of combat in the Falklands War, </w:t>
      </w:r>
      <w:r>
        <w:rPr>
          <w:rFonts w:ascii="Arial" w:hAnsi="Arial" w:cs="Arial" w:eastAsia="Arial"/>
          <w:i/>
          <w:sz w:val="24"/>
          <w:szCs w:val="24"/>
        </w:rPr>
        <w:t xml:space="preserve">The Scars of War</w:t>
      </w:r>
      <w:r>
        <w:rPr>
          <w:rFonts w:ascii="Arial" w:hAnsi="Arial" w:cs="Arial" w:eastAsia="Arial"/>
          <w:sz w:val="24"/>
          <w:szCs w:val="24"/>
        </w:rPr>
        <w:t xml:space="preserve"> (1993) and </w:t>
      </w:r>
      <w:r>
        <w:rPr>
          <w:rFonts w:ascii="Arial" w:hAnsi="Arial" w:cs="Arial" w:eastAsia="Arial"/>
          <w:i/>
          <w:sz w:val="24"/>
          <w:szCs w:val="24"/>
        </w:rPr>
        <w:t xml:space="preserve">Forgotten Voices of the Falklands</w:t>
      </w:r>
      <w:r>
        <w:rPr>
          <w:rFonts w:ascii="Arial" w:hAnsi="Arial" w:cs="Arial" w:eastAsia="Arial"/>
          <w:sz w:val="24"/>
          <w:szCs w:val="24"/>
        </w:rPr>
        <w:t xml:space="preserve"> (2007).</w:t>
      </w:r>
      <w:r>
        <w:rPr>
          <w:rStyle w:val="FootnoteReference"/>
          <w:rFonts w:ascii="Arial" w:hAnsi="Arial" w:cs="Arial" w:eastAsia="Arial"/>
          <w:sz w:val="24"/>
          <w:szCs w:val="24"/>
          <w:vertAlign w:val="superscript"/>
        </w:rPr>
        <w:footnoteReference w:id="8"/>
      </w:r>
      <w:r>
        <w:rPr>
          <w:rFonts w:ascii="Arial" w:hAnsi="Arial" w:cs="Arial" w:eastAsia="Arial"/>
          <w:sz w:val="24"/>
          <w:szCs w:val="24"/>
        </w:rPr>
        <w:t xml:space="preserve"> His blend of combat experience, insider knowledge of the Commando Brigade and journalistic skill makes him exceptionally qualified to write on the making of a commando.</w:t>
      </w:r>
    </w:p>
    <w:p>
      <w:pPr>
        <w:keepNext/>
        <w:spacing w:before="0" w:after="160" w:line="480" w:lineRule="auto"/>
        <w:jc w:val="left"/>
      </w:pPr>
      <w:r>
        <w:rPr>
          <w:rFonts w:ascii="Arial" w:hAnsi="Arial" w:cs="Arial" w:eastAsia="Arial"/>
          <w:b/>
          <w:u w:val="single"/>
          <w:sz w:val="24"/>
          <w:szCs w:val="24"/>
        </w:rPr>
        <w:t xml:space="preserve">OVERVIEW OF THE BOOK</w:t>
      </w:r>
    </w:p>
    <w:p>
      <w:pPr>
        <w:spacing w:before="0" w:after="160" w:line="480" w:lineRule="auto"/>
        <w:jc w:val="both"/>
      </w:pPr>
      <w:r>
        <w:rPr>
          <w:rFonts w:ascii="Arial" w:hAnsi="Arial" w:cs="Arial" w:eastAsia="Arial"/>
          <w:sz w:val="24"/>
          <w:szCs w:val="24"/>
        </w:rPr>
        <w:t xml:space="preserve">7.</w:t>
        <w:tab/>
      </w:r>
      <w:r>
        <w:rPr>
          <w:rFonts w:ascii="Arial" w:hAnsi="Arial" w:cs="Arial" w:eastAsia="Arial"/>
          <w:sz w:val="24"/>
          <w:szCs w:val="24"/>
        </w:rPr>
        <w:t xml:space="preserve">“Commando: Winning the Green Beret” by Hugh McManners comes in three formats: hardcover, paperback and Kindle, making it accessible to a wide range of readers. The copy under review is the 1994 hardcover edition, which is solidly bound to withstand repeated use. It features a striking dust jacket bearing a colour photograph of two mud-soaked recruits wading through water during training, with the title boldly printed in red above the author’s name and a banner announcing that it accompanies the television series. The back cover carries a dramatic silhouette of commandos at sunset and the tagline, “The most feared amphibious infantry in the world.”</w:t>
      </w:r>
      <w:r>
        <w:rPr>
          <w:rStyle w:val="FootnoteReference"/>
          <w:rFonts w:ascii="Arial" w:hAnsi="Arial" w:cs="Arial" w:eastAsia="Arial"/>
          <w:sz w:val="24"/>
          <w:szCs w:val="24"/>
          <w:vertAlign w:val="superscript"/>
        </w:rPr>
        <w:footnoteReference w:id="9"/>
      </w:r>
      <w:r>
        <w:rPr>
          <w:rFonts w:ascii="Arial" w:hAnsi="Arial" w:cs="Arial" w:eastAsia="Arial"/>
          <w:sz w:val="24"/>
          <w:szCs w:val="24"/>
        </w:rPr>
        <w:t xml:space="preserve"> The book contains an Introduction, seven chapters and an Epilogue spanning 192 pages, including an index which facilitates ease of navigation. It was published in London by Network Books, an imprint of BBC Books, and is based on Folio Productions’ television series made for Westcountry Television. A Penguin paperback followed in 1995 and a revised Kindle edition in 2014.</w:t>
      </w:r>
    </w:p>
    <w:p>
      <w:pPr>
        <w:spacing w:before="0" w:after="160" w:line="480" w:lineRule="auto"/>
        <w:jc w:val="both"/>
      </w:pPr>
      <w:r>
        <w:rPr>
          <w:rFonts w:ascii="Arial" w:hAnsi="Arial" w:cs="Arial" w:eastAsia="Arial"/>
          <w:sz w:val="24"/>
          <w:szCs w:val="24"/>
        </w:rPr>
        <w:t xml:space="preserve">8.</w:t>
        <w:tab/>
      </w:r>
      <w:r>
        <w:rPr>
          <w:rFonts w:ascii="Arial" w:hAnsi="Arial" w:cs="Arial" w:eastAsia="Arial"/>
          <w:sz w:val="24"/>
          <w:szCs w:val="24"/>
        </w:rPr>
        <w:t xml:space="preserve">The book is professionally typeset and was printed and bound in Great Britain by Clays Ltd, St Ives plc.</w:t>
      </w:r>
      <w:r>
        <w:rPr>
          <w:rStyle w:val="FootnoteReference"/>
          <w:rFonts w:ascii="Arial" w:hAnsi="Arial" w:cs="Arial" w:eastAsia="Arial"/>
          <w:sz w:val="24"/>
          <w:szCs w:val="24"/>
          <w:vertAlign w:val="superscript"/>
        </w:rPr>
        <w:footnoteReference w:id="10"/>
      </w:r>
      <w:r>
        <w:rPr>
          <w:rFonts w:ascii="Arial" w:hAnsi="Arial" w:cs="Arial" w:eastAsia="Arial"/>
          <w:sz w:val="24"/>
          <w:szCs w:val="24"/>
        </w:rPr>
        <w:t xml:space="preserve"> The font size is legible, and the spacing between lines is adequate to facilitate easy reading during extended study. The text is generously illustrated with black-and-white photographs taken during filming, an organisation chart of Commando Forces, a diagram of the endurance course and captioned group photographs naming the members of both courses, all of which serve as valuable visual aids. A short note on the text explains the use of Imperial measures for the Commando Tests, while each chapter is clearly titled, which enhances navigation and supports systematic study. At the time of writing, the book sells online on Amazon from about £2.75 (hardcover) and £3.66 (paperback) for used copies, and in Kindle format, making it affordable across multiple formats.</w:t>
      </w:r>
      <w:r>
        <w:rPr>
          <w:rStyle w:val="FootnoteReference"/>
          <w:rFonts w:ascii="Arial" w:hAnsi="Arial" w:cs="Arial" w:eastAsia="Arial"/>
          <w:sz w:val="24"/>
          <w:szCs w:val="24"/>
          <w:vertAlign w:val="superscript"/>
        </w:rPr>
        <w:footnoteReference w:id="11"/>
      </w:r>
    </w:p>
    <w:p>
      <w:pPr>
        <w:keepNext/>
        <w:spacing w:before="0" w:after="160" w:line="480" w:lineRule="auto"/>
        <w:jc w:val="left"/>
      </w:pPr>
      <w:r>
        <w:rPr>
          <w:rFonts w:ascii="Arial" w:hAnsi="Arial" w:cs="Arial" w:eastAsia="Arial"/>
          <w:b/>
          <w:u w:val="single"/>
          <w:sz w:val="24"/>
          <w:szCs w:val="24"/>
        </w:rPr>
        <w:t xml:space="preserve">SUMMARY OF THE BOOK</w:t>
      </w:r>
    </w:p>
    <w:p>
      <w:pPr>
        <w:keepNext/>
        <w:spacing w:before="0" w:after="0" w:line="480" w:lineRule="auto"/>
        <w:jc w:val="left"/>
      </w:pPr>
      <w:r>
        <w:rPr>
          <w:rFonts w:ascii="Arial" w:hAnsi="Arial" w:cs="Arial" w:eastAsia="Arial"/>
          <w:sz w:val="24"/>
          <w:szCs w:val="24"/>
        </w:rPr>
        <w:t xml:space="preserve">9.</w:t>
        <w:tab/>
      </w:r>
      <w:r>
        <w:rPr>
          <w:rFonts w:ascii="Arial" w:hAnsi="Arial" w:cs="Arial" w:eastAsia="Arial"/>
          <w:b/>
          <w:sz w:val="24"/>
          <w:szCs w:val="24"/>
        </w:rPr>
        <w:t xml:space="preserve">Introduction</w:t>
      </w:r>
    </w:p>
    <w:p>
      <w:pPr>
        <w:spacing w:before="0" w:after="160" w:line="480" w:lineRule="auto"/>
        <w:jc w:val="both"/>
      </w:pPr>
      <w:r>
        <w:rPr>
          <w:rFonts w:ascii="Arial" w:hAnsi="Arial" w:cs="Arial" w:eastAsia="Arial"/>
          <w:sz w:val="24"/>
          <w:szCs w:val="24"/>
        </w:rPr>
        <w:t xml:space="preserve">The Introduction traces the history of the Commandos from their formation as volunteer raiding units in the Second World War to the transfer of the Commando role to the Royal Marines after 1945. It outlines the structure of 3 Commando Brigade and presents the 1982 Falklands campaign as a Commando raid on a vast scale. The author introduces the four Commando Tests and sets out the central theme of the book: although intensely physical, “the essence of the Commando Tests is actually mental”, measuring each man’s ability to withstand pressure of every kind.</w:t>
      </w:r>
      <w:r>
        <w:rPr>
          <w:rStyle w:val="FootnoteReference"/>
          <w:rFonts w:ascii="Arial" w:hAnsi="Arial" w:cs="Arial" w:eastAsia="Arial"/>
          <w:sz w:val="24"/>
          <w:szCs w:val="24"/>
          <w:vertAlign w:val="superscript"/>
        </w:rPr>
        <w:footnoteReference w:id="12"/>
      </w:r>
    </w:p>
    <w:p>
      <w:pPr>
        <w:keepNext/>
        <w:spacing w:before="0" w:after="0" w:line="480" w:lineRule="auto"/>
        <w:jc w:val="left"/>
      </w:pPr>
      <w:r>
        <w:rPr>
          <w:rFonts w:ascii="Arial" w:hAnsi="Arial" w:cs="Arial" w:eastAsia="Arial"/>
          <w:sz w:val="24"/>
          <w:szCs w:val="24"/>
        </w:rPr>
        <w:t xml:space="preserve">10.</w:t>
        <w:tab/>
      </w:r>
      <w:r>
        <w:rPr>
          <w:rFonts w:ascii="Arial" w:hAnsi="Arial" w:cs="Arial" w:eastAsia="Arial"/>
          <w:b/>
          <w:sz w:val="24"/>
          <w:szCs w:val="24"/>
        </w:rPr>
        <w:t xml:space="preserve">Chapter 1: All Arms, Volunteer Commandos</w:t>
      </w:r>
    </w:p>
    <w:p>
      <w:pPr>
        <w:spacing w:before="0" w:after="160" w:line="480" w:lineRule="auto"/>
        <w:jc w:val="both"/>
      </w:pPr>
      <w:r>
        <w:rPr>
          <w:rFonts w:ascii="Arial" w:hAnsi="Arial" w:cs="Arial" w:eastAsia="Arial"/>
          <w:sz w:val="24"/>
          <w:szCs w:val="24"/>
        </w:rPr>
        <w:t xml:space="preserve">This chapter introduces All Arms Commando Course 4/92, of whom only 17 of the original 34 remain by the fourth week. The volunteers learn helicopter drills and escape from a submerged fuselage in the dunker trainer at the Royal Naval Air Station Yeovilton, before moving to Dartmoor for close-quarter battle shooting, cliff-climbing and the terrifying “death dive”. The chapter also shows candidates facing their final attempt at the battle physical training tests, and closes with 15 survivors preparing for the Final Exercise.</w:t>
      </w:r>
      <w:r>
        <w:rPr>
          <w:rStyle w:val="FootnoteReference"/>
          <w:rFonts w:ascii="Arial" w:hAnsi="Arial" w:cs="Arial" w:eastAsia="Arial"/>
          <w:sz w:val="24"/>
          <w:szCs w:val="24"/>
          <w:vertAlign w:val="superscript"/>
        </w:rPr>
        <w:footnoteReference w:id="13"/>
      </w:r>
    </w:p>
    <w:p>
      <w:pPr>
        <w:keepNext/>
        <w:spacing w:before="0" w:after="0" w:line="480" w:lineRule="auto"/>
        <w:jc w:val="left"/>
      </w:pPr>
      <w:r>
        <w:rPr>
          <w:rFonts w:ascii="Arial" w:hAnsi="Arial" w:cs="Arial" w:eastAsia="Arial"/>
          <w:sz w:val="24"/>
          <w:szCs w:val="24"/>
        </w:rPr>
        <w:t xml:space="preserve">11.</w:t>
        <w:tab/>
      </w:r>
      <w:r>
        <w:rPr>
          <w:rFonts w:ascii="Arial" w:hAnsi="Arial" w:cs="Arial" w:eastAsia="Arial"/>
          <w:b/>
          <w:sz w:val="24"/>
          <w:szCs w:val="24"/>
        </w:rPr>
        <w:t xml:space="preserve">Chapter 2: Dawn Assault</w:t>
      </w:r>
    </w:p>
    <w:p>
      <w:pPr>
        <w:spacing w:before="0" w:after="160" w:line="480" w:lineRule="auto"/>
        <w:jc w:val="both"/>
      </w:pPr>
      <w:r>
        <w:rPr>
          <w:rFonts w:ascii="Arial" w:hAnsi="Arial" w:cs="Arial" w:eastAsia="Arial"/>
          <w:sz w:val="24"/>
          <w:szCs w:val="24"/>
        </w:rPr>
        <w:t xml:space="preserve">The narrative turns to 638 Troop, young Royal Marines recruits who have completed 27 weeks of training. At Royal Marines Poole they learn the amphibious skills that distinguish the Royal Marines, including assault landings from rigid raiders and landing craft. The chapter details Lieutenant Archie Gillies’ orders and rehearsals for the Final Exercise, which opens with a daring night raid on a fort at the end of the Portland breakwater.</w:t>
      </w:r>
    </w:p>
    <w:p>
      <w:pPr>
        <w:keepNext/>
        <w:spacing w:before="0" w:after="0" w:line="480" w:lineRule="auto"/>
        <w:jc w:val="left"/>
      </w:pPr>
      <w:r>
        <w:rPr>
          <w:rFonts w:ascii="Arial" w:hAnsi="Arial" w:cs="Arial" w:eastAsia="Arial"/>
          <w:sz w:val="24"/>
          <w:szCs w:val="24"/>
        </w:rPr>
        <w:t xml:space="preserve">12.</w:t>
        <w:tab/>
      </w:r>
      <w:r>
        <w:rPr>
          <w:rFonts w:ascii="Arial" w:hAnsi="Arial" w:cs="Arial" w:eastAsia="Arial"/>
          <w:b/>
          <w:sz w:val="24"/>
          <w:szCs w:val="24"/>
        </w:rPr>
        <w:t xml:space="preserve">Chapter 3: Ambush</w:t>
      </w:r>
    </w:p>
    <w:p>
      <w:pPr>
        <w:spacing w:before="0" w:after="160" w:line="480" w:lineRule="auto"/>
        <w:jc w:val="both"/>
      </w:pPr>
      <w:r>
        <w:rPr>
          <w:rFonts w:ascii="Arial" w:hAnsi="Arial" w:cs="Arial" w:eastAsia="Arial"/>
          <w:sz w:val="24"/>
          <w:szCs w:val="24"/>
        </w:rPr>
        <w:t xml:space="preserve">This chapter follows the troop inland, where they are ambushed in their lorries and must react under fire. They then plan and execute a deliberate dawn ambush on an enemy supply route. The author records the training team’s searching debrief and shows how the instructors deal firmly with lapses in alertness and integrity, highlighting the standards expected of every Royal Marine.</w:t>
      </w:r>
    </w:p>
    <w:p>
      <w:pPr>
        <w:keepNext/>
        <w:spacing w:before="0" w:after="0" w:line="480" w:lineRule="auto"/>
        <w:jc w:val="left"/>
      </w:pPr>
      <w:r>
        <w:rPr>
          <w:rFonts w:ascii="Arial" w:hAnsi="Arial" w:cs="Arial" w:eastAsia="Arial"/>
          <w:sz w:val="24"/>
          <w:szCs w:val="24"/>
        </w:rPr>
        <w:t xml:space="preserve">13.</w:t>
        <w:tab/>
      </w:r>
      <w:r>
        <w:rPr>
          <w:rFonts w:ascii="Arial" w:hAnsi="Arial" w:cs="Arial" w:eastAsia="Arial"/>
          <w:b/>
          <w:sz w:val="24"/>
          <w:szCs w:val="24"/>
        </w:rPr>
        <w:t xml:space="preserve">Chapter 4: 638 Troop – Dartmoor</w:t>
      </w:r>
    </w:p>
    <w:p>
      <w:pPr>
        <w:spacing w:before="0" w:after="160" w:line="480" w:lineRule="auto"/>
        <w:jc w:val="both"/>
      </w:pPr>
      <w:r>
        <w:rPr>
          <w:rFonts w:ascii="Arial" w:hAnsi="Arial" w:cs="Arial" w:eastAsia="Arial"/>
          <w:sz w:val="24"/>
          <w:szCs w:val="24"/>
        </w:rPr>
        <w:t xml:space="preserve">Here, the author describes the troop’s advance to contact, night yomps and attacks on the bleak expanse of Dartmoor in relentless wind and rain. The chapter explains the drills that save lives under fire and the importance of personal administration in harsh conditions. The exercise culminates in a dawn assault on a Napoleonic fort above a Cornish estuary.</w:t>
      </w:r>
    </w:p>
    <w:p>
      <w:pPr>
        <w:keepNext/>
        <w:spacing w:before="0" w:after="0" w:line="480" w:lineRule="auto"/>
        <w:jc w:val="left"/>
      </w:pPr>
      <w:r>
        <w:rPr>
          <w:rFonts w:ascii="Arial" w:hAnsi="Arial" w:cs="Arial" w:eastAsia="Arial"/>
          <w:sz w:val="24"/>
          <w:szCs w:val="24"/>
        </w:rPr>
        <w:t xml:space="preserve">14.</w:t>
        <w:tab/>
      </w:r>
      <w:r>
        <w:rPr>
          <w:rFonts w:ascii="Arial" w:hAnsi="Arial" w:cs="Arial" w:eastAsia="Arial"/>
          <w:b/>
          <w:sz w:val="24"/>
          <w:szCs w:val="24"/>
        </w:rPr>
        <w:t xml:space="preserve">Chapter 5: The Reckoning</w:t>
      </w:r>
    </w:p>
    <w:p>
      <w:pPr>
        <w:spacing w:before="0" w:after="160" w:line="480" w:lineRule="auto"/>
        <w:jc w:val="both"/>
      </w:pPr>
      <w:r>
        <w:rPr>
          <w:rFonts w:ascii="Arial" w:hAnsi="Arial" w:cs="Arial" w:eastAsia="Arial"/>
          <w:sz w:val="24"/>
          <w:szCs w:val="24"/>
        </w:rPr>
        <w:t xml:space="preserve">This chapter examines how the training team assess each recruit at the end of the Final Exercise, guided by the question, “Would I be prepared to go to war with this man?”</w:t>
      </w:r>
      <w:r>
        <w:rPr>
          <w:rStyle w:val="FootnoteReference"/>
          <w:rFonts w:ascii="Arial" w:hAnsi="Arial" w:cs="Arial" w:eastAsia="Arial"/>
          <w:sz w:val="24"/>
          <w:szCs w:val="24"/>
          <w:vertAlign w:val="superscript"/>
        </w:rPr>
        <w:footnoteReference w:id="14"/>
      </w:r>
      <w:r>
        <w:rPr>
          <w:rFonts w:ascii="Arial" w:hAnsi="Arial" w:cs="Arial" w:eastAsia="Arial"/>
          <w:sz w:val="24"/>
          <w:szCs w:val="24"/>
        </w:rPr>
        <w:t xml:space="preserve"> It shows the company commander reviewing their recommendations and the rehabilitation of injured recruits in Hunter Troop. The chapter also recounts Recruit Jaftha’s courageous struggle to overcome his fear of the Tarzan course chasm, where he had earlier broken his leg.</w:t>
      </w:r>
    </w:p>
    <w:p>
      <w:pPr>
        <w:keepNext/>
        <w:spacing w:before="0" w:after="0" w:line="480" w:lineRule="auto"/>
        <w:jc w:val="left"/>
      </w:pPr>
      <w:r>
        <w:rPr>
          <w:rFonts w:ascii="Arial" w:hAnsi="Arial" w:cs="Arial" w:eastAsia="Arial"/>
          <w:sz w:val="24"/>
          <w:szCs w:val="24"/>
        </w:rPr>
        <w:t xml:space="preserve">15.</w:t>
        <w:tab/>
      </w:r>
      <w:r>
        <w:rPr>
          <w:rFonts w:ascii="Arial" w:hAnsi="Arial" w:cs="Arial" w:eastAsia="Arial"/>
          <w:b/>
          <w:sz w:val="24"/>
          <w:szCs w:val="24"/>
        </w:rPr>
        <w:t xml:space="preserve">Chapter 6: 638 Troop – Commando Tests</w:t>
      </w:r>
    </w:p>
    <w:p>
      <w:pPr>
        <w:spacing w:before="0" w:after="160" w:line="480" w:lineRule="auto"/>
        <w:jc w:val="both"/>
      </w:pPr>
      <w:r>
        <w:rPr>
          <w:rFonts w:ascii="Arial" w:hAnsi="Arial" w:cs="Arial" w:eastAsia="Arial"/>
          <w:sz w:val="24"/>
          <w:szCs w:val="24"/>
        </w:rPr>
        <w:t xml:space="preserve">This chapter describes the four Commando Tests in vivid detail: the endurance course, the 9-mile speed march, the Tarzan assault course and the 30-mile march across Dartmoor. It highlights the tension, effort and teamwork demanded by each test, and the leadership of Major Jon Lear, Officer Commanding Commando Training Wing, who stresses that “only 20 per cent of the training is physical, the rest being mental”.</w:t>
      </w:r>
      <w:r>
        <w:rPr>
          <w:rStyle w:val="FootnoteReference"/>
          <w:rFonts w:ascii="Arial" w:hAnsi="Arial" w:cs="Arial" w:eastAsia="Arial"/>
          <w:sz w:val="24"/>
          <w:szCs w:val="24"/>
          <w:vertAlign w:val="superscript"/>
        </w:rPr>
        <w:footnoteReference w:id="15"/>
      </w:r>
    </w:p>
    <w:p>
      <w:pPr>
        <w:keepNext/>
        <w:spacing w:before="0" w:after="0" w:line="480" w:lineRule="auto"/>
        <w:jc w:val="left"/>
      </w:pPr>
      <w:r>
        <w:rPr>
          <w:rFonts w:ascii="Arial" w:hAnsi="Arial" w:cs="Arial" w:eastAsia="Arial"/>
          <w:sz w:val="24"/>
          <w:szCs w:val="24"/>
        </w:rPr>
        <w:t xml:space="preserve">16.</w:t>
        <w:tab/>
      </w:r>
      <w:r>
        <w:rPr>
          <w:rFonts w:ascii="Arial" w:hAnsi="Arial" w:cs="Arial" w:eastAsia="Arial"/>
          <w:b/>
          <w:sz w:val="24"/>
          <w:szCs w:val="24"/>
        </w:rPr>
        <w:t xml:space="preserve">Chapter 7: The End of the Road</w:t>
      </w:r>
    </w:p>
    <w:p>
      <w:pPr>
        <w:spacing w:before="0" w:after="160" w:line="480" w:lineRule="auto"/>
        <w:jc w:val="both"/>
      </w:pPr>
      <w:r>
        <w:rPr>
          <w:rFonts w:ascii="Arial" w:hAnsi="Arial" w:cs="Arial" w:eastAsia="Arial"/>
          <w:sz w:val="24"/>
          <w:szCs w:val="24"/>
        </w:rPr>
        <w:t xml:space="preserve">The final chapter recalls the troop’s first day at Lympstone before following them to the end of the 30-miler, which every man who starts completes within eight hours. Recruit Spink is awarded the King’s Badge, an honour instituted by King George V in 1918 for the best recruit of the King’s Squad.</w:t>
      </w:r>
      <w:r>
        <w:rPr>
          <w:rStyle w:val="FootnoteReference"/>
          <w:rFonts w:ascii="Arial" w:hAnsi="Arial" w:cs="Arial" w:eastAsia="Arial"/>
          <w:sz w:val="24"/>
          <w:szCs w:val="24"/>
          <w:vertAlign w:val="superscript"/>
        </w:rPr>
        <w:footnoteReference w:id="16"/>
      </w:r>
      <w:r>
        <w:rPr>
          <w:rFonts w:ascii="Arial" w:hAnsi="Arial" w:cs="Arial" w:eastAsia="Arial"/>
          <w:sz w:val="24"/>
          <w:szCs w:val="24"/>
        </w:rPr>
        <w:t xml:space="preserve"> The All Arms volunteers receive their Green Berets on Dartmoor, and the King’s Squad pass out before the First Sea Lord.</w:t>
      </w:r>
    </w:p>
    <w:p>
      <w:pPr>
        <w:keepNext/>
        <w:spacing w:before="0" w:after="0" w:line="480" w:lineRule="auto"/>
        <w:jc w:val="left"/>
      </w:pPr>
      <w:r>
        <w:rPr>
          <w:rFonts w:ascii="Arial" w:hAnsi="Arial" w:cs="Arial" w:eastAsia="Arial"/>
          <w:sz w:val="24"/>
          <w:szCs w:val="24"/>
        </w:rPr>
        <w:t xml:space="preserve">17.</w:t>
        <w:tab/>
      </w:r>
      <w:r>
        <w:rPr>
          <w:rFonts w:ascii="Arial" w:hAnsi="Arial" w:cs="Arial" w:eastAsia="Arial"/>
          <w:b/>
          <w:sz w:val="24"/>
          <w:szCs w:val="24"/>
        </w:rPr>
        <w:t xml:space="preserve">Epilogue</w:t>
      </w:r>
    </w:p>
    <w:p>
      <w:pPr>
        <w:spacing w:before="0" w:after="160" w:line="480" w:lineRule="auto"/>
        <w:jc w:val="both"/>
      </w:pPr>
      <w:r>
        <w:rPr>
          <w:rFonts w:ascii="Arial" w:hAnsi="Arial" w:cs="Arial" w:eastAsia="Arial"/>
          <w:sz w:val="24"/>
          <w:szCs w:val="24"/>
        </w:rPr>
        <w:t xml:space="preserve">The Epilogue follows the new commandos into their units, from arctic training in Norway to operational tours in Belize and Bosnia. It closes on a triumphant note, revealing that Recruit Jaftha finally conquered the chasm and received his Green Beret in February 1993.</w:t>
      </w:r>
      <w:r>
        <w:rPr>
          <w:rStyle w:val="FootnoteReference"/>
          <w:rFonts w:ascii="Arial" w:hAnsi="Arial" w:cs="Arial" w:eastAsia="Arial"/>
          <w:sz w:val="24"/>
          <w:szCs w:val="24"/>
          <w:vertAlign w:val="superscript"/>
        </w:rPr>
        <w:footnoteReference w:id="17"/>
      </w:r>
    </w:p>
    <w:p>
      <w:pPr>
        <w:keepNext/>
        <w:spacing w:before="0" w:after="160" w:line="480" w:lineRule="auto"/>
        <w:jc w:val="left"/>
      </w:pPr>
      <w:r>
        <w:rPr>
          <w:rFonts w:ascii="Arial" w:hAnsi="Arial" w:cs="Arial" w:eastAsia="Arial"/>
          <w:sz w:val="24"/>
          <w:szCs w:val="24"/>
        </w:rPr>
        <w:t xml:space="preserve">18.</w:t>
        <w:tab/>
      </w:r>
      <w:r>
        <w:rPr>
          <w:rFonts w:ascii="Arial" w:hAnsi="Arial" w:cs="Arial" w:eastAsia="Arial"/>
          <w:b/>
          <w:u w:val="single"/>
          <w:sz w:val="24"/>
          <w:szCs w:val="24"/>
        </w:rPr>
        <w:t xml:space="preserve">EVALUATION OF THE BOOK</w:t>
      </w:r>
    </w:p>
    <w:p>
      <w:pPr>
        <w:keepNext/>
        <w:spacing w:before="0" w:after="0" w:line="480" w:lineRule="auto"/>
        <w:jc w:val="left"/>
      </w:pPr>
      <w:r>
        <w:rPr>
          <w:rFonts w:ascii="Arial" w:hAnsi="Arial" w:cs="Arial" w:eastAsia="Arial"/>
          <w:b/>
          <w:u w:val="single"/>
          <w:sz w:val="24"/>
          <w:szCs w:val="24"/>
        </w:rPr>
        <w:t xml:space="preserve">Significance</w:t>
      </w:r>
    </w:p>
    <w:p>
      <w:pPr>
        <w:spacing w:before="0" w:after="160" w:line="480" w:lineRule="auto"/>
        <w:jc w:val="both"/>
      </w:pPr>
      <w:r>
        <w:rPr>
          <w:rFonts w:ascii="Arial" w:hAnsi="Arial" w:cs="Arial" w:eastAsia="Arial"/>
          <w:sz w:val="24"/>
          <w:szCs w:val="24"/>
        </w:rPr>
        <w:t xml:space="preserve">The book holds immense significance as one of the most authoritative accounts of commando selection written by an insider for a general readership. It reveals how one of the world’s most respected military institutions transforms ordinary young men into elite amphibious soldiers, and why the Green Beret is earned through character as much as fitness. By following both raw recruits and experienced volunteers from the other services, it shows the universal standard that binds a joint formation together. The book is therefore of enduring value to any armed force, including the Ghana Armed Forces, that seeks to select, train and sustain high-quality soldiers.</w:t>
      </w:r>
    </w:p>
    <w:p>
      <w:pPr>
        <w:keepNext/>
        <w:spacing w:before="0" w:after="0" w:line="480" w:lineRule="auto"/>
        <w:jc w:val="left"/>
      </w:pPr>
      <w:r>
        <w:rPr>
          <w:rFonts w:ascii="Arial" w:hAnsi="Arial" w:cs="Arial" w:eastAsia="Arial"/>
          <w:b/>
          <w:u w:val="single"/>
          <w:sz w:val="24"/>
          <w:szCs w:val="24"/>
        </w:rPr>
        <w:t xml:space="preserve">Material</w:t>
      </w:r>
    </w:p>
    <w:p>
      <w:pPr>
        <w:spacing w:before="0" w:after="160" w:line="480" w:lineRule="auto"/>
        <w:jc w:val="both"/>
      </w:pPr>
      <w:r>
        <w:rPr>
          <w:rFonts w:ascii="Arial" w:hAnsi="Arial" w:cs="Arial" w:eastAsia="Arial"/>
          <w:sz w:val="24"/>
          <w:szCs w:val="24"/>
        </w:rPr>
        <w:t xml:space="preserve">The material in the book is entirely original, drawn from first-hand observation and the recorded words of recruits and instructors during filming. The author skilfully weaves narrative, dialogue and explanation into a coherent account that flows smoothly from chapter to chapter. The book opens doors normally closed to outsiders, most notably the frank deliberations of instructors as they decide who is fit to serve. It also enriches the reader’s vocabulary with the colourful language of the Corps, such as </w:t>
      </w:r>
      <w:r>
        <w:rPr>
          <w:rFonts w:ascii="Arial" w:hAnsi="Arial" w:cs="Arial" w:eastAsia="Arial"/>
          <w:i/>
          <w:sz w:val="24"/>
          <w:szCs w:val="24"/>
        </w:rPr>
        <w:t xml:space="preserve">yomp</w:t>
      </w:r>
      <w:r>
        <w:rPr>
          <w:rFonts w:ascii="Arial" w:hAnsi="Arial" w:cs="Arial" w:eastAsia="Arial"/>
          <w:sz w:val="24"/>
          <w:szCs w:val="24"/>
        </w:rPr>
        <w:t xml:space="preserve">, </w:t>
      </w:r>
      <w:r>
        <w:rPr>
          <w:rFonts w:ascii="Arial" w:hAnsi="Arial" w:cs="Arial" w:eastAsia="Arial"/>
          <w:i/>
          <w:sz w:val="24"/>
          <w:szCs w:val="24"/>
        </w:rPr>
        <w:t xml:space="preserve">wrap</w:t>
      </w:r>
      <w:r>
        <w:rPr>
          <w:rFonts w:ascii="Arial" w:hAnsi="Arial" w:cs="Arial" w:eastAsia="Arial"/>
          <w:sz w:val="24"/>
          <w:szCs w:val="24"/>
        </w:rPr>
        <w:t xml:space="preserve"> (to give up) and </w:t>
      </w:r>
      <w:r>
        <w:rPr>
          <w:rFonts w:ascii="Arial" w:hAnsi="Arial" w:cs="Arial" w:eastAsia="Arial"/>
          <w:i/>
          <w:sz w:val="24"/>
          <w:szCs w:val="24"/>
        </w:rPr>
        <w:t xml:space="preserve">admin vortex</w:t>
      </w:r>
      <w:r>
        <w:rPr>
          <w:rFonts w:ascii="Arial" w:hAnsi="Arial" w:cs="Arial" w:eastAsia="Arial"/>
          <w:sz w:val="24"/>
          <w:szCs w:val="24"/>
        </w:rPr>
        <w:t xml:space="preserve">, and contributes to military development by illustrating sound practice in orders, rehearsals, fieldcraft and the principle of training men “to think two levels above their own”.</w:t>
      </w:r>
      <w:r>
        <w:rPr>
          <w:rStyle w:val="FootnoteReference"/>
          <w:rFonts w:ascii="Arial" w:hAnsi="Arial" w:cs="Arial" w:eastAsia="Arial"/>
          <w:sz w:val="24"/>
          <w:szCs w:val="24"/>
          <w:vertAlign w:val="superscript"/>
        </w:rPr>
        <w:footnoteReference w:id="18"/>
      </w:r>
    </w:p>
    <w:p>
      <w:pPr>
        <w:keepNext/>
        <w:spacing w:before="0" w:after="0" w:line="480" w:lineRule="auto"/>
        <w:jc w:val="left"/>
      </w:pPr>
      <w:r>
        <w:rPr>
          <w:rFonts w:ascii="Arial" w:hAnsi="Arial" w:cs="Arial" w:eastAsia="Arial"/>
          <w:b/>
          <w:u w:val="single"/>
          <w:sz w:val="24"/>
          <w:szCs w:val="24"/>
        </w:rPr>
        <w:t xml:space="preserve">Facts</w:t>
      </w:r>
    </w:p>
    <w:p>
      <w:pPr>
        <w:spacing w:before="0" w:after="160" w:line="480" w:lineRule="auto"/>
        <w:jc w:val="both"/>
      </w:pPr>
      <w:r>
        <w:rPr>
          <w:rFonts w:ascii="Arial" w:hAnsi="Arial" w:cs="Arial" w:eastAsia="Arial"/>
          <w:sz w:val="24"/>
          <w:szCs w:val="24"/>
        </w:rPr>
        <w:t xml:space="preserve">The author presents his facts with commendable precision. Course numbers, dates, attrition figures and test standards are carefully recorded, from the 72-minute pass time of the endurance course to the eight hours allowed for the 30-mile march.</w:t>
      </w:r>
      <w:r>
        <w:rPr>
          <w:rStyle w:val="FootnoteReference"/>
          <w:rFonts w:ascii="Arial" w:hAnsi="Arial" w:cs="Arial" w:eastAsia="Arial"/>
          <w:sz w:val="24"/>
          <w:szCs w:val="24"/>
          <w:vertAlign w:val="superscript"/>
        </w:rPr>
        <w:footnoteReference w:id="19"/>
      </w:r>
      <w:r>
        <w:rPr>
          <w:rFonts w:ascii="Arial" w:hAnsi="Arial" w:cs="Arial" w:eastAsia="Arial"/>
          <w:sz w:val="24"/>
          <w:szCs w:val="24"/>
        </w:rPr>
        <w:t xml:space="preserve"> These standards are consistent with independent accounts of the Commando Course,</w:t>
      </w:r>
      <w:r>
        <w:rPr>
          <w:rStyle w:val="FootnoteReference"/>
          <w:rFonts w:ascii="Arial" w:hAnsi="Arial" w:cs="Arial" w:eastAsia="Arial"/>
          <w:sz w:val="24"/>
          <w:szCs w:val="24"/>
          <w:vertAlign w:val="superscript"/>
        </w:rPr>
        <w:footnoteReference w:id="20"/>
      </w:r>
      <w:r>
        <w:rPr>
          <w:rFonts w:ascii="Arial" w:hAnsi="Arial" w:cs="Arial" w:eastAsia="Arial"/>
          <w:sz w:val="24"/>
          <w:szCs w:val="24"/>
        </w:rPr>
        <w:t xml:space="preserve"> and the accuracy of the narrative was strengthened by the Commandant and training teams, who read the relevant chapters before publication. This attention to detail enhances the credibility of the work and makes it a dependable reference on commando training.</w:t>
      </w:r>
    </w:p>
    <w:p>
      <w:pPr>
        <w:keepNext/>
        <w:spacing w:before="0" w:after="0" w:line="480" w:lineRule="auto"/>
        <w:jc w:val="left"/>
      </w:pPr>
      <w:r>
        <w:rPr>
          <w:rFonts w:ascii="Arial" w:hAnsi="Arial" w:cs="Arial" w:eastAsia="Arial"/>
          <w:b/>
          <w:u w:val="single"/>
          <w:sz w:val="24"/>
          <w:szCs w:val="24"/>
        </w:rPr>
        <w:t xml:space="preserve">Clarity</w:t>
      </w:r>
    </w:p>
    <w:p>
      <w:pPr>
        <w:spacing w:before="0" w:after="160" w:line="480" w:lineRule="auto"/>
        <w:jc w:val="both"/>
      </w:pPr>
      <w:r>
        <w:rPr>
          <w:rFonts w:ascii="Arial" w:hAnsi="Arial" w:cs="Arial" w:eastAsia="Arial"/>
          <w:sz w:val="24"/>
          <w:szCs w:val="24"/>
        </w:rPr>
        <w:t xml:space="preserve">The author presents the demanding world of commando training in a highly reader-friendly manner. The chapters follow the course in logical sequence, building steadily towards the climax of the Commando Tests, so that even readers without military experience can easily follow events. Military terms are explained as they arise, and the use of straightforward language contributes significantly to clarity. In addition, the organisation chart, the diagram of the endurance course and the captioned photographs help readers to visualise the training areas and follow the characters, while the index enables quick reference to key topics.</w:t>
      </w:r>
    </w:p>
    <w:p>
      <w:pPr>
        <w:keepNext/>
        <w:spacing w:before="0" w:after="0" w:line="480" w:lineRule="auto"/>
        <w:jc w:val="left"/>
      </w:pPr>
      <w:r>
        <w:rPr>
          <w:rFonts w:ascii="Arial" w:hAnsi="Arial" w:cs="Arial" w:eastAsia="Arial"/>
          <w:b/>
          <w:u w:val="single"/>
          <w:sz w:val="24"/>
          <w:szCs w:val="24"/>
        </w:rPr>
        <w:t xml:space="preserve">Readability</w:t>
      </w:r>
    </w:p>
    <w:p>
      <w:pPr>
        <w:spacing w:before="0" w:after="160" w:line="480" w:lineRule="auto"/>
        <w:jc w:val="both"/>
      </w:pPr>
      <w:r>
        <w:rPr>
          <w:rFonts w:ascii="Arial" w:hAnsi="Arial" w:cs="Arial" w:eastAsia="Arial"/>
          <w:sz w:val="24"/>
          <w:szCs w:val="24"/>
        </w:rPr>
        <w:t xml:space="preserve">The book is highly readable as it strikes an excellent balance between authenticity and accessibility. Written largely in the present tense, it carries the immediacy of a live documentary, and its word pictures are unforgettable: the pitch darkness of the dunker trainer, the spray of rigid raiders racing at forty knots, and feet left “as white as snow and painfully wrinkled” after a week on Dartmoor.</w:t>
      </w:r>
      <w:r>
        <w:rPr>
          <w:rStyle w:val="FootnoteReference"/>
          <w:rFonts w:ascii="Arial" w:hAnsi="Arial" w:cs="Arial" w:eastAsia="Arial"/>
          <w:sz w:val="24"/>
          <w:szCs w:val="24"/>
          <w:vertAlign w:val="superscript"/>
        </w:rPr>
        <w:footnoteReference w:id="21"/>
      </w:r>
      <w:r>
        <w:rPr>
          <w:rFonts w:ascii="Arial" w:hAnsi="Arial" w:cs="Arial" w:eastAsia="Arial"/>
          <w:sz w:val="24"/>
          <w:szCs w:val="24"/>
        </w:rPr>
        <w:t xml:space="preserve"> The lively exchanges between instructors and recruits, laced with barrack-room humour, make the book a genuine page-turner and an enjoyable and informative read for a diverse audience.</w:t>
      </w:r>
    </w:p>
    <w:p>
      <w:pPr>
        <w:keepNext/>
        <w:spacing w:before="0" w:after="0" w:line="480" w:lineRule="auto"/>
        <w:jc w:val="left"/>
      </w:pPr>
      <w:r>
        <w:rPr>
          <w:rFonts w:ascii="Arial" w:hAnsi="Arial" w:cs="Arial" w:eastAsia="Arial"/>
          <w:b/>
          <w:u w:val="single"/>
          <w:sz w:val="24"/>
          <w:szCs w:val="24"/>
        </w:rPr>
        <w:t xml:space="preserve">Mental Stimulation</w:t>
      </w:r>
    </w:p>
    <w:p>
      <w:pPr>
        <w:spacing w:before="0" w:after="160" w:line="480" w:lineRule="auto"/>
        <w:jc w:val="both"/>
      </w:pPr>
      <w:r>
        <w:rPr>
          <w:rFonts w:ascii="Arial" w:hAnsi="Arial" w:cs="Arial" w:eastAsia="Arial"/>
          <w:sz w:val="24"/>
          <w:szCs w:val="24"/>
        </w:rPr>
        <w:t xml:space="preserve">The book offers an intellectually stimulating experience. It invites readers into the demanding world of commando training and challenges them to ask how they themselves would have coped. It raises thought-provoking questions about leadership and selection: when an injured but determined recruit deserves another chance, how high standards are maintained without inflexibility, and how an honest mistake differs from a lapse of integrity. In doing so, the book fosters a deeper understanding of resilience, motivation and the human dimension of military training, providing ample mental stimulation for officers and general readers alike.</w:t>
      </w:r>
    </w:p>
    <w:p>
      <w:pPr>
        <w:keepNext/>
        <w:spacing w:before="0" w:after="0" w:line="480" w:lineRule="auto"/>
        <w:jc w:val="left"/>
      </w:pPr>
      <w:r>
        <w:rPr>
          <w:rFonts w:ascii="Arial" w:hAnsi="Arial" w:cs="Arial" w:eastAsia="Arial"/>
          <w:b/>
          <w:u w:val="single"/>
          <w:sz w:val="24"/>
          <w:szCs w:val="24"/>
        </w:rPr>
        <w:t xml:space="preserve">Broad mindedness</w:t>
      </w:r>
    </w:p>
    <w:p>
      <w:pPr>
        <w:spacing w:before="0" w:after="160" w:line="480" w:lineRule="auto"/>
        <w:jc w:val="both"/>
      </w:pPr>
      <w:r>
        <w:rPr>
          <w:rFonts w:ascii="Arial" w:hAnsi="Arial" w:cs="Arial" w:eastAsia="Arial"/>
          <w:sz w:val="24"/>
          <w:szCs w:val="24"/>
        </w:rPr>
        <w:t xml:space="preserve">The author demonstrates a commendable level of broad-mindedness by presenting a balanced and honest perspective on commando training. He allows every voice to be heard, from the youngest recruit to the Commandant, and records failures and disagreements as faithfully as successes. The book treats those who fall short with dignity and portrays an institution that is demanding yet humane; as Major Lear observes of the remedial Hunter Troop, “If we break somebody, we can’t just throw him on to the scrap heap.”</w:t>
      </w:r>
      <w:r>
        <w:rPr>
          <w:rStyle w:val="FootnoteReference"/>
          <w:rFonts w:ascii="Arial" w:hAnsi="Arial" w:cs="Arial" w:eastAsia="Arial"/>
          <w:sz w:val="24"/>
          <w:szCs w:val="24"/>
          <w:vertAlign w:val="superscript"/>
        </w:rPr>
        <w:footnoteReference w:id="22"/>
      </w:r>
      <w:r>
        <w:rPr>
          <w:rFonts w:ascii="Arial" w:hAnsi="Arial" w:cs="Arial" w:eastAsia="Arial"/>
          <w:sz w:val="24"/>
          <w:szCs w:val="24"/>
        </w:rPr>
        <w:t xml:space="preserve"> This open and inclusive approach makes the book an enlightening resource for any military officer interested in the development of soldiers.</w:t>
      </w:r>
    </w:p>
    <w:p>
      <w:pPr>
        <w:keepNext/>
        <w:spacing w:before="0" w:after="0" w:line="480" w:lineRule="auto"/>
        <w:jc w:val="left"/>
      </w:pPr>
      <w:r>
        <w:rPr>
          <w:rFonts w:ascii="Arial" w:hAnsi="Arial" w:cs="Arial" w:eastAsia="Arial"/>
          <w:b/>
          <w:u w:val="single"/>
          <w:sz w:val="24"/>
          <w:szCs w:val="24"/>
        </w:rPr>
        <w:t xml:space="preserve">Inspiration</w:t>
      </w:r>
    </w:p>
    <w:p>
      <w:pPr>
        <w:spacing w:before="0" w:after="160" w:line="480" w:lineRule="auto"/>
        <w:jc w:val="both"/>
      </w:pPr>
      <w:r>
        <w:rPr>
          <w:rFonts w:ascii="Arial" w:hAnsi="Arial" w:cs="Arial" w:eastAsia="Arial"/>
          <w:sz w:val="24"/>
          <w:szCs w:val="24"/>
        </w:rPr>
        <w:t xml:space="preserve">The book serves as a source of inspiration on multiple fronts. It highlights the remarkable perseverance of young men who endure cold, exhaustion and injury in pursuit of a single goal, most notably Recruit Jaftha, who returned again and again to the obstacle that broke his leg until he finally conquered it. Senior commanders such as Colonel Mike Taffinder, Major Jon Lear and Captain Leo Williams provide inspiring examples of leaders who know their men and take hard decisions with fairness and compassion, while Sergeant Major Dobson’s declaration that “warrant officers can’t wrap” captures the spirit of leading by example.</w:t>
      </w:r>
      <w:r>
        <w:rPr>
          <w:rStyle w:val="FootnoteReference"/>
          <w:rFonts w:ascii="Arial" w:hAnsi="Arial" w:cs="Arial" w:eastAsia="Arial"/>
          <w:sz w:val="24"/>
          <w:szCs w:val="24"/>
          <w:vertAlign w:val="superscript"/>
        </w:rPr>
        <w:footnoteReference w:id="23"/>
      </w:r>
      <w:r>
        <w:rPr>
          <w:rFonts w:ascii="Arial" w:hAnsi="Arial" w:cs="Arial" w:eastAsia="Arial"/>
          <w:sz w:val="24"/>
          <w:szCs w:val="24"/>
        </w:rPr>
        <w:t xml:space="preserve"> For military officers, the book offers practical inspiration in resilience, self-discipline and decisive leadership under pressure.</w:t>
      </w:r>
    </w:p>
    <w:p>
      <w:pPr>
        <w:keepNext/>
        <w:spacing w:before="0" w:after="160" w:line="480" w:lineRule="auto"/>
        <w:jc w:val="left"/>
      </w:pPr>
      <w:r>
        <w:rPr>
          <w:rFonts w:ascii="Arial" w:hAnsi="Arial" w:cs="Arial" w:eastAsia="Arial"/>
          <w:sz w:val="24"/>
          <w:szCs w:val="24"/>
        </w:rPr>
        <w:t xml:space="preserve">19.</w:t>
        <w:tab/>
      </w:r>
      <w:r>
        <w:rPr>
          <w:rFonts w:ascii="Arial" w:hAnsi="Arial" w:cs="Arial" w:eastAsia="Arial"/>
          <w:b/>
          <w:u w:val="single"/>
          <w:sz w:val="24"/>
          <w:szCs w:val="24"/>
        </w:rPr>
        <w:t xml:space="preserve">LESSONS LEARNT</w:t>
      </w:r>
    </w:p>
    <w:p>
      <w:pPr>
        <w:numPr>
          <w:ilvl w:val="0"/>
          <w:numId w:val="4000"/>
        </w:numPr>
        <w:spacing w:before="0" w:after="160" w:line="480" w:lineRule="auto"/>
        <w:ind w:left="720" w:hanging="360"/>
        <w:jc w:val="both"/>
      </w:pPr>
      <w:r>
        <w:rPr>
          <w:rFonts w:ascii="Arial" w:hAnsi="Arial" w:cs="Arial" w:eastAsia="Arial"/>
          <w:sz w:val="24"/>
          <w:szCs w:val="24"/>
        </w:rPr>
        <w:t xml:space="preserve">The book provides valuable lessons in mental resilience. It demonstrates that success on the Commando Course depends less on physical strength than on the determination to keep going when cold, wet and exhausted. For military officers, this underscores the need to build mental toughness deliberately into training, particularly in preparation for prolonged operations and high-pressure environments.</w:t>
      </w:r>
    </w:p>
    <w:p>
      <w:pPr>
        <w:numPr>
          <w:ilvl w:val="0"/>
          <w:numId w:val="4000"/>
        </w:numPr>
        <w:spacing w:before="0" w:after="160" w:line="480" w:lineRule="auto"/>
        <w:ind w:left="720" w:hanging="360"/>
        <w:jc w:val="both"/>
      </w:pPr>
      <w:r>
        <w:rPr>
          <w:rFonts w:ascii="Arial" w:hAnsi="Arial" w:cs="Arial" w:eastAsia="Arial"/>
          <w:sz w:val="24"/>
          <w:szCs w:val="24"/>
        </w:rPr>
        <w:t xml:space="preserve">The book emphasises the importance of personal administration and attention to detail. Recruits who failed to maintain their weapons, equipment and feet quickly became liabilities to their sections. This offers a useful lesson for officers on enforcing standards of personal discipline, which form the foundation of operational effectiveness.</w:t>
      </w:r>
    </w:p>
    <w:p>
      <w:pPr>
        <w:numPr>
          <w:ilvl w:val="0"/>
          <w:numId w:val="4000"/>
        </w:numPr>
        <w:spacing w:before="0" w:after="160" w:line="480" w:lineRule="auto"/>
        <w:ind w:left="720" w:hanging="360"/>
        <w:jc w:val="both"/>
      </w:pPr>
      <w:r>
        <w:rPr>
          <w:rFonts w:ascii="Arial" w:hAnsi="Arial" w:cs="Arial" w:eastAsia="Arial"/>
          <w:sz w:val="24"/>
          <w:szCs w:val="24"/>
        </w:rPr>
        <w:t xml:space="preserve">The book illustrates the value of common standards in building a joint force. Soldiers, sailors and airmen who pass the same tests as the Royal Marines earn the trust of the formation they join. This is directly relevant to the Ghana Armed Forces in joint operations and multinational peace support missions, where interoperability depends on shared standards.</w:t>
      </w:r>
    </w:p>
    <w:p>
      <w:pPr>
        <w:numPr>
          <w:ilvl w:val="0"/>
          <w:numId w:val="4000"/>
        </w:numPr>
        <w:spacing w:before="0" w:after="160" w:line="480" w:lineRule="auto"/>
        <w:ind w:left="720" w:hanging="360"/>
        <w:jc w:val="both"/>
      </w:pPr>
      <w:r>
        <w:rPr>
          <w:rFonts w:ascii="Arial" w:hAnsi="Arial" w:cs="Arial" w:eastAsia="Arial"/>
          <w:sz w:val="24"/>
          <w:szCs w:val="24"/>
        </w:rPr>
        <w:t xml:space="preserve">The book provides lessons in leadership and man-management. The instructors and commanders it portrays combine firmness with fairness, assessing each soldier as a whole rather than on isolated faults. For military professionals, this reflects the importance of knowing one’s men and taking difficult decisions with both rigour and compassion.</w:t>
      </w:r>
    </w:p>
    <w:p>
      <w:pPr>
        <w:numPr>
          <w:ilvl w:val="0"/>
          <w:numId w:val="4000"/>
        </w:numPr>
        <w:spacing w:before="0" w:after="160" w:line="480" w:lineRule="auto"/>
        <w:ind w:left="720" w:hanging="360"/>
        <w:jc w:val="both"/>
      </w:pPr>
      <w:r>
        <w:rPr>
          <w:rFonts w:ascii="Arial" w:hAnsi="Arial" w:cs="Arial" w:eastAsia="Arial"/>
          <w:sz w:val="24"/>
          <w:szCs w:val="24"/>
        </w:rPr>
        <w:t xml:space="preserve">The book highlights the importance of thorough planning, rehearsal and integrity. Detailed orders and rehearsals sustained the troop’s raid even when communications failed, while lapses of honesty were dealt with severely. This reinforces for officers that sound planning and unquestionable integrity are the bedrock of trust and mission success.</w:t>
      </w:r>
    </w:p>
    <w:p>
      <w:pPr>
        <w:keepNext/>
        <w:spacing w:before="0" w:after="160" w:line="480" w:lineRule="auto"/>
        <w:jc w:val="left"/>
      </w:pPr>
      <w:r>
        <w:rPr>
          <w:rFonts w:ascii="Arial" w:hAnsi="Arial" w:cs="Arial" w:eastAsia="Arial"/>
          <w:sz w:val="24"/>
          <w:szCs w:val="24"/>
        </w:rPr>
        <w:t xml:space="preserve">20.</w:t>
        <w:tab/>
      </w:r>
      <w:r>
        <w:rPr>
          <w:rFonts w:ascii="Arial" w:hAnsi="Arial" w:cs="Arial" w:eastAsia="Arial"/>
          <w:b/>
          <w:u w:val="single"/>
          <w:sz w:val="24"/>
          <w:szCs w:val="24"/>
        </w:rPr>
        <w:t xml:space="preserve">CONCLUSION</w:t>
      </w:r>
    </w:p>
    <w:p>
      <w:pPr>
        <w:spacing w:before="0" w:after="160" w:line="480" w:lineRule="auto"/>
        <w:jc w:val="both"/>
      </w:pPr>
      <w:r>
        <w:rPr>
          <w:rFonts w:ascii="Arial" w:hAnsi="Arial" w:cs="Arial" w:eastAsia="Arial"/>
          <w:sz w:val="24"/>
          <w:szCs w:val="24"/>
        </w:rPr>
        <w:t xml:space="preserve">“Commando: Winning the Green Beret” by Hugh McManners vividly captures the journey of young recruits and seasoned volunteers through one of the most demanding military courses in the world. The book narrates their struggle through the Final Exercise and the Commando Tests and their transformation into members of an elite fighting force. Its clear narrative, authentic dialogue and rich illustrations make the realities of commando training accessible to readers regardless of their prior knowledge. Beyond its readability, the book offers a wealth of valuable lessons in resilience, discipline, leadership and integrity, and provides useful insights for military professionals on the selection and training of soldiers. It is highly recommended to all officers, particularly those engaged in training and the selection of soldiers for specialist units, as a worthy addition to their professional reading.</w:t>
      </w:r>
    </w:p>
    <w:p>
      <w:pPr>
        <w:keepNext/>
        <w:spacing w:before="240" w:after="160" w:line="480" w:lineRule="auto"/>
        <w:jc w:val="left"/>
      </w:pPr>
      <w:r>
        <w:rPr>
          <w:rFonts w:ascii="Arial" w:hAnsi="Arial" w:cs="Arial" w:eastAsia="Arial"/>
          <w:b/>
          <w:u w:val="single"/>
          <w:sz w:val="24"/>
          <w:szCs w:val="24"/>
        </w:rPr>
        <w:t xml:space="preserve">REFERENCES</w:t>
      </w:r>
    </w:p>
    <w:p>
      <w:pPr>
        <w:spacing w:before="0" w:after="80" w:line="276" w:lineRule="auto"/>
        <w:jc w:val="both"/>
      </w:pPr>
      <w:r>
        <w:rPr>
          <w:rFonts w:ascii="Arial" w:hAnsi="Arial" w:cs="Arial" w:eastAsia="Arial"/>
          <w:sz w:val="24"/>
          <w:szCs w:val="24"/>
        </w:rPr>
        <w:t xml:space="preserve">1. </w:t>
      </w:r>
      <w:r>
        <w:rPr>
          <w:rFonts w:ascii="Arial" w:hAnsi="Arial" w:cs="Arial" w:eastAsia="Arial"/>
          <w:sz w:val="24"/>
          <w:szCs w:val="24"/>
        </w:rPr>
        <w:t xml:space="preserve">Amazon.co.uk. Retrieved from: https://www.amazon.co.uk/Commando-Winning-Green-Beret-Network/dp/0563369817</w:t>
      </w:r>
    </w:p>
    <w:p>
      <w:pPr>
        <w:spacing w:before="0" w:after="80" w:line="276" w:lineRule="auto"/>
        <w:jc w:val="both"/>
      </w:pPr>
      <w:r>
        <w:rPr>
          <w:rFonts w:ascii="Arial" w:hAnsi="Arial" w:cs="Arial" w:eastAsia="Arial"/>
          <w:sz w:val="24"/>
          <w:szCs w:val="24"/>
        </w:rPr>
        <w:t xml:space="preserve">2. </w:t>
      </w:r>
      <w:r>
        <w:rPr>
          <w:rFonts w:ascii="Arial" w:hAnsi="Arial" w:cs="Arial" w:eastAsia="Arial"/>
          <w:sz w:val="24"/>
          <w:szCs w:val="24"/>
        </w:rPr>
        <w:t xml:space="preserve">Commando Veterans Archive. (n.d.). </w:t>
      </w:r>
      <w:r>
        <w:rPr>
          <w:rFonts w:ascii="Arial" w:hAnsi="Arial" w:cs="Arial" w:eastAsia="Arial"/>
          <w:i/>
          <w:sz w:val="24"/>
          <w:szCs w:val="24"/>
        </w:rPr>
        <w:t xml:space="preserve">Falklands Campaign – Mention in Despatches</w:t>
      </w:r>
      <w:r>
        <w:rPr>
          <w:rFonts w:ascii="Arial" w:hAnsi="Arial" w:cs="Arial" w:eastAsia="Arial"/>
          <w:sz w:val="24"/>
          <w:szCs w:val="24"/>
        </w:rPr>
        <w:t xml:space="preserve">. Retrieved from: https://www.commandoveterans.org/node/5568</w:t>
      </w:r>
    </w:p>
    <w:p>
      <w:pPr>
        <w:spacing w:before="0" w:after="80" w:line="276" w:lineRule="auto"/>
        <w:jc w:val="both"/>
      </w:pPr>
      <w:r>
        <w:rPr>
          <w:rFonts w:ascii="Arial" w:hAnsi="Arial" w:cs="Arial" w:eastAsia="Arial"/>
          <w:sz w:val="24"/>
          <w:szCs w:val="24"/>
        </w:rPr>
        <w:t xml:space="preserve">3. </w:t>
      </w:r>
      <w:r>
        <w:rPr>
          <w:rFonts w:ascii="Arial" w:hAnsi="Arial" w:cs="Arial" w:eastAsia="Arial"/>
          <w:sz w:val="24"/>
          <w:szCs w:val="24"/>
        </w:rPr>
        <w:t xml:space="preserve">Commando Veterans Archive. (2013). </w:t>
      </w:r>
      <w:r>
        <w:rPr>
          <w:rFonts w:ascii="Arial" w:hAnsi="Arial" w:cs="Arial" w:eastAsia="Arial"/>
          <w:i/>
          <w:sz w:val="24"/>
          <w:szCs w:val="24"/>
        </w:rPr>
        <w:t xml:space="preserve">The Four Commando Tests</w:t>
      </w:r>
      <w:r>
        <w:rPr>
          <w:rFonts w:ascii="Arial" w:hAnsi="Arial" w:cs="Arial" w:eastAsia="Arial"/>
          <w:sz w:val="24"/>
          <w:szCs w:val="24"/>
        </w:rPr>
        <w:t xml:space="preserve">. Retrieved from: https://www.commandoveterans.org/node/5093</w:t>
      </w:r>
    </w:p>
    <w:p>
      <w:pPr>
        <w:spacing w:before="0" w:after="80" w:line="276" w:lineRule="auto"/>
        <w:jc w:val="both"/>
      </w:pPr>
      <w:r>
        <w:rPr>
          <w:rFonts w:ascii="Arial" w:hAnsi="Arial" w:cs="Arial" w:eastAsia="Arial"/>
          <w:sz w:val="24"/>
          <w:szCs w:val="24"/>
        </w:rPr>
        <w:t xml:space="preserve">4. </w:t>
      </w:r>
      <w:r>
        <w:rPr>
          <w:rFonts w:ascii="Arial" w:hAnsi="Arial" w:cs="Arial" w:eastAsia="Arial"/>
          <w:sz w:val="24"/>
          <w:szCs w:val="24"/>
        </w:rPr>
        <w:t xml:space="preserve">McManners, H. (n.d.). </w:t>
      </w:r>
      <w:r>
        <w:rPr>
          <w:rFonts w:ascii="Arial" w:hAnsi="Arial" w:cs="Arial" w:eastAsia="Arial"/>
          <w:i/>
          <w:sz w:val="24"/>
          <w:szCs w:val="24"/>
        </w:rPr>
        <w:t xml:space="preserve">Falklands Commando</w:t>
      </w:r>
      <w:r>
        <w:rPr>
          <w:rFonts w:ascii="Arial" w:hAnsi="Arial" w:cs="Arial" w:eastAsia="Arial"/>
          <w:sz w:val="24"/>
          <w:szCs w:val="24"/>
        </w:rPr>
        <w:t xml:space="preserve">. Retrieved from: https://www.hughmcmanners.com/?p=1601</w:t>
      </w:r>
    </w:p>
    <w:p>
      <w:pPr>
        <w:spacing w:before="0" w:after="80" w:line="276" w:lineRule="auto"/>
        <w:jc w:val="both"/>
      </w:pPr>
      <w:r>
        <w:rPr>
          <w:rFonts w:ascii="Arial" w:hAnsi="Arial" w:cs="Arial" w:eastAsia="Arial"/>
          <w:sz w:val="24"/>
          <w:szCs w:val="24"/>
        </w:rPr>
        <w:t xml:space="preserve">5. </w:t>
      </w:r>
      <w:r>
        <w:rPr>
          <w:rFonts w:ascii="Arial" w:hAnsi="Arial" w:cs="Arial" w:eastAsia="Arial"/>
          <w:sz w:val="24"/>
          <w:szCs w:val="24"/>
        </w:rPr>
        <w:t xml:space="preserve">McManners, H. (1994). </w:t>
      </w:r>
      <w:r>
        <w:rPr>
          <w:rFonts w:ascii="Arial" w:hAnsi="Arial" w:cs="Arial" w:eastAsia="Arial"/>
          <w:i/>
          <w:sz w:val="24"/>
          <w:szCs w:val="24"/>
        </w:rPr>
        <w:t xml:space="preserve">Commando: Winning the Green Beret</w:t>
      </w:r>
      <w:r>
        <w:rPr>
          <w:rFonts w:ascii="Arial" w:hAnsi="Arial" w:cs="Arial" w:eastAsia="Arial"/>
          <w:sz w:val="24"/>
          <w:szCs w:val="24"/>
        </w:rPr>
        <w:t xml:space="preserve">. London: Network Books (BBC Books).</w:t>
      </w:r>
    </w:p>
    <w:p>
      <w:pPr>
        <w:spacing w:before="0" w:after="80" w:line="276" w:lineRule="auto"/>
        <w:jc w:val="both"/>
      </w:pPr>
      <w:r>
        <w:rPr>
          <w:rFonts w:ascii="Arial" w:hAnsi="Arial" w:cs="Arial" w:eastAsia="Arial"/>
          <w:sz w:val="24"/>
          <w:szCs w:val="24"/>
        </w:rPr>
        <w:t xml:space="preserve">6. </w:t>
      </w:r>
      <w:r>
        <w:rPr>
          <w:rFonts w:ascii="Arial" w:hAnsi="Arial" w:cs="Arial" w:eastAsia="Arial"/>
          <w:sz w:val="24"/>
          <w:szCs w:val="24"/>
        </w:rPr>
        <w:t xml:space="preserve">Melbourne University Publishing. (n.d.). </w:t>
      </w:r>
      <w:r>
        <w:rPr>
          <w:rFonts w:ascii="Arial" w:hAnsi="Arial" w:cs="Arial" w:eastAsia="Arial"/>
          <w:i/>
          <w:sz w:val="24"/>
          <w:szCs w:val="24"/>
        </w:rPr>
        <w:t xml:space="preserve">Author profile: Hugh McManners</w:t>
      </w:r>
      <w:r>
        <w:rPr>
          <w:rFonts w:ascii="Arial" w:hAnsi="Arial" w:cs="Arial" w:eastAsia="Arial"/>
          <w:sz w:val="24"/>
          <w:szCs w:val="24"/>
        </w:rPr>
        <w:t xml:space="preserve">. Retrieved from: https://mup.com.au/authors/hugh-mcmanners</w:t>
      </w:r>
    </w:p>
    <w:p>
      <w:pPr>
        <w:spacing w:before="0" w:after="80" w:line="276" w:lineRule="auto"/>
        <w:jc w:val="both"/>
      </w:pPr>
      <w:r>
        <w:rPr>
          <w:rFonts w:ascii="Arial" w:hAnsi="Arial" w:cs="Arial" w:eastAsia="Arial"/>
          <w:sz w:val="24"/>
          <w:szCs w:val="24"/>
        </w:rPr>
        <w:t xml:space="preserve">7. </w:t>
      </w:r>
      <w:r>
        <w:rPr>
          <w:rFonts w:ascii="Arial" w:hAnsi="Arial" w:cs="Arial" w:eastAsia="Arial"/>
          <w:sz w:val="24"/>
          <w:szCs w:val="24"/>
        </w:rPr>
        <w:t xml:space="preserve">Publishers Weekly. (1995). Review of </w:t>
      </w:r>
      <w:r>
        <w:rPr>
          <w:rFonts w:ascii="Arial" w:hAnsi="Arial" w:cs="Arial" w:eastAsia="Arial"/>
          <w:i/>
          <w:sz w:val="24"/>
          <w:szCs w:val="24"/>
        </w:rPr>
        <w:t xml:space="preserve">Commando</w:t>
      </w:r>
      <w:r>
        <w:rPr>
          <w:rFonts w:ascii="Arial" w:hAnsi="Arial" w:cs="Arial" w:eastAsia="Arial"/>
          <w:sz w:val="24"/>
          <w:szCs w:val="24"/>
        </w:rPr>
        <w:t xml:space="preserve"> by Hugh McManners. Retrieved from: https://www.publishersweekly.com/9780563369813</w:t>
      </w:r>
    </w:p>
    <w:p>
      <w:pPr>
        <w:spacing w:before="0" w:after="80" w:line="276" w:lineRule="auto"/>
        <w:jc w:val="both"/>
      </w:pPr>
      <w:r>
        <w:rPr>
          <w:rFonts w:ascii="Arial" w:hAnsi="Arial" w:cs="Arial" w:eastAsia="Arial"/>
          <w:sz w:val="24"/>
          <w:szCs w:val="24"/>
        </w:rPr>
        <w:t xml:space="preserve">8. </w:t>
      </w:r>
      <w:r>
        <w:rPr>
          <w:rFonts w:ascii="Arial" w:hAnsi="Arial" w:cs="Arial" w:eastAsia="Arial"/>
          <w:sz w:val="24"/>
          <w:szCs w:val="24"/>
        </w:rPr>
        <w:t xml:space="preserve">Royal Marines History. (2020). </w:t>
      </w:r>
      <w:r>
        <w:rPr>
          <w:rFonts w:ascii="Arial" w:hAnsi="Arial" w:cs="Arial" w:eastAsia="Arial"/>
          <w:i/>
          <w:sz w:val="24"/>
          <w:szCs w:val="24"/>
        </w:rPr>
        <w:t xml:space="preserve">HM King George V, The King’s Squad &amp; King’s Badge</w:t>
      </w:r>
      <w:r>
        <w:rPr>
          <w:rFonts w:ascii="Arial" w:hAnsi="Arial" w:cs="Arial" w:eastAsia="Arial"/>
          <w:sz w:val="24"/>
          <w:szCs w:val="24"/>
        </w:rPr>
        <w:t xml:space="preserve">. Retrieved from: https://www.royalmarineshistory.com/post/2020/03/07/hm-king-george-v-the-kings-squad-kings-badge</w:t>
      </w:r>
    </w:p>
    <w:p>
      <w:pPr>
        <w:spacing w:before="0" w:after="80" w:line="276" w:lineRule="auto"/>
        <w:jc w:val="both"/>
      </w:pPr>
      <w:r>
        <w:rPr>
          <w:rFonts w:ascii="Arial" w:hAnsi="Arial" w:cs="Arial" w:eastAsia="Arial"/>
          <w:sz w:val="24"/>
          <w:szCs w:val="24"/>
        </w:rPr>
        <w:t xml:space="preserve">9. </w:t>
      </w:r>
      <w:r>
        <w:rPr>
          <w:rFonts w:ascii="Arial" w:hAnsi="Arial" w:cs="Arial" w:eastAsia="Arial"/>
          <w:sz w:val="24"/>
          <w:szCs w:val="24"/>
        </w:rPr>
        <w:t xml:space="preserve">St Edmund Hall, Oxford. (n.d.). </w:t>
      </w:r>
      <w:r>
        <w:rPr>
          <w:rFonts w:ascii="Arial" w:hAnsi="Arial" w:cs="Arial" w:eastAsia="Arial"/>
          <w:i/>
          <w:sz w:val="24"/>
          <w:szCs w:val="24"/>
        </w:rPr>
        <w:t xml:space="preserve">Hugh McManners</w:t>
      </w:r>
      <w:r>
        <w:rPr>
          <w:rFonts w:ascii="Arial" w:hAnsi="Arial" w:cs="Arial" w:eastAsia="Arial"/>
          <w:sz w:val="24"/>
          <w:szCs w:val="24"/>
        </w:rPr>
        <w:t xml:space="preserve">. Retrieved from: https://www.seh.ox.ac.uk/people/hugh-mcmanners</w:t>
      </w:r>
    </w:p>
    <w:p>
      <w:pPr>
        <w:spacing w:before="0" w:after="80" w:line="276" w:lineRule="auto"/>
        <w:jc w:val="both"/>
      </w:pPr>
      <w:r>
        <w:rPr>
          <w:rFonts w:ascii="Arial" w:hAnsi="Arial" w:cs="Arial" w:eastAsia="Arial"/>
          <w:sz w:val="24"/>
          <w:szCs w:val="24"/>
        </w:rPr>
        <w:t xml:space="preserve">10. </w:t>
      </w:r>
      <w:r>
        <w:rPr>
          <w:rFonts w:ascii="Arial" w:hAnsi="Arial" w:cs="Arial" w:eastAsia="Arial"/>
          <w:sz w:val="24"/>
          <w:szCs w:val="24"/>
        </w:rPr>
        <w:t xml:space="preserve">Wikipedia. (n.d.). </w:t>
      </w:r>
      <w:r>
        <w:rPr>
          <w:rFonts w:ascii="Arial" w:hAnsi="Arial" w:cs="Arial" w:eastAsia="Arial"/>
          <w:i/>
          <w:sz w:val="24"/>
          <w:szCs w:val="24"/>
        </w:rPr>
        <w:t xml:space="preserve">Hugh McManners</w:t>
      </w:r>
      <w:r>
        <w:rPr>
          <w:rFonts w:ascii="Arial" w:hAnsi="Arial" w:cs="Arial" w:eastAsia="Arial"/>
          <w:sz w:val="24"/>
          <w:szCs w:val="24"/>
        </w:rPr>
        <w:t xml:space="preserve">. Retrieved from: https://en.wikipedia.org/wiki/Hugh_McManners</w:t>
      </w:r>
    </w:p>
    <w:sectPr>
      <w:headerReference w:type="default" r:id="rId9"/>
      <w:footerReference w:type="default" r:id="rId10"/>
      <w:pgSz w:w="12240" w:h="15840"/>
      <w:pgMar w:left="1440" w:right="1440" w:top="1440" w:bottom="1440" w:header="720" w:footer="720"/>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120"/>
      <w:jc w:val="center"/>
    </w:pPr>
    <w:fldSimple w:instr="PAGE">
      <w:r>
        <w:rPr>
          <w:rFonts w:ascii="Arial" w:hAnsi="Arial" w:cs="Arial" w:eastAsia="Arial"/>
          <w:sz w:val="24"/>
        </w:rPr>
        <w:t>1</w:t>
      </w:r>
    </w:fldSimple>
  </w:p>
  <w:p>
    <w:pPr>
      <w:pStyle w:val="Footer"/>
      <w:jc w:val="center"/>
    </w:pPr>
    <w:r/>
    <w:r>
      <w:rPr>
        <w:rFonts w:ascii="Arial" w:hAnsi="Arial"/>
        <w:sz w:val="24"/>
      </w:rPr>
      <w:t>RESTRICTED</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
    <w:p>
      <w:pPr>
        <w:pStyle w:val="FootnoteText"/>
        <w:spacing w:after="0" w:line="276" w:lineRule="auto"/>
        <w:jc w:val="both"/>
      </w:pPr>
      <w:r>
        <w:rPr>
          <w:rStyle w:val="FootnoteReference"/>
          <w:rFonts w:ascii="Arial" w:hAnsi="Arial" w:cs="Arial" w:eastAsia="Arial"/>
          <w:sz w:val="16"/>
          <w:szCs w:val="16"/>
          <w:vertAlign w:val="superscript"/>
        </w:rPr>
        <w:footnoteRef/>
      </w:r>
      <w:r>
        <w:rPr>
          <w:rFonts w:ascii="Arial" w:hAnsi="Arial" w:cs="Arial" w:eastAsia="Arial"/>
          <w:sz w:val="16"/>
          <w:szCs w:val="16"/>
        </w:rPr>
        <w:t xml:space="preserve"> </w:t>
      </w:r>
      <w:r>
        <w:rPr>
          <w:rFonts w:ascii="Arial" w:hAnsi="Arial" w:cs="Arial" w:eastAsia="Arial"/>
          <w:sz w:val="16"/>
          <w:szCs w:val="16"/>
        </w:rPr>
        <w:t xml:space="preserve">McManners, H. (1994). </w:t>
      </w:r>
      <w:r>
        <w:rPr>
          <w:rFonts w:ascii="Arial" w:hAnsi="Arial" w:cs="Arial" w:eastAsia="Arial"/>
          <w:i/>
          <w:sz w:val="16"/>
          <w:szCs w:val="16"/>
        </w:rPr>
        <w:t xml:space="preserve">Commando: Winning the Green Beret</w:t>
      </w:r>
      <w:r>
        <w:rPr>
          <w:rFonts w:ascii="Arial" w:hAnsi="Arial" w:cs="Arial" w:eastAsia="Arial"/>
          <w:sz w:val="16"/>
          <w:szCs w:val="16"/>
        </w:rPr>
        <w:t xml:space="preserve">. London: Network Books, pp. 7–8.</w:t>
      </w:r>
    </w:p>
  </w:footnote>
  <w:footnote w:id="2">
    <w:p>
      <w:pPr>
        <w:pStyle w:val="FootnoteText"/>
        <w:spacing w:after="0" w:line="276" w:lineRule="auto"/>
        <w:jc w:val="both"/>
      </w:pPr>
      <w:r>
        <w:rPr>
          <w:rStyle w:val="FootnoteReference"/>
          <w:rFonts w:ascii="Arial" w:hAnsi="Arial" w:cs="Arial" w:eastAsia="Arial"/>
          <w:sz w:val="16"/>
          <w:szCs w:val="16"/>
          <w:vertAlign w:val="superscript"/>
        </w:rPr>
        <w:footnoteRef/>
      </w:r>
      <w:r>
        <w:rPr>
          <w:rFonts w:ascii="Arial" w:hAnsi="Arial" w:cs="Arial" w:eastAsia="Arial"/>
          <w:sz w:val="16"/>
          <w:szCs w:val="16"/>
        </w:rPr>
        <w:t xml:space="preserve"> </w:t>
      </w:r>
      <w:r>
        <w:rPr>
          <w:rFonts w:ascii="Arial" w:hAnsi="Arial" w:cs="Arial" w:eastAsia="Arial"/>
          <w:sz w:val="16"/>
          <w:szCs w:val="16"/>
        </w:rPr>
        <w:t xml:space="preserve">McManners, H. (1994). </w:t>
      </w:r>
      <w:r>
        <w:rPr>
          <w:rFonts w:ascii="Arial" w:hAnsi="Arial" w:cs="Arial" w:eastAsia="Arial"/>
          <w:i/>
          <w:sz w:val="16"/>
          <w:szCs w:val="16"/>
        </w:rPr>
        <w:t xml:space="preserve">Commando: Winning the Green Beret</w:t>
      </w:r>
      <w:r>
        <w:rPr>
          <w:rFonts w:ascii="Arial" w:hAnsi="Arial" w:cs="Arial" w:eastAsia="Arial"/>
          <w:sz w:val="16"/>
          <w:szCs w:val="16"/>
        </w:rPr>
        <w:t xml:space="preserve">. London: Network Books, Acknowledgements.</w:t>
      </w:r>
    </w:p>
  </w:footnote>
  <w:footnote w:id="3">
    <w:p>
      <w:pPr>
        <w:pStyle w:val="FootnoteText"/>
        <w:spacing w:after="0" w:line="276" w:lineRule="auto"/>
        <w:jc w:val="both"/>
      </w:pPr>
      <w:r>
        <w:rPr>
          <w:rStyle w:val="FootnoteReference"/>
          <w:rFonts w:ascii="Arial" w:hAnsi="Arial" w:cs="Arial" w:eastAsia="Arial"/>
          <w:sz w:val="16"/>
          <w:szCs w:val="16"/>
          <w:vertAlign w:val="superscript"/>
        </w:rPr>
        <w:footnoteRef/>
      </w:r>
      <w:r>
        <w:rPr>
          <w:rFonts w:ascii="Arial" w:hAnsi="Arial" w:cs="Arial" w:eastAsia="Arial"/>
          <w:sz w:val="16"/>
          <w:szCs w:val="16"/>
        </w:rPr>
        <w:t xml:space="preserve"> </w:t>
      </w:r>
      <w:r>
        <w:rPr>
          <w:rFonts w:ascii="Arial" w:hAnsi="Arial" w:cs="Arial" w:eastAsia="Arial"/>
          <w:sz w:val="16"/>
          <w:szCs w:val="16"/>
        </w:rPr>
        <w:t xml:space="preserve">Publishers Weekly (1995). Review of </w:t>
      </w:r>
      <w:r>
        <w:rPr>
          <w:rFonts w:ascii="Arial" w:hAnsi="Arial" w:cs="Arial" w:eastAsia="Arial"/>
          <w:i/>
          <w:sz w:val="16"/>
          <w:szCs w:val="16"/>
        </w:rPr>
        <w:t xml:space="preserve">Commando</w:t>
      </w:r>
      <w:r>
        <w:rPr>
          <w:rFonts w:ascii="Arial" w:hAnsi="Arial" w:cs="Arial" w:eastAsia="Arial"/>
          <w:sz w:val="16"/>
          <w:szCs w:val="16"/>
        </w:rPr>
        <w:t xml:space="preserve"> by Hugh McManners. Retrieved from: https://www.publishersweekly.com/9780563369813</w:t>
      </w:r>
    </w:p>
  </w:footnote>
  <w:footnote w:id="4">
    <w:p>
      <w:pPr>
        <w:pStyle w:val="FootnoteText"/>
        <w:spacing w:after="0" w:line="276" w:lineRule="auto"/>
        <w:jc w:val="both"/>
      </w:pPr>
      <w:r>
        <w:rPr>
          <w:rStyle w:val="FootnoteReference"/>
          <w:rFonts w:ascii="Arial" w:hAnsi="Arial" w:cs="Arial" w:eastAsia="Arial"/>
          <w:sz w:val="16"/>
          <w:szCs w:val="16"/>
          <w:vertAlign w:val="superscript"/>
        </w:rPr>
        <w:footnoteRef/>
      </w:r>
      <w:r>
        <w:rPr>
          <w:rFonts w:ascii="Arial" w:hAnsi="Arial" w:cs="Arial" w:eastAsia="Arial"/>
          <w:sz w:val="16"/>
          <w:szCs w:val="16"/>
        </w:rPr>
        <w:t xml:space="preserve"> </w:t>
      </w:r>
      <w:r>
        <w:rPr>
          <w:rFonts w:ascii="Arial" w:hAnsi="Arial" w:cs="Arial" w:eastAsia="Arial"/>
          <w:sz w:val="16"/>
          <w:szCs w:val="16"/>
        </w:rPr>
        <w:t xml:space="preserve">St Edmund Hall, Oxford. Hugh McManners. Retrieved from: https://www.seh.ox.ac.uk/people/hugh-mcmanners</w:t>
      </w:r>
    </w:p>
  </w:footnote>
  <w:footnote w:id="5">
    <w:p>
      <w:pPr>
        <w:pStyle w:val="FootnoteText"/>
        <w:spacing w:after="0" w:line="276" w:lineRule="auto"/>
        <w:jc w:val="both"/>
      </w:pPr>
      <w:r>
        <w:rPr>
          <w:rStyle w:val="FootnoteReference"/>
          <w:rFonts w:ascii="Arial" w:hAnsi="Arial" w:cs="Arial" w:eastAsia="Arial"/>
          <w:sz w:val="16"/>
          <w:szCs w:val="16"/>
          <w:vertAlign w:val="superscript"/>
        </w:rPr>
        <w:footnoteRef/>
      </w:r>
      <w:r>
        <w:rPr>
          <w:rFonts w:ascii="Arial" w:hAnsi="Arial" w:cs="Arial" w:eastAsia="Arial"/>
          <w:sz w:val="16"/>
          <w:szCs w:val="16"/>
        </w:rPr>
        <w:t xml:space="preserve"> </w:t>
      </w:r>
      <w:r>
        <w:rPr>
          <w:rFonts w:ascii="Arial" w:hAnsi="Arial" w:cs="Arial" w:eastAsia="Arial"/>
          <w:sz w:val="16"/>
          <w:szCs w:val="16"/>
        </w:rPr>
        <w:t xml:space="preserve">Wikipedia. Hugh McManners. Retrieved from: https://en.wikipedia.org/wiki/Hugh_McManners</w:t>
      </w:r>
    </w:p>
  </w:footnote>
  <w:footnote w:id="6">
    <w:p>
      <w:pPr>
        <w:pStyle w:val="FootnoteText"/>
        <w:spacing w:after="0" w:line="276" w:lineRule="auto"/>
        <w:jc w:val="both"/>
      </w:pPr>
      <w:r>
        <w:rPr>
          <w:rStyle w:val="FootnoteReference"/>
          <w:rFonts w:ascii="Arial" w:hAnsi="Arial" w:cs="Arial" w:eastAsia="Arial"/>
          <w:sz w:val="16"/>
          <w:szCs w:val="16"/>
          <w:vertAlign w:val="superscript"/>
        </w:rPr>
        <w:footnoteRef/>
      </w:r>
      <w:r>
        <w:rPr>
          <w:rFonts w:ascii="Arial" w:hAnsi="Arial" w:cs="Arial" w:eastAsia="Arial"/>
          <w:sz w:val="16"/>
          <w:szCs w:val="16"/>
        </w:rPr>
        <w:t xml:space="preserve"> </w:t>
      </w:r>
      <w:r>
        <w:rPr>
          <w:rFonts w:ascii="Arial" w:hAnsi="Arial" w:cs="Arial" w:eastAsia="Arial"/>
          <w:sz w:val="16"/>
          <w:szCs w:val="16"/>
        </w:rPr>
        <w:t xml:space="preserve">Commando Veterans Archive. Falklands Campaign – Mention in Despatches. Retrieved from: https://www.commandoveterans.org/node/5568</w:t>
      </w:r>
    </w:p>
  </w:footnote>
  <w:footnote w:id="7">
    <w:p>
      <w:pPr>
        <w:pStyle w:val="FootnoteText"/>
        <w:spacing w:after="0" w:line="276" w:lineRule="auto"/>
        <w:jc w:val="both"/>
      </w:pPr>
      <w:r>
        <w:rPr>
          <w:rStyle w:val="FootnoteReference"/>
          <w:rFonts w:ascii="Arial" w:hAnsi="Arial" w:cs="Arial" w:eastAsia="Arial"/>
          <w:sz w:val="16"/>
          <w:szCs w:val="16"/>
          <w:vertAlign w:val="superscript"/>
        </w:rPr>
        <w:footnoteRef/>
      </w:r>
      <w:r>
        <w:rPr>
          <w:rFonts w:ascii="Arial" w:hAnsi="Arial" w:cs="Arial" w:eastAsia="Arial"/>
          <w:sz w:val="16"/>
          <w:szCs w:val="16"/>
        </w:rPr>
        <w:t xml:space="preserve"> </w:t>
      </w:r>
      <w:r>
        <w:rPr>
          <w:rFonts w:ascii="Arial" w:hAnsi="Arial" w:cs="Arial" w:eastAsia="Arial"/>
          <w:sz w:val="16"/>
          <w:szCs w:val="16"/>
        </w:rPr>
        <w:t xml:space="preserve">Melbourne University Publishing. Hugh McManners (author profile). Retrieved from: https://mup.com.au/authors/hugh-mcmanners</w:t>
      </w:r>
    </w:p>
  </w:footnote>
  <w:footnote w:id="8">
    <w:p>
      <w:pPr>
        <w:pStyle w:val="FootnoteText"/>
        <w:spacing w:after="0" w:line="276" w:lineRule="auto"/>
        <w:jc w:val="both"/>
      </w:pPr>
      <w:r>
        <w:rPr>
          <w:rStyle w:val="FootnoteReference"/>
          <w:rFonts w:ascii="Arial" w:hAnsi="Arial" w:cs="Arial" w:eastAsia="Arial"/>
          <w:sz w:val="16"/>
          <w:szCs w:val="16"/>
          <w:vertAlign w:val="superscript"/>
        </w:rPr>
        <w:footnoteRef/>
      </w:r>
      <w:r>
        <w:rPr>
          <w:rFonts w:ascii="Arial" w:hAnsi="Arial" w:cs="Arial" w:eastAsia="Arial"/>
          <w:sz w:val="16"/>
          <w:szCs w:val="16"/>
        </w:rPr>
        <w:t xml:space="preserve"> </w:t>
      </w:r>
      <w:r>
        <w:rPr>
          <w:rFonts w:ascii="Arial" w:hAnsi="Arial" w:cs="Arial" w:eastAsia="Arial"/>
          <w:sz w:val="16"/>
          <w:szCs w:val="16"/>
        </w:rPr>
        <w:t xml:space="preserve">McManners, H. Falklands Commando. Retrieved from: https://www.hughmcmanners.com/?p=1601</w:t>
      </w:r>
    </w:p>
  </w:footnote>
  <w:footnote w:id="9">
    <w:p>
      <w:pPr>
        <w:pStyle w:val="FootnoteText"/>
        <w:spacing w:after="0" w:line="276" w:lineRule="auto"/>
        <w:jc w:val="both"/>
      </w:pPr>
      <w:r>
        <w:rPr>
          <w:rStyle w:val="FootnoteReference"/>
          <w:rFonts w:ascii="Arial" w:hAnsi="Arial" w:cs="Arial" w:eastAsia="Arial"/>
          <w:sz w:val="16"/>
          <w:szCs w:val="16"/>
          <w:vertAlign w:val="superscript"/>
        </w:rPr>
        <w:footnoteRef/>
      </w:r>
      <w:r>
        <w:rPr>
          <w:rFonts w:ascii="Arial" w:hAnsi="Arial" w:cs="Arial" w:eastAsia="Arial"/>
          <w:sz w:val="16"/>
          <w:szCs w:val="16"/>
        </w:rPr>
        <w:t xml:space="preserve"> </w:t>
      </w:r>
      <w:r>
        <w:rPr>
          <w:rFonts w:ascii="Arial" w:hAnsi="Arial" w:cs="Arial" w:eastAsia="Arial"/>
          <w:sz w:val="16"/>
          <w:szCs w:val="16"/>
        </w:rPr>
        <w:t xml:space="preserve">McManners, H. (1994). </w:t>
      </w:r>
      <w:r>
        <w:rPr>
          <w:rFonts w:ascii="Arial" w:hAnsi="Arial" w:cs="Arial" w:eastAsia="Arial"/>
          <w:i/>
          <w:sz w:val="16"/>
          <w:szCs w:val="16"/>
        </w:rPr>
        <w:t xml:space="preserve">Commando: Winning the Green Beret</w:t>
      </w:r>
      <w:r>
        <w:rPr>
          <w:rFonts w:ascii="Arial" w:hAnsi="Arial" w:cs="Arial" w:eastAsia="Arial"/>
          <w:sz w:val="16"/>
          <w:szCs w:val="16"/>
        </w:rPr>
        <w:t xml:space="preserve">. London: Network Books, dust jacket.</w:t>
      </w:r>
    </w:p>
  </w:footnote>
  <w:footnote w:id="10">
    <w:p>
      <w:pPr>
        <w:pStyle w:val="FootnoteText"/>
        <w:spacing w:after="0" w:line="276" w:lineRule="auto"/>
        <w:jc w:val="both"/>
      </w:pPr>
      <w:r>
        <w:rPr>
          <w:rStyle w:val="FootnoteReference"/>
          <w:rFonts w:ascii="Arial" w:hAnsi="Arial" w:cs="Arial" w:eastAsia="Arial"/>
          <w:sz w:val="16"/>
          <w:szCs w:val="16"/>
          <w:vertAlign w:val="superscript"/>
        </w:rPr>
        <w:footnoteRef/>
      </w:r>
      <w:r>
        <w:rPr>
          <w:rFonts w:ascii="Arial" w:hAnsi="Arial" w:cs="Arial" w:eastAsia="Arial"/>
          <w:sz w:val="16"/>
          <w:szCs w:val="16"/>
        </w:rPr>
        <w:t xml:space="preserve"> </w:t>
      </w:r>
      <w:r>
        <w:rPr>
          <w:rFonts w:ascii="Arial" w:hAnsi="Arial" w:cs="Arial" w:eastAsia="Arial"/>
          <w:sz w:val="16"/>
          <w:szCs w:val="16"/>
        </w:rPr>
        <w:t xml:space="preserve">McManners, H. (1994). </w:t>
      </w:r>
      <w:r>
        <w:rPr>
          <w:rFonts w:ascii="Arial" w:hAnsi="Arial" w:cs="Arial" w:eastAsia="Arial"/>
          <w:i/>
          <w:sz w:val="16"/>
          <w:szCs w:val="16"/>
        </w:rPr>
        <w:t xml:space="preserve">Commando: Winning the Green Beret</w:t>
      </w:r>
      <w:r>
        <w:rPr>
          <w:rFonts w:ascii="Arial" w:hAnsi="Arial" w:cs="Arial" w:eastAsia="Arial"/>
          <w:sz w:val="16"/>
          <w:szCs w:val="16"/>
        </w:rPr>
        <w:t xml:space="preserve">. London: Network Books, imprint page.</w:t>
      </w:r>
    </w:p>
  </w:footnote>
  <w:footnote w:id="11">
    <w:p>
      <w:pPr>
        <w:pStyle w:val="FootnoteText"/>
        <w:spacing w:after="0" w:line="276" w:lineRule="auto"/>
        <w:jc w:val="both"/>
      </w:pPr>
      <w:r>
        <w:rPr>
          <w:rStyle w:val="FootnoteReference"/>
          <w:rFonts w:ascii="Arial" w:hAnsi="Arial" w:cs="Arial" w:eastAsia="Arial"/>
          <w:sz w:val="16"/>
          <w:szCs w:val="16"/>
          <w:vertAlign w:val="superscript"/>
        </w:rPr>
        <w:footnoteRef/>
      </w:r>
      <w:r>
        <w:rPr>
          <w:rFonts w:ascii="Arial" w:hAnsi="Arial" w:cs="Arial" w:eastAsia="Arial"/>
          <w:sz w:val="16"/>
          <w:szCs w:val="16"/>
        </w:rPr>
        <w:t xml:space="preserve"> </w:t>
      </w:r>
      <w:r>
        <w:rPr>
          <w:rFonts w:ascii="Arial" w:hAnsi="Arial" w:cs="Arial" w:eastAsia="Arial"/>
          <w:sz w:val="16"/>
          <w:szCs w:val="16"/>
        </w:rPr>
        <w:t xml:space="preserve">Amazon. Commando: Winning the Green Beret (Network Books). Retrieved from: https://www.amazon.co.uk/Commando-Winning-Green-Beret-Network/dp/0563369817</w:t>
      </w:r>
    </w:p>
  </w:footnote>
  <w:footnote w:id="12">
    <w:p>
      <w:pPr>
        <w:pStyle w:val="FootnoteText"/>
        <w:spacing w:after="0" w:line="276" w:lineRule="auto"/>
        <w:jc w:val="both"/>
      </w:pPr>
      <w:r>
        <w:rPr>
          <w:rStyle w:val="FootnoteReference"/>
          <w:rFonts w:ascii="Arial" w:hAnsi="Arial" w:cs="Arial" w:eastAsia="Arial"/>
          <w:sz w:val="16"/>
          <w:szCs w:val="16"/>
          <w:vertAlign w:val="superscript"/>
        </w:rPr>
        <w:footnoteRef/>
      </w:r>
      <w:r>
        <w:rPr>
          <w:rFonts w:ascii="Arial" w:hAnsi="Arial" w:cs="Arial" w:eastAsia="Arial"/>
          <w:sz w:val="16"/>
          <w:szCs w:val="16"/>
        </w:rPr>
        <w:t xml:space="preserve"> </w:t>
      </w:r>
      <w:r>
        <w:rPr>
          <w:rFonts w:ascii="Arial" w:hAnsi="Arial" w:cs="Arial" w:eastAsia="Arial"/>
          <w:sz w:val="16"/>
          <w:szCs w:val="16"/>
        </w:rPr>
        <w:t xml:space="preserve">McManners, H. (1994). </w:t>
      </w:r>
      <w:r>
        <w:rPr>
          <w:rFonts w:ascii="Arial" w:hAnsi="Arial" w:cs="Arial" w:eastAsia="Arial"/>
          <w:i/>
          <w:sz w:val="16"/>
          <w:szCs w:val="16"/>
        </w:rPr>
        <w:t xml:space="preserve">Commando: Winning the Green Beret</w:t>
      </w:r>
      <w:r>
        <w:rPr>
          <w:rFonts w:ascii="Arial" w:hAnsi="Arial" w:cs="Arial" w:eastAsia="Arial"/>
          <w:sz w:val="16"/>
          <w:szCs w:val="16"/>
        </w:rPr>
        <w:t xml:space="preserve">. London: Network Books, p. 11.</w:t>
      </w:r>
    </w:p>
  </w:footnote>
  <w:footnote w:id="13">
    <w:p>
      <w:pPr>
        <w:pStyle w:val="FootnoteText"/>
        <w:spacing w:after="0" w:line="276" w:lineRule="auto"/>
        <w:jc w:val="both"/>
      </w:pPr>
      <w:r>
        <w:rPr>
          <w:rStyle w:val="FootnoteReference"/>
          <w:rFonts w:ascii="Arial" w:hAnsi="Arial" w:cs="Arial" w:eastAsia="Arial"/>
          <w:sz w:val="16"/>
          <w:szCs w:val="16"/>
          <w:vertAlign w:val="superscript"/>
        </w:rPr>
        <w:footnoteRef/>
      </w:r>
      <w:r>
        <w:rPr>
          <w:rFonts w:ascii="Arial" w:hAnsi="Arial" w:cs="Arial" w:eastAsia="Arial"/>
          <w:sz w:val="16"/>
          <w:szCs w:val="16"/>
        </w:rPr>
        <w:t xml:space="preserve"> </w:t>
      </w:r>
      <w:r>
        <w:rPr>
          <w:rFonts w:ascii="Arial" w:hAnsi="Arial" w:cs="Arial" w:eastAsia="Arial"/>
          <w:sz w:val="16"/>
          <w:szCs w:val="16"/>
        </w:rPr>
        <w:t xml:space="preserve">McManners, H. (1994). </w:t>
      </w:r>
      <w:r>
        <w:rPr>
          <w:rFonts w:ascii="Arial" w:hAnsi="Arial" w:cs="Arial" w:eastAsia="Arial"/>
          <w:i/>
          <w:sz w:val="16"/>
          <w:szCs w:val="16"/>
        </w:rPr>
        <w:t xml:space="preserve">Commando: Winning the Green Beret</w:t>
      </w:r>
      <w:r>
        <w:rPr>
          <w:rFonts w:ascii="Arial" w:hAnsi="Arial" w:cs="Arial" w:eastAsia="Arial"/>
          <w:sz w:val="16"/>
          <w:szCs w:val="16"/>
        </w:rPr>
        <w:t xml:space="preserve">. London: Network Books, pp. 13–43.</w:t>
      </w:r>
    </w:p>
  </w:footnote>
  <w:footnote w:id="14">
    <w:p>
      <w:pPr>
        <w:pStyle w:val="FootnoteText"/>
        <w:spacing w:after="0" w:line="276" w:lineRule="auto"/>
        <w:jc w:val="both"/>
      </w:pPr>
      <w:r>
        <w:rPr>
          <w:rStyle w:val="FootnoteReference"/>
          <w:rFonts w:ascii="Arial" w:hAnsi="Arial" w:cs="Arial" w:eastAsia="Arial"/>
          <w:sz w:val="16"/>
          <w:szCs w:val="16"/>
          <w:vertAlign w:val="superscript"/>
        </w:rPr>
        <w:footnoteRef/>
      </w:r>
      <w:r>
        <w:rPr>
          <w:rFonts w:ascii="Arial" w:hAnsi="Arial" w:cs="Arial" w:eastAsia="Arial"/>
          <w:sz w:val="16"/>
          <w:szCs w:val="16"/>
        </w:rPr>
        <w:t xml:space="preserve"> </w:t>
      </w:r>
      <w:r>
        <w:rPr>
          <w:rFonts w:ascii="Arial" w:hAnsi="Arial" w:cs="Arial" w:eastAsia="Arial"/>
          <w:sz w:val="16"/>
          <w:szCs w:val="16"/>
        </w:rPr>
        <w:t xml:space="preserve">McManners, H. (1994). </w:t>
      </w:r>
      <w:r>
        <w:rPr>
          <w:rFonts w:ascii="Arial" w:hAnsi="Arial" w:cs="Arial" w:eastAsia="Arial"/>
          <w:i/>
          <w:sz w:val="16"/>
          <w:szCs w:val="16"/>
        </w:rPr>
        <w:t xml:space="preserve">Commando: Winning the Green Beret</w:t>
      </w:r>
      <w:r>
        <w:rPr>
          <w:rFonts w:ascii="Arial" w:hAnsi="Arial" w:cs="Arial" w:eastAsia="Arial"/>
          <w:sz w:val="16"/>
          <w:szCs w:val="16"/>
        </w:rPr>
        <w:t xml:space="preserve">. London: Network Books, p. 102.</w:t>
      </w:r>
    </w:p>
  </w:footnote>
  <w:footnote w:id="15">
    <w:p>
      <w:pPr>
        <w:pStyle w:val="FootnoteText"/>
        <w:spacing w:after="0" w:line="276" w:lineRule="auto"/>
        <w:jc w:val="both"/>
      </w:pPr>
      <w:r>
        <w:rPr>
          <w:rStyle w:val="FootnoteReference"/>
          <w:rFonts w:ascii="Arial" w:hAnsi="Arial" w:cs="Arial" w:eastAsia="Arial"/>
          <w:sz w:val="16"/>
          <w:szCs w:val="16"/>
          <w:vertAlign w:val="superscript"/>
        </w:rPr>
        <w:footnoteRef/>
      </w:r>
      <w:r>
        <w:rPr>
          <w:rFonts w:ascii="Arial" w:hAnsi="Arial" w:cs="Arial" w:eastAsia="Arial"/>
          <w:sz w:val="16"/>
          <w:szCs w:val="16"/>
        </w:rPr>
        <w:t xml:space="preserve"> </w:t>
      </w:r>
      <w:r>
        <w:rPr>
          <w:rFonts w:ascii="Arial" w:hAnsi="Arial" w:cs="Arial" w:eastAsia="Arial"/>
          <w:sz w:val="16"/>
          <w:szCs w:val="16"/>
        </w:rPr>
        <w:t xml:space="preserve">McManners, H. (1994). </w:t>
      </w:r>
      <w:r>
        <w:rPr>
          <w:rFonts w:ascii="Arial" w:hAnsi="Arial" w:cs="Arial" w:eastAsia="Arial"/>
          <w:i/>
          <w:sz w:val="16"/>
          <w:szCs w:val="16"/>
        </w:rPr>
        <w:t xml:space="preserve">Commando: Winning the Green Beret</w:t>
      </w:r>
      <w:r>
        <w:rPr>
          <w:rFonts w:ascii="Arial" w:hAnsi="Arial" w:cs="Arial" w:eastAsia="Arial"/>
          <w:sz w:val="16"/>
          <w:szCs w:val="16"/>
        </w:rPr>
        <w:t xml:space="preserve">. London: Network Books, p. 133.</w:t>
      </w:r>
    </w:p>
  </w:footnote>
  <w:footnote w:id="16">
    <w:p>
      <w:pPr>
        <w:pStyle w:val="FootnoteText"/>
        <w:spacing w:after="0" w:line="276" w:lineRule="auto"/>
        <w:jc w:val="both"/>
      </w:pPr>
      <w:r>
        <w:rPr>
          <w:rStyle w:val="FootnoteReference"/>
          <w:rFonts w:ascii="Arial" w:hAnsi="Arial" w:cs="Arial" w:eastAsia="Arial"/>
          <w:sz w:val="16"/>
          <w:szCs w:val="16"/>
          <w:vertAlign w:val="superscript"/>
        </w:rPr>
        <w:footnoteRef/>
      </w:r>
      <w:r>
        <w:rPr>
          <w:rFonts w:ascii="Arial" w:hAnsi="Arial" w:cs="Arial" w:eastAsia="Arial"/>
          <w:sz w:val="16"/>
          <w:szCs w:val="16"/>
        </w:rPr>
        <w:t xml:space="preserve"> </w:t>
      </w:r>
      <w:r>
        <w:rPr>
          <w:rFonts w:ascii="Arial" w:hAnsi="Arial" w:cs="Arial" w:eastAsia="Arial"/>
          <w:sz w:val="16"/>
          <w:szCs w:val="16"/>
        </w:rPr>
        <w:t xml:space="preserve">Royal Marines History. HM King George V, The King’s Squad &amp; King’s Badge. Retrieved from: https://www.royalmarineshistory.com/post/2020/03/07/hm-king-george-v-the-kings-squad-kings-badge</w:t>
      </w:r>
    </w:p>
  </w:footnote>
  <w:footnote w:id="17">
    <w:p>
      <w:pPr>
        <w:pStyle w:val="FootnoteText"/>
        <w:spacing w:after="0" w:line="276" w:lineRule="auto"/>
        <w:jc w:val="both"/>
      </w:pPr>
      <w:r>
        <w:rPr>
          <w:rStyle w:val="FootnoteReference"/>
          <w:rFonts w:ascii="Arial" w:hAnsi="Arial" w:cs="Arial" w:eastAsia="Arial"/>
          <w:sz w:val="16"/>
          <w:szCs w:val="16"/>
          <w:vertAlign w:val="superscript"/>
        </w:rPr>
        <w:footnoteRef/>
      </w:r>
      <w:r>
        <w:rPr>
          <w:rFonts w:ascii="Arial" w:hAnsi="Arial" w:cs="Arial" w:eastAsia="Arial"/>
          <w:sz w:val="16"/>
          <w:szCs w:val="16"/>
        </w:rPr>
        <w:t xml:space="preserve"> </w:t>
      </w:r>
      <w:r>
        <w:rPr>
          <w:rFonts w:ascii="Arial" w:hAnsi="Arial" w:cs="Arial" w:eastAsia="Arial"/>
          <w:sz w:val="16"/>
          <w:szCs w:val="16"/>
        </w:rPr>
        <w:t xml:space="preserve">McManners, H. (1994). </w:t>
      </w:r>
      <w:r>
        <w:rPr>
          <w:rFonts w:ascii="Arial" w:hAnsi="Arial" w:cs="Arial" w:eastAsia="Arial"/>
          <w:i/>
          <w:sz w:val="16"/>
          <w:szCs w:val="16"/>
        </w:rPr>
        <w:t xml:space="preserve">Commando: Winning the Green Beret</w:t>
      </w:r>
      <w:r>
        <w:rPr>
          <w:rFonts w:ascii="Arial" w:hAnsi="Arial" w:cs="Arial" w:eastAsia="Arial"/>
          <w:sz w:val="16"/>
          <w:szCs w:val="16"/>
        </w:rPr>
        <w:t xml:space="preserve">. London: Network Books, p. 187.</w:t>
      </w:r>
    </w:p>
  </w:footnote>
  <w:footnote w:id="18">
    <w:p>
      <w:pPr>
        <w:pStyle w:val="FootnoteText"/>
        <w:spacing w:after="0" w:line="276" w:lineRule="auto"/>
        <w:jc w:val="both"/>
      </w:pPr>
      <w:r>
        <w:rPr>
          <w:rStyle w:val="FootnoteReference"/>
          <w:rFonts w:ascii="Arial" w:hAnsi="Arial" w:cs="Arial" w:eastAsia="Arial"/>
          <w:sz w:val="16"/>
          <w:szCs w:val="16"/>
          <w:vertAlign w:val="superscript"/>
        </w:rPr>
        <w:footnoteRef/>
      </w:r>
      <w:r>
        <w:rPr>
          <w:rFonts w:ascii="Arial" w:hAnsi="Arial" w:cs="Arial" w:eastAsia="Arial"/>
          <w:sz w:val="16"/>
          <w:szCs w:val="16"/>
        </w:rPr>
        <w:t xml:space="preserve"> </w:t>
      </w:r>
      <w:r>
        <w:rPr>
          <w:rFonts w:ascii="Arial" w:hAnsi="Arial" w:cs="Arial" w:eastAsia="Arial"/>
          <w:sz w:val="16"/>
          <w:szCs w:val="16"/>
        </w:rPr>
        <w:t xml:space="preserve">McManners, H. (1994). </w:t>
      </w:r>
      <w:r>
        <w:rPr>
          <w:rFonts w:ascii="Arial" w:hAnsi="Arial" w:cs="Arial" w:eastAsia="Arial"/>
          <w:i/>
          <w:sz w:val="16"/>
          <w:szCs w:val="16"/>
        </w:rPr>
        <w:t xml:space="preserve">Commando: Winning the Green Beret</w:t>
      </w:r>
      <w:r>
        <w:rPr>
          <w:rFonts w:ascii="Arial" w:hAnsi="Arial" w:cs="Arial" w:eastAsia="Arial"/>
          <w:sz w:val="16"/>
          <w:szCs w:val="16"/>
        </w:rPr>
        <w:t xml:space="preserve">. London: Network Books, p. 70.</w:t>
      </w:r>
    </w:p>
  </w:footnote>
  <w:footnote w:id="19">
    <w:p>
      <w:pPr>
        <w:pStyle w:val="FootnoteText"/>
        <w:spacing w:after="0" w:line="276" w:lineRule="auto"/>
        <w:jc w:val="both"/>
      </w:pPr>
      <w:r>
        <w:rPr>
          <w:rStyle w:val="FootnoteReference"/>
          <w:rFonts w:ascii="Arial" w:hAnsi="Arial" w:cs="Arial" w:eastAsia="Arial"/>
          <w:sz w:val="16"/>
          <w:szCs w:val="16"/>
          <w:vertAlign w:val="superscript"/>
        </w:rPr>
        <w:footnoteRef/>
      </w:r>
      <w:r>
        <w:rPr>
          <w:rFonts w:ascii="Arial" w:hAnsi="Arial" w:cs="Arial" w:eastAsia="Arial"/>
          <w:sz w:val="16"/>
          <w:szCs w:val="16"/>
        </w:rPr>
        <w:t xml:space="preserve"> </w:t>
      </w:r>
      <w:r>
        <w:rPr>
          <w:rFonts w:ascii="Arial" w:hAnsi="Arial" w:cs="Arial" w:eastAsia="Arial"/>
          <w:sz w:val="16"/>
          <w:szCs w:val="16"/>
        </w:rPr>
        <w:t xml:space="preserve">McManners, H. (1994). </w:t>
      </w:r>
      <w:r>
        <w:rPr>
          <w:rFonts w:ascii="Arial" w:hAnsi="Arial" w:cs="Arial" w:eastAsia="Arial"/>
          <w:i/>
          <w:sz w:val="16"/>
          <w:szCs w:val="16"/>
        </w:rPr>
        <w:t xml:space="preserve">Commando: Winning the Green Beret</w:t>
      </w:r>
      <w:r>
        <w:rPr>
          <w:rFonts w:ascii="Arial" w:hAnsi="Arial" w:cs="Arial" w:eastAsia="Arial"/>
          <w:sz w:val="16"/>
          <w:szCs w:val="16"/>
        </w:rPr>
        <w:t xml:space="preserve">. London: Network Books, p. 22.</w:t>
      </w:r>
    </w:p>
  </w:footnote>
  <w:footnote w:id="20">
    <w:p>
      <w:pPr>
        <w:pStyle w:val="FootnoteText"/>
        <w:spacing w:after="0" w:line="276" w:lineRule="auto"/>
        <w:jc w:val="both"/>
      </w:pPr>
      <w:r>
        <w:rPr>
          <w:rStyle w:val="FootnoteReference"/>
          <w:rFonts w:ascii="Arial" w:hAnsi="Arial" w:cs="Arial" w:eastAsia="Arial"/>
          <w:sz w:val="16"/>
          <w:szCs w:val="16"/>
          <w:vertAlign w:val="superscript"/>
        </w:rPr>
        <w:footnoteRef/>
      </w:r>
      <w:r>
        <w:rPr>
          <w:rFonts w:ascii="Arial" w:hAnsi="Arial" w:cs="Arial" w:eastAsia="Arial"/>
          <w:sz w:val="16"/>
          <w:szCs w:val="16"/>
        </w:rPr>
        <w:t xml:space="preserve"> </w:t>
      </w:r>
      <w:r>
        <w:rPr>
          <w:rFonts w:ascii="Arial" w:hAnsi="Arial" w:cs="Arial" w:eastAsia="Arial"/>
          <w:sz w:val="16"/>
          <w:szCs w:val="16"/>
        </w:rPr>
        <w:t xml:space="preserve">Commando Veterans Archive. The Four Commando Tests. Retrieved from: https://www.commandoveterans.org/node/5093</w:t>
      </w:r>
    </w:p>
  </w:footnote>
  <w:footnote w:id="21">
    <w:p>
      <w:pPr>
        <w:pStyle w:val="FootnoteText"/>
        <w:spacing w:after="0" w:line="276" w:lineRule="auto"/>
        <w:jc w:val="both"/>
      </w:pPr>
      <w:r>
        <w:rPr>
          <w:rStyle w:val="FootnoteReference"/>
          <w:rFonts w:ascii="Arial" w:hAnsi="Arial" w:cs="Arial" w:eastAsia="Arial"/>
          <w:sz w:val="16"/>
          <w:szCs w:val="16"/>
          <w:vertAlign w:val="superscript"/>
        </w:rPr>
        <w:footnoteRef/>
      </w:r>
      <w:r>
        <w:rPr>
          <w:rFonts w:ascii="Arial" w:hAnsi="Arial" w:cs="Arial" w:eastAsia="Arial"/>
          <w:sz w:val="16"/>
          <w:szCs w:val="16"/>
        </w:rPr>
        <w:t xml:space="preserve"> </w:t>
      </w:r>
      <w:r>
        <w:rPr>
          <w:rFonts w:ascii="Arial" w:hAnsi="Arial" w:cs="Arial" w:eastAsia="Arial"/>
          <w:sz w:val="16"/>
          <w:szCs w:val="16"/>
        </w:rPr>
        <w:t xml:space="preserve">McManners, H. (1994). </w:t>
      </w:r>
      <w:r>
        <w:rPr>
          <w:rFonts w:ascii="Arial" w:hAnsi="Arial" w:cs="Arial" w:eastAsia="Arial"/>
          <w:i/>
          <w:sz w:val="16"/>
          <w:szCs w:val="16"/>
        </w:rPr>
        <w:t xml:space="preserve">Commando: Winning the Green Beret</w:t>
      </w:r>
      <w:r>
        <w:rPr>
          <w:rFonts w:ascii="Arial" w:hAnsi="Arial" w:cs="Arial" w:eastAsia="Arial"/>
          <w:sz w:val="16"/>
          <w:szCs w:val="16"/>
        </w:rPr>
        <w:t xml:space="preserve">. London: Network Books, p. 100.</w:t>
      </w:r>
    </w:p>
  </w:footnote>
  <w:footnote w:id="22">
    <w:p>
      <w:pPr>
        <w:pStyle w:val="FootnoteText"/>
        <w:spacing w:after="0" w:line="276" w:lineRule="auto"/>
        <w:jc w:val="both"/>
      </w:pPr>
      <w:r>
        <w:rPr>
          <w:rStyle w:val="FootnoteReference"/>
          <w:rFonts w:ascii="Arial" w:hAnsi="Arial" w:cs="Arial" w:eastAsia="Arial"/>
          <w:sz w:val="16"/>
          <w:szCs w:val="16"/>
          <w:vertAlign w:val="superscript"/>
        </w:rPr>
        <w:footnoteRef/>
      </w:r>
      <w:r>
        <w:rPr>
          <w:rFonts w:ascii="Arial" w:hAnsi="Arial" w:cs="Arial" w:eastAsia="Arial"/>
          <w:sz w:val="16"/>
          <w:szCs w:val="16"/>
        </w:rPr>
        <w:t xml:space="preserve"> </w:t>
      </w:r>
      <w:r>
        <w:rPr>
          <w:rFonts w:ascii="Arial" w:hAnsi="Arial" w:cs="Arial" w:eastAsia="Arial"/>
          <w:sz w:val="16"/>
          <w:szCs w:val="16"/>
        </w:rPr>
        <w:t xml:space="preserve">McManners, H. (1994). </w:t>
      </w:r>
      <w:r>
        <w:rPr>
          <w:rFonts w:ascii="Arial" w:hAnsi="Arial" w:cs="Arial" w:eastAsia="Arial"/>
          <w:i/>
          <w:sz w:val="16"/>
          <w:szCs w:val="16"/>
        </w:rPr>
        <w:t xml:space="preserve">Commando: Winning the Green Beret</w:t>
      </w:r>
      <w:r>
        <w:rPr>
          <w:rFonts w:ascii="Arial" w:hAnsi="Arial" w:cs="Arial" w:eastAsia="Arial"/>
          <w:sz w:val="16"/>
          <w:szCs w:val="16"/>
        </w:rPr>
        <w:t xml:space="preserve">. London: Network Books, p. 110.</w:t>
      </w:r>
    </w:p>
  </w:footnote>
  <w:footnote w:id="23">
    <w:p>
      <w:pPr>
        <w:pStyle w:val="FootnoteText"/>
        <w:spacing w:after="0" w:line="276" w:lineRule="auto"/>
        <w:jc w:val="both"/>
      </w:pPr>
      <w:r>
        <w:rPr>
          <w:rStyle w:val="FootnoteReference"/>
          <w:rFonts w:ascii="Arial" w:hAnsi="Arial" w:cs="Arial" w:eastAsia="Arial"/>
          <w:sz w:val="16"/>
          <w:szCs w:val="16"/>
          <w:vertAlign w:val="superscript"/>
        </w:rPr>
        <w:footnoteRef/>
      </w:r>
      <w:r>
        <w:rPr>
          <w:rFonts w:ascii="Arial" w:hAnsi="Arial" w:cs="Arial" w:eastAsia="Arial"/>
          <w:sz w:val="16"/>
          <w:szCs w:val="16"/>
        </w:rPr>
        <w:t xml:space="preserve"> </w:t>
      </w:r>
      <w:r>
        <w:rPr>
          <w:rFonts w:ascii="Arial" w:hAnsi="Arial" w:cs="Arial" w:eastAsia="Arial"/>
          <w:sz w:val="16"/>
          <w:szCs w:val="16"/>
        </w:rPr>
        <w:t xml:space="preserve">McManners, H. (1994). </w:t>
      </w:r>
      <w:r>
        <w:rPr>
          <w:rFonts w:ascii="Arial" w:hAnsi="Arial" w:cs="Arial" w:eastAsia="Arial"/>
          <w:i/>
          <w:sz w:val="16"/>
          <w:szCs w:val="16"/>
        </w:rPr>
        <w:t xml:space="preserve">Commando: Winning the Green Beret</w:t>
      </w:r>
      <w:r>
        <w:rPr>
          <w:rFonts w:ascii="Arial" w:hAnsi="Arial" w:cs="Arial" w:eastAsia="Arial"/>
          <w:sz w:val="16"/>
          <w:szCs w:val="16"/>
        </w:rPr>
        <w:t xml:space="preserve">. London: Network Books, p. 174.</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Arial" w:hAnsi="Arial"/>
        <w:sz w:val="24"/>
      </w:rPr>
      <w:t>RESTRICTED</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4000">
    <w:multiLevelType w:val="hybridMultilevel"/>
    <w:lvl w:ilvl="0">
      <w:start w:val="1"/>
      <w:numFmt w:val="bullet"/>
      <w:lvlText w:val=""/>
      <w:lvlJc w:val="left"/>
      <w:pPr>
        <w:ind w:left="720" w:hanging="360"/>
      </w:pPr>
      <w:rPr>
        <w:rFonts w:ascii="Symbol" w:hAnsi="Symbol" w:hint="default"/>
      </w:rPr>
    </w:lvl>
  </w:abstractNum>
  <w:num w:numId="1000">
    <w:abstractNumId w:val="990"/>
  </w:num>
  <w:num w:numId="1001">
    <w:abstractNumId w:val="991"/>
  </w:num>
  <w:num w:numId="4000">
    <w:abstractNumId w:val="40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eastAsia="Arial"/>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eastAsia="Arial"/>
      <w:color w:val="000000"/>
      <w:sz w:val="24"/>
    </w:rPr>
  </w:style>
  <w:style w:styleId="BodyText" w:type="paragraph">
    <w:name w:val="Body Text"/>
    <w:basedOn w:val="Normal"/>
    <w:link w:val="BodyTextChar"/>
    <w:pPr>
      <w:spacing w:after="180" w:before="180"/>
    </w:pPr>
    <w:qFormat/>
    <w:rPr>
      <w:rFonts w:ascii="Arial" w:hAnsi="Arial" w:cs="Arial" w:eastAsia="Arial"/>
      <w:color w:val="000000"/>
    </w:rPr>
  </w:style>
  <w:style w:customStyle="1" w:styleId="FirstParagraph" w:type="paragraph">
    <w:name w:val="First Paragraph"/>
    <w:basedOn w:val="BodyText"/>
    <w:next w:val="BodyText"/>
    <w:qFormat/>
    <w:rPr>
      <w:rFonts w:ascii="Arial" w:hAnsi="Arial" w:cs="Arial" w:eastAsia="Arial"/>
      <w:color w:val="000000"/>
    </w:rPr>
  </w:style>
  <w:style w:customStyle="1" w:styleId="Compact" w:type="paragraph">
    <w:name w:val="Compact"/>
    <w:basedOn w:val="BodyText"/>
    <w:qFormat/>
    <w:pPr>
      <w:spacing w:after="36" w:before="36"/>
    </w:pPr>
    <w:rPr>
      <w:rFonts w:ascii="Arial" w:hAnsi="Arial" w:cs="Arial" w:eastAsia="Arial"/>
      <w:color w:val="000000"/>
    </w:rPr>
  </w:style>
  <w:style w:styleId="Title" w:type="paragraph">
    <w:name w:val="Title"/>
    <w:basedOn w:val="Normal"/>
    <w:next w:val="BodyText"/>
    <w:qFormat/>
    <w:pPr>
      <w:keepNext/>
      <w:keepLines/>
      <w:spacing w:after="240" w:before="480"/>
      <w:jc w:val="center"/>
    </w:pPr>
    <w:rPr>
      <w:rFonts w:ascii="Arial" w:hAnsi="Arial" w:cs="Arial" w:eastAsia="Arial"/>
      <w:b/>
      <w:bCs/>
      <w:color w:val="000000"/>
      <w:sz w:val="36"/>
      <w:szCs w:val="36"/>
    </w:rPr>
  </w:style>
  <w:style w:styleId="Subtitle" w:type="paragraph">
    <w:name w:val="Subtitle"/>
    <w:basedOn w:val="Title"/>
    <w:next w:val="BodyText"/>
    <w:qFormat/>
    <w:pPr>
      <w:keepNext/>
      <w:keepLines/>
      <w:spacing w:after="240" w:before="240"/>
      <w:jc w:val="center"/>
    </w:pPr>
    <w:rPr>
      <w:rFonts w:ascii="Arial" w:hAnsi="Arial" w:cs="Arial" w:eastAsia="Arial"/>
      <w:color w:val="000000"/>
      <w:sz w:val="30"/>
      <w:szCs w:val="30"/>
    </w:rPr>
  </w:style>
  <w:style w:customStyle="1" w:styleId="Author" w:type="paragraph">
    <w:name w:val="Author"/>
    <w:next w:val="BodyText"/>
    <w:qFormat/>
    <w:pPr>
      <w:keepNext/>
      <w:keepLines/>
      <w:jc w:val="center"/>
    </w:pPr>
    <w:rPr>
      <w:rFonts w:ascii="Arial" w:hAnsi="Arial" w:cs="Arial" w:eastAsia="Arial"/>
      <w:color w:val="000000"/>
    </w:rPr>
  </w:style>
  <w:style w:styleId="Date" w:type="paragraph">
    <w:name w:val="Date"/>
    <w:next w:val="BodyText"/>
    <w:qFormat/>
    <w:pPr>
      <w:keepNext/>
      <w:keepLines/>
      <w:jc w:val="center"/>
    </w:pPr>
    <w:rPr>
      <w:rFonts w:ascii="Arial" w:hAnsi="Arial" w:cs="Arial" w:eastAsia="Arial"/>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Arial" w:hAnsi="Arial" w:cs="Arial" w:eastAsia="Arial"/>
      <w:b/>
    </w:rPr>
  </w:style>
  <w:style w:customStyle="1" w:styleId="Abstract" w:type="paragraph">
    <w:name w:val="Abstract"/>
    <w:basedOn w:val="Normal"/>
    <w:next w:val="BodyText"/>
    <w:qFormat/>
    <w:pPr>
      <w:keepNext/>
      <w:keepLines/>
      <w:spacing w:after="300" w:before="100"/>
    </w:pPr>
    <w:rPr>
      <w:rFonts w:ascii="Arial" w:hAnsi="Arial" w:cs="Arial" w:eastAsia="Arial"/>
      <w:color w:val="000000"/>
      <w:sz w:val="20"/>
      <w:szCs w:val="20"/>
    </w:rPr>
  </w:style>
  <w:style w:styleId="Bibliography" w:type="paragraph">
    <w:name w:val="Bibliography"/>
    <w:basedOn w:val="Normal"/>
    <w:next w:val="Bibliography"/>
    <w:qFormat/>
    <w:pPr/>
    <w:rPr>
      <w:rFonts w:ascii="Arial" w:hAnsi="Arial" w:cs="Arial" w:eastAsia="Arial"/>
      <w:color w:val="000000"/>
    </w:rPr>
  </w:style>
  <w:style w:styleId="Heading1" w:type="paragraph">
    <w:name w:val="Heading 1"/>
    <w:basedOn w:val="Normal"/>
    <w:next w:val="BodyText"/>
    <w:uiPriority w:val="9"/>
    <w:qFormat/>
    <w:pPr>
      <w:keepNext/>
      <w:keepLines/>
      <w:spacing w:after="0" w:before="480"/>
      <w:outlineLvl w:val="0"/>
    </w:pPr>
    <w:rPr>
      <w:rFonts w:ascii="Arial" w:hAnsi="Arial" w:cs="Arial" w:eastAsia="Arial"/>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hAnsi="Arial" w:cs="Arial" w:eastAsia="Arial"/>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eastAsia="Arial"/>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hAnsi="Arial" w:cs="Arial" w:eastAsia="Arial"/>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hAnsi="Arial" w:cs="Arial" w:eastAsia="Arial"/>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hAnsi="Arial" w:cs="Arial" w:eastAsia="Arial"/>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hAnsi="Arial" w:cs="Arial" w:eastAsia="Arial"/>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hAnsi="Arial" w:cs="Arial" w:eastAsia="Arial"/>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hAnsi="Arial" w:cs="Arial" w:eastAsia="Arial"/>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cs="Arial" w:eastAsia="Arial"/>
      <w:color w:val="000000"/>
    </w:rPr>
  </w:style>
  <w:style w:styleId="FootnoteText" w:type="paragraph">
    <w:name w:val="Footnote Text"/>
    <w:basedOn w:val="Normal"/>
    <w:next w:val="FootnoteText"/>
    <w:uiPriority w:val="9"/>
    <w:unhideWhenUsed/>
    <w:qFormat/>
    <w:rPr>
      <w:rFonts w:ascii="Arial" w:hAnsi="Arial" w:cs="Arial" w:eastAsia="Arial"/>
      <w:color w:val="000000"/>
    </w:rPr>
  </w:style>
  <w:style w:default="1" w:styleId="DefaultParagraphFont" w:type="character">
    <w:name w:val="Default Paragraph Font"/>
    <w:semiHidden/>
    <w:unhideWhenUsed/>
    <w:rPr>
      <w:rFonts w:ascii="Arial" w:hAnsi="Arial" w:cs="Arial" w:eastAsia="Arial"/>
      <w:color w:val="000000"/>
    </w:rPr>
  </w:style>
  <w:style w:default="1" w:styleId="Table" w:type="table">
    <w:name w:val="Table"/>
    <w:basedOn w:val="TableNormal"/>
    <w:semiHidden/>
    <w:unhideWhenUsed/>
    <w:qFormat/>
    <w:rPr>
      <w:rFonts w:ascii="Arial" w:hAnsi="Arial" w:cs="Arial" w:eastAsia="Arial"/>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cs="Arial" w:eastAsia="Arial"/>
      <w:b/>
      <w:color w:val="000000"/>
    </w:rPr>
  </w:style>
  <w:style w:customStyle="1" w:styleId="Definition" w:type="paragraph">
    <w:name w:val="Definition"/>
    <w:basedOn w:val="Normal"/>
    <w:rPr>
      <w:rFonts w:ascii="Arial" w:hAnsi="Arial" w:cs="Arial" w:eastAsia="Arial"/>
      <w:color w:val="000000"/>
    </w:rPr>
  </w:style>
  <w:style w:styleId="Caption" w:type="paragraph">
    <w:name w:val="Caption"/>
    <w:basedOn w:val="Normal"/>
    <w:link w:val="BodyTextChar"/>
    <w:pPr>
      <w:spacing w:after="120" w:before="0"/>
    </w:pPr>
    <w:rPr>
      <w:rFonts w:ascii="Arial" w:hAnsi="Arial" w:cs="Arial" w:eastAsia="Arial"/>
      <w:i/>
      <w:color w:val="000000"/>
    </w:rPr>
  </w:style>
  <w:style w:customStyle="1" w:styleId="TableCaption" w:type="paragraph">
    <w:name w:val="Table Caption"/>
    <w:basedOn w:val="Caption"/>
    <w:pPr>
      <w:keepNext/>
    </w:pPr>
    <w:rPr>
      <w:rFonts w:ascii="Arial" w:hAnsi="Arial" w:cs="Arial" w:eastAsia="Arial"/>
      <w:color w:val="000000"/>
    </w:rPr>
  </w:style>
  <w:style w:customStyle="1" w:styleId="ImageCaption" w:type="paragraph">
    <w:name w:val="Image Caption"/>
    <w:basedOn w:val="Caption"/>
    <w:rPr>
      <w:rFonts w:ascii="Arial" w:hAnsi="Arial" w:cs="Arial" w:eastAsia="Arial"/>
      <w:color w:val="000000"/>
    </w:rPr>
  </w:style>
  <w:style w:customStyle="1" w:styleId="Figure" w:type="paragraph">
    <w:name w:val="Figure"/>
    <w:basedOn w:val="Normal"/>
    <w:rPr>
      <w:rFonts w:ascii="Arial" w:hAnsi="Arial" w:cs="Arial" w:eastAsia="Arial"/>
      <w:color w:val="000000"/>
    </w:rPr>
  </w:style>
  <w:style w:customStyle="1" w:styleId="CaptionedFigure" w:type="paragraph">
    <w:name w:val="Captioned Figure"/>
    <w:basedOn w:val="Figure"/>
    <w:pPr>
      <w:keepNext/>
    </w:pPr>
    <w:rPr>
      <w:rFonts w:ascii="Arial" w:hAnsi="Arial" w:cs="Arial" w:eastAsia="Arial"/>
      <w:color w:val="000000"/>
    </w:rPr>
  </w:style>
  <w:style w:customStyle="1" w:styleId="BodyTextChar" w:type="character">
    <w:name w:val="Body Text Char"/>
    <w:basedOn w:val="DefaultParagraphFont"/>
    <w:link w:val="BodyText"/>
    <w:rPr>
      <w:rFonts w:ascii="Arial" w:hAnsi="Arial" w:cs="Arial" w:eastAsia="Arial"/>
      <w:color w:val="000000"/>
    </w:rPr>
  </w:style>
  <w:style w:customStyle="1" w:styleId="VerbatimChar" w:type="character">
    <w:name w:val="Verbatim Char"/>
    <w:basedOn w:val="BodyTextChar"/>
    <w:rPr>
      <w:rFonts w:ascii="Arial" w:hAnsi="Arial" w:cs="Arial" w:eastAsia="Arial"/>
      <w:color w:val="000000"/>
      <w:sz w:val="22"/>
    </w:rPr>
  </w:style>
  <w:style w:customStyle="1" w:styleId="SectionNumber" w:type="character">
    <w:name w:val="Section Number"/>
    <w:basedOn w:val="BodyTextChar"/>
    <w:rPr>
      <w:rFonts w:ascii="Arial" w:hAnsi="Arial" w:cs="Arial" w:eastAsia="Arial"/>
      <w:color w:val="000000"/>
    </w:rPr>
  </w:style>
  <w:style w:styleId="FootnoteReference" w:type="character">
    <w:name w:val="Footnote Reference"/>
    <w:basedOn w:val="BodyTextChar"/>
    <w:rPr>
      <w:rFonts w:ascii="Arial" w:hAnsi="Arial" w:cs="Arial" w:eastAsia="Arial"/>
      <w:color w:val="000000"/>
      <w:vertAlign w:val="superscript"/>
    </w:rPr>
  </w:style>
  <w:style w:styleId="Hyperlink" w:type="character">
    <w:name w:val="Hyperlink"/>
    <w:basedOn w:val="BodyTextChar"/>
    <w:rPr>
      <w:rFonts w:ascii="Arial" w:hAnsi="Arial" w:cs="Arial" w:eastAsia="Arial"/>
      <w:color w:val="000000"/>
    </w:rPr>
  </w:style>
  <w:style w:styleId="TOCHeading" w:type="paragraph">
    <w:name w:val="TOC Heading"/>
    <w:basedOn w:val="Heading1"/>
    <w:next w:val="BodyText"/>
    <w:uiPriority w:val="39"/>
    <w:unhideWhenUsed/>
    <w:qFormat/>
    <w:pPr>
      <w:spacing w:before="240" w:line="259" w:lineRule="auto"/>
      <w:outlineLvl w:val="9"/>
    </w:pPr>
    <w:rPr>
      <w:rFonts w:ascii="Arial" w:hAnsi="Arial" w:cs="Arial" w:eastAsia="Arial"/>
      <w:b w:val="0"/>
      <w:bCs w:val="0"/>
      <w:color w:val="000000"/>
    </w:rPr>
  </w:style>
  <w:style w:type="paragraph" w:customStyle="1" w:styleId="SourceCode">
    <w:name w:val="Source Code"/>
    <w:basedOn w:val="Normal"/>
    <w:link w:val="VerbatimChar"/>
    <w:pPr>
      <w:wordWrap w:val="off"/>
    </w:pPr>
    <w:rPr>
      <w:rFonts w:ascii="Arial" w:hAnsi="Arial" w:cs="Arial" w:eastAsia="Arial"/>
      <w:color w:val="000000"/>
    </w:rPr>
  </w:style>
  <w:style w:type="character" w:customStyle="1" w:styleId="KeywordTok">
    <w:name w:val="KeywordTok"/>
    <w:basedOn w:val="VerbatimChar"/>
    <w:rPr>
      <w:rFonts w:ascii="Arial" w:hAnsi="Arial" w:cs="Arial" w:eastAsia="Arial"/>
      <w:b/>
      <w:color w:val="000000"/>
    </w:rPr>
  </w:style>
  <w:style w:type="character" w:customStyle="1" w:styleId="DataTypeTok">
    <w:name w:val="DataTypeTok"/>
    <w:basedOn w:val="VerbatimChar"/>
    <w:rPr>
      <w:rFonts w:ascii="Arial" w:hAnsi="Arial" w:cs="Arial" w:eastAsia="Arial"/>
      <w:color w:val="000000"/>
    </w:rPr>
  </w:style>
  <w:style w:type="character" w:customStyle="1" w:styleId="DecValTok">
    <w:name w:val="DecValTok"/>
    <w:basedOn w:val="VerbatimChar"/>
    <w:rPr>
      <w:rFonts w:ascii="Arial" w:hAnsi="Arial" w:cs="Arial" w:eastAsia="Arial"/>
      <w:color w:val="000000"/>
    </w:rPr>
  </w:style>
  <w:style w:type="character" w:customStyle="1" w:styleId="BaseNTok">
    <w:name w:val="BaseNTok"/>
    <w:basedOn w:val="VerbatimChar"/>
    <w:rPr>
      <w:rFonts w:ascii="Arial" w:hAnsi="Arial" w:cs="Arial" w:eastAsia="Arial"/>
      <w:color w:val="000000"/>
    </w:rPr>
  </w:style>
  <w:style w:type="character" w:customStyle="1" w:styleId="FloatTok">
    <w:name w:val="FloatTok"/>
    <w:basedOn w:val="VerbatimChar"/>
    <w:rPr>
      <w:rFonts w:ascii="Arial" w:hAnsi="Arial" w:cs="Arial" w:eastAsia="Arial"/>
      <w:color w:val="000000"/>
    </w:rPr>
  </w:style>
  <w:style w:type="character" w:customStyle="1" w:styleId="ConstantTok">
    <w:name w:val="ConstantTok"/>
    <w:basedOn w:val="VerbatimChar"/>
    <w:rPr>
      <w:rFonts w:ascii="Arial" w:hAnsi="Arial" w:cs="Arial" w:eastAsia="Arial"/>
      <w:color w:val="000000"/>
    </w:rPr>
  </w:style>
  <w:style w:type="character" w:customStyle="1" w:styleId="CharTok">
    <w:name w:val="CharTok"/>
    <w:basedOn w:val="VerbatimChar"/>
    <w:rPr>
      <w:rFonts w:ascii="Arial" w:hAnsi="Arial" w:cs="Arial" w:eastAsia="Arial"/>
      <w:color w:val="000000"/>
    </w:rPr>
  </w:style>
  <w:style w:type="character" w:customStyle="1" w:styleId="SpecialCharTok">
    <w:name w:val="SpecialCharTok"/>
    <w:basedOn w:val="VerbatimChar"/>
    <w:rPr>
      <w:rFonts w:ascii="Arial" w:hAnsi="Arial" w:cs="Arial" w:eastAsia="Arial"/>
      <w:color w:val="000000"/>
    </w:rPr>
  </w:style>
  <w:style w:type="character" w:customStyle="1" w:styleId="StringTok">
    <w:name w:val="StringTok"/>
    <w:basedOn w:val="VerbatimChar"/>
    <w:rPr>
      <w:rFonts w:ascii="Arial" w:hAnsi="Arial" w:cs="Arial" w:eastAsia="Arial"/>
      <w:color w:val="000000"/>
    </w:rPr>
  </w:style>
  <w:style w:type="character" w:customStyle="1" w:styleId="VerbatimStringTok">
    <w:name w:val="VerbatimStringTok"/>
    <w:basedOn w:val="VerbatimChar"/>
    <w:rPr>
      <w:rFonts w:ascii="Arial" w:hAnsi="Arial" w:cs="Arial" w:eastAsia="Arial"/>
      <w:color w:val="000000"/>
    </w:rPr>
  </w:style>
  <w:style w:type="character" w:customStyle="1" w:styleId="SpecialStringTok">
    <w:name w:val="SpecialStringTok"/>
    <w:basedOn w:val="VerbatimChar"/>
    <w:rPr>
      <w:rFonts w:ascii="Arial" w:hAnsi="Arial" w:cs="Arial" w:eastAsia="Arial"/>
      <w:color w:val="000000"/>
    </w:rPr>
  </w:style>
  <w:style w:type="character" w:customStyle="1" w:styleId="ImportTok">
    <w:name w:val="ImportTok"/>
    <w:basedOn w:val="VerbatimChar"/>
    <w:rPr>
      <w:rFonts w:ascii="Arial" w:hAnsi="Arial" w:cs="Arial" w:eastAsia="Arial"/>
      <w:b/>
      <w:color w:val="000000"/>
    </w:rPr>
  </w:style>
  <w:style w:type="character" w:customStyle="1" w:styleId="CommentTok">
    <w:name w:val="CommentTok"/>
    <w:basedOn w:val="VerbatimChar"/>
    <w:rPr>
      <w:rFonts w:ascii="Arial" w:hAnsi="Arial" w:cs="Arial" w:eastAsia="Arial"/>
      <w:i/>
      <w:color w:val="000000"/>
    </w:rPr>
  </w:style>
  <w:style w:type="character" w:customStyle="1" w:styleId="DocumentationTok">
    <w:name w:val="DocumentationTok"/>
    <w:basedOn w:val="VerbatimChar"/>
    <w:rPr>
      <w:rFonts w:ascii="Arial" w:hAnsi="Arial" w:cs="Arial" w:eastAsia="Arial"/>
      <w:i/>
      <w:color w:val="000000"/>
    </w:rPr>
  </w:style>
  <w:style w:type="character" w:customStyle="1" w:styleId="AnnotationTok">
    <w:name w:val="AnnotationTok"/>
    <w:basedOn w:val="VerbatimChar"/>
    <w:rPr>
      <w:rFonts w:ascii="Arial" w:hAnsi="Arial" w:cs="Arial" w:eastAsia="Arial"/>
      <w:b/>
      <w:i/>
      <w:color w:val="000000"/>
    </w:rPr>
  </w:style>
  <w:style w:type="character" w:customStyle="1" w:styleId="CommentVarTok">
    <w:name w:val="CommentVarTok"/>
    <w:basedOn w:val="VerbatimChar"/>
    <w:rPr>
      <w:rFonts w:ascii="Arial" w:hAnsi="Arial" w:cs="Arial" w:eastAsia="Arial"/>
      <w:b/>
      <w:i/>
      <w:color w:val="000000"/>
    </w:rPr>
  </w:style>
  <w:style w:type="character" w:customStyle="1" w:styleId="OtherTok">
    <w:name w:val="OtherTok"/>
    <w:basedOn w:val="VerbatimChar"/>
    <w:rPr>
      <w:rFonts w:ascii="Arial" w:hAnsi="Arial" w:cs="Arial" w:eastAsia="Arial"/>
      <w:color w:val="000000"/>
    </w:rPr>
  </w:style>
  <w:style w:type="character" w:customStyle="1" w:styleId="FunctionTok">
    <w:name w:val="FunctionTok"/>
    <w:basedOn w:val="VerbatimChar"/>
    <w:rPr>
      <w:rFonts w:ascii="Arial" w:hAnsi="Arial" w:cs="Arial" w:eastAsia="Arial"/>
      <w:color w:val="000000"/>
    </w:rPr>
  </w:style>
  <w:style w:type="character" w:customStyle="1" w:styleId="VariableTok">
    <w:name w:val="VariableTok"/>
    <w:basedOn w:val="VerbatimChar"/>
    <w:rPr>
      <w:rFonts w:ascii="Arial" w:hAnsi="Arial" w:cs="Arial" w:eastAsia="Arial"/>
      <w:color w:val="000000"/>
    </w:rPr>
  </w:style>
  <w:style w:type="character" w:customStyle="1" w:styleId="ControlFlowTok">
    <w:name w:val="ControlFlowTok"/>
    <w:basedOn w:val="VerbatimChar"/>
    <w:rPr>
      <w:rFonts w:ascii="Arial" w:hAnsi="Arial" w:cs="Arial" w:eastAsia="Arial"/>
      <w:b/>
      <w:color w:val="000000"/>
    </w:rPr>
  </w:style>
  <w:style w:type="character" w:customStyle="1" w:styleId="OperatorTok">
    <w:name w:val="OperatorTok"/>
    <w:basedOn w:val="VerbatimChar"/>
    <w:rPr>
      <w:rFonts w:ascii="Arial" w:hAnsi="Arial" w:cs="Arial" w:eastAsia="Arial"/>
      <w:color w:val="000000"/>
    </w:rPr>
  </w:style>
  <w:style w:type="character" w:customStyle="1" w:styleId="BuiltInTok">
    <w:name w:val="BuiltInTok"/>
    <w:basedOn w:val="VerbatimChar"/>
    <w:rPr>
      <w:rFonts w:ascii="Arial" w:hAnsi="Arial" w:cs="Arial" w:eastAsia="Arial"/>
      <w:color w:val="000000"/>
    </w:rPr>
  </w:style>
  <w:style w:type="character" w:customStyle="1" w:styleId="ExtensionTok">
    <w:name w:val="ExtensionTok"/>
    <w:basedOn w:val="VerbatimChar"/>
    <w:rPr>
      <w:rFonts w:ascii="Arial" w:hAnsi="Arial" w:cs="Arial" w:eastAsia="Arial"/>
      <w:color w:val="000000"/>
    </w:rPr>
  </w:style>
  <w:style w:type="character" w:customStyle="1" w:styleId="PreprocessorTok">
    <w:name w:val="PreprocessorTok"/>
    <w:basedOn w:val="VerbatimChar"/>
    <w:rPr>
      <w:rFonts w:ascii="Arial" w:hAnsi="Arial" w:cs="Arial" w:eastAsia="Arial"/>
      <w:color w:val="000000"/>
    </w:rPr>
  </w:style>
  <w:style w:type="character" w:customStyle="1" w:styleId="AttributeTok">
    <w:name w:val="AttributeTok"/>
    <w:basedOn w:val="VerbatimChar"/>
    <w:rPr>
      <w:rFonts w:ascii="Arial" w:hAnsi="Arial" w:cs="Arial" w:eastAsia="Arial"/>
      <w:color w:val="000000"/>
    </w:rPr>
  </w:style>
  <w:style w:type="character" w:customStyle="1" w:styleId="RegionMarkerTok">
    <w:name w:val="RegionMarkerTok"/>
    <w:basedOn w:val="VerbatimChar"/>
    <w:rPr>
      <w:rFonts w:ascii="Arial" w:hAnsi="Arial" w:cs="Arial" w:eastAsia="Arial"/>
      <w:color w:val="000000"/>
    </w:rPr>
  </w:style>
  <w:style w:type="character" w:customStyle="1" w:styleId="InformationTok">
    <w:name w:val="InformationTok"/>
    <w:basedOn w:val="VerbatimChar"/>
    <w:rPr>
      <w:rFonts w:ascii="Arial" w:hAnsi="Arial" w:cs="Arial" w:eastAsia="Arial"/>
      <w:b/>
      <w:i/>
      <w:color w:val="000000"/>
    </w:rPr>
  </w:style>
  <w:style w:type="character" w:customStyle="1" w:styleId="WarningTok">
    <w:name w:val="WarningTok"/>
    <w:basedOn w:val="VerbatimChar"/>
    <w:rPr>
      <w:rFonts w:ascii="Arial" w:hAnsi="Arial" w:cs="Arial" w:eastAsia="Arial"/>
      <w:b/>
      <w:i/>
      <w:color w:val="000000"/>
    </w:rPr>
  </w:style>
  <w:style w:type="character" w:customStyle="1" w:styleId="AlertTok">
    <w:name w:val="AlertTok"/>
    <w:basedOn w:val="VerbatimChar"/>
    <w:rPr>
      <w:rFonts w:ascii="Arial" w:hAnsi="Arial" w:cs="Arial" w:eastAsia="Arial"/>
      <w:b/>
      <w:color w:val="000000"/>
    </w:rPr>
  </w:style>
  <w:style w:type="character" w:customStyle="1" w:styleId="ErrorTok">
    <w:name w:val="ErrorTok"/>
    <w:basedOn w:val="VerbatimChar"/>
    <w:rPr>
      <w:rFonts w:ascii="Arial" w:hAnsi="Arial" w:cs="Arial" w:eastAsia="Arial"/>
      <w:b/>
      <w:color w:val="000000"/>
    </w:rPr>
  </w:style>
  <w:style w:type="character" w:customStyle="1" w:styleId="NormalTok">
    <w:name w:val="NormalTok"/>
    <w:basedOn w:val="VerbatimChar"/>
    <w:rPr>
      <w:rFonts w:ascii="Arial" w:hAnsi="Arial" w:cs="Arial" w:eastAsia="Arial"/>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of Commando: Winning the Green Beret by Hugh McManners</dc:title>
  <dc:creator/>
  <cp:keywords/>
  <dcterms:created xsi:type="dcterms:W3CDTF">2026-10-09T15:38:54Z</dcterms:created>
  <dcterms:modified xsi:type="dcterms:W3CDTF">2026-10-09T15:38:54Z</dcterms:modified>
</cp:coreProperties>
</file>

<file path=docProps/custom.xml><?xml version="1.0" encoding="utf-8"?>
<Properties xmlns="http://schemas.openxmlformats.org/officeDocument/2006/custom-properties" xmlns:vt="http://schemas.openxmlformats.org/officeDocument/2006/docPropsVTypes"/>
</file>