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3.1: Distribution of Participants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5556"/>
        <w:gridCol w:w="1247"/>
      </w:tblGrid>
      <w:tr>
        <w:tc>
          <w:tcPr>
            <w:tcW w:type="dxa" w:w="2381"/>
          </w:tcPr>
          <w:p>
            <w:pPr>
              <w:spacing w:after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Category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Institution / Group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Number</w:t>
            </w:r>
          </w:p>
        </w:tc>
      </w:tr>
      <w:tr>
        <w:tc>
          <w:tcPr>
            <w:tcW w:type="dxa" w:w="2381"/>
            <w:vMerge w:val="restart"/>
          </w:tcPr>
          <w:p>
            <w:pPr>
              <w:spacing w:after="0"/>
            </w:pPr>
            <w:r>
              <w:rPr>
                <w:sz w:val="22"/>
              </w:rPr>
              <w:t>Border agencies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22"/>
              </w:rPr>
              <w:t>Ghana Immigration Service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sz w:val="22"/>
              </w:rPr>
              <w:t>4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22"/>
              </w:rPr>
              <w:t>Ghana Armed Forces (border deployments)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22"/>
              </w:rPr>
              <w:t>Ghana Police Service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22"/>
              </w:rPr>
              <w:t>Customs Division, Ghana Revenue Authority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22"/>
              </w:rPr>
              <w:t>Intelligence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22"/>
              </w:rPr>
              <w:t>National Intelligence Bureau and GAF intelligence elements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22"/>
              </w:rPr>
              <w:t>Policy and coordination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22"/>
              </w:rPr>
              <w:t>Ministry of National Security and National Counter-Terrorism Fusion Centre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22"/>
              </w:rPr>
              <w:t>Regional cooperation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22"/>
              </w:rPr>
              <w:t>Officials involved in the Accra Initiative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22"/>
              </w:rPr>
              <w:t>Border communities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22"/>
              </w:rPr>
              <w:t>Traditional authorities, assembly members and district officials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sz w:val="22"/>
              </w:rPr>
              <w:t>7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22"/>
              </w:rPr>
              <w:t>Independent experts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22"/>
              </w:rPr>
              <w:t>Academics and security analysts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sz w:val="22"/>
              </w:rPr>
              <w:t>3</w:t>
            </w:r>
          </w:p>
        </w:tc>
      </w:tr>
      <w:tr>
        <w:tc>
          <w:tcPr>
            <w:tcW w:type="dxa" w:w="5556"/>
            <w:gridSpan w:val="2"/>
          </w:tcPr>
          <w:p>
            <w:pPr>
              <w:spacing w:after="0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Total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sz w:val="22"/>
              </w:rPr>
            </w:r>
            <w:r>
              <w:rPr>
                <w:b/>
                <w:sz w:val="22"/>
              </w:rPr>
              <w:t>30</w:t>
            </w:r>
          </w:p>
        </w:tc>
      </w:tr>
    </w:tbl>
    <w:p>
      <w:r>
        <w:rPr>
          <w:i/>
        </w:rPr>
        <w:t>Source: Researcher's construct,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