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B97C3" w14:textId="190B9742" w:rsidR="00283C2A" w:rsidRPr="00374DB3" w:rsidRDefault="00283C2A" w:rsidP="001E2001">
      <w:pPr>
        <w:ind w:left="720" w:hanging="360"/>
        <w:jc w:val="center"/>
        <w:rPr>
          <w:b/>
          <w:bCs/>
          <w:u w:val="single"/>
        </w:rPr>
      </w:pPr>
      <w:r w:rsidRPr="00374DB3">
        <w:rPr>
          <w:b/>
          <w:bCs/>
          <w:u w:val="single"/>
        </w:rPr>
        <w:t>STEPS IN COMPLETING CHARGE GLI PROJECT META-ANALYSIS (PHASE II)</w:t>
      </w:r>
    </w:p>
    <w:p w14:paraId="74E504BF" w14:textId="687C3CFF" w:rsidR="007D5588" w:rsidRPr="007D5588" w:rsidRDefault="0056154C" w:rsidP="009B66E0">
      <w:pPr>
        <w:ind w:left="360" w:hanging="360"/>
        <w:rPr>
          <w:i/>
        </w:rPr>
      </w:pPr>
      <w:r>
        <w:rPr>
          <w:i/>
        </w:rPr>
        <w:t xml:space="preserve">Authors: </w:t>
      </w:r>
      <w:r w:rsidR="007D5588" w:rsidRPr="007D5588">
        <w:rPr>
          <w:i/>
        </w:rPr>
        <w:t xml:space="preserve">Thomas Winkler, Karen </w:t>
      </w:r>
      <w:proofErr w:type="spellStart"/>
      <w:r w:rsidR="007D5588" w:rsidRPr="007D5588">
        <w:rPr>
          <w:i/>
        </w:rPr>
        <w:t>Schwander</w:t>
      </w:r>
      <w:proofErr w:type="spellEnd"/>
      <w:r w:rsidR="007D5588" w:rsidRPr="007D5588">
        <w:rPr>
          <w:i/>
        </w:rPr>
        <w:t xml:space="preserve">, Amy Bentley, Michael Brown, Raymond </w:t>
      </w:r>
      <w:proofErr w:type="spellStart"/>
      <w:r w:rsidR="007D5588" w:rsidRPr="007D5588">
        <w:rPr>
          <w:i/>
        </w:rPr>
        <w:t>Noordam</w:t>
      </w:r>
      <w:proofErr w:type="spellEnd"/>
      <w:r w:rsidR="007D5588" w:rsidRPr="007D5588">
        <w:rPr>
          <w:i/>
        </w:rPr>
        <w:t xml:space="preserve">, </w:t>
      </w:r>
      <w:proofErr w:type="spellStart"/>
      <w:r w:rsidR="00137BC1">
        <w:rPr>
          <w:i/>
        </w:rPr>
        <w:t>Songmi</w:t>
      </w:r>
      <w:proofErr w:type="spellEnd"/>
      <w:r w:rsidR="00137BC1">
        <w:rPr>
          <w:i/>
        </w:rPr>
        <w:t xml:space="preserve"> Lee,</w:t>
      </w:r>
      <w:r w:rsidR="002903AD">
        <w:rPr>
          <w:i/>
        </w:rPr>
        <w:t xml:space="preserve"> </w:t>
      </w:r>
      <w:r w:rsidR="00C2165E" w:rsidRPr="00C2165E">
        <w:rPr>
          <w:i/>
        </w:rPr>
        <w:t>Pavithra Nagarajan</w:t>
      </w:r>
      <w:r w:rsidR="00C2165E">
        <w:rPr>
          <w:i/>
        </w:rPr>
        <w:t xml:space="preserve">, Heming Wang, Hugues </w:t>
      </w:r>
      <w:proofErr w:type="spellStart"/>
      <w:r w:rsidR="00C2165E">
        <w:rPr>
          <w:i/>
        </w:rPr>
        <w:t>Aschard</w:t>
      </w:r>
      <w:proofErr w:type="spellEnd"/>
      <w:r w:rsidR="00C2165E">
        <w:rPr>
          <w:i/>
        </w:rPr>
        <w:t xml:space="preserve">, Alisa Manning, </w:t>
      </w:r>
      <w:r w:rsidR="007D5588" w:rsidRPr="007D5588">
        <w:rPr>
          <w:i/>
        </w:rPr>
        <w:t xml:space="preserve">Jim </w:t>
      </w:r>
      <w:proofErr w:type="spellStart"/>
      <w:r w:rsidR="007D5588" w:rsidRPr="007D5588">
        <w:rPr>
          <w:i/>
        </w:rPr>
        <w:t>Gauderman</w:t>
      </w:r>
      <w:proofErr w:type="spellEnd"/>
      <w:r w:rsidR="007D5588" w:rsidRPr="007D5588">
        <w:rPr>
          <w:i/>
        </w:rPr>
        <w:t>, DC Rao</w:t>
      </w:r>
    </w:p>
    <w:p w14:paraId="196859B9" w14:textId="26BDB27B" w:rsidR="007D5588" w:rsidRPr="007D5588" w:rsidRDefault="007D5588" w:rsidP="009B66E0">
      <w:pPr>
        <w:ind w:left="360" w:hanging="360"/>
        <w:rPr>
          <w:i/>
        </w:rPr>
      </w:pPr>
      <w:r w:rsidRPr="002903AD">
        <w:rPr>
          <w:i/>
        </w:rPr>
        <w:t>Contact:</w:t>
      </w:r>
      <w:r w:rsidRPr="007D5588">
        <w:rPr>
          <w:i/>
        </w:rPr>
        <w:t xml:space="preserve"> Thomas Winkler (</w:t>
      </w:r>
      <w:hyperlink r:id="rId5" w:history="1">
        <w:r w:rsidRPr="007D5588">
          <w:rPr>
            <w:rStyle w:val="Hyperlink"/>
            <w:i/>
          </w:rPr>
          <w:t>thomas.winkler@ukr.de</w:t>
        </w:r>
      </w:hyperlink>
      <w:r w:rsidRPr="007D5588">
        <w:rPr>
          <w:i/>
        </w:rPr>
        <w:t>)</w:t>
      </w:r>
      <w:r w:rsidR="009B66E0">
        <w:rPr>
          <w:i/>
        </w:rPr>
        <w:t>, DC Rao (</w:t>
      </w:r>
      <w:hyperlink r:id="rId6" w:history="1">
        <w:r w:rsidR="009B66E0" w:rsidRPr="003D266E">
          <w:rPr>
            <w:rStyle w:val="Hyperlink"/>
            <w:i/>
          </w:rPr>
          <w:t>rao@wustl.edu</w:t>
        </w:r>
      </w:hyperlink>
      <w:r w:rsidR="009B66E0">
        <w:rPr>
          <w:i/>
        </w:rPr>
        <w:t>)</w:t>
      </w:r>
    </w:p>
    <w:p w14:paraId="1E435AC4" w14:textId="3BC3A1E1" w:rsidR="003E61E6" w:rsidRDefault="001E69C8" w:rsidP="009B66E0">
      <w:pPr>
        <w:ind w:left="360" w:hanging="360"/>
        <w:rPr>
          <w:b/>
          <w:bCs/>
          <w:i/>
          <w:iCs/>
        </w:rPr>
      </w:pPr>
      <w:r w:rsidRPr="007D5588">
        <w:rPr>
          <w:i/>
          <w:iCs/>
        </w:rPr>
        <w:t>Note: The below steps are guidelines, and project teams should make whatever adjustments are the</w:t>
      </w:r>
      <w:r w:rsidR="002903AD">
        <w:rPr>
          <w:i/>
          <w:iCs/>
        </w:rPr>
        <w:t xml:space="preserve"> </w:t>
      </w:r>
      <w:r w:rsidRPr="007D5588">
        <w:rPr>
          <w:i/>
          <w:iCs/>
        </w:rPr>
        <w:t xml:space="preserve">most appropriate based on their data and </w:t>
      </w:r>
      <w:r w:rsidR="00724944">
        <w:rPr>
          <w:i/>
          <w:iCs/>
        </w:rPr>
        <w:t xml:space="preserve">own </w:t>
      </w:r>
      <w:r w:rsidRPr="007D5588">
        <w:rPr>
          <w:i/>
          <w:iCs/>
        </w:rPr>
        <w:t>judgment.</w:t>
      </w:r>
      <w:r w:rsidR="001E2001" w:rsidRPr="007D5588">
        <w:rPr>
          <w:b/>
          <w:bCs/>
          <w:i/>
          <w:iCs/>
        </w:rPr>
        <w:tab/>
      </w:r>
    </w:p>
    <w:p w14:paraId="7C86EEA3" w14:textId="53A90CC4" w:rsidR="00396187" w:rsidRPr="0056154C" w:rsidRDefault="008023BA" w:rsidP="00396187">
      <w:pPr>
        <w:ind w:left="360" w:hanging="360"/>
        <w:rPr>
          <w:i/>
          <w:iCs/>
        </w:rPr>
      </w:pPr>
      <w:r w:rsidRPr="002903AD">
        <w:rPr>
          <w:bCs/>
          <w:i/>
          <w:iCs/>
        </w:rPr>
        <w:t>Latest version</w:t>
      </w:r>
      <w:r w:rsidR="004A43EE" w:rsidRPr="002903AD">
        <w:rPr>
          <w:bCs/>
          <w:i/>
          <w:iCs/>
        </w:rPr>
        <w:t xml:space="preserve"> available from</w:t>
      </w:r>
      <w:r w:rsidRPr="002903AD">
        <w:rPr>
          <w:bCs/>
          <w:i/>
          <w:iCs/>
        </w:rPr>
        <w:t xml:space="preserve">: </w:t>
      </w:r>
      <w:hyperlink r:id="rId7" w:history="1">
        <w:r w:rsidRPr="004A43EE">
          <w:rPr>
            <w:rStyle w:val="Hyperlink"/>
            <w:i/>
            <w:iCs/>
          </w:rPr>
          <w:t>https://wustl.app.box.com/s/5m1lbx8wpdife1kg32bxg81voh4kapvg/folder/131454415489</w:t>
        </w:r>
      </w:hyperlink>
      <w:r w:rsidRPr="004A43EE">
        <w:rPr>
          <w:i/>
          <w:iCs/>
        </w:rPr>
        <w:t xml:space="preserve"> </w:t>
      </w:r>
      <w:r w:rsidR="00A35D9B">
        <w:rPr>
          <w:i/>
          <w:iCs/>
        </w:rPr>
        <w:t>(</w:t>
      </w:r>
      <w:r w:rsidR="00A3198A" w:rsidRPr="00A3198A">
        <w:rPr>
          <w:i/>
          <w:iCs/>
        </w:rPr>
        <w:t>Subf</w:t>
      </w:r>
      <w:r w:rsidR="00A3198A">
        <w:rPr>
          <w:i/>
          <w:iCs/>
        </w:rPr>
        <w:t>older:</w:t>
      </w:r>
      <w:r w:rsidR="00A3198A" w:rsidRPr="00A3198A">
        <w:rPr>
          <w:i/>
          <w:iCs/>
        </w:rPr>
        <w:t xml:space="preserve"> </w:t>
      </w:r>
      <w:r w:rsidR="00A3198A">
        <w:rPr>
          <w:i/>
          <w:iCs/>
        </w:rPr>
        <w:t>“/</w:t>
      </w:r>
      <w:r w:rsidR="00A3198A" w:rsidRPr="00A3198A">
        <w:rPr>
          <w:i/>
          <w:iCs/>
        </w:rPr>
        <w:t>Analysis Plans/0.Meta-A</w:t>
      </w:r>
      <w:r w:rsidR="00A3198A">
        <w:rPr>
          <w:i/>
          <w:iCs/>
        </w:rPr>
        <w:t>nalysis”</w:t>
      </w:r>
      <w:r w:rsidR="00A35D9B">
        <w:rPr>
          <w:i/>
          <w:iCs/>
        </w:rPr>
        <w:t>)</w:t>
      </w:r>
    </w:p>
    <w:p w14:paraId="55ED2993" w14:textId="0C7841D3" w:rsidR="005A1A99" w:rsidRPr="009B66E0" w:rsidRDefault="00356A62" w:rsidP="00F113A3">
      <w:pPr>
        <w:pStyle w:val="berschrift1"/>
      </w:pPr>
      <w:r w:rsidRPr="009B66E0">
        <w:t>Material</w:t>
      </w:r>
    </w:p>
    <w:p w14:paraId="7C2A7B1E" w14:textId="575A266D" w:rsidR="0070154E" w:rsidRDefault="0070154E" w:rsidP="009B66E0">
      <w:pPr>
        <w:pStyle w:val="Listenabsatz"/>
        <w:numPr>
          <w:ilvl w:val="0"/>
          <w:numId w:val="18"/>
        </w:numPr>
        <w:ind w:left="360"/>
        <w:rPr>
          <w:bCs/>
          <w:i/>
          <w:iCs/>
        </w:rPr>
      </w:pPr>
      <w:r>
        <w:rPr>
          <w:bCs/>
          <w:i/>
          <w:iCs/>
        </w:rPr>
        <w:t xml:space="preserve">For QC: </w:t>
      </w:r>
      <w:r w:rsidR="004A43EE">
        <w:rPr>
          <w:bCs/>
          <w:i/>
          <w:iCs/>
        </w:rPr>
        <w:t>&lt;</w:t>
      </w:r>
      <w:r>
        <w:rPr>
          <w:bCs/>
          <w:i/>
          <w:iCs/>
        </w:rPr>
        <w:t>T</w:t>
      </w:r>
      <w:r w:rsidR="009B66E0">
        <w:rPr>
          <w:bCs/>
          <w:i/>
          <w:iCs/>
        </w:rPr>
        <w:t>o Be Included</w:t>
      </w:r>
      <w:r w:rsidR="004A43EE">
        <w:rPr>
          <w:bCs/>
          <w:i/>
          <w:iCs/>
        </w:rPr>
        <w:t>&gt;</w:t>
      </w:r>
    </w:p>
    <w:p w14:paraId="6306A879" w14:textId="75489289" w:rsidR="0001595A" w:rsidRPr="008B693C" w:rsidRDefault="008B693C" w:rsidP="009B66E0">
      <w:pPr>
        <w:pStyle w:val="Listenabsatz"/>
        <w:numPr>
          <w:ilvl w:val="0"/>
          <w:numId w:val="18"/>
        </w:numPr>
        <w:ind w:left="360"/>
        <w:rPr>
          <w:bCs/>
          <w:i/>
          <w:iCs/>
        </w:rPr>
      </w:pPr>
      <w:r>
        <w:rPr>
          <w:bCs/>
          <w:i/>
          <w:iCs/>
        </w:rPr>
        <w:t xml:space="preserve">For </w:t>
      </w:r>
      <w:r w:rsidR="005A1A99" w:rsidRPr="008B693C">
        <w:rPr>
          <w:bCs/>
          <w:i/>
          <w:iCs/>
        </w:rPr>
        <w:t xml:space="preserve">Meta-analyses: </w:t>
      </w:r>
      <w:r>
        <w:rPr>
          <w:bCs/>
          <w:i/>
          <w:iCs/>
        </w:rPr>
        <w:t xml:space="preserve">Download </w:t>
      </w:r>
      <w:r w:rsidR="005A1A99" w:rsidRPr="008B693C">
        <w:rPr>
          <w:bCs/>
          <w:i/>
          <w:iCs/>
        </w:rPr>
        <w:t>METAL</w:t>
      </w:r>
      <w:r w:rsidRPr="008B693C">
        <w:rPr>
          <w:bCs/>
          <w:i/>
          <w:iCs/>
        </w:rPr>
        <w:t xml:space="preserve"> from</w:t>
      </w:r>
      <w:r w:rsidR="005A1A99" w:rsidRPr="008B693C">
        <w:rPr>
          <w:bCs/>
          <w:i/>
          <w:iCs/>
        </w:rPr>
        <w:t xml:space="preserve"> </w:t>
      </w:r>
      <w:hyperlink r:id="rId8" w:history="1">
        <w:r w:rsidR="005A1A99" w:rsidRPr="008B693C">
          <w:rPr>
            <w:rStyle w:val="Hyperlink"/>
            <w:bCs/>
            <w:i/>
            <w:iCs/>
          </w:rPr>
          <w:t>https://genome.sph.umich.edu/wiki/Meta_Analysis_of_SNPxEnvironment_Interaction</w:t>
        </w:r>
      </w:hyperlink>
    </w:p>
    <w:p w14:paraId="240100D8" w14:textId="11C89D44" w:rsidR="004A0402" w:rsidRPr="004A0402" w:rsidRDefault="008B693C" w:rsidP="004A0402">
      <w:pPr>
        <w:pStyle w:val="Listenabsatz"/>
        <w:numPr>
          <w:ilvl w:val="0"/>
          <w:numId w:val="18"/>
        </w:numPr>
        <w:ind w:left="360"/>
      </w:pPr>
      <w:r>
        <w:rPr>
          <w:bCs/>
          <w:i/>
          <w:iCs/>
        </w:rPr>
        <w:t xml:space="preserve">For </w:t>
      </w:r>
      <w:r w:rsidR="005A1A99" w:rsidRPr="008B693C">
        <w:rPr>
          <w:bCs/>
          <w:i/>
          <w:iCs/>
        </w:rPr>
        <w:t xml:space="preserve">Approaches: </w:t>
      </w:r>
      <w:r>
        <w:rPr>
          <w:bCs/>
          <w:i/>
          <w:iCs/>
        </w:rPr>
        <w:t xml:space="preserve">Download </w:t>
      </w:r>
      <w:r w:rsidR="005A1A99" w:rsidRPr="008B693C">
        <w:rPr>
          <w:bCs/>
          <w:i/>
          <w:iCs/>
        </w:rPr>
        <w:t xml:space="preserve">R package EasyStrata2, </w:t>
      </w:r>
      <w:r w:rsidR="00FD4A8F" w:rsidRPr="008B693C">
        <w:rPr>
          <w:bCs/>
          <w:i/>
          <w:iCs/>
        </w:rPr>
        <w:t xml:space="preserve">EasyStrata2 </w:t>
      </w:r>
      <w:r w:rsidR="005A1A99" w:rsidRPr="008B693C">
        <w:rPr>
          <w:bCs/>
          <w:i/>
          <w:iCs/>
        </w:rPr>
        <w:t xml:space="preserve">scripts and reference files </w:t>
      </w:r>
      <w:r w:rsidR="00FD4A8F" w:rsidRPr="008B693C">
        <w:rPr>
          <w:bCs/>
          <w:i/>
          <w:iCs/>
        </w:rPr>
        <w:t xml:space="preserve">(for PCA and clumping) </w:t>
      </w:r>
      <w:r w:rsidRPr="008B693C">
        <w:rPr>
          <w:bCs/>
          <w:i/>
          <w:iCs/>
        </w:rPr>
        <w:t xml:space="preserve">from </w:t>
      </w:r>
      <w:hyperlink r:id="rId9" w:history="1">
        <w:r w:rsidR="00396187" w:rsidRPr="00045B20">
          <w:rPr>
            <w:rStyle w:val="Hyperlink"/>
            <w:i/>
          </w:rPr>
          <w:t>https://www.genepi-regensburg.de/charge-gli</w:t>
        </w:r>
      </w:hyperlink>
    </w:p>
    <w:p w14:paraId="062FC7A0" w14:textId="4E6D69F2" w:rsidR="008023BA" w:rsidRPr="004A0402" w:rsidRDefault="00F2483E" w:rsidP="004A0402">
      <w:pPr>
        <w:pStyle w:val="Listenabsatz"/>
        <w:numPr>
          <w:ilvl w:val="1"/>
          <w:numId w:val="18"/>
        </w:numPr>
        <w:rPr>
          <w:rStyle w:val="Hyperlink"/>
          <w:color w:val="auto"/>
          <w:u w:val="none"/>
        </w:rPr>
      </w:pPr>
      <w:r w:rsidRPr="004A0402">
        <w:rPr>
          <w:bCs/>
          <w:i/>
          <w:iCs/>
        </w:rPr>
        <w:t>An overview of the EasyStrata2 scripts that implement our post-</w:t>
      </w:r>
      <w:proofErr w:type="gramStart"/>
      <w:r w:rsidRPr="004A0402">
        <w:rPr>
          <w:bCs/>
          <w:i/>
          <w:iCs/>
        </w:rPr>
        <w:t>meta analytical</w:t>
      </w:r>
      <w:proofErr w:type="gramEnd"/>
      <w:r w:rsidRPr="004A0402">
        <w:rPr>
          <w:bCs/>
          <w:i/>
          <w:iCs/>
        </w:rPr>
        <w:t xml:space="preserve"> framework (i.e., the bidirectional and combined-meta approaches) can be found in </w:t>
      </w:r>
      <w:r w:rsidR="00F378E2" w:rsidRPr="004A0402">
        <w:rPr>
          <w:b/>
          <w:bCs/>
          <w:i/>
          <w:iCs/>
        </w:rPr>
        <w:t>Supplement</w:t>
      </w:r>
      <w:r w:rsidR="00BF70CE" w:rsidRPr="004A0402">
        <w:rPr>
          <w:b/>
          <w:bCs/>
          <w:i/>
          <w:iCs/>
        </w:rPr>
        <w:t>ary Table 1</w:t>
      </w:r>
      <w:r w:rsidRPr="004A0402">
        <w:rPr>
          <w:bCs/>
          <w:i/>
          <w:iCs/>
        </w:rPr>
        <w:t xml:space="preserve"> </w:t>
      </w:r>
      <w:r w:rsidRPr="004A0402">
        <w:rPr>
          <w:rStyle w:val="Hyperlink"/>
          <w:i/>
        </w:rPr>
        <w:t xml:space="preserve"> </w:t>
      </w:r>
    </w:p>
    <w:p w14:paraId="60827883" w14:textId="3A776BB3" w:rsidR="0001595A" w:rsidRPr="00F113A3" w:rsidRDefault="00F113A3" w:rsidP="00F113A3">
      <w:pPr>
        <w:pStyle w:val="berschrift1"/>
        <w:rPr>
          <w:bCs/>
        </w:rPr>
      </w:pPr>
      <w:r>
        <w:rPr>
          <w:bCs/>
        </w:rPr>
        <w:t>Protocol</w:t>
      </w:r>
    </w:p>
    <w:p w14:paraId="50F1DB1F" w14:textId="7C734A8B" w:rsidR="001454D1" w:rsidRPr="00074A88" w:rsidRDefault="004A0402" w:rsidP="00074A88">
      <w:pPr>
        <w:pStyle w:val="berschrift2"/>
      </w:pPr>
      <w:r w:rsidRPr="00074A88">
        <w:t>Expected i</w:t>
      </w:r>
      <w:r w:rsidR="001454D1" w:rsidRPr="00074A88">
        <w:t>nput</w:t>
      </w:r>
    </w:p>
    <w:p w14:paraId="312FC036" w14:textId="5E3AAA56" w:rsidR="001454D1" w:rsidRPr="00A92136" w:rsidRDefault="00D01616" w:rsidP="001454D1">
      <w:pPr>
        <w:ind w:left="360" w:hanging="360"/>
        <w:rPr>
          <w:bCs/>
          <w:i/>
          <w:iCs/>
        </w:rPr>
      </w:pPr>
      <w:r>
        <w:rPr>
          <w:bCs/>
          <w:i/>
          <w:iCs/>
        </w:rPr>
        <w:t xml:space="preserve">The protocol expects </w:t>
      </w:r>
      <w:r w:rsidR="00B6530D" w:rsidRPr="00A92136">
        <w:rPr>
          <w:bCs/>
          <w:i/>
          <w:iCs/>
        </w:rPr>
        <w:t xml:space="preserve">study-specific </w:t>
      </w:r>
      <w:r w:rsidR="001454D1" w:rsidRPr="00A92136">
        <w:rPr>
          <w:bCs/>
          <w:i/>
          <w:iCs/>
        </w:rPr>
        <w:t xml:space="preserve">genome-wide interaction </w:t>
      </w:r>
      <w:r w:rsidR="000010B1" w:rsidRPr="00A92136">
        <w:rPr>
          <w:bCs/>
          <w:i/>
          <w:iCs/>
        </w:rPr>
        <w:t xml:space="preserve">study (GWIS) and genome-wide association study (GWAS) </w:t>
      </w:r>
      <w:r w:rsidR="00B6530D" w:rsidRPr="00A92136">
        <w:rPr>
          <w:bCs/>
          <w:i/>
          <w:iCs/>
        </w:rPr>
        <w:t>results</w:t>
      </w:r>
      <w:r>
        <w:rPr>
          <w:bCs/>
          <w:i/>
          <w:iCs/>
        </w:rPr>
        <w:t xml:space="preserve"> as input</w:t>
      </w:r>
      <w:r w:rsidR="00B6530D" w:rsidRPr="00A92136">
        <w:rPr>
          <w:bCs/>
          <w:i/>
          <w:iCs/>
        </w:rPr>
        <w:t xml:space="preserve"> </w:t>
      </w:r>
      <w:r w:rsidR="000010B1" w:rsidRPr="00A92136">
        <w:rPr>
          <w:bCs/>
          <w:i/>
          <w:iCs/>
        </w:rPr>
        <w:t xml:space="preserve">that are </w:t>
      </w:r>
      <w:r w:rsidR="00B6530D" w:rsidRPr="00A92136">
        <w:rPr>
          <w:bCs/>
          <w:i/>
          <w:iCs/>
        </w:rPr>
        <w:t xml:space="preserve">based on </w:t>
      </w:r>
      <w:r w:rsidR="000010B1" w:rsidRPr="00A92136">
        <w:rPr>
          <w:bCs/>
          <w:i/>
          <w:iCs/>
        </w:rPr>
        <w:t xml:space="preserve">the following </w:t>
      </w:r>
      <w:r w:rsidR="00A92136" w:rsidRPr="00A92136">
        <w:rPr>
          <w:bCs/>
          <w:i/>
          <w:iCs/>
        </w:rPr>
        <w:t>regression models:</w:t>
      </w:r>
    </w:p>
    <w:p w14:paraId="59249B67" w14:textId="77777777" w:rsidR="00A92136" w:rsidRPr="00A92136" w:rsidRDefault="00A92136" w:rsidP="00A92136">
      <w:pPr>
        <w:pStyle w:val="Listenabsatz"/>
        <w:numPr>
          <w:ilvl w:val="0"/>
          <w:numId w:val="18"/>
        </w:numPr>
        <w:spacing w:line="360" w:lineRule="auto"/>
        <w:rPr>
          <w:rFonts w:eastAsiaTheme="minorEastAsia"/>
          <w:b/>
          <w:bCs/>
          <w:i/>
          <w:iCs/>
        </w:rPr>
      </w:pPr>
      <w:r w:rsidRPr="00A92136">
        <w:rPr>
          <w:bCs/>
          <w:i/>
          <w:iCs/>
        </w:rPr>
        <w:t>“</w:t>
      </w:r>
      <w:r w:rsidR="001454D1" w:rsidRPr="00A92136">
        <w:rPr>
          <w:bCs/>
          <w:i/>
          <w:iCs/>
        </w:rPr>
        <w:t>Model 1</w:t>
      </w:r>
      <w:r w:rsidRPr="00A92136">
        <w:rPr>
          <w:bCs/>
          <w:i/>
          <w:iCs/>
        </w:rPr>
        <w:t>”</w:t>
      </w:r>
      <w:r w:rsidR="001454D1" w:rsidRPr="00A92136">
        <w:rPr>
          <w:bCs/>
          <w:i/>
          <w:iCs/>
        </w:rPr>
        <w:t>:</w:t>
      </w:r>
      <w:r w:rsidR="001454D1" w:rsidRPr="00A92136">
        <w:rPr>
          <w:b/>
          <w:bCs/>
          <w:i/>
          <w:iCs/>
        </w:rPr>
        <w:t xml:space="preserve">  </w:t>
      </w:r>
      <m:oMath>
        <m:r>
          <m:rPr>
            <m:sty m:val="p"/>
          </m:rPr>
          <w:rPr>
            <w:rFonts w:ascii="Cambria Math" w:hAnsi="Cambria Math"/>
          </w:rPr>
          <m:t>Y=</m:t>
        </m:r>
        <m:sSub>
          <m:sSubPr>
            <m:ctrlPr>
              <w:rPr>
                <w:rFonts w:ascii="Cambria Math" w:hAnsi="Cambria Math"/>
                <w:lang w:val="de-DE"/>
              </w:rPr>
            </m:ctrlPr>
          </m:sSubPr>
          <m:e>
            <m:r>
              <m:rPr>
                <m:sty m:val="p"/>
              </m:rPr>
              <w:rPr>
                <w:rFonts w:ascii="Cambria Math" w:hAnsi="Cambria Math"/>
                <w:lang w:val="de-DE"/>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lang w:val="de-DE"/>
              </w:rPr>
            </m:ctrlPr>
          </m:sSubPr>
          <m:e>
            <m:r>
              <m:rPr>
                <m:sty m:val="p"/>
              </m:rPr>
              <w:rPr>
                <w:rFonts w:ascii="Cambria Math" w:hAnsi="Cambria Math"/>
                <w:lang w:val="de-DE"/>
              </w:rPr>
              <m:t>β</m:t>
            </m:r>
          </m:e>
          <m:sub>
            <m:r>
              <m:rPr>
                <m:sty m:val="p"/>
              </m:rPr>
              <w:rPr>
                <w:rFonts w:ascii="Cambria Math" w:hAnsi="Cambria Math"/>
              </w:rPr>
              <m:t>G</m:t>
            </m:r>
          </m:sub>
        </m:sSub>
        <m:r>
          <m:rPr>
            <m:sty m:val="p"/>
          </m:rPr>
          <w:rPr>
            <w:rFonts w:ascii="Cambria Math" w:hAnsi="Cambria Math"/>
          </w:rPr>
          <m:t>G+</m:t>
        </m:r>
        <m:sSub>
          <m:sSubPr>
            <m:ctrlPr>
              <w:rPr>
                <w:rFonts w:ascii="Cambria Math" w:hAnsi="Cambria Math"/>
                <w:lang w:val="de-DE"/>
              </w:rPr>
            </m:ctrlPr>
          </m:sSubPr>
          <m:e>
            <m:r>
              <m:rPr>
                <m:sty m:val="p"/>
              </m:rPr>
              <w:rPr>
                <w:rFonts w:ascii="Cambria Math" w:hAnsi="Cambria Math"/>
                <w:lang w:val="de-DE"/>
              </w:rPr>
              <m:t>β</m:t>
            </m:r>
          </m:e>
          <m:sub>
            <m:r>
              <m:rPr>
                <m:sty m:val="p"/>
              </m:rPr>
              <w:rPr>
                <w:rFonts w:ascii="Cambria Math" w:hAnsi="Cambria Math"/>
              </w:rPr>
              <m:t>E</m:t>
            </m:r>
          </m:sub>
        </m:sSub>
        <m:r>
          <m:rPr>
            <m:sty m:val="p"/>
          </m:rPr>
          <w:rPr>
            <w:rFonts w:ascii="Cambria Math" w:hAnsi="Cambria Math"/>
          </w:rPr>
          <m:t>E+</m:t>
        </m:r>
        <m:sSub>
          <m:sSubPr>
            <m:ctrlPr>
              <w:rPr>
                <w:rFonts w:ascii="Cambria Math" w:hAnsi="Cambria Math"/>
                <w:lang w:val="de-DE"/>
              </w:rPr>
            </m:ctrlPr>
          </m:sSubPr>
          <m:e>
            <m:r>
              <m:rPr>
                <m:sty m:val="p"/>
              </m:rPr>
              <w:rPr>
                <w:rFonts w:ascii="Cambria Math" w:hAnsi="Cambria Math"/>
                <w:lang w:val="de-DE"/>
              </w:rPr>
              <m:t>β</m:t>
            </m:r>
          </m:e>
          <m:sub>
            <m:r>
              <m:rPr>
                <m:sty m:val="p"/>
              </m:rPr>
              <w:rPr>
                <w:rFonts w:ascii="Cambria Math" w:hAnsi="Cambria Math"/>
              </w:rPr>
              <m:t>GxE</m:t>
            </m:r>
          </m:sub>
        </m:sSub>
        <m:r>
          <m:rPr>
            <m:sty m:val="p"/>
          </m:rPr>
          <w:rPr>
            <w:rFonts w:ascii="Cambria Math" w:hAnsi="Cambria Math"/>
          </w:rPr>
          <m:t>G∙E+</m:t>
        </m:r>
        <m:sSub>
          <m:sSubPr>
            <m:ctrlPr>
              <w:rPr>
                <w:rFonts w:ascii="Cambria Math" w:hAnsi="Cambria Math"/>
                <w:lang w:val="de-DE"/>
              </w:rPr>
            </m:ctrlPr>
          </m:sSubPr>
          <m:e>
            <m:r>
              <m:rPr>
                <m:sty m:val="p"/>
              </m:rPr>
              <w:rPr>
                <w:rFonts w:ascii="Cambria Math" w:hAnsi="Cambria Math"/>
                <w:lang w:val="de-DE"/>
              </w:rPr>
              <m:t>β</m:t>
            </m:r>
          </m:e>
          <m:sub>
            <m:r>
              <m:rPr>
                <m:sty m:val="p"/>
              </m:rPr>
              <w:rPr>
                <w:rFonts w:ascii="Cambria Math" w:hAnsi="Cambria Math"/>
              </w:rPr>
              <m:t>C</m:t>
            </m:r>
          </m:sub>
        </m:sSub>
        <m:r>
          <m:rPr>
            <m:sty m:val="p"/>
          </m:rPr>
          <w:rPr>
            <w:rFonts w:ascii="Cambria Math" w:hAnsi="Cambria Math"/>
          </w:rPr>
          <m:t>C+</m:t>
        </m:r>
        <m:sSub>
          <m:sSubPr>
            <m:ctrlPr>
              <w:rPr>
                <w:rFonts w:ascii="Cambria Math" w:hAnsi="Cambria Math"/>
                <w:lang w:val="de-DE"/>
              </w:rPr>
            </m:ctrlPr>
          </m:sSubPr>
          <m:e>
            <m:r>
              <m:rPr>
                <m:sty m:val="p"/>
              </m:rPr>
              <w:rPr>
                <w:rFonts w:ascii="Cambria Math" w:hAnsi="Cambria Math"/>
                <w:lang w:val="de-DE"/>
              </w:rPr>
              <m:t>β</m:t>
            </m:r>
          </m:e>
          <m:sub>
            <m:sSup>
              <m:sSupPr>
                <m:ctrlPr>
                  <w:rPr>
                    <w:rFonts w:ascii="Cambria Math" w:hAnsi="Cambria Math"/>
                    <w:lang w:val="de-DE"/>
                  </w:rPr>
                </m:ctrlPr>
              </m:sSupPr>
              <m:e>
                <m:r>
                  <m:rPr>
                    <m:sty m:val="p"/>
                  </m:rPr>
                  <w:rPr>
                    <w:rFonts w:ascii="Cambria Math" w:hAnsi="Cambria Math"/>
                  </w:rPr>
                  <m:t>C</m:t>
                </m:r>
              </m:e>
              <m:sup>
                <m:r>
                  <m:rPr>
                    <m:sty m:val="p"/>
                  </m:rPr>
                  <w:rPr>
                    <w:rFonts w:ascii="Cambria Math" w:hAnsi="Cambria Math"/>
                  </w:rPr>
                  <m:t>'</m:t>
                </m:r>
              </m:sup>
            </m:sSup>
          </m:sub>
        </m:sSub>
        <m:sSup>
          <m:sSupPr>
            <m:ctrlPr>
              <w:rPr>
                <w:rFonts w:ascii="Cambria Math" w:hAnsi="Cambria Math"/>
              </w:rPr>
            </m:ctrlPr>
          </m:sSupPr>
          <m:e>
            <m:r>
              <m:rPr>
                <m:sty m:val="p"/>
              </m:rPr>
              <w:rPr>
                <w:rFonts w:ascii="Cambria Math" w:hAnsi="Cambria Math"/>
              </w:rPr>
              <m:t>C</m:t>
            </m:r>
          </m:e>
          <m:sup>
            <m:r>
              <m:rPr>
                <m:sty m:val="p"/>
              </m:rPr>
              <w:rPr>
                <w:rFonts w:ascii="Cambria Math" w:hAnsi="Cambria Math"/>
              </w:rPr>
              <m:t>'</m:t>
            </m:r>
          </m:sup>
        </m:sSup>
        <m:r>
          <m:rPr>
            <m:sty m:val="p"/>
          </m:rPr>
          <w:rPr>
            <w:rFonts w:ascii="Cambria Math" w:hAnsi="Cambria Math"/>
          </w:rPr>
          <m:t>∙E+</m:t>
        </m:r>
        <m:r>
          <m:rPr>
            <m:sty m:val="p"/>
          </m:rPr>
          <w:rPr>
            <w:rFonts w:ascii="Cambria Math" w:hAnsi="Cambria Math"/>
            <w:lang w:val="de-DE"/>
          </w:rPr>
          <m:t>ε</m:t>
        </m:r>
      </m:oMath>
    </w:p>
    <w:p w14:paraId="083CF626" w14:textId="11CA7B5A" w:rsidR="001454D1" w:rsidRPr="00A92136" w:rsidRDefault="00A92136" w:rsidP="00A92136">
      <w:pPr>
        <w:pStyle w:val="Listenabsatz"/>
        <w:numPr>
          <w:ilvl w:val="0"/>
          <w:numId w:val="18"/>
        </w:numPr>
        <w:spacing w:line="360" w:lineRule="auto"/>
        <w:rPr>
          <w:rFonts w:eastAsiaTheme="minorEastAsia"/>
          <w:b/>
          <w:bCs/>
          <w:i/>
          <w:iCs/>
        </w:rPr>
      </w:pPr>
      <w:r w:rsidRPr="00A92136">
        <w:rPr>
          <w:bCs/>
          <w:i/>
          <w:iCs/>
        </w:rPr>
        <w:t>“</w:t>
      </w:r>
      <w:r w:rsidR="001454D1" w:rsidRPr="00A92136">
        <w:rPr>
          <w:bCs/>
          <w:i/>
          <w:iCs/>
        </w:rPr>
        <w:t>Model 2</w:t>
      </w:r>
      <w:r w:rsidRPr="00A92136">
        <w:rPr>
          <w:bCs/>
          <w:i/>
          <w:iCs/>
        </w:rPr>
        <w:t>”</w:t>
      </w:r>
      <w:r w:rsidR="001454D1" w:rsidRPr="00A92136">
        <w:rPr>
          <w:bCs/>
          <w:i/>
          <w:iCs/>
        </w:rPr>
        <w:t xml:space="preserve">:  </w:t>
      </w:r>
      <m:oMath>
        <m:r>
          <m:rPr>
            <m:sty m:val="p"/>
          </m:rPr>
          <w:rPr>
            <w:rFonts w:ascii="Cambria Math" w:hAnsi="Cambria Math"/>
          </w:rPr>
          <m:t>Y=</m:t>
        </m:r>
        <m:sSub>
          <m:sSubPr>
            <m:ctrlPr>
              <w:rPr>
                <w:rFonts w:ascii="Cambria Math" w:hAnsi="Cambria Math"/>
                <w:lang w:val="de-DE"/>
              </w:rPr>
            </m:ctrlPr>
          </m:sSubPr>
          <m:e>
            <m:r>
              <m:rPr>
                <m:sty m:val="p"/>
              </m:rPr>
              <w:rPr>
                <w:rFonts w:ascii="Cambria Math" w:hAnsi="Cambria Math"/>
                <w:lang w:val="de-DE"/>
              </w:rPr>
              <m:t>γ</m:t>
            </m:r>
          </m:e>
          <m:sub>
            <m:r>
              <m:rPr>
                <m:sty m:val="p"/>
              </m:rPr>
              <w:rPr>
                <w:rFonts w:ascii="Cambria Math" w:hAnsi="Cambria Math"/>
              </w:rPr>
              <m:t>0</m:t>
            </m:r>
          </m:sub>
        </m:sSub>
        <m:r>
          <m:rPr>
            <m:sty m:val="p"/>
          </m:rPr>
          <w:rPr>
            <w:rFonts w:ascii="Cambria Math" w:hAnsi="Cambria Math"/>
          </w:rPr>
          <m:t>+</m:t>
        </m:r>
        <m:sSub>
          <m:sSubPr>
            <m:ctrlPr>
              <w:rPr>
                <w:rFonts w:ascii="Cambria Math" w:hAnsi="Cambria Math"/>
                <w:lang w:val="de-DE"/>
              </w:rPr>
            </m:ctrlPr>
          </m:sSubPr>
          <m:e>
            <m:r>
              <m:rPr>
                <m:sty m:val="p"/>
              </m:rPr>
              <w:rPr>
                <w:rFonts w:ascii="Cambria Math" w:hAnsi="Cambria Math"/>
                <w:lang w:val="de-DE"/>
              </w:rPr>
              <m:t>γ</m:t>
            </m:r>
          </m:e>
          <m:sub>
            <m:r>
              <m:rPr>
                <m:sty m:val="p"/>
              </m:rPr>
              <w:rPr>
                <w:rFonts w:ascii="Cambria Math" w:hAnsi="Cambria Math"/>
              </w:rPr>
              <m:t>G</m:t>
            </m:r>
          </m:sub>
        </m:sSub>
        <m:r>
          <m:rPr>
            <m:sty m:val="p"/>
          </m:rPr>
          <w:rPr>
            <w:rFonts w:ascii="Cambria Math" w:hAnsi="Cambria Math"/>
          </w:rPr>
          <m:t>G+</m:t>
        </m:r>
        <m:sSub>
          <m:sSubPr>
            <m:ctrlPr>
              <w:rPr>
                <w:rFonts w:ascii="Cambria Math" w:hAnsi="Cambria Math"/>
                <w:lang w:val="de-DE"/>
              </w:rPr>
            </m:ctrlPr>
          </m:sSubPr>
          <m:e>
            <m:r>
              <m:rPr>
                <m:sty m:val="p"/>
              </m:rPr>
              <w:rPr>
                <w:rFonts w:ascii="Cambria Math" w:hAnsi="Cambria Math"/>
                <w:lang w:val="de-DE"/>
              </w:rPr>
              <m:t>γ</m:t>
            </m:r>
          </m:e>
          <m:sub>
            <m:r>
              <m:rPr>
                <m:sty m:val="p"/>
              </m:rPr>
              <w:rPr>
                <w:rFonts w:ascii="Cambria Math" w:hAnsi="Cambria Math"/>
              </w:rPr>
              <m:t>C</m:t>
            </m:r>
          </m:sub>
        </m:sSub>
        <m:r>
          <m:rPr>
            <m:sty m:val="p"/>
          </m:rPr>
          <w:rPr>
            <w:rFonts w:ascii="Cambria Math" w:hAnsi="Cambria Math"/>
          </w:rPr>
          <m:t>C+</m:t>
        </m:r>
        <m:r>
          <m:rPr>
            <m:sty m:val="p"/>
          </m:rPr>
          <w:rPr>
            <w:rFonts w:ascii="Cambria Math" w:hAnsi="Cambria Math"/>
            <w:lang w:val="de-DE"/>
          </w:rPr>
          <m:t>ϵ</m:t>
        </m:r>
      </m:oMath>
    </w:p>
    <w:p w14:paraId="3B10F9DE" w14:textId="03403304" w:rsidR="001C7B8F" w:rsidRDefault="001C7B8F" w:rsidP="00074A88">
      <w:pPr>
        <w:pStyle w:val="berschrift2"/>
      </w:pPr>
      <w:commentRangeStart w:id="0"/>
      <w:r>
        <w:t>Study-Ancestry QC</w:t>
      </w:r>
    </w:p>
    <w:p w14:paraId="154E8734" w14:textId="77777777" w:rsidR="001C7B8F" w:rsidRDefault="001C7B8F" w:rsidP="001C7B8F">
      <w:pPr>
        <w:pStyle w:val="Listenabsatz"/>
        <w:numPr>
          <w:ilvl w:val="0"/>
          <w:numId w:val="1"/>
        </w:numPr>
      </w:pPr>
      <w:r>
        <w:t xml:space="preserve">Run EasyQC2 on each Study-Ancestry Group </w:t>
      </w:r>
    </w:p>
    <w:p w14:paraId="00A5894C" w14:textId="77777777" w:rsidR="001C7B8F" w:rsidRDefault="001C7B8F" w:rsidP="001C7B8F">
      <w:pPr>
        <w:pStyle w:val="Listenabsatz"/>
        <w:numPr>
          <w:ilvl w:val="1"/>
          <w:numId w:val="1"/>
        </w:numPr>
      </w:pPr>
      <w:r>
        <w:t>Double-check that no analyses have been submitted for strata with n&lt;100 individuals. Although this is specified in APs, some have been uploading anyway. Exclude these from all further steps.</w:t>
      </w:r>
    </w:p>
    <w:p w14:paraId="6990CCF3" w14:textId="77777777" w:rsidR="001C7B8F" w:rsidRDefault="001C7B8F" w:rsidP="001C7B8F">
      <w:pPr>
        <w:pStyle w:val="Listenabsatz"/>
        <w:numPr>
          <w:ilvl w:val="1"/>
          <w:numId w:val="1"/>
        </w:numPr>
      </w:pPr>
      <w:r>
        <w:t>Traits of the same type (quantitative and/or categorical) can be run together</w:t>
      </w:r>
    </w:p>
    <w:p w14:paraId="731363C9" w14:textId="77777777" w:rsidR="001C7B8F" w:rsidRDefault="001C7B8F" w:rsidP="001C7B8F">
      <w:pPr>
        <w:pStyle w:val="Listenabsatz"/>
        <w:numPr>
          <w:ilvl w:val="2"/>
          <w:numId w:val="1"/>
        </w:numPr>
      </w:pPr>
      <w:r>
        <w:t xml:space="preserve">Quantitative: </w:t>
      </w:r>
      <w:r w:rsidRPr="00E3241F">
        <w:t xml:space="preserve">edit out </w:t>
      </w:r>
      <w:proofErr w:type="spellStart"/>
      <w:r w:rsidRPr="00E3241F">
        <w:t>N_exp</w:t>
      </w:r>
      <w:proofErr w:type="spellEnd"/>
      <w:r w:rsidRPr="00E3241F">
        <w:t xml:space="preserve">, MAC_0, MAC_1, EAF_0, EAF_1 </w:t>
      </w:r>
      <w:proofErr w:type="gramStart"/>
      <w:r w:rsidRPr="00E3241F">
        <w:t>references</w:t>
      </w:r>
      <w:proofErr w:type="gramEnd"/>
      <w:r>
        <w:t>.</w:t>
      </w:r>
    </w:p>
    <w:p w14:paraId="49E815B2" w14:textId="77777777" w:rsidR="001C7B8F" w:rsidRDefault="001C7B8F" w:rsidP="001C7B8F">
      <w:pPr>
        <w:pStyle w:val="Listenabsatz"/>
        <w:numPr>
          <w:ilvl w:val="1"/>
          <w:numId w:val="1"/>
        </w:numPr>
      </w:pPr>
      <w:r>
        <w:t>Different ancestries must be run separately</w:t>
      </w:r>
    </w:p>
    <w:p w14:paraId="67953B48" w14:textId="77777777" w:rsidR="001C7B8F" w:rsidRDefault="001C7B8F" w:rsidP="001C7B8F">
      <w:pPr>
        <w:pStyle w:val="Listenabsatz"/>
        <w:numPr>
          <w:ilvl w:val="2"/>
          <w:numId w:val="1"/>
        </w:numPr>
      </w:pPr>
      <w:r>
        <w:t xml:space="preserve">Edit MERGE statement for allele frequency reference files </w:t>
      </w:r>
    </w:p>
    <w:p w14:paraId="63102F64" w14:textId="77777777" w:rsidR="001C7B8F" w:rsidRDefault="001C7B8F" w:rsidP="001C7B8F">
      <w:pPr>
        <w:pStyle w:val="Listenabsatz"/>
        <w:numPr>
          <w:ilvl w:val="0"/>
          <w:numId w:val="1"/>
        </w:numPr>
      </w:pPr>
      <w:r>
        <w:t>Evaluate QC output files and troubleshoot</w:t>
      </w:r>
    </w:p>
    <w:p w14:paraId="7EF7014A" w14:textId="77777777" w:rsidR="001C7B8F" w:rsidRDefault="001C7B8F" w:rsidP="001C7B8F">
      <w:pPr>
        <w:pStyle w:val="Listenabsatz"/>
        <w:numPr>
          <w:ilvl w:val="1"/>
          <w:numId w:val="1"/>
        </w:numPr>
      </w:pPr>
      <w:r>
        <w:t>Allele Frequency Plots: expectation is that most points fall along the diagonal in comparison with an ancestry-appropriate reference, with width of scatter variable based on how well ancestry of participants matches available reference.</w:t>
      </w:r>
    </w:p>
    <w:p w14:paraId="64F97EA6" w14:textId="77777777" w:rsidR="001C7B8F" w:rsidRDefault="001C7B8F" w:rsidP="001C7B8F">
      <w:pPr>
        <w:pStyle w:val="Listenabsatz"/>
        <w:numPr>
          <w:ilvl w:val="1"/>
          <w:numId w:val="1"/>
        </w:numPr>
      </w:pPr>
      <w:r>
        <w:lastRenderedPageBreak/>
        <w:t>QQ plots</w:t>
      </w:r>
    </w:p>
    <w:p w14:paraId="527C8F6E" w14:textId="77777777" w:rsidR="001C7B8F" w:rsidRDefault="001C7B8F" w:rsidP="001C7B8F">
      <w:pPr>
        <w:pStyle w:val="Listenabsatz"/>
        <w:numPr>
          <w:ilvl w:val="1"/>
          <w:numId w:val="1"/>
        </w:numPr>
      </w:pPr>
      <w:r>
        <w:t>Rep files: summarize cleaning steps (useful to compare across studies)</w:t>
      </w:r>
    </w:p>
    <w:p w14:paraId="0F9742BC" w14:textId="77777777" w:rsidR="001C7B8F" w:rsidRPr="00E3241F" w:rsidRDefault="001C7B8F" w:rsidP="00074A88">
      <w:pPr>
        <w:pStyle w:val="berschrift2"/>
      </w:pPr>
      <w:r>
        <w:t>Ancestry QC</w:t>
      </w:r>
    </w:p>
    <w:p w14:paraId="38E7DC9F" w14:textId="77777777" w:rsidR="001C7B8F" w:rsidRDefault="001C7B8F" w:rsidP="001C7B8F">
      <w:pPr>
        <w:pStyle w:val="Listenabsatz"/>
        <w:numPr>
          <w:ilvl w:val="0"/>
          <w:numId w:val="1"/>
        </w:numPr>
      </w:pPr>
      <w:r>
        <w:t xml:space="preserve">Meta QC – </w:t>
      </w:r>
      <w:proofErr w:type="spellStart"/>
      <w:r>
        <w:t>EasyQC</w:t>
      </w:r>
      <w:proofErr w:type="spellEnd"/>
      <w:r>
        <w:t xml:space="preserve"> run on all CLEANED files within an ancestry/trait/exposure group. </w:t>
      </w:r>
    </w:p>
    <w:p w14:paraId="32078DB0" w14:textId="77777777" w:rsidR="001C7B8F" w:rsidRDefault="001C7B8F" w:rsidP="001C7B8F">
      <w:pPr>
        <w:pStyle w:val="Listenabsatz"/>
        <w:numPr>
          <w:ilvl w:val="1"/>
          <w:numId w:val="1"/>
        </w:numPr>
      </w:pPr>
      <w:r>
        <w:t>Comparison of plots using different filtering strategies</w:t>
      </w:r>
    </w:p>
    <w:p w14:paraId="66D36F2E" w14:textId="77777777" w:rsidR="001C7B8F" w:rsidRPr="000619F2" w:rsidRDefault="001C7B8F" w:rsidP="001C7B8F">
      <w:pPr>
        <w:pStyle w:val="Listenabsatz"/>
        <w:numPr>
          <w:ilvl w:val="2"/>
          <w:numId w:val="1"/>
        </w:numPr>
      </w:pPr>
      <w:r>
        <w:t xml:space="preserve">At minimum, use </w:t>
      </w:r>
      <w:proofErr w:type="spellStart"/>
      <w:r>
        <w:t>df</w:t>
      </w:r>
      <w:proofErr w:type="spellEnd"/>
      <w:r>
        <w:t xml:space="preserve"> </w:t>
      </w:r>
      <w:r>
        <w:rPr>
          <w:rFonts w:cstheme="minorHAnsi"/>
        </w:rPr>
        <w:t>≥ 20 [</w:t>
      </w:r>
      <w:proofErr w:type="gramStart"/>
      <w:r>
        <w:t>minimum(</w:t>
      </w:r>
      <w:proofErr w:type="gramEnd"/>
      <w:r>
        <w:t xml:space="preserve">MAC0,MAC1)*imputation score </w:t>
      </w:r>
      <w:r>
        <w:rPr>
          <w:rFonts w:cstheme="minorHAnsi"/>
        </w:rPr>
        <w:t>≥</w:t>
      </w:r>
      <w:r>
        <w:t xml:space="preserve"> 20</w:t>
      </w:r>
      <w:r>
        <w:rPr>
          <w:rFonts w:cstheme="minorHAnsi"/>
        </w:rPr>
        <w:t xml:space="preserve">] (higher at project team’s discretion) </w:t>
      </w:r>
    </w:p>
    <w:p w14:paraId="585D142C" w14:textId="77777777" w:rsidR="001C7B8F" w:rsidRDefault="001C7B8F" w:rsidP="001C7B8F">
      <w:pPr>
        <w:pStyle w:val="Listenabsatz"/>
        <w:numPr>
          <w:ilvl w:val="2"/>
          <w:numId w:val="1"/>
        </w:numPr>
      </w:pPr>
      <w:r>
        <w:t xml:space="preserve">Imputation score </w:t>
      </w:r>
      <w:r>
        <w:rPr>
          <w:rFonts w:cstheme="minorHAnsi"/>
        </w:rPr>
        <w:t>≥</w:t>
      </w:r>
      <w:r>
        <w:t xml:space="preserve"> 0.5</w:t>
      </w:r>
    </w:p>
    <w:p w14:paraId="05DBBB5F" w14:textId="77777777" w:rsidR="001C7B8F" w:rsidRDefault="001C7B8F" w:rsidP="001C7B8F">
      <w:pPr>
        <w:pStyle w:val="Listenabsatz"/>
        <w:numPr>
          <w:ilvl w:val="1"/>
          <w:numId w:val="1"/>
        </w:numPr>
        <w:spacing w:after="200" w:line="276" w:lineRule="auto"/>
      </w:pPr>
      <w:r>
        <w:t>SEN plots useful to make sure no errors with trait transformation, E centering, etc.</w:t>
      </w:r>
    </w:p>
    <w:p w14:paraId="59AFE7C1" w14:textId="77777777" w:rsidR="001C7B8F" w:rsidRDefault="001C7B8F" w:rsidP="001C7B8F">
      <w:pPr>
        <w:pStyle w:val="Listenabsatz"/>
        <w:numPr>
          <w:ilvl w:val="2"/>
          <w:numId w:val="1"/>
        </w:numPr>
        <w:spacing w:after="200" w:line="276" w:lineRule="auto"/>
      </w:pPr>
      <w:r>
        <w:t xml:space="preserve">Expectation is that points (representing cohorts) lie </w:t>
      </w:r>
      <w:proofErr w:type="gramStart"/>
      <w:r>
        <w:t>more or less along</w:t>
      </w:r>
      <w:proofErr w:type="gramEnd"/>
      <w:r>
        <w:t xml:space="preserve"> diagonal. Any outlier should be investigated.</w:t>
      </w:r>
    </w:p>
    <w:p w14:paraId="4C5AB273" w14:textId="77777777" w:rsidR="001C7B8F" w:rsidRDefault="001C7B8F" w:rsidP="001C7B8F">
      <w:pPr>
        <w:pStyle w:val="Listenabsatz"/>
        <w:numPr>
          <w:ilvl w:val="1"/>
          <w:numId w:val="1"/>
        </w:numPr>
        <w:spacing w:after="0" w:line="276" w:lineRule="auto"/>
      </w:pPr>
      <w:r>
        <w:t xml:space="preserve">QQ plots [currently not included in </w:t>
      </w:r>
      <w:proofErr w:type="spellStart"/>
      <w:r>
        <w:t>metaQC</w:t>
      </w:r>
      <w:proofErr w:type="spellEnd"/>
      <w:r>
        <w:t>]</w:t>
      </w:r>
    </w:p>
    <w:p w14:paraId="4E7CCFBA" w14:textId="77777777" w:rsidR="001C7B8F" w:rsidRDefault="001C7B8F" w:rsidP="001C7B8F">
      <w:pPr>
        <w:pStyle w:val="Listenabsatz"/>
        <w:numPr>
          <w:ilvl w:val="1"/>
          <w:numId w:val="1"/>
        </w:numPr>
        <w:spacing w:after="0" w:line="276" w:lineRule="auto"/>
      </w:pPr>
      <w:r>
        <w:t>Check for E-centering</w:t>
      </w:r>
    </w:p>
    <w:p w14:paraId="2539E644" w14:textId="77777777" w:rsidR="001C7B8F" w:rsidRDefault="001C7B8F" w:rsidP="001C7B8F">
      <w:pPr>
        <w:pStyle w:val="Listenabsatz"/>
        <w:numPr>
          <w:ilvl w:val="2"/>
          <w:numId w:val="1"/>
        </w:numPr>
        <w:spacing w:after="0" w:line="276" w:lineRule="auto"/>
      </w:pPr>
      <w:r>
        <w:t>Outlying studies nearing y=0 may have used centered results</w:t>
      </w:r>
    </w:p>
    <w:p w14:paraId="3943946C" w14:textId="77777777" w:rsidR="001C7B8F" w:rsidRDefault="001C7B8F" w:rsidP="001C7B8F">
      <w:pPr>
        <w:pStyle w:val="Listenabsatz"/>
        <w:numPr>
          <w:ilvl w:val="1"/>
          <w:numId w:val="1"/>
        </w:numPr>
        <w:spacing w:after="0" w:line="276" w:lineRule="auto"/>
      </w:pPr>
      <w:r>
        <w:t>Rep files provide details on the cleaned files for comparisons across included studies and should be evaluated for outliers. For instance, outliers in beta distribution might indicate problems with trait transformation.</w:t>
      </w:r>
    </w:p>
    <w:p w14:paraId="70A1C547" w14:textId="77777777" w:rsidR="001C7B8F" w:rsidRDefault="001C7B8F" w:rsidP="001C7B8F">
      <w:pPr>
        <w:pStyle w:val="Listenabsatz"/>
        <w:numPr>
          <w:ilvl w:val="1"/>
          <w:numId w:val="1"/>
        </w:numPr>
        <w:spacing w:after="0" w:line="276" w:lineRule="auto"/>
      </w:pPr>
      <w:r>
        <w:t xml:space="preserve">NOTE: </w:t>
      </w:r>
      <w:proofErr w:type="spellStart"/>
      <w:r>
        <w:t>MetaQC</w:t>
      </w:r>
      <w:proofErr w:type="spellEnd"/>
      <w:r>
        <w:t xml:space="preserve"> does not produce filtered results files, but gives plots related to each filtering strategy to enable decision-making on filters by the meta-analyst. Filtering decisions should be implemented in meta-analysis.</w:t>
      </w:r>
      <w:commentRangeEnd w:id="0"/>
      <w:r w:rsidR="007D5588">
        <w:rPr>
          <w:rStyle w:val="Kommentarzeichen"/>
        </w:rPr>
        <w:commentReference w:id="0"/>
      </w:r>
    </w:p>
    <w:p w14:paraId="10A72E27" w14:textId="578FC819" w:rsidR="00151E2F" w:rsidRDefault="00151E2F" w:rsidP="00074A88">
      <w:pPr>
        <w:pStyle w:val="berschrift2"/>
      </w:pPr>
      <w:r>
        <w:t xml:space="preserve">Determine </w:t>
      </w:r>
      <w:r w:rsidR="00C75C25">
        <w:t>s</w:t>
      </w:r>
      <w:r>
        <w:t xml:space="preserve">ubset </w:t>
      </w:r>
      <w:r w:rsidR="00C75C25">
        <w:t>c</w:t>
      </w:r>
      <w:r>
        <w:t>omposition</w:t>
      </w:r>
    </w:p>
    <w:p w14:paraId="39085B66" w14:textId="482824AC" w:rsidR="00151E2F" w:rsidRDefault="00151E2F" w:rsidP="001C7B8F">
      <w:pPr>
        <w:pStyle w:val="Listenabsatz"/>
        <w:numPr>
          <w:ilvl w:val="0"/>
          <w:numId w:val="1"/>
        </w:numPr>
      </w:pPr>
      <w:r>
        <w:t xml:space="preserve">Once all study data has been cleaned, divide the studies into two subsets that are roughly equivalent in sample size, which will now make up </w:t>
      </w:r>
      <w:r w:rsidR="0015791A">
        <w:t>Stage</w:t>
      </w:r>
      <w:r>
        <w:t xml:space="preserve"> 1 (</w:t>
      </w:r>
      <w:r w:rsidRPr="001B2C12">
        <w:rPr>
          <w:b/>
          <w:bCs/>
        </w:rPr>
        <w:t>S1</w:t>
      </w:r>
      <w:r>
        <w:t xml:space="preserve">) and </w:t>
      </w:r>
      <w:r w:rsidR="0015791A">
        <w:t xml:space="preserve">Stage </w:t>
      </w:r>
      <w:r>
        <w:t>2 (</w:t>
      </w:r>
      <w:r w:rsidRPr="001B2C12">
        <w:rPr>
          <w:b/>
          <w:bCs/>
        </w:rPr>
        <w:t>S2</w:t>
      </w:r>
      <w:r>
        <w:t>).</w:t>
      </w:r>
      <w:r w:rsidR="000840E3">
        <w:t xml:space="preserve"> NOTE: the goal is to achieve relative balance between S1 and S2 sample sizes within population/trait/exposure analysis units. It is not necessary that the divisions be the same across analyses (</w:t>
      </w:r>
      <w:proofErr w:type="gramStart"/>
      <w:r w:rsidR="000840E3">
        <w:t>e.g.</w:t>
      </w:r>
      <w:proofErr w:type="gramEnd"/>
      <w:r w:rsidR="000840E3">
        <w:t xml:space="preserve"> ARIC AFR could be in S1 for the AFR meta-analysis while ARIC EUR are in S1 for the EUR meta-analysis). </w:t>
      </w:r>
    </w:p>
    <w:p w14:paraId="2F9528FE" w14:textId="373885C9" w:rsidR="0072004D" w:rsidRPr="0072004D" w:rsidRDefault="008E41A5" w:rsidP="00074A88">
      <w:pPr>
        <w:pStyle w:val="berschrift2"/>
      </w:pPr>
      <w:r>
        <w:t>Population</w:t>
      </w:r>
      <w:r w:rsidR="001B2C12">
        <w:t>-specific</w:t>
      </w:r>
      <w:r w:rsidR="0072004D" w:rsidRPr="0072004D">
        <w:t xml:space="preserve"> </w:t>
      </w:r>
      <w:r w:rsidR="00C75C25">
        <w:t>m</w:t>
      </w:r>
      <w:r w:rsidR="0072004D" w:rsidRPr="0072004D">
        <w:t>eta-</w:t>
      </w:r>
      <w:r w:rsidR="00C75C25">
        <w:t>a</w:t>
      </w:r>
      <w:r w:rsidR="0072004D" w:rsidRPr="0072004D">
        <w:t>nalys</w:t>
      </w:r>
      <w:r w:rsidR="008134C8">
        <w:t>e</w:t>
      </w:r>
      <w:r w:rsidR="00566EE2">
        <w:t xml:space="preserve">s </w:t>
      </w:r>
    </w:p>
    <w:p w14:paraId="4247B84E" w14:textId="54DFD959" w:rsidR="00566EE2" w:rsidRDefault="005B3A17" w:rsidP="001C7B8F">
      <w:pPr>
        <w:pStyle w:val="Listenabsatz"/>
        <w:numPr>
          <w:ilvl w:val="0"/>
          <w:numId w:val="1"/>
        </w:numPr>
      </w:pPr>
      <w:r>
        <w:t xml:space="preserve">In METAL, </w:t>
      </w:r>
      <w:r w:rsidR="00C75C25">
        <w:t xml:space="preserve">pool </w:t>
      </w:r>
      <w:r w:rsidR="008E41A5">
        <w:t>population</w:t>
      </w:r>
      <w:r w:rsidR="001B2C12">
        <w:t>-</w:t>
      </w:r>
      <w:r w:rsidR="0072004D">
        <w:t xml:space="preserve">specific </w:t>
      </w:r>
      <w:r w:rsidR="00E479D1">
        <w:t xml:space="preserve">study </w:t>
      </w:r>
      <w:r w:rsidR="0072004D">
        <w:t xml:space="preserve">results </w:t>
      </w:r>
      <w:r w:rsidR="00F378E2">
        <w:t>(</w:t>
      </w:r>
      <w:r w:rsidR="00F378E2" w:rsidRPr="00BF70CE">
        <w:rPr>
          <w:b/>
        </w:rPr>
        <w:t xml:space="preserve">Supplementary </w:t>
      </w:r>
      <w:r w:rsidR="00BF70CE" w:rsidRPr="00BF70CE">
        <w:rPr>
          <w:b/>
        </w:rPr>
        <w:t>Figure 1</w:t>
      </w:r>
      <w:r w:rsidR="00F378E2">
        <w:t>)</w:t>
      </w:r>
    </w:p>
    <w:p w14:paraId="361E97FD" w14:textId="78945297" w:rsidR="002F480C" w:rsidRDefault="002F480C" w:rsidP="001C7B8F">
      <w:pPr>
        <w:pStyle w:val="Listenabsatz"/>
        <w:numPr>
          <w:ilvl w:val="1"/>
          <w:numId w:val="1"/>
        </w:numPr>
      </w:pPr>
      <w:r>
        <w:t xml:space="preserve">Example input: </w:t>
      </w:r>
      <w:bookmarkStart w:id="1" w:name="_Hlk133943830"/>
      <w:r>
        <w:t>“Study1_EUR”</w:t>
      </w:r>
      <w:bookmarkEnd w:id="1"/>
      <w:r>
        <w:t>, “Study2_EUR”, … “</w:t>
      </w:r>
      <w:proofErr w:type="spellStart"/>
      <w:r>
        <w:t>StudyM_EUR</w:t>
      </w:r>
      <w:proofErr w:type="spellEnd"/>
      <w:r>
        <w:t>”</w:t>
      </w:r>
      <w:r w:rsidR="008134C8">
        <w:t xml:space="preserve"> </w:t>
      </w:r>
    </w:p>
    <w:p w14:paraId="77DAC008" w14:textId="0DCC89E2" w:rsidR="00C75C25" w:rsidRDefault="00C75C25" w:rsidP="001C7B8F">
      <w:pPr>
        <w:pStyle w:val="Listenabsatz"/>
        <w:numPr>
          <w:ilvl w:val="1"/>
          <w:numId w:val="1"/>
        </w:numPr>
      </w:pPr>
      <w:r>
        <w:t xml:space="preserve">Run separately by </w:t>
      </w:r>
      <w:r w:rsidR="008E41A5">
        <w:t>population</w:t>
      </w:r>
      <w:r w:rsidR="00AF4396">
        <w:t>.</w:t>
      </w:r>
    </w:p>
    <w:p w14:paraId="0508C683" w14:textId="64BFCB9E" w:rsidR="00566EE2" w:rsidRDefault="00835CD1" w:rsidP="001C7B8F">
      <w:pPr>
        <w:pStyle w:val="Listenabsatz"/>
        <w:numPr>
          <w:ilvl w:val="1"/>
          <w:numId w:val="1"/>
        </w:numPr>
      </w:pPr>
      <w:r>
        <w:t>Run separately for S1 and S2</w:t>
      </w:r>
      <w:r w:rsidR="008134C8">
        <w:t xml:space="preserve"> and on all studies combined (S1plusS2)</w:t>
      </w:r>
      <w:r w:rsidR="00AF4396">
        <w:t>.</w:t>
      </w:r>
    </w:p>
    <w:p w14:paraId="0CDB2709" w14:textId="3AD4BAD6" w:rsidR="002F480C" w:rsidRDefault="002F480C" w:rsidP="001C7B8F">
      <w:pPr>
        <w:pStyle w:val="Listenabsatz"/>
        <w:numPr>
          <w:ilvl w:val="1"/>
          <w:numId w:val="1"/>
        </w:numPr>
      </w:pPr>
      <w:r>
        <w:t>I</w:t>
      </w:r>
      <w:r w:rsidR="001B2C12">
        <w:t xml:space="preserve">nclude filtering strategy determined from </w:t>
      </w:r>
      <w:r w:rsidR="005F4655">
        <w:t>Population</w:t>
      </w:r>
      <w:r w:rsidR="001B2C12">
        <w:t xml:space="preserve"> QC</w:t>
      </w:r>
      <w:r w:rsidR="00C97448">
        <w:t xml:space="preserve"> using ADDFILTER</w:t>
      </w:r>
      <w:r>
        <w:t>:</w:t>
      </w:r>
      <w:r w:rsidR="00C97448">
        <w:t xml:space="preserve"> </w:t>
      </w:r>
    </w:p>
    <w:p w14:paraId="3B5D0660" w14:textId="77777777" w:rsidR="002F480C" w:rsidRDefault="002F480C" w:rsidP="002F480C">
      <w:pPr>
        <w:pStyle w:val="Listenabsatz"/>
        <w:numPr>
          <w:ilvl w:val="2"/>
          <w:numId w:val="1"/>
        </w:numPr>
        <w:rPr>
          <w:lang w:val="de-DE"/>
        </w:rPr>
      </w:pPr>
      <w:r>
        <w:t xml:space="preserve">For quantitative E: </w:t>
      </w:r>
      <w:r w:rsidR="00C97448" w:rsidRPr="002F480C">
        <w:rPr>
          <w:lang w:val="de-DE"/>
        </w:rPr>
        <w:t>ADDFILTER DF</w:t>
      </w:r>
      <w:r>
        <w:rPr>
          <w:lang w:val="de-DE"/>
        </w:rPr>
        <w:t>_ALL</w:t>
      </w:r>
      <w:r w:rsidR="00C97448" w:rsidRPr="002F480C">
        <w:rPr>
          <w:lang w:val="de-DE"/>
        </w:rPr>
        <w:t>&gt;=20</w:t>
      </w:r>
    </w:p>
    <w:p w14:paraId="7400741F" w14:textId="77D8683B" w:rsidR="00566EE2" w:rsidRPr="002F480C" w:rsidRDefault="002F480C" w:rsidP="002F480C">
      <w:pPr>
        <w:pStyle w:val="Listenabsatz"/>
        <w:numPr>
          <w:ilvl w:val="2"/>
          <w:numId w:val="1"/>
        </w:numPr>
      </w:pPr>
      <w:r w:rsidRPr="002F480C">
        <w:t xml:space="preserve">For binary E: </w:t>
      </w:r>
      <w:r w:rsidR="00C97448" w:rsidRPr="002F480C">
        <w:t xml:space="preserve">ADDFILTER </w:t>
      </w:r>
      <w:r w:rsidRPr="002F480C">
        <w:t>DF_ALL&gt;=20</w:t>
      </w:r>
      <w:r>
        <w:t xml:space="preserve">, </w:t>
      </w:r>
      <w:r w:rsidRPr="002F480C">
        <w:t>ADDFILTER DF_</w:t>
      </w:r>
      <w:r>
        <w:t>E0</w:t>
      </w:r>
      <w:r w:rsidRPr="002F480C">
        <w:t>&gt;=20</w:t>
      </w:r>
      <w:r>
        <w:t xml:space="preserve"> and </w:t>
      </w:r>
      <w:r w:rsidRPr="002F480C">
        <w:t>ADDFILTER DF</w:t>
      </w:r>
      <w:r>
        <w:t>_E1</w:t>
      </w:r>
      <w:r w:rsidRPr="002F480C">
        <w:t>&gt;=20</w:t>
      </w:r>
    </w:p>
    <w:p w14:paraId="2308F123" w14:textId="327521A3" w:rsidR="00566EE2" w:rsidRDefault="0072004D" w:rsidP="001C7B8F">
      <w:pPr>
        <w:pStyle w:val="Listenabsatz"/>
        <w:numPr>
          <w:ilvl w:val="1"/>
          <w:numId w:val="1"/>
        </w:numPr>
      </w:pPr>
      <w:r>
        <w:t>Use the genomic control option</w:t>
      </w:r>
      <w:r w:rsidR="00E479D1">
        <w:t xml:space="preserve"> (</w:t>
      </w:r>
      <w:r w:rsidR="00C75C25">
        <w:t xml:space="preserve">i.e., </w:t>
      </w:r>
      <w:r w:rsidR="00E479D1">
        <w:t>Single</w:t>
      </w:r>
      <w:r w:rsidR="00C75C25">
        <w:t xml:space="preserve"> </w:t>
      </w:r>
      <w:r w:rsidR="00E479D1">
        <w:t>GC</w:t>
      </w:r>
      <w:r w:rsidR="002E49A6">
        <w:t>, “study-level”</w:t>
      </w:r>
      <w:r w:rsidR="00E479D1">
        <w:t>)</w:t>
      </w:r>
      <w:r w:rsidR="00081B37">
        <w:t>.</w:t>
      </w:r>
    </w:p>
    <w:p w14:paraId="0B2694BB" w14:textId="55A7DE66" w:rsidR="00566EE2" w:rsidRPr="00F35005" w:rsidRDefault="0072004D" w:rsidP="001C7B8F">
      <w:pPr>
        <w:pStyle w:val="Listenabsatz"/>
        <w:numPr>
          <w:ilvl w:val="1"/>
          <w:numId w:val="1"/>
        </w:numPr>
      </w:pPr>
      <w:r>
        <w:t xml:space="preserve">Use the </w:t>
      </w:r>
      <w:r w:rsidR="00F73E45">
        <w:t xml:space="preserve">heterogeneity option </w:t>
      </w:r>
      <w:r w:rsidR="002E49A6">
        <w:t xml:space="preserve">(to derive </w:t>
      </w:r>
      <w:r w:rsidR="002E49A6" w:rsidRPr="00F35005">
        <w:t xml:space="preserve">between-study heterogeneity estimates and </w:t>
      </w:r>
      <w:proofErr w:type="spellStart"/>
      <w:r w:rsidR="00F73E45" w:rsidRPr="00F35005">
        <w:t>HetDf</w:t>
      </w:r>
      <w:proofErr w:type="spellEnd"/>
      <w:r w:rsidR="00F73E45" w:rsidRPr="00F35005">
        <w:t xml:space="preserve"> for filtering on the number of studies later in this process</w:t>
      </w:r>
      <w:r w:rsidR="002E49A6" w:rsidRPr="00F35005">
        <w:t>)</w:t>
      </w:r>
      <w:r w:rsidR="00F73E45" w:rsidRPr="00F35005">
        <w:t>.</w:t>
      </w:r>
    </w:p>
    <w:p w14:paraId="7719192D" w14:textId="18A849DE" w:rsidR="0001595A" w:rsidRPr="00F35005" w:rsidRDefault="0001595A" w:rsidP="001C7B8F">
      <w:pPr>
        <w:pStyle w:val="Listenabsatz"/>
        <w:numPr>
          <w:ilvl w:val="1"/>
          <w:numId w:val="1"/>
        </w:numPr>
      </w:pPr>
      <w:r w:rsidRPr="00F35005">
        <w:t xml:space="preserve">Run separately for </w:t>
      </w:r>
    </w:p>
    <w:p w14:paraId="15D03103" w14:textId="56294553" w:rsidR="0072004D" w:rsidRPr="00F35005" w:rsidRDefault="0001595A" w:rsidP="001C7B8F">
      <w:pPr>
        <w:pStyle w:val="Listenabsatz"/>
        <w:numPr>
          <w:ilvl w:val="2"/>
          <w:numId w:val="1"/>
        </w:numPr>
      </w:pPr>
      <w:r w:rsidRPr="00F35005">
        <w:t xml:space="preserve">Model 1 (joint meta-analysis): </w:t>
      </w:r>
      <w:r w:rsidR="0072004D" w:rsidRPr="00F35005">
        <w:t xml:space="preserve">SCHEME </w:t>
      </w:r>
      <w:r w:rsidRPr="00F35005">
        <w:t xml:space="preserve">INTERACTION (METAL </w:t>
      </w:r>
      <w:r w:rsidR="00C75C25" w:rsidRPr="00F35005">
        <w:t>A</w:t>
      </w:r>
      <w:r w:rsidRPr="00F35005">
        <w:t>dd-on for interaction needed</w:t>
      </w:r>
      <w:r w:rsidR="002E462B" w:rsidRPr="00F35005">
        <w:t xml:space="preserve">; this will produce the joint 2df P-Value for identification </w:t>
      </w:r>
      <w:r w:rsidR="00456BDA" w:rsidRPr="00F35005">
        <w:t>of novel loci</w:t>
      </w:r>
      <w:r w:rsidR="00C310AB" w:rsidRPr="00F35005">
        <w:t xml:space="preserve">; </w:t>
      </w:r>
      <w:r w:rsidR="002E49A6" w:rsidRPr="00F35005">
        <w:t xml:space="preserve">please discard any </w:t>
      </w:r>
      <w:r w:rsidR="00C310AB" w:rsidRPr="00F35005">
        <w:t>main and interaction effect</w:t>
      </w:r>
      <w:r w:rsidR="002E49A6" w:rsidRPr="00F35005">
        <w:t xml:space="preserve"> estimates</w:t>
      </w:r>
      <w:r w:rsidR="008A5BE7" w:rsidRPr="00F35005">
        <w:t xml:space="preserve"> produced</w:t>
      </w:r>
      <w:r w:rsidRPr="00F35005">
        <w:t>)</w:t>
      </w:r>
    </w:p>
    <w:p w14:paraId="2056941A" w14:textId="4D5FDDED" w:rsidR="002E49A6" w:rsidRPr="00F35005" w:rsidRDefault="00113A03" w:rsidP="00DA2B7B">
      <w:pPr>
        <w:pStyle w:val="Listenabsatz"/>
        <w:numPr>
          <w:ilvl w:val="2"/>
          <w:numId w:val="1"/>
        </w:numPr>
      </w:pPr>
      <w:r w:rsidRPr="00F35005">
        <w:lastRenderedPageBreak/>
        <w:t xml:space="preserve">Model 1 </w:t>
      </w:r>
      <w:r w:rsidR="002E462B" w:rsidRPr="00F35005">
        <w:t>(interaction effect</w:t>
      </w:r>
      <w:r w:rsidR="005D6AE0" w:rsidRPr="00F35005">
        <w:t xml:space="preserve"> meta-analysis</w:t>
      </w:r>
      <w:r w:rsidR="002E462B" w:rsidRPr="00F35005">
        <w:t>): SCHEME STDERR</w:t>
      </w:r>
      <w:r w:rsidR="00456BDA" w:rsidRPr="00F35005">
        <w:t xml:space="preserve"> (</w:t>
      </w:r>
      <w:r w:rsidR="00BB1E74" w:rsidRPr="00F35005">
        <w:t xml:space="preserve">this will </w:t>
      </w:r>
      <w:r w:rsidR="00D87AF1" w:rsidRPr="00F35005">
        <w:t xml:space="preserve">produce the 1 </w:t>
      </w:r>
      <w:proofErr w:type="spellStart"/>
      <w:r w:rsidR="00D87AF1" w:rsidRPr="00F35005">
        <w:t>df</w:t>
      </w:r>
      <w:proofErr w:type="spellEnd"/>
      <w:r w:rsidR="00D87AF1" w:rsidRPr="00F35005">
        <w:t xml:space="preserve"> interaction </w:t>
      </w:r>
      <w:r w:rsidR="002E49A6" w:rsidRPr="00F35005">
        <w:t xml:space="preserve">effect estimates and interaction </w:t>
      </w:r>
      <w:r w:rsidR="00D87AF1" w:rsidRPr="00F35005">
        <w:t>P-Value</w:t>
      </w:r>
      <w:r w:rsidR="002E49A6" w:rsidRPr="00F35005">
        <w:t>s</w:t>
      </w:r>
      <w:r w:rsidR="00D87AF1" w:rsidRPr="00F35005">
        <w:t xml:space="preserve"> </w:t>
      </w:r>
      <w:r w:rsidR="00C5090F" w:rsidRPr="00F35005">
        <w:t xml:space="preserve">for </w:t>
      </w:r>
      <w:r w:rsidR="002E49A6" w:rsidRPr="00F35005">
        <w:t xml:space="preserve">interpretation and </w:t>
      </w:r>
      <w:r w:rsidR="00C5090F" w:rsidRPr="00F35005">
        <w:t>identification of interaction loci</w:t>
      </w:r>
      <w:r w:rsidR="00BB1E74" w:rsidRPr="00F35005">
        <w:t>)</w:t>
      </w:r>
    </w:p>
    <w:p w14:paraId="1EE78917" w14:textId="2BC06D32" w:rsidR="00081B37" w:rsidRPr="00F35005" w:rsidRDefault="0001595A" w:rsidP="001C7B8F">
      <w:pPr>
        <w:pStyle w:val="Listenabsatz"/>
        <w:numPr>
          <w:ilvl w:val="2"/>
          <w:numId w:val="1"/>
        </w:numPr>
      </w:pPr>
      <w:r w:rsidRPr="00F35005">
        <w:t>Model 2 (marginal effect meta-analysis): SCHEME STDERR</w:t>
      </w:r>
      <w:r w:rsidR="00C5090F" w:rsidRPr="00F35005">
        <w:t xml:space="preserve"> (this will produce the 1 </w:t>
      </w:r>
      <w:proofErr w:type="spellStart"/>
      <w:r w:rsidR="00C5090F" w:rsidRPr="00F35005">
        <w:t>df</w:t>
      </w:r>
      <w:proofErr w:type="spellEnd"/>
      <w:r w:rsidR="00C5090F" w:rsidRPr="00F35005">
        <w:t xml:space="preserve"> marginal P-value </w:t>
      </w:r>
      <w:r w:rsidR="002E49A6" w:rsidRPr="00F35005">
        <w:t xml:space="preserve">that is required </w:t>
      </w:r>
      <w:r w:rsidR="003022DB" w:rsidRPr="00F35005">
        <w:t>for the 2-step approach</w:t>
      </w:r>
      <w:r w:rsidR="00C5090F" w:rsidRPr="00F35005">
        <w:t>)</w:t>
      </w:r>
    </w:p>
    <w:p w14:paraId="1AF72E9D" w14:textId="5E160971" w:rsidR="008134C8" w:rsidRPr="00F35005" w:rsidRDefault="00566EE2" w:rsidP="008134C8">
      <w:pPr>
        <w:pStyle w:val="Listenabsatz"/>
        <w:numPr>
          <w:ilvl w:val="1"/>
          <w:numId w:val="1"/>
        </w:numPr>
      </w:pPr>
      <w:r w:rsidRPr="00F35005">
        <w:rPr>
          <w:u w:val="single"/>
        </w:rPr>
        <w:t>Expected results</w:t>
      </w:r>
      <w:r w:rsidRPr="00F35005">
        <w:t xml:space="preserve">: Single-GC corrected </w:t>
      </w:r>
      <w:r w:rsidR="0064332B" w:rsidRPr="00F35005">
        <w:t>population</w:t>
      </w:r>
      <w:r w:rsidRPr="00F35005">
        <w:t>-specific metal results for S1</w:t>
      </w:r>
      <w:r w:rsidR="008134C8" w:rsidRPr="00F35005">
        <w:t xml:space="preserve">, </w:t>
      </w:r>
      <w:r w:rsidRPr="00F35005">
        <w:t xml:space="preserve">S2 </w:t>
      </w:r>
      <w:r w:rsidR="008134C8" w:rsidRPr="00F35005">
        <w:t xml:space="preserve">and S1plusS2 </w:t>
      </w:r>
      <w:r w:rsidRPr="00F35005">
        <w:t xml:space="preserve">(e.g., </w:t>
      </w:r>
      <w:r w:rsidR="00AE7731" w:rsidRPr="00F35005">
        <w:t>“</w:t>
      </w:r>
      <w:r w:rsidRPr="00F35005">
        <w:t>S1_EUR_1GC</w:t>
      </w:r>
      <w:r w:rsidR="00AE7731" w:rsidRPr="00F35005">
        <w:t>”</w:t>
      </w:r>
      <w:r w:rsidR="001C7B8F" w:rsidRPr="00F35005">
        <w:t>, “S1_AFR_1GC</w:t>
      </w:r>
      <w:proofErr w:type="gramStart"/>
      <w:r w:rsidR="001C7B8F" w:rsidRPr="00F35005">
        <w:t>”,…</w:t>
      </w:r>
      <w:proofErr w:type="gramEnd"/>
      <w:r w:rsidR="001C7B8F" w:rsidRPr="00F35005">
        <w:t xml:space="preserve">, </w:t>
      </w:r>
      <w:r w:rsidR="00AE7731" w:rsidRPr="00F35005">
        <w:t>“</w:t>
      </w:r>
      <w:r w:rsidR="00081B37" w:rsidRPr="00F35005">
        <w:t>S2_EUR_1GC</w:t>
      </w:r>
      <w:r w:rsidR="00AE7731" w:rsidRPr="00F35005">
        <w:t>”</w:t>
      </w:r>
      <w:r w:rsidR="001C7B8F" w:rsidRPr="00F35005">
        <w:t>, “S2_AFR_1GC”, …</w:t>
      </w:r>
      <w:r w:rsidR="008134C8" w:rsidRPr="00F35005">
        <w:t>, “S1plusS2_EUR_1GC”, “S1plusS2_AFR_1GC”</w:t>
      </w:r>
      <w:r w:rsidRPr="00F35005">
        <w:t>)</w:t>
      </w:r>
    </w:p>
    <w:p w14:paraId="5790C31E" w14:textId="6B6026B3" w:rsidR="0072004D" w:rsidRPr="00F35005" w:rsidRDefault="0064332B" w:rsidP="00074A88">
      <w:pPr>
        <w:pStyle w:val="berschrift2"/>
      </w:pPr>
      <w:r w:rsidRPr="00F35005">
        <w:t>Cross</w:t>
      </w:r>
      <w:r w:rsidR="001B2C12" w:rsidRPr="00F35005">
        <w:t>-</w:t>
      </w:r>
      <w:r w:rsidRPr="00F35005">
        <w:t xml:space="preserve">population </w:t>
      </w:r>
      <w:r w:rsidR="00C75C25" w:rsidRPr="00F35005">
        <w:t>m</w:t>
      </w:r>
      <w:r w:rsidR="0072004D" w:rsidRPr="00F35005">
        <w:t>eta</w:t>
      </w:r>
      <w:r w:rsidR="001B2C12" w:rsidRPr="00F35005">
        <w:t>-</w:t>
      </w:r>
      <w:r w:rsidR="00C75C25" w:rsidRPr="00F35005">
        <w:t>a</w:t>
      </w:r>
      <w:r w:rsidR="0072004D" w:rsidRPr="00F35005">
        <w:t>nalys</w:t>
      </w:r>
      <w:r w:rsidR="008134C8" w:rsidRPr="00F35005">
        <w:t>e</w:t>
      </w:r>
      <w:r w:rsidR="0072004D" w:rsidRPr="00F35005">
        <w:t xml:space="preserve">s </w:t>
      </w:r>
    </w:p>
    <w:p w14:paraId="58466700" w14:textId="41E17BEF" w:rsidR="00C75C25" w:rsidRPr="00F35005" w:rsidRDefault="00566EE2" w:rsidP="008134C8">
      <w:pPr>
        <w:pStyle w:val="Listenabsatz"/>
        <w:numPr>
          <w:ilvl w:val="0"/>
          <w:numId w:val="1"/>
        </w:numPr>
      </w:pPr>
      <w:r w:rsidRPr="00F35005">
        <w:t xml:space="preserve">In METAL, </w:t>
      </w:r>
      <w:r w:rsidR="00C75C25" w:rsidRPr="00F35005">
        <w:t xml:space="preserve">pool </w:t>
      </w:r>
      <w:r w:rsidR="0064332B" w:rsidRPr="00F35005">
        <w:t>population</w:t>
      </w:r>
      <w:r w:rsidRPr="00F35005">
        <w:t xml:space="preserve">-specific </w:t>
      </w:r>
      <w:r w:rsidR="00AF4396" w:rsidRPr="00F35005">
        <w:t xml:space="preserve">metal </w:t>
      </w:r>
      <w:r w:rsidRPr="00F35005">
        <w:t xml:space="preserve">results </w:t>
      </w:r>
      <w:r w:rsidR="00C75C25" w:rsidRPr="00F35005">
        <w:t>(</w:t>
      </w:r>
      <w:r w:rsidR="00E479D1" w:rsidRPr="00F35005">
        <w:t xml:space="preserve">from </w:t>
      </w:r>
      <w:r w:rsidR="001C7B8F" w:rsidRPr="00F35005">
        <w:t>5</w:t>
      </w:r>
      <w:r w:rsidR="0072004D" w:rsidRPr="00F35005">
        <w:t>.</w:t>
      </w:r>
      <w:r w:rsidR="0009332F">
        <w:t xml:space="preserve">; </w:t>
      </w:r>
      <w:r w:rsidR="0009332F" w:rsidRPr="00BF70CE">
        <w:rPr>
          <w:b/>
        </w:rPr>
        <w:t xml:space="preserve">Supplementary Figure </w:t>
      </w:r>
      <w:r w:rsidR="0009332F">
        <w:rPr>
          <w:b/>
        </w:rPr>
        <w:t>2</w:t>
      </w:r>
      <w:r w:rsidR="00C75C25" w:rsidRPr="00F35005">
        <w:t>)</w:t>
      </w:r>
    </w:p>
    <w:p w14:paraId="7404E04D" w14:textId="66F4E79D" w:rsidR="00C75C25" w:rsidRPr="00F35005" w:rsidRDefault="00C75C25" w:rsidP="008134C8">
      <w:pPr>
        <w:pStyle w:val="Listenabsatz"/>
        <w:numPr>
          <w:ilvl w:val="1"/>
          <w:numId w:val="17"/>
        </w:numPr>
      </w:pPr>
      <w:r w:rsidRPr="00F35005">
        <w:t xml:space="preserve">Example input: “S1_EUR_1GC”, “S1_AFR_1GC” and “S1_EAS_1GC” </w:t>
      </w:r>
    </w:p>
    <w:p w14:paraId="29960ABB" w14:textId="59C6AD3D" w:rsidR="00C75C25" w:rsidRPr="00F35005" w:rsidRDefault="00835CD1" w:rsidP="008134C8">
      <w:pPr>
        <w:pStyle w:val="Listenabsatz"/>
        <w:numPr>
          <w:ilvl w:val="1"/>
          <w:numId w:val="17"/>
        </w:numPr>
      </w:pPr>
      <w:r w:rsidRPr="00F35005">
        <w:t>Run separately for S1</w:t>
      </w:r>
      <w:r w:rsidR="008134C8" w:rsidRPr="00F35005">
        <w:t xml:space="preserve">, </w:t>
      </w:r>
      <w:r w:rsidRPr="00F35005">
        <w:t>S</w:t>
      </w:r>
      <w:r w:rsidR="008134C8" w:rsidRPr="00F35005">
        <w:t xml:space="preserve">2 and </w:t>
      </w:r>
      <w:r w:rsidR="00D644EE" w:rsidRPr="00F35005">
        <w:t>on all studies combined (</w:t>
      </w:r>
      <w:r w:rsidR="008134C8" w:rsidRPr="00F35005">
        <w:t>S1plusS2</w:t>
      </w:r>
      <w:r w:rsidR="00D644EE" w:rsidRPr="00F35005">
        <w:t>)</w:t>
      </w:r>
      <w:r w:rsidR="008134C8" w:rsidRPr="00F35005">
        <w:t xml:space="preserve">. </w:t>
      </w:r>
    </w:p>
    <w:p w14:paraId="14E2957E" w14:textId="57E9D0B4" w:rsidR="00C75C25" w:rsidRPr="00F35005" w:rsidRDefault="001B2C12" w:rsidP="008134C8">
      <w:pPr>
        <w:pStyle w:val="Listenabsatz"/>
        <w:numPr>
          <w:ilvl w:val="1"/>
          <w:numId w:val="17"/>
        </w:numPr>
      </w:pPr>
      <w:r w:rsidRPr="00F35005">
        <w:t>Use the genomic control option</w:t>
      </w:r>
      <w:r w:rsidR="004017C7" w:rsidRPr="00F35005">
        <w:t xml:space="preserve"> (</w:t>
      </w:r>
      <w:r w:rsidR="00C75C25" w:rsidRPr="00F35005">
        <w:t xml:space="preserve">i.e., </w:t>
      </w:r>
      <w:r w:rsidR="004017C7" w:rsidRPr="00F35005">
        <w:t>Double</w:t>
      </w:r>
      <w:r w:rsidR="00C75C25" w:rsidRPr="00F35005">
        <w:t xml:space="preserve"> </w:t>
      </w:r>
      <w:r w:rsidR="004017C7" w:rsidRPr="00F35005">
        <w:t>GC</w:t>
      </w:r>
      <w:r w:rsidR="002E49A6" w:rsidRPr="00F35005">
        <w:t>, “population-level”</w:t>
      </w:r>
      <w:r w:rsidR="004017C7" w:rsidRPr="00F35005">
        <w:t>)</w:t>
      </w:r>
      <w:r w:rsidRPr="00F35005">
        <w:t xml:space="preserve">. </w:t>
      </w:r>
    </w:p>
    <w:p w14:paraId="131A577C" w14:textId="4DC7A2EF" w:rsidR="00C75C25" w:rsidRPr="00F35005" w:rsidRDefault="001B2C12" w:rsidP="008134C8">
      <w:pPr>
        <w:pStyle w:val="Listenabsatz"/>
        <w:numPr>
          <w:ilvl w:val="1"/>
          <w:numId w:val="17"/>
        </w:numPr>
      </w:pPr>
      <w:r w:rsidRPr="00F35005">
        <w:t>Use the heterogeneity option</w:t>
      </w:r>
      <w:r w:rsidR="002E49A6" w:rsidRPr="00F35005">
        <w:t xml:space="preserve"> (to derive between-ancestry heterogeneity estimates)</w:t>
      </w:r>
      <w:r w:rsidRPr="00F35005">
        <w:t>.</w:t>
      </w:r>
    </w:p>
    <w:p w14:paraId="19FAF3FD" w14:textId="248687BC" w:rsidR="00C75C25" w:rsidRDefault="001B2C12" w:rsidP="008134C8">
      <w:pPr>
        <w:pStyle w:val="Listenabsatz"/>
        <w:numPr>
          <w:ilvl w:val="1"/>
          <w:numId w:val="17"/>
        </w:numPr>
      </w:pPr>
      <w:r w:rsidRPr="00F35005">
        <w:t>Run separately for Model 1 (</w:t>
      </w:r>
      <w:r w:rsidR="00E0401E" w:rsidRPr="00F35005">
        <w:t xml:space="preserve">joint meta-analysis, </w:t>
      </w:r>
      <w:r w:rsidRPr="00F35005">
        <w:t>SCHEME INTERACTION)</w:t>
      </w:r>
      <w:r w:rsidR="00E0401E" w:rsidRPr="00F35005">
        <w:t xml:space="preserve">, Model 1 (interaction </w:t>
      </w:r>
      <w:r w:rsidR="002E49A6" w:rsidRPr="00F35005">
        <w:t xml:space="preserve">effect </w:t>
      </w:r>
      <w:r w:rsidR="00E0401E" w:rsidRPr="00F35005">
        <w:t>meta-analysis, SCHEME STDERR)</w:t>
      </w:r>
      <w:r w:rsidR="002E49A6" w:rsidRPr="00F35005">
        <w:t xml:space="preserve"> </w:t>
      </w:r>
      <w:r w:rsidRPr="00F35005">
        <w:t>and Model 2</w:t>
      </w:r>
      <w:r>
        <w:t xml:space="preserve"> (</w:t>
      </w:r>
      <w:r w:rsidR="00E0401E">
        <w:t xml:space="preserve">marginal effect meta-analysis, </w:t>
      </w:r>
      <w:r>
        <w:t>SCHEME STDERR)</w:t>
      </w:r>
    </w:p>
    <w:p w14:paraId="11DA5435" w14:textId="2234E6CC" w:rsidR="00566EE2" w:rsidRDefault="00566EE2" w:rsidP="008134C8">
      <w:pPr>
        <w:pStyle w:val="Listenabsatz"/>
        <w:numPr>
          <w:ilvl w:val="1"/>
          <w:numId w:val="17"/>
        </w:numPr>
      </w:pPr>
      <w:r w:rsidRPr="00C75C25">
        <w:rPr>
          <w:u w:val="single"/>
        </w:rPr>
        <w:t>Expected results</w:t>
      </w:r>
      <w:r>
        <w:t xml:space="preserve">: Double-GC corrected </w:t>
      </w:r>
      <w:r w:rsidR="002E49A6">
        <w:t xml:space="preserve">cross-population </w:t>
      </w:r>
      <w:r>
        <w:t>metal results for S1</w:t>
      </w:r>
      <w:r w:rsidR="008134C8">
        <w:t xml:space="preserve">, </w:t>
      </w:r>
      <w:r>
        <w:t>S2</w:t>
      </w:r>
      <w:r w:rsidR="00081B37">
        <w:t xml:space="preserve"> </w:t>
      </w:r>
      <w:r w:rsidR="008134C8">
        <w:t xml:space="preserve">and S1plusS2 </w:t>
      </w:r>
      <w:r w:rsidR="00081B37">
        <w:t>(</w:t>
      </w:r>
      <w:r w:rsidR="00AE7731">
        <w:t>“</w:t>
      </w:r>
      <w:r w:rsidR="00081B37">
        <w:t>S1_ALL_2GC</w:t>
      </w:r>
      <w:r w:rsidR="00AE7731">
        <w:t>”</w:t>
      </w:r>
      <w:r w:rsidR="008134C8">
        <w:t xml:space="preserve">, </w:t>
      </w:r>
      <w:r w:rsidR="00DF1275">
        <w:t>“S2_ALL_2GC”</w:t>
      </w:r>
      <w:r w:rsidR="008134C8">
        <w:t xml:space="preserve"> and “S1plusS2_ALL_2GC”</w:t>
      </w:r>
      <w:r w:rsidR="00081B37">
        <w:t>)</w:t>
      </w:r>
    </w:p>
    <w:p w14:paraId="7842EEAA" w14:textId="5737A38A" w:rsidR="006C10B8" w:rsidRPr="006C10B8" w:rsidRDefault="00577B9B" w:rsidP="00074A88">
      <w:pPr>
        <w:pStyle w:val="berschrift2"/>
      </w:pPr>
      <w:r>
        <w:t xml:space="preserve">Bi-directional </w:t>
      </w:r>
      <w:r w:rsidR="006C10B8">
        <w:t>approach</w:t>
      </w:r>
      <w:r w:rsidR="00C57D61">
        <w:t>es</w:t>
      </w:r>
      <w:r w:rsidR="00BE3F7D">
        <w:t xml:space="preserve"> </w:t>
      </w:r>
      <w:r w:rsidR="00AE7731">
        <w:t>on S1 and S2</w:t>
      </w:r>
      <w:r w:rsidR="00CF7A41">
        <w:t xml:space="preserve"> </w:t>
      </w:r>
      <w:r w:rsidR="00BB52CB">
        <w:t>results</w:t>
      </w:r>
    </w:p>
    <w:p w14:paraId="560F7615" w14:textId="4F3142C3" w:rsidR="00D644EE" w:rsidRDefault="00C57D61" w:rsidP="00D644EE">
      <w:pPr>
        <w:pStyle w:val="Listenabsatz"/>
        <w:numPr>
          <w:ilvl w:val="0"/>
          <w:numId w:val="1"/>
        </w:numPr>
      </w:pPr>
      <w:r>
        <w:t>B</w:t>
      </w:r>
      <w:r w:rsidR="006C10B8">
        <w:t xml:space="preserve">i-directional </w:t>
      </w:r>
      <w:r>
        <w:t xml:space="preserve">approach on </w:t>
      </w:r>
      <w:proofErr w:type="gramStart"/>
      <w:r w:rsidR="00E3724E" w:rsidRPr="00E3724E">
        <w:rPr>
          <w:u w:val="single"/>
        </w:rPr>
        <w:t>population</w:t>
      </w:r>
      <w:r w:rsidRPr="00E3724E">
        <w:rPr>
          <w:u w:val="single"/>
        </w:rPr>
        <w:t>-specific</w:t>
      </w:r>
      <w:proofErr w:type="gramEnd"/>
      <w:r>
        <w:t xml:space="preserve"> </w:t>
      </w:r>
      <w:r w:rsidR="008134C8">
        <w:t xml:space="preserve">S1 and S2 </w:t>
      </w:r>
      <w:r>
        <w:t xml:space="preserve">metal </w:t>
      </w:r>
      <w:r w:rsidR="006C10B8">
        <w:t xml:space="preserve">results </w:t>
      </w:r>
      <w:r w:rsidR="00AF4396">
        <w:t>(</w:t>
      </w:r>
      <w:r w:rsidR="006C10B8">
        <w:t xml:space="preserve">from </w:t>
      </w:r>
      <w:r w:rsidR="001C7B8F">
        <w:t>5</w:t>
      </w:r>
      <w:r w:rsidR="006C10B8">
        <w:t>.</w:t>
      </w:r>
      <w:r w:rsidR="00AF4396">
        <w:t>)</w:t>
      </w:r>
    </w:p>
    <w:p w14:paraId="2EAE9201" w14:textId="77777777" w:rsidR="00D644EE" w:rsidRDefault="00AF4396" w:rsidP="00D644EE">
      <w:pPr>
        <w:pStyle w:val="Listenabsatz"/>
        <w:numPr>
          <w:ilvl w:val="1"/>
          <w:numId w:val="1"/>
        </w:numPr>
      </w:pPr>
      <w:r>
        <w:t xml:space="preserve">Example input: </w:t>
      </w:r>
      <w:r w:rsidR="00AE7731">
        <w:t>“</w:t>
      </w:r>
      <w:r w:rsidR="00C57D61">
        <w:t>S1_EUR_1GC</w:t>
      </w:r>
      <w:r w:rsidR="00AE7731">
        <w:t>”</w:t>
      </w:r>
      <w:r w:rsidR="00C57D61">
        <w:t xml:space="preserve"> and “S2_EUR_1GC” </w:t>
      </w:r>
    </w:p>
    <w:p w14:paraId="654C7AFB" w14:textId="64EEBDA1" w:rsidR="00D644EE" w:rsidRDefault="006656ED" w:rsidP="00D644EE">
      <w:pPr>
        <w:pStyle w:val="Listenabsatz"/>
        <w:numPr>
          <w:ilvl w:val="1"/>
          <w:numId w:val="1"/>
        </w:numPr>
      </w:pPr>
      <w:r>
        <w:t xml:space="preserve">Run separately by </w:t>
      </w:r>
      <w:r w:rsidR="00E3724E">
        <w:t>population</w:t>
      </w:r>
      <w:r>
        <w:t xml:space="preserve">. </w:t>
      </w:r>
    </w:p>
    <w:p w14:paraId="7B47389F" w14:textId="77777777" w:rsidR="00D644EE" w:rsidRDefault="00C57D61" w:rsidP="00D644EE">
      <w:pPr>
        <w:pStyle w:val="Listenabsatz"/>
        <w:numPr>
          <w:ilvl w:val="1"/>
          <w:numId w:val="1"/>
        </w:numPr>
      </w:pPr>
      <w:r>
        <w:t>Do NOT run bi-directional if total sample size is &lt;20,000 in S1 or S2.</w:t>
      </w:r>
      <w:r w:rsidR="00F3701B">
        <w:t xml:space="preserve"> Lower thresholds are </w:t>
      </w:r>
      <w:r w:rsidR="0014390D">
        <w:t xml:space="preserve">up </w:t>
      </w:r>
      <w:r w:rsidR="00F3701B">
        <w:t xml:space="preserve">to the project teams. </w:t>
      </w:r>
    </w:p>
    <w:p w14:paraId="55702F7C" w14:textId="5591BB1B" w:rsidR="00D644EE" w:rsidRDefault="006C10B8" w:rsidP="00D644EE">
      <w:pPr>
        <w:pStyle w:val="Listenabsatz"/>
        <w:numPr>
          <w:ilvl w:val="1"/>
          <w:numId w:val="1"/>
        </w:numPr>
      </w:pPr>
      <w:bookmarkStart w:id="2" w:name="_Hlk135134047"/>
      <w:r>
        <w:t>EasyStrata2 script</w:t>
      </w:r>
      <w:r w:rsidR="002E49A6">
        <w:t>s</w:t>
      </w:r>
      <w:r>
        <w:t xml:space="preserve"> “</w:t>
      </w:r>
      <w:r w:rsidR="002E49A6" w:rsidRPr="002E49A6">
        <w:t>bidirectional_popspecific</w:t>
      </w:r>
      <w:r w:rsidR="00CA1DD4">
        <w:t>_joint2df</w:t>
      </w:r>
      <w:r w:rsidR="002E49A6" w:rsidRPr="002E49A6">
        <w:t>.ecf</w:t>
      </w:r>
      <w:r>
        <w:t>”</w:t>
      </w:r>
      <w:r w:rsidR="002E49A6">
        <w:t xml:space="preserve"> and “</w:t>
      </w:r>
      <w:proofErr w:type="spellStart"/>
      <w:r w:rsidR="002E49A6" w:rsidRPr="002E49A6">
        <w:t>bidirectional_popspecific</w:t>
      </w:r>
      <w:proofErr w:type="spellEnd"/>
      <w:r w:rsidR="00CA1DD4">
        <w:t>_</w:t>
      </w:r>
      <w:r w:rsidR="00CA1DD4" w:rsidRPr="00CA1DD4">
        <w:t xml:space="preserve"> </w:t>
      </w:r>
      <w:r w:rsidR="00CA1DD4">
        <w:t>int1df</w:t>
      </w:r>
      <w:r w:rsidR="002E49A6" w:rsidRPr="002E49A6">
        <w:t>.ecf</w:t>
      </w:r>
      <w:r w:rsidR="002E49A6">
        <w:t>”</w:t>
      </w:r>
      <w:r w:rsidR="006656ED">
        <w:t xml:space="preserve"> </w:t>
      </w:r>
      <w:r w:rsidR="00C57D61">
        <w:t>implement the following steps</w:t>
      </w:r>
      <w:r w:rsidR="00CA1DD4">
        <w:t xml:space="preserve"> e-i</w:t>
      </w:r>
      <w:r w:rsidR="00C57D61">
        <w:t>.</w:t>
      </w:r>
      <w:r w:rsidR="00DC0A09">
        <w:t xml:space="preserve"> </w:t>
      </w:r>
    </w:p>
    <w:bookmarkEnd w:id="2"/>
    <w:p w14:paraId="2FC1AE4E" w14:textId="06ED3753" w:rsidR="00BE3F7D" w:rsidRDefault="00BE3F7D" w:rsidP="00D644EE">
      <w:pPr>
        <w:pStyle w:val="Listenabsatz"/>
        <w:numPr>
          <w:ilvl w:val="1"/>
          <w:numId w:val="1"/>
        </w:numPr>
      </w:pPr>
      <w:r>
        <w:t>Preprocessing</w:t>
      </w:r>
    </w:p>
    <w:p w14:paraId="0BECA3F8" w14:textId="77A37899" w:rsidR="006656ED" w:rsidRDefault="006656ED" w:rsidP="008134C8">
      <w:pPr>
        <w:pStyle w:val="Listenabsatz"/>
        <w:numPr>
          <w:ilvl w:val="2"/>
          <w:numId w:val="17"/>
        </w:numPr>
      </w:pPr>
      <w:r>
        <w:t>Remove missing values (e.g., variants that are only included in one stage)</w:t>
      </w:r>
    </w:p>
    <w:p w14:paraId="48C3A214" w14:textId="1D2768D0" w:rsidR="006656ED" w:rsidRDefault="006656ED" w:rsidP="008134C8">
      <w:pPr>
        <w:pStyle w:val="Listenabsatz"/>
        <w:numPr>
          <w:ilvl w:val="2"/>
          <w:numId w:val="17"/>
        </w:numPr>
      </w:pPr>
      <w:r>
        <w:t>Remove low frequency variants MAF&lt;0.001</w:t>
      </w:r>
    </w:p>
    <w:p w14:paraId="57F2EAD2" w14:textId="3FA5535B" w:rsidR="006656ED" w:rsidRDefault="006656ED" w:rsidP="008134C8">
      <w:pPr>
        <w:pStyle w:val="Listenabsatz"/>
        <w:numPr>
          <w:ilvl w:val="2"/>
          <w:numId w:val="17"/>
        </w:numPr>
      </w:pPr>
      <w:r>
        <w:t xml:space="preserve">Obtain chromosome and position from the </w:t>
      </w:r>
      <w:proofErr w:type="spellStart"/>
      <w:r>
        <w:t>MarkerName</w:t>
      </w:r>
      <w:proofErr w:type="spellEnd"/>
      <w:r>
        <w:t xml:space="preserve"> (e.g., 1:</w:t>
      </w:r>
      <w:proofErr w:type="gramStart"/>
      <w:r>
        <w:t>3257725:A</w:t>
      </w:r>
      <w:proofErr w:type="gramEnd"/>
      <w:r>
        <w:t>_C)</w:t>
      </w:r>
    </w:p>
    <w:p w14:paraId="447B9E81" w14:textId="36BBBFCE" w:rsidR="006656ED" w:rsidRDefault="006656ED" w:rsidP="008134C8">
      <w:pPr>
        <w:pStyle w:val="Listenabsatz"/>
        <w:numPr>
          <w:ilvl w:val="2"/>
          <w:numId w:val="17"/>
        </w:numPr>
      </w:pPr>
      <w:r>
        <w:t xml:space="preserve">Remove MHC region variants </w:t>
      </w:r>
      <w:r w:rsidR="00AF4396">
        <w:t xml:space="preserve">+/-1Mb </w:t>
      </w:r>
      <w:r>
        <w:t>(chr</w:t>
      </w:r>
      <w:r w:rsidRPr="006656ED">
        <w:t>6</w:t>
      </w:r>
      <w:r>
        <w:t>:</w:t>
      </w:r>
      <w:r w:rsidRPr="006656ED">
        <w:t>27500000</w:t>
      </w:r>
      <w:r>
        <w:t>-</w:t>
      </w:r>
      <w:r w:rsidRPr="006656ED">
        <w:t>34500000</w:t>
      </w:r>
      <w:r>
        <w:t xml:space="preserve">, </w:t>
      </w:r>
      <w:hyperlink r:id="rId14" w:history="1">
        <w:r w:rsidR="00BE3F7D" w:rsidRPr="0012475F">
          <w:rPr>
            <w:rStyle w:val="Hyperlink"/>
          </w:rPr>
          <w:t>https://www.ncbi.nlm.nih.gov/grc/human/regions/MHC</w:t>
        </w:r>
      </w:hyperlink>
      <w:r w:rsidR="00BE3F7D">
        <w:t xml:space="preserve">) </w:t>
      </w:r>
    </w:p>
    <w:p w14:paraId="46FD2737" w14:textId="31068EAD" w:rsidR="00BE3F7D" w:rsidRDefault="00BE3F7D" w:rsidP="008134C8">
      <w:pPr>
        <w:pStyle w:val="Listenabsatz"/>
        <w:numPr>
          <w:ilvl w:val="2"/>
          <w:numId w:val="17"/>
        </w:numPr>
      </w:pPr>
      <w:r>
        <w:t>Calculate interaction P-Values:</w:t>
      </w:r>
    </w:p>
    <w:p w14:paraId="09FB1817" w14:textId="3488E36F" w:rsidR="006656ED" w:rsidRPr="00BE3F7D" w:rsidRDefault="00BE3F7D" w:rsidP="00BE3F7D">
      <w:pPr>
        <w:pStyle w:val="Listenabsatz"/>
        <w:ind w:left="2160"/>
        <w:rPr>
          <w:i/>
          <w:iCs/>
          <w:color w:val="1F4E79" w:themeColor="accent1" w:themeShade="80"/>
          <w:sz w:val="16"/>
          <w:szCs w:val="16"/>
        </w:rPr>
      </w:pPr>
      <w:r w:rsidRPr="00BE3F7D">
        <w:rPr>
          <w:i/>
          <w:iCs/>
          <w:color w:val="1F4E79" w:themeColor="accent1" w:themeShade="80"/>
          <w:sz w:val="16"/>
          <w:szCs w:val="16"/>
        </w:rPr>
        <w:t>Pint_stage1 = 2*</w:t>
      </w:r>
      <w:proofErr w:type="spellStart"/>
      <w:r w:rsidRPr="00BE3F7D">
        <w:rPr>
          <w:i/>
          <w:iCs/>
          <w:color w:val="1F4E79" w:themeColor="accent1" w:themeShade="80"/>
          <w:sz w:val="16"/>
          <w:szCs w:val="16"/>
        </w:rPr>
        <w:t>pnorm</w:t>
      </w:r>
      <w:proofErr w:type="spellEnd"/>
      <w:r w:rsidRPr="00BE3F7D">
        <w:rPr>
          <w:i/>
          <w:iCs/>
          <w:color w:val="1F4E79" w:themeColor="accent1" w:themeShade="80"/>
          <w:sz w:val="16"/>
          <w:szCs w:val="16"/>
        </w:rPr>
        <w:t>(</w:t>
      </w:r>
      <w:proofErr w:type="gramStart"/>
      <w:r w:rsidRPr="00BE3F7D">
        <w:rPr>
          <w:i/>
          <w:iCs/>
          <w:color w:val="1F4E79" w:themeColor="accent1" w:themeShade="80"/>
          <w:sz w:val="16"/>
          <w:szCs w:val="16"/>
        </w:rPr>
        <w:t>abs(</w:t>
      </w:r>
      <w:proofErr w:type="gramEnd"/>
      <w:r w:rsidRPr="00BE3F7D">
        <w:rPr>
          <w:i/>
          <w:iCs/>
          <w:color w:val="1F4E79" w:themeColor="accent1" w:themeShade="80"/>
          <w:sz w:val="16"/>
          <w:szCs w:val="16"/>
        </w:rPr>
        <w:t>IntEffect_stage1/IntStdErr_stage1),</w:t>
      </w:r>
      <w:proofErr w:type="spellStart"/>
      <w:r w:rsidRPr="00BE3F7D">
        <w:rPr>
          <w:i/>
          <w:iCs/>
          <w:color w:val="1F4E79" w:themeColor="accent1" w:themeShade="80"/>
          <w:sz w:val="16"/>
          <w:szCs w:val="16"/>
        </w:rPr>
        <w:t>lower.tail</w:t>
      </w:r>
      <w:proofErr w:type="spellEnd"/>
      <w:r w:rsidRPr="00BE3F7D">
        <w:rPr>
          <w:i/>
          <w:iCs/>
          <w:color w:val="1F4E79" w:themeColor="accent1" w:themeShade="80"/>
          <w:sz w:val="16"/>
          <w:szCs w:val="16"/>
        </w:rPr>
        <w:t>=F)</w:t>
      </w:r>
    </w:p>
    <w:p w14:paraId="4DD67586" w14:textId="48047F9A" w:rsidR="00BE3F7D" w:rsidRPr="00BE3F7D" w:rsidRDefault="00BE3F7D" w:rsidP="00BE3F7D">
      <w:pPr>
        <w:pStyle w:val="Listenabsatz"/>
        <w:ind w:left="2160"/>
        <w:rPr>
          <w:i/>
          <w:iCs/>
          <w:color w:val="1F4E79" w:themeColor="accent1" w:themeShade="80"/>
          <w:sz w:val="16"/>
          <w:szCs w:val="16"/>
        </w:rPr>
      </w:pPr>
      <w:r w:rsidRPr="00BE3F7D">
        <w:rPr>
          <w:i/>
          <w:iCs/>
          <w:color w:val="1F4E79" w:themeColor="accent1" w:themeShade="80"/>
          <w:sz w:val="16"/>
          <w:szCs w:val="16"/>
        </w:rPr>
        <w:t>Pint_stage2 = 2*</w:t>
      </w:r>
      <w:proofErr w:type="spellStart"/>
      <w:r w:rsidRPr="00BE3F7D">
        <w:rPr>
          <w:i/>
          <w:iCs/>
          <w:color w:val="1F4E79" w:themeColor="accent1" w:themeShade="80"/>
          <w:sz w:val="16"/>
          <w:szCs w:val="16"/>
        </w:rPr>
        <w:t>pnorm</w:t>
      </w:r>
      <w:proofErr w:type="spellEnd"/>
      <w:r w:rsidRPr="00BE3F7D">
        <w:rPr>
          <w:i/>
          <w:iCs/>
          <w:color w:val="1F4E79" w:themeColor="accent1" w:themeShade="80"/>
          <w:sz w:val="16"/>
          <w:szCs w:val="16"/>
        </w:rPr>
        <w:t>(</w:t>
      </w:r>
      <w:proofErr w:type="gramStart"/>
      <w:r w:rsidRPr="00BE3F7D">
        <w:rPr>
          <w:i/>
          <w:iCs/>
          <w:color w:val="1F4E79" w:themeColor="accent1" w:themeShade="80"/>
          <w:sz w:val="16"/>
          <w:szCs w:val="16"/>
        </w:rPr>
        <w:t>abs(</w:t>
      </w:r>
      <w:proofErr w:type="gramEnd"/>
      <w:r w:rsidRPr="00BE3F7D">
        <w:rPr>
          <w:i/>
          <w:iCs/>
          <w:color w:val="1F4E79" w:themeColor="accent1" w:themeShade="80"/>
          <w:sz w:val="16"/>
          <w:szCs w:val="16"/>
        </w:rPr>
        <w:t>IntEffect_stage2/IntStdErr_stage2),</w:t>
      </w:r>
      <w:proofErr w:type="spellStart"/>
      <w:r w:rsidRPr="00BE3F7D">
        <w:rPr>
          <w:i/>
          <w:iCs/>
          <w:color w:val="1F4E79" w:themeColor="accent1" w:themeShade="80"/>
          <w:sz w:val="16"/>
          <w:szCs w:val="16"/>
        </w:rPr>
        <w:t>lower.tail</w:t>
      </w:r>
      <w:proofErr w:type="spellEnd"/>
      <w:r w:rsidRPr="00BE3F7D">
        <w:rPr>
          <w:i/>
          <w:iCs/>
          <w:color w:val="1F4E79" w:themeColor="accent1" w:themeShade="80"/>
          <w:sz w:val="16"/>
          <w:szCs w:val="16"/>
        </w:rPr>
        <w:t>=F)</w:t>
      </w:r>
    </w:p>
    <w:p w14:paraId="6F9FFF66" w14:textId="15908C2E" w:rsidR="00BE3F7D" w:rsidRPr="00BE3F7D" w:rsidRDefault="00BE3F7D" w:rsidP="008134C8">
      <w:pPr>
        <w:pStyle w:val="Listenabsatz"/>
        <w:numPr>
          <w:ilvl w:val="2"/>
          <w:numId w:val="17"/>
        </w:numPr>
        <w:rPr>
          <w:i/>
          <w:iCs/>
        </w:rPr>
      </w:pPr>
      <w:r>
        <w:rPr>
          <w:iCs/>
        </w:rPr>
        <w:t>Calculate GC lambdas and apply GC correction to marginal, interaction and joint2df P-Values (</w:t>
      </w:r>
      <w:r w:rsidR="0071348B">
        <w:rPr>
          <w:iCs/>
        </w:rPr>
        <w:t xml:space="preserve">i.e., </w:t>
      </w:r>
      <w:r w:rsidR="00A36258">
        <w:rPr>
          <w:iCs/>
        </w:rPr>
        <w:t>Double</w:t>
      </w:r>
      <w:r w:rsidR="00B808DB">
        <w:rPr>
          <w:iCs/>
        </w:rPr>
        <w:t xml:space="preserve"> </w:t>
      </w:r>
      <w:r>
        <w:rPr>
          <w:iCs/>
        </w:rPr>
        <w:t>GC</w:t>
      </w:r>
      <w:r w:rsidR="0071348B">
        <w:rPr>
          <w:iCs/>
        </w:rPr>
        <w:t>, “population-level”</w:t>
      </w:r>
      <w:r>
        <w:rPr>
          <w:iCs/>
        </w:rPr>
        <w:t>)</w:t>
      </w:r>
    </w:p>
    <w:p w14:paraId="4F8581B7" w14:textId="3E1EE947" w:rsidR="00BE3F7D" w:rsidRPr="00BE3F7D" w:rsidRDefault="00BE3F7D" w:rsidP="008134C8">
      <w:pPr>
        <w:pStyle w:val="Listenabsatz"/>
        <w:numPr>
          <w:ilvl w:val="2"/>
          <w:numId w:val="17"/>
        </w:numPr>
        <w:rPr>
          <w:i/>
          <w:iCs/>
        </w:rPr>
      </w:pPr>
      <w:r>
        <w:rPr>
          <w:iCs/>
        </w:rPr>
        <w:t xml:space="preserve">Calculate 1-sided interaction P-Values depending on the direction of the interaction effect in the other stage: </w:t>
      </w:r>
    </w:p>
    <w:p w14:paraId="42E825C7" w14:textId="0E46FC61" w:rsidR="00BE3F7D" w:rsidRDefault="00BE3F7D" w:rsidP="00BE3F7D">
      <w:pPr>
        <w:pStyle w:val="Listenabsatz"/>
        <w:ind w:left="2160"/>
        <w:rPr>
          <w:i/>
          <w:iCs/>
          <w:color w:val="1F4E79" w:themeColor="accent1" w:themeShade="80"/>
          <w:sz w:val="16"/>
          <w:szCs w:val="16"/>
        </w:rPr>
      </w:pPr>
      <w:r w:rsidRPr="00BE3F7D">
        <w:rPr>
          <w:i/>
          <w:iCs/>
          <w:color w:val="1F4E79" w:themeColor="accent1" w:themeShade="80"/>
          <w:sz w:val="16"/>
          <w:szCs w:val="16"/>
        </w:rPr>
        <w:t>Pint1sided_stage1.GC = pnorm(</w:t>
      </w:r>
      <w:proofErr w:type="gramStart"/>
      <w:r w:rsidRPr="00BE3F7D">
        <w:rPr>
          <w:i/>
          <w:iCs/>
          <w:color w:val="1F4E79" w:themeColor="accent1" w:themeShade="80"/>
          <w:sz w:val="16"/>
          <w:szCs w:val="16"/>
        </w:rPr>
        <w:t>sign(</w:t>
      </w:r>
      <w:proofErr w:type="gramEnd"/>
      <w:r w:rsidRPr="00BE3F7D">
        <w:rPr>
          <w:i/>
          <w:iCs/>
          <w:color w:val="1F4E79" w:themeColor="accent1" w:themeShade="80"/>
          <w:sz w:val="16"/>
          <w:szCs w:val="16"/>
        </w:rPr>
        <w:t>IntEffect_stage2)*IntEffect_stage1/IntStdErr_stage1.GC,lower.tail=F)</w:t>
      </w:r>
    </w:p>
    <w:p w14:paraId="394487F3" w14:textId="4B9E288E" w:rsidR="00A36258" w:rsidRDefault="00BE3F7D" w:rsidP="00A36258">
      <w:pPr>
        <w:pStyle w:val="Listenabsatz"/>
        <w:ind w:left="2160"/>
        <w:rPr>
          <w:i/>
          <w:iCs/>
          <w:color w:val="1F4E79" w:themeColor="accent1" w:themeShade="80"/>
          <w:sz w:val="16"/>
          <w:szCs w:val="16"/>
        </w:rPr>
      </w:pPr>
      <w:r w:rsidRPr="00BE3F7D">
        <w:rPr>
          <w:i/>
          <w:iCs/>
          <w:color w:val="1F4E79" w:themeColor="accent1" w:themeShade="80"/>
          <w:sz w:val="16"/>
          <w:szCs w:val="16"/>
        </w:rPr>
        <w:t>Pint1sided_stage2.GC = pnorm(</w:t>
      </w:r>
      <w:proofErr w:type="gramStart"/>
      <w:r w:rsidRPr="00BE3F7D">
        <w:rPr>
          <w:i/>
          <w:iCs/>
          <w:color w:val="1F4E79" w:themeColor="accent1" w:themeShade="80"/>
          <w:sz w:val="16"/>
          <w:szCs w:val="16"/>
        </w:rPr>
        <w:t>sign(</w:t>
      </w:r>
      <w:proofErr w:type="gramEnd"/>
      <w:r w:rsidRPr="00BE3F7D">
        <w:rPr>
          <w:i/>
          <w:iCs/>
          <w:color w:val="1F4E79" w:themeColor="accent1" w:themeShade="80"/>
          <w:sz w:val="16"/>
          <w:szCs w:val="16"/>
        </w:rPr>
        <w:t>IntEffect_stage1)*IntEffect_stage2/IntStdErr_stage2.GC,lower.tail=F)</w:t>
      </w:r>
    </w:p>
    <w:p w14:paraId="6B5DEA8E" w14:textId="1EE97821" w:rsidR="00A36258" w:rsidRPr="00D644EE" w:rsidRDefault="00CF7A41" w:rsidP="00D644EE">
      <w:pPr>
        <w:pStyle w:val="Listenabsatz"/>
        <w:numPr>
          <w:ilvl w:val="1"/>
          <w:numId w:val="1"/>
        </w:numPr>
        <w:rPr>
          <w:i/>
          <w:iCs/>
          <w:color w:val="1F4E79" w:themeColor="accent1" w:themeShade="80"/>
          <w:sz w:val="16"/>
          <w:szCs w:val="16"/>
        </w:rPr>
      </w:pPr>
      <w:r w:rsidRPr="00D644EE">
        <w:rPr>
          <w:iCs/>
        </w:rPr>
        <w:t xml:space="preserve">Test for 1df </w:t>
      </w:r>
      <w:proofErr w:type="spellStart"/>
      <w:r w:rsidRPr="00D644EE">
        <w:rPr>
          <w:iCs/>
        </w:rPr>
        <w:t>GxE</w:t>
      </w:r>
      <w:proofErr w:type="spellEnd"/>
      <w:r w:rsidRPr="00D644EE">
        <w:rPr>
          <w:iCs/>
        </w:rPr>
        <w:t xml:space="preserve">: </w:t>
      </w:r>
      <w:r w:rsidR="00A36258" w:rsidRPr="00D644EE">
        <w:rPr>
          <w:iCs/>
        </w:rPr>
        <w:t xml:space="preserve">S1 </w:t>
      </w:r>
      <w:r w:rsidR="0079474D" w:rsidRPr="00D644EE">
        <w:rPr>
          <w:iCs/>
        </w:rPr>
        <w:t xml:space="preserve">for </w:t>
      </w:r>
      <w:r w:rsidR="00A36258" w:rsidRPr="00D644EE">
        <w:rPr>
          <w:iCs/>
        </w:rPr>
        <w:t xml:space="preserve">Discovery, S2 </w:t>
      </w:r>
      <w:r w:rsidR="0079474D" w:rsidRPr="00D644EE">
        <w:rPr>
          <w:iCs/>
        </w:rPr>
        <w:t xml:space="preserve">for </w:t>
      </w:r>
      <w:r w:rsidR="00A36258" w:rsidRPr="00D644EE">
        <w:rPr>
          <w:iCs/>
        </w:rPr>
        <w:t>Replication</w:t>
      </w:r>
      <w:r w:rsidR="004D6FED" w:rsidRPr="00D644EE">
        <w:rPr>
          <w:iCs/>
        </w:rPr>
        <w:t xml:space="preserve"> </w:t>
      </w:r>
    </w:p>
    <w:p w14:paraId="4D5366E9" w14:textId="757AAB59" w:rsidR="00A36258" w:rsidRDefault="00BA6D3B" w:rsidP="00D644EE">
      <w:pPr>
        <w:pStyle w:val="Listenabsatz"/>
        <w:numPr>
          <w:ilvl w:val="2"/>
          <w:numId w:val="1"/>
        </w:numPr>
        <w:rPr>
          <w:color w:val="000000" w:themeColor="text1"/>
        </w:rPr>
      </w:pPr>
      <w:r>
        <w:rPr>
          <w:color w:val="000000" w:themeColor="text1"/>
        </w:rPr>
        <w:t xml:space="preserve">In S1: </w:t>
      </w:r>
      <w:r w:rsidR="004D6FED">
        <w:rPr>
          <w:color w:val="000000" w:themeColor="text1"/>
        </w:rPr>
        <w:t xml:space="preserve">Test for 1df </w:t>
      </w:r>
      <w:proofErr w:type="spellStart"/>
      <w:r w:rsidR="00A36258">
        <w:rPr>
          <w:color w:val="000000" w:themeColor="text1"/>
        </w:rPr>
        <w:t>GxE</w:t>
      </w:r>
      <w:proofErr w:type="spellEnd"/>
      <w:r w:rsidR="00B028DC">
        <w:rPr>
          <w:color w:val="000000" w:themeColor="text1"/>
        </w:rPr>
        <w:t xml:space="preserve"> (</w:t>
      </w:r>
      <w:proofErr w:type="spellStart"/>
      <w:r w:rsidR="00A36258" w:rsidRPr="00A36258">
        <w:rPr>
          <w:color w:val="000000" w:themeColor="text1"/>
        </w:rPr>
        <w:t>m</w:t>
      </w:r>
      <w:r w:rsidR="004D6FED">
        <w:rPr>
          <w:color w:val="000000" w:themeColor="text1"/>
          <w:vertAlign w:val="subscript"/>
        </w:rPr>
        <w:t>GxE</w:t>
      </w:r>
      <w:proofErr w:type="spellEnd"/>
      <w:r w:rsidR="004D6FED">
        <w:rPr>
          <w:color w:val="000000" w:themeColor="text1"/>
        </w:rPr>
        <w:t xml:space="preserve"> </w:t>
      </w:r>
      <w:r w:rsidR="00B028DC">
        <w:rPr>
          <w:color w:val="000000" w:themeColor="text1"/>
        </w:rPr>
        <w:t>variants)</w:t>
      </w:r>
      <w:r w:rsidR="00D53895">
        <w:rPr>
          <w:color w:val="000000" w:themeColor="text1"/>
        </w:rPr>
        <w:t xml:space="preserve"> </w:t>
      </w:r>
    </w:p>
    <w:p w14:paraId="2FD8EB32" w14:textId="467B3E15" w:rsidR="00A36258" w:rsidRDefault="00A36258" w:rsidP="00D644EE">
      <w:pPr>
        <w:pStyle w:val="Listenabsatz"/>
        <w:numPr>
          <w:ilvl w:val="3"/>
          <w:numId w:val="1"/>
        </w:numPr>
        <w:rPr>
          <w:color w:val="000000" w:themeColor="text1"/>
        </w:rPr>
      </w:pPr>
      <w:r w:rsidRPr="00A36258">
        <w:rPr>
          <w:color w:val="000000" w:themeColor="text1"/>
        </w:rPr>
        <w:t xml:space="preserve">Test for 1df </w:t>
      </w:r>
      <w:proofErr w:type="spellStart"/>
      <w:r w:rsidRPr="00A36258">
        <w:rPr>
          <w:color w:val="000000" w:themeColor="text1"/>
        </w:rPr>
        <w:t>GxE</w:t>
      </w:r>
      <w:proofErr w:type="spellEnd"/>
      <w:r w:rsidRPr="00A36258">
        <w:rPr>
          <w:color w:val="000000" w:themeColor="text1"/>
        </w:rPr>
        <w:t xml:space="preserve"> (Model 1: </w:t>
      </w:r>
      <w:proofErr w:type="spellStart"/>
      <w:r w:rsidRPr="00A36258">
        <w:rPr>
          <w:color w:val="000000" w:themeColor="text1"/>
        </w:rPr>
        <w:t>P</w:t>
      </w:r>
      <w:r w:rsidRPr="00A36258">
        <w:rPr>
          <w:color w:val="000000" w:themeColor="text1"/>
          <w:vertAlign w:val="subscript"/>
        </w:rPr>
        <w:t>GxE</w:t>
      </w:r>
      <w:proofErr w:type="spellEnd"/>
      <w:r w:rsidRPr="00A36258">
        <w:rPr>
          <w:color w:val="000000" w:themeColor="text1"/>
        </w:rPr>
        <w:t xml:space="preserve"> ≤ 5x10</w:t>
      </w:r>
      <w:r w:rsidRPr="00A36258">
        <w:rPr>
          <w:color w:val="000000" w:themeColor="text1"/>
          <w:vertAlign w:val="superscript"/>
        </w:rPr>
        <w:t>-8</w:t>
      </w:r>
      <w:r w:rsidRPr="00A36258">
        <w:rPr>
          <w:color w:val="000000" w:themeColor="text1"/>
        </w:rPr>
        <w:t>)</w:t>
      </w:r>
      <w:r w:rsidR="00D53895">
        <w:rPr>
          <w:color w:val="000000" w:themeColor="text1"/>
        </w:rPr>
        <w:t>, and</w:t>
      </w:r>
    </w:p>
    <w:p w14:paraId="78F16D46" w14:textId="63B84917" w:rsidR="00A36258" w:rsidRPr="00A36258" w:rsidRDefault="00A36258" w:rsidP="00D644EE">
      <w:pPr>
        <w:pStyle w:val="Listenabsatz"/>
        <w:numPr>
          <w:ilvl w:val="3"/>
          <w:numId w:val="1"/>
        </w:numPr>
        <w:rPr>
          <w:color w:val="000000" w:themeColor="text1"/>
        </w:rPr>
      </w:pPr>
      <w:r w:rsidRPr="00A36258">
        <w:rPr>
          <w:color w:val="000000" w:themeColor="text1"/>
        </w:rPr>
        <w:t xml:space="preserve">2-step </w:t>
      </w:r>
      <w:proofErr w:type="spellStart"/>
      <w:r w:rsidRPr="00A36258">
        <w:rPr>
          <w:color w:val="000000" w:themeColor="text1"/>
        </w:rPr>
        <w:t>GxE</w:t>
      </w:r>
      <w:proofErr w:type="spellEnd"/>
      <w:r w:rsidRPr="00A36258">
        <w:rPr>
          <w:color w:val="000000" w:themeColor="text1"/>
        </w:rPr>
        <w:t xml:space="preserve">: </w:t>
      </w:r>
    </w:p>
    <w:p w14:paraId="6EE1DF0C" w14:textId="1A2FE302" w:rsidR="00A36258" w:rsidRPr="00A36258" w:rsidRDefault="00A36258" w:rsidP="00D644EE">
      <w:pPr>
        <w:pStyle w:val="Listenabsatz"/>
        <w:numPr>
          <w:ilvl w:val="4"/>
          <w:numId w:val="1"/>
        </w:numPr>
        <w:rPr>
          <w:color w:val="000000" w:themeColor="text1"/>
        </w:rPr>
      </w:pPr>
      <w:r w:rsidRPr="00A36258">
        <w:rPr>
          <w:color w:val="000000" w:themeColor="text1"/>
        </w:rPr>
        <w:t>Step 1: Subset on 1df G (Model 2: P</w:t>
      </w:r>
      <w:r w:rsidRPr="00A36258">
        <w:rPr>
          <w:color w:val="000000" w:themeColor="text1"/>
          <w:vertAlign w:val="subscript"/>
        </w:rPr>
        <w:t>G</w:t>
      </w:r>
      <w:r w:rsidRPr="00A36258">
        <w:rPr>
          <w:color w:val="000000" w:themeColor="text1"/>
        </w:rPr>
        <w:t xml:space="preserve"> ≤ 10</w:t>
      </w:r>
      <w:r w:rsidRPr="00A36258">
        <w:rPr>
          <w:color w:val="000000" w:themeColor="text1"/>
          <w:vertAlign w:val="superscript"/>
        </w:rPr>
        <w:t>-5</w:t>
      </w:r>
      <w:r w:rsidRPr="00A36258">
        <w:rPr>
          <w:color w:val="000000" w:themeColor="text1"/>
        </w:rPr>
        <w:t xml:space="preserve">, </w:t>
      </w:r>
      <w:proofErr w:type="spellStart"/>
      <w:r w:rsidRPr="00A36258">
        <w:rPr>
          <w:color w:val="000000" w:themeColor="text1"/>
        </w:rPr>
        <w:t>m</w:t>
      </w:r>
      <w:r w:rsidRPr="00A36258">
        <w:rPr>
          <w:color w:val="000000" w:themeColor="text1"/>
          <w:vertAlign w:val="subscript"/>
        </w:rPr>
        <w:t>G</w:t>
      </w:r>
      <w:proofErr w:type="spellEnd"/>
      <w:r w:rsidRPr="00A36258">
        <w:rPr>
          <w:color w:val="000000" w:themeColor="text1"/>
          <w:vertAlign w:val="subscript"/>
        </w:rPr>
        <w:t xml:space="preserve"> </w:t>
      </w:r>
      <w:r w:rsidRPr="00A36258">
        <w:rPr>
          <w:color w:val="000000" w:themeColor="text1"/>
        </w:rPr>
        <w:t xml:space="preserve">variants) </w:t>
      </w:r>
    </w:p>
    <w:p w14:paraId="01B61BEF" w14:textId="390D9440" w:rsidR="00A36258" w:rsidRDefault="00A36258" w:rsidP="00D644EE">
      <w:pPr>
        <w:pStyle w:val="Listenabsatz"/>
        <w:numPr>
          <w:ilvl w:val="4"/>
          <w:numId w:val="1"/>
        </w:numPr>
        <w:rPr>
          <w:color w:val="000000" w:themeColor="text1"/>
        </w:rPr>
      </w:pPr>
      <w:r w:rsidRPr="00A36258">
        <w:rPr>
          <w:color w:val="000000" w:themeColor="text1"/>
        </w:rPr>
        <w:t xml:space="preserve">Step 2: Test for 1df </w:t>
      </w:r>
      <w:proofErr w:type="spellStart"/>
      <w:r w:rsidRPr="00A36258">
        <w:rPr>
          <w:color w:val="000000" w:themeColor="text1"/>
        </w:rPr>
        <w:t>GxE</w:t>
      </w:r>
      <w:proofErr w:type="spellEnd"/>
      <w:r w:rsidRPr="00A36258">
        <w:rPr>
          <w:color w:val="000000" w:themeColor="text1"/>
        </w:rPr>
        <w:t xml:space="preserve"> (Model 1: </w:t>
      </w:r>
      <w:proofErr w:type="spellStart"/>
      <w:r w:rsidRPr="00A36258">
        <w:rPr>
          <w:color w:val="000000" w:themeColor="text1"/>
        </w:rPr>
        <w:t>P</w:t>
      </w:r>
      <w:r w:rsidRPr="00A36258">
        <w:rPr>
          <w:color w:val="000000" w:themeColor="text1"/>
          <w:vertAlign w:val="subscript"/>
        </w:rPr>
        <w:t>GxE</w:t>
      </w:r>
      <w:proofErr w:type="spellEnd"/>
      <w:r w:rsidRPr="00A36258">
        <w:rPr>
          <w:color w:val="000000" w:themeColor="text1"/>
        </w:rPr>
        <w:t xml:space="preserve"> ≤ 0.05</w:t>
      </w:r>
      <w:proofErr w:type="gramStart"/>
      <w:r w:rsidRPr="00A36258">
        <w:rPr>
          <w:color w:val="000000" w:themeColor="text1"/>
        </w:rPr>
        <w:t>/[</w:t>
      </w:r>
      <w:proofErr w:type="gramEnd"/>
      <w:r w:rsidRPr="00A36258">
        <w:rPr>
          <w:color w:val="000000" w:themeColor="text1"/>
        </w:rPr>
        <w:t xml:space="preserve">effective number of tests by PCA on </w:t>
      </w:r>
      <w:proofErr w:type="spellStart"/>
      <w:r w:rsidRPr="00A36258">
        <w:rPr>
          <w:color w:val="000000" w:themeColor="text1"/>
        </w:rPr>
        <w:t>m</w:t>
      </w:r>
      <w:r w:rsidRPr="00A36258">
        <w:rPr>
          <w:color w:val="000000" w:themeColor="text1"/>
          <w:vertAlign w:val="subscript"/>
        </w:rPr>
        <w:t>G</w:t>
      </w:r>
      <w:proofErr w:type="spellEnd"/>
      <w:r w:rsidRPr="00A36258">
        <w:rPr>
          <w:color w:val="000000" w:themeColor="text1"/>
          <w:vertAlign w:val="subscript"/>
        </w:rPr>
        <w:t xml:space="preserve"> </w:t>
      </w:r>
      <w:r w:rsidRPr="00A36258">
        <w:rPr>
          <w:color w:val="000000" w:themeColor="text1"/>
        </w:rPr>
        <w:t>variants])</w:t>
      </w:r>
    </w:p>
    <w:p w14:paraId="58FD2BDF" w14:textId="42BCF61E" w:rsidR="00B028DC" w:rsidRDefault="00B028DC" w:rsidP="00D644EE">
      <w:pPr>
        <w:pStyle w:val="Listenabsatz"/>
        <w:numPr>
          <w:ilvl w:val="3"/>
          <w:numId w:val="1"/>
        </w:numPr>
        <w:rPr>
          <w:color w:val="000000" w:themeColor="text1"/>
        </w:rPr>
      </w:pPr>
      <w:r>
        <w:rPr>
          <w:color w:val="000000" w:themeColor="text1"/>
        </w:rPr>
        <w:t xml:space="preserve">Derive </w:t>
      </w:r>
      <w:proofErr w:type="spellStart"/>
      <w:r>
        <w:rPr>
          <w:color w:val="000000" w:themeColor="text1"/>
        </w:rPr>
        <w:t>m</w:t>
      </w:r>
      <w:r w:rsidRPr="00B028DC">
        <w:rPr>
          <w:color w:val="000000" w:themeColor="text1"/>
          <w:vertAlign w:val="subscript"/>
        </w:rPr>
        <w:t>GxE</w:t>
      </w:r>
      <w:proofErr w:type="spellEnd"/>
      <w:r>
        <w:rPr>
          <w:color w:val="000000" w:themeColor="text1"/>
          <w:vertAlign w:val="subscript"/>
        </w:rPr>
        <w:t xml:space="preserve"> </w:t>
      </w:r>
      <w:r w:rsidRPr="00B028DC">
        <w:rPr>
          <w:color w:val="000000" w:themeColor="text1"/>
        </w:rPr>
        <w:t>variants</w:t>
      </w:r>
      <w:r>
        <w:rPr>
          <w:color w:val="000000" w:themeColor="text1"/>
          <w:vertAlign w:val="subscript"/>
        </w:rPr>
        <w:t xml:space="preserve"> </w:t>
      </w:r>
      <w:r w:rsidRPr="00B028DC">
        <w:rPr>
          <w:color w:val="000000" w:themeColor="text1"/>
        </w:rPr>
        <w:t>as</w:t>
      </w:r>
      <w:r>
        <w:rPr>
          <w:color w:val="000000" w:themeColor="text1"/>
        </w:rPr>
        <w:t xml:space="preserve"> the union of significant variants obtained from “1.” and “2.”.</w:t>
      </w:r>
    </w:p>
    <w:p w14:paraId="0C6D1BAC" w14:textId="60383932" w:rsidR="00A36258" w:rsidRDefault="00BA6D3B" w:rsidP="00D644EE">
      <w:pPr>
        <w:pStyle w:val="Listenabsatz"/>
        <w:numPr>
          <w:ilvl w:val="2"/>
          <w:numId w:val="1"/>
        </w:numPr>
        <w:rPr>
          <w:color w:val="000000" w:themeColor="text1"/>
        </w:rPr>
      </w:pPr>
      <w:r>
        <w:rPr>
          <w:color w:val="000000" w:themeColor="text1"/>
        </w:rPr>
        <w:t xml:space="preserve">In S2: Test </w:t>
      </w:r>
      <w:proofErr w:type="spellStart"/>
      <w:r>
        <w:rPr>
          <w:color w:val="000000" w:themeColor="text1"/>
        </w:rPr>
        <w:t>m</w:t>
      </w:r>
      <w:r w:rsidR="004D6FED">
        <w:rPr>
          <w:color w:val="000000" w:themeColor="text1"/>
          <w:vertAlign w:val="subscript"/>
        </w:rPr>
        <w:t>GxE</w:t>
      </w:r>
      <w:proofErr w:type="spellEnd"/>
      <w:r>
        <w:rPr>
          <w:color w:val="000000" w:themeColor="text1"/>
          <w:vertAlign w:val="subscript"/>
        </w:rPr>
        <w:t xml:space="preserve"> </w:t>
      </w:r>
      <w:r w:rsidRPr="00BA6D3B">
        <w:rPr>
          <w:color w:val="000000" w:themeColor="text1"/>
        </w:rPr>
        <w:t>variants</w:t>
      </w:r>
      <w:r>
        <w:rPr>
          <w:color w:val="000000" w:themeColor="text1"/>
        </w:rPr>
        <w:t xml:space="preserve"> for 1df </w:t>
      </w:r>
      <w:proofErr w:type="spellStart"/>
      <w:r>
        <w:rPr>
          <w:color w:val="000000" w:themeColor="text1"/>
        </w:rPr>
        <w:t>GxE</w:t>
      </w:r>
      <w:proofErr w:type="spellEnd"/>
      <w:r>
        <w:rPr>
          <w:color w:val="000000" w:themeColor="text1"/>
        </w:rPr>
        <w:t xml:space="preserve"> (Model 1: </w:t>
      </w:r>
      <w:r w:rsidRPr="0079474D">
        <w:rPr>
          <w:u w:val="single"/>
        </w:rPr>
        <w:t>One-sided</w:t>
      </w:r>
      <w:r w:rsidRPr="0079474D">
        <w:t xml:space="preserve"> </w:t>
      </w:r>
      <w:proofErr w:type="spellStart"/>
      <w:r w:rsidRPr="00A36258">
        <w:rPr>
          <w:color w:val="000000" w:themeColor="text1"/>
        </w:rPr>
        <w:t>P</w:t>
      </w:r>
      <w:r w:rsidRPr="00A36258">
        <w:rPr>
          <w:color w:val="000000" w:themeColor="text1"/>
          <w:vertAlign w:val="subscript"/>
        </w:rPr>
        <w:t>GxE</w:t>
      </w:r>
      <w:proofErr w:type="spellEnd"/>
      <w:r w:rsidRPr="00A36258">
        <w:rPr>
          <w:color w:val="000000" w:themeColor="text1"/>
        </w:rPr>
        <w:t xml:space="preserve"> ≤ </w:t>
      </w:r>
      <w:r>
        <w:rPr>
          <w:color w:val="000000" w:themeColor="text1"/>
        </w:rPr>
        <w:t>0.05/2</w:t>
      </w:r>
      <w:proofErr w:type="gramStart"/>
      <w:r w:rsidRPr="00BA6D3B">
        <w:rPr>
          <w:color w:val="000000" w:themeColor="text1"/>
        </w:rPr>
        <w:t>/</w:t>
      </w:r>
      <w:r w:rsidRPr="00BA6D3B">
        <w:rPr>
          <w:rFonts w:ascii="Calibri" w:eastAsiaTheme="minorEastAsia" w:hAnsi="Calibri"/>
          <w:color w:val="000000" w:themeColor="text1"/>
          <w:kern w:val="24"/>
        </w:rPr>
        <w:t>[</w:t>
      </w:r>
      <w:proofErr w:type="gramEnd"/>
      <w:r w:rsidRPr="00BA6D3B">
        <w:rPr>
          <w:color w:val="000000" w:themeColor="text1"/>
        </w:rPr>
        <w:t xml:space="preserve">effective number of tests by PCA on </w:t>
      </w:r>
      <w:proofErr w:type="spellStart"/>
      <w:r w:rsidRPr="00BA6D3B">
        <w:rPr>
          <w:color w:val="000000" w:themeColor="text1"/>
        </w:rPr>
        <w:t>m</w:t>
      </w:r>
      <w:r w:rsidR="004D6FED">
        <w:rPr>
          <w:color w:val="000000" w:themeColor="text1"/>
          <w:vertAlign w:val="subscript"/>
        </w:rPr>
        <w:t>GxE</w:t>
      </w:r>
      <w:proofErr w:type="spellEnd"/>
      <w:r w:rsidRPr="00BA6D3B">
        <w:rPr>
          <w:color w:val="000000" w:themeColor="text1"/>
          <w:vertAlign w:val="subscript"/>
        </w:rPr>
        <w:t xml:space="preserve"> </w:t>
      </w:r>
      <w:r w:rsidRPr="00BA6D3B">
        <w:rPr>
          <w:color w:val="000000" w:themeColor="text1"/>
        </w:rPr>
        <w:t>variants]</w:t>
      </w:r>
      <w:r>
        <w:rPr>
          <w:color w:val="000000" w:themeColor="text1"/>
        </w:rPr>
        <w:t>)</w:t>
      </w:r>
    </w:p>
    <w:p w14:paraId="6BD3642A" w14:textId="6FE28EEB" w:rsidR="00BA6D3B" w:rsidRDefault="00BA6D3B" w:rsidP="00D644EE">
      <w:pPr>
        <w:pStyle w:val="Listenabsatz"/>
        <w:numPr>
          <w:ilvl w:val="2"/>
          <w:numId w:val="1"/>
        </w:numPr>
        <w:rPr>
          <w:color w:val="000000" w:themeColor="text1"/>
        </w:rPr>
      </w:pPr>
      <w:r>
        <w:rPr>
          <w:color w:val="000000" w:themeColor="text1"/>
        </w:rPr>
        <w:t xml:space="preserve">Clump significant </w:t>
      </w:r>
      <w:r w:rsidR="00F3701B">
        <w:rPr>
          <w:color w:val="000000" w:themeColor="text1"/>
        </w:rPr>
        <w:t>variants (d&gt;500kb, r</w:t>
      </w:r>
      <w:r w:rsidR="00F3701B" w:rsidRPr="00BA6D3B">
        <w:rPr>
          <w:color w:val="000000" w:themeColor="text1"/>
          <w:vertAlign w:val="superscript"/>
        </w:rPr>
        <w:t>2</w:t>
      </w:r>
      <w:r w:rsidR="00F3701B">
        <w:rPr>
          <w:color w:val="000000" w:themeColor="text1"/>
        </w:rPr>
        <w:t xml:space="preserve">&lt;0.1) for </w:t>
      </w:r>
      <w:r>
        <w:rPr>
          <w:color w:val="000000" w:themeColor="text1"/>
        </w:rPr>
        <w:t>independent locus lead variants</w:t>
      </w:r>
    </w:p>
    <w:p w14:paraId="7351426E" w14:textId="2795CD6A" w:rsidR="00BA6D3B" w:rsidRPr="00BA6D3B" w:rsidRDefault="00BA6D3B" w:rsidP="00D644EE">
      <w:pPr>
        <w:pStyle w:val="Listenabsatz"/>
        <w:numPr>
          <w:ilvl w:val="1"/>
          <w:numId w:val="1"/>
        </w:numPr>
        <w:rPr>
          <w:i/>
          <w:iCs/>
          <w:color w:val="1F4E79" w:themeColor="accent1" w:themeShade="80"/>
          <w:sz w:val="16"/>
          <w:szCs w:val="16"/>
        </w:rPr>
      </w:pPr>
      <w:r>
        <w:rPr>
          <w:iCs/>
        </w:rPr>
        <w:t xml:space="preserve">Repeat </w:t>
      </w:r>
      <w:r w:rsidR="0079474D">
        <w:rPr>
          <w:iCs/>
        </w:rPr>
        <w:t>f</w:t>
      </w:r>
      <w:r>
        <w:rPr>
          <w:iCs/>
        </w:rPr>
        <w:t xml:space="preserve">. but with S2 </w:t>
      </w:r>
      <w:r w:rsidR="0079474D">
        <w:rPr>
          <w:iCs/>
        </w:rPr>
        <w:t xml:space="preserve">for </w:t>
      </w:r>
      <w:r>
        <w:rPr>
          <w:iCs/>
        </w:rPr>
        <w:t>Discovery</w:t>
      </w:r>
      <w:r w:rsidR="004D6FED">
        <w:rPr>
          <w:iCs/>
        </w:rPr>
        <w:t xml:space="preserve">, </w:t>
      </w:r>
      <w:r>
        <w:rPr>
          <w:iCs/>
        </w:rPr>
        <w:t>S</w:t>
      </w:r>
      <w:r w:rsidR="004D6FED">
        <w:rPr>
          <w:iCs/>
        </w:rPr>
        <w:t>1</w:t>
      </w:r>
      <w:r>
        <w:rPr>
          <w:iCs/>
        </w:rPr>
        <w:t xml:space="preserve"> </w:t>
      </w:r>
      <w:r w:rsidR="0079474D">
        <w:rPr>
          <w:iCs/>
        </w:rPr>
        <w:t xml:space="preserve">for </w:t>
      </w:r>
      <w:r w:rsidR="004D6FED">
        <w:rPr>
          <w:iCs/>
        </w:rPr>
        <w:t>R</w:t>
      </w:r>
      <w:r>
        <w:rPr>
          <w:iCs/>
        </w:rPr>
        <w:t>eplication</w:t>
      </w:r>
    </w:p>
    <w:p w14:paraId="3920361E" w14:textId="1CE93415" w:rsidR="00BA6D3B" w:rsidRPr="004D6FED" w:rsidRDefault="00CF7A41" w:rsidP="00D644EE">
      <w:pPr>
        <w:pStyle w:val="Listenabsatz"/>
        <w:numPr>
          <w:ilvl w:val="1"/>
          <w:numId w:val="1"/>
        </w:numPr>
        <w:rPr>
          <w:i/>
          <w:iCs/>
          <w:color w:val="1F4E79" w:themeColor="accent1" w:themeShade="80"/>
          <w:sz w:val="16"/>
          <w:szCs w:val="16"/>
        </w:rPr>
      </w:pPr>
      <w:r>
        <w:rPr>
          <w:iCs/>
        </w:rPr>
        <w:t>Test for j</w:t>
      </w:r>
      <w:r w:rsidRPr="004D6FED">
        <w:rPr>
          <w:iCs/>
        </w:rPr>
        <w:t>oint 2df</w:t>
      </w:r>
      <w:r>
        <w:rPr>
          <w:iCs/>
        </w:rPr>
        <w:t xml:space="preserve">: </w:t>
      </w:r>
      <w:r w:rsidR="004D6FED">
        <w:rPr>
          <w:iCs/>
        </w:rPr>
        <w:t xml:space="preserve">S1 </w:t>
      </w:r>
      <w:r w:rsidR="0079474D">
        <w:rPr>
          <w:iCs/>
        </w:rPr>
        <w:t xml:space="preserve">for </w:t>
      </w:r>
      <w:r w:rsidR="004D6FED">
        <w:rPr>
          <w:iCs/>
        </w:rPr>
        <w:t xml:space="preserve">Discovery, S2 </w:t>
      </w:r>
      <w:r w:rsidR="0079474D">
        <w:rPr>
          <w:iCs/>
        </w:rPr>
        <w:t xml:space="preserve">for </w:t>
      </w:r>
      <w:r w:rsidR="004D6FED">
        <w:rPr>
          <w:iCs/>
        </w:rPr>
        <w:t xml:space="preserve">Replication </w:t>
      </w:r>
    </w:p>
    <w:p w14:paraId="5767E964" w14:textId="235A59C3" w:rsidR="00BA6D3B" w:rsidRPr="004D6FED" w:rsidRDefault="00BA6D3B" w:rsidP="00D644EE">
      <w:pPr>
        <w:pStyle w:val="Listenabsatz"/>
        <w:numPr>
          <w:ilvl w:val="2"/>
          <w:numId w:val="1"/>
        </w:numPr>
        <w:rPr>
          <w:color w:val="000000" w:themeColor="text1"/>
        </w:rPr>
      </w:pPr>
      <w:r>
        <w:rPr>
          <w:color w:val="000000" w:themeColor="text1"/>
        </w:rPr>
        <w:t xml:space="preserve">In S1: </w:t>
      </w:r>
      <w:r w:rsidR="004D6FED" w:rsidRPr="004D6FED">
        <w:rPr>
          <w:color w:val="000000" w:themeColor="text1"/>
        </w:rPr>
        <w:t xml:space="preserve">Test for </w:t>
      </w:r>
      <w:r w:rsidR="004D6FED">
        <w:rPr>
          <w:color w:val="000000" w:themeColor="text1"/>
        </w:rPr>
        <w:t xml:space="preserve">joint </w:t>
      </w:r>
      <w:r w:rsidR="004D6FED" w:rsidRPr="004D6FED">
        <w:rPr>
          <w:color w:val="000000" w:themeColor="text1"/>
        </w:rPr>
        <w:t>2df (Model 1: P</w:t>
      </w:r>
      <w:r w:rsidR="004D6FED" w:rsidRPr="004D6FED">
        <w:rPr>
          <w:color w:val="000000" w:themeColor="text1"/>
          <w:vertAlign w:val="subscript"/>
        </w:rPr>
        <w:t>2df</w:t>
      </w:r>
      <w:r w:rsidR="004D6FED" w:rsidRPr="004D6FED">
        <w:rPr>
          <w:color w:val="000000" w:themeColor="text1"/>
        </w:rPr>
        <w:t xml:space="preserve"> ≤ 5x10</w:t>
      </w:r>
      <w:r w:rsidR="004D6FED" w:rsidRPr="004D6FED">
        <w:rPr>
          <w:color w:val="000000" w:themeColor="text1"/>
          <w:vertAlign w:val="superscript"/>
        </w:rPr>
        <w:t>-8</w:t>
      </w:r>
      <w:r w:rsidR="004D6FED" w:rsidRPr="004D6FED">
        <w:rPr>
          <w:color w:val="000000" w:themeColor="text1"/>
        </w:rPr>
        <w:t>) (m</w:t>
      </w:r>
      <w:r w:rsidR="004D6FED">
        <w:rPr>
          <w:color w:val="000000" w:themeColor="text1"/>
          <w:vertAlign w:val="subscript"/>
        </w:rPr>
        <w:t>2df</w:t>
      </w:r>
      <w:r w:rsidR="004D6FED" w:rsidRPr="004D6FED">
        <w:rPr>
          <w:color w:val="000000" w:themeColor="text1"/>
        </w:rPr>
        <w:t xml:space="preserve"> variants)</w:t>
      </w:r>
    </w:p>
    <w:p w14:paraId="487183A2" w14:textId="33138652" w:rsidR="00BA6D3B" w:rsidRDefault="00BA6D3B" w:rsidP="00D644EE">
      <w:pPr>
        <w:pStyle w:val="Listenabsatz"/>
        <w:numPr>
          <w:ilvl w:val="2"/>
          <w:numId w:val="1"/>
        </w:numPr>
        <w:rPr>
          <w:color w:val="000000" w:themeColor="text1"/>
        </w:rPr>
      </w:pPr>
      <w:r>
        <w:rPr>
          <w:color w:val="000000" w:themeColor="text1"/>
        </w:rPr>
        <w:t>In S2: Test m</w:t>
      </w:r>
      <w:r w:rsidR="004D6FED">
        <w:rPr>
          <w:color w:val="000000" w:themeColor="text1"/>
          <w:vertAlign w:val="subscript"/>
        </w:rPr>
        <w:t>2df</w:t>
      </w:r>
      <w:r>
        <w:rPr>
          <w:color w:val="000000" w:themeColor="text1"/>
          <w:vertAlign w:val="subscript"/>
        </w:rPr>
        <w:t xml:space="preserve"> </w:t>
      </w:r>
      <w:r w:rsidRPr="00BA6D3B">
        <w:rPr>
          <w:color w:val="000000" w:themeColor="text1"/>
        </w:rPr>
        <w:t>variants</w:t>
      </w:r>
      <w:r>
        <w:rPr>
          <w:color w:val="000000" w:themeColor="text1"/>
        </w:rPr>
        <w:t xml:space="preserve"> for </w:t>
      </w:r>
      <w:r w:rsidR="004D6FED">
        <w:rPr>
          <w:color w:val="000000" w:themeColor="text1"/>
        </w:rPr>
        <w:t>joint 2df</w:t>
      </w:r>
      <w:r>
        <w:rPr>
          <w:color w:val="000000" w:themeColor="text1"/>
        </w:rPr>
        <w:t xml:space="preserve"> (Model 1: </w:t>
      </w:r>
      <w:r w:rsidRPr="00A36258">
        <w:rPr>
          <w:color w:val="000000" w:themeColor="text1"/>
        </w:rPr>
        <w:t>P</w:t>
      </w:r>
      <w:r w:rsidR="004D6FED">
        <w:rPr>
          <w:color w:val="000000" w:themeColor="text1"/>
          <w:vertAlign w:val="subscript"/>
        </w:rPr>
        <w:t>2df</w:t>
      </w:r>
      <w:r w:rsidRPr="00A36258">
        <w:rPr>
          <w:color w:val="000000" w:themeColor="text1"/>
        </w:rPr>
        <w:t xml:space="preserve"> ≤ </w:t>
      </w:r>
      <w:r>
        <w:rPr>
          <w:color w:val="000000" w:themeColor="text1"/>
        </w:rPr>
        <w:t>0.05/2</w:t>
      </w:r>
      <w:proofErr w:type="gramStart"/>
      <w:r w:rsidRPr="00BA6D3B">
        <w:rPr>
          <w:color w:val="000000" w:themeColor="text1"/>
        </w:rPr>
        <w:t>/</w:t>
      </w:r>
      <w:r w:rsidRPr="00BA6D3B">
        <w:rPr>
          <w:rFonts w:ascii="Calibri" w:eastAsiaTheme="minorEastAsia" w:hAnsi="Calibri"/>
          <w:color w:val="000000" w:themeColor="text1"/>
          <w:kern w:val="24"/>
        </w:rPr>
        <w:t>[</w:t>
      </w:r>
      <w:proofErr w:type="gramEnd"/>
      <w:r w:rsidRPr="00BA6D3B">
        <w:rPr>
          <w:color w:val="000000" w:themeColor="text1"/>
        </w:rPr>
        <w:t>effective number of tests by PCA on m</w:t>
      </w:r>
      <w:r w:rsidR="004D6FED">
        <w:rPr>
          <w:color w:val="000000" w:themeColor="text1"/>
          <w:vertAlign w:val="subscript"/>
        </w:rPr>
        <w:t>2df</w:t>
      </w:r>
      <w:r w:rsidRPr="00BA6D3B">
        <w:rPr>
          <w:color w:val="000000" w:themeColor="text1"/>
          <w:vertAlign w:val="subscript"/>
        </w:rPr>
        <w:t xml:space="preserve"> </w:t>
      </w:r>
      <w:r w:rsidRPr="00BA6D3B">
        <w:rPr>
          <w:color w:val="000000" w:themeColor="text1"/>
        </w:rPr>
        <w:t>variants]</w:t>
      </w:r>
      <w:r>
        <w:rPr>
          <w:color w:val="000000" w:themeColor="text1"/>
        </w:rPr>
        <w:t>)</w:t>
      </w:r>
    </w:p>
    <w:p w14:paraId="5F2A42CB" w14:textId="068C874C" w:rsidR="00BA6D3B" w:rsidRDefault="00BA6D3B" w:rsidP="00D644EE">
      <w:pPr>
        <w:pStyle w:val="Listenabsatz"/>
        <w:numPr>
          <w:ilvl w:val="2"/>
          <w:numId w:val="1"/>
        </w:numPr>
        <w:rPr>
          <w:color w:val="000000" w:themeColor="text1"/>
        </w:rPr>
      </w:pPr>
      <w:r>
        <w:rPr>
          <w:color w:val="000000" w:themeColor="text1"/>
        </w:rPr>
        <w:t xml:space="preserve">Clump significant </w:t>
      </w:r>
      <w:r w:rsidR="00F3701B">
        <w:rPr>
          <w:color w:val="000000" w:themeColor="text1"/>
        </w:rPr>
        <w:t>variants</w:t>
      </w:r>
      <w:r>
        <w:rPr>
          <w:color w:val="000000" w:themeColor="text1"/>
        </w:rPr>
        <w:t xml:space="preserve"> </w:t>
      </w:r>
      <w:r w:rsidR="00F3701B">
        <w:rPr>
          <w:color w:val="000000" w:themeColor="text1"/>
        </w:rPr>
        <w:t>(</w:t>
      </w:r>
      <w:r>
        <w:rPr>
          <w:color w:val="000000" w:themeColor="text1"/>
        </w:rPr>
        <w:t>d&gt;500kb</w:t>
      </w:r>
      <w:r w:rsidR="00F3701B">
        <w:rPr>
          <w:color w:val="000000" w:themeColor="text1"/>
        </w:rPr>
        <w:t xml:space="preserve">, </w:t>
      </w:r>
      <w:r>
        <w:rPr>
          <w:color w:val="000000" w:themeColor="text1"/>
        </w:rPr>
        <w:t>r</w:t>
      </w:r>
      <w:r w:rsidRPr="00BA6D3B">
        <w:rPr>
          <w:color w:val="000000" w:themeColor="text1"/>
          <w:vertAlign w:val="superscript"/>
        </w:rPr>
        <w:t>2</w:t>
      </w:r>
      <w:r>
        <w:rPr>
          <w:color w:val="000000" w:themeColor="text1"/>
        </w:rPr>
        <w:t>&lt;0.1</w:t>
      </w:r>
      <w:r w:rsidR="00F3701B">
        <w:rPr>
          <w:color w:val="000000" w:themeColor="text1"/>
        </w:rPr>
        <w:t>)</w:t>
      </w:r>
      <w:r>
        <w:rPr>
          <w:color w:val="000000" w:themeColor="text1"/>
        </w:rPr>
        <w:t xml:space="preserve"> </w:t>
      </w:r>
      <w:r w:rsidR="00F3701B">
        <w:rPr>
          <w:color w:val="000000" w:themeColor="text1"/>
        </w:rPr>
        <w:t xml:space="preserve">for </w:t>
      </w:r>
      <w:r>
        <w:rPr>
          <w:color w:val="000000" w:themeColor="text1"/>
        </w:rPr>
        <w:t>independent locus lead variants</w:t>
      </w:r>
      <w:r w:rsidR="00DC0A09">
        <w:rPr>
          <w:color w:val="000000" w:themeColor="text1"/>
        </w:rPr>
        <w:t xml:space="preserve">. </w:t>
      </w:r>
    </w:p>
    <w:p w14:paraId="288CBD02" w14:textId="257BACA4" w:rsidR="00577B9B" w:rsidRDefault="004D6FED" w:rsidP="00D644EE">
      <w:pPr>
        <w:pStyle w:val="Listenabsatz"/>
        <w:numPr>
          <w:ilvl w:val="1"/>
          <w:numId w:val="1"/>
        </w:numPr>
        <w:rPr>
          <w:color w:val="000000" w:themeColor="text1"/>
        </w:rPr>
      </w:pPr>
      <w:r>
        <w:rPr>
          <w:color w:val="000000" w:themeColor="text1"/>
        </w:rPr>
        <w:t xml:space="preserve">Repeat </w:t>
      </w:r>
      <w:r w:rsidR="0079474D">
        <w:rPr>
          <w:color w:val="000000" w:themeColor="text1"/>
        </w:rPr>
        <w:t>h</w:t>
      </w:r>
      <w:r>
        <w:rPr>
          <w:color w:val="000000" w:themeColor="text1"/>
        </w:rPr>
        <w:t xml:space="preserve">. but with S2 </w:t>
      </w:r>
      <w:r w:rsidR="0079474D">
        <w:rPr>
          <w:color w:val="000000" w:themeColor="text1"/>
        </w:rPr>
        <w:t xml:space="preserve">for </w:t>
      </w:r>
      <w:r>
        <w:rPr>
          <w:color w:val="000000" w:themeColor="text1"/>
        </w:rPr>
        <w:t xml:space="preserve">Discovery, S1 </w:t>
      </w:r>
      <w:r w:rsidR="0079474D">
        <w:rPr>
          <w:color w:val="000000" w:themeColor="text1"/>
        </w:rPr>
        <w:t xml:space="preserve">for </w:t>
      </w:r>
      <w:r>
        <w:rPr>
          <w:color w:val="000000" w:themeColor="text1"/>
        </w:rPr>
        <w:t>Replication</w:t>
      </w:r>
    </w:p>
    <w:p w14:paraId="7EFB2CBE" w14:textId="77777777" w:rsidR="00C57D61" w:rsidRDefault="00C57D61" w:rsidP="00C57D61">
      <w:pPr>
        <w:pStyle w:val="Listenabsatz"/>
        <w:ind w:left="1440"/>
        <w:rPr>
          <w:color w:val="000000" w:themeColor="text1"/>
        </w:rPr>
      </w:pPr>
    </w:p>
    <w:p w14:paraId="3789879D" w14:textId="4C230217" w:rsidR="0079474D" w:rsidRPr="0079474D" w:rsidRDefault="00C57D61" w:rsidP="008134C8">
      <w:pPr>
        <w:pStyle w:val="Listenabsatz"/>
        <w:numPr>
          <w:ilvl w:val="0"/>
          <w:numId w:val="1"/>
        </w:numPr>
        <w:rPr>
          <w:color w:val="000000" w:themeColor="text1"/>
        </w:rPr>
      </w:pPr>
      <w:r>
        <w:rPr>
          <w:color w:val="000000" w:themeColor="text1"/>
        </w:rPr>
        <w:t xml:space="preserve">Bi-directional approach </w:t>
      </w:r>
      <w:r>
        <w:t xml:space="preserve">on </w:t>
      </w:r>
      <w:r w:rsidR="00FC6BF7">
        <w:rPr>
          <w:u w:val="single"/>
        </w:rPr>
        <w:t>cross</w:t>
      </w:r>
      <w:r w:rsidRPr="00C57D61">
        <w:rPr>
          <w:u w:val="single"/>
        </w:rPr>
        <w:t>-</w:t>
      </w:r>
      <w:r w:rsidR="00FC6BF7">
        <w:rPr>
          <w:u w:val="single"/>
        </w:rPr>
        <w:t>population</w:t>
      </w:r>
      <w:r>
        <w:t xml:space="preserve"> </w:t>
      </w:r>
      <w:r w:rsidR="00D644EE">
        <w:t xml:space="preserve">S1 and S2 </w:t>
      </w:r>
      <w:r>
        <w:t xml:space="preserve">metal results (from </w:t>
      </w:r>
      <w:r w:rsidR="001C7B8F">
        <w:t>6</w:t>
      </w:r>
      <w:r>
        <w:t>.</w:t>
      </w:r>
      <w:r w:rsidR="0079474D">
        <w:t>)</w:t>
      </w:r>
    </w:p>
    <w:p w14:paraId="6DA80651" w14:textId="16716E42" w:rsidR="00C57D61" w:rsidRPr="00C57D61" w:rsidRDefault="0079474D" w:rsidP="00D644EE">
      <w:pPr>
        <w:pStyle w:val="Listenabsatz"/>
        <w:numPr>
          <w:ilvl w:val="1"/>
          <w:numId w:val="1"/>
        </w:numPr>
        <w:rPr>
          <w:color w:val="000000" w:themeColor="text1"/>
        </w:rPr>
      </w:pPr>
      <w:r>
        <w:t xml:space="preserve">Example input: </w:t>
      </w:r>
      <w:r w:rsidR="00AE7731">
        <w:t>“S1_ALL_2GC” and “S2_ALL_2GC”</w:t>
      </w:r>
    </w:p>
    <w:p w14:paraId="6EF2853A" w14:textId="5BE7132B" w:rsidR="00C57D61" w:rsidRDefault="00C57D61" w:rsidP="00D644EE">
      <w:pPr>
        <w:pStyle w:val="Listenabsatz"/>
        <w:numPr>
          <w:ilvl w:val="1"/>
          <w:numId w:val="1"/>
        </w:numPr>
      </w:pPr>
      <w:r>
        <w:t>Do NOT run bi-directional if total sample size is &lt;20,000 in S1 or S2.</w:t>
      </w:r>
      <w:r w:rsidR="00F3701B">
        <w:t xml:space="preserve"> Lower thresholds are </w:t>
      </w:r>
      <w:r w:rsidR="003E3930">
        <w:t xml:space="preserve">up </w:t>
      </w:r>
      <w:r w:rsidR="00F3701B">
        <w:t xml:space="preserve">to the project teams. </w:t>
      </w:r>
    </w:p>
    <w:p w14:paraId="76091FEA" w14:textId="00B0DA89" w:rsidR="00AE7731" w:rsidRDefault="00AE7731" w:rsidP="00D644EE">
      <w:pPr>
        <w:pStyle w:val="Listenabsatz"/>
        <w:numPr>
          <w:ilvl w:val="1"/>
          <w:numId w:val="1"/>
        </w:numPr>
      </w:pPr>
      <w:r>
        <w:t xml:space="preserve">Repeat steps </w:t>
      </w:r>
      <w:r w:rsidR="0079474D">
        <w:t>e</w:t>
      </w:r>
      <w:r>
        <w:t>.-</w:t>
      </w:r>
      <w:r w:rsidR="0079474D">
        <w:t>i</w:t>
      </w:r>
      <w:r>
        <w:t xml:space="preserve">. from </w:t>
      </w:r>
      <w:r w:rsidR="000A479F">
        <w:t>7</w:t>
      </w:r>
      <w:r>
        <w:t>. but omit the GC correction (</w:t>
      </w:r>
      <w:r w:rsidR="0079474D">
        <w:t>!</w:t>
      </w:r>
      <w:r>
        <w:t>!!)</w:t>
      </w:r>
    </w:p>
    <w:p w14:paraId="055361BD" w14:textId="30AB8CD5" w:rsidR="0071348B" w:rsidRDefault="0071348B" w:rsidP="0071348B">
      <w:pPr>
        <w:pStyle w:val="Listenabsatz"/>
        <w:numPr>
          <w:ilvl w:val="1"/>
          <w:numId w:val="1"/>
        </w:numPr>
      </w:pPr>
      <w:r>
        <w:t>EasyStrata2 scripts “</w:t>
      </w:r>
      <w:r w:rsidRPr="002E49A6">
        <w:t>bidirectional_</w:t>
      </w:r>
      <w:r>
        <w:t>crosspop</w:t>
      </w:r>
      <w:r w:rsidR="00CA1DD4">
        <w:t>_joint2df</w:t>
      </w:r>
      <w:r w:rsidRPr="002E49A6">
        <w:t>.ecf</w:t>
      </w:r>
      <w:r>
        <w:t>” and “</w:t>
      </w:r>
      <w:r w:rsidRPr="002E49A6">
        <w:t>bidirectional_</w:t>
      </w:r>
      <w:r w:rsidRPr="0071348B">
        <w:t xml:space="preserve"> </w:t>
      </w:r>
      <w:r>
        <w:t>crosspop</w:t>
      </w:r>
      <w:r w:rsidR="00CA1DD4">
        <w:t>_int1df</w:t>
      </w:r>
      <w:r w:rsidRPr="002E49A6">
        <w:t>.ecf</w:t>
      </w:r>
      <w:r>
        <w:t xml:space="preserve">” implement the </w:t>
      </w:r>
      <w:commentRangeStart w:id="3"/>
      <w:commentRangeStart w:id="4"/>
      <w:commentRangeStart w:id="5"/>
      <w:r>
        <w:t>approach</w:t>
      </w:r>
      <w:commentRangeEnd w:id="3"/>
      <w:r>
        <w:rPr>
          <w:rStyle w:val="Kommentarzeichen"/>
        </w:rPr>
        <w:commentReference w:id="3"/>
      </w:r>
      <w:commentRangeEnd w:id="4"/>
      <w:r>
        <w:rPr>
          <w:rStyle w:val="Kommentarzeichen"/>
        </w:rPr>
        <w:commentReference w:id="4"/>
      </w:r>
      <w:commentRangeEnd w:id="5"/>
      <w:r w:rsidR="000840E3">
        <w:rPr>
          <w:rStyle w:val="Kommentarzeichen"/>
        </w:rPr>
        <w:commentReference w:id="5"/>
      </w:r>
      <w:r>
        <w:t xml:space="preserve">. </w:t>
      </w:r>
    </w:p>
    <w:p w14:paraId="289A4863" w14:textId="436140DF" w:rsidR="00AE7731" w:rsidRPr="006C10B8" w:rsidRDefault="00AE7731" w:rsidP="00074A88">
      <w:pPr>
        <w:pStyle w:val="berschrift2"/>
      </w:pPr>
      <w:r>
        <w:t>Combined-</w:t>
      </w:r>
      <w:proofErr w:type="gramStart"/>
      <w:r>
        <w:t>meta approaches</w:t>
      </w:r>
      <w:proofErr w:type="gramEnd"/>
      <w:r>
        <w:t xml:space="preserve"> on S1</w:t>
      </w:r>
      <w:r w:rsidR="00D644EE">
        <w:t>plusS</w:t>
      </w:r>
      <w:r>
        <w:t xml:space="preserve">2 </w:t>
      </w:r>
      <w:r w:rsidR="00CF7A41">
        <w:t>results</w:t>
      </w:r>
    </w:p>
    <w:p w14:paraId="02F5F682" w14:textId="75F995B1" w:rsidR="0079474D" w:rsidRDefault="00AE7731" w:rsidP="008134C8">
      <w:pPr>
        <w:pStyle w:val="Listenabsatz"/>
        <w:numPr>
          <w:ilvl w:val="0"/>
          <w:numId w:val="1"/>
        </w:numPr>
      </w:pPr>
      <w:r>
        <w:t>Combined-</w:t>
      </w:r>
      <w:proofErr w:type="gramStart"/>
      <w:r>
        <w:t>meta approach</w:t>
      </w:r>
      <w:proofErr w:type="gramEnd"/>
      <w:r>
        <w:t xml:space="preserve"> on </w:t>
      </w:r>
      <w:r w:rsidR="00FC6BF7">
        <w:rPr>
          <w:u w:val="single"/>
        </w:rPr>
        <w:t>population</w:t>
      </w:r>
      <w:r w:rsidRPr="00C57D61">
        <w:rPr>
          <w:u w:val="single"/>
        </w:rPr>
        <w:t>-specific</w:t>
      </w:r>
      <w:r>
        <w:t xml:space="preserve"> </w:t>
      </w:r>
      <w:r w:rsidR="00D644EE">
        <w:t xml:space="preserve">S1plusS2 </w:t>
      </w:r>
      <w:r>
        <w:t xml:space="preserve">metal results (from </w:t>
      </w:r>
      <w:r w:rsidR="00D644EE">
        <w:t>5</w:t>
      </w:r>
      <w:r>
        <w:t>.</w:t>
      </w:r>
      <w:r w:rsidR="0079474D">
        <w:t>)</w:t>
      </w:r>
    </w:p>
    <w:p w14:paraId="41D7CD77" w14:textId="4BB33871" w:rsidR="00AE7731" w:rsidRDefault="0079474D" w:rsidP="00D644EE">
      <w:pPr>
        <w:pStyle w:val="Listenabsatz"/>
        <w:numPr>
          <w:ilvl w:val="1"/>
          <w:numId w:val="1"/>
        </w:numPr>
      </w:pPr>
      <w:r>
        <w:t xml:space="preserve">Example input: </w:t>
      </w:r>
      <w:r w:rsidR="00AE7731">
        <w:t>“S1plus</w:t>
      </w:r>
      <w:r w:rsidR="00D644EE">
        <w:t>S</w:t>
      </w:r>
      <w:r w:rsidR="00AE7731">
        <w:t>2_EUR_</w:t>
      </w:r>
      <w:r w:rsidR="00D644EE">
        <w:t>1</w:t>
      </w:r>
      <w:r w:rsidR="00AE7731">
        <w:t xml:space="preserve">GC” </w:t>
      </w:r>
    </w:p>
    <w:p w14:paraId="7723E8C0" w14:textId="2261B760" w:rsidR="00CF7A41" w:rsidRDefault="00CF7A41" w:rsidP="00D644EE">
      <w:pPr>
        <w:pStyle w:val="Listenabsatz"/>
        <w:numPr>
          <w:ilvl w:val="1"/>
          <w:numId w:val="1"/>
        </w:numPr>
      </w:pPr>
      <w:r>
        <w:t xml:space="preserve">Run separately by </w:t>
      </w:r>
      <w:r w:rsidR="00B820BA">
        <w:t>population</w:t>
      </w:r>
      <w:r>
        <w:t xml:space="preserve">. </w:t>
      </w:r>
    </w:p>
    <w:p w14:paraId="37A50796" w14:textId="488FA033" w:rsidR="00CF7A41" w:rsidRDefault="00CF7A41" w:rsidP="00D644EE">
      <w:pPr>
        <w:pStyle w:val="Listenabsatz"/>
        <w:numPr>
          <w:ilvl w:val="1"/>
          <w:numId w:val="1"/>
        </w:numPr>
      </w:pPr>
      <w:r>
        <w:t>Do NOT run combined-</w:t>
      </w:r>
      <w:proofErr w:type="gramStart"/>
      <w:r>
        <w:t xml:space="preserve">meta </w:t>
      </w:r>
      <w:r w:rsidR="00D644EE">
        <w:t>approaches</w:t>
      </w:r>
      <w:proofErr w:type="gramEnd"/>
      <w:r w:rsidR="00D644EE">
        <w:t xml:space="preserve"> </w:t>
      </w:r>
      <w:r>
        <w:t xml:space="preserve">if total sample size is &lt;20,000 </w:t>
      </w:r>
      <w:r w:rsidR="003E3930">
        <w:t xml:space="preserve">or the </w:t>
      </w:r>
      <w:r>
        <w:t xml:space="preserve">number of studies </w:t>
      </w:r>
      <w:r w:rsidR="00D644EE">
        <w:t>was</w:t>
      </w:r>
      <w:r>
        <w:t xml:space="preserve"> &lt;3.</w:t>
      </w:r>
      <w:r w:rsidR="00F3701B">
        <w:t xml:space="preserve"> Lower thresholds are </w:t>
      </w:r>
      <w:r w:rsidR="003E3930">
        <w:t xml:space="preserve">up </w:t>
      </w:r>
      <w:r w:rsidR="00F3701B">
        <w:t xml:space="preserve">to the project teams. </w:t>
      </w:r>
    </w:p>
    <w:p w14:paraId="46D5A802" w14:textId="0844C294" w:rsidR="0071348B" w:rsidRDefault="0071348B" w:rsidP="00D644EE">
      <w:pPr>
        <w:pStyle w:val="Listenabsatz"/>
        <w:numPr>
          <w:ilvl w:val="1"/>
          <w:numId w:val="1"/>
        </w:numPr>
      </w:pPr>
      <w:r>
        <w:t>EasyStrata2 scripts “combmeta</w:t>
      </w:r>
      <w:r w:rsidRPr="002E49A6">
        <w:t>_popspecific</w:t>
      </w:r>
      <w:r w:rsidR="00CA1DD4">
        <w:t>_joint2df</w:t>
      </w:r>
      <w:r w:rsidRPr="002E49A6">
        <w:t>.ecf</w:t>
      </w:r>
      <w:r>
        <w:t>” and “combmeta</w:t>
      </w:r>
      <w:r w:rsidRPr="002E49A6">
        <w:t>_popspecific</w:t>
      </w:r>
      <w:r w:rsidR="00CA1DD4">
        <w:t>_int1df</w:t>
      </w:r>
      <w:r w:rsidRPr="002E49A6">
        <w:t>.ecf</w:t>
      </w:r>
      <w:r>
        <w:t>” implement the following steps</w:t>
      </w:r>
      <w:r w:rsidR="00CA1DD4">
        <w:t xml:space="preserve"> e-</w:t>
      </w:r>
      <w:r w:rsidR="00DF35FA">
        <w:t xml:space="preserve"> </w:t>
      </w:r>
      <w:r w:rsidR="00CA1DD4">
        <w:t>g</w:t>
      </w:r>
      <w:r>
        <w:t>.</w:t>
      </w:r>
    </w:p>
    <w:p w14:paraId="64B02410" w14:textId="77777777" w:rsidR="00CF7A41" w:rsidRDefault="00CF7A41" w:rsidP="00D644EE">
      <w:pPr>
        <w:pStyle w:val="Listenabsatz"/>
        <w:numPr>
          <w:ilvl w:val="1"/>
          <w:numId w:val="1"/>
        </w:numPr>
      </w:pPr>
      <w:r>
        <w:t>Preprocessing</w:t>
      </w:r>
    </w:p>
    <w:p w14:paraId="546466AF" w14:textId="0D4835FA" w:rsidR="00CF7A41" w:rsidRDefault="00CF7A41" w:rsidP="00D644EE">
      <w:pPr>
        <w:pStyle w:val="Listenabsatz"/>
        <w:numPr>
          <w:ilvl w:val="2"/>
          <w:numId w:val="1"/>
        </w:numPr>
      </w:pPr>
      <w:r>
        <w:t>Remove missing values</w:t>
      </w:r>
    </w:p>
    <w:p w14:paraId="2AC41E7E" w14:textId="77777777" w:rsidR="00CF7A41" w:rsidRDefault="00CF7A41" w:rsidP="00D644EE">
      <w:pPr>
        <w:pStyle w:val="Listenabsatz"/>
        <w:numPr>
          <w:ilvl w:val="2"/>
          <w:numId w:val="1"/>
        </w:numPr>
      </w:pPr>
      <w:r>
        <w:t>Remove low frequency variants MAF&lt;0.001</w:t>
      </w:r>
    </w:p>
    <w:p w14:paraId="40D29639" w14:textId="77777777" w:rsidR="00CF7A41" w:rsidRDefault="00CF7A41" w:rsidP="00D644EE">
      <w:pPr>
        <w:pStyle w:val="Listenabsatz"/>
        <w:numPr>
          <w:ilvl w:val="2"/>
          <w:numId w:val="1"/>
        </w:numPr>
      </w:pPr>
      <w:r>
        <w:t xml:space="preserve">Obtain chromosome and position from the </w:t>
      </w:r>
      <w:proofErr w:type="spellStart"/>
      <w:r>
        <w:t>MarkerName</w:t>
      </w:r>
      <w:proofErr w:type="spellEnd"/>
      <w:r>
        <w:t xml:space="preserve"> (e.g., 1:</w:t>
      </w:r>
      <w:proofErr w:type="gramStart"/>
      <w:r>
        <w:t>3257725:A</w:t>
      </w:r>
      <w:proofErr w:type="gramEnd"/>
      <w:r>
        <w:t>_C)</w:t>
      </w:r>
    </w:p>
    <w:p w14:paraId="69D9E95D" w14:textId="77777777" w:rsidR="00CF7A41" w:rsidRDefault="00CF7A41" w:rsidP="00D644EE">
      <w:pPr>
        <w:pStyle w:val="Listenabsatz"/>
        <w:numPr>
          <w:ilvl w:val="2"/>
          <w:numId w:val="1"/>
        </w:numPr>
      </w:pPr>
      <w:r>
        <w:t>Remove MHC region variants (chr</w:t>
      </w:r>
      <w:r w:rsidRPr="006656ED">
        <w:t>6</w:t>
      </w:r>
      <w:r>
        <w:t>:</w:t>
      </w:r>
      <w:r w:rsidRPr="006656ED">
        <w:t>27500000</w:t>
      </w:r>
      <w:r>
        <w:t>-</w:t>
      </w:r>
      <w:r w:rsidRPr="006656ED">
        <w:t>34500000</w:t>
      </w:r>
      <w:r>
        <w:t xml:space="preserve">, </w:t>
      </w:r>
      <w:hyperlink r:id="rId15" w:history="1">
        <w:r w:rsidRPr="0012475F">
          <w:rPr>
            <w:rStyle w:val="Hyperlink"/>
          </w:rPr>
          <w:t>https://www.ncbi.nlm.nih.gov/grc/human/regions/MHC</w:t>
        </w:r>
      </w:hyperlink>
      <w:r>
        <w:t xml:space="preserve">) </w:t>
      </w:r>
    </w:p>
    <w:p w14:paraId="03532396" w14:textId="46A5E643" w:rsidR="000A479F" w:rsidRPr="000A479F" w:rsidRDefault="000A479F" w:rsidP="000A479F">
      <w:pPr>
        <w:pStyle w:val="Listenabsatz"/>
        <w:numPr>
          <w:ilvl w:val="2"/>
          <w:numId w:val="1"/>
        </w:numPr>
        <w:rPr>
          <w:i/>
          <w:iCs/>
        </w:rPr>
      </w:pPr>
      <w:r>
        <w:rPr>
          <w:iCs/>
        </w:rPr>
        <w:t>Calculate GC lambdas and apply GC correction to marginal, interaction and joint2df P-Values (Double ancestry-level GC)</w:t>
      </w:r>
    </w:p>
    <w:p w14:paraId="67DA7AC3" w14:textId="35CFE363" w:rsidR="00CF7A41" w:rsidRDefault="00CF7A41" w:rsidP="00D644EE">
      <w:pPr>
        <w:pStyle w:val="Listenabsatz"/>
        <w:numPr>
          <w:ilvl w:val="2"/>
          <w:numId w:val="1"/>
        </w:numPr>
      </w:pPr>
      <w:r>
        <w:t>Calculate interaction P-Values:</w:t>
      </w:r>
    </w:p>
    <w:p w14:paraId="43A46CD9" w14:textId="7B03BD45" w:rsidR="00CF7A41" w:rsidRPr="00BE3F7D" w:rsidRDefault="00CF7A41" w:rsidP="00CF7A41">
      <w:pPr>
        <w:pStyle w:val="Listenabsatz"/>
        <w:ind w:left="2160"/>
        <w:rPr>
          <w:i/>
          <w:iCs/>
          <w:color w:val="1F4E79" w:themeColor="accent1" w:themeShade="80"/>
          <w:sz w:val="16"/>
          <w:szCs w:val="16"/>
        </w:rPr>
      </w:pPr>
      <w:r w:rsidRPr="00BE3F7D">
        <w:rPr>
          <w:i/>
          <w:iCs/>
          <w:color w:val="1F4E79" w:themeColor="accent1" w:themeShade="80"/>
          <w:sz w:val="16"/>
          <w:szCs w:val="16"/>
        </w:rPr>
        <w:t>Pint</w:t>
      </w:r>
      <w:r>
        <w:rPr>
          <w:i/>
          <w:iCs/>
          <w:color w:val="1F4E79" w:themeColor="accent1" w:themeShade="80"/>
          <w:sz w:val="16"/>
          <w:szCs w:val="16"/>
        </w:rPr>
        <w:t xml:space="preserve"> </w:t>
      </w:r>
      <w:r w:rsidRPr="00BE3F7D">
        <w:rPr>
          <w:i/>
          <w:iCs/>
          <w:color w:val="1F4E79" w:themeColor="accent1" w:themeShade="80"/>
          <w:sz w:val="16"/>
          <w:szCs w:val="16"/>
        </w:rPr>
        <w:t>= 2*</w:t>
      </w:r>
      <w:proofErr w:type="spellStart"/>
      <w:r w:rsidRPr="00BE3F7D">
        <w:rPr>
          <w:i/>
          <w:iCs/>
          <w:color w:val="1F4E79" w:themeColor="accent1" w:themeShade="80"/>
          <w:sz w:val="16"/>
          <w:szCs w:val="16"/>
        </w:rPr>
        <w:t>pnorm</w:t>
      </w:r>
      <w:proofErr w:type="spellEnd"/>
      <w:r w:rsidRPr="00BE3F7D">
        <w:rPr>
          <w:i/>
          <w:iCs/>
          <w:color w:val="1F4E79" w:themeColor="accent1" w:themeShade="80"/>
          <w:sz w:val="16"/>
          <w:szCs w:val="16"/>
        </w:rPr>
        <w:t>(</w:t>
      </w:r>
      <w:proofErr w:type="gramStart"/>
      <w:r w:rsidRPr="00BE3F7D">
        <w:rPr>
          <w:i/>
          <w:iCs/>
          <w:color w:val="1F4E79" w:themeColor="accent1" w:themeShade="80"/>
          <w:sz w:val="16"/>
          <w:szCs w:val="16"/>
        </w:rPr>
        <w:t>abs(</w:t>
      </w:r>
      <w:proofErr w:type="spellStart"/>
      <w:proofErr w:type="gramEnd"/>
      <w:r w:rsidRPr="00BE3F7D">
        <w:rPr>
          <w:i/>
          <w:iCs/>
          <w:color w:val="1F4E79" w:themeColor="accent1" w:themeShade="80"/>
          <w:sz w:val="16"/>
          <w:szCs w:val="16"/>
        </w:rPr>
        <w:t>IntEffect</w:t>
      </w:r>
      <w:proofErr w:type="spellEnd"/>
      <w:r w:rsidRPr="00BE3F7D">
        <w:rPr>
          <w:i/>
          <w:iCs/>
          <w:color w:val="1F4E79" w:themeColor="accent1" w:themeShade="80"/>
          <w:sz w:val="16"/>
          <w:szCs w:val="16"/>
        </w:rPr>
        <w:t>/</w:t>
      </w:r>
      <w:proofErr w:type="spellStart"/>
      <w:r w:rsidRPr="00BE3F7D">
        <w:rPr>
          <w:i/>
          <w:iCs/>
          <w:color w:val="1F4E79" w:themeColor="accent1" w:themeShade="80"/>
          <w:sz w:val="16"/>
          <w:szCs w:val="16"/>
        </w:rPr>
        <w:t>IntStdErr</w:t>
      </w:r>
      <w:proofErr w:type="spellEnd"/>
      <w:r w:rsidRPr="00BE3F7D">
        <w:rPr>
          <w:i/>
          <w:iCs/>
          <w:color w:val="1F4E79" w:themeColor="accent1" w:themeShade="80"/>
          <w:sz w:val="16"/>
          <w:szCs w:val="16"/>
        </w:rPr>
        <w:t>),</w:t>
      </w:r>
      <w:proofErr w:type="spellStart"/>
      <w:r w:rsidRPr="00BE3F7D">
        <w:rPr>
          <w:i/>
          <w:iCs/>
          <w:color w:val="1F4E79" w:themeColor="accent1" w:themeShade="80"/>
          <w:sz w:val="16"/>
          <w:szCs w:val="16"/>
        </w:rPr>
        <w:t>lower.tail</w:t>
      </w:r>
      <w:proofErr w:type="spellEnd"/>
      <w:r w:rsidRPr="00BE3F7D">
        <w:rPr>
          <w:i/>
          <w:iCs/>
          <w:color w:val="1F4E79" w:themeColor="accent1" w:themeShade="80"/>
          <w:sz w:val="16"/>
          <w:szCs w:val="16"/>
        </w:rPr>
        <w:t>=F)</w:t>
      </w:r>
    </w:p>
    <w:p w14:paraId="502C7CF0" w14:textId="0125B5B2" w:rsidR="00CF7A41" w:rsidRPr="00A36258" w:rsidRDefault="00CF7A41" w:rsidP="00D644EE">
      <w:pPr>
        <w:pStyle w:val="Listenabsatz"/>
        <w:numPr>
          <w:ilvl w:val="1"/>
          <w:numId w:val="1"/>
        </w:numPr>
        <w:rPr>
          <w:i/>
          <w:iCs/>
          <w:color w:val="1F4E79" w:themeColor="accent1" w:themeShade="80"/>
          <w:sz w:val="16"/>
          <w:szCs w:val="16"/>
        </w:rPr>
      </w:pPr>
      <w:r>
        <w:rPr>
          <w:iCs/>
        </w:rPr>
        <w:t xml:space="preserve">Test for 1df </w:t>
      </w:r>
      <w:proofErr w:type="spellStart"/>
      <w:r>
        <w:rPr>
          <w:iCs/>
        </w:rPr>
        <w:t>GxE</w:t>
      </w:r>
      <w:proofErr w:type="spellEnd"/>
      <w:r>
        <w:rPr>
          <w:iCs/>
        </w:rPr>
        <w:t xml:space="preserve"> </w:t>
      </w:r>
    </w:p>
    <w:p w14:paraId="16EAEA21" w14:textId="6974B0C4" w:rsidR="006A3C1E" w:rsidRDefault="006A3C1E" w:rsidP="00D644EE">
      <w:pPr>
        <w:pStyle w:val="Listenabsatz"/>
        <w:numPr>
          <w:ilvl w:val="2"/>
          <w:numId w:val="1"/>
        </w:numPr>
        <w:rPr>
          <w:color w:val="000000" w:themeColor="text1"/>
        </w:rPr>
      </w:pPr>
      <w:r>
        <w:rPr>
          <w:color w:val="000000" w:themeColor="text1"/>
        </w:rPr>
        <w:t xml:space="preserve">Calculate 1df </w:t>
      </w:r>
      <w:proofErr w:type="spellStart"/>
      <w:r>
        <w:rPr>
          <w:color w:val="000000" w:themeColor="text1"/>
        </w:rPr>
        <w:t>GxE</w:t>
      </w:r>
      <w:proofErr w:type="spellEnd"/>
      <w:r>
        <w:rPr>
          <w:color w:val="000000" w:themeColor="text1"/>
        </w:rPr>
        <w:t xml:space="preserve"> </w:t>
      </w:r>
      <w:r w:rsidR="00F3701B">
        <w:rPr>
          <w:color w:val="000000" w:themeColor="text1"/>
        </w:rPr>
        <w:t>FDR</w:t>
      </w:r>
      <w:r>
        <w:rPr>
          <w:color w:val="000000" w:themeColor="text1"/>
        </w:rPr>
        <w:t xml:space="preserve"> based on all variants </w:t>
      </w:r>
      <w:proofErr w:type="gramStart"/>
      <w:r>
        <w:rPr>
          <w:color w:val="000000" w:themeColor="text1"/>
        </w:rPr>
        <w:t>genome-wide</w:t>
      </w:r>
      <w:proofErr w:type="gramEnd"/>
      <w:r>
        <w:rPr>
          <w:color w:val="000000" w:themeColor="text1"/>
        </w:rPr>
        <w:t xml:space="preserve"> (</w:t>
      </w:r>
      <w:proofErr w:type="spellStart"/>
      <w:r>
        <w:rPr>
          <w:color w:val="000000" w:themeColor="text1"/>
        </w:rPr>
        <w:t>FDR</w:t>
      </w:r>
      <w:r w:rsidRPr="006A3C1E">
        <w:rPr>
          <w:color w:val="000000" w:themeColor="text1"/>
          <w:vertAlign w:val="subscript"/>
        </w:rPr>
        <w:t>GxE</w:t>
      </w:r>
      <w:proofErr w:type="spellEnd"/>
      <w:r>
        <w:rPr>
          <w:color w:val="000000" w:themeColor="text1"/>
        </w:rPr>
        <w:t>)</w:t>
      </w:r>
    </w:p>
    <w:p w14:paraId="6FB9FD84" w14:textId="056A075A" w:rsidR="00CF7A41" w:rsidRDefault="00CF7A41" w:rsidP="00D644EE">
      <w:pPr>
        <w:pStyle w:val="Listenabsatz"/>
        <w:numPr>
          <w:ilvl w:val="2"/>
          <w:numId w:val="1"/>
        </w:numPr>
        <w:rPr>
          <w:color w:val="000000" w:themeColor="text1"/>
        </w:rPr>
      </w:pPr>
      <w:r w:rsidRPr="00A36258">
        <w:rPr>
          <w:color w:val="000000" w:themeColor="text1"/>
        </w:rPr>
        <w:t xml:space="preserve">Test for 1df </w:t>
      </w:r>
      <w:proofErr w:type="spellStart"/>
      <w:r w:rsidRPr="00A36258">
        <w:rPr>
          <w:color w:val="000000" w:themeColor="text1"/>
        </w:rPr>
        <w:t>GxE</w:t>
      </w:r>
      <w:proofErr w:type="spellEnd"/>
      <w:r w:rsidRPr="00A36258">
        <w:rPr>
          <w:color w:val="000000" w:themeColor="text1"/>
        </w:rPr>
        <w:t xml:space="preserve"> (Model 1: </w:t>
      </w:r>
      <w:proofErr w:type="spellStart"/>
      <w:r w:rsidRPr="00AF058F">
        <w:rPr>
          <w:strike/>
          <w:color w:val="000000" w:themeColor="text1"/>
          <w:highlight w:val="yellow"/>
        </w:rPr>
        <w:t>P</w:t>
      </w:r>
      <w:r w:rsidRPr="00AF058F">
        <w:rPr>
          <w:strike/>
          <w:color w:val="000000" w:themeColor="text1"/>
          <w:highlight w:val="yellow"/>
          <w:vertAlign w:val="subscript"/>
        </w:rPr>
        <w:t>GxE</w:t>
      </w:r>
      <w:proofErr w:type="spellEnd"/>
      <w:r w:rsidRPr="00AF058F">
        <w:rPr>
          <w:strike/>
          <w:color w:val="000000" w:themeColor="text1"/>
          <w:highlight w:val="yellow"/>
        </w:rPr>
        <w:t xml:space="preserve"> ≤ 5x10</w:t>
      </w:r>
      <w:r w:rsidRPr="00AF058F">
        <w:rPr>
          <w:strike/>
          <w:color w:val="000000" w:themeColor="text1"/>
          <w:highlight w:val="yellow"/>
          <w:vertAlign w:val="superscript"/>
        </w:rPr>
        <w:t>-</w:t>
      </w:r>
      <w:r w:rsidR="006A3C1E" w:rsidRPr="00AF058F">
        <w:rPr>
          <w:strike/>
          <w:color w:val="000000" w:themeColor="text1"/>
          <w:highlight w:val="yellow"/>
          <w:vertAlign w:val="superscript"/>
        </w:rPr>
        <w:t>9</w:t>
      </w:r>
      <w:r w:rsidR="006A3C1E" w:rsidRPr="00AF058F">
        <w:rPr>
          <w:strike/>
          <w:color w:val="000000" w:themeColor="text1"/>
          <w:highlight w:val="yellow"/>
        </w:rPr>
        <w:t xml:space="preserve"> and </w:t>
      </w:r>
      <w:proofErr w:type="spellStart"/>
      <w:r w:rsidR="006A3C1E" w:rsidRPr="00AF058F">
        <w:rPr>
          <w:strike/>
          <w:color w:val="000000" w:themeColor="text1"/>
          <w:highlight w:val="yellow"/>
        </w:rPr>
        <w:t>FDR</w:t>
      </w:r>
      <w:r w:rsidR="006A3C1E" w:rsidRPr="00AF058F">
        <w:rPr>
          <w:strike/>
          <w:color w:val="000000" w:themeColor="text1"/>
          <w:highlight w:val="yellow"/>
          <w:vertAlign w:val="subscript"/>
        </w:rPr>
        <w:t>GxE</w:t>
      </w:r>
      <w:proofErr w:type="spellEnd"/>
      <w:r w:rsidR="006A3C1E" w:rsidRPr="00AF058F">
        <w:rPr>
          <w:strike/>
          <w:color w:val="000000" w:themeColor="text1"/>
          <w:highlight w:val="yellow"/>
        </w:rPr>
        <w:t xml:space="preserve"> &lt;0.05</w:t>
      </w:r>
      <w:r w:rsidR="00AF058F" w:rsidRPr="00AF058F">
        <w:rPr>
          <w:color w:val="000000" w:themeColor="text1"/>
          <w:highlight w:val="yellow"/>
        </w:rPr>
        <w:t xml:space="preserve"> </w:t>
      </w:r>
      <w:proofErr w:type="spellStart"/>
      <w:r w:rsidR="00AF058F" w:rsidRPr="00AF058F">
        <w:rPr>
          <w:color w:val="000000" w:themeColor="text1"/>
          <w:highlight w:val="yellow"/>
        </w:rPr>
        <w:t>P</w:t>
      </w:r>
      <w:r w:rsidR="00AF058F" w:rsidRPr="00AF058F">
        <w:rPr>
          <w:color w:val="000000" w:themeColor="text1"/>
          <w:highlight w:val="yellow"/>
          <w:vertAlign w:val="subscript"/>
        </w:rPr>
        <w:t>GxE</w:t>
      </w:r>
      <w:proofErr w:type="spellEnd"/>
      <w:r w:rsidR="00AF058F" w:rsidRPr="00AF058F">
        <w:rPr>
          <w:color w:val="000000" w:themeColor="text1"/>
          <w:highlight w:val="yellow"/>
        </w:rPr>
        <w:t xml:space="preserve"> ≤ 5x10</w:t>
      </w:r>
      <w:r w:rsidR="00AF058F" w:rsidRPr="00AF058F">
        <w:rPr>
          <w:color w:val="000000" w:themeColor="text1"/>
          <w:highlight w:val="yellow"/>
          <w:vertAlign w:val="superscript"/>
        </w:rPr>
        <w:t>-</w:t>
      </w:r>
      <w:r w:rsidR="00AF058F" w:rsidRPr="00AF058F">
        <w:rPr>
          <w:color w:val="000000" w:themeColor="text1"/>
          <w:highlight w:val="yellow"/>
          <w:vertAlign w:val="superscript"/>
        </w:rPr>
        <w:t>8</w:t>
      </w:r>
      <w:r w:rsidR="006A3C1E">
        <w:rPr>
          <w:color w:val="000000" w:themeColor="text1"/>
        </w:rPr>
        <w:t>)</w:t>
      </w:r>
    </w:p>
    <w:p w14:paraId="3F53B9FF" w14:textId="77777777" w:rsidR="00CF7A41" w:rsidRDefault="00CF7A41" w:rsidP="00D644EE">
      <w:pPr>
        <w:pStyle w:val="Listenabsatz"/>
        <w:numPr>
          <w:ilvl w:val="2"/>
          <w:numId w:val="1"/>
        </w:numPr>
        <w:rPr>
          <w:color w:val="000000" w:themeColor="text1"/>
        </w:rPr>
      </w:pPr>
      <w:r w:rsidRPr="00CF7A41">
        <w:rPr>
          <w:color w:val="000000" w:themeColor="text1"/>
        </w:rPr>
        <w:t xml:space="preserve">2-step </w:t>
      </w:r>
      <w:proofErr w:type="spellStart"/>
      <w:r w:rsidRPr="00CF7A41">
        <w:rPr>
          <w:color w:val="000000" w:themeColor="text1"/>
        </w:rPr>
        <w:t>GxE</w:t>
      </w:r>
      <w:proofErr w:type="spellEnd"/>
      <w:r w:rsidRPr="00CF7A41">
        <w:rPr>
          <w:color w:val="000000" w:themeColor="text1"/>
        </w:rPr>
        <w:t xml:space="preserve">: </w:t>
      </w:r>
    </w:p>
    <w:p w14:paraId="4DF2EC0B" w14:textId="5B5613A3" w:rsidR="00CF7A41" w:rsidRDefault="00A36258" w:rsidP="00D644EE">
      <w:pPr>
        <w:pStyle w:val="Listenabsatz"/>
        <w:numPr>
          <w:ilvl w:val="3"/>
          <w:numId w:val="1"/>
        </w:numPr>
        <w:rPr>
          <w:color w:val="000000" w:themeColor="text1"/>
        </w:rPr>
      </w:pPr>
      <w:r w:rsidRPr="00CF7A41">
        <w:rPr>
          <w:color w:val="000000" w:themeColor="text1"/>
        </w:rPr>
        <w:t>S</w:t>
      </w:r>
      <w:r w:rsidR="00CF7A41" w:rsidRPr="00CF7A41">
        <w:rPr>
          <w:color w:val="000000" w:themeColor="text1"/>
        </w:rPr>
        <w:t>tep 1: Subset on 1df G (Model 2: P</w:t>
      </w:r>
      <w:r w:rsidR="00CF7A41" w:rsidRPr="00CF7A41">
        <w:rPr>
          <w:color w:val="000000" w:themeColor="text1"/>
          <w:vertAlign w:val="subscript"/>
        </w:rPr>
        <w:t>G</w:t>
      </w:r>
      <w:r w:rsidR="00CF7A41" w:rsidRPr="00CF7A41">
        <w:rPr>
          <w:color w:val="000000" w:themeColor="text1"/>
        </w:rPr>
        <w:t xml:space="preserve"> ≤ 10</w:t>
      </w:r>
      <w:r w:rsidR="00CF7A41" w:rsidRPr="00CF7A41">
        <w:rPr>
          <w:color w:val="000000" w:themeColor="text1"/>
          <w:vertAlign w:val="superscript"/>
        </w:rPr>
        <w:t>-5</w:t>
      </w:r>
      <w:r w:rsidR="00CF7A41" w:rsidRPr="00CF7A41">
        <w:rPr>
          <w:color w:val="000000" w:themeColor="text1"/>
        </w:rPr>
        <w:t xml:space="preserve">, </w:t>
      </w:r>
      <w:proofErr w:type="spellStart"/>
      <w:r w:rsidR="00CF7A41" w:rsidRPr="00CF7A41">
        <w:rPr>
          <w:color w:val="000000" w:themeColor="text1"/>
        </w:rPr>
        <w:t>m</w:t>
      </w:r>
      <w:r w:rsidR="00CF7A41" w:rsidRPr="00CF7A41">
        <w:rPr>
          <w:color w:val="000000" w:themeColor="text1"/>
          <w:vertAlign w:val="subscript"/>
        </w:rPr>
        <w:t>G</w:t>
      </w:r>
      <w:proofErr w:type="spellEnd"/>
      <w:r w:rsidR="00CF7A41" w:rsidRPr="00CF7A41">
        <w:rPr>
          <w:color w:val="000000" w:themeColor="text1"/>
          <w:vertAlign w:val="subscript"/>
        </w:rPr>
        <w:t xml:space="preserve"> </w:t>
      </w:r>
      <w:r w:rsidR="00CF7A41" w:rsidRPr="00CF7A41">
        <w:rPr>
          <w:color w:val="000000" w:themeColor="text1"/>
        </w:rPr>
        <w:t xml:space="preserve">variants) </w:t>
      </w:r>
    </w:p>
    <w:p w14:paraId="103C47AF" w14:textId="0FB03703" w:rsidR="006A3C1E" w:rsidRDefault="006A3C1E" w:rsidP="00D644EE">
      <w:pPr>
        <w:pStyle w:val="Listenabsatz"/>
        <w:numPr>
          <w:ilvl w:val="3"/>
          <w:numId w:val="1"/>
        </w:numPr>
        <w:rPr>
          <w:color w:val="000000" w:themeColor="text1"/>
        </w:rPr>
      </w:pPr>
      <w:r>
        <w:rPr>
          <w:color w:val="000000" w:themeColor="text1"/>
        </w:rPr>
        <w:t xml:space="preserve">Calculate 1df </w:t>
      </w:r>
      <w:proofErr w:type="spellStart"/>
      <w:r>
        <w:rPr>
          <w:color w:val="000000" w:themeColor="text1"/>
        </w:rPr>
        <w:t>GxE</w:t>
      </w:r>
      <w:proofErr w:type="spellEnd"/>
      <w:r>
        <w:rPr>
          <w:color w:val="000000" w:themeColor="text1"/>
        </w:rPr>
        <w:t xml:space="preserve"> </w:t>
      </w:r>
      <w:r w:rsidR="00F3701B">
        <w:rPr>
          <w:color w:val="000000" w:themeColor="text1"/>
        </w:rPr>
        <w:t xml:space="preserve">FDR </w:t>
      </w:r>
      <w:r>
        <w:rPr>
          <w:color w:val="000000" w:themeColor="text1"/>
        </w:rPr>
        <w:t xml:space="preserve">based on </w:t>
      </w:r>
      <w:proofErr w:type="spellStart"/>
      <w:r>
        <w:rPr>
          <w:color w:val="000000" w:themeColor="text1"/>
        </w:rPr>
        <w:t>m</w:t>
      </w:r>
      <w:r w:rsidRPr="006A3C1E">
        <w:rPr>
          <w:color w:val="000000" w:themeColor="text1"/>
          <w:vertAlign w:val="subscript"/>
        </w:rPr>
        <w:t>G</w:t>
      </w:r>
      <w:proofErr w:type="spellEnd"/>
      <w:r>
        <w:rPr>
          <w:color w:val="000000" w:themeColor="text1"/>
          <w:vertAlign w:val="subscript"/>
        </w:rPr>
        <w:t xml:space="preserve"> </w:t>
      </w:r>
      <w:r w:rsidRPr="006A3C1E">
        <w:rPr>
          <w:color w:val="000000" w:themeColor="text1"/>
        </w:rPr>
        <w:t>variants</w:t>
      </w:r>
      <w:r>
        <w:rPr>
          <w:color w:val="000000" w:themeColor="text1"/>
        </w:rPr>
        <w:t xml:space="preserve"> (</w:t>
      </w:r>
      <w:proofErr w:type="spellStart"/>
      <w:proofErr w:type="gramStart"/>
      <w:r>
        <w:rPr>
          <w:color w:val="000000" w:themeColor="text1"/>
        </w:rPr>
        <w:t>FDR</w:t>
      </w:r>
      <w:r w:rsidRPr="006A3C1E">
        <w:rPr>
          <w:color w:val="000000" w:themeColor="text1"/>
          <w:vertAlign w:val="subscript"/>
        </w:rPr>
        <w:t>GxE,mG</w:t>
      </w:r>
      <w:proofErr w:type="spellEnd"/>
      <w:proofErr w:type="gramEnd"/>
      <w:r>
        <w:rPr>
          <w:color w:val="000000" w:themeColor="text1"/>
        </w:rPr>
        <w:t>)</w:t>
      </w:r>
    </w:p>
    <w:p w14:paraId="5B476A85" w14:textId="2B9133DD" w:rsidR="00CF7A41" w:rsidRPr="00CF7A41" w:rsidRDefault="00CF7A41" w:rsidP="00D644EE">
      <w:pPr>
        <w:pStyle w:val="Listenabsatz"/>
        <w:numPr>
          <w:ilvl w:val="3"/>
          <w:numId w:val="1"/>
        </w:numPr>
        <w:rPr>
          <w:color w:val="000000" w:themeColor="text1"/>
        </w:rPr>
      </w:pPr>
      <w:r w:rsidRPr="00CF7A41">
        <w:rPr>
          <w:color w:val="000000" w:themeColor="text1"/>
        </w:rPr>
        <w:t xml:space="preserve">Step 2: Test for 1df </w:t>
      </w:r>
      <w:proofErr w:type="spellStart"/>
      <w:r w:rsidRPr="00CF7A41">
        <w:rPr>
          <w:color w:val="000000" w:themeColor="text1"/>
        </w:rPr>
        <w:t>GxE</w:t>
      </w:r>
      <w:proofErr w:type="spellEnd"/>
      <w:r w:rsidRPr="00CF7A41">
        <w:rPr>
          <w:color w:val="000000" w:themeColor="text1"/>
        </w:rPr>
        <w:t xml:space="preserve"> (Model 1: </w:t>
      </w:r>
      <w:proofErr w:type="spellStart"/>
      <w:r w:rsidRPr="00CF7A41">
        <w:rPr>
          <w:color w:val="000000" w:themeColor="text1"/>
        </w:rPr>
        <w:t>P</w:t>
      </w:r>
      <w:r w:rsidRPr="00CF7A41">
        <w:rPr>
          <w:color w:val="000000" w:themeColor="text1"/>
          <w:vertAlign w:val="subscript"/>
        </w:rPr>
        <w:t>GxE</w:t>
      </w:r>
      <w:proofErr w:type="spellEnd"/>
      <w:r w:rsidRPr="00CF7A41">
        <w:rPr>
          <w:color w:val="000000" w:themeColor="text1"/>
        </w:rPr>
        <w:t xml:space="preserve"> ≤ 0.05</w:t>
      </w:r>
      <w:proofErr w:type="gramStart"/>
      <w:r w:rsidRPr="00CF7A41">
        <w:rPr>
          <w:color w:val="000000" w:themeColor="text1"/>
        </w:rPr>
        <w:t>/[</w:t>
      </w:r>
      <w:proofErr w:type="gramEnd"/>
      <w:r w:rsidRPr="00CF7A41">
        <w:rPr>
          <w:color w:val="000000" w:themeColor="text1"/>
        </w:rPr>
        <w:t xml:space="preserve">effective number of tests by PCA on </w:t>
      </w:r>
      <w:proofErr w:type="spellStart"/>
      <w:r w:rsidRPr="00CF7A41">
        <w:rPr>
          <w:color w:val="000000" w:themeColor="text1"/>
        </w:rPr>
        <w:t>m</w:t>
      </w:r>
      <w:r w:rsidRPr="00CF7A41">
        <w:rPr>
          <w:color w:val="000000" w:themeColor="text1"/>
          <w:vertAlign w:val="subscript"/>
        </w:rPr>
        <w:t>G</w:t>
      </w:r>
      <w:proofErr w:type="spellEnd"/>
      <w:r w:rsidRPr="00CF7A41">
        <w:rPr>
          <w:color w:val="000000" w:themeColor="text1"/>
          <w:vertAlign w:val="subscript"/>
        </w:rPr>
        <w:t xml:space="preserve"> </w:t>
      </w:r>
      <w:r w:rsidRPr="00CF7A41">
        <w:rPr>
          <w:color w:val="000000" w:themeColor="text1"/>
        </w:rPr>
        <w:t>variants]</w:t>
      </w:r>
      <w:r w:rsidR="006A3C1E">
        <w:rPr>
          <w:color w:val="000000" w:themeColor="text1"/>
        </w:rPr>
        <w:t xml:space="preserve"> and </w:t>
      </w:r>
      <w:proofErr w:type="spellStart"/>
      <w:r w:rsidR="006A3C1E">
        <w:rPr>
          <w:color w:val="000000" w:themeColor="text1"/>
        </w:rPr>
        <w:t>FDR</w:t>
      </w:r>
      <w:r w:rsidR="006A3C1E" w:rsidRPr="006A3C1E">
        <w:rPr>
          <w:color w:val="000000" w:themeColor="text1"/>
          <w:vertAlign w:val="subscript"/>
        </w:rPr>
        <w:t>GxE,mG</w:t>
      </w:r>
      <w:proofErr w:type="spellEnd"/>
      <w:r w:rsidR="006A3C1E" w:rsidRPr="006A3C1E">
        <w:rPr>
          <w:color w:val="000000" w:themeColor="text1"/>
        </w:rPr>
        <w:t>&lt;0.05</w:t>
      </w:r>
      <w:r w:rsidRPr="00CF7A41">
        <w:rPr>
          <w:color w:val="000000" w:themeColor="text1"/>
        </w:rPr>
        <w:t>)</w:t>
      </w:r>
    </w:p>
    <w:p w14:paraId="5163CB25" w14:textId="2BCF447D" w:rsidR="00CF7A41" w:rsidRDefault="00CF7A41" w:rsidP="00D644EE">
      <w:pPr>
        <w:pStyle w:val="Listenabsatz"/>
        <w:numPr>
          <w:ilvl w:val="2"/>
          <w:numId w:val="1"/>
        </w:numPr>
        <w:rPr>
          <w:color w:val="000000" w:themeColor="text1"/>
        </w:rPr>
      </w:pPr>
      <w:r>
        <w:rPr>
          <w:color w:val="000000" w:themeColor="text1"/>
        </w:rPr>
        <w:t xml:space="preserve">Clump significant variants </w:t>
      </w:r>
      <w:r w:rsidR="00F3701B">
        <w:rPr>
          <w:color w:val="000000" w:themeColor="text1"/>
        </w:rPr>
        <w:t>(</w:t>
      </w:r>
      <w:r>
        <w:rPr>
          <w:color w:val="000000" w:themeColor="text1"/>
        </w:rPr>
        <w:t>d&gt;500kb</w:t>
      </w:r>
      <w:r w:rsidR="00F3701B">
        <w:rPr>
          <w:color w:val="000000" w:themeColor="text1"/>
        </w:rPr>
        <w:t xml:space="preserve">, </w:t>
      </w:r>
      <w:r>
        <w:rPr>
          <w:color w:val="000000" w:themeColor="text1"/>
        </w:rPr>
        <w:t>r</w:t>
      </w:r>
      <w:r w:rsidRPr="00BA6D3B">
        <w:rPr>
          <w:color w:val="000000" w:themeColor="text1"/>
          <w:vertAlign w:val="superscript"/>
        </w:rPr>
        <w:t>2</w:t>
      </w:r>
      <w:r>
        <w:rPr>
          <w:color w:val="000000" w:themeColor="text1"/>
        </w:rPr>
        <w:t>&lt;0.1</w:t>
      </w:r>
      <w:r w:rsidR="00F3701B">
        <w:rPr>
          <w:color w:val="000000" w:themeColor="text1"/>
        </w:rPr>
        <w:t>)</w:t>
      </w:r>
      <w:r>
        <w:rPr>
          <w:color w:val="000000" w:themeColor="text1"/>
        </w:rPr>
        <w:t xml:space="preserve"> </w:t>
      </w:r>
      <w:r w:rsidR="00F3701B">
        <w:rPr>
          <w:color w:val="000000" w:themeColor="text1"/>
        </w:rPr>
        <w:t>for</w:t>
      </w:r>
      <w:r>
        <w:rPr>
          <w:color w:val="000000" w:themeColor="text1"/>
        </w:rPr>
        <w:t xml:space="preserve"> independent locus lead variants</w:t>
      </w:r>
    </w:p>
    <w:p w14:paraId="4207C2B5" w14:textId="2FF6D2C1" w:rsidR="00F3701B" w:rsidRPr="004D6FED" w:rsidRDefault="00F3701B" w:rsidP="00D644EE">
      <w:pPr>
        <w:pStyle w:val="Listenabsatz"/>
        <w:numPr>
          <w:ilvl w:val="1"/>
          <w:numId w:val="1"/>
        </w:numPr>
        <w:rPr>
          <w:i/>
          <w:iCs/>
          <w:color w:val="1F4E79" w:themeColor="accent1" w:themeShade="80"/>
          <w:sz w:val="16"/>
          <w:szCs w:val="16"/>
        </w:rPr>
      </w:pPr>
      <w:r>
        <w:rPr>
          <w:iCs/>
        </w:rPr>
        <w:t>Test for j</w:t>
      </w:r>
      <w:r w:rsidRPr="004D6FED">
        <w:rPr>
          <w:iCs/>
        </w:rPr>
        <w:t>oint 2df</w:t>
      </w:r>
    </w:p>
    <w:p w14:paraId="7B7DA290" w14:textId="42953F85" w:rsidR="00F3701B" w:rsidRPr="00F3701B" w:rsidRDefault="00F3701B" w:rsidP="00D644EE">
      <w:pPr>
        <w:pStyle w:val="Listenabsatz"/>
        <w:numPr>
          <w:ilvl w:val="2"/>
          <w:numId w:val="1"/>
        </w:numPr>
        <w:rPr>
          <w:color w:val="000000" w:themeColor="text1"/>
        </w:rPr>
      </w:pPr>
      <w:r>
        <w:rPr>
          <w:color w:val="000000" w:themeColor="text1"/>
        </w:rPr>
        <w:t xml:space="preserve">Calculate 2df joint FDR based on all variants </w:t>
      </w:r>
      <w:proofErr w:type="gramStart"/>
      <w:r>
        <w:rPr>
          <w:color w:val="000000" w:themeColor="text1"/>
        </w:rPr>
        <w:t>genome-wide</w:t>
      </w:r>
      <w:proofErr w:type="gramEnd"/>
      <w:r>
        <w:rPr>
          <w:color w:val="000000" w:themeColor="text1"/>
        </w:rPr>
        <w:t xml:space="preserve"> (FDR</w:t>
      </w:r>
      <w:r>
        <w:rPr>
          <w:color w:val="000000" w:themeColor="text1"/>
          <w:vertAlign w:val="subscript"/>
        </w:rPr>
        <w:t>2df</w:t>
      </w:r>
      <w:r>
        <w:rPr>
          <w:color w:val="000000" w:themeColor="text1"/>
        </w:rPr>
        <w:t>)</w:t>
      </w:r>
    </w:p>
    <w:p w14:paraId="3EC57445" w14:textId="335FCD3B" w:rsidR="00F3701B" w:rsidRPr="00F3701B" w:rsidRDefault="00F3701B" w:rsidP="00D644EE">
      <w:pPr>
        <w:pStyle w:val="Listenabsatz"/>
        <w:numPr>
          <w:ilvl w:val="2"/>
          <w:numId w:val="1"/>
        </w:numPr>
        <w:rPr>
          <w:color w:val="000000" w:themeColor="text1"/>
        </w:rPr>
      </w:pPr>
      <w:r w:rsidRPr="00A36258">
        <w:rPr>
          <w:color w:val="000000" w:themeColor="text1"/>
        </w:rPr>
        <w:t xml:space="preserve">Test for 1df </w:t>
      </w:r>
      <w:proofErr w:type="spellStart"/>
      <w:r w:rsidRPr="00A36258">
        <w:rPr>
          <w:color w:val="000000" w:themeColor="text1"/>
        </w:rPr>
        <w:t>GxE</w:t>
      </w:r>
      <w:proofErr w:type="spellEnd"/>
      <w:r w:rsidRPr="00A36258">
        <w:rPr>
          <w:color w:val="000000" w:themeColor="text1"/>
        </w:rPr>
        <w:t xml:space="preserve"> (Model 1: </w:t>
      </w:r>
      <w:r w:rsidRPr="00AF058F">
        <w:rPr>
          <w:strike/>
          <w:color w:val="000000" w:themeColor="text1"/>
          <w:highlight w:val="yellow"/>
        </w:rPr>
        <w:t>P</w:t>
      </w:r>
      <w:r w:rsidRPr="00AF058F">
        <w:rPr>
          <w:strike/>
          <w:color w:val="000000" w:themeColor="text1"/>
          <w:highlight w:val="yellow"/>
          <w:vertAlign w:val="subscript"/>
        </w:rPr>
        <w:t>2df</w:t>
      </w:r>
      <w:r w:rsidRPr="00AF058F">
        <w:rPr>
          <w:strike/>
          <w:color w:val="000000" w:themeColor="text1"/>
          <w:highlight w:val="yellow"/>
        </w:rPr>
        <w:t xml:space="preserve"> ≤ 5x10</w:t>
      </w:r>
      <w:r w:rsidRPr="00AF058F">
        <w:rPr>
          <w:strike/>
          <w:color w:val="000000" w:themeColor="text1"/>
          <w:highlight w:val="yellow"/>
          <w:vertAlign w:val="superscript"/>
        </w:rPr>
        <w:t>-9</w:t>
      </w:r>
      <w:r w:rsidRPr="00AF058F">
        <w:rPr>
          <w:strike/>
          <w:color w:val="000000" w:themeColor="text1"/>
          <w:highlight w:val="yellow"/>
        </w:rPr>
        <w:t xml:space="preserve"> and FDR</w:t>
      </w:r>
      <w:r w:rsidRPr="00AF058F">
        <w:rPr>
          <w:strike/>
          <w:color w:val="000000" w:themeColor="text1"/>
          <w:highlight w:val="yellow"/>
          <w:vertAlign w:val="subscript"/>
        </w:rPr>
        <w:t>2df</w:t>
      </w:r>
      <w:r w:rsidRPr="00AF058F">
        <w:rPr>
          <w:strike/>
          <w:color w:val="000000" w:themeColor="text1"/>
          <w:highlight w:val="yellow"/>
        </w:rPr>
        <w:t xml:space="preserve"> &lt;0.05</w:t>
      </w:r>
      <w:r w:rsidR="00AF058F" w:rsidRPr="00AF058F">
        <w:rPr>
          <w:color w:val="000000" w:themeColor="text1"/>
          <w:highlight w:val="yellow"/>
        </w:rPr>
        <w:t xml:space="preserve"> </w:t>
      </w:r>
      <w:r w:rsidR="00AF058F" w:rsidRPr="00AF058F">
        <w:rPr>
          <w:color w:val="000000" w:themeColor="text1"/>
          <w:highlight w:val="yellow"/>
        </w:rPr>
        <w:t>P</w:t>
      </w:r>
      <w:r w:rsidR="00AF058F" w:rsidRPr="00AF058F">
        <w:rPr>
          <w:color w:val="000000" w:themeColor="text1"/>
          <w:highlight w:val="yellow"/>
          <w:vertAlign w:val="subscript"/>
        </w:rPr>
        <w:t>2df</w:t>
      </w:r>
      <w:r w:rsidR="00AF058F" w:rsidRPr="00AF058F">
        <w:rPr>
          <w:color w:val="000000" w:themeColor="text1"/>
          <w:highlight w:val="yellow"/>
        </w:rPr>
        <w:t xml:space="preserve"> ≤ 5x10</w:t>
      </w:r>
      <w:r w:rsidR="00AF058F" w:rsidRPr="00AF058F">
        <w:rPr>
          <w:color w:val="000000" w:themeColor="text1"/>
          <w:highlight w:val="yellow"/>
          <w:vertAlign w:val="superscript"/>
        </w:rPr>
        <w:t>-</w:t>
      </w:r>
      <w:r w:rsidR="00AF058F" w:rsidRPr="00AF058F">
        <w:rPr>
          <w:color w:val="000000" w:themeColor="text1"/>
          <w:highlight w:val="yellow"/>
          <w:vertAlign w:val="superscript"/>
        </w:rPr>
        <w:t>8</w:t>
      </w:r>
      <w:r>
        <w:rPr>
          <w:color w:val="000000" w:themeColor="text1"/>
        </w:rPr>
        <w:t>)</w:t>
      </w:r>
    </w:p>
    <w:p w14:paraId="22155CEA" w14:textId="4238EBBF" w:rsidR="00AE7731" w:rsidRPr="00DF1275" w:rsidRDefault="00F3701B" w:rsidP="00D644EE">
      <w:pPr>
        <w:pStyle w:val="Listenabsatz"/>
        <w:numPr>
          <w:ilvl w:val="2"/>
          <w:numId w:val="1"/>
        </w:numPr>
      </w:pPr>
      <w:r>
        <w:rPr>
          <w:color w:val="000000" w:themeColor="text1"/>
        </w:rPr>
        <w:t>Clump significant variants (d&gt;500kb, r</w:t>
      </w:r>
      <w:r w:rsidRPr="00BA6D3B">
        <w:rPr>
          <w:color w:val="000000" w:themeColor="text1"/>
          <w:vertAlign w:val="superscript"/>
        </w:rPr>
        <w:t>2</w:t>
      </w:r>
      <w:r>
        <w:rPr>
          <w:color w:val="000000" w:themeColor="text1"/>
        </w:rPr>
        <w:t>&lt;0.1) for independent locus lead variants</w:t>
      </w:r>
    </w:p>
    <w:p w14:paraId="1CB8E51E" w14:textId="77777777" w:rsidR="00DF1275" w:rsidRPr="00DF1275" w:rsidRDefault="00DF1275" w:rsidP="00DF1275">
      <w:pPr>
        <w:pStyle w:val="Listenabsatz"/>
        <w:ind w:left="2160"/>
      </w:pPr>
    </w:p>
    <w:p w14:paraId="58F5B38F" w14:textId="39A8B482" w:rsidR="00DF1275" w:rsidRPr="0079474D" w:rsidRDefault="00DF1275" w:rsidP="008134C8">
      <w:pPr>
        <w:pStyle w:val="Listenabsatz"/>
        <w:numPr>
          <w:ilvl w:val="0"/>
          <w:numId w:val="1"/>
        </w:numPr>
        <w:rPr>
          <w:color w:val="000000" w:themeColor="text1"/>
        </w:rPr>
      </w:pPr>
      <w:r>
        <w:rPr>
          <w:color w:val="000000" w:themeColor="text1"/>
        </w:rPr>
        <w:t>Combined-</w:t>
      </w:r>
      <w:proofErr w:type="gramStart"/>
      <w:r>
        <w:rPr>
          <w:color w:val="000000" w:themeColor="text1"/>
        </w:rPr>
        <w:t>meta approach</w:t>
      </w:r>
      <w:proofErr w:type="gramEnd"/>
      <w:r>
        <w:rPr>
          <w:color w:val="000000" w:themeColor="text1"/>
        </w:rPr>
        <w:t xml:space="preserve"> </w:t>
      </w:r>
      <w:r>
        <w:t xml:space="preserve">on </w:t>
      </w:r>
      <w:r w:rsidR="00B820BA">
        <w:rPr>
          <w:u w:val="single"/>
        </w:rPr>
        <w:t>cross</w:t>
      </w:r>
      <w:r w:rsidRPr="00C57D61">
        <w:rPr>
          <w:u w:val="single"/>
        </w:rPr>
        <w:t>-</w:t>
      </w:r>
      <w:r w:rsidR="00B820BA">
        <w:rPr>
          <w:u w:val="single"/>
        </w:rPr>
        <w:t>population</w:t>
      </w:r>
      <w:r>
        <w:t xml:space="preserve"> </w:t>
      </w:r>
      <w:r w:rsidR="00D644EE">
        <w:t xml:space="preserve">S1plusS2 </w:t>
      </w:r>
      <w:r>
        <w:t xml:space="preserve">metal results (from </w:t>
      </w:r>
      <w:r w:rsidR="00D644EE">
        <w:t>6</w:t>
      </w:r>
      <w:r>
        <w:t>.)</w:t>
      </w:r>
    </w:p>
    <w:p w14:paraId="64F666C3" w14:textId="282945C9" w:rsidR="00DF1275" w:rsidRPr="00C57D61" w:rsidRDefault="00DF1275" w:rsidP="00D644EE">
      <w:pPr>
        <w:pStyle w:val="Listenabsatz"/>
        <w:numPr>
          <w:ilvl w:val="1"/>
          <w:numId w:val="1"/>
        </w:numPr>
        <w:rPr>
          <w:color w:val="000000" w:themeColor="text1"/>
        </w:rPr>
      </w:pPr>
      <w:r>
        <w:t xml:space="preserve">Example input: “S1plus2_ALL_2GC” </w:t>
      </w:r>
    </w:p>
    <w:p w14:paraId="5BD143AB" w14:textId="403D2BBD" w:rsidR="00DF1275" w:rsidRDefault="00DF1275" w:rsidP="00D644EE">
      <w:pPr>
        <w:pStyle w:val="Listenabsatz"/>
        <w:numPr>
          <w:ilvl w:val="1"/>
          <w:numId w:val="1"/>
        </w:numPr>
      </w:pPr>
      <w:r>
        <w:t xml:space="preserve">Do NOT run combined-meta if total sample size </w:t>
      </w:r>
      <w:r w:rsidR="00D644EE">
        <w:t>was</w:t>
      </w:r>
      <w:r>
        <w:t xml:space="preserve"> &lt;20,000 and number of studies is &lt;3. Lower thresholds are subject to the project teams.  </w:t>
      </w:r>
    </w:p>
    <w:p w14:paraId="061DE87E" w14:textId="7B481BF4" w:rsidR="00DF1275" w:rsidRDefault="00DF1275" w:rsidP="00D644EE">
      <w:pPr>
        <w:pStyle w:val="Listenabsatz"/>
        <w:numPr>
          <w:ilvl w:val="1"/>
          <w:numId w:val="1"/>
        </w:numPr>
      </w:pPr>
      <w:r>
        <w:t xml:space="preserve">Repeat steps e.-g. from </w:t>
      </w:r>
      <w:r w:rsidR="000A479F">
        <w:t>9</w:t>
      </w:r>
      <w:r>
        <w:t xml:space="preserve">. </w:t>
      </w:r>
      <w:r w:rsidR="000A479F">
        <w:t>but omit the GC correction (!!!)</w:t>
      </w:r>
    </w:p>
    <w:p w14:paraId="6D7913B3" w14:textId="2EE02317" w:rsidR="00DF1275" w:rsidRDefault="0071348B" w:rsidP="00D644EE">
      <w:pPr>
        <w:pStyle w:val="Listenabsatz"/>
        <w:numPr>
          <w:ilvl w:val="1"/>
          <w:numId w:val="1"/>
        </w:numPr>
      </w:pPr>
      <w:r>
        <w:t>EasyStrata2 scripts “combmeta</w:t>
      </w:r>
      <w:r w:rsidRPr="002E49A6">
        <w:t>_</w:t>
      </w:r>
      <w:r>
        <w:t>crosspop</w:t>
      </w:r>
      <w:r w:rsidR="00DF35FA">
        <w:t>_joint2df</w:t>
      </w:r>
      <w:r w:rsidRPr="002E49A6">
        <w:t>.ecf</w:t>
      </w:r>
      <w:r>
        <w:t>” and “</w:t>
      </w:r>
      <w:proofErr w:type="spellStart"/>
      <w:r>
        <w:t>combmeta</w:t>
      </w:r>
      <w:proofErr w:type="spellEnd"/>
      <w:r w:rsidRPr="002E49A6">
        <w:t>_</w:t>
      </w:r>
      <w:r w:rsidRPr="0071348B">
        <w:t xml:space="preserve"> </w:t>
      </w:r>
      <w:r>
        <w:t>crosspop</w:t>
      </w:r>
      <w:r w:rsidR="00DF35FA">
        <w:t>_int1df</w:t>
      </w:r>
      <w:r w:rsidRPr="002E49A6">
        <w:t>.ecf</w:t>
      </w:r>
      <w:r>
        <w:t>” implement the approach.</w:t>
      </w:r>
    </w:p>
    <w:p w14:paraId="27D50199" w14:textId="1448ED14" w:rsidR="00E849A5" w:rsidRDefault="00E849A5" w:rsidP="00074A88">
      <w:pPr>
        <w:pStyle w:val="berschrift2"/>
      </w:pPr>
      <w:r>
        <w:t>Post-</w:t>
      </w:r>
      <w:r w:rsidR="00F3701B">
        <w:t>Approaches</w:t>
      </w:r>
      <w:r>
        <w:t xml:space="preserve"> Processing</w:t>
      </w:r>
    </w:p>
    <w:p w14:paraId="2439C5C6" w14:textId="302F59D3" w:rsidR="00E849A5" w:rsidRDefault="00E849A5" w:rsidP="008134C8">
      <w:pPr>
        <w:pStyle w:val="Listenabsatz"/>
        <w:numPr>
          <w:ilvl w:val="0"/>
          <w:numId w:val="1"/>
        </w:numPr>
      </w:pPr>
      <w:r>
        <w:t xml:space="preserve">Filtering on # of studies included (using </w:t>
      </w:r>
      <w:proofErr w:type="spellStart"/>
      <w:r>
        <w:t>hetdf</w:t>
      </w:r>
      <w:proofErr w:type="spellEnd"/>
      <w:r>
        <w:t xml:space="preserve"> column from the METAL output file)</w:t>
      </w:r>
    </w:p>
    <w:p w14:paraId="2395C7CD" w14:textId="2A06429F" w:rsidR="00E849A5" w:rsidRDefault="00E849A5" w:rsidP="00E479D1">
      <w:pPr>
        <w:pStyle w:val="Listenabsatz"/>
        <w:numPr>
          <w:ilvl w:val="1"/>
          <w:numId w:val="11"/>
        </w:numPr>
        <w:ind w:left="1080"/>
      </w:pPr>
      <w:r>
        <w:t xml:space="preserve">Further discussion needed. Phase I: 3 studies (though lower for some </w:t>
      </w:r>
      <w:r w:rsidR="00A143AC">
        <w:t>population</w:t>
      </w:r>
      <w:r>
        <w:t xml:space="preserve"> groups with few studies total)</w:t>
      </w:r>
    </w:p>
    <w:p w14:paraId="7AA225AF" w14:textId="4BE14CBB" w:rsidR="00E849A5" w:rsidRDefault="00E849A5" w:rsidP="00E479D1">
      <w:pPr>
        <w:pStyle w:val="Listenabsatz"/>
        <w:numPr>
          <w:ilvl w:val="1"/>
          <w:numId w:val="11"/>
        </w:numPr>
        <w:ind w:left="1080"/>
      </w:pPr>
      <w:r>
        <w:t xml:space="preserve">Note: </w:t>
      </w:r>
      <w:proofErr w:type="spellStart"/>
      <w:r>
        <w:t>HetDf</w:t>
      </w:r>
      <w:proofErr w:type="spellEnd"/>
      <w:r>
        <w:t xml:space="preserve"> should be 1 larger than the # of studies filter</w:t>
      </w:r>
      <w:r w:rsidR="001E69C8">
        <w:t xml:space="preserve"> </w:t>
      </w:r>
      <w:r>
        <w:t>for</w:t>
      </w:r>
      <w:r w:rsidR="001E69C8">
        <w:t xml:space="preserve"> 1df and main effect models, 2 larger than the # of studies filter for 2df studies</w:t>
      </w:r>
    </w:p>
    <w:p w14:paraId="2AB4633A" w14:textId="7B9CE269" w:rsidR="001E69C8" w:rsidRDefault="001E69C8" w:rsidP="00E479D1">
      <w:pPr>
        <w:pStyle w:val="Listenabsatz"/>
        <w:numPr>
          <w:ilvl w:val="2"/>
          <w:numId w:val="11"/>
        </w:numPr>
        <w:ind w:left="1800"/>
      </w:pPr>
      <w:r>
        <w:t xml:space="preserve">Can also add an </w:t>
      </w:r>
      <w:proofErr w:type="spellStart"/>
      <w:r>
        <w:t>N_Cohort</w:t>
      </w:r>
      <w:proofErr w:type="spellEnd"/>
      <w:r>
        <w:t xml:space="preserve"> column to the files by counting non-? Characters in the Direction column of metal output.</w:t>
      </w:r>
    </w:p>
    <w:p w14:paraId="0594792A" w14:textId="4911BA10" w:rsidR="00E849A5" w:rsidRDefault="00E849A5" w:rsidP="008134C8">
      <w:pPr>
        <w:pStyle w:val="Listenabsatz"/>
        <w:numPr>
          <w:ilvl w:val="0"/>
          <w:numId w:val="1"/>
        </w:numPr>
      </w:pPr>
      <w:r>
        <w:t>Filtering on sample size</w:t>
      </w:r>
    </w:p>
    <w:p w14:paraId="4757B925" w14:textId="77777777" w:rsidR="00151E2F" w:rsidRDefault="00151E2F" w:rsidP="00E479D1">
      <w:pPr>
        <w:pStyle w:val="Listenabsatz"/>
        <w:numPr>
          <w:ilvl w:val="1"/>
          <w:numId w:val="11"/>
        </w:numPr>
        <w:ind w:left="1080"/>
      </w:pPr>
      <w:r>
        <w:t xml:space="preserve">Bi-directional analyses: N </w:t>
      </w:r>
      <w:r>
        <w:rPr>
          <w:rFonts w:cstheme="minorHAnsi"/>
        </w:rPr>
        <w:t>≥</w:t>
      </w:r>
      <w:r>
        <w:t xml:space="preserve"> 20,000 in S1 and S2</w:t>
      </w:r>
    </w:p>
    <w:p w14:paraId="458C71FB" w14:textId="77777777" w:rsidR="00151E2F" w:rsidRDefault="00151E2F" w:rsidP="00E479D1">
      <w:pPr>
        <w:pStyle w:val="Listenabsatz"/>
        <w:numPr>
          <w:ilvl w:val="1"/>
          <w:numId w:val="11"/>
        </w:numPr>
        <w:ind w:left="1080"/>
      </w:pPr>
      <w:r>
        <w:t xml:space="preserve">Combined analyses: number of studies </w:t>
      </w:r>
      <w:r>
        <w:rPr>
          <w:rFonts w:cstheme="minorHAnsi"/>
        </w:rPr>
        <w:t>≥</w:t>
      </w:r>
      <w:r>
        <w:t xml:space="preserve"> 3 OR N </w:t>
      </w:r>
      <w:r>
        <w:rPr>
          <w:rFonts w:cstheme="minorHAnsi"/>
        </w:rPr>
        <w:t>≥</w:t>
      </w:r>
      <w:r>
        <w:t xml:space="preserve"> 20,000</w:t>
      </w:r>
    </w:p>
    <w:p w14:paraId="481BCBA8" w14:textId="3A63804F" w:rsidR="00E849A5" w:rsidRDefault="00151E2F" w:rsidP="00E479D1">
      <w:pPr>
        <w:pStyle w:val="Listenabsatz"/>
        <w:numPr>
          <w:ilvl w:val="1"/>
          <w:numId w:val="11"/>
        </w:numPr>
        <w:ind w:left="1080"/>
      </w:pPr>
      <w:r>
        <w:t xml:space="preserve">Lower thresholds for </w:t>
      </w:r>
      <w:r w:rsidR="00A143AC">
        <w:t xml:space="preserve">population </w:t>
      </w:r>
      <w:r>
        <w:t>groups with a small number of contributing studies to be set at the project team’s discretion.</w:t>
      </w:r>
    </w:p>
    <w:p w14:paraId="5621F3B9" w14:textId="540A059D" w:rsidR="00E849A5" w:rsidRDefault="00E849A5" w:rsidP="008134C8">
      <w:pPr>
        <w:pStyle w:val="Listenabsatz"/>
        <w:numPr>
          <w:ilvl w:val="0"/>
          <w:numId w:val="1"/>
        </w:numPr>
      </w:pPr>
      <w:r>
        <w:t>Separating known from novel loci</w:t>
      </w:r>
    </w:p>
    <w:p w14:paraId="1F864D9A" w14:textId="4E3C7E0B" w:rsidR="00E849A5" w:rsidRDefault="00E849A5" w:rsidP="00E479D1">
      <w:pPr>
        <w:pStyle w:val="Listenabsatz"/>
        <w:numPr>
          <w:ilvl w:val="1"/>
          <w:numId w:val="11"/>
        </w:numPr>
        <w:ind w:left="1080"/>
      </w:pPr>
      <w:proofErr w:type="spellStart"/>
      <w:r>
        <w:t>EasyStrata</w:t>
      </w:r>
      <w:proofErr w:type="spellEnd"/>
      <w:r>
        <w:t xml:space="preserve"> can read in a known loci list and produce Manhattan plots with those colored differently and QQ plots with and without those loci</w:t>
      </w:r>
    </w:p>
    <w:p w14:paraId="01BC4F94" w14:textId="7D47748C" w:rsidR="00E849A5" w:rsidRDefault="00D40C8A" w:rsidP="00E479D1">
      <w:pPr>
        <w:pStyle w:val="Listenabsatz"/>
        <w:numPr>
          <w:ilvl w:val="1"/>
          <w:numId w:val="11"/>
        </w:numPr>
        <w:ind w:left="1080"/>
      </w:pPr>
      <w:r>
        <w:t>d&gt;</w:t>
      </w:r>
      <w:r w:rsidR="00577B9B">
        <w:t>500 kb</w:t>
      </w:r>
      <w:r w:rsidR="0090513B">
        <w:t xml:space="preserve"> </w:t>
      </w:r>
      <w:r>
        <w:t>or</w:t>
      </w:r>
      <w:r w:rsidR="0090513B">
        <w:t xml:space="preserve"> r2</w:t>
      </w:r>
      <w:r>
        <w:t>&lt;0.1</w:t>
      </w:r>
      <w:r w:rsidR="00577B9B">
        <w:t xml:space="preserve"> </w:t>
      </w:r>
      <w:r>
        <w:t xml:space="preserve">to </w:t>
      </w:r>
      <w:r w:rsidR="00577B9B">
        <w:t>known loci previously used to determine whether variants are “known” or “novel”.</w:t>
      </w:r>
    </w:p>
    <w:p w14:paraId="439F6E48" w14:textId="5CF05AFC" w:rsidR="00151E2F" w:rsidRDefault="00151E2F" w:rsidP="00E479D1">
      <w:pPr>
        <w:pStyle w:val="Listenabsatz"/>
        <w:numPr>
          <w:ilvl w:val="2"/>
          <w:numId w:val="11"/>
        </w:numPr>
        <w:ind w:left="1800"/>
      </w:pPr>
      <w:proofErr w:type="spellStart"/>
      <w:r>
        <w:t>EasyStrata</w:t>
      </w:r>
      <w:proofErr w:type="spellEnd"/>
      <w:r>
        <w:t xml:space="preserve"> can group based on distance </w:t>
      </w:r>
      <w:r w:rsidR="00F17667">
        <w:t xml:space="preserve">and LD </w:t>
      </w:r>
      <w:r>
        <w:t>using INDEP function</w:t>
      </w:r>
    </w:p>
    <w:p w14:paraId="624683CE" w14:textId="50F5B89F" w:rsidR="001E69C8" w:rsidRDefault="00577B9B" w:rsidP="00E479D1">
      <w:pPr>
        <w:pStyle w:val="Listenabsatz"/>
        <w:numPr>
          <w:ilvl w:val="1"/>
          <w:numId w:val="11"/>
        </w:numPr>
        <w:ind w:left="1080"/>
      </w:pPr>
      <w:r>
        <w:t>LD-based clumping</w:t>
      </w:r>
    </w:p>
    <w:p w14:paraId="7DB8799C" w14:textId="20B0CA50" w:rsidR="00F2483E" w:rsidRDefault="00F2483E" w:rsidP="00F2483E"/>
    <w:p w14:paraId="394E1B3B" w14:textId="5B2D147F" w:rsidR="00F2483E" w:rsidRPr="00F113A3" w:rsidRDefault="00F113A3" w:rsidP="00F113A3">
      <w:pPr>
        <w:pStyle w:val="berschrift1"/>
      </w:pPr>
      <w:r>
        <w:t>Supplementary Material</w:t>
      </w:r>
    </w:p>
    <w:p w14:paraId="073C75EC" w14:textId="351A2FFD" w:rsidR="00F113A3" w:rsidRDefault="00BF70CE" w:rsidP="00166418">
      <w:pPr>
        <w:pStyle w:val="berschrift2"/>
      </w:pPr>
      <w:r w:rsidRPr="00F113A3">
        <w:t>Supplementary Table 1</w:t>
      </w:r>
      <w:r w:rsidR="00004160" w:rsidRPr="00F113A3">
        <w:t xml:space="preserve">. </w:t>
      </w:r>
      <w:r w:rsidRPr="00F113A3">
        <w:t>Overview on EasyStrata2 scripts.</w:t>
      </w:r>
      <w:r>
        <w:t xml:space="preserve"> </w:t>
      </w:r>
    </w:p>
    <w:p w14:paraId="6C0AD2D4" w14:textId="3BFA2A7B" w:rsidR="00004160" w:rsidRPr="0048483D" w:rsidRDefault="00004160" w:rsidP="0048483D">
      <w:pPr>
        <w:jc w:val="both"/>
        <w:rPr>
          <w:b/>
        </w:rPr>
      </w:pPr>
      <w:r w:rsidRPr="00004160">
        <w:t xml:space="preserve">The </w:t>
      </w:r>
      <w:r>
        <w:t xml:space="preserve">table shows an overview on the eight EasyStrata2 scripts grouped by approach, </w:t>
      </w:r>
      <w:proofErr w:type="gramStart"/>
      <w:r>
        <w:t>population</w:t>
      </w:r>
      <w:proofErr w:type="gramEnd"/>
      <w:r>
        <w:t xml:space="preserve"> and test. Any population-specific </w:t>
      </w:r>
      <w:r w:rsidR="000D3060">
        <w:t xml:space="preserve">metal results as </w:t>
      </w:r>
      <w:r>
        <w:t xml:space="preserve">input </w:t>
      </w:r>
      <w:r w:rsidR="000D3060">
        <w:t xml:space="preserve">are </w:t>
      </w:r>
      <w:r>
        <w:t xml:space="preserve">expected to be single-GC corrected (i.e., study-level GC corrected) and any cross-population </w:t>
      </w:r>
      <w:r w:rsidR="000D3060">
        <w:t xml:space="preserve">metal results as </w:t>
      </w:r>
      <w:r>
        <w:t xml:space="preserve">input </w:t>
      </w:r>
      <w:r w:rsidR="000D3060">
        <w:t xml:space="preserve">are </w:t>
      </w:r>
      <w:r>
        <w:t>expected to be double-GC corrected (i.e., study- and ancestry-level GC corrected). Each script can be run directly on the metal results and will produce lists of significant independent region lead variants (d&gt;500kb</w:t>
      </w:r>
      <w:r w:rsidR="00903FF7">
        <w:t>, see output file indicated by “*.</w:t>
      </w:r>
      <w:r w:rsidR="00903FF7" w:rsidRPr="00903FF7">
        <w:t>indep.regionleads.txt</w:t>
      </w:r>
      <w:r w:rsidR="00903FF7">
        <w:t>”</w:t>
      </w:r>
      <w:r>
        <w:t>) as wel</w:t>
      </w:r>
      <w:r w:rsidR="00903FF7">
        <w:t>l as independent index variants (r2&lt;0.1 within regions, see output file indicated by “*.</w:t>
      </w:r>
      <w:r w:rsidR="00903FF7" w:rsidRPr="00903FF7">
        <w:t>indep.</w:t>
      </w:r>
      <w:r w:rsidR="00903FF7">
        <w:t>locus</w:t>
      </w:r>
      <w:r w:rsidR="00903FF7" w:rsidRPr="00903FF7">
        <w:t>leads.txt</w:t>
      </w:r>
      <w:r w:rsidR="00903FF7">
        <w:t xml:space="preserve">”). </w:t>
      </w:r>
    </w:p>
    <w:tbl>
      <w:tblPr>
        <w:tblStyle w:val="Tabellenraster"/>
        <w:tblW w:w="5455" w:type="pct"/>
        <w:tblLook w:val="04A0" w:firstRow="1" w:lastRow="0" w:firstColumn="1" w:lastColumn="0" w:noHBand="0" w:noVBand="1"/>
      </w:tblPr>
      <w:tblGrid>
        <w:gridCol w:w="1551"/>
        <w:gridCol w:w="1883"/>
        <w:gridCol w:w="928"/>
        <w:gridCol w:w="3291"/>
        <w:gridCol w:w="2548"/>
      </w:tblGrid>
      <w:tr w:rsidR="00004160" w:rsidRPr="00F2483E" w14:paraId="3CF6721E" w14:textId="20997FD2" w:rsidTr="00004160">
        <w:trPr>
          <w:trHeight w:val="277"/>
        </w:trPr>
        <w:tc>
          <w:tcPr>
            <w:tcW w:w="760" w:type="pct"/>
          </w:tcPr>
          <w:p w14:paraId="094334EC" w14:textId="70AF8F35" w:rsidR="00F2483E" w:rsidRPr="00004160" w:rsidRDefault="00F2483E" w:rsidP="00F2483E">
            <w:pPr>
              <w:rPr>
                <w:b/>
                <w:bCs/>
                <w:sz w:val="20"/>
                <w:szCs w:val="20"/>
              </w:rPr>
            </w:pPr>
            <w:r w:rsidRPr="00004160">
              <w:rPr>
                <w:b/>
                <w:bCs/>
                <w:sz w:val="20"/>
                <w:szCs w:val="20"/>
              </w:rPr>
              <w:t>Approach</w:t>
            </w:r>
          </w:p>
        </w:tc>
        <w:tc>
          <w:tcPr>
            <w:tcW w:w="923" w:type="pct"/>
          </w:tcPr>
          <w:p w14:paraId="7802C35C" w14:textId="302407C3" w:rsidR="00F2483E" w:rsidRPr="00004160" w:rsidRDefault="00F2483E" w:rsidP="00F2483E">
            <w:pPr>
              <w:rPr>
                <w:b/>
                <w:bCs/>
                <w:sz w:val="20"/>
                <w:szCs w:val="20"/>
              </w:rPr>
            </w:pPr>
            <w:r w:rsidRPr="00004160">
              <w:rPr>
                <w:b/>
                <w:bCs/>
                <w:sz w:val="20"/>
                <w:szCs w:val="20"/>
              </w:rPr>
              <w:t>Population</w:t>
            </w:r>
          </w:p>
        </w:tc>
        <w:tc>
          <w:tcPr>
            <w:tcW w:w="455" w:type="pct"/>
          </w:tcPr>
          <w:p w14:paraId="1805EC04" w14:textId="283AEF80" w:rsidR="00F2483E" w:rsidRPr="00004160" w:rsidRDefault="00F2483E" w:rsidP="00F2483E">
            <w:pPr>
              <w:rPr>
                <w:b/>
                <w:bCs/>
                <w:sz w:val="20"/>
                <w:szCs w:val="20"/>
              </w:rPr>
            </w:pPr>
            <w:r w:rsidRPr="00004160">
              <w:rPr>
                <w:b/>
                <w:bCs/>
                <w:sz w:val="20"/>
                <w:szCs w:val="20"/>
              </w:rPr>
              <w:t>Test</w:t>
            </w:r>
          </w:p>
        </w:tc>
        <w:tc>
          <w:tcPr>
            <w:tcW w:w="1613" w:type="pct"/>
          </w:tcPr>
          <w:p w14:paraId="710B6F90" w14:textId="76417E92" w:rsidR="00F2483E" w:rsidRPr="00004160" w:rsidRDefault="00F2483E" w:rsidP="00F2483E">
            <w:pPr>
              <w:rPr>
                <w:b/>
                <w:bCs/>
                <w:sz w:val="20"/>
                <w:szCs w:val="20"/>
              </w:rPr>
            </w:pPr>
            <w:r w:rsidRPr="00004160">
              <w:rPr>
                <w:b/>
                <w:bCs/>
                <w:sz w:val="20"/>
                <w:szCs w:val="20"/>
              </w:rPr>
              <w:t>Script name</w:t>
            </w:r>
          </w:p>
        </w:tc>
        <w:tc>
          <w:tcPr>
            <w:tcW w:w="1249" w:type="pct"/>
          </w:tcPr>
          <w:p w14:paraId="3BC9507D" w14:textId="0981C7D4" w:rsidR="00F2483E" w:rsidRPr="00004160" w:rsidRDefault="00F2483E" w:rsidP="00F2483E">
            <w:pPr>
              <w:rPr>
                <w:b/>
                <w:bCs/>
                <w:sz w:val="20"/>
                <w:szCs w:val="20"/>
              </w:rPr>
            </w:pPr>
            <w:r w:rsidRPr="00004160">
              <w:rPr>
                <w:b/>
                <w:bCs/>
                <w:sz w:val="20"/>
                <w:szCs w:val="20"/>
              </w:rPr>
              <w:t>Example input</w:t>
            </w:r>
          </w:p>
        </w:tc>
      </w:tr>
      <w:tr w:rsidR="00004160" w:rsidRPr="00F2483E" w14:paraId="3E1E4BC2" w14:textId="3521A3E7" w:rsidTr="00004160">
        <w:trPr>
          <w:trHeight w:val="291"/>
        </w:trPr>
        <w:tc>
          <w:tcPr>
            <w:tcW w:w="760" w:type="pct"/>
            <w:vMerge w:val="restart"/>
          </w:tcPr>
          <w:p w14:paraId="4BC05B3B" w14:textId="09839309" w:rsidR="00004160" w:rsidRPr="00F2483E" w:rsidRDefault="00004160" w:rsidP="00F2483E">
            <w:pPr>
              <w:rPr>
                <w:sz w:val="20"/>
                <w:szCs w:val="20"/>
              </w:rPr>
            </w:pPr>
            <w:r w:rsidRPr="00F2483E">
              <w:rPr>
                <w:sz w:val="20"/>
                <w:szCs w:val="20"/>
              </w:rPr>
              <w:t>Bidirectional</w:t>
            </w:r>
          </w:p>
        </w:tc>
        <w:tc>
          <w:tcPr>
            <w:tcW w:w="923" w:type="pct"/>
            <w:vMerge w:val="restart"/>
          </w:tcPr>
          <w:p w14:paraId="2CE6A252" w14:textId="714A9FA0" w:rsidR="00004160" w:rsidRPr="00F2483E" w:rsidRDefault="00004160" w:rsidP="00F2483E">
            <w:pPr>
              <w:rPr>
                <w:sz w:val="20"/>
                <w:szCs w:val="20"/>
              </w:rPr>
            </w:pPr>
            <w:r w:rsidRPr="00F2483E">
              <w:rPr>
                <w:sz w:val="20"/>
                <w:szCs w:val="20"/>
              </w:rPr>
              <w:t xml:space="preserve">Population-specific </w:t>
            </w:r>
          </w:p>
        </w:tc>
        <w:tc>
          <w:tcPr>
            <w:tcW w:w="455" w:type="pct"/>
          </w:tcPr>
          <w:p w14:paraId="5584C9B4" w14:textId="1D0D93AA" w:rsidR="00004160" w:rsidRPr="00F2483E" w:rsidRDefault="00004160" w:rsidP="00F2483E">
            <w:pPr>
              <w:rPr>
                <w:sz w:val="20"/>
                <w:szCs w:val="20"/>
              </w:rPr>
            </w:pPr>
            <w:r w:rsidRPr="00F2483E">
              <w:rPr>
                <w:sz w:val="20"/>
                <w:szCs w:val="20"/>
              </w:rPr>
              <w:t>Joint 2df</w:t>
            </w:r>
          </w:p>
        </w:tc>
        <w:tc>
          <w:tcPr>
            <w:tcW w:w="1613" w:type="pct"/>
          </w:tcPr>
          <w:p w14:paraId="4A68D426" w14:textId="7C72B04A" w:rsidR="00004160" w:rsidRPr="00F2483E" w:rsidRDefault="00004160" w:rsidP="00F2483E">
            <w:pPr>
              <w:rPr>
                <w:sz w:val="20"/>
                <w:szCs w:val="20"/>
              </w:rPr>
            </w:pPr>
            <w:r w:rsidRPr="00F2483E">
              <w:rPr>
                <w:sz w:val="20"/>
                <w:szCs w:val="20"/>
              </w:rPr>
              <w:t>bidirectional_popspecific</w:t>
            </w:r>
            <w:r>
              <w:rPr>
                <w:sz w:val="20"/>
                <w:szCs w:val="20"/>
              </w:rPr>
              <w:t>_joint2df</w:t>
            </w:r>
            <w:r w:rsidRPr="00F2483E">
              <w:rPr>
                <w:sz w:val="20"/>
                <w:szCs w:val="20"/>
              </w:rPr>
              <w:t>.ecf</w:t>
            </w:r>
          </w:p>
        </w:tc>
        <w:tc>
          <w:tcPr>
            <w:tcW w:w="1249" w:type="pct"/>
            <w:vMerge w:val="restart"/>
          </w:tcPr>
          <w:p w14:paraId="66999C3F" w14:textId="0CC9C484" w:rsidR="00004160" w:rsidRPr="00F2483E" w:rsidRDefault="00004160" w:rsidP="00F2483E">
            <w:pPr>
              <w:rPr>
                <w:sz w:val="20"/>
                <w:szCs w:val="20"/>
              </w:rPr>
            </w:pPr>
            <w:r w:rsidRPr="00F2483E">
              <w:rPr>
                <w:sz w:val="20"/>
                <w:szCs w:val="20"/>
              </w:rPr>
              <w:t>S1_EUR_1GC + S2_EUR_1GC</w:t>
            </w:r>
          </w:p>
        </w:tc>
      </w:tr>
      <w:tr w:rsidR="00004160" w:rsidRPr="00F2483E" w14:paraId="072A9D35" w14:textId="77777777" w:rsidTr="00004160">
        <w:trPr>
          <w:trHeight w:val="291"/>
        </w:trPr>
        <w:tc>
          <w:tcPr>
            <w:tcW w:w="760" w:type="pct"/>
            <w:vMerge/>
          </w:tcPr>
          <w:p w14:paraId="0CD10AF7" w14:textId="46405919" w:rsidR="00004160" w:rsidRDefault="00004160" w:rsidP="00F2483E">
            <w:pPr>
              <w:rPr>
                <w:sz w:val="20"/>
                <w:szCs w:val="20"/>
              </w:rPr>
            </w:pPr>
          </w:p>
        </w:tc>
        <w:tc>
          <w:tcPr>
            <w:tcW w:w="923" w:type="pct"/>
            <w:vMerge/>
          </w:tcPr>
          <w:p w14:paraId="12C8FF6E" w14:textId="7D748BD3" w:rsidR="00004160" w:rsidRDefault="00004160" w:rsidP="00F2483E">
            <w:pPr>
              <w:rPr>
                <w:sz w:val="20"/>
                <w:szCs w:val="20"/>
              </w:rPr>
            </w:pPr>
          </w:p>
        </w:tc>
        <w:tc>
          <w:tcPr>
            <w:tcW w:w="455" w:type="pct"/>
          </w:tcPr>
          <w:p w14:paraId="7919B87A" w14:textId="26EDFB28" w:rsidR="00004160" w:rsidRPr="00F2483E" w:rsidRDefault="00004160" w:rsidP="00F2483E">
            <w:pPr>
              <w:rPr>
                <w:sz w:val="20"/>
                <w:szCs w:val="20"/>
              </w:rPr>
            </w:pPr>
            <w:r>
              <w:rPr>
                <w:sz w:val="20"/>
                <w:szCs w:val="20"/>
              </w:rPr>
              <w:t>Int</w:t>
            </w:r>
            <w:r w:rsidRPr="00F2483E">
              <w:rPr>
                <w:sz w:val="20"/>
                <w:szCs w:val="20"/>
              </w:rPr>
              <w:t xml:space="preserve"> </w:t>
            </w:r>
            <w:r>
              <w:rPr>
                <w:sz w:val="20"/>
                <w:szCs w:val="20"/>
              </w:rPr>
              <w:t>1</w:t>
            </w:r>
            <w:r w:rsidRPr="00F2483E">
              <w:rPr>
                <w:sz w:val="20"/>
                <w:szCs w:val="20"/>
              </w:rPr>
              <w:t>df</w:t>
            </w:r>
          </w:p>
        </w:tc>
        <w:tc>
          <w:tcPr>
            <w:tcW w:w="1613" w:type="pct"/>
          </w:tcPr>
          <w:p w14:paraId="7D6D4CBF" w14:textId="2C2028FB" w:rsidR="00004160" w:rsidRPr="00F2483E" w:rsidRDefault="00004160" w:rsidP="00F2483E">
            <w:pPr>
              <w:rPr>
                <w:sz w:val="20"/>
                <w:szCs w:val="20"/>
              </w:rPr>
            </w:pPr>
            <w:r w:rsidRPr="00F2483E">
              <w:rPr>
                <w:sz w:val="20"/>
                <w:szCs w:val="20"/>
              </w:rPr>
              <w:t>bidirectional_popspecific</w:t>
            </w:r>
            <w:r>
              <w:rPr>
                <w:sz w:val="20"/>
                <w:szCs w:val="20"/>
              </w:rPr>
              <w:t>_int1df</w:t>
            </w:r>
            <w:r w:rsidRPr="00F2483E">
              <w:rPr>
                <w:sz w:val="20"/>
                <w:szCs w:val="20"/>
              </w:rPr>
              <w:t>.ecf</w:t>
            </w:r>
          </w:p>
        </w:tc>
        <w:tc>
          <w:tcPr>
            <w:tcW w:w="1249" w:type="pct"/>
            <w:vMerge/>
          </w:tcPr>
          <w:p w14:paraId="65263E22" w14:textId="0BCB751E" w:rsidR="00004160" w:rsidRPr="00F2483E" w:rsidRDefault="00004160" w:rsidP="00F2483E">
            <w:pPr>
              <w:rPr>
                <w:sz w:val="20"/>
                <w:szCs w:val="20"/>
              </w:rPr>
            </w:pPr>
          </w:p>
        </w:tc>
      </w:tr>
      <w:tr w:rsidR="00004160" w:rsidRPr="00F2483E" w14:paraId="6D4487C6" w14:textId="77777777" w:rsidTr="00004160">
        <w:trPr>
          <w:trHeight w:val="291"/>
        </w:trPr>
        <w:tc>
          <w:tcPr>
            <w:tcW w:w="760" w:type="pct"/>
            <w:vMerge/>
          </w:tcPr>
          <w:p w14:paraId="3AFBB375" w14:textId="5B22ABF1" w:rsidR="00004160" w:rsidRPr="00F2483E" w:rsidRDefault="00004160" w:rsidP="00004160">
            <w:pPr>
              <w:rPr>
                <w:sz w:val="20"/>
                <w:szCs w:val="20"/>
              </w:rPr>
            </w:pPr>
          </w:p>
        </w:tc>
        <w:tc>
          <w:tcPr>
            <w:tcW w:w="923" w:type="pct"/>
            <w:vMerge w:val="restart"/>
          </w:tcPr>
          <w:p w14:paraId="31D5A10E" w14:textId="44247DD5" w:rsidR="00004160" w:rsidRPr="00F2483E" w:rsidRDefault="00004160" w:rsidP="00004160">
            <w:pPr>
              <w:rPr>
                <w:sz w:val="20"/>
                <w:szCs w:val="20"/>
              </w:rPr>
            </w:pPr>
            <w:r>
              <w:rPr>
                <w:sz w:val="20"/>
                <w:szCs w:val="20"/>
              </w:rPr>
              <w:t>Cross-population</w:t>
            </w:r>
          </w:p>
        </w:tc>
        <w:tc>
          <w:tcPr>
            <w:tcW w:w="455" w:type="pct"/>
          </w:tcPr>
          <w:p w14:paraId="25C4ACFC" w14:textId="4521AD48" w:rsidR="00004160" w:rsidRPr="00F2483E" w:rsidRDefault="00004160" w:rsidP="00004160">
            <w:pPr>
              <w:rPr>
                <w:sz w:val="20"/>
                <w:szCs w:val="20"/>
              </w:rPr>
            </w:pPr>
            <w:r w:rsidRPr="00F2483E">
              <w:rPr>
                <w:sz w:val="20"/>
                <w:szCs w:val="20"/>
              </w:rPr>
              <w:t>Joint 2df</w:t>
            </w:r>
          </w:p>
        </w:tc>
        <w:tc>
          <w:tcPr>
            <w:tcW w:w="1613" w:type="pct"/>
          </w:tcPr>
          <w:p w14:paraId="56F72415" w14:textId="7E477576" w:rsidR="00004160" w:rsidRPr="00F2483E" w:rsidRDefault="00004160" w:rsidP="00004160">
            <w:pPr>
              <w:rPr>
                <w:sz w:val="20"/>
                <w:szCs w:val="20"/>
              </w:rPr>
            </w:pPr>
            <w:r w:rsidRPr="00F2483E">
              <w:rPr>
                <w:sz w:val="20"/>
                <w:szCs w:val="20"/>
              </w:rPr>
              <w:t>bidirectional_</w:t>
            </w:r>
            <w:r>
              <w:rPr>
                <w:sz w:val="20"/>
                <w:szCs w:val="20"/>
              </w:rPr>
              <w:t>crosspop_joint2df</w:t>
            </w:r>
            <w:r w:rsidRPr="00F2483E">
              <w:rPr>
                <w:sz w:val="20"/>
                <w:szCs w:val="20"/>
              </w:rPr>
              <w:t>.ecf</w:t>
            </w:r>
          </w:p>
        </w:tc>
        <w:tc>
          <w:tcPr>
            <w:tcW w:w="1249" w:type="pct"/>
            <w:vMerge w:val="restart"/>
          </w:tcPr>
          <w:p w14:paraId="62302D3E" w14:textId="7BE89428" w:rsidR="00004160" w:rsidRPr="00F2483E" w:rsidRDefault="00004160" w:rsidP="00004160">
            <w:pPr>
              <w:rPr>
                <w:sz w:val="20"/>
                <w:szCs w:val="20"/>
              </w:rPr>
            </w:pPr>
            <w:r w:rsidRPr="00F2483E">
              <w:rPr>
                <w:sz w:val="20"/>
                <w:szCs w:val="20"/>
              </w:rPr>
              <w:t>S1_</w:t>
            </w:r>
            <w:r>
              <w:rPr>
                <w:sz w:val="20"/>
                <w:szCs w:val="20"/>
              </w:rPr>
              <w:t>ALL</w:t>
            </w:r>
            <w:r w:rsidRPr="00F2483E">
              <w:rPr>
                <w:sz w:val="20"/>
                <w:szCs w:val="20"/>
              </w:rPr>
              <w:t>_</w:t>
            </w:r>
            <w:r>
              <w:rPr>
                <w:sz w:val="20"/>
                <w:szCs w:val="20"/>
              </w:rPr>
              <w:t>2</w:t>
            </w:r>
            <w:r w:rsidRPr="00F2483E">
              <w:rPr>
                <w:sz w:val="20"/>
                <w:szCs w:val="20"/>
              </w:rPr>
              <w:t>GC + S2_</w:t>
            </w:r>
            <w:r>
              <w:rPr>
                <w:sz w:val="20"/>
                <w:szCs w:val="20"/>
              </w:rPr>
              <w:t>ALL</w:t>
            </w:r>
            <w:r w:rsidRPr="00F2483E">
              <w:rPr>
                <w:sz w:val="20"/>
                <w:szCs w:val="20"/>
              </w:rPr>
              <w:t>_</w:t>
            </w:r>
            <w:r>
              <w:rPr>
                <w:sz w:val="20"/>
                <w:szCs w:val="20"/>
              </w:rPr>
              <w:t>2</w:t>
            </w:r>
            <w:r w:rsidRPr="00F2483E">
              <w:rPr>
                <w:sz w:val="20"/>
                <w:szCs w:val="20"/>
              </w:rPr>
              <w:t>GC</w:t>
            </w:r>
          </w:p>
        </w:tc>
      </w:tr>
      <w:tr w:rsidR="00004160" w:rsidRPr="00F2483E" w14:paraId="17A8A5F3" w14:textId="2E0C1A18" w:rsidTr="00004160">
        <w:trPr>
          <w:trHeight w:val="277"/>
        </w:trPr>
        <w:tc>
          <w:tcPr>
            <w:tcW w:w="760" w:type="pct"/>
            <w:vMerge/>
          </w:tcPr>
          <w:p w14:paraId="25B5BAD1" w14:textId="2E0944EA" w:rsidR="00004160" w:rsidRPr="00F2483E" w:rsidRDefault="00004160" w:rsidP="00004160">
            <w:pPr>
              <w:rPr>
                <w:sz w:val="20"/>
                <w:szCs w:val="20"/>
              </w:rPr>
            </w:pPr>
          </w:p>
        </w:tc>
        <w:tc>
          <w:tcPr>
            <w:tcW w:w="923" w:type="pct"/>
            <w:vMerge/>
          </w:tcPr>
          <w:p w14:paraId="1D315F25" w14:textId="47CD6785" w:rsidR="00004160" w:rsidRPr="00F2483E" w:rsidRDefault="00004160" w:rsidP="00004160">
            <w:pPr>
              <w:rPr>
                <w:sz w:val="20"/>
                <w:szCs w:val="20"/>
              </w:rPr>
            </w:pPr>
          </w:p>
        </w:tc>
        <w:tc>
          <w:tcPr>
            <w:tcW w:w="455" w:type="pct"/>
          </w:tcPr>
          <w:p w14:paraId="2B4D307D" w14:textId="65F66054" w:rsidR="00004160" w:rsidRPr="00F2483E" w:rsidRDefault="00004160" w:rsidP="00004160">
            <w:pPr>
              <w:rPr>
                <w:sz w:val="20"/>
                <w:szCs w:val="20"/>
              </w:rPr>
            </w:pPr>
            <w:r>
              <w:rPr>
                <w:sz w:val="20"/>
                <w:szCs w:val="20"/>
              </w:rPr>
              <w:t>Int</w:t>
            </w:r>
            <w:r w:rsidRPr="00F2483E">
              <w:rPr>
                <w:sz w:val="20"/>
                <w:szCs w:val="20"/>
              </w:rPr>
              <w:t xml:space="preserve"> </w:t>
            </w:r>
            <w:r>
              <w:rPr>
                <w:sz w:val="20"/>
                <w:szCs w:val="20"/>
              </w:rPr>
              <w:t>1</w:t>
            </w:r>
            <w:r w:rsidRPr="00F2483E">
              <w:rPr>
                <w:sz w:val="20"/>
                <w:szCs w:val="20"/>
              </w:rPr>
              <w:t>df</w:t>
            </w:r>
          </w:p>
        </w:tc>
        <w:tc>
          <w:tcPr>
            <w:tcW w:w="1613" w:type="pct"/>
          </w:tcPr>
          <w:p w14:paraId="5BDAFA2C" w14:textId="2D27DD88" w:rsidR="00004160" w:rsidRPr="00F2483E" w:rsidRDefault="00004160" w:rsidP="00004160">
            <w:pPr>
              <w:rPr>
                <w:sz w:val="20"/>
                <w:szCs w:val="20"/>
              </w:rPr>
            </w:pPr>
            <w:r>
              <w:rPr>
                <w:sz w:val="20"/>
                <w:szCs w:val="20"/>
              </w:rPr>
              <w:t>b</w:t>
            </w:r>
            <w:r w:rsidRPr="00F2483E">
              <w:rPr>
                <w:sz w:val="20"/>
                <w:szCs w:val="20"/>
              </w:rPr>
              <w:t>idirectional</w:t>
            </w:r>
            <w:r>
              <w:rPr>
                <w:sz w:val="20"/>
                <w:szCs w:val="20"/>
              </w:rPr>
              <w:t>_crosspop_int1df</w:t>
            </w:r>
            <w:r w:rsidRPr="00F2483E">
              <w:rPr>
                <w:sz w:val="20"/>
                <w:szCs w:val="20"/>
              </w:rPr>
              <w:t>.ecf</w:t>
            </w:r>
          </w:p>
        </w:tc>
        <w:tc>
          <w:tcPr>
            <w:tcW w:w="1249" w:type="pct"/>
            <w:vMerge/>
          </w:tcPr>
          <w:p w14:paraId="2151D234" w14:textId="49E2AF0B" w:rsidR="00004160" w:rsidRPr="00F2483E" w:rsidRDefault="00004160" w:rsidP="00004160">
            <w:pPr>
              <w:rPr>
                <w:sz w:val="20"/>
                <w:szCs w:val="20"/>
              </w:rPr>
            </w:pPr>
          </w:p>
        </w:tc>
      </w:tr>
      <w:tr w:rsidR="00004160" w:rsidRPr="00F2483E" w14:paraId="53A73BA0" w14:textId="77777777" w:rsidTr="00004160">
        <w:trPr>
          <w:trHeight w:val="277"/>
        </w:trPr>
        <w:tc>
          <w:tcPr>
            <w:tcW w:w="760" w:type="pct"/>
            <w:vMerge w:val="restart"/>
          </w:tcPr>
          <w:p w14:paraId="13232AB1" w14:textId="2608BDD9" w:rsidR="00004160" w:rsidRPr="00F2483E" w:rsidRDefault="00004160" w:rsidP="00004160">
            <w:pPr>
              <w:rPr>
                <w:sz w:val="20"/>
                <w:szCs w:val="20"/>
              </w:rPr>
            </w:pPr>
            <w:r>
              <w:rPr>
                <w:sz w:val="20"/>
                <w:szCs w:val="20"/>
              </w:rPr>
              <w:t>Combined-meta</w:t>
            </w:r>
          </w:p>
        </w:tc>
        <w:tc>
          <w:tcPr>
            <w:tcW w:w="923" w:type="pct"/>
            <w:vMerge w:val="restart"/>
          </w:tcPr>
          <w:p w14:paraId="69384005" w14:textId="567047FB" w:rsidR="00004160" w:rsidRPr="00F2483E" w:rsidRDefault="00004160" w:rsidP="00004160">
            <w:pPr>
              <w:rPr>
                <w:sz w:val="20"/>
                <w:szCs w:val="20"/>
              </w:rPr>
            </w:pPr>
            <w:r w:rsidRPr="00F2483E">
              <w:rPr>
                <w:sz w:val="20"/>
                <w:szCs w:val="20"/>
              </w:rPr>
              <w:t xml:space="preserve">Population-specific </w:t>
            </w:r>
          </w:p>
        </w:tc>
        <w:tc>
          <w:tcPr>
            <w:tcW w:w="455" w:type="pct"/>
          </w:tcPr>
          <w:p w14:paraId="60206155" w14:textId="2C864A6B" w:rsidR="00004160" w:rsidRPr="00F2483E" w:rsidRDefault="00004160" w:rsidP="00004160">
            <w:pPr>
              <w:rPr>
                <w:sz w:val="20"/>
                <w:szCs w:val="20"/>
              </w:rPr>
            </w:pPr>
            <w:r w:rsidRPr="00F2483E">
              <w:rPr>
                <w:sz w:val="20"/>
                <w:szCs w:val="20"/>
              </w:rPr>
              <w:t>Joint 2df</w:t>
            </w:r>
          </w:p>
        </w:tc>
        <w:tc>
          <w:tcPr>
            <w:tcW w:w="1613" w:type="pct"/>
          </w:tcPr>
          <w:p w14:paraId="4F37AF74" w14:textId="23EA1F0F" w:rsidR="00004160" w:rsidRPr="00F2483E" w:rsidRDefault="00004160" w:rsidP="00004160">
            <w:pPr>
              <w:rPr>
                <w:sz w:val="20"/>
                <w:szCs w:val="20"/>
              </w:rPr>
            </w:pPr>
            <w:r>
              <w:rPr>
                <w:sz w:val="20"/>
                <w:szCs w:val="20"/>
              </w:rPr>
              <w:t>combmeta</w:t>
            </w:r>
            <w:r w:rsidRPr="00F2483E">
              <w:rPr>
                <w:sz w:val="20"/>
                <w:szCs w:val="20"/>
              </w:rPr>
              <w:t>_popspecific</w:t>
            </w:r>
            <w:r>
              <w:rPr>
                <w:sz w:val="20"/>
                <w:szCs w:val="20"/>
              </w:rPr>
              <w:t>_joint2df</w:t>
            </w:r>
            <w:r w:rsidRPr="00F2483E">
              <w:rPr>
                <w:sz w:val="20"/>
                <w:szCs w:val="20"/>
              </w:rPr>
              <w:t>.ecf</w:t>
            </w:r>
          </w:p>
        </w:tc>
        <w:tc>
          <w:tcPr>
            <w:tcW w:w="1249" w:type="pct"/>
            <w:vMerge w:val="restart"/>
          </w:tcPr>
          <w:p w14:paraId="2652DAF9" w14:textId="7953E086" w:rsidR="00004160" w:rsidRPr="00F2483E" w:rsidRDefault="00004160" w:rsidP="00004160">
            <w:pPr>
              <w:rPr>
                <w:sz w:val="20"/>
                <w:szCs w:val="20"/>
              </w:rPr>
            </w:pPr>
            <w:r w:rsidRPr="00F2483E">
              <w:rPr>
                <w:sz w:val="20"/>
                <w:szCs w:val="20"/>
              </w:rPr>
              <w:t>S1</w:t>
            </w:r>
            <w:r>
              <w:rPr>
                <w:sz w:val="20"/>
                <w:szCs w:val="20"/>
              </w:rPr>
              <w:t>plus2</w:t>
            </w:r>
            <w:r w:rsidRPr="00F2483E">
              <w:rPr>
                <w:sz w:val="20"/>
                <w:szCs w:val="20"/>
              </w:rPr>
              <w:t>_EUR_1GC</w:t>
            </w:r>
          </w:p>
        </w:tc>
      </w:tr>
      <w:tr w:rsidR="00004160" w:rsidRPr="00F2483E" w14:paraId="101C5C14" w14:textId="5AF9D34E" w:rsidTr="00004160">
        <w:trPr>
          <w:trHeight w:val="277"/>
        </w:trPr>
        <w:tc>
          <w:tcPr>
            <w:tcW w:w="760" w:type="pct"/>
            <w:vMerge/>
          </w:tcPr>
          <w:p w14:paraId="1D395612" w14:textId="314DA1DD" w:rsidR="00004160" w:rsidRPr="00F2483E" w:rsidRDefault="00004160" w:rsidP="00004160">
            <w:pPr>
              <w:rPr>
                <w:sz w:val="20"/>
                <w:szCs w:val="20"/>
              </w:rPr>
            </w:pPr>
          </w:p>
        </w:tc>
        <w:tc>
          <w:tcPr>
            <w:tcW w:w="923" w:type="pct"/>
            <w:vMerge/>
          </w:tcPr>
          <w:p w14:paraId="5A8CB8CD" w14:textId="45538CCE" w:rsidR="00004160" w:rsidRPr="00F2483E" w:rsidRDefault="00004160" w:rsidP="00004160">
            <w:pPr>
              <w:rPr>
                <w:sz w:val="20"/>
                <w:szCs w:val="20"/>
              </w:rPr>
            </w:pPr>
          </w:p>
        </w:tc>
        <w:tc>
          <w:tcPr>
            <w:tcW w:w="455" w:type="pct"/>
          </w:tcPr>
          <w:p w14:paraId="3BF321C9" w14:textId="24CB95B3" w:rsidR="00004160" w:rsidRPr="00F2483E" w:rsidRDefault="00004160" w:rsidP="00004160">
            <w:pPr>
              <w:rPr>
                <w:sz w:val="20"/>
                <w:szCs w:val="20"/>
              </w:rPr>
            </w:pPr>
            <w:r>
              <w:rPr>
                <w:sz w:val="20"/>
                <w:szCs w:val="20"/>
              </w:rPr>
              <w:t>Int</w:t>
            </w:r>
            <w:r w:rsidRPr="00F2483E">
              <w:rPr>
                <w:sz w:val="20"/>
                <w:szCs w:val="20"/>
              </w:rPr>
              <w:t xml:space="preserve"> </w:t>
            </w:r>
            <w:r>
              <w:rPr>
                <w:sz w:val="20"/>
                <w:szCs w:val="20"/>
              </w:rPr>
              <w:t>1</w:t>
            </w:r>
            <w:r w:rsidRPr="00F2483E">
              <w:rPr>
                <w:sz w:val="20"/>
                <w:szCs w:val="20"/>
              </w:rPr>
              <w:t>df</w:t>
            </w:r>
          </w:p>
        </w:tc>
        <w:tc>
          <w:tcPr>
            <w:tcW w:w="1613" w:type="pct"/>
          </w:tcPr>
          <w:p w14:paraId="603DE0F2" w14:textId="42DCE379" w:rsidR="00004160" w:rsidRPr="00F2483E" w:rsidRDefault="00004160" w:rsidP="00004160">
            <w:pPr>
              <w:rPr>
                <w:sz w:val="20"/>
                <w:szCs w:val="20"/>
              </w:rPr>
            </w:pPr>
            <w:r>
              <w:rPr>
                <w:sz w:val="20"/>
                <w:szCs w:val="20"/>
              </w:rPr>
              <w:t>combmeta_</w:t>
            </w:r>
            <w:r w:rsidRPr="00F2483E">
              <w:rPr>
                <w:sz w:val="20"/>
                <w:szCs w:val="20"/>
              </w:rPr>
              <w:t>popspecific</w:t>
            </w:r>
            <w:r>
              <w:rPr>
                <w:sz w:val="20"/>
                <w:szCs w:val="20"/>
              </w:rPr>
              <w:t>_int1df</w:t>
            </w:r>
            <w:r w:rsidRPr="00F2483E">
              <w:rPr>
                <w:sz w:val="20"/>
                <w:szCs w:val="20"/>
              </w:rPr>
              <w:t>.ecf</w:t>
            </w:r>
          </w:p>
        </w:tc>
        <w:tc>
          <w:tcPr>
            <w:tcW w:w="1249" w:type="pct"/>
            <w:vMerge/>
          </w:tcPr>
          <w:p w14:paraId="3D2C3CF0" w14:textId="34A5988E" w:rsidR="00004160" w:rsidRPr="00F2483E" w:rsidRDefault="00004160" w:rsidP="00004160">
            <w:pPr>
              <w:rPr>
                <w:sz w:val="20"/>
                <w:szCs w:val="20"/>
              </w:rPr>
            </w:pPr>
          </w:p>
        </w:tc>
      </w:tr>
      <w:tr w:rsidR="00004160" w:rsidRPr="00F2483E" w14:paraId="7AE30325" w14:textId="652AA8B7" w:rsidTr="00004160">
        <w:trPr>
          <w:trHeight w:val="277"/>
        </w:trPr>
        <w:tc>
          <w:tcPr>
            <w:tcW w:w="760" w:type="pct"/>
            <w:vMerge/>
          </w:tcPr>
          <w:p w14:paraId="2C8D999F" w14:textId="6D6A752F" w:rsidR="00004160" w:rsidRPr="00F2483E" w:rsidRDefault="00004160" w:rsidP="00004160">
            <w:pPr>
              <w:rPr>
                <w:sz w:val="20"/>
                <w:szCs w:val="20"/>
              </w:rPr>
            </w:pPr>
          </w:p>
        </w:tc>
        <w:tc>
          <w:tcPr>
            <w:tcW w:w="923" w:type="pct"/>
            <w:vMerge w:val="restart"/>
          </w:tcPr>
          <w:p w14:paraId="39A1E60F" w14:textId="37ED3C16" w:rsidR="00004160" w:rsidRPr="00F2483E" w:rsidRDefault="00004160" w:rsidP="00004160">
            <w:pPr>
              <w:rPr>
                <w:sz w:val="20"/>
                <w:szCs w:val="20"/>
              </w:rPr>
            </w:pPr>
            <w:r>
              <w:rPr>
                <w:sz w:val="20"/>
                <w:szCs w:val="20"/>
              </w:rPr>
              <w:t>Cross-population</w:t>
            </w:r>
          </w:p>
        </w:tc>
        <w:tc>
          <w:tcPr>
            <w:tcW w:w="455" w:type="pct"/>
          </w:tcPr>
          <w:p w14:paraId="2B05275C" w14:textId="4E95F0EB" w:rsidR="00004160" w:rsidRPr="00F2483E" w:rsidRDefault="00004160" w:rsidP="00004160">
            <w:pPr>
              <w:rPr>
                <w:sz w:val="20"/>
                <w:szCs w:val="20"/>
              </w:rPr>
            </w:pPr>
            <w:r w:rsidRPr="00F2483E">
              <w:rPr>
                <w:sz w:val="20"/>
                <w:szCs w:val="20"/>
              </w:rPr>
              <w:t>Joint 2df</w:t>
            </w:r>
          </w:p>
        </w:tc>
        <w:tc>
          <w:tcPr>
            <w:tcW w:w="1613" w:type="pct"/>
          </w:tcPr>
          <w:p w14:paraId="672D4CA1" w14:textId="1722CCFF" w:rsidR="00004160" w:rsidRPr="00F2483E" w:rsidRDefault="00004160" w:rsidP="00004160">
            <w:pPr>
              <w:rPr>
                <w:sz w:val="20"/>
                <w:szCs w:val="20"/>
              </w:rPr>
            </w:pPr>
            <w:r>
              <w:rPr>
                <w:sz w:val="20"/>
                <w:szCs w:val="20"/>
              </w:rPr>
              <w:t>combmeta_crosspop_joint2df</w:t>
            </w:r>
            <w:r w:rsidRPr="00F2483E">
              <w:rPr>
                <w:sz w:val="20"/>
                <w:szCs w:val="20"/>
              </w:rPr>
              <w:t>.ecf</w:t>
            </w:r>
          </w:p>
        </w:tc>
        <w:tc>
          <w:tcPr>
            <w:tcW w:w="1249" w:type="pct"/>
            <w:vMerge w:val="restart"/>
          </w:tcPr>
          <w:p w14:paraId="3097530B" w14:textId="545CF122" w:rsidR="00004160" w:rsidRPr="00F2483E" w:rsidRDefault="00004160" w:rsidP="00004160">
            <w:pPr>
              <w:rPr>
                <w:sz w:val="20"/>
                <w:szCs w:val="20"/>
              </w:rPr>
            </w:pPr>
            <w:r w:rsidRPr="00F2483E">
              <w:rPr>
                <w:sz w:val="20"/>
                <w:szCs w:val="20"/>
              </w:rPr>
              <w:t>S1</w:t>
            </w:r>
            <w:r>
              <w:rPr>
                <w:sz w:val="20"/>
                <w:szCs w:val="20"/>
              </w:rPr>
              <w:t>plus2_ALL_2GC</w:t>
            </w:r>
          </w:p>
        </w:tc>
      </w:tr>
      <w:tr w:rsidR="00004160" w:rsidRPr="00F2483E" w14:paraId="682300DE" w14:textId="33AF8FFA" w:rsidTr="00004160">
        <w:trPr>
          <w:trHeight w:val="277"/>
        </w:trPr>
        <w:tc>
          <w:tcPr>
            <w:tcW w:w="760" w:type="pct"/>
            <w:vMerge/>
          </w:tcPr>
          <w:p w14:paraId="14556A7C" w14:textId="1E9D8DBF" w:rsidR="00004160" w:rsidRDefault="00004160" w:rsidP="00004160">
            <w:pPr>
              <w:rPr>
                <w:sz w:val="20"/>
                <w:szCs w:val="20"/>
              </w:rPr>
            </w:pPr>
          </w:p>
        </w:tc>
        <w:tc>
          <w:tcPr>
            <w:tcW w:w="923" w:type="pct"/>
            <w:vMerge/>
          </w:tcPr>
          <w:p w14:paraId="0B8F3214" w14:textId="629238E5" w:rsidR="00004160" w:rsidRDefault="00004160" w:rsidP="00004160">
            <w:pPr>
              <w:rPr>
                <w:sz w:val="20"/>
                <w:szCs w:val="20"/>
              </w:rPr>
            </w:pPr>
          </w:p>
        </w:tc>
        <w:tc>
          <w:tcPr>
            <w:tcW w:w="455" w:type="pct"/>
          </w:tcPr>
          <w:p w14:paraId="73D1ECF0" w14:textId="71079FFD" w:rsidR="00004160" w:rsidRPr="00F2483E" w:rsidRDefault="00004160" w:rsidP="00004160">
            <w:pPr>
              <w:rPr>
                <w:sz w:val="20"/>
                <w:szCs w:val="20"/>
              </w:rPr>
            </w:pPr>
            <w:r>
              <w:rPr>
                <w:sz w:val="20"/>
                <w:szCs w:val="20"/>
              </w:rPr>
              <w:t>Int</w:t>
            </w:r>
            <w:r w:rsidRPr="00F2483E">
              <w:rPr>
                <w:sz w:val="20"/>
                <w:szCs w:val="20"/>
              </w:rPr>
              <w:t xml:space="preserve"> </w:t>
            </w:r>
            <w:r>
              <w:rPr>
                <w:sz w:val="20"/>
                <w:szCs w:val="20"/>
              </w:rPr>
              <w:t>1</w:t>
            </w:r>
            <w:r w:rsidRPr="00F2483E">
              <w:rPr>
                <w:sz w:val="20"/>
                <w:szCs w:val="20"/>
              </w:rPr>
              <w:t>df</w:t>
            </w:r>
          </w:p>
        </w:tc>
        <w:tc>
          <w:tcPr>
            <w:tcW w:w="1613" w:type="pct"/>
          </w:tcPr>
          <w:p w14:paraId="7E13625C" w14:textId="6D4E0D8A" w:rsidR="00004160" w:rsidRPr="00F2483E" w:rsidRDefault="00004160" w:rsidP="00004160">
            <w:pPr>
              <w:rPr>
                <w:sz w:val="20"/>
                <w:szCs w:val="20"/>
              </w:rPr>
            </w:pPr>
            <w:r>
              <w:rPr>
                <w:sz w:val="20"/>
                <w:szCs w:val="20"/>
              </w:rPr>
              <w:t>combmeta_crosspop_int1df</w:t>
            </w:r>
            <w:r w:rsidRPr="00F2483E">
              <w:rPr>
                <w:sz w:val="20"/>
                <w:szCs w:val="20"/>
              </w:rPr>
              <w:t>.ecf</w:t>
            </w:r>
          </w:p>
        </w:tc>
        <w:tc>
          <w:tcPr>
            <w:tcW w:w="1249" w:type="pct"/>
            <w:vMerge/>
          </w:tcPr>
          <w:p w14:paraId="71333DE3" w14:textId="3D583853" w:rsidR="00004160" w:rsidRPr="00F2483E" w:rsidRDefault="00004160" w:rsidP="00004160">
            <w:pPr>
              <w:rPr>
                <w:sz w:val="20"/>
                <w:szCs w:val="20"/>
              </w:rPr>
            </w:pPr>
          </w:p>
        </w:tc>
      </w:tr>
    </w:tbl>
    <w:p w14:paraId="366CB5F4" w14:textId="77777777" w:rsidR="00BF70CE" w:rsidRDefault="00BF70CE" w:rsidP="00F2483E"/>
    <w:p w14:paraId="116CC000" w14:textId="77777777" w:rsidR="00166418" w:rsidRDefault="00166418" w:rsidP="00F2483E"/>
    <w:p w14:paraId="38F87E27" w14:textId="77777777" w:rsidR="00F113A3" w:rsidRDefault="00BF70CE" w:rsidP="00166418">
      <w:pPr>
        <w:pStyle w:val="berschrift2"/>
      </w:pPr>
      <w:r w:rsidRPr="00F113A3">
        <w:t>Supplementary Figure 1. Population-specific meta-analyses.</w:t>
      </w:r>
      <w:r w:rsidRPr="00BF70CE">
        <w:t xml:space="preserve"> </w:t>
      </w:r>
    </w:p>
    <w:p w14:paraId="4615C411" w14:textId="35848BEB" w:rsidR="00BF70CE" w:rsidRPr="00BF70CE" w:rsidRDefault="00D71D13" w:rsidP="00F2483E">
      <w:pPr>
        <w:rPr>
          <w:b/>
        </w:rPr>
      </w:pPr>
      <w:r w:rsidRPr="00D71D13">
        <w:t xml:space="preserve">Any population-specific meta-analyses (S1, S2 or S1plus2) should be conducted </w:t>
      </w:r>
      <w:r w:rsidR="00F643AD">
        <w:t>based on</w:t>
      </w:r>
      <w:r w:rsidRPr="00D71D13">
        <w:t xml:space="preserve"> </w:t>
      </w:r>
      <w:r w:rsidR="007E6B35">
        <w:t xml:space="preserve">(non-GC corrected) </w:t>
      </w:r>
      <w:r w:rsidRPr="00D71D13">
        <w:t>study-specific results</w:t>
      </w:r>
      <w:r w:rsidR="00376A7D">
        <w:t xml:space="preserve">. </w:t>
      </w:r>
      <w:r w:rsidR="00F643AD">
        <w:t>Genomic control correction should be applied during the metal analysis (GENOMICCONTROL ON option</w:t>
      </w:r>
      <w:r w:rsidR="00ED3A03">
        <w:t xml:space="preserve"> in metal</w:t>
      </w:r>
      <w:r w:rsidR="00F643AD">
        <w:t>)</w:t>
      </w:r>
      <w:r w:rsidR="00D80A17">
        <w:t xml:space="preserve"> to derive single-GC corrected population-specific meta-analysis results. </w:t>
      </w:r>
      <w:r w:rsidR="00ED3A03">
        <w:t>Between-</w:t>
      </w:r>
      <w:r w:rsidR="00ED3A03" w:rsidRPr="00C71041">
        <w:rPr>
          <w:u w:val="single"/>
        </w:rPr>
        <w:t>study</w:t>
      </w:r>
      <w:r w:rsidR="00ED3A03">
        <w:t xml:space="preserve"> heterogeneity should be estimated (ANALYZE HETEROGENEITY option in metal). </w:t>
      </w:r>
    </w:p>
    <w:p w14:paraId="5AD81333" w14:textId="3BEC2AE0" w:rsidR="00BF70CE" w:rsidRDefault="00BF70CE" w:rsidP="00F2483E">
      <w:r>
        <w:rPr>
          <w:noProof/>
        </w:rPr>
        <w:drawing>
          <wp:inline distT="0" distB="0" distL="0" distR="0" wp14:anchorId="6E35AD83" wp14:editId="63755BAC">
            <wp:extent cx="5943600" cy="1586816"/>
            <wp:effectExtent l="19050" t="19050" r="19050" b="139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0689"/>
                    <a:stretch/>
                  </pic:blipFill>
                  <pic:spPr bwMode="auto">
                    <a:xfrm>
                      <a:off x="0" y="0"/>
                      <a:ext cx="5943600" cy="158681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0454C77" w14:textId="77777777" w:rsidR="00166418" w:rsidRDefault="00166418" w:rsidP="00F2483E"/>
    <w:p w14:paraId="6975F59F" w14:textId="73570E59" w:rsidR="00F113A3" w:rsidRDefault="00F643AD" w:rsidP="00166418">
      <w:pPr>
        <w:pStyle w:val="berschrift2"/>
      </w:pPr>
      <w:r w:rsidRPr="00F113A3">
        <w:t>Supplementary Figure 2. Cross-population meta-analyses.</w:t>
      </w:r>
      <w:r w:rsidRPr="00BF70CE">
        <w:t xml:space="preserve"> </w:t>
      </w:r>
    </w:p>
    <w:p w14:paraId="07362D94" w14:textId="300C7875" w:rsidR="00F643AD" w:rsidRPr="00BF70CE" w:rsidRDefault="00F643AD" w:rsidP="00F643AD">
      <w:pPr>
        <w:rPr>
          <w:b/>
        </w:rPr>
      </w:pPr>
      <w:r w:rsidRPr="00D71D13">
        <w:t xml:space="preserve">Any </w:t>
      </w:r>
      <w:r w:rsidR="00D80A17">
        <w:t>cross-</w:t>
      </w:r>
      <w:r w:rsidRPr="00D71D13">
        <w:t xml:space="preserve">population meta-analyses (S1, S2 or S1plus2) should be conducted </w:t>
      </w:r>
      <w:r>
        <w:t>based on</w:t>
      </w:r>
      <w:r w:rsidRPr="00D71D13">
        <w:t xml:space="preserve"> </w:t>
      </w:r>
      <w:r w:rsidR="002C29EF">
        <w:t xml:space="preserve">single-GC corrected </w:t>
      </w:r>
      <w:r w:rsidR="007E6B35">
        <w:t xml:space="preserve">population-specific </w:t>
      </w:r>
      <w:r w:rsidR="00D80A17">
        <w:t>metal</w:t>
      </w:r>
      <w:r w:rsidRPr="00D71D13">
        <w:t xml:space="preserve"> results</w:t>
      </w:r>
      <w:r>
        <w:t xml:space="preserve">. </w:t>
      </w:r>
      <w:r w:rsidR="001F0EB1">
        <w:t>Genomic control correction should be applied during the metal analysis (GENOMICCONTROL ON option in metal) to derive double-GC corrected cross-population meta-analysis results. Between-</w:t>
      </w:r>
      <w:r w:rsidR="001F0EB1" w:rsidRPr="00C71041">
        <w:rPr>
          <w:u w:val="single"/>
        </w:rPr>
        <w:t>ancestry</w:t>
      </w:r>
      <w:r w:rsidR="001F0EB1">
        <w:t xml:space="preserve"> heterogeneity should be estimated (ANALYZE HETEROGENEITY option in metal). </w:t>
      </w:r>
      <w:r w:rsidR="0021209F">
        <w:t xml:space="preserve"> </w:t>
      </w:r>
    </w:p>
    <w:p w14:paraId="447F4DF3" w14:textId="3E1F4A29" w:rsidR="00F643AD" w:rsidRPr="00E849A5" w:rsidRDefault="00594FC9" w:rsidP="00F643AD">
      <w:r>
        <w:rPr>
          <w:noProof/>
        </w:rPr>
        <w:drawing>
          <wp:inline distT="0" distB="0" distL="0" distR="0" wp14:anchorId="5A89DC56" wp14:editId="7968A217">
            <wp:extent cx="5846445" cy="1359535"/>
            <wp:effectExtent l="0" t="0" r="190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6445" cy="1359535"/>
                    </a:xfrm>
                    <a:prstGeom prst="rect">
                      <a:avLst/>
                    </a:prstGeom>
                    <a:noFill/>
                  </pic:spPr>
                </pic:pic>
              </a:graphicData>
            </a:graphic>
          </wp:inline>
        </w:drawing>
      </w:r>
    </w:p>
    <w:p w14:paraId="56048A30" w14:textId="77777777" w:rsidR="00F643AD" w:rsidRPr="00E849A5" w:rsidRDefault="00F643AD" w:rsidP="00F2483E"/>
    <w:sectPr w:rsidR="00F643AD" w:rsidRPr="00E849A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omas Winkler" w:date="2023-05-08T11:46:00Z" w:initials="TW">
    <w:p w14:paraId="0C946608" w14:textId="1D9F50C8" w:rsidR="007D5588" w:rsidRDefault="007D5588">
      <w:pPr>
        <w:pStyle w:val="Kommentartext"/>
      </w:pPr>
      <w:r>
        <w:rPr>
          <w:rStyle w:val="Kommentarzeichen"/>
        </w:rPr>
        <w:annotationRef/>
      </w:r>
      <w:r w:rsidR="0070154E">
        <w:rPr>
          <w:rStyle w:val="Kommentarzeichen"/>
        </w:rPr>
        <w:t>To be updated. The current focus was on everything starting at 4.</w:t>
      </w:r>
    </w:p>
  </w:comment>
  <w:comment w:id="3" w:author="Thomas Winkler" w:date="2023-04-28T18:42:00Z" w:initials="TW">
    <w:p w14:paraId="57086B99" w14:textId="0803EF99" w:rsidR="0071348B" w:rsidRDefault="0071348B" w:rsidP="0071348B">
      <w:pPr>
        <w:pStyle w:val="Kommentartext"/>
      </w:pPr>
      <w:r>
        <w:rPr>
          <w:rStyle w:val="Kommentarzeichen"/>
        </w:rPr>
        <w:annotationRef/>
      </w:r>
      <w:r>
        <w:t xml:space="preserve">In terms of clumping trans-ancestry results. Should we use the EUR to clump trans-results because EUR may be the largest contributor? </w:t>
      </w:r>
    </w:p>
  </w:comment>
  <w:comment w:id="4" w:author="Rao, DC" w:date="2023-04-28T15:45:00Z" w:initials="RD">
    <w:p w14:paraId="7914BE52" w14:textId="77777777" w:rsidR="0071348B" w:rsidRDefault="0071348B" w:rsidP="0071348B">
      <w:pPr>
        <w:pStyle w:val="Kommentartext"/>
      </w:pPr>
      <w:r>
        <w:rPr>
          <w:rStyle w:val="Kommentarzeichen"/>
        </w:rPr>
        <w:annotationRef/>
      </w:r>
      <w:r>
        <w:t>Why not use all population groups combined to maximize portability? Needs group discussion.</w:t>
      </w:r>
    </w:p>
  </w:comment>
  <w:comment w:id="5" w:author="Bentley, Amy (NIH/NHGRI) [E]" w:date="2023-05-18T14:00:00Z" w:initials="BA([">
    <w:p w14:paraId="18629484" w14:textId="6953A3D3" w:rsidR="000840E3" w:rsidRDefault="000840E3">
      <w:pPr>
        <w:pStyle w:val="Kommentartext"/>
      </w:pPr>
      <w:r>
        <w:rPr>
          <w:rStyle w:val="Kommentarzeichen"/>
        </w:rPr>
        <w:annotationRef/>
      </w:r>
      <w:r>
        <w:t>I agree with DC if it is possible. It would be great to leverage the diversity of the samples that we have, which I think is an exciting feature of these projects!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946608" w15:done="0"/>
  <w15:commentEx w15:paraId="57086B99" w15:done="0"/>
  <w15:commentEx w15:paraId="7914BE52" w15:paraIdParent="57086B99" w15:done="0"/>
  <w15:commentEx w15:paraId="18629484" w15:paraIdParent="57086B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35FAB" w16cex:dateUtc="2023-05-08T09:46:00Z"/>
  <w16cex:commentExtensible w16cex:durableId="27F6922E" w16cex:dateUtc="2023-04-28T16:42:00Z"/>
  <w16cex:commentExtensible w16cex:durableId="27F66890" w16cex:dateUtc="2023-04-28T20:45:00Z"/>
  <w16cex:commentExtensible w16cex:durableId="2810AE00" w16cex:dateUtc="2023-05-18T18: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946608" w16cid:durableId="28035FAB"/>
  <w16cid:commentId w16cid:paraId="57086B99" w16cid:durableId="27F6922E"/>
  <w16cid:commentId w16cid:paraId="7914BE52" w16cid:durableId="27F66890"/>
  <w16cid:commentId w16cid:paraId="18629484" w16cid:durableId="2810AE0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8315B"/>
    <w:multiLevelType w:val="hybridMultilevel"/>
    <w:tmpl w:val="B5CE50C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D04CF6"/>
    <w:multiLevelType w:val="hybridMultilevel"/>
    <w:tmpl w:val="931C2720"/>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DFF0084"/>
    <w:multiLevelType w:val="hybridMultilevel"/>
    <w:tmpl w:val="3C5289F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390B66"/>
    <w:multiLevelType w:val="hybridMultilevel"/>
    <w:tmpl w:val="EF565A86"/>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E0E167B"/>
    <w:multiLevelType w:val="hybridMultilevel"/>
    <w:tmpl w:val="B5CE50C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1E5318F"/>
    <w:multiLevelType w:val="hybridMultilevel"/>
    <w:tmpl w:val="C1AEB410"/>
    <w:lvl w:ilvl="0" w:tplc="7454212A">
      <w:start w:val="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96F7522"/>
    <w:multiLevelType w:val="hybridMultilevel"/>
    <w:tmpl w:val="BE66DE2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i w:val="0"/>
        <w:iCs w:val="0"/>
        <w:color w:val="000000" w:themeColor="text1"/>
        <w:sz w:val="22"/>
        <w:szCs w:val="22"/>
      </w:rPr>
    </w:lvl>
    <w:lvl w:ilvl="2" w:tplc="FFFFFFFF">
      <w:start w:val="1"/>
      <w:numFmt w:val="lowerRoman"/>
      <w:lvlText w:val="%3."/>
      <w:lvlJc w:val="right"/>
      <w:pPr>
        <w:ind w:left="2160" w:hanging="180"/>
      </w:pPr>
      <w:rPr>
        <w:i w:val="0"/>
        <w:iCs w:val="0"/>
        <w:color w:val="000000" w:themeColor="text1"/>
        <w:sz w:val="22"/>
        <w:szCs w:val="22"/>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96F7EA2"/>
    <w:multiLevelType w:val="hybridMultilevel"/>
    <w:tmpl w:val="E116969E"/>
    <w:lvl w:ilvl="0" w:tplc="0407001B">
      <w:start w:val="1"/>
      <w:numFmt w:val="lowerRoman"/>
      <w:lvlText w:val="%1."/>
      <w:lvlJc w:val="right"/>
      <w:pPr>
        <w:ind w:left="2160" w:hanging="18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A3A6076"/>
    <w:multiLevelType w:val="hybridMultilevel"/>
    <w:tmpl w:val="CD9C7DFC"/>
    <w:lvl w:ilvl="0" w:tplc="BC5EF680">
      <w:start w:val="1"/>
      <w:numFmt w:val="lowerLetter"/>
      <w:lvlText w:val="(%1)"/>
      <w:lvlJc w:val="left"/>
      <w:pPr>
        <w:tabs>
          <w:tab w:val="num" w:pos="720"/>
        </w:tabs>
        <w:ind w:left="720" w:hanging="360"/>
      </w:pPr>
    </w:lvl>
    <w:lvl w:ilvl="1" w:tplc="12301160" w:tentative="1">
      <w:start w:val="1"/>
      <w:numFmt w:val="lowerLetter"/>
      <w:lvlText w:val="(%2)"/>
      <w:lvlJc w:val="left"/>
      <w:pPr>
        <w:tabs>
          <w:tab w:val="num" w:pos="1440"/>
        </w:tabs>
        <w:ind w:left="1440" w:hanging="360"/>
      </w:pPr>
    </w:lvl>
    <w:lvl w:ilvl="2" w:tplc="03F64086" w:tentative="1">
      <w:start w:val="1"/>
      <w:numFmt w:val="lowerLetter"/>
      <w:lvlText w:val="(%3)"/>
      <w:lvlJc w:val="left"/>
      <w:pPr>
        <w:tabs>
          <w:tab w:val="num" w:pos="2160"/>
        </w:tabs>
        <w:ind w:left="2160" w:hanging="360"/>
      </w:pPr>
    </w:lvl>
    <w:lvl w:ilvl="3" w:tplc="E670F1C0" w:tentative="1">
      <w:start w:val="1"/>
      <w:numFmt w:val="lowerLetter"/>
      <w:lvlText w:val="(%4)"/>
      <w:lvlJc w:val="left"/>
      <w:pPr>
        <w:tabs>
          <w:tab w:val="num" w:pos="2880"/>
        </w:tabs>
        <w:ind w:left="2880" w:hanging="360"/>
      </w:pPr>
    </w:lvl>
    <w:lvl w:ilvl="4" w:tplc="1CDEE994" w:tentative="1">
      <w:start w:val="1"/>
      <w:numFmt w:val="lowerLetter"/>
      <w:lvlText w:val="(%5)"/>
      <w:lvlJc w:val="left"/>
      <w:pPr>
        <w:tabs>
          <w:tab w:val="num" w:pos="3600"/>
        </w:tabs>
        <w:ind w:left="3600" w:hanging="360"/>
      </w:pPr>
    </w:lvl>
    <w:lvl w:ilvl="5" w:tplc="9AD0AD18" w:tentative="1">
      <w:start w:val="1"/>
      <w:numFmt w:val="lowerLetter"/>
      <w:lvlText w:val="(%6)"/>
      <w:lvlJc w:val="left"/>
      <w:pPr>
        <w:tabs>
          <w:tab w:val="num" w:pos="4320"/>
        </w:tabs>
        <w:ind w:left="4320" w:hanging="360"/>
      </w:pPr>
    </w:lvl>
    <w:lvl w:ilvl="6" w:tplc="ED7C36CA" w:tentative="1">
      <w:start w:val="1"/>
      <w:numFmt w:val="lowerLetter"/>
      <w:lvlText w:val="(%7)"/>
      <w:lvlJc w:val="left"/>
      <w:pPr>
        <w:tabs>
          <w:tab w:val="num" w:pos="5040"/>
        </w:tabs>
        <w:ind w:left="5040" w:hanging="360"/>
      </w:pPr>
    </w:lvl>
    <w:lvl w:ilvl="7" w:tplc="73E487E4" w:tentative="1">
      <w:start w:val="1"/>
      <w:numFmt w:val="lowerLetter"/>
      <w:lvlText w:val="(%8)"/>
      <w:lvlJc w:val="left"/>
      <w:pPr>
        <w:tabs>
          <w:tab w:val="num" w:pos="5760"/>
        </w:tabs>
        <w:ind w:left="5760" w:hanging="360"/>
      </w:pPr>
    </w:lvl>
    <w:lvl w:ilvl="8" w:tplc="B798BC3A" w:tentative="1">
      <w:start w:val="1"/>
      <w:numFmt w:val="lowerLetter"/>
      <w:lvlText w:val="(%9)"/>
      <w:lvlJc w:val="left"/>
      <w:pPr>
        <w:tabs>
          <w:tab w:val="num" w:pos="6480"/>
        </w:tabs>
        <w:ind w:left="6480" w:hanging="360"/>
      </w:pPr>
    </w:lvl>
  </w:abstractNum>
  <w:abstractNum w:abstractNumId="9" w15:restartNumberingAfterBreak="0">
    <w:nsid w:val="4B50039F"/>
    <w:multiLevelType w:val="hybridMultilevel"/>
    <w:tmpl w:val="334EC3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AA5696"/>
    <w:multiLevelType w:val="hybridMultilevel"/>
    <w:tmpl w:val="8BCC9DC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F1657D1"/>
    <w:multiLevelType w:val="hybridMultilevel"/>
    <w:tmpl w:val="386CEDA6"/>
    <w:lvl w:ilvl="0" w:tplc="F34892E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9281E24"/>
    <w:multiLevelType w:val="hybridMultilevel"/>
    <w:tmpl w:val="EA60E344"/>
    <w:lvl w:ilvl="0" w:tplc="22D4629A">
      <w:start w:val="1"/>
      <w:numFmt w:val="lowerRoman"/>
      <w:lvlText w:val="(%1)"/>
      <w:lvlJc w:val="right"/>
      <w:pPr>
        <w:tabs>
          <w:tab w:val="num" w:pos="720"/>
        </w:tabs>
        <w:ind w:left="720" w:hanging="360"/>
      </w:pPr>
    </w:lvl>
    <w:lvl w:ilvl="1" w:tplc="020E38BE">
      <w:start w:val="1"/>
      <w:numFmt w:val="lowerRoman"/>
      <w:lvlText w:val="(%2)"/>
      <w:lvlJc w:val="right"/>
      <w:pPr>
        <w:tabs>
          <w:tab w:val="num" w:pos="1440"/>
        </w:tabs>
        <w:ind w:left="1440" w:hanging="360"/>
      </w:pPr>
    </w:lvl>
    <w:lvl w:ilvl="2" w:tplc="2384CF30" w:tentative="1">
      <w:start w:val="1"/>
      <w:numFmt w:val="lowerRoman"/>
      <w:lvlText w:val="(%3)"/>
      <w:lvlJc w:val="right"/>
      <w:pPr>
        <w:tabs>
          <w:tab w:val="num" w:pos="2160"/>
        </w:tabs>
        <w:ind w:left="2160" w:hanging="360"/>
      </w:pPr>
    </w:lvl>
    <w:lvl w:ilvl="3" w:tplc="E1B8DBD8" w:tentative="1">
      <w:start w:val="1"/>
      <w:numFmt w:val="lowerRoman"/>
      <w:lvlText w:val="(%4)"/>
      <w:lvlJc w:val="right"/>
      <w:pPr>
        <w:tabs>
          <w:tab w:val="num" w:pos="2880"/>
        </w:tabs>
        <w:ind w:left="2880" w:hanging="360"/>
      </w:pPr>
    </w:lvl>
    <w:lvl w:ilvl="4" w:tplc="760052A0" w:tentative="1">
      <w:start w:val="1"/>
      <w:numFmt w:val="lowerRoman"/>
      <w:lvlText w:val="(%5)"/>
      <w:lvlJc w:val="right"/>
      <w:pPr>
        <w:tabs>
          <w:tab w:val="num" w:pos="3600"/>
        </w:tabs>
        <w:ind w:left="3600" w:hanging="360"/>
      </w:pPr>
    </w:lvl>
    <w:lvl w:ilvl="5" w:tplc="323C6E30" w:tentative="1">
      <w:start w:val="1"/>
      <w:numFmt w:val="lowerRoman"/>
      <w:lvlText w:val="(%6)"/>
      <w:lvlJc w:val="right"/>
      <w:pPr>
        <w:tabs>
          <w:tab w:val="num" w:pos="4320"/>
        </w:tabs>
        <w:ind w:left="4320" w:hanging="360"/>
      </w:pPr>
    </w:lvl>
    <w:lvl w:ilvl="6" w:tplc="BA6EBCBA" w:tentative="1">
      <w:start w:val="1"/>
      <w:numFmt w:val="lowerRoman"/>
      <w:lvlText w:val="(%7)"/>
      <w:lvlJc w:val="right"/>
      <w:pPr>
        <w:tabs>
          <w:tab w:val="num" w:pos="5040"/>
        </w:tabs>
        <w:ind w:left="5040" w:hanging="360"/>
      </w:pPr>
    </w:lvl>
    <w:lvl w:ilvl="7" w:tplc="BCE4FE7C" w:tentative="1">
      <w:start w:val="1"/>
      <w:numFmt w:val="lowerRoman"/>
      <w:lvlText w:val="(%8)"/>
      <w:lvlJc w:val="right"/>
      <w:pPr>
        <w:tabs>
          <w:tab w:val="num" w:pos="5760"/>
        </w:tabs>
        <w:ind w:left="5760" w:hanging="360"/>
      </w:pPr>
    </w:lvl>
    <w:lvl w:ilvl="8" w:tplc="6BD09982" w:tentative="1">
      <w:start w:val="1"/>
      <w:numFmt w:val="lowerRoman"/>
      <w:lvlText w:val="(%9)"/>
      <w:lvlJc w:val="right"/>
      <w:pPr>
        <w:tabs>
          <w:tab w:val="num" w:pos="6480"/>
        </w:tabs>
        <w:ind w:left="6480" w:hanging="360"/>
      </w:pPr>
    </w:lvl>
  </w:abstractNum>
  <w:abstractNum w:abstractNumId="13" w15:restartNumberingAfterBreak="0">
    <w:nsid w:val="68501348"/>
    <w:multiLevelType w:val="hybridMultilevel"/>
    <w:tmpl w:val="BAA02D08"/>
    <w:lvl w:ilvl="0" w:tplc="0409000F">
      <w:start w:val="1"/>
      <w:numFmt w:val="decimal"/>
      <w:lvlText w:val="%1."/>
      <w:lvlJc w:val="left"/>
      <w:pPr>
        <w:ind w:left="720" w:hanging="360"/>
      </w:pPr>
      <w:rPr>
        <w:rFonts w:hint="default"/>
      </w:rPr>
    </w:lvl>
    <w:lvl w:ilvl="1" w:tplc="FA36A73C">
      <w:start w:val="1"/>
      <w:numFmt w:val="lowerLetter"/>
      <w:lvlText w:val="%2."/>
      <w:lvlJc w:val="left"/>
      <w:pPr>
        <w:ind w:left="1440" w:hanging="360"/>
      </w:pPr>
      <w:rPr>
        <w:i w:val="0"/>
        <w:iCs w:val="0"/>
        <w:color w:val="auto"/>
        <w:sz w:val="22"/>
        <w:szCs w:val="2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D364CE"/>
    <w:multiLevelType w:val="hybridMultilevel"/>
    <w:tmpl w:val="F2CE5974"/>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5B3356F"/>
    <w:multiLevelType w:val="hybridMultilevel"/>
    <w:tmpl w:val="CCC2D7CA"/>
    <w:lvl w:ilvl="0" w:tplc="0407000F">
      <w:start w:val="1"/>
      <w:numFmt w:val="decimal"/>
      <w:lvlText w:val="%1."/>
      <w:lvlJc w:val="left"/>
      <w:pPr>
        <w:ind w:left="720" w:hanging="360"/>
      </w:pPr>
      <w:rPr>
        <w:rFonts w:hint="default"/>
      </w:rPr>
    </w:lvl>
    <w:lvl w:ilvl="1" w:tplc="7CE837E6">
      <w:start w:val="1"/>
      <w:numFmt w:val="lowerLetter"/>
      <w:lvlText w:val="%2."/>
      <w:lvlJc w:val="left"/>
      <w:pPr>
        <w:ind w:left="1440" w:hanging="360"/>
      </w:pPr>
      <w:rPr>
        <w:i w:val="0"/>
        <w:iCs w:val="0"/>
        <w:color w:val="000000" w:themeColor="text1"/>
        <w:sz w:val="22"/>
        <w:szCs w:val="22"/>
      </w:rPr>
    </w:lvl>
    <w:lvl w:ilvl="2" w:tplc="12887356">
      <w:start w:val="1"/>
      <w:numFmt w:val="lowerRoman"/>
      <w:lvlText w:val="%3."/>
      <w:lvlJc w:val="right"/>
      <w:pPr>
        <w:ind w:left="2160" w:hanging="180"/>
      </w:pPr>
      <w:rPr>
        <w:i w:val="0"/>
        <w:iCs w:val="0"/>
        <w:color w:val="000000" w:themeColor="text1"/>
        <w:sz w:val="22"/>
        <w:szCs w:val="22"/>
      </w:r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7610FC0"/>
    <w:multiLevelType w:val="hybridMultilevel"/>
    <w:tmpl w:val="2AD0E246"/>
    <w:lvl w:ilvl="0" w:tplc="934EAC08">
      <w:numFmt w:val="bullet"/>
      <w:lvlText w:val="-"/>
      <w:lvlJc w:val="left"/>
      <w:pPr>
        <w:ind w:left="709" w:hanging="360"/>
      </w:pPr>
      <w:rPr>
        <w:rFonts w:ascii="Calibri" w:eastAsiaTheme="minorHAnsi" w:hAnsi="Calibri" w:cs="Calibri" w:hint="default"/>
      </w:rPr>
    </w:lvl>
    <w:lvl w:ilvl="1" w:tplc="04070003">
      <w:start w:val="1"/>
      <w:numFmt w:val="bullet"/>
      <w:lvlText w:val="o"/>
      <w:lvlJc w:val="left"/>
      <w:pPr>
        <w:ind w:left="1429" w:hanging="360"/>
      </w:pPr>
      <w:rPr>
        <w:rFonts w:ascii="Courier New" w:hAnsi="Courier New" w:cs="Courier New" w:hint="default"/>
      </w:rPr>
    </w:lvl>
    <w:lvl w:ilvl="2" w:tplc="04070005" w:tentative="1">
      <w:start w:val="1"/>
      <w:numFmt w:val="bullet"/>
      <w:lvlText w:val=""/>
      <w:lvlJc w:val="left"/>
      <w:pPr>
        <w:ind w:left="2149" w:hanging="360"/>
      </w:pPr>
      <w:rPr>
        <w:rFonts w:ascii="Wingdings" w:hAnsi="Wingdings" w:hint="default"/>
      </w:rPr>
    </w:lvl>
    <w:lvl w:ilvl="3" w:tplc="04070001" w:tentative="1">
      <w:start w:val="1"/>
      <w:numFmt w:val="bullet"/>
      <w:lvlText w:val=""/>
      <w:lvlJc w:val="left"/>
      <w:pPr>
        <w:ind w:left="2869" w:hanging="360"/>
      </w:pPr>
      <w:rPr>
        <w:rFonts w:ascii="Symbol" w:hAnsi="Symbol" w:hint="default"/>
      </w:rPr>
    </w:lvl>
    <w:lvl w:ilvl="4" w:tplc="04070003" w:tentative="1">
      <w:start w:val="1"/>
      <w:numFmt w:val="bullet"/>
      <w:lvlText w:val="o"/>
      <w:lvlJc w:val="left"/>
      <w:pPr>
        <w:ind w:left="3589" w:hanging="360"/>
      </w:pPr>
      <w:rPr>
        <w:rFonts w:ascii="Courier New" w:hAnsi="Courier New" w:cs="Courier New" w:hint="default"/>
      </w:rPr>
    </w:lvl>
    <w:lvl w:ilvl="5" w:tplc="04070005" w:tentative="1">
      <w:start w:val="1"/>
      <w:numFmt w:val="bullet"/>
      <w:lvlText w:val=""/>
      <w:lvlJc w:val="left"/>
      <w:pPr>
        <w:ind w:left="4309" w:hanging="360"/>
      </w:pPr>
      <w:rPr>
        <w:rFonts w:ascii="Wingdings" w:hAnsi="Wingdings" w:hint="default"/>
      </w:rPr>
    </w:lvl>
    <w:lvl w:ilvl="6" w:tplc="04070001" w:tentative="1">
      <w:start w:val="1"/>
      <w:numFmt w:val="bullet"/>
      <w:lvlText w:val=""/>
      <w:lvlJc w:val="left"/>
      <w:pPr>
        <w:ind w:left="5029" w:hanging="360"/>
      </w:pPr>
      <w:rPr>
        <w:rFonts w:ascii="Symbol" w:hAnsi="Symbol" w:hint="default"/>
      </w:rPr>
    </w:lvl>
    <w:lvl w:ilvl="7" w:tplc="04070003" w:tentative="1">
      <w:start w:val="1"/>
      <w:numFmt w:val="bullet"/>
      <w:lvlText w:val="o"/>
      <w:lvlJc w:val="left"/>
      <w:pPr>
        <w:ind w:left="5749" w:hanging="360"/>
      </w:pPr>
      <w:rPr>
        <w:rFonts w:ascii="Courier New" w:hAnsi="Courier New" w:cs="Courier New" w:hint="default"/>
      </w:rPr>
    </w:lvl>
    <w:lvl w:ilvl="8" w:tplc="04070005" w:tentative="1">
      <w:start w:val="1"/>
      <w:numFmt w:val="bullet"/>
      <w:lvlText w:val=""/>
      <w:lvlJc w:val="left"/>
      <w:pPr>
        <w:ind w:left="6469" w:hanging="360"/>
      </w:pPr>
      <w:rPr>
        <w:rFonts w:ascii="Wingdings" w:hAnsi="Wingdings" w:hint="default"/>
      </w:rPr>
    </w:lvl>
  </w:abstractNum>
  <w:abstractNum w:abstractNumId="17" w15:restartNumberingAfterBreak="0">
    <w:nsid w:val="7F0129D7"/>
    <w:multiLevelType w:val="hybridMultilevel"/>
    <w:tmpl w:val="9BE2D7AA"/>
    <w:lvl w:ilvl="0" w:tplc="04070019">
      <w:start w:val="1"/>
      <w:numFmt w:val="lowerLetter"/>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num w:numId="1" w16cid:durableId="1667052511">
    <w:abstractNumId w:val="13"/>
  </w:num>
  <w:num w:numId="2" w16cid:durableId="1828355513">
    <w:abstractNumId w:val="11"/>
  </w:num>
  <w:num w:numId="3" w16cid:durableId="1480339393">
    <w:abstractNumId w:val="9"/>
  </w:num>
  <w:num w:numId="4" w16cid:durableId="1989821500">
    <w:abstractNumId w:val="15"/>
  </w:num>
  <w:num w:numId="5" w16cid:durableId="1513179881">
    <w:abstractNumId w:val="7"/>
  </w:num>
  <w:num w:numId="6" w16cid:durableId="249700429">
    <w:abstractNumId w:val="2"/>
  </w:num>
  <w:num w:numId="7" w16cid:durableId="14356012">
    <w:abstractNumId w:val="10"/>
  </w:num>
  <w:num w:numId="8" w16cid:durableId="541865177">
    <w:abstractNumId w:val="4"/>
  </w:num>
  <w:num w:numId="9" w16cid:durableId="1742559910">
    <w:abstractNumId w:val="3"/>
  </w:num>
  <w:num w:numId="10" w16cid:durableId="17001707">
    <w:abstractNumId w:val="1"/>
  </w:num>
  <w:num w:numId="11" w16cid:durableId="90903493">
    <w:abstractNumId w:val="0"/>
  </w:num>
  <w:num w:numId="12" w16cid:durableId="2076272115">
    <w:abstractNumId w:val="17"/>
  </w:num>
  <w:num w:numId="13" w16cid:durableId="2054424769">
    <w:abstractNumId w:val="12"/>
  </w:num>
  <w:num w:numId="14" w16cid:durableId="601108622">
    <w:abstractNumId w:val="8"/>
  </w:num>
  <w:num w:numId="15" w16cid:durableId="1320232698">
    <w:abstractNumId w:val="6"/>
  </w:num>
  <w:num w:numId="16" w16cid:durableId="1669481391">
    <w:abstractNumId w:val="5"/>
  </w:num>
  <w:num w:numId="17" w16cid:durableId="1931811042">
    <w:abstractNumId w:val="14"/>
  </w:num>
  <w:num w:numId="18" w16cid:durableId="75976384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Winkler">
    <w15:presenceInfo w15:providerId="Windows Live" w15:userId="d0ef8ea02821f7e9"/>
  </w15:person>
  <w15:person w15:author="Rao, DC">
    <w15:presenceInfo w15:providerId="AD" w15:userId="S::rao@wustl.edu::185e6391-0843-4e42-923e-0bd2116b9c82"/>
  </w15:person>
  <w15:person w15:author="Bentley, Amy (NIH/NHGRI) [E]">
    <w15:presenceInfo w15:providerId="AD" w15:userId="S::amybr@nih.gov::951dd4cb-68d4-40ee-8bda-c7c42af2cd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6EC"/>
    <w:rsid w:val="000010B1"/>
    <w:rsid w:val="00004160"/>
    <w:rsid w:val="000115AA"/>
    <w:rsid w:val="0001531F"/>
    <w:rsid w:val="0001595A"/>
    <w:rsid w:val="000619F2"/>
    <w:rsid w:val="00074A88"/>
    <w:rsid w:val="00081B37"/>
    <w:rsid w:val="000840E3"/>
    <w:rsid w:val="0009332F"/>
    <w:rsid w:val="000A479F"/>
    <w:rsid w:val="000C1F0E"/>
    <w:rsid w:val="000D3060"/>
    <w:rsid w:val="00113A03"/>
    <w:rsid w:val="001172A8"/>
    <w:rsid w:val="00137BC1"/>
    <w:rsid w:val="0014390D"/>
    <w:rsid w:val="001454D1"/>
    <w:rsid w:val="00151E2F"/>
    <w:rsid w:val="0015791A"/>
    <w:rsid w:val="00166418"/>
    <w:rsid w:val="00180892"/>
    <w:rsid w:val="001919EF"/>
    <w:rsid w:val="001A5F56"/>
    <w:rsid w:val="001B2C12"/>
    <w:rsid w:val="001C7B8F"/>
    <w:rsid w:val="001E2001"/>
    <w:rsid w:val="001E5DC3"/>
    <w:rsid w:val="001E69C8"/>
    <w:rsid w:val="001F0EB1"/>
    <w:rsid w:val="0021209F"/>
    <w:rsid w:val="00234452"/>
    <w:rsid w:val="00283C2A"/>
    <w:rsid w:val="002903AD"/>
    <w:rsid w:val="002979F0"/>
    <w:rsid w:val="002C29EF"/>
    <w:rsid w:val="002E462B"/>
    <w:rsid w:val="002E49A6"/>
    <w:rsid w:val="002F06CF"/>
    <w:rsid w:val="002F480C"/>
    <w:rsid w:val="00301CA2"/>
    <w:rsid w:val="003022DB"/>
    <w:rsid w:val="003326EC"/>
    <w:rsid w:val="00356A62"/>
    <w:rsid w:val="00374DB3"/>
    <w:rsid w:val="00376A7D"/>
    <w:rsid w:val="00396187"/>
    <w:rsid w:val="003C12FC"/>
    <w:rsid w:val="003E3930"/>
    <w:rsid w:val="003E61E6"/>
    <w:rsid w:val="003E753C"/>
    <w:rsid w:val="004017C7"/>
    <w:rsid w:val="0042696F"/>
    <w:rsid w:val="0043042E"/>
    <w:rsid w:val="00436387"/>
    <w:rsid w:val="00456BDA"/>
    <w:rsid w:val="00460D53"/>
    <w:rsid w:val="0048483D"/>
    <w:rsid w:val="00490282"/>
    <w:rsid w:val="004A0402"/>
    <w:rsid w:val="004A43EE"/>
    <w:rsid w:val="004D0C1A"/>
    <w:rsid w:val="004D6BE2"/>
    <w:rsid w:val="004D6FED"/>
    <w:rsid w:val="004E3FA8"/>
    <w:rsid w:val="00542987"/>
    <w:rsid w:val="0056154C"/>
    <w:rsid w:val="00566EE2"/>
    <w:rsid w:val="00577B9B"/>
    <w:rsid w:val="00594FC9"/>
    <w:rsid w:val="005A1A99"/>
    <w:rsid w:val="005A7CAD"/>
    <w:rsid w:val="005B3A17"/>
    <w:rsid w:val="005D6AE0"/>
    <w:rsid w:val="005E314A"/>
    <w:rsid w:val="005F4655"/>
    <w:rsid w:val="0062600D"/>
    <w:rsid w:val="00630D16"/>
    <w:rsid w:val="0064332B"/>
    <w:rsid w:val="006656ED"/>
    <w:rsid w:val="006A3C1E"/>
    <w:rsid w:val="006C10B8"/>
    <w:rsid w:val="00700DC1"/>
    <w:rsid w:val="0070154E"/>
    <w:rsid w:val="00712985"/>
    <w:rsid w:val="0071348B"/>
    <w:rsid w:val="0072004D"/>
    <w:rsid w:val="00724944"/>
    <w:rsid w:val="00737D3F"/>
    <w:rsid w:val="00737DD3"/>
    <w:rsid w:val="00760791"/>
    <w:rsid w:val="00792875"/>
    <w:rsid w:val="0079474D"/>
    <w:rsid w:val="007A0058"/>
    <w:rsid w:val="007B13A8"/>
    <w:rsid w:val="007B5FE5"/>
    <w:rsid w:val="007C1D1D"/>
    <w:rsid w:val="007D5588"/>
    <w:rsid w:val="007E08EF"/>
    <w:rsid w:val="007E098C"/>
    <w:rsid w:val="007E6B35"/>
    <w:rsid w:val="008023BA"/>
    <w:rsid w:val="008134C8"/>
    <w:rsid w:val="008320F1"/>
    <w:rsid w:val="0083276F"/>
    <w:rsid w:val="00835CD1"/>
    <w:rsid w:val="008445C9"/>
    <w:rsid w:val="00846AD1"/>
    <w:rsid w:val="00867360"/>
    <w:rsid w:val="008A5BE7"/>
    <w:rsid w:val="008B693C"/>
    <w:rsid w:val="008C6F92"/>
    <w:rsid w:val="008D7A39"/>
    <w:rsid w:val="008E41A5"/>
    <w:rsid w:val="008E7B61"/>
    <w:rsid w:val="009003E5"/>
    <w:rsid w:val="00903FF7"/>
    <w:rsid w:val="0090513B"/>
    <w:rsid w:val="00985156"/>
    <w:rsid w:val="009B66E0"/>
    <w:rsid w:val="00A143AC"/>
    <w:rsid w:val="00A14A41"/>
    <w:rsid w:val="00A3198A"/>
    <w:rsid w:val="00A35D9B"/>
    <w:rsid w:val="00A36258"/>
    <w:rsid w:val="00A574DC"/>
    <w:rsid w:val="00A71D47"/>
    <w:rsid w:val="00A83E9D"/>
    <w:rsid w:val="00A92136"/>
    <w:rsid w:val="00AC2ECB"/>
    <w:rsid w:val="00AD6CA5"/>
    <w:rsid w:val="00AD6CD8"/>
    <w:rsid w:val="00AE7731"/>
    <w:rsid w:val="00AF058F"/>
    <w:rsid w:val="00AF4396"/>
    <w:rsid w:val="00B010EC"/>
    <w:rsid w:val="00B028DC"/>
    <w:rsid w:val="00B2295C"/>
    <w:rsid w:val="00B53B4E"/>
    <w:rsid w:val="00B56CE9"/>
    <w:rsid w:val="00B6530D"/>
    <w:rsid w:val="00B808DB"/>
    <w:rsid w:val="00B80A2B"/>
    <w:rsid w:val="00B820BA"/>
    <w:rsid w:val="00B94A35"/>
    <w:rsid w:val="00BA1CD0"/>
    <w:rsid w:val="00BA6CF6"/>
    <w:rsid w:val="00BA6D3B"/>
    <w:rsid w:val="00BB1E74"/>
    <w:rsid w:val="00BB52CB"/>
    <w:rsid w:val="00BB7F55"/>
    <w:rsid w:val="00BE3F7D"/>
    <w:rsid w:val="00BE6787"/>
    <w:rsid w:val="00BF70CE"/>
    <w:rsid w:val="00C17742"/>
    <w:rsid w:val="00C2165E"/>
    <w:rsid w:val="00C310AB"/>
    <w:rsid w:val="00C5090F"/>
    <w:rsid w:val="00C522A4"/>
    <w:rsid w:val="00C57D61"/>
    <w:rsid w:val="00C66E14"/>
    <w:rsid w:val="00C71041"/>
    <w:rsid w:val="00C73D50"/>
    <w:rsid w:val="00C75C25"/>
    <w:rsid w:val="00C82870"/>
    <w:rsid w:val="00C97448"/>
    <w:rsid w:val="00CA1DD4"/>
    <w:rsid w:val="00CA359C"/>
    <w:rsid w:val="00CB242C"/>
    <w:rsid w:val="00CD2B1F"/>
    <w:rsid w:val="00CF7A41"/>
    <w:rsid w:val="00D01616"/>
    <w:rsid w:val="00D40AF9"/>
    <w:rsid w:val="00D40C8A"/>
    <w:rsid w:val="00D43DE1"/>
    <w:rsid w:val="00D53895"/>
    <w:rsid w:val="00D644EE"/>
    <w:rsid w:val="00D649EB"/>
    <w:rsid w:val="00D71D13"/>
    <w:rsid w:val="00D80A17"/>
    <w:rsid w:val="00D83A43"/>
    <w:rsid w:val="00D87AF1"/>
    <w:rsid w:val="00DA2B7B"/>
    <w:rsid w:val="00DB2609"/>
    <w:rsid w:val="00DC0A09"/>
    <w:rsid w:val="00DE0340"/>
    <w:rsid w:val="00DF1275"/>
    <w:rsid w:val="00DF35FA"/>
    <w:rsid w:val="00E0401E"/>
    <w:rsid w:val="00E131A1"/>
    <w:rsid w:val="00E224E1"/>
    <w:rsid w:val="00E320C1"/>
    <w:rsid w:val="00E3241F"/>
    <w:rsid w:val="00E3724E"/>
    <w:rsid w:val="00E479D1"/>
    <w:rsid w:val="00E55595"/>
    <w:rsid w:val="00E849A5"/>
    <w:rsid w:val="00EA2B9B"/>
    <w:rsid w:val="00EA6772"/>
    <w:rsid w:val="00ED3A03"/>
    <w:rsid w:val="00F113A3"/>
    <w:rsid w:val="00F17667"/>
    <w:rsid w:val="00F2483E"/>
    <w:rsid w:val="00F35005"/>
    <w:rsid w:val="00F3701B"/>
    <w:rsid w:val="00F378E2"/>
    <w:rsid w:val="00F6171D"/>
    <w:rsid w:val="00F643AD"/>
    <w:rsid w:val="00F73E45"/>
    <w:rsid w:val="00FC6BF7"/>
    <w:rsid w:val="00FD4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518CA"/>
  <w15:chartTrackingRefBased/>
  <w15:docId w15:val="{0BE1169C-8BBE-4F6D-A445-DD3C60C07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113A3"/>
    <w:pPr>
      <w:keepNext/>
      <w:keepLines/>
      <w:spacing w:before="240" w:after="0" w:line="360" w:lineRule="auto"/>
      <w:outlineLvl w:val="0"/>
    </w:pPr>
    <w:rPr>
      <w:rFonts w:eastAsiaTheme="majorEastAsia" w:cstheme="majorBidi"/>
      <w:b/>
      <w:i/>
      <w:sz w:val="24"/>
      <w:szCs w:val="32"/>
      <w:u w:val="single"/>
    </w:rPr>
  </w:style>
  <w:style w:type="paragraph" w:styleId="berschrift2">
    <w:name w:val="heading 2"/>
    <w:basedOn w:val="Standard"/>
    <w:next w:val="Standard"/>
    <w:link w:val="berschrift2Zchn"/>
    <w:uiPriority w:val="9"/>
    <w:unhideWhenUsed/>
    <w:qFormat/>
    <w:rsid w:val="00074A88"/>
    <w:pPr>
      <w:keepNext/>
      <w:keepLines/>
      <w:spacing w:before="40" w:after="0"/>
      <w:outlineLvl w:val="1"/>
    </w:pPr>
    <w:rPr>
      <w:rFonts w:eastAsiaTheme="majorEastAsia" w:cstheme="majorBidi"/>
      <w:b/>
      <w:i/>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332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172A8"/>
    <w:pPr>
      <w:ind w:left="720"/>
      <w:contextualSpacing/>
    </w:pPr>
  </w:style>
  <w:style w:type="character" w:styleId="Kommentarzeichen">
    <w:name w:val="annotation reference"/>
    <w:basedOn w:val="Absatz-Standardschriftart"/>
    <w:uiPriority w:val="99"/>
    <w:semiHidden/>
    <w:unhideWhenUsed/>
    <w:rsid w:val="00835CD1"/>
    <w:rPr>
      <w:sz w:val="16"/>
      <w:szCs w:val="16"/>
    </w:rPr>
  </w:style>
  <w:style w:type="paragraph" w:styleId="Kommentartext">
    <w:name w:val="annotation text"/>
    <w:basedOn w:val="Standard"/>
    <w:link w:val="KommentartextZchn"/>
    <w:uiPriority w:val="99"/>
    <w:unhideWhenUsed/>
    <w:rsid w:val="00835CD1"/>
    <w:pPr>
      <w:spacing w:line="240" w:lineRule="auto"/>
    </w:pPr>
    <w:rPr>
      <w:sz w:val="20"/>
      <w:szCs w:val="20"/>
    </w:rPr>
  </w:style>
  <w:style w:type="character" w:customStyle="1" w:styleId="KommentartextZchn">
    <w:name w:val="Kommentartext Zchn"/>
    <w:basedOn w:val="Absatz-Standardschriftart"/>
    <w:link w:val="Kommentartext"/>
    <w:uiPriority w:val="99"/>
    <w:rsid w:val="00835CD1"/>
    <w:rPr>
      <w:sz w:val="20"/>
      <w:szCs w:val="20"/>
    </w:rPr>
  </w:style>
  <w:style w:type="paragraph" w:styleId="Kommentarthema">
    <w:name w:val="annotation subject"/>
    <w:basedOn w:val="Kommentartext"/>
    <w:next w:val="Kommentartext"/>
    <w:link w:val="KommentarthemaZchn"/>
    <w:uiPriority w:val="99"/>
    <w:semiHidden/>
    <w:unhideWhenUsed/>
    <w:rsid w:val="00835CD1"/>
    <w:rPr>
      <w:b/>
      <w:bCs/>
    </w:rPr>
  </w:style>
  <w:style w:type="character" w:customStyle="1" w:styleId="KommentarthemaZchn">
    <w:name w:val="Kommentarthema Zchn"/>
    <w:basedOn w:val="KommentartextZchn"/>
    <w:link w:val="Kommentarthema"/>
    <w:uiPriority w:val="99"/>
    <w:semiHidden/>
    <w:rsid w:val="00835CD1"/>
    <w:rPr>
      <w:b/>
      <w:bCs/>
      <w:sz w:val="20"/>
      <w:szCs w:val="20"/>
    </w:rPr>
  </w:style>
  <w:style w:type="paragraph" w:styleId="Sprechblasentext">
    <w:name w:val="Balloon Text"/>
    <w:basedOn w:val="Standard"/>
    <w:link w:val="SprechblasentextZchn"/>
    <w:uiPriority w:val="99"/>
    <w:semiHidden/>
    <w:unhideWhenUsed/>
    <w:rsid w:val="0083276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3276F"/>
    <w:rPr>
      <w:rFonts w:ascii="Segoe UI" w:hAnsi="Segoe UI" w:cs="Segoe UI"/>
      <w:sz w:val="18"/>
      <w:szCs w:val="18"/>
    </w:rPr>
  </w:style>
  <w:style w:type="paragraph" w:styleId="berarbeitung">
    <w:name w:val="Revision"/>
    <w:hidden/>
    <w:uiPriority w:val="99"/>
    <w:semiHidden/>
    <w:rsid w:val="000619F2"/>
    <w:pPr>
      <w:spacing w:after="0" w:line="240" w:lineRule="auto"/>
    </w:pPr>
  </w:style>
  <w:style w:type="character" w:styleId="Fett">
    <w:name w:val="Strong"/>
    <w:basedOn w:val="Absatz-Standardschriftart"/>
    <w:uiPriority w:val="22"/>
    <w:qFormat/>
    <w:rsid w:val="0015791A"/>
    <w:rPr>
      <w:b/>
      <w:bCs/>
    </w:rPr>
  </w:style>
  <w:style w:type="character" w:styleId="Hyperlink">
    <w:name w:val="Hyperlink"/>
    <w:basedOn w:val="Absatz-Standardschriftart"/>
    <w:uiPriority w:val="99"/>
    <w:unhideWhenUsed/>
    <w:rsid w:val="0015791A"/>
    <w:rPr>
      <w:color w:val="0000FF"/>
      <w:u w:val="single"/>
    </w:rPr>
  </w:style>
  <w:style w:type="character" w:styleId="Platzhaltertext">
    <w:name w:val="Placeholder Text"/>
    <w:basedOn w:val="Absatz-Standardschriftart"/>
    <w:uiPriority w:val="99"/>
    <w:semiHidden/>
    <w:rsid w:val="0001595A"/>
    <w:rPr>
      <w:color w:val="808080"/>
    </w:rPr>
  </w:style>
  <w:style w:type="character" w:customStyle="1" w:styleId="UnresolvedMention1">
    <w:name w:val="Unresolved Mention1"/>
    <w:basedOn w:val="Absatz-Standardschriftart"/>
    <w:uiPriority w:val="99"/>
    <w:semiHidden/>
    <w:unhideWhenUsed/>
    <w:rsid w:val="00BE3F7D"/>
    <w:rPr>
      <w:color w:val="605E5C"/>
      <w:shd w:val="clear" w:color="auto" w:fill="E1DFDD"/>
    </w:rPr>
  </w:style>
  <w:style w:type="character" w:styleId="BesuchterLink">
    <w:name w:val="FollowedHyperlink"/>
    <w:basedOn w:val="Absatz-Standardschriftart"/>
    <w:uiPriority w:val="99"/>
    <w:semiHidden/>
    <w:unhideWhenUsed/>
    <w:rsid w:val="00AF4396"/>
    <w:rPr>
      <w:color w:val="954F72" w:themeColor="followedHyperlink"/>
      <w:u w:val="single"/>
    </w:rPr>
  </w:style>
  <w:style w:type="character" w:styleId="NichtaufgelsteErwhnung">
    <w:name w:val="Unresolved Mention"/>
    <w:basedOn w:val="Absatz-Standardschriftart"/>
    <w:uiPriority w:val="99"/>
    <w:semiHidden/>
    <w:unhideWhenUsed/>
    <w:rsid w:val="007D5588"/>
    <w:rPr>
      <w:color w:val="605E5C"/>
      <w:shd w:val="clear" w:color="auto" w:fill="E1DFDD"/>
    </w:rPr>
  </w:style>
  <w:style w:type="character" w:customStyle="1" w:styleId="berschrift1Zchn">
    <w:name w:val="Überschrift 1 Zchn"/>
    <w:basedOn w:val="Absatz-Standardschriftart"/>
    <w:link w:val="berschrift1"/>
    <w:uiPriority w:val="9"/>
    <w:rsid w:val="00F113A3"/>
    <w:rPr>
      <w:rFonts w:eastAsiaTheme="majorEastAsia" w:cstheme="majorBidi"/>
      <w:b/>
      <w:i/>
      <w:sz w:val="24"/>
      <w:szCs w:val="32"/>
      <w:u w:val="single"/>
    </w:rPr>
  </w:style>
  <w:style w:type="character" w:customStyle="1" w:styleId="berschrift2Zchn">
    <w:name w:val="Überschrift 2 Zchn"/>
    <w:basedOn w:val="Absatz-Standardschriftart"/>
    <w:link w:val="berschrift2"/>
    <w:uiPriority w:val="9"/>
    <w:rsid w:val="00074A88"/>
    <w:rPr>
      <w:rFonts w:eastAsiaTheme="majorEastAsia" w:cstheme="majorBidi"/>
      <w:b/>
      <w:i/>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511079">
      <w:bodyDiv w:val="1"/>
      <w:marLeft w:val="0"/>
      <w:marRight w:val="0"/>
      <w:marTop w:val="0"/>
      <w:marBottom w:val="0"/>
      <w:divBdr>
        <w:top w:val="none" w:sz="0" w:space="0" w:color="auto"/>
        <w:left w:val="none" w:sz="0" w:space="0" w:color="auto"/>
        <w:bottom w:val="none" w:sz="0" w:space="0" w:color="auto"/>
        <w:right w:val="none" w:sz="0" w:space="0" w:color="auto"/>
      </w:divBdr>
      <w:divsChild>
        <w:div w:id="74473430">
          <w:marLeft w:val="1354"/>
          <w:marRight w:val="0"/>
          <w:marTop w:val="120"/>
          <w:marBottom w:val="0"/>
          <w:divBdr>
            <w:top w:val="none" w:sz="0" w:space="0" w:color="auto"/>
            <w:left w:val="none" w:sz="0" w:space="0" w:color="auto"/>
            <w:bottom w:val="none" w:sz="0" w:space="0" w:color="auto"/>
            <w:right w:val="none" w:sz="0" w:space="0" w:color="auto"/>
          </w:divBdr>
        </w:div>
      </w:divsChild>
    </w:div>
    <w:div w:id="1358771370">
      <w:bodyDiv w:val="1"/>
      <w:marLeft w:val="0"/>
      <w:marRight w:val="0"/>
      <w:marTop w:val="0"/>
      <w:marBottom w:val="0"/>
      <w:divBdr>
        <w:top w:val="none" w:sz="0" w:space="0" w:color="auto"/>
        <w:left w:val="none" w:sz="0" w:space="0" w:color="auto"/>
        <w:bottom w:val="none" w:sz="0" w:space="0" w:color="auto"/>
        <w:right w:val="none" w:sz="0" w:space="0" w:color="auto"/>
      </w:divBdr>
      <w:divsChild>
        <w:div w:id="1876262396">
          <w:marLeft w:val="634"/>
          <w:marRight w:val="0"/>
          <w:marTop w:val="120"/>
          <w:marBottom w:val="0"/>
          <w:divBdr>
            <w:top w:val="none" w:sz="0" w:space="0" w:color="auto"/>
            <w:left w:val="none" w:sz="0" w:space="0" w:color="auto"/>
            <w:bottom w:val="none" w:sz="0" w:space="0" w:color="auto"/>
            <w:right w:val="none" w:sz="0" w:space="0" w:color="auto"/>
          </w:divBdr>
        </w:div>
      </w:divsChild>
    </w:div>
    <w:div w:id="176078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nome.sph.umich.edu/wiki/Meta_Analysis_of_SNPxEnvironment_Interaction"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ustl.app.box.com/s/5m1lbx8wpdife1kg32bxg81voh4kapvg/folder/131454415489" TargetMode="External"/><Relationship Id="rId12" Type="http://schemas.microsoft.com/office/2016/09/relationships/commentsIds" Target="commentsIds.xm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rao@wustl.edu" TargetMode="External"/><Relationship Id="rId11" Type="http://schemas.microsoft.com/office/2011/relationships/commentsExtended" Target="commentsExtended.xml"/><Relationship Id="rId5" Type="http://schemas.openxmlformats.org/officeDocument/2006/relationships/hyperlink" Target="mailto:thomas.winkler@ukr.de" TargetMode="External"/><Relationship Id="rId15" Type="http://schemas.openxmlformats.org/officeDocument/2006/relationships/hyperlink" Target="https://www.ncbi.nlm.nih.gov/grc/human/regions/MHC"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www.genepi-regensburg.de/charge-gli" TargetMode="External"/><Relationship Id="rId14" Type="http://schemas.openxmlformats.org/officeDocument/2006/relationships/hyperlink" Target="https://www.ncbi.nlm.nih.gov/grc/human/regions/MH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2035</Words>
  <Characters>12827</Characters>
  <Application>Microsoft Office Word</Application>
  <DocSecurity>0</DocSecurity>
  <Lines>106</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Schwander</dc:creator>
  <cp:keywords/>
  <dc:description/>
  <cp:lastModifiedBy>Thomas Winkler</cp:lastModifiedBy>
  <cp:revision>2</cp:revision>
  <dcterms:created xsi:type="dcterms:W3CDTF">2023-09-05T08:21:00Z</dcterms:created>
  <dcterms:modified xsi:type="dcterms:W3CDTF">2023-09-05T08:21:00Z</dcterms:modified>
</cp:coreProperties>
</file>