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160"/>
      </w:pPr>
      <w:r>
        <w:rPr>
          <w:rFonts w:ascii="Calibri" w:hAnsi="Calibri" w:eastAsia="Heiti SC"/>
          <w:b/>
          <w:i w:val="0"/>
          <w:color w:val="2E74B5"/>
          <w:sz w:val="20"/>
        </w:rPr>
        <w:t>员工关系智能体 / 阶段性整理稿</w:t>
      </w:r>
    </w:p>
    <w:p>
      <w:pPr>
        <w:spacing w:after="120"/>
      </w:pPr>
      <w:r>
        <w:rPr>
          <w:rFonts w:ascii="Calibri" w:hAnsi="Calibri" w:eastAsia="Heiti SC"/>
          <w:b/>
          <w:i w:val="0"/>
          <w:color w:val="0B2545"/>
          <w:sz w:val="48"/>
        </w:rPr>
        <w:t>项目现状、需求差距与下一步计划</w:t>
      </w:r>
    </w:p>
    <w:p>
      <w:pPr>
        <w:spacing w:after="400"/>
      </w:pPr>
      <w:r>
        <w:rPr>
          <w:rFonts w:ascii="Calibri" w:hAnsi="Calibri" w:eastAsia="Heiti SC"/>
          <w:b w:val="0"/>
          <w:i w:val="0"/>
          <w:color w:val="5F6B76"/>
          <w:sz w:val="25"/>
        </w:rPr>
        <w:t>基于 HRAgent v2 现有仓库、交接文档及员工关系智能体需求文档</w:t>
      </w:r>
    </w:p>
    <w:p>
      <w:pPr>
        <w:spacing w:after="60"/>
      </w:pPr>
      <w:r>
        <w:rPr>
          <w:rFonts w:ascii="Calibri" w:hAnsi="Calibri" w:eastAsia="Heiti SC"/>
          <w:b/>
          <w:i w:val="0"/>
          <w:color w:val="0B2545"/>
          <w:sz w:val="21"/>
        </w:rPr>
        <w:t>项目：</w:t>
      </w:r>
      <w:r>
        <w:rPr>
          <w:rFonts w:ascii="Calibri" w:hAnsi="Calibri" w:eastAsia="Heiti SC"/>
          <w:b w:val="0"/>
          <w:i w:val="0"/>
          <w:color w:val="5F6B76"/>
          <w:sz w:val="21"/>
        </w:rPr>
        <w:t>上海临港漕河泾人才有限公司 · 员工关系智能体</w:t>
      </w:r>
    </w:p>
    <w:p>
      <w:pPr>
        <w:spacing w:after="60"/>
      </w:pPr>
      <w:r>
        <w:rPr>
          <w:rFonts w:ascii="Calibri" w:hAnsi="Calibri" w:eastAsia="Heiti SC"/>
          <w:b/>
          <w:i w:val="0"/>
          <w:color w:val="0B2545"/>
          <w:sz w:val="21"/>
        </w:rPr>
        <w:t>仓库基线：</w:t>
      </w:r>
      <w:r>
        <w:rPr>
          <w:rFonts w:ascii="Calibri" w:hAnsi="Calibri" w:eastAsia="Heiti SC"/>
          <w:b w:val="0"/>
          <w:i w:val="0"/>
          <w:color w:val="5F6B76"/>
          <w:sz w:val="21"/>
        </w:rPr>
        <w:t>GitHub v2 分支，提交 36fe81f（2026-08-18）</w:t>
      </w:r>
    </w:p>
    <w:p>
      <w:pPr>
        <w:spacing w:after="60"/>
      </w:pPr>
      <w:r>
        <w:rPr>
          <w:rFonts w:ascii="Calibri" w:hAnsi="Calibri" w:eastAsia="Heiti SC"/>
          <w:b/>
          <w:i w:val="0"/>
          <w:color w:val="0B2545"/>
          <w:sz w:val="21"/>
        </w:rPr>
        <w:t>本机目录：</w:t>
      </w:r>
      <w:r>
        <w:rPr>
          <w:rFonts w:ascii="Calibri" w:hAnsi="Calibri" w:eastAsia="Heiti SC"/>
          <w:b w:val="0"/>
          <w:i w:val="0"/>
          <w:color w:val="5F6B76"/>
          <w:sz w:val="21"/>
        </w:rPr>
        <w:t>/Users/a77/临港漕河泾人才有限公司/员工关系</w:t>
      </w:r>
    </w:p>
    <w:p>
      <w:pPr>
        <w:spacing w:after="60"/>
      </w:pPr>
      <w:r>
        <w:rPr>
          <w:rFonts w:ascii="Calibri" w:hAnsi="Calibri" w:eastAsia="Heiti SC"/>
          <w:b/>
          <w:i w:val="0"/>
          <w:color w:val="0B2545"/>
          <w:sz w:val="21"/>
        </w:rPr>
        <w:t>文档日期：</w:t>
      </w:r>
      <w:r>
        <w:rPr>
          <w:rFonts w:ascii="Calibri" w:hAnsi="Calibri" w:eastAsia="Heiti SC"/>
          <w:b w:val="0"/>
          <w:i w:val="0"/>
          <w:color w:val="5F6B76"/>
          <w:sz w:val="21"/>
        </w:rPr>
        <w:t>2026-08-18 · v1.0 工作稿</w:t>
      </w:r>
    </w:p>
    <w:p>
      <w:pPr>
        <w:pStyle w:val="Heading1"/>
      </w:pPr>
      <w:r>
        <w:t>执行摘要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Heiti SC"/>
          <w:b/>
          <w:i w:val="0"/>
          <w:color w:val="2E74B5"/>
          <w:sz w:val="22"/>
        </w:rPr>
        <w:t xml:space="preserve">核心结论  </w:t>
      </w:r>
      <w:r>
        <w:rPr>
          <w:rFonts w:ascii="Calibri" w:hAnsi="Calibri" w:eastAsia="Heiti SC"/>
          <w:b w:val="0"/>
          <w:i w:val="0"/>
          <w:color w:val="0B2545"/>
          <w:sz w:val="22"/>
        </w:rPr>
        <w:t>现有 HRAgent v2 与本期员工关系智能体需求有较高重合度，适合作为继续整理和改造的技术基线，不建议另起一套 Python/FastAPI/LangGraph/Milvus/React 项目。近期工作的正确顺序是：先在本机完整复现并形成验收基线，再围绕需求差距做增量改造。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仓库已成功克隆到当前“员工关系”目录，位于 v2 分支，Git 工作区干净。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现有代码覆盖 SaaS 管理端、独立 AI 网页、钉钉入口、n8n 编排、RAG 知识库、权限、日志、请假和在职/签证证明等模块。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请假模块保留现有代码，但需求文档已明确本期不新增请假办理能力；后续汇报与验收应把它标记为“既有能力/非本期建设范围”。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当前尚未完成这台电脑上的运行复现：本机没有 Docker 与 PowerShell Core，且本机 JDK 11 低于源码要求的 Java 21；Docker 方式运行后，主机 JDK 和 Node 版本不是主要阻塞。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最关键的 P0 差距是：真实联网搜索、可验证的多智能体事实校验、知识库租户隔离、政策元数据/版本治理，以及生产级用印与人工转接闭环。</w:t>
      </w:r>
    </w:p>
    <w:p>
      <w:r>
        <w:br w:type="page"/>
      </w:r>
    </w:p>
    <w:p>
      <w:pPr>
        <w:pStyle w:val="Heading1"/>
      </w:pPr>
      <w:r>
        <w:t>一、整理口径与范围</w:t>
      </w:r>
    </w:p>
    <w:p>
      <w:r>
        <w:rPr>
          <w:rFonts w:ascii="Calibri" w:hAnsi="Calibri" w:eastAsia="Heiti SC"/>
          <w:b w:val="0"/>
          <w:i w:val="0"/>
          <w:color w:val="0B2545"/>
          <w:sz w:val="22"/>
        </w:rPr>
        <w:t>本稿用于回答三个问题：学长留下的项目目前是什么、与最新员工关系智能体需求相差什么、下一步如何先复现再改造。当前不进行业务代码删除或重构，也不把交接文档中的历史运行结果等同于本机已验证结果。</w:t>
      </w:r>
    </w:p>
    <w:p>
      <w:pPr>
        <w:pStyle w:val="Heading2"/>
      </w:pPr>
      <w:r>
        <w:t>1.1 本期范围判断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540"/>
        <w:gridCol w:w="1780"/>
        <w:gridCol w:w="6040"/>
      </w:tblGrid>
      <w:tr>
        <w:trPr>
          <w:tblHeader w:val="true"/>
        </w:trPr>
        <w:tc>
          <w:tcPr>
            <w:tcW w:type="dxa" w:w="312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540" w:type="dxa"/>
            <w:tcW w:w="1540" w:type="dxa"/>
            <w:tcW w:w="1540" w:type="dxa"/>
            <w:tcW w:w="1540" w:type="dxa"/>
            <w:tcW w:w="1540" w:type="dxa"/>
            <w:tcW w:w="154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type="dxa" w:w="312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780" w:type="dxa"/>
            <w:tcW w:w="1780" w:type="dxa"/>
            <w:tcW w:w="1780" w:type="dxa"/>
            <w:tcW w:w="1780" w:type="dxa"/>
            <w:tcW w:w="1780" w:type="dxa"/>
            <w:tcW w:w="178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本期处理口径</w:t>
            </w:r>
          </w:p>
        </w:tc>
        <w:tc>
          <w:tcPr>
            <w:tcW w:type="dxa" w:w="312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6040" w:type="dxa"/>
            <w:tcW w:w="6040" w:type="dxa"/>
            <w:tcW w:w="6040" w:type="dxa"/>
            <w:tcW w:w="6040" w:type="dxa"/>
            <w:tcW w:w="6040" w:type="dxa"/>
            <w:tcW w:w="604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40" w:type="dxa"/>
            <w:tcW w:w="1540" w:type="dxa"/>
            <w:tcW w:w="1540" w:type="dxa"/>
            <w:tcW w:w="1540" w:type="dxa"/>
            <w:tcW w:w="15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政策与公司问题咨询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80" w:type="dxa"/>
            <w:tcW w:w="1780" w:type="dxa"/>
            <w:tcW w:w="1780" w:type="dxa"/>
            <w:tcW w:w="1780" w:type="dxa"/>
            <w:tcW w:w="1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本期核心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040" w:type="dxa"/>
            <w:tcW w:w="6040" w:type="dxa"/>
            <w:tcW w:w="6040" w:type="dxa"/>
            <w:tcW w:w="6040" w:type="dxa"/>
            <w:tcW w:w="60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国家/企业政策、考勤福利报销、入离职等高频问题，回答需带来源与时效信息。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40" w:type="dxa"/>
            <w:tcW w:w="1540" w:type="dxa"/>
            <w:tcW w:w="1540" w:type="dxa"/>
            <w:tcW w:w="15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知识库与 RAG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80" w:type="dxa"/>
            <w:tcW w:w="1780" w:type="dxa"/>
            <w:tcW w:w="1780" w:type="dxa"/>
            <w:tcW w:w="1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本期核心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040" w:type="dxa"/>
            <w:tcW w:w="6040" w:type="dxa"/>
            <w:tcW w:w="6040" w:type="dxa"/>
            <w:tcW w:w="60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企业制度与国家政策的导入、检索、引用、版本和权限边界。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40" w:type="dxa"/>
            <w:tcW w:w="1540" w:type="dxa"/>
            <w:tcW w:w="15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在职证明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80" w:type="dxa"/>
            <w:tcW w:w="1780" w:type="dxa"/>
            <w:tcW w:w="1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本期核心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040" w:type="dxa"/>
            <w:tcW w:w="6040" w:type="dxa"/>
            <w:tcW w:w="60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身份校验、受控模板、文件生成、HR 用印/审核和全过程留痕。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40" w:type="dxa"/>
            <w:tcW w:w="15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权限、日志、人工介入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80" w:type="dxa"/>
            <w:tcW w:w="1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本期核心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040" w:type="dxa"/>
            <w:tcW w:w="60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角色与数据边界、越权拦截、审计和关键节点人工接管。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请假办理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范围外保留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0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保留学长现有完整代码与演示能力，本期只关注请假政策咨询，不继续扩展办理流程。</w:t>
            </w:r>
          </w:p>
        </w:tc>
      </w:tr>
      <w:tr>
        <w:tc>
          <w:tcPr>
            <w:tcW w:type="dxa" w:w="1540"/>
            <w:tcW w:w="15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情感陪伴、深度薪酬核算</w:t>
            </w:r>
          </w:p>
        </w:tc>
        <w:tc>
          <w:tcPr>
            <w:tcW w:type="dxa" w:w="1780"/>
            <w:tcW w:w="1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本期不做</w:t>
            </w:r>
          </w:p>
        </w:tc>
        <w:tc>
          <w:tcPr>
            <w:tcW w:type="dxa" w:w="6040"/>
            <w:tcW w:w="60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可保留入口或后续设想，不纳入当前验收。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 w:eastAsia="Heiti SC"/>
          <w:b w:val="0"/>
          <w:i/>
          <w:color w:val="5F6B76"/>
          <w:sz w:val="18"/>
        </w:rPr>
        <w:t>依据：01_老师原话方向与要求总结.md；03_员工关系智能体需求文档.md（v0.2）。</w:t>
      </w:r>
    </w:p>
    <w:p>
      <w:pPr>
        <w:pStyle w:val="Heading2"/>
      </w:pPr>
      <w:r>
        <w:t>1.2 技术路线判断</w:t>
      </w:r>
    </w:p>
    <w:p>
      <w:pPr>
        <w:spacing w:before="120" w:after="200" w:line="276" w:lineRule="auto"/>
        <w:ind w:left="173" w:right="115"/>
        <w:shd w:fill="FFF8E6"/>
        <w:pBdr>
          <w:left w:val="single" w:sz="18" w:space="8" w:color="8A6200"/>
        </w:pBdr>
      </w:pPr>
      <w:r>
        <w:rPr>
          <w:rFonts w:ascii="Calibri" w:hAnsi="Calibri" w:eastAsia="Heiti SC"/>
          <w:b/>
          <w:i w:val="0"/>
          <w:color w:val="8A6200"/>
          <w:sz w:val="22"/>
        </w:rPr>
        <w:t xml:space="preserve">需要统一的口径  </w:t>
      </w:r>
      <w:r>
        <w:rPr>
          <w:rFonts w:ascii="Calibri" w:hAnsi="Calibri" w:eastAsia="Heiti SC"/>
          <w:b w:val="0"/>
          <w:i w:val="0"/>
          <w:color w:val="0B2545"/>
          <w:sz w:val="22"/>
        </w:rPr>
        <w:t>需求文档中的 FastAPI、LangGraph、Milvus、React、Casbin 是偏绿地建设的建议技术栈；现有仓库已采用 Spring Boot、Vue、n8n、Qdrant、MySQL/Redis。既然项目决定基于现有仓库改造，后续方案应以“满足能力目标”为主，不宜为了对齐工具名称而整体重写。</w:t>
      </w:r>
    </w:p>
    <w:p>
      <w:r>
        <w:rPr>
          <w:rFonts w:ascii="Calibri" w:hAnsi="Calibri" w:eastAsia="Heiti SC"/>
          <w:b w:val="0"/>
          <w:i w:val="0"/>
          <w:color w:val="0B2545"/>
          <w:sz w:val="22"/>
        </w:rPr>
        <w:t>建议保留现有后端和前端主架构，在 n8n 工作流或独立校验服务中补足多智能体校验；继续使用 Qdrant，但补充 workspaceId、政策来源、生效日期、适用地区、适用对象、版本状态等元数据。只有在现有架构无法满足可测试性或审计要求时，才引入小型独立服务。</w:t>
      </w:r>
    </w:p>
    <w:p>
      <w:pPr>
        <w:pStyle w:val="Heading1"/>
      </w:pPr>
      <w:r>
        <w:t>二、现有项目状态</w:t>
      </w:r>
    </w:p>
    <w:p>
      <w:pPr>
        <w:pStyle w:val="Heading2"/>
      </w:pPr>
      <w:r>
        <w:t>2.1 仓库与模块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560"/>
        <w:gridCol w:w="2860"/>
        <w:gridCol w:w="4940"/>
      </w:tblGrid>
      <w:tr>
        <w:trPr>
          <w:tblHeader w:val="true"/>
        </w:trPr>
        <w:tc>
          <w:tcPr>
            <w:tcW w:type="dxa" w:w="312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560" w:type="dxa"/>
            <w:tcW w:w="1560" w:type="dxa"/>
            <w:tcW w:w="1560" w:type="dxa"/>
            <w:tcW w:w="1560" w:type="dxa"/>
            <w:tcW w:w="15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312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2860" w:type="dxa"/>
            <w:tcW w:w="2860" w:type="dxa"/>
            <w:tcW w:w="2860" w:type="dxa"/>
            <w:tcW w:w="2860" w:type="dxa"/>
            <w:tcW w:w="28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主要技术/组件</w:t>
            </w:r>
          </w:p>
        </w:tc>
        <w:tc>
          <w:tcPr>
            <w:tcW w:type="dxa" w:w="312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4940" w:type="dxa"/>
            <w:tcW w:w="4940" w:type="dxa"/>
            <w:tcW w:w="4940" w:type="dxa"/>
            <w:tcW w:w="4940" w:type="dxa"/>
            <w:tcW w:w="494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当前职责</w:t>
            </w:r>
          </w:p>
        </w:tc>
      </w:tr>
      <w:tr>
        <w:tc>
          <w:tcPr>
            <w:tcW w:type="dxa" w:w="156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60" w:type="dxa"/>
            <w:tcW w:w="1560" w:type="dxa"/>
            <w:tcW w:w="1560" w:type="dxa"/>
            <w:tcW w:w="1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hragentv1</w:t>
            </w:r>
          </w:p>
        </w:tc>
        <w:tc>
          <w:tcPr>
            <w:tcW w:type="dxa" w:w="286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860" w:type="dxa"/>
            <w:tcW w:w="2860" w:type="dxa"/>
            <w:tcW w:w="2860" w:type="dxa"/>
            <w:tcW w:w="28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Spring Boot 3.3.5、Vue 3、MySQL、Redis</w:t>
            </w:r>
          </w:p>
        </w:tc>
        <w:tc>
          <w:tcPr>
            <w:tcW w:type="dxa" w:w="494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940" w:type="dxa"/>
            <w:tcW w:w="4940" w:type="dxa"/>
            <w:tcW w:w="4940" w:type="dxa"/>
            <w:tcW w:w="4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员工、组织、角色权限、请假、证明申请、知识库后台、日志和开放接口。</w:t>
            </w:r>
          </w:p>
        </w:tc>
      </w:tr>
      <w:tr>
        <w:tc>
          <w:tcPr>
            <w:tcW w:type="dxa" w:w="156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60" w:type="dxa"/>
            <w:tcW w:w="1560" w:type="dxa"/>
            <w:tcW w:w="1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hragent-chat</w:t>
            </w:r>
          </w:p>
        </w:tc>
        <w:tc>
          <w:tcPr>
            <w:tcW w:type="dxa" w:w="286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860" w:type="dxa"/>
            <w:tcW w:w="2860" w:type="dxa"/>
            <w:tcW w:w="28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Vue 3、Vite</w:t>
            </w:r>
          </w:p>
        </w:tc>
        <w:tc>
          <w:tcPr>
            <w:tcW w:type="dxa" w:w="494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940" w:type="dxa"/>
            <w:tcW w:w="4940" w:type="dxa"/>
            <w:tcW w:w="4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独立 AI 对话入口，使用 SaaS 身份并调用同一套 n8n 智能体。</w:t>
            </w:r>
          </w:p>
        </w:tc>
      </w:tr>
      <w:tr>
        <w:tc>
          <w:tcPr>
            <w:tcW w:type="dxa" w:w="156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60" w:type="dxa"/>
            <w:tcW w:w="1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n8nwork</w:t>
            </w:r>
          </w:p>
        </w:tc>
        <w:tc>
          <w:tcPr>
            <w:tcW w:type="dxa" w:w="286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860" w:type="dxa"/>
            <w:tcW w:w="28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n8n、PostgreSQL、Qdrant、Ollama bge-m3</w:t>
            </w:r>
          </w:p>
        </w:tc>
        <w:tc>
          <w:tcPr>
            <w:tcW w:type="dxa" w:w="494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940" w:type="dxa"/>
            <w:tcW w:w="4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对话编排、RAG 导入/搜索、消息通知、OCR/PDF 解析和错误工作流。</w:t>
            </w:r>
          </w:p>
        </w:tc>
      </w:tr>
      <w:tr>
        <w:tc>
          <w:tcPr>
            <w:tcW w:type="dxa" w:w="156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scripts</w:t>
            </w:r>
          </w:p>
        </w:tc>
        <w:tc>
          <w:tcPr>
            <w:tcW w:type="dxa" w:w="286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8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PowerShell</w:t>
            </w:r>
          </w:p>
        </w:tc>
        <w:tc>
          <w:tcPr>
            <w:tcW w:type="dxa" w:w="494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初始化配置、一键启动、停止、工作流导入、健康检查和边界验收。</w:t>
            </w:r>
          </w:p>
        </w:tc>
      </w:tr>
      <w:tr>
        <w:tc>
          <w:tcPr>
            <w:tcW w:type="dxa" w:w="1560"/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docs</w:t>
            </w:r>
          </w:p>
        </w:tc>
        <w:tc>
          <w:tcPr>
            <w:tcW w:type="dxa" w:w="2860"/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Markdown 交接材料</w:t>
            </w:r>
          </w:p>
        </w:tc>
        <w:tc>
          <w:tcPr>
            <w:tcW w:type="dxa" w:w="4940"/>
            <w:tcW w:w="4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运行、验收、风险、未完成项和历史审计结果。</w:t>
            </w:r>
          </w:p>
        </w:tc>
      </w:tr>
    </w:tbl>
    <w:p>
      <w:pPr>
        <w:spacing w:after="40"/>
      </w:pPr>
    </w:p>
    <w:p>
      <w:pPr>
        <w:pStyle w:val="Heading2"/>
      </w:pPr>
      <w:r>
        <w:t>2.2 当前架构与数据边界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Heiti SC"/>
          <w:b/>
          <w:i w:val="0"/>
          <w:color w:val="2E74B5"/>
          <w:sz w:val="22"/>
        </w:rPr>
        <w:t xml:space="preserve">运行链路  </w:t>
      </w:r>
      <w:r>
        <w:rPr>
          <w:rFonts w:ascii="Calibri" w:hAnsi="Calibri" w:eastAsia="Heiti SC"/>
          <w:b w:val="0"/>
          <w:i w:val="0"/>
          <w:color w:val="0B2545"/>
          <w:sz w:val="22"/>
        </w:rPr>
        <w:t>员工/主管/HR → SaaS 管理端或独立 AI 网页/钉钉 → Spring Boot 身份与权限校验 → n8n 对话与工具编排 → DeepSeek、Qdrant、Ollama、OCR/PDF 服务；MySQL 保存业务事实，n8n 不应以聊天记忆替代真实审批和员工数据。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SaaS 后端是员工身份、组织关系、请假、证明、审批状态和通知的业务可信源。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n8n 负责智能体编排和外部工具调用，权限不能只靠提示词，最终由后端接口再次校验。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Qdrant 保存知识向量，Ollama bge-m3 负责本地向量化，DeepSeek 负责对话生成。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本地服务预期端口：SaaS 5173、AI 网页 5174、后端 8080、n8n 5678、Qdrant 6333、Ollama 11434。</w:t>
      </w:r>
    </w:p>
    <w:p>
      <w:pPr>
        <w:pStyle w:val="Heading2"/>
      </w:pPr>
      <w:r>
        <w:t>2.3 已有能力概览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880"/>
        <w:gridCol w:w="5480"/>
        <w:gridCol w:w="2000"/>
      </w:tblGrid>
      <w:tr>
        <w:trPr>
          <w:tblHeader w:val="true"/>
        </w:trPr>
        <w:tc>
          <w:tcPr>
            <w:tcW w:type="dxa" w:w="312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880" w:type="dxa"/>
            <w:tcW w:w="1880" w:type="dxa"/>
            <w:tcW w:w="1880" w:type="dxa"/>
            <w:tcW w:w="1880" w:type="dxa"/>
            <w:tcW w:w="1880" w:type="dxa"/>
            <w:tcW w:w="1880" w:type="dxa"/>
            <w:tcW w:w="188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能力域</w:t>
            </w:r>
          </w:p>
        </w:tc>
        <w:tc>
          <w:tcPr>
            <w:tcW w:type="dxa" w:w="312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5480" w:type="dxa"/>
            <w:tcW w:w="5480" w:type="dxa"/>
            <w:tcW w:w="5480" w:type="dxa"/>
            <w:tcW w:w="5480" w:type="dxa"/>
            <w:tcW w:w="5480" w:type="dxa"/>
            <w:tcW w:w="5480" w:type="dxa"/>
            <w:tcW w:w="548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现状</w:t>
            </w:r>
          </w:p>
        </w:tc>
        <w:tc>
          <w:tcPr>
            <w:tcW w:type="dxa" w:w="312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2000" w:type="dxa"/>
            <w:tcW w:w="2000" w:type="dxa"/>
            <w:tcW w:w="2000" w:type="dxa"/>
            <w:tcW w:w="2000" w:type="dxa"/>
            <w:tcW w:w="2000" w:type="dxa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判断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  <w:tcW w:w="1880" w:type="dxa"/>
            <w:tcW w:w="1880" w:type="dxa"/>
            <w:tcW w:w="1880" w:type="dxa"/>
            <w:tcW w:w="1880" w:type="dxa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组织与权限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  <w:tcW w:w="5480" w:type="dxa"/>
            <w:tcW w:w="5480" w:type="dxa"/>
            <w:tcW w:w="5480" w:type="dxa"/>
            <w:tcW w:w="5480" w:type="dxa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员工、主管、空间管理员/HR、平台管理员；员工仅本人数据，后端实施权限校验。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  <w:tcW w:w="2000" w:type="dxa"/>
            <w:tcW w:w="2000" w:type="dxa"/>
            <w:tcW w:w="2000" w:type="dxa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基本具备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  <w:tcW w:w="1880" w:type="dxa"/>
            <w:tcW w:w="1880" w:type="dxa"/>
            <w:tcW w:w="1880" w:type="dxa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日志与接口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  <w:tcW w:w="5480" w:type="dxa"/>
            <w:tcW w:w="5480" w:type="dxa"/>
            <w:tcW w:w="5480" w:type="dxa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操作日志、API Key、接口调用记录、错误工作流和请求追踪能力。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  <w:tcW w:w="2000" w:type="dxa"/>
            <w:tcW w:w="2000" w:type="dxa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基本具备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  <w:tcW w:w="1880" w:type="dxa"/>
            <w:tcW w:w="1880" w:type="dxa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RAG 知识库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  <w:tcW w:w="5480" w:type="dxa"/>
            <w:tcW w:w="5480" w:type="dxa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文件导入、切分、向量化、搜索、来源文件名返回；未命中时有拒答保护。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  <w:tcW w:w="2000" w:type="dxa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基本具备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  <w:tcW w:w="1880" w:type="dxa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多端入口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  <w:tcW w:w="5480" w:type="dxa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SaaS、独立 AI 网页和钉钉共用业务数据与智能体。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基本具备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请假闭环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预检、余额/工作日校验、主管审批、HR 备案、通知和日历。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5F6B76"/>
                <w:sz w:val="18"/>
              </w:rPr>
              <w:t>范围外保留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8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在职/签证证明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4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证明申请、DOCX 模板、HR 审核和演示电子签章。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880"/>
            <w:tcW w:w="18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政策监测</w:t>
            </w:r>
          </w:p>
        </w:tc>
        <w:tc>
          <w:tcPr>
            <w:tcW w:type="dxa" w:w="5480"/>
            <w:tcW w:w="54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政策网站更新监测演示、候选去重、HR 审核后写入 RAG。</w:t>
            </w:r>
          </w:p>
        </w:tc>
        <w:tc>
          <w:tcPr>
            <w:tcW w:type="dxa" w:w="2000"/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 w:eastAsia="Heiti SC"/>
          <w:b w:val="0"/>
          <w:i/>
          <w:color w:val="5F6B76"/>
          <w:sz w:val="18"/>
        </w:rPr>
        <w:t>依据：仓库 README.md、docs/HRAGENT_HANDOFF.md 及模块静态检查。交接材料记录了学长环境的历史验收，不代表本机已通过。</w:t>
      </w:r>
    </w:p>
    <w:p>
      <w:r>
        <w:br w:type="page"/>
      </w:r>
    </w:p>
    <w:p>
      <w:pPr>
        <w:pStyle w:val="Heading1"/>
      </w:pPr>
      <w:r>
        <w:t>三、需求差距分析</w:t>
      </w:r>
    </w:p>
    <w:p>
      <w:r>
        <w:rPr>
          <w:rFonts w:ascii="Calibri" w:hAnsi="Calibri" w:eastAsia="Heiti SC"/>
          <w:b w:val="0"/>
          <w:i w:val="0"/>
          <w:color w:val="0B2545"/>
          <w:sz w:val="22"/>
        </w:rPr>
        <w:t>总体判断：现有仓库已经覆盖了员工关系智能体的主要“外壳”和若干业务闭环，差距主要集中在政策可信度、知识治理、生产级隔离，以及本期范围表达。以下状态按“可从代码/交接材料确认的最低口径”填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620"/>
        <w:gridCol w:w="2560"/>
        <w:gridCol w:w="3780"/>
        <w:gridCol w:w="1400"/>
      </w:tblGrid>
      <w:tr>
        <w:trPr>
          <w:tblHeader w:val="true"/>
        </w:trPr>
        <w:tc>
          <w:tcPr>
            <w:tcW w:type="dxa" w:w="234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需求项</w:t>
            </w:r>
          </w:p>
        </w:tc>
        <w:tc>
          <w:tcPr>
            <w:tcW w:type="dxa" w:w="234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现有基础</w:t>
            </w:r>
          </w:p>
        </w:tc>
        <w:tc>
          <w:tcPr>
            <w:tcW w:type="dxa" w:w="234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差距/待核验</w:t>
            </w:r>
          </w:p>
        </w:tc>
        <w:tc>
          <w:tcPr>
            <w:tcW w:type="dxa" w:w="234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政策知识库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Qdrant + bge-m3，支持文件导入、检索和来源文件名。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需补来源 URL、发布机构、生效日期、适用地区/对象、版本归档与强制引用。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联网搜索增强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有政策监测演示。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交接文档明确真实联网搜索未实现；需限定官方源、事实比对、HR 审核回写。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9B1C1C"/>
                <w:sz w:val="18"/>
              </w:rPr>
              <w:t>未具备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公司问题查询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已有员工资料、组织、知识库和对话入口。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考勤、福利、报销、办公、IT 等覆盖范围与命中率尚未形成可验收题集。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在职证明与用印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已有申请、模板、HR 审核、演示电子签章。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需本机验证 PDF、模板版本、未用印限制、文件回传和生产用印对接。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RBAC 与数据隔离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后端角色与本人/组织边界已有实现。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高层/系统运维口径、字段级权限、证明材料访问审计仍需逐项验收。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基本具备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操作日志与审计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已有操作/API/智能体调用日志和错误记录。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需求要求模型版本、检索引用、校验结果、满意度及不少于 3 年保留，当前未完全确认。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多智能体校验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已有 RAG、提示词约束、后端规则校验和无命中拒答。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尚未确认独立的围栏/事实一致性/重写 Agent、结构化校验结果和可量化红线测试。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人工介入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主管/HR 审批和后台操作入口已存在。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异常对话一键转人工、接管后智能体静默与恢复机制未确认。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多端融合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Web、SaaS、钉钉已接入。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飞书未接入；Quick Tunnel 仅适合演示，域名会变化。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部分具备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6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租户知识隔离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SaaS 有空间概念。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Qdrant 尚缺 workspaceId 强制过滤，交接文档明确列为未完成。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9B1C1C"/>
                <w:sz w:val="18"/>
              </w:rPr>
              <w:t>未具备</w:t>
            </w:r>
          </w:p>
        </w:tc>
      </w:tr>
      <w:tr>
        <w:tc>
          <w:tcPr>
            <w:tcW w:type="dxa" w:w="1620"/>
            <w:tcW w:w="16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请假办理</w:t>
            </w:r>
          </w:p>
        </w:tc>
        <w:tc>
          <w:tcPr>
            <w:tcW w:type="dxa" w:w="2560"/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现有完整业务闭环。</w:t>
            </w:r>
          </w:p>
        </w:tc>
        <w:tc>
          <w:tcPr>
            <w:tcW w:type="dxa" w:w="3780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需求 v0.2 明确本期不新增；需在汇报与本期验收中划清边界。</w:t>
            </w:r>
          </w:p>
        </w:tc>
        <w:tc>
          <w:tcPr>
            <w:tcW w:type="dxa" w:w="1400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5F6B76"/>
                <w:sz w:val="18"/>
              </w:rPr>
              <w:t>范围外保留</w:t>
            </w:r>
          </w:p>
        </w:tc>
      </w:tr>
    </w:tbl>
    <w:p>
      <w:pPr>
        <w:spacing w:after="40"/>
      </w:pPr>
    </w:p>
    <w:p>
      <w:pPr>
        <w:pStyle w:val="Heading2"/>
      </w:pPr>
      <w:r>
        <w:t>3.1 三个必须优先澄清的材料矛盾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技术栈矛盾：需求文档按全新 Python 技术栈设计，但项目已确定基于现有 Java/Vue/n8n/Qdrant 仓库改造。建议更新需求文档的“实现技术栈”，保留能力指标，不再要求工具名称逐项一致。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工资查询口径矛盾：仓库 README 称已有本人税前月薪查询，交接文档的未完成项又列“工资查询”。应在复现后以接口和界面实测为准，未验证前不得对外宣称完成。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工作流数量口径变化：早期交接文档记录 8 条工作流，当前 README/检查脚本按 9 条维护。复现时必须以当前 v2 分支的检查脚本和实际 n8n 数据库为准。</w:t>
      </w:r>
    </w:p>
    <w:p>
      <w:pPr>
        <w:pStyle w:val="Heading2"/>
      </w:pPr>
      <w:r>
        <w:t>3.2 近期优先级建议</w:t>
      </w:r>
    </w:p>
    <w:p>
      <w:pPr>
        <w:spacing w:before="120" w:after="200" w:line="276" w:lineRule="auto"/>
        <w:ind w:left="173" w:right="115"/>
        <w:shd w:fill="FFF1F1"/>
        <w:pBdr>
          <w:left w:val="single" w:sz="18" w:space="8" w:color="9B1C1C"/>
        </w:pBdr>
      </w:pPr>
      <w:r>
        <w:rPr>
          <w:rFonts w:ascii="Calibri" w:hAnsi="Calibri" w:eastAsia="Heiti SC"/>
          <w:b/>
          <w:i w:val="0"/>
          <w:color w:val="9B1C1C"/>
          <w:sz w:val="22"/>
        </w:rPr>
        <w:t xml:space="preserve">P0  </w:t>
      </w:r>
      <w:r>
        <w:rPr>
          <w:rFonts w:ascii="Calibri" w:hAnsi="Calibri" w:eastAsia="Heiti SC"/>
          <w:b w:val="0"/>
          <w:i w:val="0"/>
          <w:color w:val="0B2545"/>
          <w:sz w:val="22"/>
        </w:rPr>
        <w:t>先完成本机复现和基线验收；随后补政策引用元数据、独立事实校验链路、Qdrant workspaceId 过滤和在职证明完整验收。真实联网搜索应在有官方来源白名单、校验和审核回写机制后再开放。</w:t>
      </w:r>
    </w:p>
    <w:p>
      <w:pPr>
        <w:spacing w:before="120" w:after="200" w:line="276" w:lineRule="auto"/>
        <w:ind w:left="173" w:right="115"/>
        <w:shd w:fill="FFF8E6"/>
        <w:pBdr>
          <w:left w:val="single" w:sz="18" w:space="8" w:color="8A6200"/>
        </w:pBdr>
      </w:pPr>
      <w:r>
        <w:rPr>
          <w:rFonts w:ascii="Calibri" w:hAnsi="Calibri" w:eastAsia="Heiti SC"/>
          <w:b/>
          <w:i w:val="0"/>
          <w:color w:val="8A6200"/>
          <w:sz w:val="22"/>
        </w:rPr>
        <w:t xml:space="preserve">P1  </w:t>
      </w:r>
      <w:r>
        <w:rPr>
          <w:rFonts w:ascii="Calibri" w:hAnsi="Calibri" w:eastAsia="Heiti SC"/>
          <w:b w:val="0"/>
          <w:i w:val="0"/>
          <w:color w:val="0B2545"/>
          <w:sz w:val="22"/>
        </w:rPr>
        <w:t>完善公司问题题库、未命中转 HR、满意度、运营看板和知识库版本管理；根据真实业务需要再接飞书。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5F6B76"/>
        </w:pBdr>
      </w:pPr>
      <w:r>
        <w:rPr>
          <w:rFonts w:ascii="Calibri" w:hAnsi="Calibri" w:eastAsia="Heiti SC"/>
          <w:b/>
          <w:i w:val="0"/>
          <w:color w:val="5F6B76"/>
          <w:sz w:val="22"/>
        </w:rPr>
        <w:t xml:space="preserve">暂缓  </w:t>
      </w:r>
      <w:r>
        <w:rPr>
          <w:rFonts w:ascii="Calibri" w:hAnsi="Calibri" w:eastAsia="Heiti SC"/>
          <w:b w:val="0"/>
          <w:i w:val="0"/>
          <w:color w:val="0B2545"/>
          <w:sz w:val="22"/>
        </w:rPr>
        <w:t>生产固定域名、对象存储、数据库迁移、自动备份与监控虽重要，但应在演示基线稳定和核心需求验收通过后进入生产化阶段。</w:t>
      </w:r>
    </w:p>
    <w:p>
      <w:pPr>
        <w:pStyle w:val="Heading1"/>
      </w:pPr>
      <w:r>
        <w:t>四、本机复现现状与阻塞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980"/>
        <w:gridCol w:w="1720"/>
        <w:gridCol w:w="5660"/>
      </w:tblGrid>
      <w:tr>
        <w:trPr>
          <w:tblHeader w:val="true"/>
        </w:trPr>
        <w:tc>
          <w:tcPr>
            <w:tcW w:type="dxa" w:w="312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980" w:type="dxa"/>
            <w:tcW w:w="1980" w:type="dxa"/>
            <w:tcW w:w="1980" w:type="dxa"/>
            <w:tcW w:w="1980" w:type="dxa"/>
            <w:tcW w:w="1980" w:type="dxa"/>
            <w:tcW w:w="1980" w:type="dxa"/>
            <w:tcW w:w="198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检查项</w:t>
            </w:r>
          </w:p>
        </w:tc>
        <w:tc>
          <w:tcPr>
            <w:tcW w:type="dxa" w:w="31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本机结果</w:t>
            </w:r>
          </w:p>
        </w:tc>
        <w:tc>
          <w:tcPr>
            <w:tcW w:type="dxa" w:w="312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5660" w:type="dxa"/>
            <w:tcW w:w="5660" w:type="dxa"/>
            <w:tcW w:w="5660" w:type="dxa"/>
            <w:tcW w:w="5660" w:type="dxa"/>
            <w:tcW w:w="5660" w:type="dxa"/>
            <w:tcW w:w="5660" w:type="dxa"/>
            <w:tcW w:w="56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影响/处理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  <w:tcW w:w="1980" w:type="dxa"/>
            <w:tcW w:w="1980" w:type="dxa"/>
            <w:tcW w:w="1980" w:type="dxa"/>
            <w:tcW w:w="1980" w:type="dxa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仓库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2F6B4F"/>
                <w:sz w:val="18"/>
              </w:rPr>
              <w:t>已完成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  <w:tcW w:w="5660" w:type="dxa"/>
            <w:tcW w:w="5660" w:type="dxa"/>
            <w:tcW w:w="5660" w:type="dxa"/>
            <w:tcW w:w="5660" w:type="dxa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v2 分支，提交 36fe81f，工作区干净，可作为复现基线。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  <w:tcW w:w="1980" w:type="dxa"/>
            <w:tcW w:w="1980" w:type="dxa"/>
            <w:tcW w:w="1980" w:type="dxa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Docker CLI/Engine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9B1C1C"/>
                <w:sz w:val="18"/>
              </w:rPr>
              <w:t>未开始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  <w:tcW w:w="5660" w:type="dxa"/>
            <w:tcW w:w="5660" w:type="dxa"/>
            <w:tcW w:w="5660" w:type="dxa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当前命令不可用，无法启动 Compose 服务；需要先安装并启动 Docker Desktop。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  <w:tcW w:w="1980" w:type="dxa"/>
            <w:tcW w:w="1980" w:type="dxa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PowerShell Core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9B1C1C"/>
                <w:sz w:val="18"/>
              </w:rPr>
              <w:t>未开始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  <w:tcW w:w="5660" w:type="dxa"/>
            <w:tcW w:w="5660" w:type="dxa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pwsh/powershell 不可用，现有初始化和一键启动脚本无法执行。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  <w:tcW w:w="1980" w:type="dxa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Java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JDK 11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  <w:tcW w:w="5660" w:type="dxa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源码直接开发要求 Java 21；走 Docker 方式时由镜像提供 Java 21，可暂不处理主机 JDK。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Node.js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Node 18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仓库说明使用 Node 22；走 Docker 方式时由镜像提供，暂不构成首要阻塞。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8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本地配置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.env 未生成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66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需运行 initialize-hragent-config.ps1，生成三份被 Git 忽略的本地配置。</w:t>
            </w:r>
          </w:p>
        </w:tc>
      </w:tr>
      <w:tr>
        <w:tc>
          <w:tcPr>
            <w:tcW w:type="dxa" w:w="1980"/>
            <w:tcW w:w="1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n8n 凭据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未配置</w:t>
            </w:r>
          </w:p>
        </w:tc>
        <w:tc>
          <w:tcPr>
            <w:tcW w:type="dxa" w:w="5660"/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需在本地 n8n 重新绑定 DeepSeek、Qdrant、Ollama 等凭据，不应把密钥写入仓库。</w:t>
            </w:r>
          </w:p>
        </w:tc>
      </w:tr>
    </w:tbl>
    <w:p>
      <w:pPr>
        <w:spacing w:after="40"/>
      </w:pPr>
    </w:p>
    <w:p>
      <w:pPr>
        <w:spacing w:before="120" w:after="200" w:line="276" w:lineRule="auto"/>
        <w:ind w:left="173" w:right="115"/>
        <w:shd w:fill="FFF8E6"/>
        <w:pBdr>
          <w:left w:val="single" w:sz="18" w:space="8" w:color="8A6200"/>
        </w:pBdr>
      </w:pPr>
      <w:r>
        <w:rPr>
          <w:rFonts w:ascii="Calibri" w:hAnsi="Calibri" w:eastAsia="Heiti SC"/>
          <w:b/>
          <w:i w:val="0"/>
          <w:color w:val="8A6200"/>
          <w:sz w:val="22"/>
        </w:rPr>
        <w:t xml:space="preserve">当前结论  </w:t>
      </w:r>
      <w:r>
        <w:rPr>
          <w:rFonts w:ascii="Calibri" w:hAnsi="Calibri" w:eastAsia="Heiti SC"/>
          <w:b w:val="0"/>
          <w:i w:val="0"/>
          <w:color w:val="0B2545"/>
          <w:sz w:val="22"/>
        </w:rPr>
        <w:t>“代码已到本机”已经完成；“系统已在本机复现”尚未完成。当前不能提供 5173/5174/5678 等可访问地址，也不能声称当前 v2 在本机通过健康检查。</w:t>
      </w:r>
    </w:p>
    <w:p>
      <w:pPr>
        <w:pStyle w:val="Heading1"/>
      </w:pPr>
      <w:r>
        <w:t>五、下一步实施计划</w:t>
      </w:r>
    </w:p>
    <w:p>
      <w:r>
        <w:rPr>
          <w:rFonts w:ascii="Calibri" w:hAnsi="Calibri" w:eastAsia="Heiti SC"/>
          <w:b w:val="0"/>
          <w:i w:val="0"/>
          <w:color w:val="0B2545"/>
          <w:sz w:val="22"/>
        </w:rPr>
        <w:t>建议按四个阶段推进。第一阶段只解决环境和复现，不夹带业务改造；这样一旦后续出现问题，可以判断是原项目基线问题还是新改动引入的问题。</w:t>
      </w:r>
    </w:p>
    <w:p>
      <w:pPr>
        <w:pStyle w:val="Heading2"/>
      </w:pPr>
      <w:r>
        <w:t>阶段 A：本机复现与基线冻结（最高优先级）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安装并启动 Docker Desktop；安装 PowerShell 7（命令为 pwsh）。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运行初始化脚本生成 hragentv1/.env、n8nwork/.env、n8nwork/saas-agent.env，核对随机密钥且不提交 Git。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首次先使用 NoTunnel 启动本地环境，减少钉钉和公网依赖；构建完成后检查 5173、5174、8080、5678、6333。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在 n8n 创建本地 Owner，导入/发布当前维护的 9 条工作流，重新绑定 DeepSeek、Qdrant、Ollama 凭据。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运行健康检查和只读边界验收；手工验证登录、知识库命中/无命中、附件解析、证明申请和请假既有闭环。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把本机实际版本、启动命令、失败点和验收截图记录进新的 Mac 本地复现说明。</w:t>
      </w:r>
    </w:p>
    <w:p>
      <w:pPr>
        <w:spacing w:before="80" w:after="80"/>
      </w:pPr>
      <w:r>
        <w:rPr>
          <w:rFonts w:ascii="Calibri" w:hAnsi="Calibri" w:eastAsia="Heiti SC"/>
          <w:b w:val="0"/>
          <w:i/>
          <w:color w:val="5F6B76"/>
          <w:sz w:val="18"/>
        </w:rPr>
        <w:t>Mac 建议命令形式：pwsh -ExecutionPolicy Bypass -File ./scripts/start-hragent-local.ps1 -Build -PullEmbeddingModel -NoTunnel -NoPause。Docker Desktop 应在执行前手动启动。</w:t>
      </w:r>
    </w:p>
    <w:p>
      <w:pPr>
        <w:pStyle w:val="Heading2"/>
      </w:pPr>
      <w:r>
        <w:t>阶段 B：范围对齐与演示整理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保留请假模块代码、数据库和测试，不删除、不重写。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在方案、导航文案和验收清单中将请假标为“学长既有能力/本期范围外”，主演示聚焦政策咨询、公司问题和证明。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统一 README、交接文档和需求文档中的工作流数量、工资查询、证明输出格式及技术栈口径。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建立 30-50 条代表性问题的小型验收题集，覆盖国家政策、公司制度、无答案、越权和高风险法律表述。</w:t>
      </w:r>
    </w:p>
    <w:p>
      <w:pPr>
        <w:pStyle w:val="Heading2"/>
      </w:pPr>
      <w:r>
        <w:t>阶段 C：P0 差距增量改造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740"/>
        <w:gridCol w:w="4350"/>
        <w:gridCol w:w="3270"/>
      </w:tblGrid>
      <w:tr>
        <w:trPr>
          <w:tblHeader w:val="true"/>
        </w:trPr>
        <w:tc>
          <w:tcPr>
            <w:tcW w:type="dxa" w:w="312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740" w:type="dxa"/>
            <w:tcW w:w="1740" w:type="dxa"/>
            <w:tcW w:w="1740" w:type="dxa"/>
            <w:tcW w:w="1740" w:type="dxa"/>
            <w:tcW w:w="174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改造包</w:t>
            </w:r>
          </w:p>
        </w:tc>
        <w:tc>
          <w:tcPr>
            <w:tcW w:type="dxa" w:w="312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4350" w:type="dxa"/>
            <w:tcW w:w="4350" w:type="dxa"/>
            <w:tcW w:w="4350" w:type="dxa"/>
            <w:tcW w:w="4350" w:type="dxa"/>
            <w:tcW w:w="43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主要内容</w:t>
            </w:r>
          </w:p>
        </w:tc>
        <w:tc>
          <w:tcPr>
            <w:tcW w:type="dxa" w:w="312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3270" w:type="dxa"/>
            <w:tcW w:w="3270" w:type="dxa"/>
            <w:tcW w:w="3270" w:type="dxa"/>
            <w:tcW w:w="3270" w:type="dxa"/>
            <w:tcW w:w="327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完成标准</w:t>
            </w:r>
          </w:p>
        </w:tc>
      </w:tr>
      <w:tr>
        <w:tc>
          <w:tcPr>
            <w:tcW w:type="dxa" w:w="174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40" w:type="dxa"/>
            <w:tcW w:w="1740" w:type="dxa"/>
            <w:tcW w:w="1740" w:type="dxa"/>
            <w:tcW w:w="17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政策可信度</w:t>
            </w:r>
          </w:p>
        </w:tc>
        <w:tc>
          <w:tcPr>
            <w:tcW w:type="dxa" w:w="435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50" w:type="dxa"/>
            <w:tcW w:w="4350" w:type="dxa"/>
            <w:tcW w:w="4350" w:type="dxa"/>
            <w:tcW w:w="435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政策元数据、来源 URL、生效/失效日期、适用地区、强制引用和低置信拒答。</w:t>
            </w:r>
          </w:p>
        </w:tc>
        <w:tc>
          <w:tcPr>
            <w:tcW w:type="dxa" w:w="327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270" w:type="dxa"/>
            <w:tcW w:w="3270" w:type="dxa"/>
            <w:tcW w:w="3270" w:type="dxa"/>
            <w:tcW w:w="327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回答可追溯；缺引用或过期状态不得直接输出。</w:t>
            </w:r>
          </w:p>
        </w:tc>
      </w:tr>
      <w:tr>
        <w:tc>
          <w:tcPr>
            <w:tcW w:type="dxa" w:w="174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40" w:type="dxa"/>
            <w:tcW w:w="1740" w:type="dxa"/>
            <w:tcW w:w="17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多智能体校验</w:t>
            </w:r>
          </w:p>
        </w:tc>
        <w:tc>
          <w:tcPr>
            <w:tcW w:type="dxa" w:w="435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50" w:type="dxa"/>
            <w:tcW w:w="4350" w:type="dxa"/>
            <w:tcW w:w="435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生成 Agent → 规则围栏 → 事实一致性 → 重写/降级；结果结构化记录。</w:t>
            </w:r>
          </w:p>
        </w:tc>
        <w:tc>
          <w:tcPr>
            <w:tcW w:type="dxa" w:w="327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270" w:type="dxa"/>
            <w:tcW w:w="3270" w:type="dxa"/>
            <w:tcW w:w="327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红线题集可稳定拦截，校验原因和最终动作可审计。</w:t>
            </w:r>
          </w:p>
        </w:tc>
      </w:tr>
      <w:tr>
        <w:tc>
          <w:tcPr>
            <w:tcW w:type="dxa" w:w="174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40" w:type="dxa"/>
            <w:tcW w:w="17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知识隔离</w:t>
            </w:r>
          </w:p>
        </w:tc>
        <w:tc>
          <w:tcPr>
            <w:tcW w:type="dxa" w:w="435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50" w:type="dxa"/>
            <w:tcW w:w="435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Qdrant 写入和查询均带 workspaceId 过滤，后端不接受前端任意指定租户。</w:t>
            </w:r>
          </w:p>
        </w:tc>
        <w:tc>
          <w:tcPr>
            <w:tcW w:type="dxa" w:w="327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270" w:type="dxa"/>
            <w:tcW w:w="327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跨空间检索测试为 0 泄漏。</w:t>
            </w:r>
          </w:p>
        </w:tc>
      </w:tr>
      <w:tr>
        <w:tc>
          <w:tcPr>
            <w:tcW w:type="dxa" w:w="174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在职证明</w:t>
            </w:r>
          </w:p>
        </w:tc>
        <w:tc>
          <w:tcPr>
            <w:tcW w:type="dxa" w:w="435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5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受控模板版本、字段确认、PDF、HR 用印/审核、回传和文件访问审计。</w:t>
            </w:r>
          </w:p>
        </w:tc>
        <w:tc>
          <w:tcPr>
            <w:tcW w:type="dxa" w:w="327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27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未审核文件不可对外；全过程可追溯。</w:t>
            </w:r>
          </w:p>
        </w:tc>
      </w:tr>
      <w:tr>
        <w:tc>
          <w:tcPr>
            <w:tcW w:type="dxa" w:w="1740"/>
            <w:tcW w:w="17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联网搜索</w:t>
            </w:r>
          </w:p>
        </w:tc>
        <w:tc>
          <w:tcPr>
            <w:tcW w:type="dxa" w:w="4350"/>
            <w:tcW w:w="4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官方域名白名单、搜索结果抽取、交叉校验、来源分层展示、HR 审核回写。</w:t>
            </w:r>
          </w:p>
        </w:tc>
        <w:tc>
          <w:tcPr>
            <w:tcW w:type="dxa" w:w="3270"/>
            <w:tcW w:w="3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网络来源与企业制度明确区分，无法核实时自动降级。</w:t>
            </w:r>
          </w:p>
        </w:tc>
      </w:tr>
    </w:tbl>
    <w:p>
      <w:pPr>
        <w:spacing w:after="40"/>
      </w:pPr>
    </w:p>
    <w:p>
      <w:pPr>
        <w:pStyle w:val="Heading2"/>
      </w:pPr>
      <w:r>
        <w:t>阶段 D：生产化准备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固定域名/正式 Tunnel、HTTPS、钉钉与飞书正式应用配置。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Flyway/Liquibase 数据迁移、对象存储、文件保留与脱敏、密钥轮换。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备份恢复演练、监控告警、日志留存策略、依赖升级与安全审计。</w:t>
      </w:r>
    </w:p>
    <w:p>
      <w:r>
        <w:br w:type="page"/>
      </w:r>
    </w:p>
    <w:p>
      <w:pPr>
        <w:pStyle w:val="Heading1"/>
      </w:pPr>
      <w:r>
        <w:t>六、复现验收清单</w:t>
      </w:r>
    </w:p>
    <w:p>
      <w:r>
        <w:rPr>
          <w:rFonts w:ascii="Calibri" w:hAnsi="Calibri" w:eastAsia="Heiti SC"/>
          <w:b w:val="0"/>
          <w:i w:val="0"/>
          <w:color w:val="0B2545"/>
          <w:sz w:val="22"/>
        </w:rPr>
        <w:t>第一阶段完成的判定标准不是“页面能打开”，而是以下最小闭环均有本机证据。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2120"/>
        <w:gridCol w:w="5520"/>
        <w:gridCol w:w="1720"/>
      </w:tblGrid>
      <w:tr>
        <w:trPr>
          <w:tblHeader w:val="true"/>
        </w:trPr>
        <w:tc>
          <w:tcPr>
            <w:tcW w:type="dxa" w:w="3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验收项</w:t>
            </w:r>
          </w:p>
        </w:tc>
        <w:tc>
          <w:tcPr>
            <w:tcW w:type="dxa" w:w="31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最低通过标准</w:t>
            </w:r>
          </w:p>
        </w:tc>
        <w:tc>
          <w:tcPr>
            <w:tcW w:type="dxa" w:w="31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容器与端口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SaaS、AI 网页、API、n8n、Qdrant、Ollama 相关服务均正常。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  <w:tcW w:w="2120" w:type="dxa"/>
            <w:tcW w:w="2120" w:type="dxa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登录与角色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  <w:tcW w:w="5520" w:type="dxa"/>
            <w:tcW w:w="5520" w:type="dxa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员工、主管、HR 的菜单和数据边界符合角色预期。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  <w:tcW w:w="2120" w:type="dxa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知识库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  <w:tcW w:w="5520" w:type="dxa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文件可导入；命中回答带来源；无命中明确拒答。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附件解析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TXT/PDF/DOCX/PNG 至少各验证一个，失败可在日志中定位。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证明申请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员工申请 → HR 审核 → 文件查看/下载链路可走通。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既有请假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作为回归项验证员工提交、主管审批、状态通知，不计入本期新增成果。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权限与审计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55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员工越权访问被拒绝，操作/API/工作流错误可追踪。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  <w:tr>
        <w:tc>
          <w:tcPr>
            <w:tcW w:type="dxa" w:w="2120"/>
            <w:tcW w:w="2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健康脚本</w:t>
            </w:r>
          </w:p>
        </w:tc>
        <w:tc>
          <w:tcPr>
            <w:tcW w:type="dxa" w:w="5520"/>
            <w:tcW w:w="55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Required n8n workflows 为 9/9，error bindings 为 8/8，边界验收 Failed: 0。</w:t>
            </w:r>
          </w:p>
        </w:tc>
        <w:tc>
          <w:tcPr>
            <w:tcW w:type="dxa" w:w="1720"/>
            <w:tcW w:w="17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8A6200"/>
                <w:sz w:val="18"/>
              </w:rPr>
              <w:t>待复现</w:t>
            </w:r>
          </w:p>
        </w:tc>
      </w:tr>
    </w:tbl>
    <w:p>
      <w:pPr>
        <w:spacing w:after="40"/>
      </w:pPr>
    </w:p>
    <w:p>
      <w:pPr>
        <w:pStyle w:val="Heading1"/>
      </w:pPr>
      <w:r>
        <w:t>七、风险与管理建议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  <w:tblW w:w="9360" w:type="dxa"/>
        <w:tblInd w:w="120" w:type="dxa"/>
        <w:tblLayout w:type="fixed"/>
      </w:tblPr>
      <w:tblGrid>
        <w:gridCol w:w="1940"/>
        <w:gridCol w:w="3400"/>
        <w:gridCol w:w="4020"/>
      </w:tblGrid>
      <w:tr>
        <w:trPr>
          <w:tblHeader w:val="true"/>
        </w:trPr>
        <w:tc>
          <w:tcPr>
            <w:tcW w:type="dxa" w:w="312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1940" w:type="dxa"/>
            <w:tcW w:w="1940" w:type="dxa"/>
            <w:tcW w:w="1940" w:type="dxa"/>
            <w:tcW w:w="1940" w:type="dxa"/>
            <w:tcW w:w="1940" w:type="dxa"/>
            <w:tcW w:w="194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风险</w:t>
            </w:r>
          </w:p>
        </w:tc>
        <w:tc>
          <w:tcPr>
            <w:tcW w:type="dxa" w:w="312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3400" w:type="dxa"/>
            <w:tcW w:w="3400" w:type="dxa"/>
            <w:tcW w:w="3400" w:type="dxa"/>
            <w:tcW w:w="3400" w:type="dxa"/>
            <w:tcW w:w="3400" w:type="dxa"/>
            <w:tcW w:w="34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当前表现</w:t>
            </w:r>
          </w:p>
        </w:tc>
        <w:tc>
          <w:tcPr>
            <w:tcW w:type="dxa" w:w="31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  <w:tcW w:w="4020" w:type="dxa"/>
            <w:tcW w:w="4020" w:type="dxa"/>
            <w:tcW w:w="4020" w:type="dxa"/>
            <w:tcW w:w="4020" w:type="dxa"/>
            <w:tcW w:w="4020" w:type="dxa"/>
            <w:tcW w:w="402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Heiti SC"/>
                <w:b/>
                <w:i w:val="0"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40" w:type="dxa"/>
            <w:tcW w:w="1940" w:type="dxa"/>
            <w:tcW w:w="1940" w:type="dxa"/>
            <w:tcW w:w="1940" w:type="dxa"/>
            <w:tcW w:w="1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把历史验收当成本机验收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400" w:type="dxa"/>
            <w:tcW w:w="3400" w:type="dxa"/>
            <w:tcW w:w="3400" w:type="dxa"/>
            <w:tcW w:w="3400" w:type="dxa"/>
            <w:tcW w:w="340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交接文档有 2026-07-31 审计结果，但本机服务尚未启动。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20" w:type="dxa"/>
            <w:tcW w:w="4020" w:type="dxa"/>
            <w:tcW w:w="4020" w:type="dxa"/>
            <w:tcW w:w="4020" w:type="dxa"/>
            <w:tcW w:w="40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所有状态分开标注“交接记录”和“本机实测”。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40" w:type="dxa"/>
            <w:tcW w:w="1940" w:type="dxa"/>
            <w:tcW w:w="1940" w:type="dxa"/>
            <w:tcW w:w="1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范围漂移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400" w:type="dxa"/>
            <w:tcW w:w="3400" w:type="dxa"/>
            <w:tcW w:w="3400" w:type="dxa"/>
            <w:tcW w:w="340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现有项目请假能力非常突出，容易盖过本期政策咨询与证明目标。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20" w:type="dxa"/>
            <w:tcW w:w="4020" w:type="dxa"/>
            <w:tcW w:w="4020" w:type="dxa"/>
            <w:tcW w:w="40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代码保留，汇报和本期验收单独划界。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40" w:type="dxa"/>
            <w:tcW w:w="1940" w:type="dxa"/>
            <w:tcW w:w="1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技术栈重写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400" w:type="dxa"/>
            <w:tcW w:w="3400" w:type="dxa"/>
            <w:tcW w:w="340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需求文档与仓库技术栈差异大。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20" w:type="dxa"/>
            <w:tcW w:w="4020" w:type="dxa"/>
            <w:tcW w:w="40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以能力验收为准，优先增量改造，不做无业务收益的重写。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40" w:type="dxa"/>
            <w:tcW w:w="1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幻觉防护被高估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400" w:type="dxa"/>
            <w:tcW w:w="340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RAG、提示词和拒答有帮助，但不等于独立多智能体事实校验。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20" w:type="dxa"/>
            <w:tcW w:w="40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建立结构化校验链路、红线题集和失败记录。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94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敏感数据进入 Demo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40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项目含员工、工资、证明和材料处理能力。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20" w:type="dxa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复现阶段仅用脱敏测试数据，密钥与真实文件不入库。</w:t>
            </w:r>
          </w:p>
        </w:tc>
      </w:tr>
      <w:tr>
        <w:tc>
          <w:tcPr>
            <w:tcW w:type="dxa" w:w="1940"/>
            <w:tcW w:w="19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Quick Tunnel 不稳定</w:t>
            </w:r>
          </w:p>
        </w:tc>
        <w:tc>
          <w:tcPr>
            <w:tcW w:type="dxa" w:w="3400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临时域名变化会影响钉钉回调。</w:t>
            </w:r>
          </w:p>
        </w:tc>
        <w:tc>
          <w:tcPr>
            <w:tcW w:type="dxa" w:w="4020"/>
            <w:tcW w:w="40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eiti SC"/>
                <w:b w:val="0"/>
                <w:i w:val="0"/>
                <w:color w:val="0B2545"/>
                <w:sz w:val="18"/>
              </w:rPr>
              <w:t>首次复现使用 NoTunnel；联调时再开，生产换固定域名。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八、建议的近期交付物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本机复现记录：安装环境、启动命令、服务截图、失败处理和最终健康检查结果。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需求对齐版 Word 方案：更新技术栈口径、范围边界、差距矩阵和 P0 验收指标。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演示脚本：政策咨询 → 公司问题 → 在职证明 → HR 审核；请假作为既有能力附加展示。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开发任务清单：按政策可信度、多智能体校验、知识隔离、证明流程四个改造包拆分。</w:t>
      </w:r>
    </w:p>
    <w:p>
      <w:pPr>
        <w:pStyle w:val="ListNumber"/>
      </w:pPr>
      <w:r>
        <w:rPr>
          <w:rFonts w:ascii="Calibri" w:hAnsi="Calibri" w:eastAsia="Heiti SC"/>
          <w:b w:val="0"/>
          <w:i w:val="0"/>
          <w:color w:val="0B2545"/>
          <w:sz w:val="22"/>
        </w:rPr>
        <w:t>最终汇报 PPT 可在系统复现、关键界面和验收数据真实可用后再制作，避免先做展示后补证据。</w:t>
      </w:r>
    </w:p>
    <w:p>
      <w:pPr>
        <w:pStyle w:val="Heading1"/>
      </w:pPr>
      <w:r>
        <w:t>附录：依据材料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需求材料 A：/Users/a77/Downloads/需求文档/01_老师原话方向与要求总结.md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需求材料 B：/Users/a77/Downloads/需求文档/03_员工关系智能体需求文档.md（v0.2）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仓库说明：/Users/a77/临港漕河泾人才有限公司/员工关系/README.md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交接手册：/Users/a77/临港漕河泾人才有限公司/员工关系/docs/HRAGENT_HANDOFF.md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启动手册：/Users/a77/临港漕河泾人才有限公司/员工关系/docs/STARTUP-GUIDE.md</w:t>
      </w:r>
    </w:p>
    <w:p>
      <w:pPr>
        <w:pStyle w:val="ListBullet"/>
      </w:pPr>
      <w:r>
        <w:rPr>
          <w:rFonts w:ascii="Calibri" w:hAnsi="Calibri" w:eastAsia="Heiti SC"/>
          <w:b w:val="0"/>
          <w:i w:val="0"/>
          <w:color w:val="0B2545"/>
          <w:sz w:val="22"/>
        </w:rPr>
        <w:t>仓库基线：origin/v2，提交 36fe81f280a0edd517af086045fd660393458912。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5F6B76"/>
        </w:pBdr>
      </w:pPr>
      <w:r>
        <w:rPr>
          <w:rFonts w:ascii="Calibri" w:hAnsi="Calibri" w:eastAsia="Heiti SC"/>
          <w:b/>
          <w:i w:val="0"/>
          <w:color w:val="5F6B76"/>
          <w:sz w:val="22"/>
        </w:rPr>
        <w:t xml:space="preserve">文档状态  </w:t>
      </w:r>
      <w:r>
        <w:rPr>
          <w:rFonts w:ascii="Calibri" w:hAnsi="Calibri" w:eastAsia="Heiti SC"/>
          <w:b w:val="0"/>
          <w:i w:val="0"/>
          <w:color w:val="0B2545"/>
          <w:sz w:val="22"/>
        </w:rPr>
        <w:t>本稿为第一版整理稿。涉及“已具备”的结论来自仓库代码与交接材料；涉及“本机可运行”的结论必须等待 Docker 环境安装、工作流导入和健康验收后更新。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SC"/>
        <w:b w:val="0"/>
        <w:i w:val="0"/>
        <w:color w:val="5F6B76"/>
        <w:sz w:val="18"/>
      </w:rPr>
      <w:t xml:space="preserve">内部工作稿  |  </w:t>
    </w:r>
    <w:r>
      <w:rPr>
        <w:rFonts w:ascii="Calibri" w:hAnsi="Calibri" w:eastAsia="Heiti SC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Heiti SC"/>
        <w:b/>
        <w:i w:val="0"/>
        <w:color w:val="5F6B76"/>
        <w:sz w:val="18"/>
      </w:rPr>
      <w:t>HRAgent | 项目现状与下一步计划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Hei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Hei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