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7F18" w14:textId="77777777" w:rsidR="001B37FE" w:rsidRDefault="001B37FE">
      <w:pPr>
        <w:spacing w:before="2400"/>
      </w:pPr>
    </w:p>
    <w:p w14:paraId="37A17F19" w14:textId="77777777" w:rsidR="001B37FE" w:rsidRDefault="000C0FB9">
      <w:pPr>
        <w:spacing w:after="200"/>
        <w:jc w:val="center"/>
      </w:pPr>
      <w:r>
        <w:rPr>
          <w:b/>
          <w:bCs/>
          <w:color w:val="1B3A5C"/>
          <w:sz w:val="36"/>
          <w:szCs w:val="36"/>
        </w:rPr>
        <w:t>ANALIZA INNOWACYJNOŚCI PROJEKTU</w:t>
      </w:r>
    </w:p>
    <w:p w14:paraId="37A17F1A" w14:textId="77777777" w:rsidR="001B37FE" w:rsidRDefault="000C0FB9">
      <w:pPr>
        <w:spacing w:after="120"/>
        <w:jc w:val="center"/>
      </w:pPr>
      <w:r>
        <w:rPr>
          <w:color w:val="2E5D8A"/>
          <w:sz w:val="26"/>
          <w:szCs w:val="26"/>
        </w:rPr>
        <w:t>w świetle definicji działalności badawczej i rozwojowej (B+R)</w:t>
      </w:r>
    </w:p>
    <w:p w14:paraId="37A17F1B" w14:textId="77777777" w:rsidR="001B37FE" w:rsidRDefault="000C0FB9">
      <w:pPr>
        <w:spacing w:after="400"/>
        <w:jc w:val="center"/>
      </w:pPr>
      <w:r>
        <w:rPr>
          <w:i/>
          <w:iCs/>
          <w:color w:val="2E5D8A"/>
          <w:sz w:val="24"/>
          <w:szCs w:val="24"/>
        </w:rPr>
        <w:t>zgodnie z Podręcznikiem Frascati 2015 (OECD)</w:t>
      </w:r>
    </w:p>
    <w:p w14:paraId="37A17F1C" w14:textId="77777777" w:rsidR="001B37FE" w:rsidRDefault="000C0FB9">
      <w:pPr>
        <w:pBdr>
          <w:top w:val="single" w:sz="2" w:space="8" w:color="1B3A5C"/>
        </w:pBdr>
        <w:spacing w:before="200" w:after="200"/>
        <w:jc w:val="center"/>
      </w:pPr>
      <w:r>
        <w:rPr>
          <w:b/>
          <w:bCs/>
          <w:color w:val="333333"/>
          <w:sz w:val="24"/>
          <w:szCs w:val="24"/>
        </w:rPr>
        <w:t xml:space="preserve">Projekt: Dane biometryczne ze </w:t>
      </w:r>
      <w:proofErr w:type="spellStart"/>
      <w:r>
        <w:rPr>
          <w:b/>
          <w:bCs/>
          <w:color w:val="333333"/>
          <w:sz w:val="24"/>
          <w:szCs w:val="24"/>
        </w:rPr>
        <w:t>smartfona</w:t>
      </w:r>
      <w:proofErr w:type="spellEnd"/>
      <w:r>
        <w:rPr>
          <w:b/>
          <w:bCs/>
          <w:color w:val="333333"/>
          <w:sz w:val="24"/>
          <w:szCs w:val="24"/>
        </w:rPr>
        <w:t xml:space="preserve"> w diagnostyce i monitorowaniu depresji</w:t>
      </w:r>
    </w:p>
    <w:p w14:paraId="37A17F1D" w14:textId="77777777" w:rsidR="001B37FE" w:rsidRDefault="000C0FB9"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Innowacyjna metoda wsparcia procesu diagnozy i leczenia – oparta na pasywnym </w:t>
      </w:r>
      <w:proofErr w:type="spellStart"/>
      <w:r>
        <w:rPr>
          <w:i/>
          <w:iCs/>
          <w:color w:val="555555"/>
          <w:sz w:val="20"/>
          <w:szCs w:val="20"/>
        </w:rPr>
        <w:t>sensingu</w:t>
      </w:r>
      <w:proofErr w:type="spellEnd"/>
      <w:r>
        <w:rPr>
          <w:i/>
          <w:iCs/>
          <w:color w:val="555555"/>
          <w:sz w:val="20"/>
          <w:szCs w:val="20"/>
        </w:rPr>
        <w:t xml:space="preserve"> mobilnym</w:t>
      </w:r>
    </w:p>
    <w:p w14:paraId="37A17F1E" w14:textId="77777777" w:rsidR="001B37FE" w:rsidRDefault="001B37FE">
      <w:pPr>
        <w:spacing w:before="1600"/>
      </w:pPr>
    </w:p>
    <w:p w14:paraId="37A17F1F" w14:textId="77777777" w:rsidR="001B37FE" w:rsidRDefault="000C0FB9">
      <w:pPr>
        <w:jc w:val="center"/>
      </w:pPr>
      <w:r>
        <w:rPr>
          <w:color w:val="777777"/>
          <w:sz w:val="18"/>
          <w:szCs w:val="18"/>
        </w:rPr>
        <w:t>Źródło definicji: Podręcznik Frascati 2015, OECD © GUS 2018, ISBN 978-83-88718-97-7</w:t>
      </w:r>
    </w:p>
    <w:p w14:paraId="37A17F20" w14:textId="77777777" w:rsidR="001B37FE" w:rsidRDefault="000C0FB9">
      <w:r>
        <w:br w:type="page"/>
      </w:r>
    </w:p>
    <w:p w14:paraId="37A17F21" w14:textId="77777777" w:rsidR="001B37FE" w:rsidRDefault="000C0FB9">
      <w:pPr>
        <w:pStyle w:val="Nagwek1"/>
      </w:pPr>
      <w:r>
        <w:lastRenderedPageBreak/>
        <w:t>1. Wprowadzenie i cel dokumentu</w:t>
      </w:r>
    </w:p>
    <w:p w14:paraId="37A17F22" w14:textId="77777777" w:rsidR="001B37FE" w:rsidRDefault="000C0FB9">
      <w:pPr>
        <w:spacing w:after="160" w:line="320" w:lineRule="auto"/>
        <w:jc w:val="both"/>
      </w:pPr>
      <w:r>
        <w:t xml:space="preserve">Niniejszy dokument stanowi szczegółową analizę innowacyjności projektu </w:t>
      </w:r>
      <w:r>
        <w:rPr>
          <w:b/>
          <w:bCs/>
        </w:rPr>
        <w:t xml:space="preserve">„Dane biometryczne ze </w:t>
      </w:r>
      <w:proofErr w:type="spellStart"/>
      <w:r>
        <w:rPr>
          <w:b/>
          <w:bCs/>
        </w:rPr>
        <w:t>smartfona</w:t>
      </w:r>
      <w:proofErr w:type="spellEnd"/>
      <w:r>
        <w:rPr>
          <w:b/>
          <w:bCs/>
        </w:rPr>
        <w:t xml:space="preserve"> w diagnostyce i monitorowaniu depresji”</w:t>
      </w:r>
      <w:r>
        <w:t xml:space="preserve"> w odniesieniu do definicji działalności badawczej i rozwojowej (B+R) zawartej w </w:t>
      </w:r>
      <w:r>
        <w:rPr>
          <w:i/>
          <w:iCs/>
        </w:rPr>
        <w:t>Podręczniku Frascati 2015</w:t>
      </w:r>
      <w:r>
        <w:t xml:space="preserve"> (OECD/GUS, 2018). Celem analizy jest wykazanie, że planowane działania projektowe spełniają łącznie wszystkie pięć kryteriów definiujących działalność B+R, a tym samym projekt kwalifikuje się jako przedsięwzięcie o charakterze innowacyjnym w rozumieniu tego dokumentu referencyjnego.</w:t>
      </w:r>
    </w:p>
    <w:p w14:paraId="37A17F23" w14:textId="77777777" w:rsidR="001B37FE" w:rsidRDefault="000C0FB9">
      <w:pPr>
        <w:spacing w:after="160" w:line="320" w:lineRule="auto"/>
        <w:jc w:val="both"/>
      </w:pPr>
      <w:r>
        <w:t>Podręcznik Frascati jest międzynarodowo uznanym standardem metodologicznym opracowanym przez OECD, stanowiącym ramy odniesienia dla pomiaru nauki, technologii i innowacji. Jest on wykorzystywany przez instytucje finansujące jako podstawowy dokument do oceny, czy dane przedsięwzięcie ma charakter badawczo-rozwojowy.</w:t>
      </w:r>
    </w:p>
    <w:p w14:paraId="37A17F24" w14:textId="77777777" w:rsidR="001B37FE" w:rsidRDefault="000C0FB9">
      <w:pPr>
        <w:pStyle w:val="Nagwek1"/>
      </w:pPr>
      <w:r>
        <w:t>2. Definicja działalności badawczej i rozwojowej wg Podręcznika Frascati</w:t>
      </w:r>
    </w:p>
    <w:p w14:paraId="37A17F25" w14:textId="77777777" w:rsidR="001B37FE" w:rsidRDefault="000C0FB9">
      <w:pPr>
        <w:spacing w:after="160" w:line="320" w:lineRule="auto"/>
        <w:jc w:val="both"/>
      </w:pPr>
      <w:r>
        <w:t>Zgodnie z par. 2.5 Podręcznika Frascati 2015:</w:t>
      </w:r>
    </w:p>
    <w:p w14:paraId="37A17F26" w14:textId="77777777" w:rsidR="001B37FE" w:rsidRDefault="000C0FB9">
      <w:pPr>
        <w:pBdr>
          <w:left w:val="single" w:sz="6" w:space="8" w:color="2E5D8A"/>
        </w:pBdr>
        <w:spacing w:before="120" w:after="120"/>
        <w:ind w:left="720" w:right="720"/>
      </w:pPr>
      <w:r>
        <w:rPr>
          <w:i/>
          <w:iCs/>
          <w:color w:val="333333"/>
        </w:rPr>
        <w:t>„Działalność badawcza i rozwojowa (w skrócie B+R) obejmuje pracę twórczą podejmowaną w sposób metodyczny w celu zwiększenia zasobów wiedzy – w tym wiedzy o rodzaju ludzkim, kulturze i społeczeństwie – oraz w celu tworzenia nowych zastosowań dla istniejącej wiedzy.”</w:t>
      </w:r>
    </w:p>
    <w:p w14:paraId="37A17F27" w14:textId="77777777" w:rsidR="001B37FE" w:rsidRDefault="000C0FB9">
      <w:pPr>
        <w:spacing w:after="160" w:line="320" w:lineRule="auto"/>
        <w:jc w:val="both"/>
      </w:pPr>
      <w:r>
        <w:t xml:space="preserve">Podręcznik precyzuje (par. 2.7), że aby dana działalność mogła zostać uznana za działalność B+R, musi ona spełniać </w:t>
      </w:r>
      <w:r>
        <w:rPr>
          <w:b/>
          <w:bCs/>
        </w:rPr>
        <w:t>łącznie pięć podstawowych kryteriów</w:t>
      </w:r>
      <w:r>
        <w:t xml:space="preserve">. Działalność taka musi być: (1) nowatorska, (2) twórcza, (3) nieprzewidywalna, (4) metodyczna oraz (5) możliwa do przeniesienia lub odtworzenia. Jak podkreślono w par. 2.8: </w:t>
      </w:r>
      <w:r>
        <w:rPr>
          <w:i/>
          <w:iCs/>
        </w:rPr>
        <w:t>„za każdym razem, gdy działalność B+R jest podejmowana w sposób ciągły lub okazjonalny, wszystkie pięć kryteriów musi zostać spełnionych, przynajmniej co do zasady.”</w:t>
      </w:r>
    </w:p>
    <w:p w14:paraId="37A17F28" w14:textId="77777777" w:rsidR="001B37FE" w:rsidRDefault="000C0FB9">
      <w:pPr>
        <w:spacing w:after="160" w:line="320" w:lineRule="auto"/>
        <w:jc w:val="both"/>
      </w:pPr>
      <w:r>
        <w:t xml:space="preserve">Projekt klasyfikuje się jako połączenie </w:t>
      </w:r>
      <w:r>
        <w:rPr>
          <w:b/>
          <w:bCs/>
        </w:rPr>
        <w:t>badań stosowanych</w:t>
      </w:r>
      <w:r>
        <w:t xml:space="preserve"> (par. 2.9 – „oryginalne badania podejmowane w celu zdobycia nowej wiedzy, ukierunkowane przede wszystkim na konkretny, praktyczny cel”) oraz </w:t>
      </w:r>
      <w:r>
        <w:rPr>
          <w:b/>
          <w:bCs/>
        </w:rPr>
        <w:t>prac rozwojowych</w:t>
      </w:r>
      <w:r>
        <w:t xml:space="preserve"> (par. 2.9 – „prace podejmowane w sposób metodyczny, oparte na wiedzy zdobytej w wyniku działalności B+R i doświadczeń praktycznych oraz wytwarzające dodatkową wiedzę, ukierunkowaną na wytworzenie nowych produktów lub procesów”).</w:t>
      </w:r>
    </w:p>
    <w:p w14:paraId="37A17F29" w14:textId="77777777" w:rsidR="001B37FE" w:rsidRDefault="000C0FB9">
      <w:pPr>
        <w:pStyle w:val="Nagwek1"/>
      </w:pPr>
      <w:r>
        <w:t>3. Syntetyczny opis projektu</w:t>
      </w:r>
    </w:p>
    <w:p w14:paraId="37A17F2A" w14:textId="76A0DCE0" w:rsidR="001B37FE" w:rsidRDefault="000C0FB9">
      <w:pPr>
        <w:spacing w:after="160" w:line="320" w:lineRule="auto"/>
        <w:jc w:val="both"/>
      </w:pPr>
      <w:r>
        <w:t>Projekt zakłada stworzenie aplikacji mobilnej, która w sposób</w:t>
      </w:r>
      <w:r w:rsidR="00B937FD">
        <w:t xml:space="preserve"> </w:t>
      </w:r>
      <w:r w:rsidR="001C62FA">
        <w:t>w większości</w:t>
      </w:r>
      <w:r>
        <w:t xml:space="preserve"> pasywny (bez angażowania użytkownika) zbiera dane biometryczne i behawioralne ze </w:t>
      </w:r>
      <w:proofErr w:type="spellStart"/>
      <w:r>
        <w:t>smartfona</w:t>
      </w:r>
      <w:proofErr w:type="spellEnd"/>
      <w:r>
        <w:t xml:space="preserve"> i przetwarza je w cyfrowe </w:t>
      </w:r>
      <w:proofErr w:type="spellStart"/>
      <w:r>
        <w:t>biomarkery</w:t>
      </w:r>
      <w:proofErr w:type="spellEnd"/>
      <w:r>
        <w:t xml:space="preserve"> depresji. System integruje co najmniej </w:t>
      </w:r>
      <w:r w:rsidR="001F4815">
        <w:t>sześć</w:t>
      </w:r>
      <w:r w:rsidR="001C62FA">
        <w:t xml:space="preserve"> </w:t>
      </w:r>
      <w:r>
        <w:t>strumieni danych pasywnych: analizę głosu, mobilność GPS, wzorce użycia telefonu, dynamikę pisania, wzorce snu oraz komunikację, z opcjonalnym modułem pomiaru tętna (</w:t>
      </w:r>
      <w:proofErr w:type="spellStart"/>
      <w:r>
        <w:t>rPPG</w:t>
      </w:r>
      <w:proofErr w:type="spellEnd"/>
      <w:r>
        <w:t xml:space="preserve">). Narzędzie ma wspierać psychologów w diagnostyce, monitorowaniu przebiegu choroby i ocenie skuteczności </w:t>
      </w:r>
      <w:r w:rsidR="00A173E7">
        <w:t>terapii</w:t>
      </w:r>
      <w:r>
        <w:t>.</w:t>
      </w:r>
    </w:p>
    <w:p w14:paraId="37A17F2B" w14:textId="2ED6EA70" w:rsidR="001B37FE" w:rsidRDefault="000C0FB9">
      <w:pPr>
        <w:spacing w:after="160" w:line="320" w:lineRule="auto"/>
        <w:jc w:val="both"/>
      </w:pPr>
      <w:r>
        <w:lastRenderedPageBreak/>
        <w:t xml:space="preserve">Projekt realizowany jest w czterech fazach: (1) analiza potrzeb klinicznych, (2) budowa prototypu aplikacji i zbieranie danych, (3) opracowanie nowej metody – modeli ML integrujących multimodalne </w:t>
      </w:r>
      <w:proofErr w:type="spellStart"/>
      <w:r>
        <w:t>biomarkery</w:t>
      </w:r>
      <w:proofErr w:type="spellEnd"/>
      <w:r>
        <w:t xml:space="preserve"> z indywidualnymi profilami behawioralnymi, (4) ewaluacja kliniczna z psychologami. Metodologia obejmuje rekrutację min. 100 uczestników na 12 tygodni z równoległą walidacją kliniczną (PHQ-9).</w:t>
      </w:r>
    </w:p>
    <w:p w14:paraId="37A17F2C" w14:textId="77777777" w:rsidR="001B37FE" w:rsidRDefault="000C0FB9">
      <w:r>
        <w:br w:type="page"/>
      </w:r>
    </w:p>
    <w:p w14:paraId="37A17F2D" w14:textId="77777777" w:rsidR="001B37FE" w:rsidRDefault="000C0FB9">
      <w:pPr>
        <w:pStyle w:val="Nagwek1"/>
      </w:pPr>
      <w:r>
        <w:lastRenderedPageBreak/>
        <w:t>4. Szczegółowa analiza spełnienia pięciu kryteriów B+R</w:t>
      </w:r>
    </w:p>
    <w:p w14:paraId="37A17F2E" w14:textId="77777777" w:rsidR="001B37FE" w:rsidRDefault="000C0FB9">
      <w:pPr>
        <w:spacing w:after="160" w:line="320" w:lineRule="auto"/>
        <w:jc w:val="both"/>
      </w:pPr>
      <w:r>
        <w:t>Poniżej przedstawiono analizę każdego z pięciu kryteriów definiujących działalność B+R zgodnie z Podręcznikiem Frascati 2015 (par. 2.13–2.20) w odniesieniu do planowanego projektu.</w:t>
      </w:r>
    </w:p>
    <w:p w14:paraId="37A17F2F" w14:textId="77777777" w:rsidR="001B37FE" w:rsidRDefault="000C0FB9">
      <w:pPr>
        <w:pStyle w:val="Nagwek2"/>
      </w:pPr>
      <w:r>
        <w:t>4.1. Kryterium 1: Ukierunkowanie na nowe odkrycia (nowatorska)</w:t>
      </w:r>
    </w:p>
    <w:p w14:paraId="37A17F30" w14:textId="77777777" w:rsidR="001B37FE" w:rsidRDefault="000C0FB9">
      <w:pPr>
        <w:spacing w:after="160" w:line="320" w:lineRule="auto"/>
        <w:jc w:val="both"/>
      </w:pPr>
      <w:r>
        <w:rPr>
          <w:b/>
          <w:bCs/>
        </w:rPr>
        <w:t xml:space="preserve">Podstawa w Podręczniku Frascati: </w:t>
      </w:r>
      <w:r>
        <w:t>Par. 2.14–2.16. „Oczekiwanym celem projektu B+R jest nowa wiedza”. „Działalność B+R w ramach projektu musi prowadzić do wyników, które są nowe dla przedsiębiorstwa i nie są jeszcze wykorzystywane w danej branży.” Z działalności B+R wyraźnie wykluczone są „działania podejmowane w celu kopiowania, naśladowania lub realizowania tzw. inżynierii wstecznej.”</w:t>
      </w:r>
    </w:p>
    <w:p w14:paraId="37A17F31" w14:textId="77777777" w:rsidR="001B37FE" w:rsidRDefault="000C0FB9">
      <w:pPr>
        <w:spacing w:after="160" w:line="320" w:lineRule="auto"/>
        <w:jc w:val="both"/>
      </w:pPr>
      <w:r>
        <w:rPr>
          <w:b/>
          <w:bCs/>
          <w:color w:val="1B3A5C"/>
        </w:rPr>
        <w:t>Spełnienie kryterium przez projekt:</w:t>
      </w:r>
    </w:p>
    <w:p w14:paraId="37A17F32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Nowa wiedza o cyfrowych </w:t>
      </w:r>
      <w:proofErr w:type="spellStart"/>
      <w:r>
        <w:rPr>
          <w:b/>
          <w:bCs/>
        </w:rPr>
        <w:t>biomarkerach</w:t>
      </w:r>
      <w:proofErr w:type="spellEnd"/>
      <w:r>
        <w:rPr>
          <w:b/>
          <w:bCs/>
        </w:rPr>
        <w:t xml:space="preserve"> depresji w warunkach polskich. </w:t>
      </w:r>
      <w:r>
        <w:t xml:space="preserve">Projekt generuje oryginalną wiedzę na temat korelacji między danymi behawioralnymi zbieranymi pasywnie ze </w:t>
      </w:r>
      <w:proofErr w:type="spellStart"/>
      <w:r>
        <w:t>smartfona</w:t>
      </w:r>
      <w:proofErr w:type="spellEnd"/>
      <w:r>
        <w:t xml:space="preserve"> a nasileniem objawów depresyjnych w populacji polskiej. Dotychczasowe badania (np. </w:t>
      </w:r>
      <w:proofErr w:type="spellStart"/>
      <w:r>
        <w:t>Canzian</w:t>
      </w:r>
      <w:proofErr w:type="spellEnd"/>
      <w:r>
        <w:t xml:space="preserve"> &amp; </w:t>
      </w:r>
      <w:proofErr w:type="spellStart"/>
      <w:r>
        <w:t>Musolesi</w:t>
      </w:r>
      <w:proofErr w:type="spellEnd"/>
      <w:r>
        <w:t xml:space="preserve">, 2015; </w:t>
      </w:r>
      <w:proofErr w:type="spellStart"/>
      <w:r>
        <w:t>Shen</w:t>
      </w:r>
      <w:proofErr w:type="spellEnd"/>
      <w:r>
        <w:t xml:space="preserve"> et al., 2025) prowadzone były głównie w populacjach </w:t>
      </w:r>
      <w:proofErr w:type="spellStart"/>
      <w:r>
        <w:t>anglosasków</w:t>
      </w:r>
      <w:proofErr w:type="spellEnd"/>
      <w:r>
        <w:t xml:space="preserve"> – projekt wnosi nową wiedzę o specyfice kulturowej i językowej wpływającej na biometryczne wskaźniki depresji.</w:t>
      </w:r>
    </w:p>
    <w:p w14:paraId="37A17F33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Nowa metoda integracji multimodalnych strumieni danych. </w:t>
      </w:r>
      <w:r>
        <w:t>W dotychczasowej literaturze naukowej (</w:t>
      </w:r>
      <w:proofErr w:type="spellStart"/>
      <w:r>
        <w:t>scoping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Shen</w:t>
      </w:r>
      <w:proofErr w:type="spellEnd"/>
      <w:r>
        <w:t xml:space="preserve"> et al., 2025 – 42 studia) dominuje podejście jednomodalne lub ograniczone do 2–3 sensorów. Projekt proponuje integrację 6 strumieni pasywnych + 1 opcjonalnego (</w:t>
      </w:r>
      <w:proofErr w:type="spellStart"/>
      <w:r>
        <w:t>rPPG</w:t>
      </w:r>
      <w:proofErr w:type="spellEnd"/>
      <w:r>
        <w:t>) w jednym modelu predykcyjnym, co stanowi istotne novum metodologiczne.</w:t>
      </w:r>
    </w:p>
    <w:p w14:paraId="37A17F34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Innowacyjne podejście do interpretacji wyników: indywidualne profile behawioralne. </w:t>
      </w:r>
      <w:r>
        <w:t>Zamiast stosowania progowych wartości populacyjnych (standard w dotychczasowych rozwiązaniach), projekt bada nową metodę personalizacji opartą na indywidualnych profilach behawioralnych pacjenta. Jest to oryginalna koncepcja badawcza, która nie była dotychczas walidowana klinicznie w kontekście wsparcia psychologów.</w:t>
      </w:r>
    </w:p>
    <w:p w14:paraId="37A17F35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Brak istniejącego rozwiązania na rynku. </w:t>
      </w:r>
      <w:r>
        <w:t xml:space="preserve">Aktualnie nie istnieje walidowane klinicznie narzędzie łączące pasywny </w:t>
      </w:r>
      <w:proofErr w:type="spellStart"/>
      <w:r>
        <w:t>sensing</w:t>
      </w:r>
      <w:proofErr w:type="spellEnd"/>
      <w:r>
        <w:t xml:space="preserve"> mobilny z interpretowalnym wsparciem decyzji klinicznych dla psychologów. Projekt nie kopiuje ani nie naśladuje istniejących rozwiązań – tworzy nowe.</w:t>
      </w:r>
    </w:p>
    <w:p w14:paraId="37A17F36" w14:textId="77777777" w:rsidR="001B37FE" w:rsidRDefault="000C0FB9">
      <w:pPr>
        <w:pStyle w:val="Nagwek2"/>
      </w:pPr>
      <w:r>
        <w:t>4.2. Kryterium 2: Opieranie się na oryginalnych koncepcjach i hipotezach (twórcza)</w:t>
      </w:r>
    </w:p>
    <w:p w14:paraId="37A17F37" w14:textId="77777777" w:rsidR="001B37FE" w:rsidRDefault="000C0FB9">
      <w:pPr>
        <w:spacing w:after="160" w:line="320" w:lineRule="auto"/>
        <w:jc w:val="both"/>
      </w:pPr>
      <w:r>
        <w:rPr>
          <w:b/>
          <w:bCs/>
        </w:rPr>
        <w:t xml:space="preserve">Podstawa w Podręczniku Frascati: </w:t>
      </w:r>
      <w:r>
        <w:t xml:space="preserve">Par. 2.17. „Celem projektu B+R muszą być nowe koncepcje lub pomysły, które wzbogacają istniejącą wiedzę. Wyklucza to z działalności B+R wszelkie rutynowe zmiany w produktach lub procesach.” Podkreślono, że „z </w:t>
      </w:r>
      <w:proofErr w:type="spellStart"/>
      <w:r>
        <w:t>kreatywnosćcią</w:t>
      </w:r>
      <w:proofErr w:type="spellEnd"/>
      <w:r>
        <w:t xml:space="preserve"> w sferze B+R nieodłącznie związany jest wkład człowieka” i że projekt wymaga wkładu badacza.</w:t>
      </w:r>
    </w:p>
    <w:p w14:paraId="37A17F38" w14:textId="77777777" w:rsidR="001B37FE" w:rsidRDefault="000C0FB9">
      <w:pPr>
        <w:spacing w:after="160" w:line="320" w:lineRule="auto"/>
        <w:jc w:val="both"/>
      </w:pPr>
      <w:r>
        <w:rPr>
          <w:b/>
          <w:bCs/>
          <w:color w:val="1B3A5C"/>
        </w:rPr>
        <w:t>Spełnienie kryterium przez projekt:</w:t>
      </w:r>
    </w:p>
    <w:p w14:paraId="37A17F39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lastRenderedPageBreak/>
        <w:t xml:space="preserve">Oryginalne połączenie dyscyplin naukowych. </w:t>
      </w:r>
      <w:r>
        <w:t xml:space="preserve">Projekt łączy w twórczy sposób psychologię kliniczną, cyfrowe </w:t>
      </w:r>
      <w:proofErr w:type="spellStart"/>
      <w:r>
        <w:t>fenotypowanie</w:t>
      </w:r>
      <w:proofErr w:type="spellEnd"/>
      <w:r>
        <w:t xml:space="preserve"> (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phenotyping</w:t>
      </w:r>
      <w:proofErr w:type="spellEnd"/>
      <w:r>
        <w:t>), uczenie maszynowe i biometrię mobilną w jednym spójnym systemie badawczym. Nie jest to rutynowe zastosowanie istniejącej technologii, lecz oryginalna koncepcja interdyscyplinarna.</w:t>
      </w:r>
    </w:p>
    <w:p w14:paraId="37A17F3A" w14:textId="3F082DBF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Nowe hipotezy badawcze. </w:t>
      </w:r>
      <w:r>
        <w:t xml:space="preserve">Projekt testuje hipotezy wcześniej niebadane: (a) czy fuzja 6+ strumieni pasywnych z jednego urządzenia mobilnego daje wyższą </w:t>
      </w:r>
      <w:proofErr w:type="spellStart"/>
      <w:r>
        <w:t>czulość</w:t>
      </w:r>
      <w:proofErr w:type="spellEnd"/>
      <w:r>
        <w:t xml:space="preserve"> diagnostyczną niż podejście jednomodalne; (b) czy indywidualne profile behawioralne są skuteczniejsze niż progi populacyjne; (c) czy system pasywny może wykrywać nawroty depresji z wyprzedzeniem ≥</w:t>
      </w:r>
      <w:r w:rsidR="00950270">
        <w:t>14</w:t>
      </w:r>
      <w:r>
        <w:t xml:space="preserve"> dni.</w:t>
      </w:r>
    </w:p>
    <w:p w14:paraId="37A17F3C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Wkład badaczy. </w:t>
      </w:r>
      <w:r>
        <w:t xml:space="preserve">Projekt wymaga udziału badaczy z zakresu psychologii klinicznej, data science i inżynierii mobilnej – spełniając wymogi par. 2.17 dotyczące nieodłącznego wkładu </w:t>
      </w:r>
      <w:proofErr w:type="spellStart"/>
      <w:r>
        <w:t>człowieka-badacza</w:t>
      </w:r>
      <w:proofErr w:type="spellEnd"/>
      <w:r>
        <w:t>.</w:t>
      </w:r>
    </w:p>
    <w:p w14:paraId="37A17F3D" w14:textId="77777777" w:rsidR="001B37FE" w:rsidRDefault="000C0FB9">
      <w:pPr>
        <w:pStyle w:val="Nagwek2"/>
      </w:pPr>
      <w:r>
        <w:t>4.3. Kryterium 3: Niepewność co do ostatecznego wyniku (nieprzewidywalna)</w:t>
      </w:r>
    </w:p>
    <w:p w14:paraId="37A17F3E" w14:textId="77777777" w:rsidR="001B37FE" w:rsidRDefault="000C0FB9">
      <w:pPr>
        <w:spacing w:after="160" w:line="320" w:lineRule="auto"/>
        <w:jc w:val="both"/>
      </w:pPr>
      <w:r>
        <w:rPr>
          <w:b/>
          <w:bCs/>
        </w:rPr>
        <w:t xml:space="preserve">Podstawa w Podręczniku Frascati: </w:t>
      </w:r>
      <w:r>
        <w:t>Par. 2.18. „Działalność badawcza i rozwojowa wiąże się z niepewnością […]. Na początku projektu B+R nie można dokładnie określić rodzaju rezultatu ani kosztu (w tym poświęconego czasu) w kontekście jego celów.” Nieprzewidywalność może dotyczyć „kosztów lub czasu potrzebnego do osiągnięcia oczekiwanych wyników, a także co do tego, czy cele te można w ogóle w jakimś stopniu osiągnąć.”</w:t>
      </w:r>
    </w:p>
    <w:p w14:paraId="37A17F3F" w14:textId="77777777" w:rsidR="001B37FE" w:rsidRDefault="000C0FB9">
      <w:pPr>
        <w:spacing w:after="160" w:line="320" w:lineRule="auto"/>
        <w:jc w:val="both"/>
      </w:pPr>
      <w:r>
        <w:rPr>
          <w:b/>
          <w:bCs/>
          <w:color w:val="1B3A5C"/>
        </w:rPr>
        <w:t>Spełnienie kryterium przez projekt:</w:t>
      </w:r>
    </w:p>
    <w:p w14:paraId="37A17F40" w14:textId="75475815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Niepewność co do osiągalności docelowej dokładności diagnostycznej. </w:t>
      </w:r>
      <w:r>
        <w:t xml:space="preserve">Nie jest z góry znane, czy multimodalny model ML oparty na danych pasywnych z jednego </w:t>
      </w:r>
      <w:proofErr w:type="spellStart"/>
      <w:r>
        <w:t>smartfona</w:t>
      </w:r>
      <w:proofErr w:type="spellEnd"/>
      <w:r>
        <w:t xml:space="preserve"> osiągnie korelację r ≥ 0,70 z kliniczną oceną depresji (PHQ-9). Dotychczasowe badania raportują zróżnicowane wyniki – np. Larsen et al. (2024) osiągają czułość 71,3% i specyficzność 73,5%, ale wyłącznie dla analizy głosu i tylko w umiarkowanej depresji.</w:t>
      </w:r>
    </w:p>
    <w:p w14:paraId="37A17F41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Niepewność co do skuteczności fuzji multimodalnej. </w:t>
      </w:r>
      <w:r>
        <w:t>Nie wiadomo, czy połączenie 6 strumieni danych w jednym modelu przyniesie efekt synergii, czy też nadmiar szumu z niektórych kanałów pogorszy predykcję. W literaturze brak jednoznacznych dowodów na optymalną konfigurację sensorów.</w:t>
      </w:r>
    </w:p>
    <w:p w14:paraId="37A17F42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Niepewność co do transferowalności metod do kontekstu polskiego. </w:t>
      </w:r>
      <w:r>
        <w:t xml:space="preserve">Wzorce behawioralne (np. długość pauz w mowie, dynamika pisania na klawiaturze polskiej, wzorce mobilności GPS w polskich miastach) mogą istotnie różnić się od danych z badań anglosaskich. Nie ma pewności, że </w:t>
      </w:r>
      <w:proofErr w:type="spellStart"/>
      <w:r>
        <w:t>istniejace</w:t>
      </w:r>
      <w:proofErr w:type="spellEnd"/>
      <w:r>
        <w:t xml:space="preserve"> modele da się zaadaptować.</w:t>
      </w:r>
    </w:p>
    <w:p w14:paraId="37A17F43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Niepewność co do akceptacji klinicznej. </w:t>
      </w:r>
      <w:r>
        <w:t xml:space="preserve">Nie wiadomo, czy psychologowie zaakceptują cyfrowe </w:t>
      </w:r>
      <w:proofErr w:type="spellStart"/>
      <w:r>
        <w:t>biomarkery</w:t>
      </w:r>
      <w:proofErr w:type="spellEnd"/>
      <w:r>
        <w:t xml:space="preserve"> jako wiarygodne uzupełnienie praktyki klinicznej (cel: ≥60% deklaruje wartość dodaną – wynik ten nie jest przesądzony). Reakcja środowiska klinicznego na narzędzia AI w psychiatrii pozostaje niejednoznaczna.</w:t>
      </w:r>
    </w:p>
    <w:p w14:paraId="37A17F44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Niepewność techniczna. </w:t>
      </w:r>
      <w:r>
        <w:t xml:space="preserve">Pasywne zbieranie danych z wielu sensorów jednocześnie na różnych modelach smartfonów (Android/iOS) stwarza istotne wyzwania techniczne: </w:t>
      </w:r>
      <w:r>
        <w:lastRenderedPageBreak/>
        <w:t>zróżnicowane API, ograniczenia systemowe dotyczące pracy w tle, wpływ na żywotność baterii. Nie ma pewności, czy uda się uzyskać dane odpowiedniej jakości przez 12 tygodni bez znacznego obciążenia użytkownika.</w:t>
      </w:r>
    </w:p>
    <w:p w14:paraId="37A17F45" w14:textId="5251E50B" w:rsidR="001B37FE" w:rsidRDefault="000C0FB9">
      <w:pPr>
        <w:pStyle w:val="Nagwek2"/>
      </w:pPr>
      <w:r>
        <w:t>4.4. Kryterium 4: Planowanie i budżetowanie</w:t>
      </w:r>
    </w:p>
    <w:p w14:paraId="37A17F46" w14:textId="77777777" w:rsidR="001B37FE" w:rsidRDefault="000C0FB9">
      <w:pPr>
        <w:spacing w:after="160" w:line="320" w:lineRule="auto"/>
        <w:jc w:val="both"/>
      </w:pPr>
      <w:r>
        <w:rPr>
          <w:b/>
          <w:bCs/>
        </w:rPr>
        <w:t xml:space="preserve">Podstawa w Podręczniku Frascati: </w:t>
      </w:r>
      <w:r>
        <w:t>Par. 2.19. „Działalność badawcza i rozwojowa to formalna działalność prowadzona w sposób metodyczny. […] „metodyczny” (</w:t>
      </w:r>
      <w:proofErr w:type="spellStart"/>
      <w:r>
        <w:t>systematic</w:t>
      </w:r>
      <w:proofErr w:type="spellEnd"/>
      <w:r>
        <w:t>) oznacza, że działalność B+R jest prowadzona w sposób zaplanowany, przy czym rejestruje się zarówno przebieg procesu, jak i jego wynik.” Należy określić „cel projektu B+R oraz źródła finansowania prowadzonych prac.”</w:t>
      </w:r>
    </w:p>
    <w:p w14:paraId="37A17F47" w14:textId="77777777" w:rsidR="001B37FE" w:rsidRDefault="000C0FB9">
      <w:pPr>
        <w:spacing w:after="160" w:line="320" w:lineRule="auto"/>
        <w:jc w:val="both"/>
      </w:pPr>
      <w:r>
        <w:rPr>
          <w:b/>
          <w:bCs/>
          <w:color w:val="1B3A5C"/>
        </w:rPr>
        <w:t>Spełnienie kryterium przez projekt:</w:t>
      </w:r>
    </w:p>
    <w:p w14:paraId="37A17F48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Jasno zdefiniowana struktura fazowa. </w:t>
      </w:r>
      <w:r>
        <w:t>Projekt jest podzielony na 4 sekwencyjne fazy badawcze, każda z własnym celem, działaniami i mierzalnymi rezultatami: Faza 1 (analiza potrzeb), Faza 2 (prototyp i zbieranie danych), Faza 3 (opracowanie nowej metody), Faza 4 (ewaluacja kliniczna).</w:t>
      </w:r>
    </w:p>
    <w:p w14:paraId="37A17F49" w14:textId="5E18AC9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Mierzalne wskaźniki sukcesu. </w:t>
      </w:r>
      <w:r>
        <w:t>Projekt definiuje precyzyjne kryteria oceny: SUS ≥ 68/100, korelacja r ≥ 0,70, akceptacja ≥60% psychologów, wykrywanie ≥</w:t>
      </w:r>
      <w:r w:rsidR="007F3358">
        <w:t>14</w:t>
      </w:r>
      <w:r>
        <w:t xml:space="preserve"> dni przed wizytą. Te wskaźniki pozwalają na systematyczną ocenę postępów i wyników.</w:t>
      </w:r>
    </w:p>
    <w:p w14:paraId="37A17F4A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Określone zasoby i wielkość próby. </w:t>
      </w:r>
      <w:r>
        <w:t>Projekt planuje rekrutację n≥10 psychologów do Fazy 1, n≥100 uczestników na 12 tygodni w Fazie 2, oraz n≥15 psychologów do Fazy 4, co świadczy o zaplanowaniu odpowiednich zasobów.</w:t>
      </w:r>
    </w:p>
    <w:p w14:paraId="37A17F4B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Dokumentacja przebiegu i wyników. </w:t>
      </w:r>
      <w:r>
        <w:t xml:space="preserve">Każda faza kończy się wyraźnie zdefiniowanym </w:t>
      </w:r>
      <w:proofErr w:type="spellStart"/>
      <w:r>
        <w:t>dokumentowalnym</w:t>
      </w:r>
      <w:proofErr w:type="spellEnd"/>
      <w:r>
        <w:t xml:space="preserve"> rezultatem: specyfikacją wymagań, zbiorem danych multimodalnych, algorytmem predykcyjnym i raportem efektywności.</w:t>
      </w:r>
    </w:p>
    <w:p w14:paraId="37A17F4C" w14:textId="77777777" w:rsidR="001B37FE" w:rsidRDefault="000C0FB9">
      <w:pPr>
        <w:pStyle w:val="Nagwek2"/>
      </w:pPr>
      <w:r>
        <w:t>4.5. Kryterium 5: Prowadzenie do wyników, które mogą być odtwarzane (możliwa do przeniesienia lub odtworzenia)</w:t>
      </w:r>
    </w:p>
    <w:p w14:paraId="37A17F4D" w14:textId="77777777" w:rsidR="001B37FE" w:rsidRDefault="000C0FB9">
      <w:pPr>
        <w:spacing w:after="160" w:line="320" w:lineRule="auto"/>
        <w:jc w:val="both"/>
      </w:pPr>
      <w:r>
        <w:rPr>
          <w:b/>
          <w:bCs/>
        </w:rPr>
        <w:t xml:space="preserve">Podstawa w Podręczniku Frascati: </w:t>
      </w:r>
      <w:r>
        <w:t xml:space="preserve">Par. 2.20. „Projekt B+R powinien zaowocować wynikiem, który potencjalnie daje możliwość transferu nowej wiedzy, zapewniając jej wykorzystanie i umożliwiając innym badaczom odtworzenie wyników.” Wyniki „nie mogą pozostać </w:t>
      </w:r>
      <w:proofErr w:type="spellStart"/>
      <w:r>
        <w:t>wyartykuowane</w:t>
      </w:r>
      <w:proofErr w:type="spellEnd"/>
      <w:r>
        <w:t xml:space="preserve"> (tj. nie mogą pozostać wyłącznie w umysłach badaczy).”</w:t>
      </w:r>
    </w:p>
    <w:p w14:paraId="37A17F4E" w14:textId="77777777" w:rsidR="001B37FE" w:rsidRDefault="000C0FB9">
      <w:pPr>
        <w:spacing w:after="160" w:line="320" w:lineRule="auto"/>
        <w:jc w:val="both"/>
      </w:pPr>
      <w:r>
        <w:rPr>
          <w:b/>
          <w:bCs/>
          <w:color w:val="1B3A5C"/>
        </w:rPr>
        <w:t>Spełnienie kryterium przez projekt:</w:t>
      </w:r>
    </w:p>
    <w:p w14:paraId="37A17F4F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Kodyfikacja wiedzy w formie algorytmu. </w:t>
      </w:r>
      <w:r>
        <w:t>Głównym wynikiem projektu jest algorytm predykcyjny łączący 6+ strumieni pasywnych – skodyfikowana wiedza możliwa do przeniesienia, odtworzenia i dalszego rozwijania przez innych badaczy.</w:t>
      </w:r>
    </w:p>
    <w:p w14:paraId="37A17F50" w14:textId="570DEF45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Zbior</w:t>
      </w:r>
      <w:proofErr w:type="spellEnd"/>
      <w:r>
        <w:rPr>
          <w:b/>
          <w:bCs/>
        </w:rPr>
        <w:t xml:space="preserve"> danych do dalszych badań. </w:t>
      </w:r>
      <w:r>
        <w:t>Projekt wytwarza ustrukturyzowany, klinicznie walidowany zbiór danych multimodalnych (dane sensoryczne sparowane z oceną PHQ-9), który może być wykorzystany w dalszych badaniach.</w:t>
      </w:r>
    </w:p>
    <w:p w14:paraId="37A17F51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lastRenderedPageBreak/>
        <w:t xml:space="preserve">Raporty i dokumentacja metodologiczna. </w:t>
      </w:r>
      <w:r>
        <w:t>Specyfikacja wymagań, protokół badawczy, raport efektywności z ewaluacji klinicznej – to dokumenty umożliwiające replikację badań.</w:t>
      </w:r>
    </w:p>
    <w:p w14:paraId="37A17F52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Możliwość publikacji naukowych. </w:t>
      </w:r>
      <w:r>
        <w:t xml:space="preserve">Wyniki projektu mogą być rozpowszechniane w formie publikacji w recenzowanych czasopismach naukowych (np. JMIR, </w:t>
      </w:r>
      <w:proofErr w:type="spellStart"/>
      <w:r>
        <w:t>Frontiers</w:t>
      </w:r>
      <w:proofErr w:type="spellEnd"/>
      <w:r>
        <w:t xml:space="preserve"> in Psychiatry), co jest standardową formą transferu wiedzy.</w:t>
      </w:r>
    </w:p>
    <w:p w14:paraId="37A17F53" w14:textId="77777777" w:rsidR="001B37FE" w:rsidRDefault="000C0FB9">
      <w:pPr>
        <w:pStyle w:val="Akapitzlist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Przenoszalność na inne zaburzenia psychiczne. </w:t>
      </w:r>
      <w:r>
        <w:t xml:space="preserve">Opracowana metodologia (pasywny </w:t>
      </w:r>
      <w:proofErr w:type="spellStart"/>
      <w:r>
        <w:t>sensing</w:t>
      </w:r>
      <w:proofErr w:type="spellEnd"/>
      <w:r>
        <w:t xml:space="preserve"> + indywidualne profile + </w:t>
      </w:r>
      <w:proofErr w:type="spellStart"/>
      <w:r>
        <w:t>fusja</w:t>
      </w:r>
      <w:proofErr w:type="spellEnd"/>
      <w:r>
        <w:t xml:space="preserve"> multimodalna) potencjalnie nadaje się do adaptacji dla monitorowania innych zaburzeń, np. zaburzeń lękowych, zaburzeń afektywnych dwubiegunowych, PTSD.</w:t>
      </w:r>
    </w:p>
    <w:p w14:paraId="37A17F54" w14:textId="77777777" w:rsidR="001B37FE" w:rsidRDefault="000C0FB9">
      <w:r>
        <w:br w:type="page"/>
      </w:r>
    </w:p>
    <w:p w14:paraId="37A17F55" w14:textId="77777777" w:rsidR="001B37FE" w:rsidRDefault="000C0FB9">
      <w:pPr>
        <w:pStyle w:val="Nagwek1"/>
      </w:pPr>
      <w:r>
        <w:lastRenderedPageBreak/>
        <w:t>5. Dodatkowe przesłanki kwalifikujące projekt jako B+R</w:t>
      </w:r>
    </w:p>
    <w:p w14:paraId="37A17F56" w14:textId="77777777" w:rsidR="001B37FE" w:rsidRDefault="000C0FB9">
      <w:pPr>
        <w:pStyle w:val="Nagwek2"/>
      </w:pPr>
      <w:r>
        <w:t>5.1. Klasyfikacja w kontekście B+R związanej z oprogramowaniem</w:t>
      </w:r>
    </w:p>
    <w:p w14:paraId="37A17F57" w14:textId="77777777" w:rsidR="001B37FE" w:rsidRDefault="000C0FB9">
      <w:pPr>
        <w:spacing w:after="160" w:line="320" w:lineRule="auto"/>
        <w:jc w:val="both"/>
      </w:pPr>
      <w:r>
        <w:t>Podręcznik Frascati w par. 2.68–2.73 szczególnie adresuje problematykę działalności B+R w tworzeniu oprogramowania. Kluczowy zapis (par. 2.68): „aby projekt dotyczący tworzenia oprogramowania został zaklasyfikowany jako B+R, warunkiem jego zakończenia musi być dokonanie postępu naukowego lub technicznego, a celem projektu musi być wyeliminowanie elementu naukowej lub technicznej niepewności w sposób metodyczny.”</w:t>
      </w:r>
    </w:p>
    <w:p w14:paraId="37A17F58" w14:textId="77777777" w:rsidR="001B37FE" w:rsidRDefault="000C0FB9">
      <w:pPr>
        <w:spacing w:after="160" w:line="320" w:lineRule="auto"/>
        <w:jc w:val="both"/>
      </w:pPr>
      <w:r>
        <w:t>Projekt spełnia ten warunek: nie polega na tworzeniu zwykłej aplikacji przy użyciu znanych metod (co zgodnie z par. 2.72 nie byłoby B+R), lecz na opracowaniu nowych algorytmów integrujących heterogeniczne strumienie danych sensorycznych w modele predykcyjne. Zgodnie z par. 2.71, „tworzenie nowych lub bardziej wydajnych algorytmów w oparciu o nowe techniki” jest wprost wymienione jako przykład działalności B+R w zakresie oprogramowania.</w:t>
      </w:r>
    </w:p>
    <w:p w14:paraId="37A17F59" w14:textId="77777777" w:rsidR="001B37FE" w:rsidRDefault="000C0FB9">
      <w:pPr>
        <w:pStyle w:val="Nagwek2"/>
      </w:pPr>
      <w:r>
        <w:t>5.2. Klasyfikacja w kontekście projektów z dziedziny big data</w:t>
      </w:r>
    </w:p>
    <w:p w14:paraId="37A17F5A" w14:textId="77777777" w:rsidR="001B37FE" w:rsidRDefault="000C0FB9">
      <w:pPr>
        <w:spacing w:after="160" w:line="320" w:lineRule="auto"/>
        <w:jc w:val="both"/>
      </w:pPr>
      <w:r>
        <w:t>Par. 2.93 Podręcznika Frascati adresuje „pojawienie się nowych instrumentów i metod eksploracji wykorzystujących duże ilości danych” i stwierdza, że „działania te należą do sfery B+R wtedy i tylko wtedy, gdy spełniają pięć podstawowych kryteriów, w szczególności ogólny wymóg, aby działalność lub projekt były podejmowane w sposób metodyczny, tzn. aby wyraźnie określić pierwotna lukę w wiedzy i przeznaczyć konkretne zasoby na rozwiązanie problemu.”</w:t>
      </w:r>
    </w:p>
    <w:p w14:paraId="37A17F5B" w14:textId="77777777" w:rsidR="001B37FE" w:rsidRDefault="000C0FB9">
      <w:pPr>
        <w:spacing w:after="160" w:line="320" w:lineRule="auto"/>
        <w:jc w:val="both"/>
      </w:pPr>
      <w:r>
        <w:t>Projekt spełnia te kryteria: wyraźnie identyfikuje lukę w wiedzy (brak obiektywnych, ciągłych metod monitorowania depresji), przeznacza konkretne zasoby (4 fazy z określonymi próbami i wskaźnikami) i dąży do kodyfikacji wiedzy w formie algorytmu i zbiorów danych.</w:t>
      </w:r>
    </w:p>
    <w:p w14:paraId="37A17F5C" w14:textId="77777777" w:rsidR="001B37FE" w:rsidRDefault="000C0FB9">
      <w:pPr>
        <w:pStyle w:val="Nagwek2"/>
      </w:pPr>
      <w:r>
        <w:t>5.3. Prototypowanie jako element B+R</w:t>
      </w:r>
    </w:p>
    <w:p w14:paraId="37A17F5D" w14:textId="77777777" w:rsidR="001B37FE" w:rsidRDefault="000C0FB9">
      <w:pPr>
        <w:spacing w:after="160" w:line="320" w:lineRule="auto"/>
        <w:jc w:val="both"/>
      </w:pPr>
      <w:r>
        <w:t>Zgodnie z par. 2.49–2.50, „projektowanie, konstruowanie oraz testowanie prototypów powinno być klasyfikowane jako B+R” pod warunkiem, że podstawowym celem jest dalsze udoskonalanie. Aplikacja mobilna w Fazie 2 projektu ma charakter prototypu badawczego – jej głównym celem nie jest komercjalizacja, lecz zbieranie danych do dalszych badań i testowanie hipotez naukowych. Iteracyjne udoskonalanie na podstawie wyników ewaluacji (Faza 4 – „informacja zwrotna iteracyjna”) potwierdza badawczy charakter prototypowania.</w:t>
      </w:r>
    </w:p>
    <w:p w14:paraId="37A17F5E" w14:textId="77777777" w:rsidR="001B37FE" w:rsidRDefault="000C0FB9">
      <w:r>
        <w:br w:type="page"/>
      </w:r>
    </w:p>
    <w:p w14:paraId="37A17F5F" w14:textId="77777777" w:rsidR="001B37FE" w:rsidRDefault="000C0FB9">
      <w:pPr>
        <w:pStyle w:val="Nagwek1"/>
      </w:pPr>
      <w:r>
        <w:lastRenderedPageBreak/>
        <w:t>6. Tabela podsumowująca: spełnienie kryteriów B+R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2263"/>
        <w:gridCol w:w="5040"/>
      </w:tblGrid>
      <w:tr w:rsidR="001B37FE" w14:paraId="37A17F6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0" w14:textId="77777777" w:rsidR="001B37FE" w:rsidRDefault="000C0FB9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Kryterium B+R (par. Frascati)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1" w14:textId="77777777" w:rsidR="001B37FE" w:rsidRDefault="000C0FB9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Wymogi Podręcznika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2" w14:textId="77777777" w:rsidR="001B37FE" w:rsidRDefault="000C0FB9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Spełnienie przez projekt</w:t>
            </w:r>
          </w:p>
        </w:tc>
      </w:tr>
      <w:tr w:rsidR="001B37FE" w14:paraId="37A17F6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4" w14:textId="77777777" w:rsidR="001B37FE" w:rsidRDefault="000C0F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1. Nowatorska</w:t>
            </w:r>
          </w:p>
          <w:p w14:paraId="37A17F65" w14:textId="77777777" w:rsidR="001B37FE" w:rsidRDefault="000C0FB9">
            <w:pPr>
              <w:spacing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(par. 2.14–2.16)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6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Nowa wiedza, nie kopiowanie ani inżynieria wsteczna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7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 xml:space="preserve">Nowa wiedza o </w:t>
            </w:r>
            <w:proofErr w:type="spellStart"/>
            <w:r>
              <w:rPr>
                <w:sz w:val="20"/>
                <w:szCs w:val="20"/>
              </w:rPr>
              <w:t>biomarkerach</w:t>
            </w:r>
            <w:proofErr w:type="spellEnd"/>
            <w:r>
              <w:rPr>
                <w:sz w:val="20"/>
                <w:szCs w:val="20"/>
              </w:rPr>
              <w:t xml:space="preserve"> depresji w </w:t>
            </w:r>
            <w:proofErr w:type="spellStart"/>
            <w:r>
              <w:rPr>
                <w:sz w:val="20"/>
                <w:szCs w:val="20"/>
              </w:rPr>
              <w:t>kontekscie</w:t>
            </w:r>
            <w:proofErr w:type="spellEnd"/>
            <w:r>
              <w:rPr>
                <w:sz w:val="20"/>
                <w:szCs w:val="20"/>
              </w:rPr>
              <w:t xml:space="preserve"> polskim; nowa metoda fuzji 6+ strumieni; indywidualne profile behawioralne zamiast progów populacyjnych; brak istniejącego walidowanego rozwiązania</w:t>
            </w:r>
          </w:p>
        </w:tc>
      </w:tr>
      <w:tr w:rsidR="001B37FE" w14:paraId="37A17F6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9" w14:textId="77777777" w:rsidR="001B37FE" w:rsidRDefault="000C0F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2. Twórcza</w:t>
            </w:r>
          </w:p>
          <w:p w14:paraId="37A17F6A" w14:textId="77777777" w:rsidR="001B37FE" w:rsidRDefault="000C0FB9">
            <w:pPr>
              <w:spacing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(par. 2.17)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B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Oryginalne koncepcje, wkład badacza, nie rutynowe zmiany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C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Interdyscyplinarna koncepcja łącząca psychologię, ML i biometrię; oryginalne hipotezy badawcze; tworzenie nowych algorytmów (par. 2.71); wkład badaczy z wielu dyscyplin</w:t>
            </w:r>
          </w:p>
        </w:tc>
      </w:tr>
      <w:tr w:rsidR="001B37FE" w14:paraId="37A17F7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6E" w14:textId="77777777" w:rsidR="001B37FE" w:rsidRDefault="000C0F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3. Nieprzewidywalna</w:t>
            </w:r>
          </w:p>
          <w:p w14:paraId="37A17F6F" w14:textId="77777777" w:rsidR="001B37FE" w:rsidRDefault="000C0FB9">
            <w:pPr>
              <w:spacing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(par. 2.18)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0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Niepewność co do wyników, kosztów, czasu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1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Niepewna dokładność predykcyjna; nieznany efekt fuzji multimodalnej; niepewna transferowalność do języka polskiego; nieznana akceptacja kliniczna; wyzwania techniczne wieloplatformowe</w:t>
            </w:r>
          </w:p>
        </w:tc>
      </w:tr>
      <w:tr w:rsidR="001B37FE" w14:paraId="37A17F7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3" w14:textId="77777777" w:rsidR="001B37FE" w:rsidRDefault="000C0F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4. Metodyczna</w:t>
            </w:r>
          </w:p>
          <w:p w14:paraId="37A17F74" w14:textId="77777777" w:rsidR="001B37FE" w:rsidRDefault="000C0FB9">
            <w:pPr>
              <w:spacing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(par. 2.19)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5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Zaplanowana, budżetowana, rejestracja przebiegu i wyników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6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 xml:space="preserve">4 fazy z jasno zdefiniowanymi celami i mierzalnymi wskaźnikami; określone wielkości prób; </w:t>
            </w:r>
            <w:proofErr w:type="spellStart"/>
            <w:r>
              <w:rPr>
                <w:sz w:val="20"/>
                <w:szCs w:val="20"/>
              </w:rPr>
              <w:t>dokumentowalne</w:t>
            </w:r>
            <w:proofErr w:type="spellEnd"/>
            <w:r>
              <w:rPr>
                <w:sz w:val="20"/>
                <w:szCs w:val="20"/>
              </w:rPr>
              <w:t xml:space="preserve"> rezultaty każdej fazy (specyfikacja, zbiór danych, algorytm, raport)</w:t>
            </w:r>
          </w:p>
        </w:tc>
      </w:tr>
      <w:tr w:rsidR="001B37FE" w14:paraId="37A17F7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8" w14:textId="77777777" w:rsidR="001B37FE" w:rsidRDefault="000C0F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5. Możliwa do przeniesienia</w:t>
            </w:r>
          </w:p>
          <w:p w14:paraId="37A17F79" w14:textId="77777777" w:rsidR="001B37FE" w:rsidRDefault="000C0FB9">
            <w:pPr>
              <w:spacing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>(par. 2.20)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A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Transfer nowej wiedzy, odtwarzalność wyników, kodyfikacja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7F7B" w14:textId="77777777" w:rsidR="001B37FE" w:rsidRDefault="000C0FB9">
            <w:pPr>
              <w:spacing w:after="60"/>
            </w:pPr>
            <w:r>
              <w:rPr>
                <w:sz w:val="20"/>
                <w:szCs w:val="20"/>
              </w:rPr>
              <w:t>Algorytm jako skodyfikowana wiedza; walidowany zbiór danych; dokumentacja metodologiczna; potencjał publikacji naukowych; przenoszalność na inne zaburzenia psychiczne</w:t>
            </w:r>
          </w:p>
        </w:tc>
      </w:tr>
    </w:tbl>
    <w:p w14:paraId="37A17F7D" w14:textId="77777777" w:rsidR="001B37FE" w:rsidRDefault="001B37FE">
      <w:pPr>
        <w:spacing w:before="200"/>
      </w:pPr>
    </w:p>
    <w:p w14:paraId="37A17F7E" w14:textId="77777777" w:rsidR="001B37FE" w:rsidRDefault="000C0FB9">
      <w:pPr>
        <w:pStyle w:val="Nagwek1"/>
      </w:pPr>
      <w:r>
        <w:t>7. Wnioski</w:t>
      </w:r>
    </w:p>
    <w:p w14:paraId="37A17F7F" w14:textId="77777777" w:rsidR="001B37FE" w:rsidRDefault="000C0FB9">
      <w:pPr>
        <w:spacing w:after="160" w:line="320" w:lineRule="auto"/>
        <w:jc w:val="both"/>
      </w:pPr>
      <w:r>
        <w:t xml:space="preserve">Przeprowadzona analiza jednoznacznie wykazuje, że projekt </w:t>
      </w:r>
      <w:r>
        <w:rPr>
          <w:b/>
          <w:bCs/>
        </w:rPr>
        <w:t xml:space="preserve">„Dane biometryczne ze </w:t>
      </w:r>
      <w:proofErr w:type="spellStart"/>
      <w:r>
        <w:rPr>
          <w:b/>
          <w:bCs/>
        </w:rPr>
        <w:t>smartfona</w:t>
      </w:r>
      <w:proofErr w:type="spellEnd"/>
      <w:r>
        <w:rPr>
          <w:b/>
          <w:bCs/>
        </w:rPr>
        <w:t xml:space="preserve"> w diagnostyce i monitorowaniu depresji”</w:t>
      </w:r>
      <w:r>
        <w:t xml:space="preserve"> spełnia łącznie wszystkie pięć kryteriów definiujących działalność badawczą i rozwojową zgodnie z Podręcznikiem Frascati 2015 (OECD):</w:t>
      </w:r>
    </w:p>
    <w:p w14:paraId="37A17F80" w14:textId="77777777" w:rsidR="001B37FE" w:rsidRDefault="000C0FB9">
      <w:pPr>
        <w:pStyle w:val="Akapitzlist"/>
        <w:numPr>
          <w:ilvl w:val="0"/>
          <w:numId w:val="3"/>
        </w:numPr>
        <w:spacing w:after="100" w:line="300" w:lineRule="auto"/>
      </w:pPr>
      <w:r>
        <w:rPr>
          <w:b/>
          <w:bCs/>
        </w:rPr>
        <w:t>Jest nowatorska</w:t>
      </w:r>
      <w:r>
        <w:t xml:space="preserve"> – generuje oryginalną wiedzę o cyfrowych </w:t>
      </w:r>
      <w:proofErr w:type="spellStart"/>
      <w:r>
        <w:t>biomarkerach</w:t>
      </w:r>
      <w:proofErr w:type="spellEnd"/>
      <w:r>
        <w:t xml:space="preserve"> depresji i proponuje nową metodę ich integracji, niestosowaną dotychczas w praktyce klinicznej.</w:t>
      </w:r>
    </w:p>
    <w:p w14:paraId="37A17F81" w14:textId="77777777" w:rsidR="001B37FE" w:rsidRDefault="000C0FB9">
      <w:pPr>
        <w:pStyle w:val="Akapitzlist"/>
        <w:numPr>
          <w:ilvl w:val="0"/>
          <w:numId w:val="3"/>
        </w:numPr>
        <w:spacing w:after="100" w:line="300" w:lineRule="auto"/>
      </w:pPr>
      <w:r>
        <w:rPr>
          <w:b/>
          <w:bCs/>
        </w:rPr>
        <w:t>Jest twórcza</w:t>
      </w:r>
      <w:r>
        <w:t xml:space="preserve"> – opiera się na oryginalnych, interdyscyplinarnych koncepcjach i hipotezach badawczych, wymagając wkładu badaczy z wielu dyscyplin.</w:t>
      </w:r>
    </w:p>
    <w:p w14:paraId="37A17F82" w14:textId="77777777" w:rsidR="001B37FE" w:rsidRDefault="000C0FB9">
      <w:pPr>
        <w:pStyle w:val="Akapitzlist"/>
        <w:numPr>
          <w:ilvl w:val="0"/>
          <w:numId w:val="3"/>
        </w:numPr>
        <w:spacing w:after="100" w:line="300" w:lineRule="auto"/>
      </w:pPr>
      <w:r>
        <w:rPr>
          <w:b/>
          <w:bCs/>
        </w:rPr>
        <w:t>Jest nieprzewidywalna</w:t>
      </w:r>
      <w:r>
        <w:t xml:space="preserve"> – obarczona istotną niepewnością co do dokładności predykcyjnej, skuteczności fuzji danych, transferowalności metod i akceptacji klinicznej.</w:t>
      </w:r>
    </w:p>
    <w:p w14:paraId="37A17F83" w14:textId="77777777" w:rsidR="001B37FE" w:rsidRDefault="000C0FB9">
      <w:pPr>
        <w:pStyle w:val="Akapitzlist"/>
        <w:numPr>
          <w:ilvl w:val="0"/>
          <w:numId w:val="3"/>
        </w:numPr>
        <w:spacing w:after="100" w:line="300" w:lineRule="auto"/>
      </w:pPr>
      <w:r>
        <w:rPr>
          <w:b/>
          <w:bCs/>
        </w:rPr>
        <w:t>Jest metodyczna</w:t>
      </w:r>
      <w:r>
        <w:t xml:space="preserve"> – prowadzona w sposób zaplanowany, w 4 fazach z mierzalnymi wskaźnikami, określonymi zasobami i </w:t>
      </w:r>
      <w:proofErr w:type="spellStart"/>
      <w:r>
        <w:t>dokumentowalnymi</w:t>
      </w:r>
      <w:proofErr w:type="spellEnd"/>
      <w:r>
        <w:t xml:space="preserve"> rezultatami.</w:t>
      </w:r>
    </w:p>
    <w:p w14:paraId="37A17F84" w14:textId="77777777" w:rsidR="001B37FE" w:rsidRDefault="000C0FB9">
      <w:pPr>
        <w:pStyle w:val="Akapitzlist"/>
        <w:numPr>
          <w:ilvl w:val="0"/>
          <w:numId w:val="3"/>
        </w:numPr>
        <w:spacing w:after="100" w:line="300" w:lineRule="auto"/>
      </w:pPr>
      <w:r>
        <w:rPr>
          <w:b/>
          <w:bCs/>
        </w:rPr>
        <w:lastRenderedPageBreak/>
        <w:t>Jest możliwa do przeniesienia i odtworzenia</w:t>
      </w:r>
      <w:r>
        <w:t xml:space="preserve"> – prowadzi do skodyfikowanych wyników (algorytm, zbiór danych, dokumentacja), umożliwiających transfer wiedzy i replikację badań.</w:t>
      </w:r>
    </w:p>
    <w:p w14:paraId="37A17F85" w14:textId="77777777" w:rsidR="001B37FE" w:rsidRDefault="001B37FE">
      <w:pPr>
        <w:spacing w:before="200"/>
      </w:pPr>
    </w:p>
    <w:p w14:paraId="37A17F86" w14:textId="77777777" w:rsidR="001B37FE" w:rsidRDefault="000C0FB9">
      <w:pPr>
        <w:spacing w:after="160" w:line="320" w:lineRule="auto"/>
        <w:jc w:val="both"/>
      </w:pPr>
      <w:r>
        <w:t xml:space="preserve">Projekt klasyfikuje się jednocześnie jako </w:t>
      </w:r>
      <w:r>
        <w:rPr>
          <w:b/>
          <w:bCs/>
        </w:rPr>
        <w:t>badania stosowane</w:t>
      </w:r>
      <w:r>
        <w:t xml:space="preserve"> (zdobywanie nowej wiedzy ukierunkowanej na praktyczny cel diagnostyczny) oraz </w:t>
      </w:r>
      <w:r>
        <w:rPr>
          <w:b/>
          <w:bCs/>
        </w:rPr>
        <w:t>prace rozwojowe</w:t>
      </w:r>
      <w:r>
        <w:t xml:space="preserve"> (tworzenie nowego produktu – aplikacji mobilnej opartej na oryginalnych algorytmach ML). Dodatkowo spełnia szczegółowe kryteria kwalifikacyjne dla B+R w zakresie oprogramowania (par. 2.68–2.73) oraz projektów z dziedziny big data (par. 2.93).</w:t>
      </w:r>
    </w:p>
    <w:p w14:paraId="37A17F87" w14:textId="77777777" w:rsidR="001B37FE" w:rsidRDefault="000C0FB9">
      <w:pPr>
        <w:spacing w:after="160" w:line="320" w:lineRule="auto"/>
        <w:jc w:val="both"/>
      </w:pPr>
      <w:r>
        <w:t>W świetle powyższej analizy projekt w pełni kwalifikuje się jako działalność badawcza i rozwojowa (B+R) w rozumieniu Podręcznika Frascati 2015 i zasługuje na dofinansowanie jako przedsięwzięcie o udowodnionym charakterze innowacyjnym.</w:t>
      </w:r>
    </w:p>
    <w:p w14:paraId="37A17F88" w14:textId="77777777" w:rsidR="001B37FE" w:rsidRDefault="001B37FE">
      <w:pPr>
        <w:spacing w:before="400"/>
      </w:pPr>
    </w:p>
    <w:p w14:paraId="37A17F89" w14:textId="77777777" w:rsidR="001B37FE" w:rsidRDefault="000C0FB9">
      <w:pPr>
        <w:pBdr>
          <w:top w:val="single" w:sz="1" w:space="8" w:color="CCCCCC"/>
        </w:pBdr>
        <w:spacing w:before="200" w:after="100"/>
      </w:pPr>
      <w:r>
        <w:rPr>
          <w:i/>
          <w:iCs/>
          <w:color w:val="777777"/>
          <w:sz w:val="18"/>
          <w:szCs w:val="18"/>
        </w:rPr>
        <w:t>Dokument sporządzono na podstawie: Podręcznik Frascati 2015: Zalecenia dotyczące pozyskiwania i prezentowania danych z zakresu działalności badawczej i rozwojowej. Pomiar działalności naukowo-technicznej i innowacyjnej. OECD © GUS 2018, ISBN 978-83-88718-97-7.</w:t>
      </w:r>
    </w:p>
    <w:sectPr w:rsidR="001B37FE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6E9B8" w14:textId="77777777" w:rsidR="008D39F8" w:rsidRDefault="008D39F8">
      <w:r>
        <w:separator/>
      </w:r>
    </w:p>
  </w:endnote>
  <w:endnote w:type="continuationSeparator" w:id="0">
    <w:p w14:paraId="06F33314" w14:textId="77777777" w:rsidR="008D39F8" w:rsidRDefault="008D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7F8B" w14:textId="1E4EA3F6" w:rsidR="001B37FE" w:rsidRDefault="000C0FB9">
    <w:pPr>
      <w:jc w:val="center"/>
    </w:pPr>
    <w:r>
      <w:rPr>
        <w:color w:val="888888"/>
        <w:sz w:val="16"/>
        <w:szCs w:val="16"/>
      </w:rPr>
      <w:t xml:space="preserve">Strona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937F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8A55C" w14:textId="77777777" w:rsidR="008D39F8" w:rsidRDefault="008D39F8">
      <w:r>
        <w:separator/>
      </w:r>
    </w:p>
  </w:footnote>
  <w:footnote w:type="continuationSeparator" w:id="0">
    <w:p w14:paraId="3892A83C" w14:textId="77777777" w:rsidR="008D39F8" w:rsidRDefault="008D3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7F8A" w14:textId="77777777" w:rsidR="001B37FE" w:rsidRDefault="000C0FB9">
    <w:pPr>
      <w:jc w:val="right"/>
    </w:pPr>
    <w:r>
      <w:rPr>
        <w:i/>
        <w:iCs/>
        <w:color w:val="888888"/>
        <w:sz w:val="16"/>
        <w:szCs w:val="16"/>
      </w:rPr>
      <w:t>Analiza innowacyjności projektu wg Podręcznika Frascati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17068"/>
    <w:multiLevelType w:val="hybridMultilevel"/>
    <w:tmpl w:val="3152A78E"/>
    <w:lvl w:ilvl="0" w:tplc="640CAAFC">
      <w:start w:val="1"/>
      <w:numFmt w:val="decimal"/>
      <w:lvlText w:val="%1."/>
      <w:lvlJc w:val="left"/>
      <w:pPr>
        <w:ind w:left="720" w:hanging="360"/>
      </w:pPr>
    </w:lvl>
    <w:lvl w:ilvl="1" w:tplc="198C7C36">
      <w:numFmt w:val="decimal"/>
      <w:lvlText w:val=""/>
      <w:lvlJc w:val="left"/>
    </w:lvl>
    <w:lvl w:ilvl="2" w:tplc="A8B6D2CC">
      <w:numFmt w:val="decimal"/>
      <w:lvlText w:val=""/>
      <w:lvlJc w:val="left"/>
    </w:lvl>
    <w:lvl w:ilvl="3" w:tplc="80060270">
      <w:numFmt w:val="decimal"/>
      <w:lvlText w:val=""/>
      <w:lvlJc w:val="left"/>
    </w:lvl>
    <w:lvl w:ilvl="4" w:tplc="E6C82D06">
      <w:numFmt w:val="decimal"/>
      <w:lvlText w:val=""/>
      <w:lvlJc w:val="left"/>
    </w:lvl>
    <w:lvl w:ilvl="5" w:tplc="B0F42AD2">
      <w:numFmt w:val="decimal"/>
      <w:lvlText w:val=""/>
      <w:lvlJc w:val="left"/>
    </w:lvl>
    <w:lvl w:ilvl="6" w:tplc="318C4596">
      <w:numFmt w:val="decimal"/>
      <w:lvlText w:val=""/>
      <w:lvlJc w:val="left"/>
    </w:lvl>
    <w:lvl w:ilvl="7" w:tplc="0A860D2C">
      <w:numFmt w:val="decimal"/>
      <w:lvlText w:val=""/>
      <w:lvlJc w:val="left"/>
    </w:lvl>
    <w:lvl w:ilvl="8" w:tplc="97CC0D7C">
      <w:numFmt w:val="decimal"/>
      <w:lvlText w:val=""/>
      <w:lvlJc w:val="left"/>
    </w:lvl>
  </w:abstractNum>
  <w:abstractNum w:abstractNumId="1" w15:restartNumberingAfterBreak="0">
    <w:nsid w:val="49950B63"/>
    <w:multiLevelType w:val="hybridMultilevel"/>
    <w:tmpl w:val="03D20BF0"/>
    <w:lvl w:ilvl="0" w:tplc="3536C274">
      <w:start w:val="1"/>
      <w:numFmt w:val="bullet"/>
      <w:lvlText w:val="●"/>
      <w:lvlJc w:val="left"/>
      <w:pPr>
        <w:ind w:left="720" w:hanging="360"/>
      </w:pPr>
    </w:lvl>
    <w:lvl w:ilvl="1" w:tplc="64E079BA">
      <w:start w:val="1"/>
      <w:numFmt w:val="bullet"/>
      <w:lvlText w:val="○"/>
      <w:lvlJc w:val="left"/>
      <w:pPr>
        <w:ind w:left="1440" w:hanging="360"/>
      </w:pPr>
    </w:lvl>
    <w:lvl w:ilvl="2" w:tplc="5D54F346">
      <w:start w:val="1"/>
      <w:numFmt w:val="bullet"/>
      <w:lvlText w:val="■"/>
      <w:lvlJc w:val="left"/>
      <w:pPr>
        <w:ind w:left="2160" w:hanging="360"/>
      </w:pPr>
    </w:lvl>
    <w:lvl w:ilvl="3" w:tplc="6BBA17EE">
      <w:start w:val="1"/>
      <w:numFmt w:val="bullet"/>
      <w:lvlText w:val="●"/>
      <w:lvlJc w:val="left"/>
      <w:pPr>
        <w:ind w:left="2880" w:hanging="360"/>
      </w:pPr>
    </w:lvl>
    <w:lvl w:ilvl="4" w:tplc="6B6A60AC">
      <w:start w:val="1"/>
      <w:numFmt w:val="bullet"/>
      <w:lvlText w:val="○"/>
      <w:lvlJc w:val="left"/>
      <w:pPr>
        <w:ind w:left="3600" w:hanging="360"/>
      </w:pPr>
    </w:lvl>
    <w:lvl w:ilvl="5" w:tplc="FB801880">
      <w:start w:val="1"/>
      <w:numFmt w:val="bullet"/>
      <w:lvlText w:val="■"/>
      <w:lvlJc w:val="left"/>
      <w:pPr>
        <w:ind w:left="4320" w:hanging="360"/>
      </w:pPr>
    </w:lvl>
    <w:lvl w:ilvl="6" w:tplc="41CA4810">
      <w:start w:val="1"/>
      <w:numFmt w:val="bullet"/>
      <w:lvlText w:val="●"/>
      <w:lvlJc w:val="left"/>
      <w:pPr>
        <w:ind w:left="5040" w:hanging="360"/>
      </w:pPr>
    </w:lvl>
    <w:lvl w:ilvl="7" w:tplc="14D6A726">
      <w:start w:val="1"/>
      <w:numFmt w:val="bullet"/>
      <w:lvlText w:val="●"/>
      <w:lvlJc w:val="left"/>
      <w:pPr>
        <w:ind w:left="5760" w:hanging="360"/>
      </w:pPr>
    </w:lvl>
    <w:lvl w:ilvl="8" w:tplc="EA4A95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86EE7"/>
    <w:multiLevelType w:val="hybridMultilevel"/>
    <w:tmpl w:val="D018CD72"/>
    <w:lvl w:ilvl="0" w:tplc="081A29D0">
      <w:start w:val="1"/>
      <w:numFmt w:val="bullet"/>
      <w:lvlText w:val="•"/>
      <w:lvlJc w:val="left"/>
      <w:pPr>
        <w:ind w:left="720" w:hanging="360"/>
      </w:pPr>
    </w:lvl>
    <w:lvl w:ilvl="1" w:tplc="5D085358">
      <w:numFmt w:val="decimal"/>
      <w:lvlText w:val=""/>
      <w:lvlJc w:val="left"/>
    </w:lvl>
    <w:lvl w:ilvl="2" w:tplc="EA241F60">
      <w:numFmt w:val="decimal"/>
      <w:lvlText w:val=""/>
      <w:lvlJc w:val="left"/>
    </w:lvl>
    <w:lvl w:ilvl="3" w:tplc="0464DF5A">
      <w:numFmt w:val="decimal"/>
      <w:lvlText w:val=""/>
      <w:lvlJc w:val="left"/>
    </w:lvl>
    <w:lvl w:ilvl="4" w:tplc="032CF03C">
      <w:numFmt w:val="decimal"/>
      <w:lvlText w:val=""/>
      <w:lvlJc w:val="left"/>
    </w:lvl>
    <w:lvl w:ilvl="5" w:tplc="BF849EEC">
      <w:numFmt w:val="decimal"/>
      <w:lvlText w:val=""/>
      <w:lvlJc w:val="left"/>
    </w:lvl>
    <w:lvl w:ilvl="6" w:tplc="64C8C022">
      <w:numFmt w:val="decimal"/>
      <w:lvlText w:val=""/>
      <w:lvlJc w:val="left"/>
    </w:lvl>
    <w:lvl w:ilvl="7" w:tplc="7E3EA10E">
      <w:numFmt w:val="decimal"/>
      <w:lvlText w:val=""/>
      <w:lvlJc w:val="left"/>
    </w:lvl>
    <w:lvl w:ilvl="8" w:tplc="3A649038">
      <w:numFmt w:val="decimal"/>
      <w:lvlText w:val=""/>
      <w:lvlJc w:val="left"/>
    </w:lvl>
  </w:abstractNum>
  <w:num w:numId="1" w16cid:durableId="1377392430">
    <w:abstractNumId w:val="1"/>
    <w:lvlOverride w:ilvl="0">
      <w:startOverride w:val="1"/>
    </w:lvlOverride>
  </w:num>
  <w:num w:numId="2" w16cid:durableId="467550496">
    <w:abstractNumId w:val="2"/>
    <w:lvlOverride w:ilvl="0">
      <w:startOverride w:val="1"/>
    </w:lvlOverride>
  </w:num>
  <w:num w:numId="3" w16cid:durableId="275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7FE"/>
    <w:rsid w:val="00035815"/>
    <w:rsid w:val="000A7571"/>
    <w:rsid w:val="000C0FB9"/>
    <w:rsid w:val="001B37FE"/>
    <w:rsid w:val="001C62FA"/>
    <w:rsid w:val="001F4815"/>
    <w:rsid w:val="003103B9"/>
    <w:rsid w:val="00540C79"/>
    <w:rsid w:val="005E094D"/>
    <w:rsid w:val="006F0650"/>
    <w:rsid w:val="007F3358"/>
    <w:rsid w:val="00863535"/>
    <w:rsid w:val="008D39F8"/>
    <w:rsid w:val="00950270"/>
    <w:rsid w:val="009502ED"/>
    <w:rsid w:val="00A173E7"/>
    <w:rsid w:val="00B937FD"/>
    <w:rsid w:val="00E6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7F18"/>
  <w15:docId w15:val="{749C12C4-700C-4010-BFFF-B165DFCC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Nagwek2">
    <w:name w:val="heading 2"/>
    <w:uiPriority w:val="9"/>
    <w:unhideWhenUsed/>
    <w:qFormat/>
    <w:pPr>
      <w:spacing w:before="280" w:after="160"/>
      <w:outlineLvl w:val="1"/>
    </w:pPr>
    <w:rPr>
      <w:b/>
      <w:bCs/>
      <w:color w:val="2E5D8A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2574</Words>
  <Characters>15450</Characters>
  <Application>Microsoft Office Word</Application>
  <DocSecurity>0</DocSecurity>
  <Lines>128</Lines>
  <Paragraphs>35</Paragraphs>
  <ScaleCrop>false</ScaleCrop>
  <Company/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Zabroń</cp:lastModifiedBy>
  <cp:revision>2</cp:revision>
  <dcterms:created xsi:type="dcterms:W3CDTF">2026-03-25T10:25:00Z</dcterms:created>
  <dcterms:modified xsi:type="dcterms:W3CDTF">2026-03-25T10:25:00Z</dcterms:modified>
</cp:coreProperties>
</file>