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5.3 Summary of Clinical Safety Findings</w:t>
      </w:r>
    </w:p>
    <w:p>
      <w:r>
        <w:rPr>
          <w:i/>
          <w:iCs/>
          <w:color w:val="666666"/>
        </w:rPr>
        <w:t xml:space="preserve">SYNTHETIC TEST DOCUMENT — created for Comment Insight development. All subject data, percentages, and outcomes below are fictional and for software testing purposes only.</w:t>
      </w:r>
    </w:p>
    <w:p>
      <w:r>
        <w:t xml:space="preserve"/>
      </w:r>
    </w:p>
    <w:p>
      <w:pPr>
        <w:pStyle w:val="Heading2"/>
      </w:pPr>
      <w:r>
        <w:t xml:space="preserve">5.3.1 Overview of Adverse Events</w:t>
      </w:r>
    </w:p>
    <w:p>
      <w:r>
        <w:t xml:space="preserve">During the 24-week treatment period, treatment-emergent adverse events (TEAEs) were reported in 142 of 210 subjects (</w:t>
      </w:r>
      <w:commentRangeStart w:id="0"/>
      <w:r>
        <w:t xml:space="preserve">67.6%</w:t>
      </w:r>
      <w:commentRangeEnd w:id="0"/>
      <w:r>
        <w:rPr>
          <w:rStyle w:val="CommentReference"/>
        </w:rPr>
        <w:commentReference w:id="0"/>
      </w:r>
      <w:r>
        <w:t xml:space="preserve">) in the active treatment arm compared with 98 of 208 subjects (47.1%) in the placebo arm. The most commonly reported TEAEs in the active arm were </w:t>
      </w:r>
      <w:commentRangeStart w:id="1"/>
      <w:r>
        <w:t xml:space="preserve">headache (18.1%)</w:t>
      </w:r>
      <w:commentRangeEnd w:id="1"/>
      <w:r>
        <w:rPr>
          <w:rStyle w:val="CommentReference"/>
        </w:rPr>
        <w:commentReference w:id="1"/>
      </w:r>
      <w:r>
        <w:t xml:space="preserve">, nausea (14.3%), and fatigue (11.0%).</w:t>
      </w:r>
    </w:p>
    <w:p>
      <w:r>
        <w:t xml:space="preserve"/>
      </w:r>
    </w:p>
    <w:p>
      <w:r>
        <w:t xml:space="preserve">Serious adverse events (SAEs) occurred in 12 subjects (5.7%) in the active arm and 9 subjects (4.3%) in the placebo arm. </w:t>
      </w:r>
      <w:commentRangeStart w:id="3"/>
      <w:r>
        <w:t xml:space="preserve">Three subjects in the active arm discontinued treatment due to an SAE</w:t>
      </w:r>
      <w:commentRangeEnd w:id="3"/>
      <w:r>
        <w:rPr>
          <w:rStyle w:val="CommentReference"/>
        </w:rPr>
        <w:commentReference w:id="3"/>
      </w:r>
      <w:r>
        <w:t xml:space="preserve"> considered </w:t>
      </w:r>
      <w:commentRangeStart w:id="2"/>
      <w:r>
        <w:t xml:space="preserve">possibly related</w:t>
      </w:r>
      <w:commentRangeEnd w:id="2"/>
      <w:r>
        <w:rPr>
          <w:rStyle w:val="CommentReference"/>
        </w:rPr>
        <w:commentReference w:id="2"/>
      </w:r>
      <w:r>
        <w:t xml:space="preserve"> to study drug by the investigator.</w:t>
      </w:r>
    </w:p>
    <w:p>
      <w:r>
        <w:t xml:space="preserve"/>
      </w:r>
    </w:p>
    <w:p>
      <w:pPr>
        <w:pStyle w:val="Heading2"/>
      </w:pPr>
      <w:r>
        <w:t xml:space="preserve">5.3.2 Deaths</w:t>
      </w:r>
    </w:p>
    <w:p>
      <w:r>
        <w:t xml:space="preserve">One death occurred during the study, in a subject randomized to the active treatment arm. The death was </w:t>
      </w:r>
      <w:commentRangeStart w:id="5"/>
      <w:r>
        <w:t xml:space="preserve">attributed to a myocardial infarction</w:t>
      </w:r>
      <w:commentRangeEnd w:id="5"/>
      <w:r>
        <w:rPr>
          <w:rStyle w:val="CommentReference"/>
        </w:rPr>
        <w:commentReference w:id="5"/>
      </w:r>
      <w:r>
        <w:t xml:space="preserve"> that occurred 14 days after the subject's last dose of study drug and was </w:t>
      </w:r>
      <w:commentRangeStart w:id="4"/>
      <w:commentRangeStart w:id="8"/>
      <w:r>
        <w:t xml:space="preserve">assessed by the investigator as unrelated to study treatment</w:t>
      </w:r>
      <w:commentRangeEnd w:id="8"/>
      <w:commentRangeEnd w:id="4"/>
      <w:r>
        <w:rPr>
          <w:rStyle w:val="CommentReference"/>
        </w:rPr>
        <w:commentReference w:id="4"/>
      </w:r>
      <w:r>
        <w:rPr>
          <w:rStyle w:val="CommentReference"/>
        </w:rPr>
        <w:commentReference w:id="8"/>
      </w:r>
      <w:r>
        <w:t xml:space="preserve">.</w:t>
      </w:r>
    </w:p>
    <w:p>
      <w:r>
        <w:t xml:space="preserve"/>
      </w:r>
    </w:p>
    <w:p>
      <w:pPr>
        <w:pStyle w:val="Heading2"/>
      </w:pPr>
      <w:r>
        <w:t xml:space="preserve">5.3.3 Laboratory Findings</w:t>
      </w:r>
    </w:p>
    <w:p>
      <w:commentRangeStart w:id="6"/>
      <w:r>
        <w:t xml:space="preserve">No clinically significant trends were observed</w:t>
      </w:r>
      <w:commentRangeEnd w:id="6"/>
      <w:r>
        <w:rPr>
          <w:rStyle w:val="CommentReference"/>
        </w:rPr>
        <w:commentReference w:id="6"/>
      </w:r>
      <w:r>
        <w:t xml:space="preserve"> in hematology, clinical chemistry, or urinalysis parameters. </w:t>
      </w:r>
      <w:commentRangeStart w:id="7"/>
      <w:r>
        <w:t xml:space="preserve">Mean changes from baseline were small and comparable between treatment arms</w:t>
      </w:r>
      <w:commentRangeEnd w:id="7"/>
      <w:r>
        <w:rPr>
          <w:rStyle w:val="CommentReference"/>
        </w:rPr>
        <w:commentReference w:id="7"/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Priya Patel (Biostatistics)" w:date="2026-07-28T14:12:00Z" w:initials="PP">
    <w:p w14:paraId="256439C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Please confirm this percentage against Table 14.3.1 -- my recalculation from the subject listing gives 67.1%, not 67.6%.</w:t>
      </w:r>
    </w:p>
  </w:comment>
  <w:comment w:id="1" w:author="Dr. Sarah Chen (Medical Monitor)" w:date="2026-07-28T15:45:00Z" w:initials="SC">
    <w:p w14:paraId="459FAFC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Is this treatment-related headache or all-causality? Table 14.3.2 in the appendix only reports all-causality rates -- please clarify which we're citing here.</w:t>
      </w:r>
    </w:p>
  </w:comment>
  <w:comment w:id="2" w:author="Lisa Wong (Medical Writer)" w:date="2026-07-29T09:03:00Z" w:initials="LW">
    <w:p w14:paraId="2A81E69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Suggest 'possibly or probably related' to match the causality categories defined in Section 5.2.1.</w:t>
      </w:r>
    </w:p>
  </w:comment>
  <w:comment w:id="3" w:author="James Okafor (Regulatory Affairs)" w:date="2026-07-29T16:30:00Z" w:initials="JO">
    <w:p w14:paraId="2820F16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We need to decide whether to list these three subjects individually here or refer the reader to Appendix 16.2.7. Please confirm the approach with the medical monitor before the next draft.</w:t>
      </w:r>
    </w:p>
  </w:comment>
  <w:comment w:id="4" w:author="Dr. Sarah Chen (Medical Monitor)" w:date="2026-07-30T10:15:00Z" w:initials="SC">
    <w:p w14:paraId="42509F4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Given the 14-day interval, should this be 'unlikely related' rather than 'unrelated'? Please double-check against the causality assessment guidance in Section 5.2.1.</w:t>
      </w:r>
    </w:p>
  </w:comment>
  <w:comment w:id="5" w:author="Priya Patel (Biostatistics)" w:date="2026-07-30T11:40:00Z" w:initials="PP">
    <w:p w14:paraId="188A5B4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This causality assessment seems too definitive given the 14-day post-dose window -- recommend the safety team take another look before we finalize the wording. (Related to Sarah's comment below.)</w:t>
      </w:r>
    </w:p>
  </w:comment>
  <w:comment w:id="6" w:author="James Okafor (Regulatory Affairs)" w:date="2026-08-01T13:05:00Z" w:initials="JO">
    <w:p w14:paraId="2ED90AE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This determination should be confirmed by the study statistician before we finalize -- flagging for biostatistics sign-off.</w:t>
      </w:r>
    </w:p>
  </w:comment>
  <w:comment w:id="7" w:author="Dr. Sarah Chen (Medical Monitor)" w:date="2026-08-01T13:20:00Z" w:initials="SC">
    <w:p w14:paraId="7D9DCB4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Nice, clear summary -- no changes needed here.</w:t>
      </w:r>
    </w:p>
  </w:comment>
  <w:comment w:id="8" w:author="James Okafor (Regulatory Affairs)" w:date="2026-07-31T08:50:00Z" w:initials="JO">
    <w:p w14:paraId="3E5571B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Disagree -- 'unrelated' is the investigator's own causality judgment, and per protocol we shouldn't override it in the CSR narrative. Recommend leaving as-is.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6439CE" w15:done="0"/>
  <w15:commentEx w15:paraId="459FAFC5" w15:done="0"/>
  <w15:commentEx w15:paraId="2A81E69F" w15:done="0"/>
  <w15:commentEx w15:paraId="2820F167" w15:done="0"/>
  <w15:commentEx w15:paraId="42509F42" w15:done="0"/>
  <w15:commentEx w15:paraId="188A5B42" w15:done="0"/>
  <w15:commentEx w15:paraId="2ED90AE0" w15:done="0"/>
  <w15:commentEx w15:paraId="7D9DCB4E" w15:done="0"/>
  <w15:commentEx w15:paraId="3E5571B5" w15:paraIdParent="42509F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408B4DE8" w16cex:dateUtc="2026-08-14T19:46:46Z"/>
  <w16cex:commentExtensible w16cex:durableId="2DC65FF3" w16cex:dateUtc="2026-08-14T19:46:46Z"/>
  <w16cex:commentExtensible w16cex:durableId="77B54776" w16cex:dateUtc="2026-08-14T19:46:46Z"/>
  <w16cex:commentExtensible w16cex:durableId="6D012FB9" w16cex:dateUtc="2026-08-14T19:46:47Z"/>
  <w16cex:commentExtensible w16cex:durableId="106A0AD5" w16cex:dateUtc="2026-08-14T19:46:47Z"/>
  <w16cex:commentExtensible w16cex:durableId="101B5FCB" w16cex:dateUtc="2026-08-14T19:46:47Z"/>
  <w16cex:commentExtensible w16cex:durableId="3ABF2725" w16cex:dateUtc="2026-08-14T19:46:47Z"/>
  <w16cex:commentExtensible w16cex:durableId="3385213C" w16cex:dateUtc="2026-08-14T19:46:47Z"/>
  <w16cex:commentExtensible w16cex:durableId="516D848E" w16cex:dateUtc="2026-08-14T19:46:52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6439CE" w16cid:durableId="408B4DE8"/>
  <w16cid:commentId w16cid:paraId="459FAFC5" w16cid:durableId="2DC65FF3"/>
  <w16cid:commentId w16cid:paraId="2A81E69F" w16cid:durableId="77B54776"/>
  <w16cid:commentId w16cid:paraId="2820F167" w16cid:durableId="6D012FB9"/>
  <w16cid:commentId w16cid:paraId="42509F42" w16cid:durableId="106A0AD5"/>
  <w16cid:commentId w16cid:paraId="188A5B42" w16cid:durableId="101B5FCB"/>
  <w16cid:commentId w16cid:paraId="2ED90AE0" w16cid:durableId="3ABF2725"/>
  <w16cid:commentId w16cid:paraId="7D9DCB4E" w16cid:durableId="3385213C"/>
  <w16cid:commentId w16cid:paraId="3E5571B5" w16cid:durableId="516D848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microsoft.com/office/2011/relationships/commentsExtended" Target="commentsExtended.xml"/><Relationship Id="rId9" Type="http://schemas.microsoft.com/office/2016/09/relationships/commentsIds" Target="commentsIds.xml"/><Relationship Id="rId10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2026-08-14T19:46:25.528Z</dcterms:created>
  <dcterms:modified xsi:type="dcterms:W3CDTF">2026-08-14T19:46:25.528Z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