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3 Protocol -- ZX-8814-301</w:t>
      </w:r>
    </w:p>
    <w:p>
      <w:pPr>
        <w:pStyle w:val="Heading1"/>
      </w:pPr>
      <w:r>
        <w:t>1. Study Objectives</w:t>
      </w:r>
    </w:p>
    <w:p>
      <w:r>
        <w:t xml:space="preserve">The primary objective of this study is to evaluate the efficacy of ZX-8814 compared to placebo in reducing </w:t>
      </w:r>
      <w:commentRangeStart w:id="0"/>
      <w:r>
        <w:t>composite symptom index scores</w:t>
      </w:r>
      <w:commentRangeEnd w:id="0"/>
      <w:r>
        <w:rPr>
          <w:rStyle w:val="CommentReference"/>
        </w:rPr>
        <w:commentReference w:id="0"/>
      </w:r>
      <w:r>
        <w:t xml:space="preserve"> at Week 16. Secondary objectives include evaluating safety, tolerability, and </w:t>
      </w:r>
      <w:commentRangeStart w:id="1"/>
      <w:r>
        <w:t>time to onset of response</w:t>
      </w:r>
      <w:commentRangeEnd w:id="1"/>
      <w:r>
        <w:rPr>
          <w:rStyle w:val="CommentReference"/>
        </w:rPr>
        <w:commentReference w:id="1"/>
      </w:r>
      <w:r>
        <w:t>.</w:t>
      </w:r>
    </w:p>
    <w:p>
      <w:pPr>
        <w:pStyle w:val="Heading1"/>
      </w:pPr>
      <w:r>
        <w:t>2. Study Design</w:t>
      </w:r>
    </w:p>
    <w:p>
      <w:r>
        <w:t xml:space="preserve">This is a randomized, double-blind, placebo-controlled, </w:t>
      </w:r>
      <w:commentRangeStart w:id="4"/>
      <w:r>
        <w:t>multicenter</w:t>
      </w:r>
      <w:commentRangeEnd w:id="4"/>
      <w:r>
        <w:rPr>
          <w:rStyle w:val="CommentReference"/>
        </w:rPr>
        <w:commentReference w:id="4"/>
      </w:r>
      <w:r>
        <w:t xml:space="preserve"> Phase 3 study. </w:t>
      </w:r>
      <w:commentRangeStart w:id="3"/>
      <w:r>
        <w:t>Approximately 240 subjects</w:t>
      </w:r>
      <w:commentRangeEnd w:id="3"/>
      <w:r>
        <w:rPr>
          <w:rStyle w:val="CommentReference"/>
        </w:rPr>
        <w:commentReference w:id="3"/>
      </w:r>
      <w:r>
        <w:t xml:space="preserve"> will be </w:t>
      </w:r>
      <w:commentRangeStart w:id="2"/>
      <w:r>
        <w:t>randomized 1:1</w:t>
      </w:r>
      <w:commentRangeEnd w:id="2"/>
      <w:r>
        <w:rPr>
          <w:rStyle w:val="CommentReference"/>
        </w:rPr>
        <w:commentReference w:id="2"/>
      </w:r>
      <w:r>
        <w:t xml:space="preserve"> to receive ZX-8814 or matching placebo for 16 weeks.</w:t>
      </w:r>
    </w:p>
    <w:p>
      <w:pPr>
        <w:pStyle w:val="Heading1"/>
      </w:pPr>
      <w:r>
        <w:t>3. Eligibility Criteria</w:t>
      </w:r>
    </w:p>
    <w:p>
      <w:pPr>
        <w:pStyle w:val="Heading2"/>
      </w:pPr>
      <w:r>
        <w:t>3.1 Inclusion Criteria</w:t>
      </w:r>
    </w:p>
    <w:p>
      <w:r>
        <w:t xml:space="preserve">Subjects must be </w:t>
      </w:r>
      <w:commentRangeStart w:id="5"/>
      <w:commentRangeStart w:id="6"/>
      <w:r>
        <w:t>aged 18 to 75 years</w:t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r>
        <w:t xml:space="preserve">, have a confirmed diagnosis for at least 6 months prior to screening, and have a </w:t>
      </w:r>
      <w:commentRangeStart w:id="7"/>
      <w:r>
        <w:t>baseline composite symptom index score of at least 12</w:t>
      </w:r>
      <w:commentRangeEnd w:id="7"/>
      <w:r>
        <w:rPr>
          <w:rStyle w:val="CommentReference"/>
        </w:rPr>
        <w:commentReference w:id="7"/>
      </w:r>
      <w:r>
        <w:t>.</w:t>
      </w:r>
    </w:p>
    <w:p>
      <w:pPr>
        <w:pStyle w:val="Heading2"/>
      </w:pPr>
      <w:r>
        <w:t>3.2 Exclusion Criteria</w:t>
      </w:r>
    </w:p>
    <w:p>
      <w:r>
        <w:t xml:space="preserve">Subjects with a </w:t>
      </w:r>
      <w:commentRangeStart w:id="8"/>
      <w:r>
        <w:t>history of hepatic impairment</w:t>
      </w:r>
      <w:commentRangeEnd w:id="8"/>
      <w:r>
        <w:rPr>
          <w:rStyle w:val="CommentReference"/>
        </w:rPr>
        <w:commentReference w:id="8"/>
      </w:r>
      <w:r>
        <w:t xml:space="preserve">, current use of a </w:t>
      </w:r>
      <w:commentRangeStart w:id="9"/>
      <w:r>
        <w:t>strong CYP3A4 inhibitor</w:t>
      </w:r>
      <w:commentRangeEnd w:id="9"/>
      <w:r>
        <w:rPr>
          <w:rStyle w:val="CommentReference"/>
        </w:rPr>
        <w:commentReference w:id="9"/>
      </w:r>
      <w:r>
        <w:t>, or participation in another investigational drug study within 30 days of screening will be excluded.</w:t>
      </w:r>
    </w:p>
    <w:p>
      <w:pPr>
        <w:pStyle w:val="Heading1"/>
      </w:pPr>
      <w:r>
        <w:t>4. Study Treatments</w:t>
      </w:r>
    </w:p>
    <w:p>
      <w:r>
        <w:t xml:space="preserve">ZX-8814 will be administered orally once daily at a dose of </w:t>
      </w:r>
      <w:commentRangeStart w:id="11"/>
      <w:r>
        <w:t>200mg</w:t>
      </w:r>
      <w:commentRangeEnd w:id="11"/>
      <w:r>
        <w:rPr>
          <w:rStyle w:val="CommentReference"/>
        </w:rPr>
        <w:commentReference w:id="11"/>
      </w:r>
      <w:r>
        <w:t xml:space="preserve">. Placebo will be </w:t>
      </w:r>
      <w:commentRangeStart w:id="12"/>
      <w:r>
        <w:t>matched in appearance</w:t>
      </w:r>
      <w:commentRangeEnd w:id="12"/>
      <w:r>
        <w:rPr>
          <w:rStyle w:val="CommentReference"/>
        </w:rPr>
        <w:commentReference w:id="12"/>
      </w:r>
      <w:r>
        <w:t xml:space="preserve"> and administered on the same schedule. </w:t>
      </w:r>
      <w:commentRangeStart w:id="10"/>
      <w:r>
        <w:t>Dose reductions to 100mg are permitted</w:t>
      </w:r>
      <w:commentRangeEnd w:id="10"/>
      <w:r>
        <w:rPr>
          <w:rStyle w:val="CommentReference"/>
        </w:rPr>
        <w:commentReference w:id="10"/>
      </w:r>
      <w:r>
        <w:t xml:space="preserve"> for tolerability.</w:t>
      </w:r>
    </w:p>
    <w:p>
      <w:pPr>
        <w:pStyle w:val="Heading1"/>
      </w:pPr>
      <w:r>
        <w:t>Statistical Methods</w:t>
      </w:r>
    </w:p>
    <w:p>
      <w:r>
        <w:t xml:space="preserve">The primary endpoint will be analyzed using a </w:t>
      </w:r>
      <w:commentRangeStart w:id="14"/>
      <w:r>
        <w:t>mixed-effects model for repeated measures (MMRM)</w:t>
      </w:r>
      <w:commentRangeEnd w:id="14"/>
      <w:r>
        <w:rPr>
          <w:rStyle w:val="CommentReference"/>
        </w:rPr>
        <w:commentReference w:id="14"/>
      </w:r>
      <w:r>
        <w:t xml:space="preserve">, with treatment, visit, and treatment-by-visit interaction as fixed effects and baseline score as a covariate. The study is </w:t>
      </w:r>
      <w:commentRangeStart w:id="13"/>
      <w:r>
        <w:t>powered at 90% to detect a treatment difference of 4 points</w:t>
      </w:r>
      <w:commentRangeEnd w:id="13"/>
      <w:r>
        <w:rPr>
          <w:rStyle w:val="CommentReference"/>
        </w:rPr>
        <w:commentReference w:id="13"/>
      </w:r>
      <w:r>
        <w:t>.</w:t>
      </w:r>
    </w:p>
    <w:p>
      <w:pPr>
        <w:pStyle w:val="Heading1"/>
      </w:pPr>
      <w:r>
        <w:t>6. Sample Size</w:t>
      </w:r>
    </w:p>
    <w:p>
      <w:r>
        <w:t xml:space="preserve">Assuming a </w:t>
      </w:r>
      <w:commentRangeStart w:id="16"/>
      <w:r>
        <w:t>standard deviation of 9 points</w:t>
      </w:r>
      <w:commentRangeEnd w:id="16"/>
      <w:r>
        <w:rPr>
          <w:rStyle w:val="CommentReference"/>
        </w:rPr>
        <w:commentReference w:id="16"/>
      </w:r>
      <w:r>
        <w:t xml:space="preserve"> and a two-sided alpha of 0.05, 240 subjects (120 per arm) provides 90% power to detect the assumed treatment difference, accounting for an </w:t>
      </w:r>
      <w:commentRangeStart w:id="15"/>
      <w:r>
        <w:t>estimated 15% dropout rate</w:t>
      </w:r>
      <w:commentRangeEnd w:id="15"/>
      <w:r>
        <w:rPr>
          <w:rStyle w:val="CommentReference"/>
        </w:rPr>
        <w:commentReference w:id="15"/>
      </w:r>
      <w:r>
        <w:t>.</w:t>
      </w:r>
    </w:p>
    <w:p>
      <w:pPr>
        <w:pStyle w:val="Heading1"/>
      </w:pPr>
      <w:r>
        <w:t>Safety Monitoring</w:t>
      </w:r>
    </w:p>
    <w:p>
      <w:r>
        <w:t xml:space="preserve">An independent Data Safety Monitoring Board (DSMB) will review unblinded safety data on a </w:t>
      </w:r>
      <w:commentRangeStart w:id="17"/>
      <w:commentRangeStart w:id="18"/>
      <w:r>
        <w:t>quarterly basis</w:t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  <w:r>
        <w:t xml:space="preserve"> throughout the study and will have the authority to </w:t>
      </w:r>
      <w:commentRangeStart w:id="19"/>
      <w:r>
        <w:t>recommend study modifications or termination</w:t>
      </w:r>
      <w:commentRangeEnd w:id="19"/>
      <w:r>
        <w:rPr>
          <w:rStyle w:val="CommentReference"/>
        </w:rPr>
        <w:commentReference w:id="19"/>
      </w:r>
      <w:r>
        <w:t xml:space="preserve"> based on emerging safety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r. Victor Kaminski (Senior Medical Director)" w:initials="VK" w:date="2026-07-20T09:00:00Z">
    <w:p w14:paraId="3D7EB3C1">
      <w:pPr>
        <w:pStyle w:val="CommentText"/>
      </w:pPr>
      <w:r>
        <w:rPr>
          <w:rStyle w:val="CommentReference"/>
        </w:rPr>
        <w:annotationRef/>
      </w:r>
      <w:r>
        <w:t>This objective doesn't say anything about clinical meaningfulness, only statistical change. If we can't define what a meaningful improvement looks like, the whole study is measuring the wrong thing.</w:t>
      </w:r>
    </w:p>
  </w:comment>
  <w:comment w:id="1" w:author="Sophie Nguyen (Medical Writer)" w:initials="SN" w:date="2026-07-20T09:40:00Z">
    <w:p w14:paraId="F1F799A6">
      <w:pPr>
        <w:pStyle w:val="CommentText"/>
      </w:pPr>
      <w:r>
        <w:rPr>
          <w:rStyle w:val="CommentReference"/>
        </w:rPr>
        <w:annotationRef/>
      </w:r>
      <w:r>
        <w:t>Recommend listing this as a key secondary rather than folding it into 'secondary objectives' generally -- it's called out separately in the SAP.</w:t>
      </w:r>
    </w:p>
  </w:comment>
  <w:comment w:id="2" w:author="Dr. Victor Kaminski (Senior Medical Director)" w:initials="VK" w:date="2026-07-20T10:15:00Z">
    <w:p w14:paraId="1C80DF7F">
      <w:pPr>
        <w:pStyle w:val="CommentText"/>
      </w:pPr>
      <w:r>
        <w:rPr>
          <w:rStyle w:val="CommentReference"/>
        </w:rPr>
        <w:annotationRef/>
      </w:r>
      <w:r>
        <w:t>Why 1:1 and not something that gives us more active-arm safety exposure given this is a novel mechanism? This should at least be discussed and justified, not just stated.</w:t>
      </w:r>
    </w:p>
  </w:comment>
  <w:comment w:id="3" w:author="Elena Torres (Biostatistics)" w:initials="ET" w:date="2026-07-20T11:00:00Z">
    <w:p w14:paraId="55D70A16">
      <w:pPr>
        <w:pStyle w:val="CommentText"/>
      </w:pPr>
      <w:r>
        <w:rPr>
          <w:rStyle w:val="CommentReference"/>
        </w:rPr>
        <w:annotationRef/>
      </w:r>
      <w:r>
        <w:t>This matches the sample size calculation in Section 6. No issue.</w:t>
      </w:r>
    </w:p>
  </w:comment>
  <w:comment w:id="4" w:author="Raj Patel (Regulatory Affairs)" w:initials="RP" w:date="2026-07-20T11:30:00Z">
    <w:p w14:paraId="896656CD">
      <w:pPr>
        <w:pStyle w:val="CommentText"/>
      </w:pPr>
      <w:r>
        <w:rPr>
          <w:rStyle w:val="CommentReference"/>
        </w:rPr>
        <w:annotationRef/>
      </w:r>
      <w:r>
        <w:t>Please specify approximate number of sites and countries here -- Health Authorities will ask, better to have it up front.</w:t>
      </w:r>
    </w:p>
  </w:comment>
  <w:comment w:id="5" w:author="Dr. Victor Kaminski (Senior Medical Director)" w:initials="VK" w:date="2026-07-21T09:00:00Z">
    <w:p w14:paraId="43CDAF0F">
      <w:pPr>
        <w:pStyle w:val="CommentText"/>
      </w:pPr>
      <w:r>
        <w:rPr>
          <w:rStyle w:val="CommentReference"/>
        </w:rPr>
        <w:annotationRef/>
      </w:r>
      <w:r>
        <w:t>An upper age cutoff of 75 with no rationale given is going to get flagged by the agency. This entire criteria section reads like it was copied from a template without being tailored to this drug.</w:t>
      </w:r>
    </w:p>
  </w:comment>
  <w:comment w:id="6" w:author="Elena Torres (Biostatistics)" w:initials="ET" w:date="2026-07-21T09:50:00Z">
    <w:p w14:paraId="706A98D8">
      <w:pPr>
        <w:pStyle w:val="CommentText"/>
      </w:pPr>
      <w:r>
        <w:rPr>
          <w:rStyle w:val="CommentReference"/>
        </w:rPr>
        <w:annotationRef/>
      </w:r>
      <w:r>
        <w:t>Disagree that this needs a major rework -- an upper age bound of 75 is standard for this drug class given the exclusion criteria already address relevant comorbidities. A one-line rationale would resolve this, not a rewrite.</w:t>
      </w:r>
    </w:p>
  </w:comment>
  <w:comment w:id="7" w:author="Sophie Nguyen (Medical Writer)" w:initials="SN" w:date="2026-07-21T10:30:00Z">
    <w:p w14:paraId="DD40B90F">
      <w:pPr>
        <w:pStyle w:val="CommentText"/>
      </w:pPr>
      <w:r>
        <w:rPr>
          <w:rStyle w:val="CommentReference"/>
        </w:rPr>
        <w:annotationRef/>
      </w:r>
      <w:r>
        <w:t>Confirm this threshold matches what's used in the primary endpoint definition in Section 1 -- want to make sure these two sections stay consistent if the threshold changes.</w:t>
      </w:r>
    </w:p>
  </w:comment>
  <w:comment w:id="8" w:author="Dr. Victor Kaminski (Senior Medical Director)" w:initials="VK" w:date="2026-07-21T13:00:00Z">
    <w:p w14:paraId="A0991018">
      <w:pPr>
        <w:pStyle w:val="CommentText"/>
      </w:pPr>
      <w:r>
        <w:rPr>
          <w:rStyle w:val="CommentReference"/>
        </w:rPr>
        <w:annotationRef/>
      </w:r>
      <w:r>
        <w:t>'History of hepatic impairment' is vague to the point of being meaningless. Define it with actual lab values or a specific classification, otherwise every site will interpret this differently.</w:t>
      </w:r>
    </w:p>
  </w:comment>
  <w:comment w:id="9" w:author="Raj Patel (Regulatory Affairs)" w:initials="RP" w:date="2026-07-21T13:45:00Z">
    <w:p w14:paraId="4ADAAD93">
      <w:pPr>
        <w:pStyle w:val="CommentText"/>
      </w:pPr>
      <w:r>
        <w:rPr>
          <w:rStyle w:val="CommentReference"/>
        </w:rPr>
        <w:annotationRef/>
      </w:r>
      <w:r>
        <w:t>Suggest adding a reference table of prohibited medications in an appendix -- sites will ask for this regardless.</w:t>
      </w:r>
    </w:p>
  </w:comment>
  <w:comment w:id="10" w:author="Dr. Victor Kaminski (Senior Medical Director)" w:initials="VK" w:date="2026-07-22T09:00:00Z">
    <w:p w14:paraId="A8AB1A56">
      <w:pPr>
        <w:pStyle w:val="CommentText"/>
      </w:pPr>
      <w:r>
        <w:rPr>
          <w:rStyle w:val="CommentReference"/>
        </w:rPr>
        <w:annotationRef/>
      </w:r>
      <w:r>
        <w:t>Permitted under what specific criteria? 'For tolerability' is not a criterion, it's a shrug. If we can't define this precisely the site staff will apply it inconsistently.</w:t>
      </w:r>
    </w:p>
  </w:comment>
  <w:comment w:id="11" w:author="Elena Torres (Biostatistics)" w:initials="ET" w:date="2026-07-22T09:45:00Z">
    <w:p w14:paraId="26CC872E">
      <w:pPr>
        <w:pStyle w:val="CommentText"/>
      </w:pPr>
      <w:r>
        <w:rPr>
          <w:rStyle w:val="CommentReference"/>
        </w:rPr>
        <w:annotationRef/>
      </w:r>
      <w:r>
        <w:t>Confirmed this matches the Phase 2 dose-finding results. No concerns.</w:t>
      </w:r>
    </w:p>
  </w:comment>
  <w:comment w:id="12" w:author="Sophie Nguyen (Medical Writer)" w:initials="SN" w:date="2026-07-22T10:20:00Z">
    <w:p w14:paraId="04AF1C44">
      <w:pPr>
        <w:pStyle w:val="CommentText"/>
      </w:pPr>
      <w:r>
        <w:rPr>
          <w:rStyle w:val="CommentReference"/>
        </w:rPr>
        <w:annotationRef/>
      </w:r>
      <w:r>
        <w:t>Suggest 'identical in appearance' -- 'matched' is a little ambiguous here.</w:t>
      </w:r>
    </w:p>
  </w:comment>
  <w:comment w:id="13" w:author="Dr. Victor Kaminski (Senior Medical Director)" w:initials="VK" w:date="2026-07-22T13:00:00Z">
    <w:p w14:paraId="8F6FE08A">
      <w:pPr>
        <w:pStyle w:val="CommentText"/>
      </w:pPr>
      <w:r>
        <w:rPr>
          <w:rStyle w:val="CommentReference"/>
        </w:rPr>
        <w:annotationRef/>
      </w:r>
      <w:r>
        <w:t>Where does the 4-point assumption come from? If it's not justified with a citation or pilot data, statisticians reviewing this will ask, and so will I.</w:t>
      </w:r>
    </w:p>
  </w:comment>
  <w:comment w:id="14" w:author="Elena Torres (Biostatistics)" w:initials="ET" w:date="2026-07-22T13:50:00Z">
    <w:p w14:paraId="D43A8AF9">
      <w:pPr>
        <w:pStyle w:val="CommentText"/>
      </w:pPr>
      <w:r>
        <w:rPr>
          <w:rStyle w:val="CommentReference"/>
        </w:rPr>
        <w:annotationRef/>
      </w:r>
      <w:r>
        <w:t>This is consistent with the analysis approach used in the Phase 2 study -- keeping the same model here is the right call for comparability.</w:t>
      </w:r>
    </w:p>
  </w:comment>
  <w:comment w:id="15" w:author="Dr. Victor Kaminski (Senior Medical Director)" w:initials="VK" w:date="2026-07-23T09:00:00Z">
    <w:p w14:paraId="A588E0CA">
      <w:pPr>
        <w:pStyle w:val="CommentText"/>
      </w:pPr>
      <w:r>
        <w:rPr>
          <w:rStyle w:val="CommentReference"/>
        </w:rPr>
        <w:annotationRef/>
      </w:r>
      <w:r>
        <w:t>15% feels optimistic for a 16-week study in this population. What was the actual dropout rate in Phase 2? If it was higher than this, the sample size is undersized and that's a real problem, not a nitpick.</w:t>
      </w:r>
    </w:p>
  </w:comment>
  <w:comment w:id="16" w:author="Raj Patel (Regulatory Affairs)" w:initials="RP" w:date="2026-07-23T09:50:00Z">
    <w:p w14:paraId="9673DBF1">
      <w:pPr>
        <w:pStyle w:val="CommentText"/>
      </w:pPr>
      <w:r>
        <w:rPr>
          <w:rStyle w:val="CommentReference"/>
        </w:rPr>
        <w:annotationRef/>
      </w:r>
      <w:r>
        <w:t>Please cite the source study this SD estimate is drawn from.</w:t>
      </w:r>
    </w:p>
  </w:comment>
  <w:comment w:id="17" w:author="Dr. Victor Kaminski (Senior Medical Director)" w:initials="VK" w:date="2026-07-24T09:00:00Z">
    <w:p w14:paraId="096B55B2">
      <w:pPr>
        <w:pStyle w:val="CommentText"/>
      </w:pPr>
      <w:r>
        <w:rPr>
          <w:rStyle w:val="CommentReference"/>
        </w:rPr>
        <w:annotationRef/>
      </w:r>
      <w:r>
        <w:t>Quarterly is too infrequent for a novel mechanism in this population. This should be monthly for at least the first two cohorts, and I don't think that's negotiable.</w:t>
      </w:r>
    </w:p>
  </w:comment>
  <w:comment w:id="18" w:author="Raj Patel (Regulatory Affairs)" w:initials="RP" w:date="2026-07-24T09:45:00Z">
    <w:p w14:paraId="48F5DC99">
      <w:pPr>
        <w:pStyle w:val="CommentText"/>
      </w:pPr>
      <w:r>
        <w:rPr>
          <w:rStyle w:val="CommentReference"/>
        </w:rPr>
        <w:annotationRef/>
      </w:r>
      <w:r>
        <w:t>Disagree -- quarterly is consistent with what Health Authorities accepted for the Phase 2 DSMB charter, and there's no new safety signal from Phase 2 that would justify a more frequent schedule. Happy to revisit if new data comes in.</w:t>
      </w:r>
    </w:p>
  </w:comment>
  <w:comment w:id="19" w:author="Sophie Nguyen (Medical Writer)" w:initials="SN" w:date="2026-07-24T10:30:00Z">
    <w:p w14:paraId="836C609B">
      <w:pPr>
        <w:pStyle w:val="CommentText"/>
      </w:pPr>
      <w:r>
        <w:rPr>
          <w:rStyle w:val="CommentReference"/>
        </w:rPr>
        <w:annotationRef/>
      </w:r>
      <w:r>
        <w:t>Suggest adding a sentence on how DSMB recommendations get communicated to sites and the timeline for implementation -- not currently specified anywhere in this section.</w:t>
      </w:r>
    </w:p>
  </w:comment>
</w:comments>
</file>

<file path=word/commentsExtended.xml><?xml version="1.0" encoding="utf-8"?>
<w15:commentsEx xmlns:w15="http://schemas.microsoft.com/office/word/2012/wordml">
  <w15:commentEx w15:paraId="43CDAF0F" w15:done="0"/>
  <w15:commentEx w15:paraId="706A98D8" w15:paraIdParent="43CDAF0F" w15:done="0"/>
  <w15:commentEx w15:paraId="096B55B2" w15:done="0"/>
  <w15:commentEx w15:paraId="48F5DC99" w15:paraIdParent="096B55B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CommentsExtended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