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9. Efficacy Results</w:t>
      </w:r>
    </w:p>
    <w:p>
      <w:pPr>
        <w:pStyle w:val="Heading2"/>
      </w:pPr>
      <w:r>
        <w:t>9.1 Primary Endpoint</w:t>
      </w:r>
    </w:p>
    <w:p>
      <w:r>
        <w:t xml:space="preserve">The primary endpoint, change from baseline in the total symptom score at Week 12, showed a statistically significant improvement in the treatment arm compared to placebo (least-squares mean difference </w:t>
      </w:r>
      <w:commentRangeStart w:id="0"/>
      <w:r>
        <w:t>-4.2 points, 95% CI -6.1 to -2.3, p&lt;0.001</w:t>
      </w:r>
      <w:commentRangeEnd w:id="0"/>
      <w:r>
        <w:rPr>
          <w:rStyle w:val="CommentReference"/>
        </w:rPr>
        <w:commentReference w:id="0"/>
      </w:r>
      <w:r>
        <w:t>).</w:t>
      </w:r>
    </w:p>
    <w:p>
      <w:r>
        <w:t xml:space="preserve">A sensitivity analysis using </w:t>
      </w:r>
      <w:commentRangeStart w:id="1"/>
      <w:r>
        <w:t>multiple imputation</w:t>
      </w:r>
      <w:commentRangeEnd w:id="1"/>
      <w:r>
        <w:rPr>
          <w:rStyle w:val="CommentReference"/>
        </w:rPr>
        <w:commentReference w:id="1"/>
      </w:r>
      <w:r>
        <w:t xml:space="preserve"> for missing data produced consistent results, supporting the robustness of the primary analysis.</w:t>
      </w:r>
    </w:p>
    <w:p>
      <w:pPr>
        <w:pStyle w:val="Heading2"/>
      </w:pPr>
      <w:r>
        <w:t>9.2 Secondary Endpoints</w:t>
      </w:r>
    </w:p>
    <w:p>
      <w:r>
        <w:t xml:space="preserve">Responder rates (defined as ≥50% reduction in symptom score) were 62% in the treatment group versus 38% in placebo (p=0.002). </w:t>
      </w:r>
      <w:commentRangeStart w:id="2"/>
      <w:r>
        <w:t>This meaningful difference supports a favorable overall clinical benefit.</w:t>
      </w:r>
      <w:commentRangeEnd w:id="2"/>
      <w:r>
        <w:rPr>
          <w:rStyle w:val="CommentReference"/>
        </w:rPr>
        <w:commentReference w:id="2"/>
      </w:r>
    </w:p>
    <w:p>
      <w:r>
        <w:t xml:space="preserve">Time to symptom relief was also significantly shorter in the treatment arm (median 3.2 days vs 5.8 days, </w:t>
      </w:r>
      <w:commentRangeStart w:id="3"/>
      <w:r>
        <w:t>HR 1.8, 95% CI 1.3-2.5</w:t>
      </w:r>
      <w:commentRangeEnd w:id="3"/>
      <w:r>
        <w:rPr>
          <w:rStyle w:val="CommentReference"/>
        </w:rPr>
        <w:commentReference w:id="3"/>
      </w:r>
      <w:r>
        <w:t>).</w:t>
      </w:r>
    </w:p>
    <w:p>
      <w:pPr>
        <w:pStyle w:val="Heading2"/>
      </w:pPr>
      <w:r>
        <w:t>9.3 Subgroup Analyses</w:t>
      </w:r>
    </w:p>
    <w:p>
      <w:r>
        <w:t xml:space="preserve">In the subgroup of patients with moderate baseline severity, the treatment effect was attenuated (LS mean difference -2.1, 95% CI -4.5 to 0.3) and </w:t>
      </w:r>
      <w:commentRangeStart w:id="4"/>
      <w:commentRangeStart w:id="5"/>
      <w:r>
        <w:t>did not reach statistical significance</w:t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r>
        <w:t>.</w:t>
      </w:r>
    </w:p>
    <w:p>
      <w:commentRangeStart w:id="6"/>
      <w:r>
        <w:t>No clinically meaningful differences in treatment effect were observed across age, sex, or region subgroups (Figure 9.3.1).</w:t>
      </w:r>
      <w:commentRangeEnd w:id="6"/>
      <w:r>
        <w:rPr>
          <w:rStyle w:val="CommentReference"/>
        </w:rPr>
        <w:commentReference w:id="6"/>
      </w:r>
    </w:p>
    <w:p>
      <w:pPr>
        <w:pStyle w:val="Heading2"/>
      </w:pPr>
      <w:r>
        <w:t>9.4 Time-to-Event Analysis</w:t>
      </w:r>
    </w:p>
    <w:p>
      <w:commentRangeStart w:id="7"/>
      <w:r>
        <w:t>Kaplan-Meier estimates showed separation between treatment arms beginning at Week 2 and persisting through Week 12 (Figure 9.4.1).</w:t>
      </w:r>
      <w:commentRangeEnd w:id="7"/>
      <w:r>
        <w:rPr>
          <w:rStyle w:val="CommentReference"/>
        </w:rPr>
        <w:commentReference w:id="7"/>
      </w:r>
    </w:p>
    <w:p>
      <w:r>
        <w:t xml:space="preserve">The proportional hazards assumption was tested using Schoenfeld residuals and </w:t>
      </w:r>
      <w:commentRangeStart w:id="8"/>
      <w:r>
        <w:t>was not violated</w:t>
      </w:r>
      <w:commentRangeEnd w:id="8"/>
      <w:r>
        <w:rPr>
          <w:rStyle w:val="CommentReference"/>
        </w:rPr>
        <w:commentReference w:id="8"/>
      </w:r>
      <w:r>
        <w:t xml:space="preserve"> (p=0.41).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lena Rodriguez (Biostatistics Lead)" w:initials="ER" w:date="2026-08-03T14:10:00Z">
    <w:p w14:paraId="D7F4B862">
      <w:pPr>
        <w:pStyle w:val="CommentText"/>
      </w:pPr>
      <w:r>
        <w:rPr>
          <w:rStyle w:val="CommentReference"/>
        </w:rPr>
        <w:annotationRef/>
      </w:r>
      <w:r>
        <w:t>Please confirm this LS mean difference matches the SAP-specified MMRM model output in Table 9.1.2 -- the value in my analysis dataset shows -4.4, not -4.2.</w:t>
      </w:r>
    </w:p>
  </w:comment>
  <w:comment w:id="1" w:author="Tom Bennett (Medical Writer)" w:initials="TB" w:date="2026-08-03T15:45:00Z">
    <w:p w14:paraId="0B890ED0">
      <w:pPr>
        <w:pStyle w:val="CommentText"/>
      </w:pPr>
      <w:r>
        <w:rPr>
          <w:rStyle w:val="CommentReference"/>
        </w:rPr>
        <w:annotationRef/>
      </w:r>
      <w:r>
        <w:t>Should we specify which imputation method (MICE vs. LOCF) was used here, or does the SAP allow either? Want to make sure this matches Section 7.4.</w:t>
      </w:r>
    </w:p>
  </w:comment>
  <w:comment w:id="2" w:author="Tom Bennett (Medical Writer)" w:initials="TB" w:date="2026-08-04T09:20:00Z">
    <w:p w14:paraId="0ABF48F4">
      <w:pPr>
        <w:pStyle w:val="CommentText"/>
      </w:pPr>
      <w:r>
        <w:rPr>
          <w:rStyle w:val="CommentReference"/>
        </w:rPr>
        <w:annotationRef/>
      </w:r>
      <w:r>
        <w:t>Suggest changing 'meaningful' to 'clinically meaningful' for consistency with how we describe effect sizes elsewhere in the CSR.</w:t>
      </w:r>
    </w:p>
  </w:comment>
  <w:comment w:id="3" w:author="Dr. Aisha Khan (Clinical Pharmacology)" w:initials="AK" w:date="2026-08-04T11:05:00Z">
    <w:p w14:paraId="3E2C2313">
      <w:pPr>
        <w:pStyle w:val="CommentText"/>
      </w:pPr>
      <w:r>
        <w:rPr>
          <w:rStyle w:val="CommentReference"/>
        </w:rPr>
        <w:annotationRef/>
      </w:r>
      <w:r>
        <w:t>We need to decide whether to report the hazard ratio here or defer to the time-to-event section in 9.4, since presenting it twice with slightly different confidence intervals could confuse reviewers. Please confirm approach with the biostatistics lead before finalizing.</w:t>
      </w:r>
    </w:p>
  </w:comment>
  <w:comment w:id="4" w:author="Dr. Marcus Webb (Principal Investigator)" w:initials="MW" w:date="2026-08-05T10:00:00Z">
    <w:p w14:paraId="083DED17">
      <w:pPr>
        <w:pStyle w:val="CommentText"/>
      </w:pPr>
      <w:r>
        <w:rPr>
          <w:rStyle w:val="CommentReference"/>
        </w:rPr>
        <w:annotationRef/>
      </w:r>
      <w:r>
        <w:t>Given the wide confidence interval and small subgroup size (n=34), I don't think we should describe this as a true attenuation of effect -- more likely underpowered. Recommend softening this language.</w:t>
      </w:r>
    </w:p>
  </w:comment>
  <w:comment w:id="5" w:author="Elena Rodriguez (Biostatistics Lead)" w:initials="ER" w:date="2026-08-05T13:40:00Z">
    <w:p w14:paraId="6A54D60A">
      <w:pPr>
        <w:pStyle w:val="CommentText"/>
      </w:pPr>
      <w:r>
        <w:rPr>
          <w:rStyle w:val="CommentReference"/>
        </w:rPr>
        <w:annotationRef/>
      </w:r>
      <w:r>
        <w:t>Disagree -- the CI still crosses zero and includes negative values in the placebo-favoring direction, which is a meaningfully different signal than the overall population. I think the current wording is appropriately cautious and shouldn't be softened.</w:t>
      </w:r>
    </w:p>
  </w:comment>
  <w:comment w:id="6" w:author="Dr. Aisha Khan (Clinical Pharmacology)" w:initials="AK" w:date="2026-08-05T16:15:00Z">
    <w:p w14:paraId="ACC5FA94">
      <w:pPr>
        <w:pStyle w:val="CommentText"/>
      </w:pPr>
      <w:r>
        <w:rPr>
          <w:rStyle w:val="CommentReference"/>
        </w:rPr>
        <w:annotationRef/>
      </w:r>
      <w:r>
        <w:t>Clean summary, no changes needed here.</w:t>
      </w:r>
    </w:p>
  </w:comment>
  <w:comment w:id="7" w:author="Tom Bennett (Medical Writer)" w:initials="TB" w:date="2026-08-06T09:30:00Z">
    <w:p w14:paraId="49283AAD">
      <w:pPr>
        <w:pStyle w:val="CommentText"/>
      </w:pPr>
      <w:r>
        <w:rPr>
          <w:rStyle w:val="CommentReference"/>
        </w:rPr>
        <w:annotationRef/>
      </w:r>
      <w:r>
        <w:t>Should we note the number of patients still at risk at each landmark timepoint, or is that only needed in the statistical appendix?</w:t>
      </w:r>
    </w:p>
  </w:comment>
  <w:comment w:id="8" w:author="Dr. Marcus Webb (Principal Investigator)" w:initials="MW" w:date="2026-08-07T08:50:00Z">
    <w:p w14:paraId="8105AD7D">
      <w:pPr>
        <w:pStyle w:val="CommentText"/>
      </w:pPr>
      <w:r>
        <w:rPr>
          <w:rStyle w:val="CommentReference"/>
        </w:rPr>
        <w:annotationRef/>
      </w:r>
      <w:r>
        <w:t>Minor: 'was not violated' reads awkwardly -- suggest 'held' or 'was satisfied'.</w:t>
      </w:r>
    </w:p>
  </w:comment>
</w:comments>
</file>

<file path=word/commentsExtended.xml><?xml version="1.0" encoding="utf-8"?>
<w15:commentsEx xmlns:w15="http://schemas.microsoft.com/office/word/2012/wordml">
  <w15:commentEx w15:paraId="083DED17" w15:done="0"/>
  <w15:commentEx w15:paraId="6A54D60A" w15:paraIdParent="083DED1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