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Raport Decyzyjny GO/NO-GO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Projekt: Projekt Alfa  |  Wersja: 1.0  |  Autor: Jan Kowalski  |  Data: 2026-03-08 22:18</w:t>
            </w:r>
          </w:p>
        </w:tc>
      </w:tr>
    </w:tbl>
    <w:p/>
    <w:p>
      <w:pPr>
        <w:pStyle w:val="Heading2"/>
      </w:pPr>
      <w:r>
        <w:rPr>
          <w:color w:val="E3000F"/>
        </w:rPr>
        <w:t>Podsumowanie</w:t>
      </w:r>
    </w:p>
    <w:p>
      <w:r>
        <w:t>Wdrozenie zostalo zaakceptowane (GO) na podstawie spełnienia wszystkich twardych reguł decyzyjnych i braku znaczących ryzyk.</w:t>
      </w:r>
    </w:p>
    <w:p>
      <w:pPr>
        <w:pStyle w:val="Heading2"/>
      </w:pPr>
      <w:r>
        <w:rPr>
          <w:color w:val="E3000F"/>
        </w:rPr>
        <w:t>Analiza Testów</w:t>
      </w:r>
    </w:p>
    <w:p>
      <w:r>
        <w:t>Pokrycie testami wynosi 85%, co przekracza wymagany próg 80%. Liczba błędów krytycznych wynosi 0. Testy funkcjonalne zakończyły się sukcesem w 98%, a testy niefunkcjonalne w 98.5%. Nie stwierdzono znaczących ryzyk.</w:t>
      </w:r>
    </w:p>
    <w:p>
      <w:pPr>
        <w:pStyle w:val="Heading2"/>
      </w:pPr>
      <w:r>
        <w:rPr>
          <w:color w:val="E3000F"/>
        </w:rPr>
        <w:t>Ocena Ryzyk</w:t>
      </w:r>
    </w:p>
    <w:p>
      <w:r>
        <w:t>Ryzyka historyczne SEC-101, SEC-103 i SEC-104 zostały ocenione jako akceptowalne. Ryzyko SEC-102 zostało zablokowane/naprawione. Ryzyka użytkownika nie zostały zgłoszone.</w:t>
      </w:r>
    </w:p>
    <w:p>
      <w:pPr>
        <w:pStyle w:val="Heading2"/>
      </w:pPr>
      <w:r>
        <w:rPr>
          <w:color w:val="E3000F"/>
        </w:rPr>
        <w:t>Uzasadnienie</w:t>
      </w:r>
    </w:p>
    <w:p>
      <w:r>
        <w:t>Decyzja GO została podjęta, ponieważ wszystkie twarde reguły decyzyjne zostały spełnione: pokrycie testami wynosi 85%, brak błędów krytycznych, testy funkcjonalne zakończyły się sukcesem w 98%, a testy niefunkcjonalne w 98.5%. Nie stwierdzono znaczących ryzyk, a kontekst historyczny projektu wskazuje na akceptowalność ryzyk i brak blokujących problemów.</w:t>
      </w:r>
    </w:p>
    <w:p>
      <w:r>
        <w:br w:type="page"/>
      </w:r>
    </w:p>
    <w:p>
      <w:pPr>
        <w:pStyle w:val="Heading1"/>
      </w:pPr>
      <w:r>
        <w:rPr>
          <w:color w:val="2D2D2D"/>
        </w:rPr>
        <w:t>Załączniki: Wykresy</w:t>
      </w:r>
    </w:p>
    <w:p>
      <w:r>
        <w:drawing>
          <wp:inline xmlns:a="http://schemas.openxmlformats.org/drawingml/2006/main" xmlns:pic="http://schemas.openxmlformats.org/drawingml/2006/picture">
            <wp:extent cx="5669280" cy="6182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kt_Alfa_results_donut_20260308_2218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829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969696"/>
          <w:sz w:val="16"/>
        </w:rPr>
        <w:t>Wygenerowano automatycznie przez QA Decision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