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/>
          <w:b/>
          <w:color w:val="2E74B5"/>
          <w:sz w:val="20"/>
        </w:rPr>
        <w:t>PROJECT MANAGEMENT BRIEF</w:t>
      </w:r>
    </w:p>
    <w:p>
      <w:pPr>
        <w:keepNext/>
        <w:spacing w:after="80"/>
      </w:pPr>
      <w:r>
        <w:rPr>
          <w:rFonts w:ascii="Calibri" w:hAnsi="Calibri"/>
          <w:b/>
          <w:color w:val="0B2545"/>
          <w:sz w:val="48"/>
        </w:rPr>
        <w:t>BASELINE-ALIGNED DELIVERY WORKPLAN</w:t>
      </w:r>
    </w:p>
    <w:p>
      <w:pPr>
        <w:spacing w:after="280"/>
      </w:pPr>
      <w:r>
        <w:rPr>
          <w:rFonts w:ascii="Calibri" w:hAnsi="Calibri"/>
          <w:color w:val="555555"/>
          <w:sz w:val="26"/>
        </w:rPr>
        <w:t>Controlled route to deliver OT Digital Twin as specified, without scope creep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Plan date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sz w:val="21"/>
              </w:rPr>
              <w:t>27 May 2026 (East Africa Time)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Prepared for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OTDT Project Manager and Delivery Team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Target product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GDC Kenya Geothermal Digital Twin MVP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Planning basis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Three controlling OTDT artifacts plus verified current-state assessment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Control rule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No product fact, acceptance target or demo narrative changes without recorded approval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DELIVERY OBJECTIVE</w:t>
            </w:r>
          </w:p>
          <w:p>
            <w:pPr>
              <w:spacing w:after="0"/>
            </w:pPr>
            <w:r>
              <w:t>Deliver the documented OTDT MVP: a synthetic-data GDC Kenya digital twin of 50 assets, centred on GDC-WP-007, using Unity and Three.js visualisation with five defined agent capabilities, the approved 34% to 68% What-If story, a validated 90-day schedule and top-five work-order output.</w:t>
            </w:r>
          </w:p>
        </w:tc>
      </w:tr>
    </w:tbl>
    <w:p/>
    <w:p>
      <w:pPr>
        <w:pStyle w:val="Heading1"/>
      </w:pPr>
      <w:r>
        <w:t>1. Scope Control Charter</w:t>
      </w:r>
    </w:p>
    <w:p>
      <w:r>
        <w:t>All delivery activity must observe the following controls:</w:t>
      </w:r>
    </w:p>
    <w:p>
      <w:pPr>
        <w:spacing w:after="80" w:line="280" w:lineRule="auto"/>
        <w:numPr>
          <w:ilvl w:val="0"/>
          <w:numId w:val="900"/>
        </w:numPr>
      </w:pPr>
      <w:r>
        <w:t>The governing product definition is the three project-owner supplied root artifacts: the Build Guide DOCX, Build Deck PPTX and MVP Tracker XLSX.</w:t>
      </w:r>
    </w:p>
    <w:p>
      <w:pPr>
        <w:spacing w:after="80" w:line="280" w:lineRule="auto"/>
        <w:numPr>
          <w:ilvl w:val="0"/>
          <w:numId w:val="900"/>
        </w:numPr>
      </w:pPr>
      <w:r>
        <w:t>The supplied tracker data is the baseline synthetic data package. Derived datasets may be used only after lineage, transformation and purpose are explicitly documented.</w:t>
      </w:r>
    </w:p>
    <w:p>
      <w:pPr>
        <w:spacing w:after="80" w:line="280" w:lineRule="auto"/>
        <w:numPr>
          <w:ilvl w:val="0"/>
          <w:numId w:val="900"/>
        </w:numPr>
      </w:pPr>
      <w:r>
        <w:t>Required product identity is fixed: GDC Kenya, 50 assets, GDC-WP-007, five agents, Unity plus Three.js, and the approved ROI scenario.</w:t>
      </w:r>
    </w:p>
    <w:p>
      <w:pPr>
        <w:spacing w:after="80" w:line="280" w:lineRule="auto"/>
        <w:numPr>
          <w:ilvl w:val="0"/>
          <w:numId w:val="900"/>
        </w:numPr>
      </w:pPr>
      <w:r>
        <w:t>Any implementation addition such as React, Redis, TimescaleDB, extra dashboards or conversational panels is supporting implementation unless explicitly promoted by an approved decision.</w:t>
      </w:r>
    </w:p>
    <w:p>
      <w:pPr>
        <w:spacing w:after="80" w:line="280" w:lineRule="auto"/>
        <w:numPr>
          <w:ilvl w:val="0"/>
          <w:numId w:val="900"/>
        </w:numPr>
      </w:pPr>
      <w:r>
        <w:t>No team member may label a capability implemented, validated, deployed or accepted on the basis of file existence alone; evidence must be recorded.</w:t>
      </w:r>
    </w:p>
    <w:p>
      <w:pPr>
        <w:spacing w:after="80" w:line="280" w:lineRule="auto"/>
        <w:numPr>
          <w:ilvl w:val="0"/>
          <w:numId w:val="900"/>
        </w:numPr>
      </w:pPr>
      <w:r>
        <w:t>IBM platform execution remains paused until the project manager explicitly reactivates it; the IBM requirements remain in scope.</w:t>
      </w:r>
    </w:p>
    <w:p>
      <w:pPr>
        <w:pStyle w:val="Heading1"/>
      </w:pPr>
      <w:r>
        <w:t>2. Definition Of MVP Acceptance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Acceptance domain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Acceptance condition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Experience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Unity primary digital twin demonstrates sensor state, asset selection, WP-07 What-If and schedule; Three.js browser viewer is available for browser access.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Assets and data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50 GDC assets and approved sensor/failure/validation datasets flow through documented contracts with synthetic-data labelling.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Failure Predictor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Approved LSTM specification is implemented and evidenced above AUC-ROC 0.82 with calibration and deployment artifact evidence.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Monte Carlo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Tracker-derived fitting and validation are documented; 10,000 scenarios complete under 5 seconds; validation reaches Brier score below 0.15.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What-If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For WP-07, the visible user path shows 34% at zero days and 68% / USD 122,400 at 45 days in less than 2 seconds.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Anomaly AI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CNN achieves greater than 80% accuracy, or the explicitly permitted rule-based MVP fallback is demonstrated and labelled as such.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Scheduler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90-day schedule identifies the required high-risk decisions and exposes top-five Maximo work-order output within approved mock/live mode.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Demo and ROI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Stakeholder demonstration tells the fixed synthetic-data narrative and retains the approved USD 360,000 versus USD 48,000 / 650% ROI statement.</w:t>
            </w:r>
          </w:p>
        </w:tc>
      </w:tr>
    </w:tbl>
    <w:p/>
    <w:p>
      <w:pPr>
        <w:pStyle w:val="Heading1"/>
      </w:pPr>
      <w:r>
        <w:t>3. Delivery Sequence And Gates</w:t>
      </w:r>
    </w:p>
    <w:p>
      <w:r>
        <w:t>Work is organised as gated steps. A later step may begin in limited preparation mode, but it may not be reported complete until its dependencies and exit gate are complete.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460"/>
        <w:gridCol w:w="3940"/>
        <w:gridCol w:w="2360"/>
      </w:tblGrid>
      <w:tr>
        <w:trPr>
          <w:tblHeader w:val="true"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Step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Work package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Required outputs and evidence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Exit gate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Confirm authority and resolve product decisions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Approved authority list; decisions on Sensor_Readings count, failure-mode grouping, WP-07 cost policy, LSTM run specification and IBM hold.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Decision log updated; no unresolved decision is silently encoded in product behaviour.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Establish canonical data and API contracts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Dataset lineage map; baseline sensor schema; canonical asset/cost handling; What-If request/response contract; contract tests.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Runtime consumes approved data/contracts; WP-07 API test gives 34% and 68% / USD 122,400.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Restore Unity primary demonstration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Unity scene verification for all 50 assets, selectable WP-07, sensor colour updates, HUD, disclaimer, slider and cost overlay.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Recorded play-mode evidence; 45-day visible scenario works in under 2 seconds.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Validate LSTM and Monte Carlo engines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Approved LSTM pipeline, AUC/calibration evidence, exported artifact; fitted Weibull parameters, Brier validation and performance benchmark.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Model and simulation acceptance thresholds met or explicitly approved fallback used.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Deliver scheduler and work-order story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Risk feed into scheduler; 90-day Gantt; top-five WO contract; controlled mock Maximo integration.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Scenario 3 reproduces intended highlighted risks and schedule evidence.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Complete browser viewer and Anomaly AI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Three.js viewer with sensor colours/navigation; CNN evidence or labelled rule-based fallback.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Both required experience channel and anomaly requirement demonstrable.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Reactivate IBM integrations when authorised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Maximo, Watson/Watson Studio, Event Streams, OpenShift and API Connect verification evidence.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Project-manager approval to resume plus environment test evidence.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End-to-end acceptance and demo handover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Acceptance results pack, demo runbook, risk/decision closure list, deployment proposal.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Project-manager sign-off for stakeholder demonstration.</w:t>
            </w:r>
          </w:p>
        </w:tc>
      </w:tr>
    </w:tbl>
    <w:p/>
    <w:p>
      <w:pPr>
        <w:pStyle w:val="Heading1"/>
      </w:pPr>
      <w:r>
        <w:t>4. Step-By-Step Work Packages</w:t>
      </w:r>
    </w:p>
    <w:p>
      <w:pPr>
        <w:pStyle w:val="Heading2"/>
      </w:pPr>
      <w:r>
        <w:t>Step 0: Baseline Lock And Decisions</w:t>
      </w:r>
    </w:p>
    <w:p>
      <w:r>
        <w:t>Purpose: remove ambiguity before coding turns undocumented assumptions into product behaviour.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50"/>
        <w:gridCol w:w="2150"/>
        <w:gridCol w:w="3160"/>
      </w:tblGrid>
      <w:tr>
        <w:trPr>
          <w:tblHeader w:val="true"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Owner role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Evidence to retain</w:t>
            </w:r>
          </w:p>
        </w:tc>
      </w:tr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Confirm the three governing files and correct the repository authority references.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Project manager / product owner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Approved decision log entry.</w:t>
            </w:r>
          </w:p>
        </w:tc>
      </w:tr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Decide Sensor_Readings dataset interpretation and publish the approved training source.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Product owner with AI/ML lead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Row-count decision and dataset checksum/reference.</w:t>
            </w:r>
          </w:p>
        </w:tc>
      </w:tr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 failure-mode aggregation used for Weibull fitting.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Product owner with reliability/ML lead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Mapping table from physical labels to fitted groups.</w:t>
            </w:r>
          </w:p>
        </w:tc>
      </w:tr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 WP-07 cost treatment and how USD 180,000 relates to asset inventory values.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Project manager / business owner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Cost rule used in UI, scheduler and ROI narrative.</w:t>
            </w:r>
          </w:p>
        </w:tc>
      </w:tr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Choose approved LSTM source-faithful experiment specification.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Product owner with AI/ML lead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Decision entry stating permitted features/split/export requirements.</w:t>
            </w:r>
          </w:p>
        </w:tc>
      </w:tr>
    </w:tbl>
    <w:p/>
    <w:p>
      <w:pPr>
        <w:pStyle w:val="Heading2"/>
      </w:pPr>
      <w:r>
        <w:t>Step 1: Contract And Data Foundation</w:t>
      </w:r>
    </w:p>
    <w:p>
      <w:r>
        <w:t>Purpose: create one controlled foundation used by Unity, model services, scheduler and browser experience.</w:t>
      </w:r>
    </w:p>
    <w:p>
      <w:pPr>
        <w:spacing w:after="80" w:line="280" w:lineRule="auto"/>
        <w:numPr>
          <w:ilvl w:val="0"/>
          <w:numId w:val="900"/>
        </w:numPr>
      </w:pPr>
      <w:r>
        <w:t>Build a dataset lineage register: controlling tracker tab, approved runtime extract, transformation, checksum, consumer and synthetic-data notice.</w:t>
      </w:r>
    </w:p>
    <w:p>
      <w:pPr>
        <w:spacing w:after="80" w:line="280" w:lineRule="auto"/>
        <w:numPr>
          <w:ilvl w:val="0"/>
          <w:numId w:val="900"/>
        </w:numPr>
      </w:pPr>
      <w:r>
        <w:t>Standardise baseline sensor fields: temperature_c, pressure_bar, vibration_mm_s, flow_rate_kg_s, rotation_rpm and health_score where applicable.</w:t>
      </w:r>
    </w:p>
    <w:p>
      <w:pPr>
        <w:spacing w:after="80" w:line="280" w:lineRule="auto"/>
        <w:numPr>
          <w:ilvl w:val="0"/>
          <w:numId w:val="900"/>
        </w:numPr>
      </w:pPr>
      <w:r>
        <w:t>Replace uncoordinated legacy-key dependencies with an explicit adapter or migration plan; keep temporary adapters labelled and tested.</w:t>
      </w:r>
    </w:p>
    <w:p>
      <w:pPr>
        <w:spacing w:after="80" w:line="280" w:lineRule="auto"/>
        <w:numPr>
          <w:ilvl w:val="0"/>
          <w:numId w:val="900"/>
        </w:numPr>
      </w:pPr>
      <w:r>
        <w:t>Select one What-If API contract for UI clients and add regression tests for the WP-07 zero-day and 45-day scenario.</w:t>
      </w:r>
    </w:p>
    <w:p>
      <w:pPr>
        <w:spacing w:after="80" w:line="280" w:lineRule="auto"/>
        <w:numPr>
          <w:ilvl w:val="0"/>
          <w:numId w:val="900"/>
        </w:numPr>
      </w:pPr>
      <w:r>
        <w:t>Define shared demo constants and data policies only where approved by Step 0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GATE 1 EVIDENCE</w:t>
            </w:r>
          </w:p>
          <w:p>
            <w:pPr>
              <w:spacing w:after="0"/>
            </w:pPr>
            <w:r>
              <w:t>Automated contract tests, dataset-lineage table, confirmed source path for each runtime consumer, and a signed-off API payload example for Unity and Three.js.</w:t>
            </w:r>
          </w:p>
        </w:tc>
      </w:tr>
    </w:tbl>
    <w:p/>
    <w:p>
      <w:pPr>
        <w:pStyle w:val="Heading2"/>
      </w:pPr>
      <w:r>
        <w:t>Step 2: Unity Primary Experience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00"/>
        <w:gridCol w:w="4260"/>
      </w:tblGrid>
      <w:tr>
        <w:trPr>
          <w:tblHeader w:val="true"/>
        </w:trP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Required activity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Acceptance proof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Open and validate the Unity URP project and primary plant scene.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Recorded scene run and console result.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Verify 50 asset objects, correct asset identifiers and WP-07 selection.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Count/mapping check plus screenshot or test log.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Verify sensor streaming and green/amber/red colour updates.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Timestamped update/latency record below one second target.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Verify HUD values, synthetic disclaimer and trend display.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Play-mode screenshots and field check.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Repair and verify What-If slider with cost overlay.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Visible 0-day 34% and 45-day 68% / USD 122,400; response timing below two seconds.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Integrate schedule timeline once Step 4 is accepted.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Unity schedule panel demonstration.</w:t>
            </w:r>
          </w:p>
        </w:tc>
      </w:tr>
    </w:tbl>
    <w:p/>
    <w:p>
      <w:pPr>
        <w:pStyle w:val="Heading2"/>
      </w:pPr>
      <w:r>
        <w:t>Step 3: Failure Predictor And Monte Carlo Validation</w:t>
      </w:r>
    </w:p>
    <w:p>
      <w:r>
        <w:t>This work must use the Step 0 approved model specification and data interpretation. The current local model is an implementation asset only; it is not baseline acceptance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4840"/>
        <w:gridCol w:w="287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Track</w:t>
            </w:r>
          </w:p>
        </w:tc>
        <w:tc>
          <w:tcPr>
            <w:tcW w:type="dxa" w:w="4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Actions</w:t>
            </w:r>
          </w:p>
        </w:tc>
        <w:tc>
          <w:tcPr>
            <w:tcW w:type="dxa" w:w="2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Gate evidence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LSTM</w:t>
            </w:r>
          </w:p>
        </w:tc>
        <w:tc>
          <w:tcPr>
            <w:tcW w:type="dxa" w:w="4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Train or validate the approved sequence/features, time-based split, class handling, calibration and inference packaging.</w:t>
            </w:r>
          </w:p>
        </w:tc>
        <w:tc>
          <w:tcPr>
            <w:tcW w:type="dxa" w:w="2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AUC-ROC above 0.82; calibration result; feature/config manifest; SavedModel and ONNX or approved equivalent.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Monte Carlo fitting</w:t>
            </w:r>
          </w:p>
        </w:tc>
        <w:tc>
          <w:tcPr>
            <w:tcW w:type="dxa" w:w="4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Fit Weibull parameters from approved Failure_History grouping and include approved sensor/maintenance covariates.</w:t>
            </w:r>
          </w:p>
        </w:tc>
        <w:tc>
          <w:tcPr>
            <w:tcW w:type="dxa" w:w="2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Fitted-parameter report linked to data lineage and code version.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Monte Carlo validation</w:t>
            </w:r>
          </w:p>
        </w:tc>
        <w:tc>
          <w:tcPr>
            <w:tcW w:type="dxa" w:w="4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Run 100 approved MC_Validation scenarios and measure calibration.</w:t>
            </w:r>
          </w:p>
        </w:tc>
        <w:tc>
          <w:tcPr>
            <w:tcW w:type="dxa" w:w="2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Brier score below 0.15 with reproducible run output.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Performance</w:t>
            </w:r>
          </w:p>
        </w:tc>
        <w:tc>
          <w:tcPr>
            <w:tcW w:type="dxa" w:w="4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Benchmark standard 10,000-scenario request on demo workstation.</w:t>
            </w:r>
          </w:p>
        </w:tc>
        <w:tc>
          <w:tcPr>
            <w:tcW w:type="dxa" w:w="2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Timing under five seconds with environment recorded.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Narrative reconciliation</w:t>
            </w:r>
          </w:p>
        </w:tc>
        <w:tc>
          <w:tcPr>
            <w:tcW w:type="dxa" w:w="4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Determine how the validated engine and official 34% to 68% story coexist.</w:t>
            </w:r>
          </w:p>
        </w:tc>
        <w:tc>
          <w:tcPr>
            <w:tcW w:type="dxa" w:w="2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Approved decision: calibrated scenario, model-calibrated output, or baseline revision.</w:t>
            </w:r>
          </w:p>
        </w:tc>
      </w:tr>
    </w:tbl>
    <w:p/>
    <w:p>
      <w:pPr>
        <w:pStyle w:val="Heading2"/>
      </w:pPr>
      <w:r>
        <w:t>Step 4: Scheduler And Work Orders</w:t>
      </w:r>
    </w:p>
    <w:p>
      <w:pPr>
        <w:spacing w:after="80" w:line="280" w:lineRule="auto"/>
        <w:numPr>
          <w:ilvl w:val="0"/>
          <w:numId w:val="900"/>
        </w:numPr>
      </w:pPr>
      <w:r>
        <w:t>Feed approved risk outputs, approved asset costs and approved inspection cost into the maintenance scheduler.</w:t>
      </w:r>
    </w:p>
    <w:p>
      <w:pPr>
        <w:spacing w:after="80" w:line="280" w:lineRule="auto"/>
        <w:numPr>
          <w:ilvl w:val="0"/>
          <w:numId w:val="900"/>
        </w:numPr>
      </w:pPr>
      <w:r>
        <w:t>Implement or verify crew availability, maintenance interval and equipment-interdependency constraints required by the source documents.</w:t>
      </w:r>
    </w:p>
    <w:p>
      <w:pPr>
        <w:spacing w:after="80" w:line="280" w:lineRule="auto"/>
        <w:numPr>
          <w:ilvl w:val="0"/>
          <w:numId w:val="900"/>
        </w:numPr>
      </w:pPr>
      <w:r>
        <w:t>Generate the 90-day schedule and demonstrate the intended three newly high-risk assets rather than an all-critical output.</w:t>
      </w:r>
    </w:p>
    <w:p>
      <w:pPr>
        <w:spacing w:after="80" w:line="280" w:lineRule="auto"/>
        <w:numPr>
          <w:ilvl w:val="0"/>
          <w:numId w:val="900"/>
        </w:numPr>
      </w:pPr>
      <w:r>
        <w:t>Create a top-five work-order payload in mock Maximo mode while IBM integration is paused; preserve a tested boundary for eventual live Maximo execution.</w:t>
      </w:r>
    </w:p>
    <w:p>
      <w:pPr>
        <w:spacing w:after="80" w:line="280" w:lineRule="auto"/>
        <w:numPr>
          <w:ilvl w:val="0"/>
          <w:numId w:val="900"/>
        </w:numPr>
      </w:pPr>
      <w:r>
        <w:t>Expose the approved schedule in Unity and, after completion, in the browser viewer.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GATE 4 EVIDENCE</w:t>
            </w:r>
          </w:p>
          <w:p>
            <w:pPr>
              <w:spacing w:after="0"/>
            </w:pPr>
            <w:r>
              <w:t>Deterministic scheduler test fixture, schedule output, top-five work-order payload, Unity display proof and confirmation that the documented scenario is reproduced.</w:t>
            </w:r>
          </w:p>
        </w:tc>
      </w:tr>
    </w:tbl>
    <w:p/>
    <w:p>
      <w:pPr>
        <w:pStyle w:val="Heading2"/>
      </w:pPr>
      <w:r>
        <w:t>Step 5: Three.js Viewer And Anomaly AI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890"/>
        <w:gridCol w:w="267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Capability</w:t>
            </w:r>
          </w:p>
        </w:tc>
        <w:tc>
          <w:tcPr>
            <w:tcW w:type="dxa" w:w="48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MVP implementation requirement</w:t>
            </w:r>
          </w:p>
        </w:tc>
        <w:tc>
          <w:tcPr>
            <w:tcW w:type="dxa" w:w="2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Three.js viewer</w:t>
            </w:r>
          </w:p>
        </w:tc>
        <w:tc>
          <w:tcPr>
            <w:tcW w:type="dxa" w:w="48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Browser-accessible 3D viewer with navigation, 50 assets, live/synthetic sensor state colour coding and baseline disclaimers.</w:t>
            </w:r>
          </w:p>
        </w:tc>
        <w:tc>
          <w:tcPr>
            <w:tcW w:type="dxa" w:w="2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Browser demo recording/screenshots, latency check and deployment artifact.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CNN Anomaly AI</w:t>
            </w:r>
          </w:p>
        </w:tc>
        <w:tc>
          <w:tcPr>
            <w:tcW w:type="dxa" w:w="48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ResNet-18 style visual classifier using synthetic Unity screenshots with greater than 80% validation accuracy.</w:t>
            </w:r>
          </w:p>
        </w:tc>
        <w:tc>
          <w:tcPr>
            <w:tcW w:type="dxa" w:w="2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Training/config manifest, validation metric and UI alert proof.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Permitted fallback</w:t>
            </w:r>
          </w:p>
        </w:tc>
        <w:tc>
          <w:tcPr>
            <w:tcW w:type="dxa" w:w="48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If CNN is not delivered in MVP, rule-based red-state-duration detector clearly labelled as fallback.</w:t>
            </w:r>
          </w:p>
        </w:tc>
        <w:tc>
          <w:tcPr>
            <w:tcW w:type="dxa" w:w="2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Approved fallback decision and visible Unity/browser alert proof.</w:t>
            </w:r>
          </w:p>
        </w:tc>
      </w:tr>
    </w:tbl>
    <w:p/>
    <w:p>
      <w:pPr>
        <w:pStyle w:val="Heading2"/>
      </w:pPr>
      <w:r>
        <w:t>Step 6: IBM Integration Reactivation</w:t>
      </w:r>
    </w:p>
    <w:p>
      <w:r>
        <w:t>This step is conditional. It remains in the target architecture but is not to be executed while the approved IBM hold remains active.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Platform element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Verification when reactivated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Maximo MAS 9.1 APM / Monitor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Load approved 50 assets, configure channels and verify work-order creation.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Watson Studio / Watson ML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Train/deploy approved models or verify model deployment route and metadata.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Watson IoT / Event Streams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Verify sensor ingestion, Kafka processing and state delivery to visual clients.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OpenShift / API Connect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9"/>
              </w:rPr>
              <w:t>Deploy API/viewer services and capture externally accessible endpoint evidence.</w:t>
            </w:r>
          </w:p>
        </w:tc>
      </w:tr>
    </w:tbl>
    <w:p/>
    <w:p>
      <w:pPr>
        <w:pStyle w:val="Heading2"/>
      </w:pPr>
      <w:r>
        <w:t>Step 7: Acceptance And Demonstration Handover</w:t>
      </w:r>
    </w:p>
    <w:p>
      <w:r>
        <w:t>The project manager should receive one acceptance pack before any client-facing positioning:</w:t>
      </w:r>
    </w:p>
    <w:p>
      <w:pPr>
        <w:spacing w:after="80" w:line="280" w:lineRule="auto"/>
        <w:numPr>
          <w:ilvl w:val="0"/>
          <w:numId w:val="900"/>
        </w:numPr>
      </w:pPr>
      <w:r>
        <w:t>Completed acceptance matrix against every requirement and target in the three governing documents.</w:t>
      </w:r>
    </w:p>
    <w:p>
      <w:pPr>
        <w:spacing w:after="80" w:line="280" w:lineRule="auto"/>
        <w:numPr>
          <w:ilvl w:val="0"/>
          <w:numId w:val="900"/>
        </w:numPr>
      </w:pPr>
      <w:r>
        <w:t>Recorded WP-07 demonstration flow: selection, 34% state, 45-day change to 68%, USD 122,400 expected cost, and recommendation.</w:t>
      </w:r>
    </w:p>
    <w:p>
      <w:pPr>
        <w:spacing w:after="80" w:line="280" w:lineRule="auto"/>
        <w:numPr>
          <w:ilvl w:val="0"/>
          <w:numId w:val="900"/>
        </w:numPr>
      </w:pPr>
      <w:r>
        <w:t>Scheduler scenario evidence with 90-day view and top-five work-order output.</w:t>
      </w:r>
    </w:p>
    <w:p>
      <w:pPr>
        <w:spacing w:after="80" w:line="280" w:lineRule="auto"/>
        <w:numPr>
          <w:ilvl w:val="0"/>
          <w:numId w:val="900"/>
        </w:numPr>
      </w:pPr>
      <w:r>
        <w:t>Synthetic-data disclaimer visible in all client-visible experiences and presentation materials.</w:t>
      </w:r>
    </w:p>
    <w:p>
      <w:pPr>
        <w:spacing w:after="80" w:line="280" w:lineRule="auto"/>
        <w:numPr>
          <w:ilvl w:val="0"/>
          <w:numId w:val="900"/>
        </w:numPr>
      </w:pPr>
      <w:r>
        <w:t>Decision register showing every approved interpretation, fallback or remaining limitation.</w:t>
      </w:r>
    </w:p>
    <w:p>
      <w:pPr>
        <w:spacing w:after="80" w:line="280" w:lineRule="auto"/>
        <w:numPr>
          <w:ilvl w:val="0"/>
          <w:numId w:val="900"/>
        </w:numPr>
      </w:pPr>
      <w:r>
        <w:t>Conditional production deployment proposal covering IBM integration and live SCADA migration only after approval.</w:t>
      </w:r>
    </w:p>
    <w:p>
      <w:pPr>
        <w:pStyle w:val="Heading1"/>
      </w:pPr>
      <w:r>
        <w:t>5. Parallel Work Rules</w:t>
      </w:r>
    </w:p>
    <w:p>
      <w:r>
        <w:t>Parallel work is permitted only where it cannot force unresolved product decisions. The following lanes may be assigned to local IDE agents or team members after their dependencies are met: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2000"/>
        <w:gridCol w:w="3160"/>
        <w:gridCol w:w="2650"/>
      </w:tblGrid>
      <w:tr>
        <w:trPr>
          <w:tblHeader w:val="true"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Lane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Can start after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Permitted work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Must not do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Contract recovery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Step 0 cost/API decisions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Unity API payload fix and contract tests.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Change official demo figures.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Data alignment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Step 0 data decisions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Lineage, loaders and schema adapter tests.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Invent a corrected dataset without approval.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ML validation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LSTM specification selected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Reproducible training/evaluation/export.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Present unapproved hybrid model as baseline.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Unity QA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Canonical API available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Play-mode validation and visual evidence.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Count React UI as Unity acceptance.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Three.js delivery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Sensor/API contract stable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Browser twin implementation.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Substitute React cards for 3D viewer.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Scheduler recovery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Risk/cost policies approved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Deterministic scheduling and WO tests.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7"/>
              </w:rPr>
              <w:t>Tune narrative outputs without documented basis.</w:t>
            </w:r>
          </w:p>
        </w:tc>
      </w:tr>
    </w:tbl>
    <w:p/>
    <w:p>
      <w:pPr>
        <w:pStyle w:val="Heading1"/>
      </w:pPr>
      <w:r>
        <w:t>6. Scope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REQUIRED NOW</w:t>
            </w:r>
          </w:p>
          <w:p>
            <w:pPr>
              <w:spacing w:after="0"/>
            </w:pPr>
            <w:r>
              <w:t>The five baseline agents, Unity experience, Three.js viewer, 50-asset synthetic GDC Kenya data path, WP-07 decision scenario, scheduler/work orders, acceptance evidence and retained IBM integration boundary.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SUPPORTING ONLY UNLESS APPROVED OTHERWISE</w:t>
            </w:r>
          </w:p>
          <w:p>
            <w:pPr>
              <w:spacing w:after="0"/>
            </w:pPr>
            <w:r>
              <w:t>React integration dashboard, Redis and TimescaleDB choices, extended natural-language experiences, additional reporting panels and local mock tooling. These may help delivery but do not replace baseline acceptance.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E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7A5A00"/>
                <w:sz w:val="20"/>
              </w:rPr>
              <w:t>POST-MVP OR APPROVAL-DEPENDENT</w:t>
            </w:r>
          </w:p>
          <w:p>
            <w:pPr>
              <w:spacing w:after="0"/>
            </w:pPr>
            <w:r>
              <w:t>Live GDC operational data, expansion to all 180 wells, HoloLens linkage, OTShield integration, production commercial rollout and active IBM deployment while the platform hold remains in force.</w:t>
            </w:r>
          </w:p>
        </w:tc>
      </w:tr>
    </w:tbl>
    <w:p/>
    <w:p>
      <w:pPr>
        <w:pStyle w:val="Heading1"/>
      </w:pPr>
      <w:r>
        <w:t>7. Governance Cadence And Reporting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0"/>
        <w:gridCol w:w="2000"/>
        <w:gridCol w:w="5180"/>
      </w:tblGrid>
      <w:tr>
        <w:trPr>
          <w:tblHeader w:val="true"/>
        </w:trP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Frequency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Required record</w:t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Decision review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Before any baseline-sensitive implementation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Decision Log entry approved by project owner.</w:t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Implementation checkpoint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At completion of each gate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Implementation Checklist status with dated evidence.</w:t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Metric verification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At model/simulation or UI acceptance runs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Reproducible output, environment and data version.</w:t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Demo readiness review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Before stakeholder demonstration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Acceptance pack and known-limitations sign-off.</w:t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Scope change control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Whenever a new feature or changed narrative is proposed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8"/>
              </w:rPr>
              <w:t>Classification as baseline implementation, supporting implementation, proposed extension or baseline revision.</w:t>
            </w:r>
          </w:p>
        </w:tc>
      </w:tr>
    </w:tbl>
    <w:p/>
    <w:p>
      <w:pPr>
        <w:pStyle w:val="Heading1"/>
      </w:pPr>
      <w:r>
        <w:t>8. Immediate Next Actions</w:t>
      </w:r>
    </w:p>
    <w:p>
      <w:pPr>
        <w:spacing w:after="80" w:line="280" w:lineRule="auto"/>
        <w:numPr>
          <w:ilvl w:val="0"/>
          <w:numId w:val="900"/>
        </w:numPr>
      </w:pPr>
      <w:r>
        <w:t>Obtain project-manager confirmation of the three governing files and the five open decisions in Step 0.</w:t>
      </w:r>
    </w:p>
    <w:p>
      <w:pPr>
        <w:spacing w:after="80" w:line="280" w:lineRule="auto"/>
        <w:numPr>
          <w:ilvl w:val="0"/>
          <w:numId w:val="900"/>
        </w:numPr>
      </w:pPr>
      <w:r>
        <w:t>Repair and test the Unity What-If API contract while preserving the approved numerical scenario.</w:t>
      </w:r>
    </w:p>
    <w:p>
      <w:pPr>
        <w:spacing w:after="80" w:line="280" w:lineRule="auto"/>
        <w:numPr>
          <w:ilvl w:val="0"/>
          <w:numId w:val="900"/>
        </w:numPr>
      </w:pPr>
      <w:r>
        <w:t>Create and approve the dataset/cost lineage map before changing scheduler or model outputs.</w:t>
      </w:r>
    </w:p>
    <w:p>
      <w:pPr>
        <w:spacing w:after="80" w:line="280" w:lineRule="auto"/>
        <w:numPr>
          <w:ilvl w:val="0"/>
          <w:numId w:val="900"/>
        </w:numPr>
      </w:pPr>
      <w:r>
        <w:t>Choose the approved LSTM specification and create a reproducible validation work item.</w:t>
      </w:r>
    </w:p>
    <w:p>
      <w:pPr>
        <w:spacing w:after="80" w:line="280" w:lineRule="auto"/>
        <w:numPr>
          <w:ilvl w:val="0"/>
          <w:numId w:val="900"/>
        </w:numPr>
      </w:pPr>
      <w:r>
        <w:t>Once Steps 0 and 1 pass, run Unity play-mode acceptance for Scenario 1 and Scenario 2, then recover the scheduler for Scenario 3.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PLAN SUCCESS CONDITION</w:t>
            </w:r>
          </w:p>
          <w:p>
            <w:pPr>
              <w:spacing w:after="0"/>
            </w:pPr>
            <w:r>
              <w:t>OTDT work should move from code-presence claims to evidence-backed gate completion. The product is complete only when the required documentary narrative is demonstrable through the approved implementation path and all exceptions are recorded.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55555"/>
        <w:sz w:val="18"/>
      </w:rPr>
      <w:t xml:space="preserve">Internal project management | 27 May 2026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rFonts w:ascii="Calibri" w:hAnsi="Calibri"/>
        <w:b/>
        <w:color w:val="555555"/>
        <w:sz w:val="18"/>
      </w:rPr>
      <w:t>OT DIGITAL TWIN | Controlled Delivery Workplan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">
    <w:lvl w:ilvl="0">
      <w:start w:val="1"/>
      <w:numFmt w:val="decimal"/>
      <w:lvlText w:val="%1."/>
      <w:pPr>
        <w:ind w:left="720" w:hanging="360"/>
      </w:pPr>
    </w:lvl>
  </w:abstractNum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