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color w:val="2E74B5"/>
          <w:sz w:val="20"/>
        </w:rPr>
        <w:t>PROJECT MANAGEMENT BRIEF</w:t>
      </w:r>
    </w:p>
    <w:p>
      <w:pPr>
        <w:keepNext/>
        <w:spacing w:after="80"/>
      </w:pPr>
      <w:r>
        <w:rPr>
          <w:rFonts w:ascii="Calibri" w:hAnsi="Calibri"/>
          <w:b/>
          <w:color w:val="0B2545"/>
          <w:sz w:val="48"/>
        </w:rPr>
        <w:t>CURRENT STATE ASSESSMENT</w:t>
      </w:r>
    </w:p>
    <w:p>
      <w:pPr>
        <w:spacing w:after="280"/>
      </w:pPr>
      <w:r>
        <w:rPr>
          <w:rFonts w:ascii="Calibri" w:hAnsi="Calibri"/>
          <w:color w:val="555555"/>
          <w:sz w:val="26"/>
        </w:rPr>
        <w:t>OT Digital Twin (OTDT) | Baseline-aligned review for project management</w:t>
      </w:r>
    </w:p>
    <w:tbl>
      <w:tblPr>
        <w:tblW w:type="dxa" w:w="9360"/>
        <w:jc w:val="left"/>
        <w:tblLayout w:type="fixed"/>
        <w:tblLook w:firstColumn="1" w:firstRow="1" w:lastColumn="0" w:lastRow="0" w:noHBand="0" w:noVBand="1" w:val="04A0"/>
        <w:tblInd w:type="dxa" w:w="120"/>
      </w:tblPr>
      <w:tblGrid>
        <w:gridCol w:w="1800"/>
        <w:gridCol w:w="7560"/>
      </w:tblGrid>
      <w:tr>
        <w:tc>
          <w:tcPr>
            <w:tcW w:type="dxa" w:w="1800"/>
            <w:tcMar>
              <w:top w:w="80" w:type="dxa"/>
              <w:bottom w:w="80" w:type="dxa"/>
              <w:start w:w="120" w:type="dxa"/>
              <w:end w:w="120" w:type="dxa"/>
            </w:tcMar>
            <w:vAlign w:val="center"/>
            <w:shd w:fill="E8EEF5"/>
          </w:tcPr>
          <w:p>
            <w:r>
              <w:rPr>
                <w:rFonts w:ascii="Calibri" w:hAnsi="Calibri"/>
                <w:b/>
                <w:color w:val="1F4D78"/>
                <w:sz w:val="21"/>
              </w:rPr>
              <w:t>Report date</w:t>
            </w:r>
          </w:p>
        </w:tc>
        <w:tc>
          <w:tcPr>
            <w:tcW w:type="dxa" w:w="7560"/>
            <w:tcMar>
              <w:top w:w="80" w:type="dxa"/>
              <w:bottom w:w="80" w:type="dxa"/>
              <w:start w:w="120" w:type="dxa"/>
              <w:end w:w="120" w:type="dxa"/>
            </w:tcMar>
            <w:vAlign w:val="center"/>
            <w:shd w:fill="E8EEF5"/>
          </w:tcPr>
          <w:p>
            <w:r>
              <w:rPr>
                <w:rFonts w:ascii="Calibri" w:hAnsi="Calibri"/>
                <w:sz w:val="21"/>
              </w:rPr>
              <w:t>27 May 2026 (East Africa Time)</w:t>
            </w:r>
          </w:p>
        </w:tc>
      </w:tr>
      <w:tr>
        <w:tc>
          <w:tcPr>
            <w:tcW w:type="dxa" w:w="1800"/>
            <w:tcMar>
              <w:top w:w="80" w:type="dxa"/>
              <w:bottom w:w="80" w:type="dxa"/>
              <w:start w:w="120" w:type="dxa"/>
              <w:end w:w="120" w:type="dxa"/>
            </w:tcMar>
            <w:vAlign w:val="center"/>
          </w:tcPr>
          <w:p>
            <w:r>
              <w:rPr>
                <w:rFonts w:ascii="Calibri" w:hAnsi="Calibri"/>
                <w:b/>
                <w:color w:val="1F4D78"/>
                <w:sz w:val="21"/>
              </w:rPr>
              <w:t>Prepared for</w:t>
            </w:r>
          </w:p>
        </w:tc>
        <w:tc>
          <w:tcPr>
            <w:tcW w:type="dxa" w:w="7560"/>
            <w:tcMar>
              <w:top w:w="80" w:type="dxa"/>
              <w:bottom w:w="80" w:type="dxa"/>
              <w:start w:w="120" w:type="dxa"/>
              <w:end w:w="120" w:type="dxa"/>
            </w:tcMar>
            <w:vAlign w:val="center"/>
          </w:tcPr>
          <w:p>
            <w:r>
              <w:rPr>
                <w:rFonts w:ascii="Calibri" w:hAnsi="Calibri"/>
                <w:sz w:val="21"/>
              </w:rPr>
              <w:t>OTDT Project Manager and Delivery Team</w:t>
            </w:r>
          </w:p>
        </w:tc>
      </w:tr>
      <w:tr>
        <w:tc>
          <w:tcPr>
            <w:tcW w:type="dxa" w:w="1800"/>
            <w:tcMar>
              <w:top w:w="80" w:type="dxa"/>
              <w:bottom w:w="80" w:type="dxa"/>
              <w:start w:w="120" w:type="dxa"/>
              <w:end w:w="120" w:type="dxa"/>
            </w:tcMar>
            <w:vAlign w:val="center"/>
          </w:tcPr>
          <w:p>
            <w:r>
              <w:rPr>
                <w:rFonts w:ascii="Calibri" w:hAnsi="Calibri"/>
                <w:b/>
                <w:color w:val="1F4D78"/>
                <w:sz w:val="21"/>
              </w:rPr>
              <w:t>Project</w:t>
            </w:r>
          </w:p>
        </w:tc>
        <w:tc>
          <w:tcPr>
            <w:tcW w:type="dxa" w:w="7560"/>
            <w:tcMar>
              <w:top w:w="80" w:type="dxa"/>
              <w:bottom w:w="80" w:type="dxa"/>
              <w:start w:w="120" w:type="dxa"/>
              <w:end w:w="120" w:type="dxa"/>
            </w:tcMar>
            <w:vAlign w:val="center"/>
          </w:tcPr>
          <w:p>
            <w:r>
              <w:rPr>
                <w:rFonts w:ascii="Calibri" w:hAnsi="Calibri"/>
                <w:sz w:val="21"/>
              </w:rPr>
              <w:t>GDC Kenya Geothermal Digital Twin MVP</w:t>
            </w:r>
          </w:p>
        </w:tc>
      </w:tr>
      <w:tr>
        <w:tc>
          <w:tcPr>
            <w:tcW w:type="dxa" w:w="1800"/>
            <w:tcMar>
              <w:top w:w="80" w:type="dxa"/>
              <w:bottom w:w="80" w:type="dxa"/>
              <w:start w:w="120" w:type="dxa"/>
              <w:end w:w="120" w:type="dxa"/>
            </w:tcMar>
            <w:vAlign w:val="center"/>
          </w:tcPr>
          <w:p>
            <w:r>
              <w:rPr>
                <w:rFonts w:ascii="Calibri" w:hAnsi="Calibri"/>
                <w:b/>
                <w:color w:val="1F4D78"/>
                <w:sz w:val="21"/>
              </w:rPr>
              <w:t>Status</w:t>
            </w:r>
          </w:p>
        </w:tc>
        <w:tc>
          <w:tcPr>
            <w:tcW w:type="dxa" w:w="7560"/>
            <w:tcMar>
              <w:top w:w="80" w:type="dxa"/>
              <w:bottom w:w="80" w:type="dxa"/>
              <w:start w:w="120" w:type="dxa"/>
              <w:end w:w="120" w:type="dxa"/>
            </w:tcMar>
            <w:vAlign w:val="center"/>
          </w:tcPr>
          <w:p>
            <w:r>
              <w:rPr>
                <w:rFonts w:ascii="Calibri" w:hAnsi="Calibri"/>
                <w:sz w:val="21"/>
              </w:rPr>
              <w:t>Not yet MVP acceptance-ready; controlled recovery required</w:t>
            </w:r>
          </w:p>
        </w:tc>
      </w:tr>
      <w:tr>
        <w:tc>
          <w:tcPr>
            <w:tcW w:type="dxa" w:w="1800"/>
            <w:tcMar>
              <w:top w:w="80" w:type="dxa"/>
              <w:bottom w:w="80" w:type="dxa"/>
              <w:start w:w="120" w:type="dxa"/>
              <w:end w:w="120" w:type="dxa"/>
            </w:tcMar>
            <w:vAlign w:val="center"/>
          </w:tcPr>
          <w:p>
            <w:r>
              <w:rPr>
                <w:rFonts w:ascii="Calibri" w:hAnsi="Calibri"/>
                <w:b/>
                <w:color w:val="1F4D78"/>
                <w:sz w:val="21"/>
              </w:rPr>
              <w:t>Classification</w:t>
            </w:r>
          </w:p>
        </w:tc>
        <w:tc>
          <w:tcPr>
            <w:tcW w:type="dxa" w:w="7560"/>
            <w:tcMar>
              <w:top w:w="80" w:type="dxa"/>
              <w:bottom w:w="80" w:type="dxa"/>
              <w:start w:w="120" w:type="dxa"/>
              <w:end w:w="120" w:type="dxa"/>
            </w:tcMar>
            <w:vAlign w:val="center"/>
          </w:tcPr>
          <w:p>
            <w:r>
              <w:rPr>
                <w:rFonts w:ascii="Calibri" w:hAnsi="Calibri"/>
                <w:sz w:val="21"/>
              </w:rPr>
              <w:t>Derivative status report; not a change to product baseline</w:t>
            </w:r>
          </w:p>
        </w:tc>
      </w:tr>
    </w:tbl>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bottom w:w="80" w:type="dxa"/>
              <w:start w:w="120" w:type="dxa"/>
              <w:end w:w="120" w:type="dxa"/>
            </w:tcMar>
            <w:vAlign w:val="center"/>
            <w:shd w:fill="E8EEF5"/>
          </w:tcPr>
          <w:p>
            <w:pPr>
              <w:spacing w:after="60"/>
            </w:pPr>
            <w:r/>
            <w:r>
              <w:rPr>
                <w:rFonts w:ascii="Calibri" w:hAnsi="Calibri"/>
                <w:b/>
                <w:color w:val="0B2545"/>
                <w:sz w:val="20"/>
              </w:rPr>
              <w:t>MANAGEMENT CONCLUSION</w:t>
            </w:r>
          </w:p>
          <w:p>
            <w:pPr>
              <w:spacing w:after="0"/>
            </w:pPr>
            <w:r>
              <w:t>OTDT has a real implementation foundation: API services, a Unity scene, a React support dashboard, model and scheduler assets, and a preserved WP-07 demo calculation. It is not yet the documented MVP end to end. Critical baseline paths are disconnected or inconsistent, especially Unity What-If, authoritative runtime data, LSTM inference, scheduler outputs, and the required Three.js browser viewer.</w:t>
            </w:r>
          </w:p>
        </w:tc>
      </w:tr>
    </w:tbl>
    <w:p/>
    <w:p>
      <w:pPr>
        <w:pStyle w:val="Heading1"/>
      </w:pPr>
      <w:r>
        <w:t>1. Authority And Assessment Basis</w:t>
      </w:r>
    </w:p>
    <w:p>
      <w:r>
        <w:t>This assessment uses the three root documents supplied by the project owner as the governing definition of OTDT:</w:t>
      </w:r>
    </w:p>
    <w:p>
      <w:pPr>
        <w:spacing w:after="80" w:line="280" w:lineRule="auto"/>
        <w:numPr>
          <w:ilvl w:val="0"/>
          <w:numId w:val="900"/>
        </w:numPr>
      </w:pPr>
      <w:r>
        <w:t>OT_Digital_Twin_Build_Guide.docx</w:t>
      </w:r>
    </w:p>
    <w:p>
      <w:pPr>
        <w:spacing w:after="80" w:line="280" w:lineRule="auto"/>
        <w:numPr>
          <w:ilvl w:val="0"/>
          <w:numId w:val="900"/>
        </w:numPr>
      </w:pPr>
      <w:r>
        <w:t>OT_Digital_Twin_Build_Deck.pptx</w:t>
      </w:r>
    </w:p>
    <w:p>
      <w:pPr>
        <w:spacing w:after="80" w:line="280" w:lineRule="auto"/>
        <w:numPr>
          <w:ilvl w:val="0"/>
          <w:numId w:val="900"/>
        </w:numPr>
      </w:pPr>
      <w:r>
        <w:t>OT_Digital_Twin_MVP_Tracker.xlsx</w:t>
      </w:r>
    </w:p>
    <w:p>
      <w:r>
        <w:t>Supporting evidence was reviewed from the repository baseline register, decision log, implementation checklist, source code, Unity scene/scripts, model artifacts, runtime datasets, and local no-write execution checks. Existing historical or generated documents do not override the three governing documents.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bottom w:w="80" w:type="dxa"/>
              <w:start w:w="120" w:type="dxa"/>
              <w:end w:w="120" w:type="dxa"/>
            </w:tcMar>
            <w:vAlign w:val="center"/>
            <w:shd w:fill="FFF4E5"/>
          </w:tcPr>
          <w:p>
            <w:pPr>
              <w:spacing w:after="60"/>
            </w:pPr>
            <w:r/>
            <w:r>
              <w:rPr>
                <w:rFonts w:ascii="Calibri" w:hAnsi="Calibri"/>
                <w:b/>
                <w:color w:val="7A5A00"/>
                <w:sz w:val="20"/>
              </w:rPr>
              <w:t>IMPORTANT GOVERNANCE ACTION</w:t>
            </w:r>
          </w:p>
          <w:p>
            <w:pPr>
              <w:spacing w:after="0"/>
            </w:pPr>
            <w:r>
              <w:t>The repository governance material currently names a PDF as one of the three original authorities, while the project owner has now supplied and designated the root PowerPoint deck as one of the three main documents. The authority register should be formally updated after project-manager confirmation.</w:t>
            </w:r>
          </w:p>
        </w:tc>
      </w:tr>
    </w:tbl>
    <w:p/>
    <w:p>
      <w:pPr>
        <w:pStyle w:val="Heading1"/>
      </w:pPr>
      <w:r>
        <w:t>2. Baseline Product OTDT Must Deliver</w:t>
      </w:r>
    </w:p>
    <w:tbl>
      <w:tblPr>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tcMar>
              <w:top w:w="80" w:type="dxa"/>
              <w:bottom w:w="80" w:type="dxa"/>
              <w:start w:w="120" w:type="dxa"/>
              <w:end w:w="120" w:type="dxa"/>
            </w:tcMar>
            <w:vAlign w:val="center"/>
            <w:shd w:fill="F2F4F7"/>
          </w:tcPr>
          <w:p>
            <w:pPr>
              <w:spacing w:after="40" w:line="259" w:lineRule="auto"/>
            </w:pPr>
            <w:r>
              <w:rPr>
                <w:rFonts w:ascii="Calibri" w:hAnsi="Calibri"/>
                <w:b/>
                <w:color w:val="1F4D78"/>
                <w:sz w:val="19"/>
              </w:rPr>
              <w:t>Baseline area</w:t>
            </w:r>
          </w:p>
        </w:tc>
        <w:tc>
          <w:tcPr>
            <w:tcW w:type="dxa" w:w="7260"/>
            <w:tcMar>
              <w:top w:w="80" w:type="dxa"/>
              <w:bottom w:w="80" w:type="dxa"/>
              <w:start w:w="120" w:type="dxa"/>
              <w:end w:w="120" w:type="dxa"/>
            </w:tcMar>
            <w:vAlign w:val="center"/>
            <w:shd w:fill="F2F4F7"/>
          </w:tcPr>
          <w:p>
            <w:pPr>
              <w:spacing w:after="40" w:line="259" w:lineRule="auto"/>
            </w:pPr>
            <w:r>
              <w:rPr>
                <w:rFonts w:ascii="Calibri" w:hAnsi="Calibri"/>
                <w:b/>
                <w:color w:val="1F4D78"/>
                <w:sz w:val="19"/>
              </w:rPr>
              <w:t>Required outcome</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Client and use case</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GDC Kenya geothermal predictive-maintenance demonstration using synthetic MVP data.</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Asset population</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50 modelled assets; primary demonstration asset is Well Pump GDC-WP-007.</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Five agents</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Failure Predictor, Monte Carlo Engine, Maintenance Scheduler, Anomaly AI, and What-If Analyst.</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Primary experience</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Unity XR digital twin plus a Three.js browser viewer.</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Core demo narrative</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WP-07 moves from 34% failure probability to 68% at 45-day deferral, generating USD 122,400 expected failure cost versus USD 8,000 inspection cost.</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Schedule outcome</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90-day optimised schedule, three newly highlighted high-risk assets, and top-five Maximo work orders.</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9"/>
              </w:rPr>
              <w:t>ROI narrative</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9"/>
              </w:rPr>
              <w:t>USD 360,000 annual avoided failures against USD 48,000 platform cost, stated as 650% ROI.</w:t>
            </w:r>
          </w:p>
        </w:tc>
      </w:tr>
    </w:tbl>
    <w:p/>
    <w:p>
      <w:pPr>
        <w:pStyle w:val="Heading1"/>
      </w:pPr>
      <w:r>
        <w:t>3. Overall Current Position</w:t>
      </w:r>
    </w:p>
    <w:tbl>
      <w:tblPr>
        <w:tblW w:type="dxa" w:w="9360"/>
        <w:jc w:val="left"/>
        <w:tblLayout w:type="fixed"/>
        <w:tblLook w:firstColumn="1" w:firstRow="1" w:lastColumn="0" w:lastRow="0" w:noHBand="0" w:noVBand="1" w:val="04A0"/>
        <w:tblInd w:type="dxa" w:w="120"/>
      </w:tblPr>
      <w:tblGrid>
        <w:gridCol w:w="1700"/>
        <w:gridCol w:w="1350"/>
        <w:gridCol w:w="3300"/>
        <w:gridCol w:w="3010"/>
      </w:tblGrid>
      <w:tr>
        <w:trPr>
          <w:tblHeader w:val="true"/>
        </w:trPr>
        <w:tc>
          <w:tcPr>
            <w:tcW w:type="dxa" w:w="1700"/>
            <w:tcMar>
              <w:top w:w="80" w:type="dxa"/>
              <w:bottom w:w="80" w:type="dxa"/>
              <w:start w:w="120" w:type="dxa"/>
              <w:end w:w="120" w:type="dxa"/>
            </w:tcMar>
            <w:vAlign w:val="center"/>
            <w:shd w:fill="F2F4F7"/>
          </w:tcPr>
          <w:p>
            <w:pPr>
              <w:spacing w:after="40" w:line="259" w:lineRule="auto"/>
            </w:pPr>
            <w:r>
              <w:rPr>
                <w:rFonts w:ascii="Calibri" w:hAnsi="Calibri"/>
                <w:b/>
                <w:color w:val="1F4D78"/>
                <w:sz w:val="17"/>
              </w:rPr>
              <w:t>Area</w:t>
            </w:r>
          </w:p>
        </w:tc>
        <w:tc>
          <w:tcPr>
            <w:tcW w:type="dxa" w:w="1350"/>
            <w:tcMar>
              <w:top w:w="80" w:type="dxa"/>
              <w:bottom w:w="80" w:type="dxa"/>
              <w:start w:w="120" w:type="dxa"/>
              <w:end w:w="120" w:type="dxa"/>
            </w:tcMar>
            <w:vAlign w:val="center"/>
            <w:shd w:fill="F2F4F7"/>
          </w:tcPr>
          <w:p>
            <w:pPr>
              <w:spacing w:after="40" w:line="259" w:lineRule="auto"/>
            </w:pPr>
            <w:r>
              <w:rPr>
                <w:rFonts w:ascii="Calibri" w:hAnsi="Calibri"/>
                <w:b/>
                <w:color w:val="1F4D78"/>
                <w:sz w:val="17"/>
              </w:rPr>
              <w:t>Status</w:t>
            </w:r>
          </w:p>
        </w:tc>
        <w:tc>
          <w:tcPr>
            <w:tcW w:type="dxa" w:w="3300"/>
            <w:tcMar>
              <w:top w:w="80" w:type="dxa"/>
              <w:bottom w:w="80" w:type="dxa"/>
              <w:start w:w="120" w:type="dxa"/>
              <w:end w:w="120" w:type="dxa"/>
            </w:tcMar>
            <w:vAlign w:val="center"/>
            <w:shd w:fill="F2F4F7"/>
          </w:tcPr>
          <w:p>
            <w:pPr>
              <w:spacing w:after="40" w:line="259" w:lineRule="auto"/>
            </w:pPr>
            <w:r>
              <w:rPr>
                <w:rFonts w:ascii="Calibri" w:hAnsi="Calibri"/>
                <w:b/>
                <w:color w:val="1F4D78"/>
                <w:sz w:val="17"/>
              </w:rPr>
              <w:t>Current evidence</w:t>
            </w:r>
          </w:p>
        </w:tc>
        <w:tc>
          <w:tcPr>
            <w:tcW w:type="dxa" w:w="3010"/>
            <w:tcMar>
              <w:top w:w="80" w:type="dxa"/>
              <w:bottom w:w="80" w:type="dxa"/>
              <w:start w:w="120" w:type="dxa"/>
              <w:end w:w="120" w:type="dxa"/>
            </w:tcMar>
            <w:vAlign w:val="center"/>
            <w:shd w:fill="F2F4F7"/>
          </w:tcPr>
          <w:p>
            <w:pPr>
              <w:spacing w:after="40" w:line="259" w:lineRule="auto"/>
            </w:pPr>
            <w:r>
              <w:rPr>
                <w:rFonts w:ascii="Calibri" w:hAnsi="Calibri"/>
                <w:b/>
                <w:color w:val="1F4D78"/>
                <w:sz w:val="17"/>
              </w:rPr>
              <w:t>Management implication</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Baseline control</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PARTIAL</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Three source files are now present; repository registers exist.</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Reconcile formal authority set before approving material changes.</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Data authority</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BLOCKED</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Runtime data files differ from the governing tracker.</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No acceptance claim until runtime data policy is approved.</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API and streams</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PARTIAL</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REST and WebSocket services exist with synthetic disclaimers.</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Usable foundation, but contracts are inconsistent.</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Unity primary demo</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PARTIAL / BROKEN</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Scene and UI scripts exist; What-If request body does not match its endpoint.</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Primary documented scenario cannot be accepted yet.</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Three.js viewer</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MISSING</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Directory exists without verified viewer implementation.</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A required client-access channel remains undelivered.</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LSTM predictor</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BLOCKED</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Model exists; API tensor shape does not match the loaded model.</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Displayed WP-07 prediction is currently a synthetic fallback.</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Monte Carlo engine</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PARTIAL</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Executable and fast locally; output does not match demo calibration.</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Separate engine and showcase narratives require reconciliation.</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Scheduler and WOs</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BLOCKED</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Scheduler runs but marks all 50 assets critical.</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It does not reproduce the documented decision story.</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Anomaly AI</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PARTIAL</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Synthetic scoring API exists; CNN evidence is not verified.</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Must be labelled fallback until completed.</w:t>
            </w:r>
          </w:p>
        </w:tc>
      </w:tr>
      <w:tr>
        <w:tc>
          <w:tcPr>
            <w:tcW w:type="dxa" w:w="1700"/>
            <w:tcMar>
              <w:top w:w="80" w:type="dxa"/>
              <w:bottom w:w="80" w:type="dxa"/>
              <w:start w:w="120" w:type="dxa"/>
              <w:end w:w="120" w:type="dxa"/>
            </w:tcMar>
            <w:vAlign w:val="center"/>
          </w:tcPr>
          <w:p>
            <w:pPr>
              <w:spacing w:after="40" w:line="259" w:lineRule="auto"/>
            </w:pPr>
            <w:r>
              <w:rPr>
                <w:rFonts w:ascii="Calibri" w:hAnsi="Calibri"/>
                <w:b w:val="0"/>
                <w:sz w:val="17"/>
              </w:rPr>
              <w:t>IBM deployment</w:t>
            </w:r>
          </w:p>
        </w:tc>
        <w:tc>
          <w:tcPr>
            <w:tcW w:type="dxa" w:w="1350"/>
            <w:tcMar>
              <w:top w:w="80" w:type="dxa"/>
              <w:bottom w:w="80" w:type="dxa"/>
              <w:start w:w="120" w:type="dxa"/>
              <w:end w:w="120" w:type="dxa"/>
            </w:tcMar>
            <w:vAlign w:val="center"/>
          </w:tcPr>
          <w:p>
            <w:pPr>
              <w:spacing w:after="40" w:line="259" w:lineRule="auto"/>
            </w:pPr>
            <w:r>
              <w:rPr>
                <w:rFonts w:ascii="Calibri" w:hAnsi="Calibri"/>
                <w:b w:val="0"/>
                <w:sz w:val="17"/>
              </w:rPr>
              <w:t>PAUSED</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Integration boundaries and manifests exist; active cloud execution paused.</w:t>
            </w:r>
          </w:p>
        </w:tc>
        <w:tc>
          <w:tcPr>
            <w:tcW w:type="dxa" w:w="3010"/>
            <w:tcMar>
              <w:top w:w="80" w:type="dxa"/>
              <w:bottom w:w="80" w:type="dxa"/>
              <w:start w:w="120" w:type="dxa"/>
              <w:end w:w="120" w:type="dxa"/>
            </w:tcMar>
            <w:vAlign w:val="center"/>
          </w:tcPr>
          <w:p>
            <w:pPr>
              <w:spacing w:after="40" w:line="259" w:lineRule="auto"/>
            </w:pPr>
            <w:r>
              <w:rPr>
                <w:rFonts w:ascii="Calibri" w:hAnsi="Calibri"/>
                <w:b w:val="0"/>
                <w:sz w:val="17"/>
              </w:rPr>
              <w:t>Preserve requirements, do not claim live IBM operation.</w:t>
            </w:r>
          </w:p>
        </w:tc>
      </w:tr>
    </w:tbl>
    <w:p/>
    <w:p>
      <w:pPr>
        <w:pStyle w:val="Heading1"/>
      </w:pPr>
      <w:r>
        <w:t>4. Confirmed Implementation Foundation</w:t>
      </w:r>
    </w:p>
    <w:p>
      <w:r>
        <w:t>The following items are present or demonstrated and can be carried forward as implementation assets:</w:t>
      </w:r>
    </w:p>
    <w:p>
      <w:pPr>
        <w:spacing w:after="80" w:line="280" w:lineRule="auto"/>
        <w:numPr>
          <w:ilvl w:val="0"/>
          <w:numId w:val="900"/>
        </w:numPr>
      </w:pPr>
      <w:r>
        <w:t>Repository governance files exist, including a baseline document, decision log, and implementation checklist.</w:t>
      </w:r>
    </w:p>
    <w:p>
      <w:pPr>
        <w:spacing w:after="80" w:line="280" w:lineRule="auto"/>
        <w:numPr>
          <w:ilvl w:val="0"/>
          <w:numId w:val="900"/>
        </w:numPr>
      </w:pPr>
      <w:r>
        <w:t>FastAPI application routes, synthetic-data disclaimers, asset access, sensor access, WebSocket streaming, and mocked Maximo boundaries exist.</w:t>
      </w:r>
    </w:p>
    <w:p>
      <w:pPr>
        <w:spacing w:after="80" w:line="280" w:lineRule="auto"/>
        <w:numPr>
          <w:ilvl w:val="0"/>
          <w:numId w:val="900"/>
        </w:numPr>
      </w:pPr>
      <w:r>
        <w:t>The Unity project contains a scene with GDC assets, including GDC-WP-007, plus sensor bridge, colour, HUD, asset-selection and What-If scripts.</w:t>
      </w:r>
    </w:p>
    <w:p>
      <w:pPr>
        <w:spacing w:after="80" w:line="280" w:lineRule="auto"/>
        <w:numPr>
          <w:ilvl w:val="0"/>
          <w:numId w:val="900"/>
        </w:numPr>
      </w:pPr>
      <w:r>
        <w:t>The React dashboard is a useful supporting integration interface and accepts baseline and legacy stream fields.</w:t>
      </w:r>
    </w:p>
    <w:p>
      <w:pPr>
        <w:spacing w:after="80" w:line="280" w:lineRule="auto"/>
        <w:numPr>
          <w:ilvl w:val="0"/>
          <w:numId w:val="900"/>
        </w:numPr>
      </w:pPr>
      <w:r>
        <w:t>A calibrated API route can return the documented WP-07 values of 34% at zero deferral and 68% / USD 122,400 at 45 days when called with its required date contract.</w:t>
      </w:r>
    </w:p>
    <w:p>
      <w:pPr>
        <w:spacing w:after="80" w:line="280" w:lineRule="auto"/>
        <w:numPr>
          <w:ilvl w:val="0"/>
          <w:numId w:val="900"/>
        </w:numPr>
      </w:pPr>
      <w:r>
        <w:t>The Monte Carlo engine can execute a 10,000-run local simulation rapidly, subject to model and validation alignment.</w:t>
      </w:r>
    </w:p>
    <w:p>
      <w:pPr>
        <w:spacing w:after="80" w:line="280" w:lineRule="auto"/>
        <w:numPr>
          <w:ilvl w:val="0"/>
          <w:numId w:val="900"/>
        </w:numPr>
      </w:pPr>
      <w:r>
        <w:t>Scheduler code and work-order data structures exist, although current prioritisation output is not acceptable.</w:t>
      </w:r>
    </w:p>
    <w:p>
      <w:pPr>
        <w:pStyle w:val="Heading1"/>
      </w:pPr>
      <w:r>
        <w:t>5. Critical Findings Requiring Recovery</w:t>
      </w:r>
    </w:p>
    <w:tbl>
      <w:tblPr>
        <w:tblW w:type="dxa" w:w="9360"/>
        <w:jc w:val="left"/>
        <w:tblLayout w:type="fixed"/>
        <w:tblLook w:firstColumn="1" w:firstRow="1" w:lastColumn="0" w:lastRow="0" w:noHBand="0" w:noVBand="1" w:val="04A0"/>
        <w:tblInd w:type="dxa" w:w="120"/>
      </w:tblPr>
      <w:tblGrid>
        <w:gridCol w:w="650"/>
        <w:gridCol w:w="2260"/>
        <w:gridCol w:w="3150"/>
        <w:gridCol w:w="3300"/>
      </w:tblGrid>
      <w:tr>
        <w:trPr>
          <w:tblHeader w:val="true"/>
        </w:trPr>
        <w:tc>
          <w:tcPr>
            <w:tcW w:type="dxa" w:w="650"/>
            <w:tcMar>
              <w:top w:w="80" w:type="dxa"/>
              <w:bottom w:w="80" w:type="dxa"/>
              <w:start w:w="120" w:type="dxa"/>
              <w:end w:w="120" w:type="dxa"/>
            </w:tcMar>
            <w:vAlign w:val="center"/>
            <w:shd w:fill="F2F4F7"/>
          </w:tcPr>
          <w:p>
            <w:pPr>
              <w:spacing w:after="40" w:line="259" w:lineRule="auto"/>
            </w:pPr>
            <w:r>
              <w:rPr>
                <w:rFonts w:ascii="Calibri" w:hAnsi="Calibri"/>
                <w:b/>
                <w:color w:val="1F4D78"/>
                <w:sz w:val="17"/>
              </w:rPr>
              <w:t>Priority</w:t>
            </w:r>
          </w:p>
        </w:tc>
        <w:tc>
          <w:tcPr>
            <w:tcW w:type="dxa" w:w="2260"/>
            <w:tcMar>
              <w:top w:w="80" w:type="dxa"/>
              <w:bottom w:w="80" w:type="dxa"/>
              <w:start w:w="120" w:type="dxa"/>
              <w:end w:w="120" w:type="dxa"/>
            </w:tcMar>
            <w:vAlign w:val="center"/>
            <w:shd w:fill="F2F4F7"/>
          </w:tcPr>
          <w:p>
            <w:pPr>
              <w:spacing w:after="40" w:line="259" w:lineRule="auto"/>
            </w:pPr>
            <w:r>
              <w:rPr>
                <w:rFonts w:ascii="Calibri" w:hAnsi="Calibri"/>
                <w:b/>
                <w:color w:val="1F4D78"/>
                <w:sz w:val="17"/>
              </w:rPr>
              <w:t>Finding</w:t>
            </w:r>
          </w:p>
        </w:tc>
        <w:tc>
          <w:tcPr>
            <w:tcW w:type="dxa" w:w="3150"/>
            <w:tcMar>
              <w:top w:w="80" w:type="dxa"/>
              <w:bottom w:w="80" w:type="dxa"/>
              <w:start w:w="120" w:type="dxa"/>
              <w:end w:w="120" w:type="dxa"/>
            </w:tcMar>
            <w:vAlign w:val="center"/>
            <w:shd w:fill="F2F4F7"/>
          </w:tcPr>
          <w:p>
            <w:pPr>
              <w:spacing w:after="40" w:line="259" w:lineRule="auto"/>
            </w:pPr>
            <w:r>
              <w:rPr>
                <w:rFonts w:ascii="Calibri" w:hAnsi="Calibri"/>
                <w:b/>
                <w:color w:val="1F4D78"/>
                <w:sz w:val="17"/>
              </w:rPr>
              <w:t>Verified effect</w:t>
            </w:r>
          </w:p>
        </w:tc>
        <w:tc>
          <w:tcPr>
            <w:tcW w:type="dxa" w:w="3300"/>
            <w:tcMar>
              <w:top w:w="80" w:type="dxa"/>
              <w:bottom w:w="80" w:type="dxa"/>
              <w:start w:w="120" w:type="dxa"/>
              <w:end w:w="120" w:type="dxa"/>
            </w:tcMar>
            <w:vAlign w:val="center"/>
            <w:shd w:fill="F2F4F7"/>
          </w:tcPr>
          <w:p>
            <w:pPr>
              <w:spacing w:after="40" w:line="259" w:lineRule="auto"/>
            </w:pPr>
            <w:r>
              <w:rPr>
                <w:rFonts w:ascii="Calibri" w:hAnsi="Calibri"/>
                <w:b/>
                <w:color w:val="1F4D78"/>
                <w:sz w:val="17"/>
              </w:rPr>
              <w:t>Required response</w:t>
            </w:r>
          </w:p>
        </w:tc>
      </w:tr>
      <w:tr>
        <w:tc>
          <w:tcPr>
            <w:tcW w:type="dxa" w:w="650"/>
            <w:tcMar>
              <w:top w:w="80" w:type="dxa"/>
              <w:bottom w:w="80" w:type="dxa"/>
              <w:start w:w="120" w:type="dxa"/>
              <w:end w:w="120" w:type="dxa"/>
            </w:tcMar>
            <w:vAlign w:val="center"/>
          </w:tcPr>
          <w:p>
            <w:pPr>
              <w:spacing w:after="40" w:line="259" w:lineRule="auto"/>
            </w:pPr>
            <w:r>
              <w:rPr>
                <w:rFonts w:ascii="Calibri" w:hAnsi="Calibri"/>
                <w:b w:val="0"/>
                <w:sz w:val="17"/>
              </w:rPr>
              <w:t>P0</w:t>
            </w:r>
          </w:p>
        </w:tc>
        <w:tc>
          <w:tcPr>
            <w:tcW w:type="dxa" w:w="2260"/>
            <w:tcMar>
              <w:top w:w="80" w:type="dxa"/>
              <w:bottom w:w="80" w:type="dxa"/>
              <w:start w:w="120" w:type="dxa"/>
              <w:end w:w="120" w:type="dxa"/>
            </w:tcMar>
            <w:vAlign w:val="center"/>
          </w:tcPr>
          <w:p>
            <w:pPr>
              <w:spacing w:after="40" w:line="259" w:lineRule="auto"/>
            </w:pPr>
            <w:r>
              <w:rPr>
                <w:rFonts w:ascii="Calibri" w:hAnsi="Calibri"/>
                <w:b w:val="0"/>
                <w:sz w:val="17"/>
              </w:rPr>
              <w:t>Unity What-If contract mismatch</w:t>
            </w:r>
          </w:p>
        </w:tc>
        <w:tc>
          <w:tcPr>
            <w:tcW w:type="dxa" w:w="3150"/>
            <w:tcMar>
              <w:top w:w="80" w:type="dxa"/>
              <w:bottom w:w="80" w:type="dxa"/>
              <w:start w:w="120" w:type="dxa"/>
              <w:end w:w="120" w:type="dxa"/>
            </w:tcMar>
            <w:vAlign w:val="center"/>
          </w:tcPr>
          <w:p>
            <w:pPr>
              <w:spacing w:after="40" w:line="259" w:lineRule="auto"/>
            </w:pPr>
            <w:r>
              <w:rPr>
                <w:rFonts w:ascii="Calibri" w:hAnsi="Calibri"/>
                <w:b w:val="0"/>
                <w:sz w:val="17"/>
              </w:rPr>
              <w:t>Unity sends deferral_days to an endpoint expecting maintenance_date; a 45-day slider action resolves as zero-day output.</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Repair one canonical request contract and verify the Unity scenario.</w:t>
            </w:r>
          </w:p>
        </w:tc>
      </w:tr>
      <w:tr>
        <w:tc>
          <w:tcPr>
            <w:tcW w:type="dxa" w:w="650"/>
            <w:tcMar>
              <w:top w:w="80" w:type="dxa"/>
              <w:bottom w:w="80" w:type="dxa"/>
              <w:start w:w="120" w:type="dxa"/>
              <w:end w:w="120" w:type="dxa"/>
            </w:tcMar>
            <w:vAlign w:val="center"/>
          </w:tcPr>
          <w:p>
            <w:pPr>
              <w:spacing w:after="40" w:line="259" w:lineRule="auto"/>
            </w:pPr>
            <w:r>
              <w:rPr>
                <w:rFonts w:ascii="Calibri" w:hAnsi="Calibri"/>
                <w:b w:val="0"/>
                <w:sz w:val="17"/>
              </w:rPr>
              <w:t>P0</w:t>
            </w:r>
          </w:p>
        </w:tc>
        <w:tc>
          <w:tcPr>
            <w:tcW w:type="dxa" w:w="2260"/>
            <w:tcMar>
              <w:top w:w="80" w:type="dxa"/>
              <w:bottom w:w="80" w:type="dxa"/>
              <w:start w:w="120" w:type="dxa"/>
              <w:end w:w="120" w:type="dxa"/>
            </w:tcMar>
            <w:vAlign w:val="center"/>
          </w:tcPr>
          <w:p>
            <w:pPr>
              <w:spacing w:after="40" w:line="259" w:lineRule="auto"/>
            </w:pPr>
            <w:r>
              <w:rPr>
                <w:rFonts w:ascii="Calibri" w:hAnsi="Calibri"/>
                <w:b w:val="0"/>
                <w:sz w:val="17"/>
              </w:rPr>
              <w:t>Runtime data does not follow controlling workbook</w:t>
            </w:r>
          </w:p>
        </w:tc>
        <w:tc>
          <w:tcPr>
            <w:tcW w:type="dxa" w:w="3150"/>
            <w:tcMar>
              <w:top w:w="80" w:type="dxa"/>
              <w:bottom w:w="80" w:type="dxa"/>
              <w:start w:w="120" w:type="dxa"/>
              <w:end w:w="120" w:type="dxa"/>
            </w:tcMar>
            <w:vAlign w:val="center"/>
          </w:tcPr>
          <w:p>
            <w:pPr>
              <w:spacing w:after="40" w:line="259" w:lineRule="auto"/>
            </w:pPr>
            <w:r>
              <w:rPr>
                <w:rFonts w:ascii="Calibri" w:hAnsi="Calibri"/>
                <w:b w:val="0"/>
                <w:sz w:val="17"/>
              </w:rPr>
              <w:t>Asset loader and scheduler use datasets/GDC_Assets.xlsx; all 50 replacement-cost values differ from tracker values.</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Approve data/cost policy, then migrate runtime consumers.</w:t>
            </w:r>
          </w:p>
        </w:tc>
      </w:tr>
      <w:tr>
        <w:tc>
          <w:tcPr>
            <w:tcW w:type="dxa" w:w="650"/>
            <w:tcMar>
              <w:top w:w="80" w:type="dxa"/>
              <w:bottom w:w="80" w:type="dxa"/>
              <w:start w:w="120" w:type="dxa"/>
              <w:end w:w="120" w:type="dxa"/>
            </w:tcMar>
            <w:vAlign w:val="center"/>
          </w:tcPr>
          <w:p>
            <w:pPr>
              <w:spacing w:after="40" w:line="259" w:lineRule="auto"/>
            </w:pPr>
            <w:r>
              <w:rPr>
                <w:rFonts w:ascii="Calibri" w:hAnsi="Calibri"/>
                <w:b w:val="0"/>
                <w:sz w:val="17"/>
              </w:rPr>
              <w:t>P0</w:t>
            </w:r>
          </w:p>
        </w:tc>
        <w:tc>
          <w:tcPr>
            <w:tcW w:type="dxa" w:w="2260"/>
            <w:tcMar>
              <w:top w:w="80" w:type="dxa"/>
              <w:bottom w:w="80" w:type="dxa"/>
              <w:start w:w="120" w:type="dxa"/>
              <w:end w:w="120" w:type="dxa"/>
            </w:tcMar>
            <w:vAlign w:val="center"/>
          </w:tcPr>
          <w:p>
            <w:pPr>
              <w:spacing w:after="40" w:line="259" w:lineRule="auto"/>
            </w:pPr>
            <w:r>
              <w:rPr>
                <w:rFonts w:ascii="Calibri" w:hAnsi="Calibri"/>
                <w:b w:val="0"/>
                <w:sz w:val="17"/>
              </w:rPr>
              <w:t>LSTM artifact and API are incompatible</w:t>
            </w:r>
          </w:p>
        </w:tc>
        <w:tc>
          <w:tcPr>
            <w:tcW w:type="dxa" w:w="3150"/>
            <w:tcMar>
              <w:top w:w="80" w:type="dxa"/>
              <w:bottom w:w="80" w:type="dxa"/>
              <w:start w:w="120" w:type="dxa"/>
              <w:end w:w="120" w:type="dxa"/>
            </w:tcMar>
            <w:vAlign w:val="center"/>
          </w:tcPr>
          <w:p>
            <w:pPr>
              <w:spacing w:after="40" w:line="259" w:lineRule="auto"/>
            </w:pPr>
            <w:r>
              <w:rPr>
                <w:rFonts w:ascii="Calibri" w:hAnsi="Calibri"/>
                <w:b w:val="0"/>
                <w:sz w:val="17"/>
              </w:rPr>
              <w:t>Loaded H5 model requires a 168 by 24 tensor; API supplies a 1 by 3 tensor and falls back to synthetic output.</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Select approved model contract, implement inference pipeline, and validate.</w:t>
            </w:r>
          </w:p>
        </w:tc>
      </w:tr>
      <w:tr>
        <w:tc>
          <w:tcPr>
            <w:tcW w:type="dxa" w:w="650"/>
            <w:tcMar>
              <w:top w:w="80" w:type="dxa"/>
              <w:bottom w:w="80" w:type="dxa"/>
              <w:start w:w="120" w:type="dxa"/>
              <w:end w:w="120" w:type="dxa"/>
            </w:tcMar>
            <w:vAlign w:val="center"/>
          </w:tcPr>
          <w:p>
            <w:pPr>
              <w:spacing w:after="40" w:line="259" w:lineRule="auto"/>
            </w:pPr>
            <w:r>
              <w:rPr>
                <w:rFonts w:ascii="Calibri" w:hAnsi="Calibri"/>
                <w:b w:val="0"/>
                <w:sz w:val="17"/>
              </w:rPr>
              <w:t>P0</w:t>
            </w:r>
          </w:p>
        </w:tc>
        <w:tc>
          <w:tcPr>
            <w:tcW w:type="dxa" w:w="2260"/>
            <w:tcMar>
              <w:top w:w="80" w:type="dxa"/>
              <w:bottom w:w="80" w:type="dxa"/>
              <w:start w:w="120" w:type="dxa"/>
              <w:end w:w="120" w:type="dxa"/>
            </w:tcMar>
            <w:vAlign w:val="center"/>
          </w:tcPr>
          <w:p>
            <w:pPr>
              <w:spacing w:after="40" w:line="259" w:lineRule="auto"/>
            </w:pPr>
            <w:r>
              <w:rPr>
                <w:rFonts w:ascii="Calibri" w:hAnsi="Calibri"/>
                <w:b w:val="0"/>
                <w:sz w:val="17"/>
              </w:rPr>
              <w:t>Scheduler narrative fails</w:t>
            </w:r>
          </w:p>
        </w:tc>
        <w:tc>
          <w:tcPr>
            <w:tcW w:type="dxa" w:w="3150"/>
            <w:tcMar>
              <w:top w:w="80" w:type="dxa"/>
              <w:bottom w:w="80" w:type="dxa"/>
              <w:start w:w="120" w:type="dxa"/>
              <w:end w:w="120" w:type="dxa"/>
            </w:tcMar>
            <w:vAlign w:val="center"/>
          </w:tcPr>
          <w:p>
            <w:pPr>
              <w:spacing w:after="40" w:line="259" w:lineRule="auto"/>
            </w:pPr>
            <w:r>
              <w:rPr>
                <w:rFonts w:ascii="Calibri" w:hAnsi="Calibri"/>
                <w:b w:val="0"/>
                <w:sz w:val="17"/>
              </w:rPr>
              <w:t>Executed run schedules 50 of 50 assets as critical rather than highlighting three out-of-plan assets.</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Recalibrate against approved risk data and establish acceptance tests.</w:t>
            </w:r>
          </w:p>
        </w:tc>
      </w:tr>
      <w:tr>
        <w:tc>
          <w:tcPr>
            <w:tcW w:type="dxa" w:w="650"/>
            <w:tcMar>
              <w:top w:w="80" w:type="dxa"/>
              <w:bottom w:w="80" w:type="dxa"/>
              <w:start w:w="120" w:type="dxa"/>
              <w:end w:w="120" w:type="dxa"/>
            </w:tcMar>
            <w:vAlign w:val="center"/>
          </w:tcPr>
          <w:p>
            <w:pPr>
              <w:spacing w:after="40" w:line="259" w:lineRule="auto"/>
            </w:pPr>
            <w:r>
              <w:rPr>
                <w:rFonts w:ascii="Calibri" w:hAnsi="Calibri"/>
                <w:b w:val="0"/>
                <w:sz w:val="17"/>
              </w:rPr>
              <w:t>P1</w:t>
            </w:r>
          </w:p>
        </w:tc>
        <w:tc>
          <w:tcPr>
            <w:tcW w:type="dxa" w:w="2260"/>
            <w:tcMar>
              <w:top w:w="80" w:type="dxa"/>
              <w:bottom w:w="80" w:type="dxa"/>
              <w:start w:w="120" w:type="dxa"/>
              <w:end w:w="120" w:type="dxa"/>
            </w:tcMar>
            <w:vAlign w:val="center"/>
          </w:tcPr>
          <w:p>
            <w:pPr>
              <w:spacing w:after="40" w:line="259" w:lineRule="auto"/>
            </w:pPr>
            <w:r>
              <w:rPr>
                <w:rFonts w:ascii="Calibri" w:hAnsi="Calibri"/>
                <w:b w:val="0"/>
                <w:sz w:val="17"/>
              </w:rPr>
              <w:t>Monte Carlo and calibrated showcase diverge</w:t>
            </w:r>
          </w:p>
        </w:tc>
        <w:tc>
          <w:tcPr>
            <w:tcW w:type="dxa" w:w="3150"/>
            <w:tcMar>
              <w:top w:w="80" w:type="dxa"/>
              <w:bottom w:w="80" w:type="dxa"/>
              <w:start w:w="120" w:type="dxa"/>
              <w:end w:w="120" w:type="dxa"/>
            </w:tcMar>
            <w:vAlign w:val="center"/>
          </w:tcPr>
          <w:p>
            <w:pPr>
              <w:spacing w:after="40" w:line="259" w:lineRule="auto"/>
            </w:pPr>
            <w:r>
              <w:rPr>
                <w:rFonts w:ascii="Calibri" w:hAnsi="Calibri"/>
                <w:b w:val="0"/>
                <w:sz w:val="17"/>
              </w:rPr>
              <w:t>Engine-backed 45-day result produced 56.11% / USD 100,998; official route produced 68% / USD 122,400.</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Keep paths explicitly labelled until reconciled or approved.</w:t>
            </w:r>
          </w:p>
        </w:tc>
      </w:tr>
      <w:tr>
        <w:tc>
          <w:tcPr>
            <w:tcW w:type="dxa" w:w="650"/>
            <w:tcMar>
              <w:top w:w="80" w:type="dxa"/>
              <w:bottom w:w="80" w:type="dxa"/>
              <w:start w:w="120" w:type="dxa"/>
              <w:end w:w="120" w:type="dxa"/>
            </w:tcMar>
            <w:vAlign w:val="center"/>
          </w:tcPr>
          <w:p>
            <w:pPr>
              <w:spacing w:after="40" w:line="259" w:lineRule="auto"/>
            </w:pPr>
            <w:r>
              <w:rPr>
                <w:rFonts w:ascii="Calibri" w:hAnsi="Calibri"/>
                <w:b w:val="0"/>
                <w:sz w:val="17"/>
              </w:rPr>
              <w:t>P1</w:t>
            </w:r>
          </w:p>
        </w:tc>
        <w:tc>
          <w:tcPr>
            <w:tcW w:type="dxa" w:w="2260"/>
            <w:tcMar>
              <w:top w:w="80" w:type="dxa"/>
              <w:bottom w:w="80" w:type="dxa"/>
              <w:start w:w="120" w:type="dxa"/>
              <w:end w:w="120" w:type="dxa"/>
            </w:tcMar>
            <w:vAlign w:val="center"/>
          </w:tcPr>
          <w:p>
            <w:pPr>
              <w:spacing w:after="40" w:line="259" w:lineRule="auto"/>
            </w:pPr>
            <w:r>
              <w:rPr>
                <w:rFonts w:ascii="Calibri" w:hAnsi="Calibri"/>
                <w:b w:val="0"/>
                <w:sz w:val="17"/>
              </w:rPr>
              <w:t>Three.js browser experience absent</w:t>
            </w:r>
          </w:p>
        </w:tc>
        <w:tc>
          <w:tcPr>
            <w:tcW w:type="dxa" w:w="3150"/>
            <w:tcMar>
              <w:top w:w="80" w:type="dxa"/>
              <w:bottom w:w="80" w:type="dxa"/>
              <w:start w:w="120" w:type="dxa"/>
              <w:end w:w="120" w:type="dxa"/>
            </w:tcMar>
            <w:vAlign w:val="center"/>
          </w:tcPr>
          <w:p>
            <w:pPr>
              <w:spacing w:after="40" w:line="259" w:lineRule="auto"/>
            </w:pPr>
            <w:r>
              <w:rPr>
                <w:rFonts w:ascii="Calibri" w:hAnsi="Calibri"/>
                <w:b w:val="0"/>
                <w:sz w:val="17"/>
              </w:rPr>
              <w:t>No verified viewer source or deployment is present.</w:t>
            </w:r>
          </w:p>
        </w:tc>
        <w:tc>
          <w:tcPr>
            <w:tcW w:type="dxa" w:w="3300"/>
            <w:tcMar>
              <w:top w:w="80" w:type="dxa"/>
              <w:bottom w:w="80" w:type="dxa"/>
              <w:start w:w="120" w:type="dxa"/>
              <w:end w:w="120" w:type="dxa"/>
            </w:tcMar>
            <w:vAlign w:val="center"/>
          </w:tcPr>
          <w:p>
            <w:pPr>
              <w:spacing w:after="40" w:line="259" w:lineRule="auto"/>
            </w:pPr>
            <w:r>
              <w:rPr>
                <w:rFonts w:ascii="Calibri" w:hAnsi="Calibri"/>
                <w:b w:val="0"/>
                <w:sz w:val="17"/>
              </w:rPr>
              <w:t>Implement required browser viewer after contract/data foundation.</w:t>
            </w:r>
          </w:p>
        </w:tc>
      </w:tr>
    </w:tbl>
    <w:p/>
    <w:p>
      <w:pPr>
        <w:pStyle w:val="Heading1"/>
      </w:pPr>
      <w:r>
        <w:t>6. Verified Checks And Results</w:t>
      </w:r>
    </w:p>
    <w:tbl>
      <w:tblPr>
        <w:tblW w:type="dxa" w:w="9360"/>
        <w:jc w:val="left"/>
        <w:tblLayout w:type="fixed"/>
        <w:tblLook w:firstColumn="1" w:firstRow="1" w:lastColumn="0" w:lastRow="0" w:noHBand="0" w:noVBand="1" w:val="04A0"/>
        <w:tblInd w:type="dxa" w:w="120"/>
      </w:tblPr>
      <w:tblGrid>
        <w:gridCol w:w="2200"/>
        <w:gridCol w:w="3000"/>
        <w:gridCol w:w="4160"/>
      </w:tblGrid>
      <w:tr>
        <w:trPr>
          <w:tblHeader w:val="true"/>
        </w:trPr>
        <w:tc>
          <w:tcPr>
            <w:tcW w:type="dxa" w:w="2200"/>
            <w:tcMar>
              <w:top w:w="80" w:type="dxa"/>
              <w:bottom w:w="80" w:type="dxa"/>
              <w:start w:w="120" w:type="dxa"/>
              <w:end w:w="120" w:type="dxa"/>
            </w:tcMar>
            <w:vAlign w:val="center"/>
            <w:shd w:fill="F2F4F7"/>
          </w:tcPr>
          <w:p>
            <w:pPr>
              <w:spacing w:after="40" w:line="259" w:lineRule="auto"/>
            </w:pPr>
            <w:r>
              <w:rPr>
                <w:rFonts w:ascii="Calibri" w:hAnsi="Calibri"/>
                <w:b/>
                <w:color w:val="1F4D78"/>
                <w:sz w:val="17"/>
              </w:rPr>
              <w:t>Check</w:t>
            </w:r>
          </w:p>
        </w:tc>
        <w:tc>
          <w:tcPr>
            <w:tcW w:type="dxa" w:w="3000"/>
            <w:tcMar>
              <w:top w:w="80" w:type="dxa"/>
              <w:bottom w:w="80" w:type="dxa"/>
              <w:start w:w="120" w:type="dxa"/>
              <w:end w:w="120" w:type="dxa"/>
            </w:tcMar>
            <w:vAlign w:val="center"/>
            <w:shd w:fill="F2F4F7"/>
          </w:tcPr>
          <w:p>
            <w:pPr>
              <w:spacing w:after="40" w:line="259" w:lineRule="auto"/>
            </w:pPr>
            <w:r>
              <w:rPr>
                <w:rFonts w:ascii="Calibri" w:hAnsi="Calibri"/>
                <w:b/>
                <w:color w:val="1F4D78"/>
                <w:sz w:val="17"/>
              </w:rPr>
              <w:t>Result</w:t>
            </w:r>
          </w:p>
        </w:tc>
        <w:tc>
          <w:tcPr>
            <w:tcW w:type="dxa" w:w="4160"/>
            <w:tcMar>
              <w:top w:w="80" w:type="dxa"/>
              <w:bottom w:w="80" w:type="dxa"/>
              <w:start w:w="120" w:type="dxa"/>
              <w:end w:w="120" w:type="dxa"/>
            </w:tcMar>
            <w:vAlign w:val="center"/>
            <w:shd w:fill="F2F4F7"/>
          </w:tcPr>
          <w:p>
            <w:pPr>
              <w:spacing w:after="40" w:line="259" w:lineRule="auto"/>
            </w:pPr>
            <w:r>
              <w:rPr>
                <w:rFonts w:ascii="Calibri" w:hAnsi="Calibri"/>
                <w:b/>
                <w:color w:val="1F4D78"/>
                <w:sz w:val="17"/>
              </w:rPr>
              <w:t>Interpretation</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Controlling tracker Sensor_Readings physical contents</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87,600 readings across 10 assets; 2020-01-01 to 2020-12-30; no GDC-WP-007 readings.</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Conflicts with the labelled 43,800 / five-year description; owner decision required.</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Tracker MC validation values</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100 numeric cases compute to Brier score 0.11634.</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The supplied results meet the documented &lt;0.15 target; the current engine is not yet proven to reproduce them.</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Monte Carlo local timing</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10,000-run base simulation completed in approximately 0.0035 seconds in local execution.</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Performance direction is positive; acceptance also needs method and dataset validation.</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Engine-backed What-If at 45 days</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56.11% and USD 100,998 in seeded local execution.</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Not aligned to official showcase narrative.</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Calibrated What-If with a 45-day date</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68% and USD 122,400.</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Official numerical story exists at API level only.</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Unity-shaped request sent to calibrated route</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Returned zero-day 34% outcome because deferral_days is not read.</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Primary Unity demo path is presently broken.</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Local LSTM invocation through API</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Model invocation failed on shape mismatch, then returned synthetic 34%.</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No current baseline-compliant LSTM inference evidence.</w:t>
            </w:r>
          </w:p>
        </w:tc>
      </w:tr>
      <w:tr>
        <w:tc>
          <w:tcPr>
            <w:tcW w:type="dxa" w:w="2200"/>
            <w:tcMar>
              <w:top w:w="80" w:type="dxa"/>
              <w:bottom w:w="80" w:type="dxa"/>
              <w:start w:w="120" w:type="dxa"/>
              <w:end w:w="120" w:type="dxa"/>
            </w:tcMar>
            <w:vAlign w:val="center"/>
          </w:tcPr>
          <w:p>
            <w:pPr>
              <w:spacing w:after="40" w:line="259" w:lineRule="auto"/>
            </w:pPr>
            <w:r>
              <w:rPr>
                <w:rFonts w:ascii="Calibri" w:hAnsi="Calibri"/>
                <w:b w:val="0"/>
                <w:sz w:val="17"/>
              </w:rPr>
              <w:t>Scheduler local validation</w:t>
            </w:r>
          </w:p>
        </w:tc>
        <w:tc>
          <w:tcPr>
            <w:tcW w:type="dxa" w:w="3000"/>
            <w:tcMar>
              <w:top w:w="80" w:type="dxa"/>
              <w:bottom w:w="80" w:type="dxa"/>
              <w:start w:w="120" w:type="dxa"/>
              <w:end w:w="120" w:type="dxa"/>
            </w:tcMar>
            <w:vAlign w:val="center"/>
          </w:tcPr>
          <w:p>
            <w:pPr>
              <w:spacing w:after="40" w:line="259" w:lineRule="auto"/>
            </w:pPr>
            <w:r>
              <w:rPr>
                <w:rFonts w:ascii="Calibri" w:hAnsi="Calibri"/>
                <w:b w:val="0"/>
                <w:sz w:val="17"/>
              </w:rPr>
              <w:t>50 tasks scheduled, all 50 classified CRITICAL.</w:t>
            </w:r>
          </w:p>
        </w:tc>
        <w:tc>
          <w:tcPr>
            <w:tcW w:type="dxa" w:w="4160"/>
            <w:tcMar>
              <w:top w:w="80" w:type="dxa"/>
              <w:bottom w:w="80" w:type="dxa"/>
              <w:start w:w="120" w:type="dxa"/>
              <w:end w:w="120" w:type="dxa"/>
            </w:tcMar>
            <w:vAlign w:val="center"/>
          </w:tcPr>
          <w:p>
            <w:pPr>
              <w:spacing w:after="40" w:line="259" w:lineRule="auto"/>
            </w:pPr>
            <w:r>
              <w:rPr>
                <w:rFonts w:ascii="Calibri" w:hAnsi="Calibri"/>
                <w:b w:val="0"/>
                <w:sz w:val="17"/>
              </w:rPr>
              <w:t>Does not satisfy the three-asset demo narrative.</w:t>
            </w:r>
          </w:p>
        </w:tc>
      </w:tr>
    </w:tbl>
    <w:p/>
    <w:p>
      <w:pPr>
        <w:pStyle w:val="Heading1"/>
      </w:pPr>
      <w:r>
        <w:t>7. Open Decisions For Project Manager</w:t>
      </w:r>
    </w:p>
    <w:p>
      <w:r>
        <w:t>These items should be decided before the delivery team treats any implementation path as authoritative:</w:t>
      </w:r>
    </w:p>
    <w:tbl>
      <w:tblPr>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tcMar>
              <w:top w:w="80" w:type="dxa"/>
              <w:bottom w:w="80" w:type="dxa"/>
              <w:start w:w="120" w:type="dxa"/>
              <w:end w:w="120" w:type="dxa"/>
            </w:tcMar>
            <w:vAlign w:val="center"/>
            <w:shd w:fill="FFF4E5"/>
          </w:tcPr>
          <w:p>
            <w:pPr>
              <w:spacing w:after="40" w:line="259" w:lineRule="auto"/>
            </w:pPr>
            <w:r>
              <w:rPr>
                <w:rFonts w:ascii="Calibri" w:hAnsi="Calibri"/>
                <w:b/>
                <w:color w:val="1F4D78"/>
                <w:sz w:val="18"/>
              </w:rPr>
              <w:t>Decision</w:t>
            </w:r>
          </w:p>
        </w:tc>
        <w:tc>
          <w:tcPr>
            <w:tcW w:type="dxa" w:w="7260"/>
            <w:tcMar>
              <w:top w:w="80" w:type="dxa"/>
              <w:bottom w:w="80" w:type="dxa"/>
              <w:start w:w="120" w:type="dxa"/>
              <w:end w:w="120" w:type="dxa"/>
            </w:tcMar>
            <w:vAlign w:val="center"/>
            <w:shd w:fill="FFF4E5"/>
          </w:tcPr>
          <w:p>
            <w:pPr>
              <w:spacing w:after="40" w:line="259" w:lineRule="auto"/>
            </w:pPr>
            <w:r>
              <w:rPr>
                <w:rFonts w:ascii="Calibri" w:hAnsi="Calibri"/>
                <w:b/>
                <w:color w:val="1F4D78"/>
                <w:sz w:val="18"/>
              </w:rPr>
              <w:t>Required direction</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8"/>
              </w:rPr>
              <w:t>D-01 Authority register</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8"/>
              </w:rPr>
              <w:t>Confirm that the governing set is the root DOCX, root PPTX and root XLSX supplied for this review, then update the repository baseline references accordingly.</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8"/>
              </w:rPr>
              <w:t>D-02 Sensor_Readings interpretation</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8"/>
              </w:rPr>
              <w:t>Resolve whether the training truth is the physically supplied 87,600-row worksheet, a 43,800-row intended version, or a controlled correction.</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8"/>
              </w:rPr>
              <w:t>D-03 Failure-mode grouping</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8"/>
              </w:rPr>
              <w:t>Approve how the 14 physical failure labels in the tracker are grouped for required Weibull fitting and reporting.</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8"/>
              </w:rPr>
              <w:t>D-04 WP-07 cost policy</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8"/>
              </w:rPr>
              <w:t>Clarify the relationship between tracker replacement cost (USD 90,208), runtime dataset cost (USD 159,614.43), and the approved showcase failure-cost constant (USD 180,000).</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8"/>
              </w:rPr>
              <w:t>D-05 LSTM specification</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8"/>
              </w:rPr>
              <w:t>Approve the controlling feature and split specification where the written sources differ; no hybrid result should be reported as baseline-compliant without approval.</w:t>
            </w:r>
          </w:p>
        </w:tc>
      </w:tr>
      <w:tr>
        <w:tc>
          <w:tcPr>
            <w:tcW w:type="dxa" w:w="2100"/>
            <w:tcMar>
              <w:top w:w="80" w:type="dxa"/>
              <w:bottom w:w="80" w:type="dxa"/>
              <w:start w:w="120" w:type="dxa"/>
              <w:end w:w="120" w:type="dxa"/>
            </w:tcMar>
            <w:vAlign w:val="center"/>
          </w:tcPr>
          <w:p>
            <w:pPr>
              <w:spacing w:after="40" w:line="259" w:lineRule="auto"/>
            </w:pPr>
            <w:r>
              <w:rPr>
                <w:rFonts w:ascii="Calibri" w:hAnsi="Calibri"/>
                <w:b w:val="0"/>
                <w:sz w:val="18"/>
              </w:rPr>
              <w:t>D-06 IBM work hold</w:t>
            </w:r>
          </w:p>
        </w:tc>
        <w:tc>
          <w:tcPr>
            <w:tcW w:type="dxa" w:w="7260"/>
            <w:tcMar>
              <w:top w:w="80" w:type="dxa"/>
              <w:bottom w:w="80" w:type="dxa"/>
              <w:start w:w="120" w:type="dxa"/>
              <w:end w:w="120" w:type="dxa"/>
            </w:tcMar>
            <w:vAlign w:val="center"/>
          </w:tcPr>
          <w:p>
            <w:pPr>
              <w:spacing w:after="40" w:line="259" w:lineRule="auto"/>
            </w:pPr>
            <w:r>
              <w:rPr>
                <w:rFonts w:ascii="Calibri" w:hAnsi="Calibri"/>
                <w:b w:val="0"/>
                <w:sz w:val="18"/>
              </w:rPr>
              <w:t>Maintain or lift the existing hold on active IBM platform integration and cloud model execution.</w:t>
            </w:r>
          </w:p>
        </w:tc>
      </w:tr>
    </w:tbl>
    <w:p/>
    <w:p>
      <w:pPr>
        <w:pStyle w:val="Heading1"/>
      </w:pPr>
      <w:r>
        <w:t>8. Recommendation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bottom w:w="80" w:type="dxa"/>
              <w:start w:w="120" w:type="dxa"/>
              <w:end w:w="120" w:type="dxa"/>
            </w:tcMar>
            <w:vAlign w:val="center"/>
            <w:shd w:fill="E8EEF5"/>
          </w:tcPr>
          <w:p>
            <w:pPr>
              <w:spacing w:after="60"/>
            </w:pPr>
            <w:r/>
            <w:r>
              <w:rPr>
                <w:rFonts w:ascii="Calibri" w:hAnsi="Calibri"/>
                <w:b/>
                <w:color w:val="0B2545"/>
                <w:sz w:val="20"/>
              </w:rPr>
              <w:t>RECOMMENDED PROJECT POSTURE</w:t>
            </w:r>
          </w:p>
          <w:p>
            <w:pPr>
              <w:spacing w:after="0"/>
            </w:pPr>
            <w:r>
              <w:t>Treat the next delivery period as baseline recovery and acceptance engineering. Do not expand functionality until the Unity demo contract, authoritative runtime data policy, LSTM/Monte Carlo validation path, and scheduler scenario are controlled. React, mocks, Redis, TimescaleDB and natural-language panels may remain supporting implementation, but they must not be counted as substitutes for required baseline capabilities.</w:t>
            </w:r>
          </w:p>
        </w:tc>
      </w:tr>
    </w:tbl>
    <w:p/>
    <w:p>
      <w:r>
        <w:t>The companion document, OTDT Baseline-Aligned Delivery Workplan, defines the stage gates and work sequence needed to reach the intended MVP without scope creep.</w:t>
      </w:r>
    </w:p>
    <w:p>
      <w:pPr>
        <w:pStyle w:val="Heading1"/>
      </w:pPr>
      <w:r>
        <w:t>Appendix: Status Definitions</w:t>
      </w:r>
    </w:p>
    <w:tbl>
      <w:tblPr>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tcMar>
              <w:top w:w="80" w:type="dxa"/>
              <w:bottom w:w="80" w:type="dxa"/>
              <w:start w:w="120" w:type="dxa"/>
              <w:end w:w="120" w:type="dxa"/>
            </w:tcMar>
            <w:vAlign w:val="center"/>
            <w:shd w:fill="F2F4F7"/>
          </w:tcPr>
          <w:p>
            <w:pPr>
              <w:spacing w:after="40" w:line="259" w:lineRule="auto"/>
            </w:pPr>
            <w:r>
              <w:rPr>
                <w:rFonts w:ascii="Calibri" w:hAnsi="Calibri"/>
                <w:b/>
                <w:color w:val="1F4D78"/>
                <w:sz w:val="19"/>
              </w:rPr>
              <w:t>Status</w:t>
            </w:r>
          </w:p>
        </w:tc>
        <w:tc>
          <w:tcPr>
            <w:tcW w:type="dxa" w:w="7560"/>
            <w:tcMar>
              <w:top w:w="80" w:type="dxa"/>
              <w:bottom w:w="80" w:type="dxa"/>
              <w:start w:w="120" w:type="dxa"/>
              <w:end w:w="120" w:type="dxa"/>
            </w:tcMar>
            <w:vAlign w:val="center"/>
            <w:shd w:fill="F2F4F7"/>
          </w:tcPr>
          <w:p>
            <w:pPr>
              <w:spacing w:after="40" w:line="259" w:lineRule="auto"/>
            </w:pPr>
            <w:r>
              <w:rPr>
                <w:rFonts w:ascii="Calibri" w:hAnsi="Calibri"/>
                <w:b/>
                <w:color w:val="1F4D78"/>
                <w:sz w:val="19"/>
              </w:rPr>
              <w:t>Meaning in this report</w:t>
            </w:r>
          </w:p>
        </w:tc>
      </w:tr>
      <w:tr>
        <w:tc>
          <w:tcPr>
            <w:tcW w:type="dxa" w:w="1800"/>
            <w:tcMar>
              <w:top w:w="80" w:type="dxa"/>
              <w:bottom w:w="80" w:type="dxa"/>
              <w:start w:w="120" w:type="dxa"/>
              <w:end w:w="120" w:type="dxa"/>
            </w:tcMar>
            <w:vAlign w:val="center"/>
          </w:tcPr>
          <w:p>
            <w:pPr>
              <w:spacing w:after="40" w:line="259" w:lineRule="auto"/>
            </w:pPr>
            <w:r>
              <w:rPr>
                <w:rFonts w:ascii="Calibri" w:hAnsi="Calibri"/>
                <w:b w:val="0"/>
                <w:sz w:val="19"/>
              </w:rPr>
              <w:t>IMPLEMENTED</w:t>
            </w:r>
          </w:p>
        </w:tc>
        <w:tc>
          <w:tcPr>
            <w:tcW w:type="dxa" w:w="7560"/>
            <w:tcMar>
              <w:top w:w="80" w:type="dxa"/>
              <w:bottom w:w="80" w:type="dxa"/>
              <w:start w:w="120" w:type="dxa"/>
              <w:end w:w="120" w:type="dxa"/>
            </w:tcMar>
            <w:vAlign w:val="center"/>
          </w:tcPr>
          <w:p>
            <w:pPr>
              <w:spacing w:after="40" w:line="259" w:lineRule="auto"/>
            </w:pPr>
            <w:r>
              <w:rPr>
                <w:rFonts w:ascii="Calibri" w:hAnsi="Calibri"/>
                <w:b w:val="0"/>
                <w:sz w:val="19"/>
              </w:rPr>
              <w:t>Capability is present and evidenced against the relevant baseline requirement.</w:t>
            </w:r>
          </w:p>
        </w:tc>
      </w:tr>
      <w:tr>
        <w:tc>
          <w:tcPr>
            <w:tcW w:type="dxa" w:w="1800"/>
            <w:tcMar>
              <w:top w:w="80" w:type="dxa"/>
              <w:bottom w:w="80" w:type="dxa"/>
              <w:start w:w="120" w:type="dxa"/>
              <w:end w:w="120" w:type="dxa"/>
            </w:tcMar>
            <w:vAlign w:val="center"/>
          </w:tcPr>
          <w:p>
            <w:pPr>
              <w:spacing w:after="40" w:line="259" w:lineRule="auto"/>
            </w:pPr>
            <w:r>
              <w:rPr>
                <w:rFonts w:ascii="Calibri" w:hAnsi="Calibri"/>
                <w:b w:val="0"/>
                <w:sz w:val="19"/>
              </w:rPr>
              <w:t>PARTIAL</w:t>
            </w:r>
          </w:p>
        </w:tc>
        <w:tc>
          <w:tcPr>
            <w:tcW w:type="dxa" w:w="7560"/>
            <w:tcMar>
              <w:top w:w="80" w:type="dxa"/>
              <w:bottom w:w="80" w:type="dxa"/>
              <w:start w:w="120" w:type="dxa"/>
              <w:end w:w="120" w:type="dxa"/>
            </w:tcMar>
            <w:vAlign w:val="center"/>
          </w:tcPr>
          <w:p>
            <w:pPr>
              <w:spacing w:after="40" w:line="259" w:lineRule="auto"/>
            </w:pPr>
            <w:r>
              <w:rPr>
                <w:rFonts w:ascii="Calibri" w:hAnsi="Calibri"/>
                <w:b w:val="0"/>
                <w:sz w:val="19"/>
              </w:rPr>
              <w:t>Useful code or artifact exists, but required end-to-end or acceptance evidence is incomplete.</w:t>
            </w:r>
          </w:p>
        </w:tc>
      </w:tr>
      <w:tr>
        <w:tc>
          <w:tcPr>
            <w:tcW w:type="dxa" w:w="1800"/>
            <w:tcMar>
              <w:top w:w="80" w:type="dxa"/>
              <w:bottom w:w="80" w:type="dxa"/>
              <w:start w:w="120" w:type="dxa"/>
              <w:end w:w="120" w:type="dxa"/>
            </w:tcMar>
            <w:vAlign w:val="center"/>
          </w:tcPr>
          <w:p>
            <w:pPr>
              <w:spacing w:after="40" w:line="259" w:lineRule="auto"/>
            </w:pPr>
            <w:r>
              <w:rPr>
                <w:rFonts w:ascii="Calibri" w:hAnsi="Calibri"/>
                <w:b w:val="0"/>
                <w:sz w:val="19"/>
              </w:rPr>
              <w:t>BLOCKED</w:t>
            </w:r>
          </w:p>
        </w:tc>
        <w:tc>
          <w:tcPr>
            <w:tcW w:type="dxa" w:w="7560"/>
            <w:tcMar>
              <w:top w:w="80" w:type="dxa"/>
              <w:bottom w:w="80" w:type="dxa"/>
              <w:start w:w="120" w:type="dxa"/>
              <w:end w:w="120" w:type="dxa"/>
            </w:tcMar>
            <w:vAlign w:val="center"/>
          </w:tcPr>
          <w:p>
            <w:pPr>
              <w:spacing w:after="40" w:line="259" w:lineRule="auto"/>
            </w:pPr>
            <w:r>
              <w:rPr>
                <w:rFonts w:ascii="Calibri" w:hAnsi="Calibri"/>
                <w:b w:val="0"/>
                <w:sz w:val="19"/>
              </w:rPr>
              <w:t>A conflict or defect prevents baseline acceptance until corrected or decided.</w:t>
            </w:r>
          </w:p>
        </w:tc>
      </w:tr>
      <w:tr>
        <w:tc>
          <w:tcPr>
            <w:tcW w:type="dxa" w:w="1800"/>
            <w:tcMar>
              <w:top w:w="80" w:type="dxa"/>
              <w:bottom w:w="80" w:type="dxa"/>
              <w:start w:w="120" w:type="dxa"/>
              <w:end w:w="120" w:type="dxa"/>
            </w:tcMar>
            <w:vAlign w:val="center"/>
          </w:tcPr>
          <w:p>
            <w:pPr>
              <w:spacing w:after="40" w:line="259" w:lineRule="auto"/>
            </w:pPr>
            <w:r>
              <w:rPr>
                <w:rFonts w:ascii="Calibri" w:hAnsi="Calibri"/>
                <w:b w:val="0"/>
                <w:sz w:val="19"/>
              </w:rPr>
              <w:t>MISSING</w:t>
            </w:r>
          </w:p>
        </w:tc>
        <w:tc>
          <w:tcPr>
            <w:tcW w:type="dxa" w:w="7560"/>
            <w:tcMar>
              <w:top w:w="80" w:type="dxa"/>
              <w:bottom w:w="80" w:type="dxa"/>
              <w:start w:w="120" w:type="dxa"/>
              <w:end w:w="120" w:type="dxa"/>
            </w:tcMar>
            <w:vAlign w:val="center"/>
          </w:tcPr>
          <w:p>
            <w:pPr>
              <w:spacing w:after="40" w:line="259" w:lineRule="auto"/>
            </w:pPr>
            <w:r>
              <w:rPr>
                <w:rFonts w:ascii="Calibri" w:hAnsi="Calibri"/>
                <w:b w:val="0"/>
                <w:sz w:val="19"/>
              </w:rPr>
              <w:t>Required baseline capability is not evidenced in current repository.</w:t>
            </w:r>
          </w:p>
        </w:tc>
      </w:tr>
      <w:tr>
        <w:tc>
          <w:tcPr>
            <w:tcW w:type="dxa" w:w="1800"/>
            <w:tcMar>
              <w:top w:w="80" w:type="dxa"/>
              <w:bottom w:w="80" w:type="dxa"/>
              <w:start w:w="120" w:type="dxa"/>
              <w:end w:w="120" w:type="dxa"/>
            </w:tcMar>
            <w:vAlign w:val="center"/>
          </w:tcPr>
          <w:p>
            <w:pPr>
              <w:spacing w:after="40" w:line="259" w:lineRule="auto"/>
            </w:pPr>
            <w:r>
              <w:rPr>
                <w:rFonts w:ascii="Calibri" w:hAnsi="Calibri"/>
                <w:b w:val="0"/>
                <w:sz w:val="19"/>
              </w:rPr>
              <w:t>PAUSED</w:t>
            </w:r>
          </w:p>
        </w:tc>
        <w:tc>
          <w:tcPr>
            <w:tcW w:type="dxa" w:w="7560"/>
            <w:tcMar>
              <w:top w:w="80" w:type="dxa"/>
              <w:bottom w:w="80" w:type="dxa"/>
              <w:start w:w="120" w:type="dxa"/>
              <w:end w:w="120" w:type="dxa"/>
            </w:tcMar>
            <w:vAlign w:val="center"/>
          </w:tcPr>
          <w:p>
            <w:pPr>
              <w:spacing w:after="40" w:line="259" w:lineRule="auto"/>
            </w:pPr>
            <w:r>
              <w:rPr>
                <w:rFonts w:ascii="Calibri" w:hAnsi="Calibri"/>
                <w:b w:val="0"/>
                <w:sz w:val="19"/>
              </w:rPr>
              <w:t>Requirement remains valid, but execution is intentionally on hold by project decision.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5555"/>
        <w:sz w:val="18"/>
      </w:rPr>
      <w:t xml:space="preserve">Internal project management | 27 May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rFonts w:ascii="Calibri" w:hAnsi="Calibri"/>
        <w:b/>
        <w:color w:val="555555"/>
        <w:sz w:val="18"/>
      </w:rPr>
      <w:t>OT DIGITAL TWIN | Current State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
    <w:lvl w:ilvl="0">
      <w:start w:val="1"/>
      <w:numFmt w:val="decimal"/>
      <w:lvlText w:val="%1."/>
      <w:pPr>
        <w:ind w:left="720" w:hanging="360"/>
      </w:pPr>
    </w:lvl>
  </w:abstract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