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C15C5" w14:textId="77777777" w:rsidR="00DD4E45" w:rsidRDefault="00DD4E45">
      <w:pPr>
        <w:spacing w:after="1800"/>
      </w:pPr>
    </w:p>
    <w:p w14:paraId="042C0A86" w14:textId="77777777" w:rsidR="00DD4E45" w:rsidRDefault="00000000">
      <w:pPr>
        <w:jc w:val="center"/>
      </w:pPr>
      <w:r>
        <w:rPr>
          <w:b/>
          <w:bCs/>
          <w:color w:val="FF7900"/>
          <w:sz w:val="22"/>
          <w:szCs w:val="22"/>
        </w:rPr>
        <w:t>DOCUMENT DE TRAVAIL INTERNE</w:t>
      </w:r>
    </w:p>
    <w:p w14:paraId="289C75FF" w14:textId="77777777" w:rsidR="00DD4E45" w:rsidRDefault="00000000">
      <w:pPr>
        <w:spacing w:before="200" w:after="200"/>
        <w:jc w:val="center"/>
      </w:pPr>
      <w:r>
        <w:rPr>
          <w:b/>
          <w:bCs/>
          <w:sz w:val="60"/>
          <w:szCs w:val="60"/>
        </w:rPr>
        <w:t>KWISMO</w:t>
      </w:r>
    </w:p>
    <w:p w14:paraId="15677DC6" w14:textId="35566734" w:rsidR="00DD4E45" w:rsidRDefault="00000000">
      <w:pPr>
        <w:spacing w:after="80"/>
        <w:jc w:val="center"/>
      </w:pPr>
      <w:r>
        <w:rPr>
          <w:color w:val="6B7486"/>
          <w:sz w:val="26"/>
          <w:szCs w:val="26"/>
        </w:rPr>
        <w:t>Modèle économique</w:t>
      </w:r>
    </w:p>
    <w:p w14:paraId="6701FDA7" w14:textId="5A967C23" w:rsidR="00DD4E45" w:rsidRDefault="00000000" w:rsidP="003D597D">
      <w:pPr>
        <w:spacing w:before="600"/>
        <w:jc w:val="center"/>
      </w:pPr>
      <w:r>
        <w:rPr>
          <w:color w:val="9AA2B1"/>
          <w:sz w:val="19"/>
          <w:szCs w:val="19"/>
        </w:rPr>
        <w:t>Version 1.0 · Août 2026 · Équipe SAFESEND</w:t>
      </w:r>
      <w:r>
        <w:br w:type="page"/>
      </w:r>
    </w:p>
    <w:p w14:paraId="526CE741" w14:textId="77777777" w:rsidR="00DD4E45" w:rsidRDefault="00000000">
      <w:pPr>
        <w:pStyle w:val="Titre1"/>
        <w:pBdr>
          <w:bottom w:val="single" w:sz="12" w:space="6" w:color="FF7900"/>
        </w:pBdr>
        <w:spacing w:before="480" w:after="200"/>
      </w:pPr>
      <w:r>
        <w:rPr>
          <w:b/>
          <w:bCs/>
          <w:color w:val="1B2333"/>
        </w:rPr>
        <w:lastRenderedPageBreak/>
        <w:t>Sommaire</w:t>
      </w:r>
    </w:p>
    <w:p w14:paraId="36F07E8F" w14:textId="77777777" w:rsidR="00DD4E45" w:rsidRDefault="00000000">
      <w:pPr>
        <w:spacing w:after="140"/>
      </w:pPr>
      <w:r>
        <w:rPr>
          <w:b/>
          <w:bCs/>
          <w:sz w:val="22"/>
          <w:szCs w:val="22"/>
        </w:rPr>
        <w:t>1.  Objectif du document</w:t>
      </w:r>
    </w:p>
    <w:p w14:paraId="4333F48A" w14:textId="77777777" w:rsidR="00DD4E45" w:rsidRDefault="00000000">
      <w:pPr>
        <w:spacing w:after="140"/>
      </w:pPr>
      <w:r>
        <w:rPr>
          <w:b/>
          <w:bCs/>
          <w:sz w:val="22"/>
          <w:szCs w:val="22"/>
        </w:rPr>
        <w:t>2.  Les deux sources de revenus</w:t>
      </w:r>
    </w:p>
    <w:p w14:paraId="3B391BA3" w14:textId="77777777" w:rsidR="00DD4E45" w:rsidRDefault="00000000">
      <w:pPr>
        <w:spacing w:after="140"/>
      </w:pPr>
      <w:r>
        <w:rPr>
          <w:b/>
          <w:bCs/>
          <w:sz w:val="22"/>
          <w:szCs w:val="22"/>
        </w:rPr>
        <w:t>3.  Grille tarifaire utilisateur final</w:t>
      </w:r>
    </w:p>
    <w:p w14:paraId="18E61D53" w14:textId="77777777" w:rsidR="00DD4E45" w:rsidRDefault="00000000">
      <w:pPr>
        <w:spacing w:after="140"/>
      </w:pPr>
      <w:r>
        <w:rPr>
          <w:b/>
          <w:bCs/>
          <w:sz w:val="22"/>
          <w:szCs w:val="22"/>
        </w:rPr>
        <w:t>4.  Politique d'essai gratuit et de signalement</w:t>
      </w:r>
    </w:p>
    <w:p w14:paraId="4EFFBC36" w14:textId="77777777" w:rsidR="00DD4E45" w:rsidRDefault="00000000">
      <w:pPr>
        <w:spacing w:after="140"/>
      </w:pPr>
      <w:r>
        <w:rPr>
          <w:b/>
          <w:bCs/>
          <w:sz w:val="22"/>
          <w:szCs w:val="22"/>
        </w:rPr>
        <w:t>5.  Structure de coûts (estimation)</w:t>
      </w:r>
    </w:p>
    <w:p w14:paraId="43E45343" w14:textId="77777777" w:rsidR="00DD4E45" w:rsidRDefault="00000000">
      <w:pPr>
        <w:spacing w:after="140"/>
      </w:pPr>
      <w:r>
        <w:rPr>
          <w:b/>
          <w:bCs/>
          <w:sz w:val="22"/>
          <w:szCs w:val="22"/>
        </w:rPr>
        <w:t>6.  Simulation de revenus — canal direct</w:t>
      </w:r>
    </w:p>
    <w:p w14:paraId="295AFD8B" w14:textId="77777777" w:rsidR="00DD4E45" w:rsidRDefault="00000000">
      <w:pPr>
        <w:spacing w:after="140"/>
      </w:pPr>
      <w:r>
        <w:rPr>
          <w:b/>
          <w:bCs/>
          <w:sz w:val="22"/>
          <w:szCs w:val="22"/>
        </w:rPr>
        <w:t>7.  Revenu potentiel — canal opérateur</w:t>
      </w:r>
    </w:p>
    <w:p w14:paraId="22BD8CEC" w14:textId="77777777" w:rsidR="00DD4E45" w:rsidRDefault="00000000">
      <w:pPr>
        <w:spacing w:after="140"/>
      </w:pPr>
      <w:r>
        <w:rPr>
          <w:b/>
          <w:bCs/>
          <w:sz w:val="22"/>
          <w:szCs w:val="22"/>
        </w:rPr>
        <w:t>8.  Synthèse — vers la rentabilité</w:t>
      </w:r>
    </w:p>
    <w:p w14:paraId="5CD401E4" w14:textId="77777777" w:rsidR="00DD4E45" w:rsidRDefault="00000000">
      <w:pPr>
        <w:spacing w:after="140"/>
      </w:pPr>
      <w:r>
        <w:rPr>
          <w:b/>
          <w:bCs/>
          <w:sz w:val="22"/>
          <w:szCs w:val="22"/>
        </w:rPr>
        <w:t>9.  Points à valider</w:t>
      </w:r>
    </w:p>
    <w:p w14:paraId="4C595E98" w14:textId="77777777" w:rsidR="00DD4E45" w:rsidRDefault="00000000">
      <w:r>
        <w:br w:type="page"/>
      </w:r>
    </w:p>
    <w:p w14:paraId="1B8ED419" w14:textId="77777777" w:rsidR="00DD4E45" w:rsidRDefault="00000000">
      <w:pPr>
        <w:pStyle w:val="Titre1"/>
        <w:pBdr>
          <w:bottom w:val="single" w:sz="12" w:space="6" w:color="FF7900"/>
        </w:pBdr>
        <w:spacing w:before="480" w:after="200"/>
      </w:pPr>
      <w:r>
        <w:rPr>
          <w:b/>
          <w:bCs/>
          <w:color w:val="1B2333"/>
        </w:rPr>
        <w:lastRenderedPageBreak/>
        <w:t>1. Objectif du document</w:t>
      </w:r>
    </w:p>
    <w:p w14:paraId="516B859E" w14:textId="77777777" w:rsidR="00DD4E45" w:rsidRDefault="00000000">
      <w:pPr>
        <w:spacing w:after="160" w:line="300" w:lineRule="auto"/>
      </w:pPr>
      <w:r>
        <w:t>Ce document rassemble exclusivement les éléments du modèle économique de KWISMO : comment le projet génère des revenus, tout en restant accessible aux utilisateurs et/ou avantageux pour les opérateurs partenaires.</w:t>
      </w:r>
    </w:p>
    <w:p w14:paraId="24F1E3A1" w14:textId="77777777" w:rsidR="00DD4E45" w:rsidRDefault="00000000">
      <w:pPr>
        <w:spacing w:after="160" w:line="300" w:lineRule="auto"/>
      </w:pPr>
      <w:r>
        <w:rPr>
          <w:i/>
          <w:iCs/>
          <w:color w:val="6B7486"/>
          <w:sz w:val="20"/>
          <w:szCs w:val="20"/>
        </w:rPr>
        <w:t>Il est volontairement séparé du document « Stratégie et vision stratégique », qui couvre la vision, les axes stratégiques et le plan de déploiement. Les deux documents sont complémentaires : la stratégie explique comment KWISMO se déploie et gagne des clients ; ce document explique comment KWISMO transforme cette adoption en revenus.</w:t>
      </w:r>
    </w:p>
    <w:p w14:paraId="6EB65A2C" w14:textId="77777777" w:rsidR="00DD4E45" w:rsidRDefault="00000000">
      <w:r>
        <w:br w:type="page"/>
      </w:r>
    </w:p>
    <w:p w14:paraId="64AE3D26" w14:textId="77777777" w:rsidR="00DD4E45" w:rsidRDefault="00000000">
      <w:pPr>
        <w:pStyle w:val="Titre1"/>
        <w:pBdr>
          <w:bottom w:val="single" w:sz="12" w:space="6" w:color="FF7900"/>
        </w:pBdr>
        <w:spacing w:before="480" w:after="200"/>
      </w:pPr>
      <w:r>
        <w:rPr>
          <w:b/>
          <w:bCs/>
          <w:color w:val="1B2333"/>
        </w:rPr>
        <w:lastRenderedPageBreak/>
        <w:t>2. Les deux sources de revenus</w:t>
      </w:r>
    </w:p>
    <w:p w14:paraId="0B6CBBB1" w14:textId="77777777" w:rsidR="00DD4E45" w:rsidRDefault="00000000">
      <w:pPr>
        <w:spacing w:after="160" w:line="300" w:lineRule="auto"/>
      </w:pPr>
      <w:r>
        <w:t>Le modèle économique combine deux canaux de revenus, activés selon le scénario de déploiement retenu (voir document Stratégie et vision stratégique, section 6).</w:t>
      </w:r>
    </w:p>
    <w:p w14:paraId="65692374" w14:textId="77777777" w:rsidR="00DD4E45" w:rsidRDefault="00000000">
      <w:pPr>
        <w:spacing w:before="200" w:after="100"/>
      </w:pPr>
      <w:r>
        <w:rPr>
          <w:b/>
          <w:bCs/>
        </w:rPr>
        <w:t>A. Canal opérateur (intégration B2B2C)</w:t>
      </w:r>
    </w:p>
    <w:p w14:paraId="0D821526" w14:textId="77777777" w:rsidR="00DD4E45" w:rsidRDefault="00000000">
      <w:pPr>
        <w:spacing w:after="160" w:line="300" w:lineRule="auto"/>
      </w:pPr>
      <w:r>
        <w:t>Facturation à l'usage : environ 0,001 $ par appel analysé, prise en charge par l'opérateur partenaire plutôt que par l'utilisateur final. L'utilisateur bénéficie donc de la protection sans surcoût direct.</w:t>
      </w:r>
    </w:p>
    <w:p w14:paraId="52721DE2" w14:textId="77777777" w:rsidR="00DD4E45" w:rsidRDefault="00000000">
      <w:pPr>
        <w:spacing w:after="160" w:line="276" w:lineRule="auto"/>
      </w:pPr>
      <w:r>
        <w:rPr>
          <w:i/>
          <w:iCs/>
          <w:color w:val="6B7486"/>
          <w:sz w:val="19"/>
          <w:szCs w:val="19"/>
        </w:rPr>
        <w:t>⚠ Le prix par appel (0,001 $) est une hypothèse de travail interne à affiner avec l'opérateur partenaire, pas un tarif négocié.</w:t>
      </w:r>
    </w:p>
    <w:p w14:paraId="7EF14116" w14:textId="77777777" w:rsidR="00DD4E45" w:rsidRDefault="00000000">
      <w:pPr>
        <w:spacing w:before="200" w:after="100"/>
      </w:pPr>
      <w:r>
        <w:rPr>
          <w:b/>
          <w:bCs/>
        </w:rPr>
        <w:t>B. Canal direct utilisateur (déploiement autonome)</w:t>
      </w:r>
    </w:p>
    <w:p w14:paraId="085AEEF8" w14:textId="77777777" w:rsidR="00DD4E45" w:rsidRDefault="00000000">
      <w:pPr>
        <w:spacing w:after="160" w:line="300" w:lineRule="auto"/>
      </w:pPr>
      <w:r>
        <w:t>Modèle freemium : une couche de base gratuite pour tous, et un abonnement Premium pour la protection en temps réel.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2400"/>
        <w:gridCol w:w="2400"/>
      </w:tblGrid>
      <w:tr w:rsidR="00DD4E45" w14:paraId="740095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0" w:type="dxa"/>
            <w:shd w:val="clear" w:color="auto" w:fill="F1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8E4AE1" w14:textId="77777777" w:rsidR="00DD4E45" w:rsidRDefault="00000000">
            <w:r>
              <w:rPr>
                <w:b/>
                <w:bCs/>
                <w:color w:val="6B7486"/>
                <w:sz w:val="18"/>
                <w:szCs w:val="18"/>
              </w:rPr>
              <w:t>Fonctionnalité</w:t>
            </w:r>
          </w:p>
        </w:tc>
        <w:tc>
          <w:tcPr>
            <w:tcW w:w="2400" w:type="dxa"/>
            <w:shd w:val="clear" w:color="auto" w:fill="F1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DB68B7" w14:textId="77777777" w:rsidR="00DD4E45" w:rsidRDefault="00000000">
            <w:pPr>
              <w:jc w:val="center"/>
            </w:pPr>
            <w:r>
              <w:rPr>
                <w:b/>
                <w:bCs/>
                <w:color w:val="6B7486"/>
                <w:sz w:val="18"/>
                <w:szCs w:val="18"/>
              </w:rPr>
              <w:t>Gratuit</w:t>
            </w:r>
          </w:p>
        </w:tc>
        <w:tc>
          <w:tcPr>
            <w:tcW w:w="2400" w:type="dxa"/>
            <w:shd w:val="clear" w:color="auto" w:fill="FF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4CF931" w14:textId="77777777" w:rsidR="00DD4E45" w:rsidRDefault="00000000">
            <w:pPr>
              <w:jc w:val="center"/>
            </w:pPr>
            <w:r>
              <w:rPr>
                <w:b/>
                <w:bCs/>
                <w:color w:val="FF7900"/>
                <w:sz w:val="18"/>
                <w:szCs w:val="18"/>
              </w:rPr>
              <w:t>Premium</w:t>
            </w:r>
          </w:p>
        </w:tc>
      </w:tr>
      <w:tr w:rsidR="00DD4E45" w14:paraId="4693253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84B017" w14:textId="77777777" w:rsidR="00DD4E45" w:rsidRDefault="00000000">
            <w:r>
              <w:rPr>
                <w:sz w:val="19"/>
                <w:szCs w:val="19"/>
              </w:rPr>
              <w:t>Signalement d'un numéro après un appel suspect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643A18" w14:textId="77777777" w:rsidR="00DD4E45" w:rsidRDefault="00000000">
            <w:pPr>
              <w:jc w:val="center"/>
            </w:pPr>
            <w:r>
              <w:rPr>
                <w:color w:val="6B7486"/>
                <w:sz w:val="19"/>
                <w:szCs w:val="19"/>
              </w:rPr>
              <w:t>Oui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159F75" w14:textId="77777777" w:rsidR="00DD4E45" w:rsidRDefault="00000000">
            <w:pPr>
              <w:jc w:val="center"/>
            </w:pPr>
            <w:r>
              <w:rPr>
                <w:b/>
                <w:bCs/>
                <w:color w:val="FF7900"/>
                <w:sz w:val="19"/>
                <w:szCs w:val="19"/>
              </w:rPr>
              <w:t>Oui</w:t>
            </w:r>
          </w:p>
        </w:tc>
      </w:tr>
      <w:tr w:rsidR="00DD4E45" w14:paraId="7C3A84C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1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06B2E7" w14:textId="77777777" w:rsidR="00DD4E45" w:rsidRDefault="00000000">
            <w:r>
              <w:rPr>
                <w:sz w:val="19"/>
                <w:szCs w:val="19"/>
              </w:rPr>
              <w:t>Alerte en temps réel pendant un appel entrant suspect</w:t>
            </w:r>
          </w:p>
        </w:tc>
        <w:tc>
          <w:tcPr>
            <w:tcW w:w="2400" w:type="dxa"/>
            <w:shd w:val="clear" w:color="auto" w:fill="F1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0A0330" w14:textId="77777777" w:rsidR="00DD4E45" w:rsidRDefault="00000000">
            <w:pPr>
              <w:jc w:val="center"/>
            </w:pPr>
            <w:r>
              <w:rPr>
                <w:color w:val="6B7486"/>
                <w:sz w:val="19"/>
                <w:szCs w:val="19"/>
              </w:rPr>
              <w:t>Non</w:t>
            </w:r>
          </w:p>
        </w:tc>
        <w:tc>
          <w:tcPr>
            <w:tcW w:w="2400" w:type="dxa"/>
            <w:shd w:val="clear" w:color="auto" w:fill="F1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2915EB" w14:textId="77777777" w:rsidR="00DD4E45" w:rsidRDefault="00000000">
            <w:pPr>
              <w:jc w:val="center"/>
            </w:pPr>
            <w:r>
              <w:rPr>
                <w:b/>
                <w:bCs/>
                <w:color w:val="FF7900"/>
                <w:sz w:val="19"/>
                <w:szCs w:val="19"/>
              </w:rPr>
              <w:t>Oui</w:t>
            </w:r>
          </w:p>
        </w:tc>
      </w:tr>
      <w:tr w:rsidR="00DD4E45" w14:paraId="6AF8950A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05A1A8" w14:textId="77777777" w:rsidR="00DD4E45" w:rsidRDefault="00000000">
            <w:r>
              <w:rPr>
                <w:sz w:val="19"/>
                <w:szCs w:val="19"/>
              </w:rPr>
              <w:t>Protection active (blocage / vérification avant transaction)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17AD88" w14:textId="77777777" w:rsidR="00DD4E45" w:rsidRDefault="00000000">
            <w:pPr>
              <w:jc w:val="center"/>
            </w:pPr>
            <w:r>
              <w:rPr>
                <w:color w:val="6B7486"/>
                <w:sz w:val="19"/>
                <w:szCs w:val="19"/>
              </w:rPr>
              <w:t>Non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690BDB" w14:textId="77777777" w:rsidR="00DD4E45" w:rsidRDefault="00000000">
            <w:pPr>
              <w:jc w:val="center"/>
            </w:pPr>
            <w:r>
              <w:rPr>
                <w:b/>
                <w:bCs/>
                <w:color w:val="FF7900"/>
                <w:sz w:val="19"/>
                <w:szCs w:val="19"/>
              </w:rPr>
              <w:t>Oui</w:t>
            </w:r>
          </w:p>
        </w:tc>
      </w:tr>
      <w:tr w:rsidR="00DD4E45" w14:paraId="1EDD1BB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F1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7AA195" w14:textId="77777777" w:rsidR="00DD4E45" w:rsidRDefault="00000000">
            <w:r>
              <w:rPr>
                <w:sz w:val="19"/>
                <w:szCs w:val="19"/>
              </w:rPr>
              <w:t>Accès à la base de renseignement communautaire</w:t>
            </w:r>
          </w:p>
        </w:tc>
        <w:tc>
          <w:tcPr>
            <w:tcW w:w="2400" w:type="dxa"/>
            <w:shd w:val="clear" w:color="auto" w:fill="F1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95C232" w14:textId="77777777" w:rsidR="00DD4E45" w:rsidRDefault="00000000">
            <w:pPr>
              <w:jc w:val="center"/>
            </w:pPr>
            <w:r>
              <w:rPr>
                <w:color w:val="6B7486"/>
                <w:sz w:val="19"/>
                <w:szCs w:val="19"/>
              </w:rPr>
              <w:t>Limité</w:t>
            </w:r>
          </w:p>
        </w:tc>
        <w:tc>
          <w:tcPr>
            <w:tcW w:w="2400" w:type="dxa"/>
            <w:shd w:val="clear" w:color="auto" w:fill="F1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47D5AD" w14:textId="77777777" w:rsidR="00DD4E45" w:rsidRDefault="00000000">
            <w:pPr>
              <w:jc w:val="center"/>
            </w:pPr>
            <w:r>
              <w:rPr>
                <w:b/>
                <w:bCs/>
                <w:color w:val="FF7900"/>
                <w:sz w:val="19"/>
                <w:szCs w:val="19"/>
              </w:rPr>
              <w:t>Complet</w:t>
            </w:r>
          </w:p>
        </w:tc>
      </w:tr>
    </w:tbl>
    <w:p w14:paraId="237C714E" w14:textId="77777777" w:rsidR="00DD4E45" w:rsidRDefault="00000000">
      <w:r>
        <w:br w:type="page"/>
      </w:r>
    </w:p>
    <w:p w14:paraId="7813778D" w14:textId="77777777" w:rsidR="00DD4E45" w:rsidRDefault="00000000">
      <w:pPr>
        <w:pStyle w:val="Titre1"/>
        <w:pBdr>
          <w:bottom w:val="single" w:sz="12" w:space="6" w:color="FF7900"/>
        </w:pBdr>
        <w:spacing w:before="480" w:after="200"/>
      </w:pPr>
      <w:r>
        <w:rPr>
          <w:b/>
          <w:bCs/>
          <w:color w:val="1B2333"/>
        </w:rPr>
        <w:lastRenderedPageBreak/>
        <w:t>3. Grille tarifaire utilisateur final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2400"/>
        <w:gridCol w:w="2800"/>
      </w:tblGrid>
      <w:tr w:rsidR="00DD4E45" w14:paraId="3F8D6A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F1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DE6199" w14:textId="77777777" w:rsidR="00DD4E45" w:rsidRDefault="00000000">
            <w:r>
              <w:rPr>
                <w:b/>
                <w:bCs/>
                <w:color w:val="6B7486"/>
                <w:sz w:val="18"/>
                <w:szCs w:val="18"/>
              </w:rPr>
              <w:t>Formule</w:t>
            </w:r>
          </w:p>
        </w:tc>
        <w:tc>
          <w:tcPr>
            <w:tcW w:w="2000" w:type="dxa"/>
            <w:shd w:val="clear" w:color="auto" w:fill="F1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52EA58" w14:textId="77777777" w:rsidR="00DD4E45" w:rsidRDefault="00000000">
            <w:pPr>
              <w:jc w:val="center"/>
            </w:pPr>
            <w:r>
              <w:rPr>
                <w:b/>
                <w:bCs/>
                <w:color w:val="6B7486"/>
                <w:sz w:val="18"/>
                <w:szCs w:val="18"/>
              </w:rPr>
              <w:t>Prix</w:t>
            </w:r>
          </w:p>
        </w:tc>
        <w:tc>
          <w:tcPr>
            <w:tcW w:w="2400" w:type="dxa"/>
            <w:shd w:val="clear" w:color="auto" w:fill="F1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F521E9" w14:textId="77777777" w:rsidR="00DD4E45" w:rsidRDefault="00000000">
            <w:pPr>
              <w:jc w:val="center"/>
            </w:pPr>
            <w:r>
              <w:rPr>
                <w:b/>
                <w:bCs/>
                <w:color w:val="6B7486"/>
                <w:sz w:val="18"/>
                <w:szCs w:val="18"/>
              </w:rPr>
              <w:t>Équivalent mensuel</w:t>
            </w:r>
          </w:p>
        </w:tc>
        <w:tc>
          <w:tcPr>
            <w:tcW w:w="2800" w:type="dxa"/>
            <w:shd w:val="clear" w:color="auto" w:fill="FF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22CFDE" w14:textId="77777777" w:rsidR="00DD4E45" w:rsidRDefault="00000000">
            <w:pPr>
              <w:jc w:val="center"/>
            </w:pPr>
            <w:r>
              <w:rPr>
                <w:b/>
                <w:bCs/>
                <w:color w:val="FF7900"/>
                <w:sz w:val="18"/>
                <w:szCs w:val="18"/>
              </w:rPr>
              <w:t>Économie vs mensuel</w:t>
            </w:r>
          </w:p>
        </w:tc>
      </w:tr>
      <w:tr w:rsidR="00DD4E45" w14:paraId="7A68CB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4A6E3E" w14:textId="77777777" w:rsidR="00DD4E45" w:rsidRDefault="00000000">
            <w:r>
              <w:rPr>
                <w:b/>
                <w:bCs/>
                <w:sz w:val="19"/>
                <w:szCs w:val="19"/>
              </w:rPr>
              <w:t>Mensuel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7409F4" w14:textId="77777777" w:rsidR="00DD4E45" w:rsidRDefault="00000000">
            <w:pPr>
              <w:jc w:val="center"/>
            </w:pPr>
            <w:r>
              <w:rPr>
                <w:sz w:val="19"/>
                <w:szCs w:val="19"/>
              </w:rPr>
              <w:t>100 FCFA / mois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AEAFC7" w14:textId="77777777" w:rsidR="00DD4E45" w:rsidRDefault="00000000">
            <w:pPr>
              <w:jc w:val="center"/>
            </w:pPr>
            <w:r>
              <w:rPr>
                <w:color w:val="6B7486"/>
                <w:sz w:val="19"/>
                <w:szCs w:val="19"/>
              </w:rPr>
              <w:t>100 FCFA</w:t>
            </w:r>
          </w:p>
        </w:tc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9A52D6" w14:textId="77777777" w:rsidR="00DD4E45" w:rsidRDefault="00000000">
            <w:pPr>
              <w:jc w:val="center"/>
            </w:pPr>
            <w:r>
              <w:rPr>
                <w:b/>
                <w:bCs/>
                <w:color w:val="FF7900"/>
                <w:sz w:val="19"/>
                <w:szCs w:val="19"/>
              </w:rPr>
              <w:t>—</w:t>
            </w:r>
          </w:p>
        </w:tc>
      </w:tr>
      <w:tr w:rsidR="00DD4E45" w14:paraId="382A3B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4101D1" w14:textId="77777777" w:rsidR="00DD4E45" w:rsidRDefault="00000000">
            <w:r>
              <w:rPr>
                <w:b/>
                <w:bCs/>
                <w:sz w:val="19"/>
                <w:szCs w:val="19"/>
              </w:rPr>
              <w:t>Semestriel (6 mois)</w:t>
            </w:r>
          </w:p>
        </w:tc>
        <w:tc>
          <w:tcPr>
            <w:tcW w:w="2000" w:type="dxa"/>
            <w:shd w:val="clear" w:color="auto" w:fill="F1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EF6C97" w14:textId="77777777" w:rsidR="00DD4E45" w:rsidRDefault="00000000">
            <w:pPr>
              <w:jc w:val="center"/>
            </w:pPr>
            <w:r>
              <w:rPr>
                <w:sz w:val="19"/>
                <w:szCs w:val="19"/>
              </w:rPr>
              <w:t>550 FCFA</w:t>
            </w:r>
          </w:p>
        </w:tc>
        <w:tc>
          <w:tcPr>
            <w:tcW w:w="2400" w:type="dxa"/>
            <w:shd w:val="clear" w:color="auto" w:fill="F1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25C980" w14:textId="77777777" w:rsidR="00DD4E45" w:rsidRDefault="00000000">
            <w:pPr>
              <w:jc w:val="center"/>
            </w:pPr>
            <w:r>
              <w:rPr>
                <w:color w:val="6B7486"/>
                <w:sz w:val="19"/>
                <w:szCs w:val="19"/>
              </w:rPr>
              <w:t>≈ 91,7 FCFA / mois</w:t>
            </w:r>
          </w:p>
        </w:tc>
        <w:tc>
          <w:tcPr>
            <w:tcW w:w="2800" w:type="dxa"/>
            <w:shd w:val="clear" w:color="auto" w:fill="F1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B01BE1" w14:textId="77777777" w:rsidR="00DD4E45" w:rsidRDefault="00000000">
            <w:pPr>
              <w:jc w:val="center"/>
            </w:pPr>
            <w:r>
              <w:rPr>
                <w:b/>
                <w:bCs/>
                <w:color w:val="FF7900"/>
                <w:sz w:val="19"/>
                <w:szCs w:val="19"/>
              </w:rPr>
              <w:t>50 FCFA soit 8,3 %</w:t>
            </w:r>
          </w:p>
        </w:tc>
      </w:tr>
      <w:tr w:rsidR="00DD4E45" w14:paraId="14C7A3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2D7FF9" w14:textId="77777777" w:rsidR="00DD4E45" w:rsidRDefault="00000000">
            <w:r>
              <w:rPr>
                <w:b/>
                <w:bCs/>
                <w:sz w:val="19"/>
                <w:szCs w:val="19"/>
              </w:rPr>
              <w:t>Annuel (12 mois)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933DA3" w14:textId="77777777" w:rsidR="00DD4E45" w:rsidRDefault="00000000">
            <w:pPr>
              <w:jc w:val="center"/>
            </w:pPr>
            <w:r>
              <w:rPr>
                <w:sz w:val="19"/>
                <w:szCs w:val="19"/>
              </w:rPr>
              <w:t>1 000 FCFA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B06950" w14:textId="77777777" w:rsidR="00DD4E45" w:rsidRDefault="00000000">
            <w:pPr>
              <w:jc w:val="center"/>
            </w:pPr>
            <w:r>
              <w:rPr>
                <w:color w:val="6B7486"/>
                <w:sz w:val="19"/>
                <w:szCs w:val="19"/>
              </w:rPr>
              <w:t>≈ 83,3 FCFA / mois</w:t>
            </w:r>
          </w:p>
        </w:tc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C4E665" w14:textId="77777777" w:rsidR="00DD4E45" w:rsidRDefault="00000000">
            <w:pPr>
              <w:jc w:val="center"/>
            </w:pPr>
            <w:r>
              <w:rPr>
                <w:b/>
                <w:bCs/>
                <w:color w:val="FF7900"/>
                <w:sz w:val="19"/>
                <w:szCs w:val="19"/>
              </w:rPr>
              <w:t>200 FCFA soit 16,7 %</w:t>
            </w:r>
          </w:p>
        </w:tc>
      </w:tr>
    </w:tbl>
    <w:p w14:paraId="49E029A0" w14:textId="77777777" w:rsidR="00DD4E45" w:rsidRDefault="00DD4E45">
      <w:pPr>
        <w:spacing w:after="200"/>
      </w:pPr>
    </w:p>
    <w:p w14:paraId="37A9B4EB" w14:textId="77777777" w:rsidR="00DD4E45" w:rsidRDefault="00000000">
      <w:pPr>
        <w:spacing w:after="160" w:line="300" w:lineRule="auto"/>
      </w:pPr>
      <w:r>
        <w:rPr>
          <w:i/>
          <w:iCs/>
          <w:color w:val="6B7486"/>
          <w:sz w:val="19"/>
          <w:szCs w:val="19"/>
        </w:rPr>
        <w:t>Les formules semestrielle et annuelle offrent une remise croissante pour encourager l'engagement long terme, tout en restant à un niveau de prix très accessible (moins de 100 FCFA/mois en moyenne dès l'engagement semestriel).</w:t>
      </w:r>
    </w:p>
    <w:p w14:paraId="048E7464" w14:textId="77777777" w:rsidR="00DD4E45" w:rsidRDefault="00000000">
      <w:r>
        <w:br w:type="page"/>
      </w:r>
    </w:p>
    <w:p w14:paraId="6813CBB6" w14:textId="77777777" w:rsidR="00DD4E45" w:rsidRDefault="00000000">
      <w:pPr>
        <w:pStyle w:val="Titre1"/>
        <w:pBdr>
          <w:bottom w:val="single" w:sz="12" w:space="6" w:color="FF7900"/>
        </w:pBdr>
        <w:spacing w:before="480" w:after="200"/>
      </w:pPr>
      <w:r>
        <w:rPr>
          <w:b/>
          <w:bCs/>
          <w:color w:val="1B2333"/>
        </w:rPr>
        <w:lastRenderedPageBreak/>
        <w:t>4. Politique d'essai gratuit et de signalement</w:t>
      </w:r>
    </w:p>
    <w:p w14:paraId="5A7AE579" w14:textId="77777777" w:rsidR="00DD4E45" w:rsidRDefault="00000000">
      <w:pPr>
        <w:pStyle w:val="Paragraphedeliste"/>
        <w:numPr>
          <w:ilvl w:val="0"/>
          <w:numId w:val="1"/>
        </w:numPr>
        <w:spacing w:after="90" w:line="280" w:lineRule="auto"/>
      </w:pPr>
      <w:r>
        <w:t>Le signalement d'un numéro reste gratuit en permanence, même après un appel frauduleux déjà survenu — fonctionnalité de base non restreinte, dans l'intérêt de la base de renseignement communautaire.</w:t>
      </w:r>
    </w:p>
    <w:p w14:paraId="37C2436D" w14:textId="77777777" w:rsidR="00DD4E45" w:rsidRDefault="00000000">
      <w:pPr>
        <w:pStyle w:val="Paragraphedeliste"/>
        <w:numPr>
          <w:ilvl w:val="0"/>
          <w:numId w:val="1"/>
        </w:numPr>
        <w:spacing w:after="90" w:line="280" w:lineRule="auto"/>
      </w:pPr>
      <w:r>
        <w:t>La protection proactive (alerte avant/pendant l'appel) n'est pas incluse dans le gratuit — c'est la fonctionnalité qui justifie l'abonnement Premium.</w:t>
      </w:r>
    </w:p>
    <w:p w14:paraId="32A178BA" w14:textId="7C2B9809" w:rsidR="00DD4E45" w:rsidRDefault="00000000">
      <w:pPr>
        <w:pStyle w:val="Paragraphedeliste"/>
        <w:numPr>
          <w:ilvl w:val="0"/>
          <w:numId w:val="1"/>
        </w:numPr>
        <w:spacing w:after="90" w:line="280" w:lineRule="auto"/>
      </w:pPr>
      <w:r>
        <w:t xml:space="preserve">Chaque nouvel utilisateur bénéficie de </w:t>
      </w:r>
      <w:r w:rsidR="003D597D">
        <w:t>9 mois</w:t>
      </w:r>
      <w:r>
        <w:t xml:space="preserve"> d'essai Premium gratuits à l'inscription.</w:t>
      </w:r>
    </w:p>
    <w:p w14:paraId="77A14006" w14:textId="49B33599" w:rsidR="00DD4E45" w:rsidRDefault="00000000">
      <w:pPr>
        <w:pStyle w:val="Paragraphedeliste"/>
        <w:numPr>
          <w:ilvl w:val="0"/>
          <w:numId w:val="1"/>
        </w:numPr>
        <w:spacing w:after="90" w:line="280" w:lineRule="auto"/>
      </w:pPr>
      <w:r>
        <w:t xml:space="preserve">À l'issue des </w:t>
      </w:r>
      <w:r w:rsidR="003D597D">
        <w:t>9 mois</w:t>
      </w:r>
      <w:r>
        <w:t>, la protection proactive est coupée automatiquement sauf souscription à l'une des formules payantes (mensuelle, semestrielle ou annuelle).</w:t>
      </w:r>
    </w:p>
    <w:p w14:paraId="002218D3" w14:textId="77777777" w:rsidR="00DD4E45" w:rsidRDefault="00000000">
      <w:r>
        <w:br w:type="page"/>
      </w:r>
    </w:p>
    <w:p w14:paraId="371F06D5" w14:textId="77777777" w:rsidR="00DD4E45" w:rsidRDefault="00000000">
      <w:pPr>
        <w:pStyle w:val="Titre1"/>
        <w:pBdr>
          <w:bottom w:val="single" w:sz="12" w:space="6" w:color="FF7900"/>
        </w:pBdr>
        <w:spacing w:before="480" w:after="200"/>
      </w:pPr>
      <w:r>
        <w:rPr>
          <w:b/>
          <w:bCs/>
          <w:color w:val="1B2333"/>
        </w:rPr>
        <w:lastRenderedPageBreak/>
        <w:t>5. Structure de coûts (estimation)</w:t>
      </w:r>
    </w:p>
    <w:p w14:paraId="3C55EB5A" w14:textId="77777777" w:rsidR="00DD4E45" w:rsidRDefault="00000000">
      <w:pPr>
        <w:spacing w:after="160" w:line="276" w:lineRule="auto"/>
      </w:pPr>
      <w:r>
        <w:rPr>
          <w:i/>
          <w:iCs/>
          <w:color w:val="6B7486"/>
          <w:sz w:val="19"/>
          <w:szCs w:val="19"/>
        </w:rPr>
        <w:t>⚠ Cette structure de coûts est qualitative et indicative — elle vise à identifier les postes de dépense à chiffrer, pas à fournir un budget final.</w:t>
      </w:r>
    </w:p>
    <w:p w14:paraId="4732B8FB" w14:textId="77777777" w:rsidR="00DD4E45" w:rsidRDefault="00000000">
      <w:pPr>
        <w:spacing w:after="160" w:line="300" w:lineRule="auto"/>
      </w:pPr>
      <w:r>
        <w:t>Les coûts diffèrent fortement selon le scénario de déploiement retenu 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300"/>
        <w:gridCol w:w="3300"/>
      </w:tblGrid>
      <w:tr w:rsidR="00DD4E45" w14:paraId="264E35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F1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EF547D" w14:textId="77777777" w:rsidR="00DD4E45" w:rsidRDefault="00000000">
            <w:r>
              <w:rPr>
                <w:b/>
                <w:bCs/>
                <w:color w:val="6B7486"/>
                <w:sz w:val="18"/>
                <w:szCs w:val="18"/>
              </w:rPr>
              <w:t>Poste de coût</w:t>
            </w:r>
          </w:p>
        </w:tc>
        <w:tc>
          <w:tcPr>
            <w:tcW w:w="3300" w:type="dxa"/>
            <w:shd w:val="clear" w:color="auto" w:fill="FF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89416A" w14:textId="77777777" w:rsidR="00DD4E45" w:rsidRDefault="00000000">
            <w:pPr>
              <w:jc w:val="center"/>
            </w:pPr>
            <w:r>
              <w:rPr>
                <w:b/>
                <w:bCs/>
                <w:color w:val="FF7900"/>
                <w:sz w:val="18"/>
                <w:szCs w:val="18"/>
              </w:rPr>
              <w:t>Canal opérateur (B2B2C)</w:t>
            </w:r>
          </w:p>
        </w:tc>
        <w:tc>
          <w:tcPr>
            <w:tcW w:w="3300" w:type="dxa"/>
            <w:shd w:val="clear" w:color="auto" w:fill="EEF1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9F38AD" w14:textId="77777777" w:rsidR="00DD4E45" w:rsidRDefault="00000000">
            <w:pPr>
              <w:jc w:val="center"/>
            </w:pPr>
            <w:r>
              <w:rPr>
                <w:b/>
                <w:bCs/>
                <w:color w:val="4D6AB1"/>
                <w:sz w:val="18"/>
                <w:szCs w:val="18"/>
              </w:rPr>
              <w:t>Canal direct (B2C)</w:t>
            </w:r>
          </w:p>
        </w:tc>
      </w:tr>
      <w:tr w:rsidR="00DD4E45" w14:paraId="616BB5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631093" w14:textId="77777777" w:rsidR="00DD4E45" w:rsidRDefault="00000000">
            <w:r>
              <w:rPr>
                <w:b/>
                <w:bCs/>
                <w:sz w:val="19"/>
                <w:szCs w:val="19"/>
              </w:rPr>
              <w:t>Hébergement &amp; infrastructure</w:t>
            </w:r>
          </w:p>
        </w:tc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7FA9AC" w14:textId="77777777" w:rsidR="00DD4E45" w:rsidRDefault="00000000">
            <w:pPr>
              <w:jc w:val="center"/>
            </w:pPr>
            <w:r>
              <w:rPr>
                <w:sz w:val="19"/>
                <w:szCs w:val="19"/>
              </w:rPr>
              <w:t>Faible — mutualisé avec les volumes opérateur</w:t>
            </w:r>
          </w:p>
        </w:tc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9D1641" w14:textId="77777777" w:rsidR="00DD4E45" w:rsidRDefault="00000000">
            <w:pPr>
              <w:jc w:val="center"/>
            </w:pPr>
            <w:r>
              <w:rPr>
                <w:sz w:val="19"/>
                <w:szCs w:val="19"/>
              </w:rPr>
              <w:t>Élevé — à la charge de KWISMO, croît avec les utilisateurs</w:t>
            </w:r>
          </w:p>
        </w:tc>
      </w:tr>
      <w:tr w:rsidR="00DD4E45" w14:paraId="60410F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1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255D46" w14:textId="77777777" w:rsidR="00DD4E45" w:rsidRDefault="00000000">
            <w:r>
              <w:rPr>
                <w:b/>
                <w:bCs/>
                <w:sz w:val="19"/>
                <w:szCs w:val="19"/>
              </w:rPr>
              <w:t>Acquisition utilisateurs</w:t>
            </w:r>
          </w:p>
        </w:tc>
        <w:tc>
          <w:tcPr>
            <w:tcW w:w="3300" w:type="dxa"/>
            <w:shd w:val="clear" w:color="auto" w:fill="F1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7845CF" w14:textId="77777777" w:rsidR="00DD4E45" w:rsidRDefault="00000000">
            <w:pPr>
              <w:jc w:val="center"/>
            </w:pPr>
            <w:r>
              <w:rPr>
                <w:sz w:val="19"/>
                <w:szCs w:val="19"/>
              </w:rPr>
              <w:t>Quasi nul — portée par la base d’abonnés de l’opérateur</w:t>
            </w:r>
          </w:p>
        </w:tc>
        <w:tc>
          <w:tcPr>
            <w:tcW w:w="3300" w:type="dxa"/>
            <w:shd w:val="clear" w:color="auto" w:fill="F1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1AE7F2" w14:textId="77777777" w:rsidR="00DD4E45" w:rsidRDefault="00000000">
            <w:pPr>
              <w:jc w:val="center"/>
            </w:pPr>
            <w:r>
              <w:rPr>
                <w:sz w:val="19"/>
                <w:szCs w:val="19"/>
              </w:rPr>
              <w:t>Élevé — marketing, communication, terrain (kiosques)</w:t>
            </w:r>
          </w:p>
        </w:tc>
      </w:tr>
      <w:tr w:rsidR="00DD4E45" w14:paraId="313B4C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F3BA89" w14:textId="77777777" w:rsidR="00DD4E45" w:rsidRDefault="00000000">
            <w:r>
              <w:rPr>
                <w:b/>
                <w:bCs/>
                <w:sz w:val="19"/>
                <w:szCs w:val="19"/>
              </w:rPr>
              <w:t>Support client</w:t>
            </w:r>
          </w:p>
        </w:tc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7E5E6" w14:textId="77777777" w:rsidR="00DD4E45" w:rsidRDefault="00000000">
            <w:pPr>
              <w:jc w:val="center"/>
            </w:pPr>
            <w:r>
              <w:rPr>
                <w:sz w:val="19"/>
                <w:szCs w:val="19"/>
              </w:rPr>
              <w:t>Partagé avec l’opérateur</w:t>
            </w:r>
          </w:p>
        </w:tc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4B7102" w14:textId="77777777" w:rsidR="00DD4E45" w:rsidRDefault="00000000">
            <w:pPr>
              <w:jc w:val="center"/>
            </w:pPr>
            <w:r>
              <w:rPr>
                <w:sz w:val="19"/>
                <w:szCs w:val="19"/>
              </w:rPr>
              <w:t>Intégralement à la charge de KWISMO</w:t>
            </w:r>
          </w:p>
        </w:tc>
      </w:tr>
      <w:tr w:rsidR="00DD4E45" w14:paraId="07FF36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1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ED888A" w14:textId="77777777" w:rsidR="00DD4E45" w:rsidRDefault="00000000">
            <w:r>
              <w:rPr>
                <w:b/>
                <w:bCs/>
                <w:sz w:val="19"/>
                <w:szCs w:val="19"/>
              </w:rPr>
              <w:t>Développement produit</w:t>
            </w:r>
          </w:p>
        </w:tc>
        <w:tc>
          <w:tcPr>
            <w:tcW w:w="3300" w:type="dxa"/>
            <w:shd w:val="clear" w:color="auto" w:fill="F1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9C0089" w14:textId="77777777" w:rsidR="00DD4E45" w:rsidRDefault="00000000">
            <w:pPr>
              <w:jc w:val="center"/>
            </w:pPr>
            <w:r>
              <w:rPr>
                <w:sz w:val="19"/>
                <w:szCs w:val="19"/>
              </w:rPr>
              <w:t>Commun aux deux scénarios (API, app, IA de détection)</w:t>
            </w:r>
          </w:p>
        </w:tc>
        <w:tc>
          <w:tcPr>
            <w:tcW w:w="3300" w:type="dxa"/>
            <w:shd w:val="clear" w:color="auto" w:fill="F1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CD388D" w14:textId="77777777" w:rsidR="00DD4E45" w:rsidRDefault="00000000">
            <w:pPr>
              <w:jc w:val="center"/>
            </w:pPr>
            <w:r>
              <w:rPr>
                <w:sz w:val="19"/>
                <w:szCs w:val="19"/>
              </w:rPr>
              <w:t>Commun aux deux scénarios (API, app, IA de détection)</w:t>
            </w:r>
          </w:p>
        </w:tc>
      </w:tr>
    </w:tbl>
    <w:p w14:paraId="64CFB046" w14:textId="77777777" w:rsidR="00DD4E45" w:rsidRDefault="00DD4E45">
      <w:pPr>
        <w:spacing w:after="200"/>
      </w:pPr>
    </w:p>
    <w:p w14:paraId="0EAA5489" w14:textId="77777777" w:rsidR="00DD4E45" w:rsidRDefault="00000000">
      <w:pPr>
        <w:spacing w:after="160" w:line="300" w:lineRule="auto"/>
      </w:pPr>
      <w:r>
        <w:rPr>
          <w:i/>
          <w:iCs/>
          <w:color w:val="6B7486"/>
          <w:sz w:val="20"/>
          <w:szCs w:val="20"/>
        </w:rPr>
        <w:t>Cette asymétrie de coûts explique pourquoi le scénario opérateur reste prioritaire dans la stratégie de déploiement : à revenu comparable, sa marge est nettement plus favorable les premières années.</w:t>
      </w:r>
    </w:p>
    <w:p w14:paraId="3779BCD9" w14:textId="77777777" w:rsidR="00DD4E45" w:rsidRDefault="00000000">
      <w:r>
        <w:br w:type="page"/>
      </w:r>
    </w:p>
    <w:p w14:paraId="544EA9B2" w14:textId="77777777" w:rsidR="00DD4E45" w:rsidRDefault="00000000">
      <w:pPr>
        <w:pStyle w:val="Titre1"/>
        <w:pBdr>
          <w:bottom w:val="single" w:sz="12" w:space="6" w:color="FF7900"/>
        </w:pBdr>
        <w:spacing w:before="480" w:after="200"/>
      </w:pPr>
      <w:r>
        <w:rPr>
          <w:b/>
          <w:bCs/>
          <w:color w:val="1B2333"/>
        </w:rPr>
        <w:lastRenderedPageBreak/>
        <w:t>6. Simulation de revenus — canal direct</w:t>
      </w:r>
    </w:p>
    <w:p w14:paraId="68D0FBD6" w14:textId="77777777" w:rsidR="00DD4E45" w:rsidRDefault="00000000">
      <w:pPr>
        <w:spacing w:after="160" w:line="276" w:lineRule="auto"/>
      </w:pPr>
      <w:r>
        <w:rPr>
          <w:i/>
          <w:iCs/>
          <w:color w:val="6B7486"/>
          <w:sz w:val="19"/>
          <w:szCs w:val="19"/>
        </w:rPr>
        <w:t>⚠ Cette simulation est une estimation illustrative construite par KWISMO pour donner un ordre de grandeur — les volumes d'utilisateurs et taux de conversion doivent être validés en équipe avant toute présentation externe.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050"/>
        <w:gridCol w:w="1900"/>
        <w:gridCol w:w="1550"/>
        <w:gridCol w:w="2200"/>
      </w:tblGrid>
      <w:tr w:rsidR="00DD4E45" w14:paraId="20B5F1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F1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5A2958" w14:textId="77777777" w:rsidR="00DD4E45" w:rsidRDefault="00000000">
            <w:r>
              <w:rPr>
                <w:b/>
                <w:bCs/>
                <w:color w:val="6B7486"/>
                <w:sz w:val="18"/>
                <w:szCs w:val="18"/>
              </w:rPr>
              <w:t>Scénario</w:t>
            </w:r>
          </w:p>
        </w:tc>
        <w:tc>
          <w:tcPr>
            <w:tcW w:w="2050" w:type="dxa"/>
            <w:shd w:val="clear" w:color="auto" w:fill="F1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F0DE54" w14:textId="77777777" w:rsidR="00DD4E45" w:rsidRDefault="00000000">
            <w:pPr>
              <w:jc w:val="center"/>
            </w:pPr>
            <w:r>
              <w:rPr>
                <w:b/>
                <w:bCs/>
                <w:color w:val="6B7486"/>
                <w:sz w:val="18"/>
                <w:szCs w:val="18"/>
              </w:rPr>
              <w:t>Utilisateurs actifs (an 1)</w:t>
            </w:r>
          </w:p>
        </w:tc>
        <w:tc>
          <w:tcPr>
            <w:tcW w:w="1900" w:type="dxa"/>
            <w:shd w:val="clear" w:color="auto" w:fill="F1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8DE953" w14:textId="77777777" w:rsidR="00DD4E45" w:rsidRDefault="00000000">
            <w:pPr>
              <w:jc w:val="center"/>
            </w:pPr>
            <w:r>
              <w:rPr>
                <w:b/>
                <w:bCs/>
                <w:color w:val="6B7486"/>
                <w:sz w:val="18"/>
                <w:szCs w:val="18"/>
              </w:rPr>
              <w:t>Taux conversion Premium</w:t>
            </w:r>
          </w:p>
        </w:tc>
        <w:tc>
          <w:tcPr>
            <w:tcW w:w="1550" w:type="dxa"/>
            <w:shd w:val="clear" w:color="auto" w:fill="F1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3CE075" w14:textId="77777777" w:rsidR="00DD4E45" w:rsidRDefault="00000000">
            <w:pPr>
              <w:jc w:val="center"/>
            </w:pPr>
            <w:r>
              <w:rPr>
                <w:b/>
                <w:bCs/>
                <w:color w:val="6B7486"/>
                <w:sz w:val="18"/>
                <w:szCs w:val="18"/>
              </w:rPr>
              <w:t>Abonnés payants</w:t>
            </w:r>
          </w:p>
        </w:tc>
        <w:tc>
          <w:tcPr>
            <w:tcW w:w="2200" w:type="dxa"/>
            <w:shd w:val="clear" w:color="auto" w:fill="FFF4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7BC809" w14:textId="77777777" w:rsidR="00DD4E45" w:rsidRDefault="00000000">
            <w:pPr>
              <w:jc w:val="center"/>
            </w:pPr>
            <w:r>
              <w:rPr>
                <w:b/>
                <w:bCs/>
                <w:color w:val="FF7900"/>
                <w:sz w:val="18"/>
                <w:szCs w:val="18"/>
              </w:rPr>
              <w:t>Revenu annuel estimé</w:t>
            </w:r>
          </w:p>
        </w:tc>
      </w:tr>
      <w:tr w:rsidR="00DD4E45" w14:paraId="72B79CC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0A8BA8" w14:textId="77777777" w:rsidR="00DD4E45" w:rsidRDefault="00000000">
            <w:r>
              <w:rPr>
                <w:b/>
                <w:bCs/>
                <w:sz w:val="19"/>
                <w:szCs w:val="19"/>
              </w:rPr>
              <w:t>Prudent</w:t>
            </w:r>
          </w:p>
        </w:tc>
        <w:tc>
          <w:tcPr>
            <w:tcW w:w="20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C96BA" w14:textId="77777777" w:rsidR="00DD4E45" w:rsidRDefault="00000000">
            <w:pPr>
              <w:jc w:val="center"/>
            </w:pPr>
            <w:r>
              <w:rPr>
                <w:sz w:val="19"/>
                <w:szCs w:val="19"/>
              </w:rPr>
              <w:t>50 000</w:t>
            </w:r>
          </w:p>
        </w:tc>
        <w:tc>
          <w:tcPr>
            <w:tcW w:w="19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4F5095" w14:textId="77777777" w:rsidR="00DD4E45" w:rsidRDefault="00000000">
            <w:pPr>
              <w:jc w:val="center"/>
            </w:pPr>
            <w:r>
              <w:rPr>
                <w:sz w:val="19"/>
                <w:szCs w:val="19"/>
              </w:rPr>
              <w:t>5 %</w:t>
            </w:r>
          </w:p>
        </w:tc>
        <w:tc>
          <w:tcPr>
            <w:tcW w:w="1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D35D5C" w14:textId="77777777" w:rsidR="00DD4E45" w:rsidRDefault="00000000">
            <w:pPr>
              <w:jc w:val="center"/>
            </w:pPr>
            <w:r>
              <w:rPr>
                <w:sz w:val="19"/>
                <w:szCs w:val="19"/>
              </w:rPr>
              <w:t>2 500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B18E93" w14:textId="77777777" w:rsidR="00DD4E45" w:rsidRDefault="00000000">
            <w:pPr>
              <w:jc w:val="center"/>
            </w:pPr>
            <w:r>
              <w:rPr>
                <w:b/>
                <w:bCs/>
                <w:color w:val="FF7900"/>
                <w:sz w:val="19"/>
                <w:szCs w:val="19"/>
              </w:rPr>
              <w:t>≈ 2,7 M FCFA</w:t>
            </w:r>
          </w:p>
        </w:tc>
      </w:tr>
      <w:tr w:rsidR="00DD4E45" w14:paraId="3212F20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1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067668" w14:textId="77777777" w:rsidR="00DD4E45" w:rsidRDefault="00000000">
            <w:r>
              <w:rPr>
                <w:b/>
                <w:bCs/>
                <w:sz w:val="19"/>
                <w:szCs w:val="19"/>
              </w:rPr>
              <w:t>Modéré</w:t>
            </w:r>
          </w:p>
        </w:tc>
        <w:tc>
          <w:tcPr>
            <w:tcW w:w="2050" w:type="dxa"/>
            <w:shd w:val="clear" w:color="auto" w:fill="F1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F92DD9" w14:textId="77777777" w:rsidR="00DD4E45" w:rsidRDefault="00000000">
            <w:pPr>
              <w:jc w:val="center"/>
            </w:pPr>
            <w:r>
              <w:rPr>
                <w:sz w:val="19"/>
                <w:szCs w:val="19"/>
              </w:rPr>
              <w:t>150 000</w:t>
            </w:r>
          </w:p>
        </w:tc>
        <w:tc>
          <w:tcPr>
            <w:tcW w:w="1900" w:type="dxa"/>
            <w:shd w:val="clear" w:color="auto" w:fill="F1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60D545" w14:textId="77777777" w:rsidR="00DD4E45" w:rsidRDefault="00000000">
            <w:pPr>
              <w:jc w:val="center"/>
            </w:pPr>
            <w:r>
              <w:rPr>
                <w:sz w:val="19"/>
                <w:szCs w:val="19"/>
              </w:rPr>
              <w:t>8 %</w:t>
            </w:r>
          </w:p>
        </w:tc>
        <w:tc>
          <w:tcPr>
            <w:tcW w:w="1550" w:type="dxa"/>
            <w:shd w:val="clear" w:color="auto" w:fill="F1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E28012" w14:textId="77777777" w:rsidR="00DD4E45" w:rsidRDefault="00000000">
            <w:pPr>
              <w:jc w:val="center"/>
            </w:pPr>
            <w:r>
              <w:rPr>
                <w:sz w:val="19"/>
                <w:szCs w:val="19"/>
              </w:rPr>
              <w:t>12 000</w:t>
            </w:r>
          </w:p>
        </w:tc>
        <w:tc>
          <w:tcPr>
            <w:tcW w:w="2200" w:type="dxa"/>
            <w:shd w:val="clear" w:color="auto" w:fill="F1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5821BB" w14:textId="77777777" w:rsidR="00DD4E45" w:rsidRDefault="00000000">
            <w:pPr>
              <w:jc w:val="center"/>
            </w:pPr>
            <w:r>
              <w:rPr>
                <w:b/>
                <w:bCs/>
                <w:color w:val="FF7900"/>
                <w:sz w:val="19"/>
                <w:szCs w:val="19"/>
              </w:rPr>
              <w:t>≈ 13,0 M FCFA</w:t>
            </w:r>
          </w:p>
        </w:tc>
      </w:tr>
      <w:tr w:rsidR="00DD4E45" w14:paraId="68F1836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DCC4E0" w14:textId="77777777" w:rsidR="00DD4E45" w:rsidRDefault="00000000">
            <w:r>
              <w:rPr>
                <w:b/>
                <w:bCs/>
                <w:sz w:val="19"/>
                <w:szCs w:val="19"/>
              </w:rPr>
              <w:t>Ambitieux</w:t>
            </w:r>
          </w:p>
        </w:tc>
        <w:tc>
          <w:tcPr>
            <w:tcW w:w="20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798B48" w14:textId="77777777" w:rsidR="00DD4E45" w:rsidRDefault="00000000">
            <w:pPr>
              <w:jc w:val="center"/>
            </w:pPr>
            <w:r>
              <w:rPr>
                <w:sz w:val="19"/>
                <w:szCs w:val="19"/>
              </w:rPr>
              <w:t>400 000</w:t>
            </w:r>
          </w:p>
        </w:tc>
        <w:tc>
          <w:tcPr>
            <w:tcW w:w="19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E1350D" w14:textId="77777777" w:rsidR="00DD4E45" w:rsidRDefault="00000000">
            <w:pPr>
              <w:jc w:val="center"/>
            </w:pPr>
            <w:r>
              <w:rPr>
                <w:sz w:val="19"/>
                <w:szCs w:val="19"/>
              </w:rPr>
              <w:t>12 %</w:t>
            </w:r>
          </w:p>
        </w:tc>
        <w:tc>
          <w:tcPr>
            <w:tcW w:w="1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BD2323" w14:textId="77777777" w:rsidR="00DD4E45" w:rsidRDefault="00000000">
            <w:pPr>
              <w:jc w:val="center"/>
            </w:pPr>
            <w:r>
              <w:rPr>
                <w:sz w:val="19"/>
                <w:szCs w:val="19"/>
              </w:rPr>
              <w:t>48 000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F9F9D0" w14:textId="77777777" w:rsidR="00DD4E45" w:rsidRDefault="00000000">
            <w:pPr>
              <w:jc w:val="center"/>
            </w:pPr>
            <w:r>
              <w:rPr>
                <w:b/>
                <w:bCs/>
                <w:color w:val="FF7900"/>
                <w:sz w:val="19"/>
                <w:szCs w:val="19"/>
              </w:rPr>
              <w:t>≈ 51,8 M FCFA</w:t>
            </w:r>
          </w:p>
        </w:tc>
      </w:tr>
    </w:tbl>
    <w:p w14:paraId="144A8393" w14:textId="77777777" w:rsidR="00DD4E45" w:rsidRDefault="00DD4E45">
      <w:pPr>
        <w:spacing w:after="120"/>
      </w:pPr>
    </w:p>
    <w:p w14:paraId="09A655A1" w14:textId="77777777" w:rsidR="00DD4E45" w:rsidRDefault="00000000">
      <w:pPr>
        <w:spacing w:after="160" w:line="300" w:lineRule="auto"/>
      </w:pPr>
      <w:r>
        <w:rPr>
          <w:i/>
          <w:iCs/>
          <w:color w:val="6B7486"/>
          <w:sz w:val="18"/>
          <w:szCs w:val="18"/>
        </w:rPr>
        <w:t>Méthode de calcul : Revenu annuel ≈ Abonnés payants × ARPU mensuel moyen pondéré (≈ 90 FCFA, en tenant compte du mélange des formules mensuelle / semestrielle / annuelle) × 12 mois.</w:t>
      </w:r>
    </w:p>
    <w:p w14:paraId="4D2FAFF1" w14:textId="77777777" w:rsidR="00DD4E45" w:rsidRDefault="00000000">
      <w:r>
        <w:br w:type="page"/>
      </w:r>
    </w:p>
    <w:p w14:paraId="397DA211" w14:textId="77777777" w:rsidR="00DD4E45" w:rsidRDefault="00000000">
      <w:pPr>
        <w:pStyle w:val="Titre1"/>
        <w:pBdr>
          <w:bottom w:val="single" w:sz="12" w:space="6" w:color="FF7900"/>
        </w:pBdr>
        <w:spacing w:before="480" w:after="200"/>
      </w:pPr>
      <w:r>
        <w:rPr>
          <w:b/>
          <w:bCs/>
          <w:color w:val="1B2333"/>
        </w:rPr>
        <w:lastRenderedPageBreak/>
        <w:t>7. Revenu potentiel — canal opérateur</w:t>
      </w:r>
    </w:p>
    <w:p w14:paraId="23BF4723" w14:textId="77777777" w:rsidR="00DD4E45" w:rsidRDefault="00000000">
      <w:pPr>
        <w:spacing w:after="160" w:line="300" w:lineRule="auto"/>
      </w:pPr>
      <w:r>
        <w:t>Si le scénario d'intégration opérateur se concrétise, le revenu ne dépend plus d'un taux de conversion mais du volume d'appels analysés.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2400"/>
        <w:gridCol w:w="2800"/>
      </w:tblGrid>
      <w:tr w:rsidR="00DD4E45" w14:paraId="1A691A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shd w:val="clear" w:color="auto" w:fill="F1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18BED6" w14:textId="77777777" w:rsidR="00DD4E45" w:rsidRDefault="00000000">
            <w:r>
              <w:rPr>
                <w:b/>
                <w:bCs/>
                <w:color w:val="6B7486"/>
                <w:sz w:val="18"/>
                <w:szCs w:val="18"/>
              </w:rPr>
              <w:t>Hypothèse de volume</w:t>
            </w:r>
          </w:p>
        </w:tc>
        <w:tc>
          <w:tcPr>
            <w:tcW w:w="2400" w:type="dxa"/>
            <w:shd w:val="clear" w:color="auto" w:fill="F1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5E0FA0" w14:textId="77777777" w:rsidR="00DD4E45" w:rsidRDefault="00000000">
            <w:pPr>
              <w:jc w:val="center"/>
            </w:pPr>
            <w:r>
              <w:rPr>
                <w:b/>
                <w:bCs/>
                <w:color w:val="6B7486"/>
                <w:sz w:val="18"/>
                <w:szCs w:val="18"/>
              </w:rPr>
              <w:t>Appels analysés / mois</w:t>
            </w:r>
          </w:p>
        </w:tc>
        <w:tc>
          <w:tcPr>
            <w:tcW w:w="2800" w:type="dxa"/>
            <w:shd w:val="clear" w:color="auto" w:fill="EEF1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8A5EF2" w14:textId="77777777" w:rsidR="00DD4E45" w:rsidRDefault="00000000">
            <w:pPr>
              <w:jc w:val="center"/>
            </w:pPr>
            <w:r>
              <w:rPr>
                <w:b/>
                <w:bCs/>
                <w:color w:val="4D6AB1"/>
                <w:sz w:val="18"/>
                <w:szCs w:val="18"/>
              </w:rPr>
              <w:t>Revenu mensuel (≈ 0,001 $/appel)</w:t>
            </w:r>
          </w:p>
        </w:tc>
      </w:tr>
      <w:tr w:rsidR="00DD4E45" w14:paraId="0F32ADBD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17FCD2" w14:textId="77777777" w:rsidR="00DD4E45" w:rsidRDefault="00000000">
            <w:r>
              <w:rPr>
                <w:b/>
                <w:bCs/>
                <w:sz w:val="19"/>
                <w:szCs w:val="19"/>
              </w:rPr>
              <w:t>Phase pilote (une région)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4AD750" w14:textId="77777777" w:rsidR="00DD4E45" w:rsidRDefault="00000000">
            <w:pPr>
              <w:jc w:val="center"/>
            </w:pPr>
            <w:r>
              <w:rPr>
                <w:sz w:val="19"/>
                <w:szCs w:val="19"/>
              </w:rPr>
              <w:t>1 000 000</w:t>
            </w:r>
          </w:p>
        </w:tc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32D56E" w14:textId="77777777" w:rsidR="00DD4E45" w:rsidRDefault="00000000">
            <w:pPr>
              <w:jc w:val="center"/>
            </w:pPr>
            <w:r>
              <w:rPr>
                <w:b/>
                <w:bCs/>
                <w:color w:val="4D6AB1"/>
                <w:sz w:val="19"/>
                <w:szCs w:val="19"/>
              </w:rPr>
              <w:t>≈ 1 000 $ (≈ 655 000 FCFA)</w:t>
            </w:r>
          </w:p>
        </w:tc>
      </w:tr>
      <w:tr w:rsidR="00DD4E45" w14:paraId="46623B7D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F1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3FD7CB" w14:textId="77777777" w:rsidR="00DD4E45" w:rsidRDefault="00000000">
            <w:r>
              <w:rPr>
                <w:b/>
                <w:bCs/>
                <w:sz w:val="19"/>
                <w:szCs w:val="19"/>
              </w:rPr>
              <w:t>Déploiement national partiel</w:t>
            </w:r>
          </w:p>
        </w:tc>
        <w:tc>
          <w:tcPr>
            <w:tcW w:w="2400" w:type="dxa"/>
            <w:shd w:val="clear" w:color="auto" w:fill="F1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46600F" w14:textId="77777777" w:rsidR="00DD4E45" w:rsidRDefault="00000000">
            <w:pPr>
              <w:jc w:val="center"/>
            </w:pPr>
            <w:r>
              <w:rPr>
                <w:sz w:val="19"/>
                <w:szCs w:val="19"/>
              </w:rPr>
              <w:t>5 000 000</w:t>
            </w:r>
          </w:p>
        </w:tc>
        <w:tc>
          <w:tcPr>
            <w:tcW w:w="2800" w:type="dxa"/>
            <w:shd w:val="clear" w:color="auto" w:fill="F1F3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E00D11" w14:textId="77777777" w:rsidR="00DD4E45" w:rsidRDefault="00000000">
            <w:pPr>
              <w:jc w:val="center"/>
            </w:pPr>
            <w:r>
              <w:rPr>
                <w:b/>
                <w:bCs/>
                <w:color w:val="4D6AB1"/>
                <w:sz w:val="19"/>
                <w:szCs w:val="19"/>
              </w:rPr>
              <w:t>≈ 5 000 $ (≈ 3,3 M FCFA)</w:t>
            </w:r>
          </w:p>
        </w:tc>
      </w:tr>
      <w:tr w:rsidR="00DD4E45" w14:paraId="2D763D76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90FD0E" w14:textId="77777777" w:rsidR="00DD4E45" w:rsidRDefault="00000000">
            <w:r>
              <w:rPr>
                <w:b/>
                <w:bCs/>
                <w:sz w:val="19"/>
                <w:szCs w:val="19"/>
              </w:rPr>
              <w:t>Déploiement national complet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48E956" w14:textId="77777777" w:rsidR="00DD4E45" w:rsidRDefault="00000000">
            <w:pPr>
              <w:jc w:val="center"/>
            </w:pPr>
            <w:r>
              <w:rPr>
                <w:sz w:val="19"/>
                <w:szCs w:val="19"/>
              </w:rPr>
              <w:t>15 000 000</w:t>
            </w:r>
          </w:p>
        </w:tc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2C6D9E" w14:textId="77777777" w:rsidR="00DD4E45" w:rsidRDefault="00000000">
            <w:pPr>
              <w:jc w:val="center"/>
            </w:pPr>
            <w:r>
              <w:rPr>
                <w:b/>
                <w:bCs/>
                <w:color w:val="4D6AB1"/>
                <w:sz w:val="19"/>
                <w:szCs w:val="19"/>
              </w:rPr>
              <w:t>≈ 15 000 $ (≈ 9,8 M FCFA)</w:t>
            </w:r>
          </w:p>
        </w:tc>
      </w:tr>
    </w:tbl>
    <w:p w14:paraId="2C20A379" w14:textId="77777777" w:rsidR="00DD4E45" w:rsidRDefault="00DD4E45">
      <w:pPr>
        <w:spacing w:after="120"/>
      </w:pPr>
    </w:p>
    <w:p w14:paraId="7B2C16FF" w14:textId="77777777" w:rsidR="00DD4E45" w:rsidRDefault="00000000">
      <w:pPr>
        <w:spacing w:after="160" w:line="276" w:lineRule="auto"/>
      </w:pPr>
      <w:r>
        <w:rPr>
          <w:i/>
          <w:iCs/>
          <w:color w:val="6B7486"/>
          <w:sz w:val="19"/>
          <w:szCs w:val="19"/>
        </w:rPr>
        <w:t>⚠ Les volumes d'appels ci-dessus sont des hypothèses illustratives pour situer un ordre de grandeur ; ils ne reposent pas encore sur des données de trafic réelles d'un opérateur. Conversion utilisée : 1 $ ≈ 655 FCFA, à ajuster selon le taux réel.</w:t>
      </w:r>
    </w:p>
    <w:p w14:paraId="657B1DC2" w14:textId="77777777" w:rsidR="00DD4E45" w:rsidRDefault="00000000">
      <w:r>
        <w:br w:type="page"/>
      </w:r>
    </w:p>
    <w:p w14:paraId="3F3195AF" w14:textId="77777777" w:rsidR="00DD4E45" w:rsidRDefault="00000000">
      <w:pPr>
        <w:pStyle w:val="Titre1"/>
        <w:pBdr>
          <w:bottom w:val="single" w:sz="12" w:space="6" w:color="FF7900"/>
        </w:pBdr>
        <w:spacing w:before="480" w:after="200"/>
      </w:pPr>
      <w:r>
        <w:rPr>
          <w:b/>
          <w:bCs/>
          <w:color w:val="1B2333"/>
        </w:rPr>
        <w:lastRenderedPageBreak/>
        <w:t>8. Synthèse — vers la rentabilité</w:t>
      </w:r>
    </w:p>
    <w:p w14:paraId="6C483E3A" w14:textId="77777777" w:rsidR="00DD4E45" w:rsidRDefault="00000000">
      <w:pPr>
        <w:spacing w:after="160" w:line="300" w:lineRule="auto"/>
      </w:pPr>
      <w:r>
        <w:t>En l'état des hypothèses de ce document, deux lectures se dégagent :</w:t>
      </w:r>
    </w:p>
    <w:p w14:paraId="2A88273D" w14:textId="77777777" w:rsidR="00DD4E45" w:rsidRDefault="00000000">
      <w:pPr>
        <w:pStyle w:val="Paragraphedeliste"/>
        <w:numPr>
          <w:ilvl w:val="0"/>
          <w:numId w:val="1"/>
        </w:numPr>
        <w:spacing w:after="90" w:line="280" w:lineRule="auto"/>
      </w:pPr>
      <w:r>
        <w:t>Le canal opérateur offre un revenu prévisible dès la phase pilote, avec une structure de coûts nettement plus légère pour KWISMO — c'est le chemin le plus rapide vers un équilibre financier.</w:t>
      </w:r>
    </w:p>
    <w:p w14:paraId="445625DA" w14:textId="77777777" w:rsidR="00DD4E45" w:rsidRDefault="00000000">
      <w:pPr>
        <w:pStyle w:val="Paragraphedeliste"/>
        <w:numPr>
          <w:ilvl w:val="0"/>
          <w:numId w:val="1"/>
        </w:numPr>
        <w:spacing w:after="90" w:line="280" w:lineRule="auto"/>
      </w:pPr>
      <w:r>
        <w:t>Le canal direct devient significatif à partir du scénario « modéré » (≈ 13 M FCFA/an), mais suppose des coûts d'acquisition et de support plus élevés, non encore chiffrés précisément.</w:t>
      </w:r>
    </w:p>
    <w:p w14:paraId="37F6FC1B" w14:textId="77777777" w:rsidR="00DD4E45" w:rsidRDefault="00000000">
      <w:pPr>
        <w:pStyle w:val="Paragraphedeliste"/>
        <w:numPr>
          <w:ilvl w:val="0"/>
          <w:numId w:val="1"/>
        </w:numPr>
        <w:spacing w:after="90" w:line="280" w:lineRule="auto"/>
      </w:pPr>
      <w:r>
        <w:t>Les deux canaux ne sont pas exclusifs : un partenariat opérateur peut coexister avec une offre directe pour les zones ou segments non couverts par l'opérateur.</w:t>
      </w:r>
    </w:p>
    <w:p w14:paraId="19325E78" w14:textId="77777777" w:rsidR="00DD4E45" w:rsidRDefault="00DD4E45">
      <w:pPr>
        <w:spacing w:after="100"/>
      </w:pPr>
    </w:p>
    <w:p w14:paraId="3C5EE016" w14:textId="77777777" w:rsidR="00DD4E45" w:rsidRDefault="00000000">
      <w:pPr>
        <w:spacing w:after="160" w:line="300" w:lineRule="auto"/>
      </w:pPr>
      <w:r>
        <w:rPr>
          <w:i/>
          <w:iCs/>
          <w:color w:val="6B7486"/>
          <w:sz w:val="20"/>
          <w:szCs w:val="20"/>
        </w:rPr>
        <w:t>Une analyse de rentabilité complète (seuil de rentabilité, coûts fixes vs variables) nécessite de chiffrer précisément les postes identifiés en section 5 — c'est la prochaine étape naturelle de ce document.</w:t>
      </w:r>
    </w:p>
    <w:p w14:paraId="7305555B" w14:textId="39449CA2" w:rsidR="00DD4E45" w:rsidRDefault="00DD4E45" w:rsidP="003D597D"/>
    <w:sectPr w:rsidR="00DD4E45">
      <w:headerReference w:type="default" r:id="rId7"/>
      <w:footerReference w:type="default" r:id="rId8"/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50854" w14:textId="77777777" w:rsidR="00847695" w:rsidRDefault="00847695">
      <w:r>
        <w:separator/>
      </w:r>
    </w:p>
  </w:endnote>
  <w:endnote w:type="continuationSeparator" w:id="0">
    <w:p w14:paraId="3A0C782B" w14:textId="77777777" w:rsidR="00847695" w:rsidRDefault="008476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D3534" w14:textId="77777777" w:rsidR="00DD4E45" w:rsidRDefault="00000000">
    <w:pPr>
      <w:jc w:val="right"/>
    </w:pPr>
    <w:r>
      <w:rPr>
        <w:color w:val="9AA2B1"/>
        <w:sz w:val="16"/>
        <w:szCs w:val="16"/>
      </w:rPr>
      <w:t xml:space="preserve">Page </w:t>
    </w:r>
    <w:r>
      <w:rPr>
        <w:color w:val="9AA2B1"/>
        <w:sz w:val="16"/>
        <w:szCs w:val="16"/>
      </w:rPr>
      <w:fldChar w:fldCharType="begin"/>
    </w:r>
    <w:r>
      <w:rPr>
        <w:color w:val="9AA2B1"/>
        <w:sz w:val="16"/>
        <w:szCs w:val="16"/>
      </w:rPr>
      <w:instrText>PAGE</w:instrText>
    </w:r>
    <w:r>
      <w:rPr>
        <w:color w:val="9AA2B1"/>
        <w:sz w:val="16"/>
        <w:szCs w:val="16"/>
      </w:rPr>
      <w:fldChar w:fldCharType="separate"/>
    </w:r>
    <w:r w:rsidR="003D597D">
      <w:rPr>
        <w:noProof/>
        <w:color w:val="9AA2B1"/>
        <w:sz w:val="16"/>
        <w:szCs w:val="16"/>
      </w:rPr>
      <w:t>1</w:t>
    </w:r>
    <w:r>
      <w:rPr>
        <w:color w:val="9AA2B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51415" w14:textId="77777777" w:rsidR="00847695" w:rsidRDefault="00847695">
      <w:r>
        <w:separator/>
      </w:r>
    </w:p>
  </w:footnote>
  <w:footnote w:type="continuationSeparator" w:id="0">
    <w:p w14:paraId="7FE2DBEA" w14:textId="77777777" w:rsidR="00847695" w:rsidRDefault="008476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0AE10" w14:textId="77777777" w:rsidR="00DD4E45" w:rsidRDefault="00000000">
    <w:pPr>
      <w:jc w:val="right"/>
    </w:pPr>
    <w:r>
      <w:rPr>
        <w:color w:val="9AA2B1"/>
        <w:sz w:val="15"/>
        <w:szCs w:val="15"/>
      </w:rPr>
      <w:t>KWISMO — Document interne · Plan économique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02050"/>
    <w:multiLevelType w:val="hybridMultilevel"/>
    <w:tmpl w:val="A7F041A6"/>
    <w:lvl w:ilvl="0" w:tplc="0EC4D454">
      <w:start w:val="1"/>
      <w:numFmt w:val="bullet"/>
      <w:lvlText w:val="●"/>
      <w:lvlJc w:val="left"/>
      <w:pPr>
        <w:ind w:left="720" w:hanging="360"/>
      </w:pPr>
    </w:lvl>
    <w:lvl w:ilvl="1" w:tplc="327C2B9A">
      <w:start w:val="1"/>
      <w:numFmt w:val="bullet"/>
      <w:lvlText w:val="○"/>
      <w:lvlJc w:val="left"/>
      <w:pPr>
        <w:ind w:left="1440" w:hanging="360"/>
      </w:pPr>
    </w:lvl>
    <w:lvl w:ilvl="2" w:tplc="336C393C">
      <w:start w:val="1"/>
      <w:numFmt w:val="bullet"/>
      <w:lvlText w:val="■"/>
      <w:lvlJc w:val="left"/>
      <w:pPr>
        <w:ind w:left="2160" w:hanging="360"/>
      </w:pPr>
    </w:lvl>
    <w:lvl w:ilvl="3" w:tplc="FE92B59E">
      <w:start w:val="1"/>
      <w:numFmt w:val="bullet"/>
      <w:lvlText w:val="●"/>
      <w:lvlJc w:val="left"/>
      <w:pPr>
        <w:ind w:left="2880" w:hanging="360"/>
      </w:pPr>
    </w:lvl>
    <w:lvl w:ilvl="4" w:tplc="0B087442">
      <w:start w:val="1"/>
      <w:numFmt w:val="bullet"/>
      <w:lvlText w:val="○"/>
      <w:lvlJc w:val="left"/>
      <w:pPr>
        <w:ind w:left="3600" w:hanging="360"/>
      </w:pPr>
    </w:lvl>
    <w:lvl w:ilvl="5" w:tplc="6E007C96">
      <w:start w:val="1"/>
      <w:numFmt w:val="bullet"/>
      <w:lvlText w:val="■"/>
      <w:lvlJc w:val="left"/>
      <w:pPr>
        <w:ind w:left="4320" w:hanging="360"/>
      </w:pPr>
    </w:lvl>
    <w:lvl w:ilvl="6" w:tplc="E68E5F50">
      <w:start w:val="1"/>
      <w:numFmt w:val="bullet"/>
      <w:lvlText w:val="●"/>
      <w:lvlJc w:val="left"/>
      <w:pPr>
        <w:ind w:left="5040" w:hanging="360"/>
      </w:pPr>
    </w:lvl>
    <w:lvl w:ilvl="7" w:tplc="0F360820">
      <w:start w:val="1"/>
      <w:numFmt w:val="bullet"/>
      <w:lvlText w:val="●"/>
      <w:lvlJc w:val="left"/>
      <w:pPr>
        <w:ind w:left="5760" w:hanging="360"/>
      </w:pPr>
    </w:lvl>
    <w:lvl w:ilvl="8" w:tplc="18AABB12">
      <w:start w:val="1"/>
      <w:numFmt w:val="bullet"/>
      <w:lvlText w:val="●"/>
      <w:lvlJc w:val="left"/>
      <w:pPr>
        <w:ind w:left="6480" w:hanging="360"/>
      </w:pPr>
    </w:lvl>
  </w:abstractNum>
  <w:num w:numId="1" w16cid:durableId="19848441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E45"/>
    <w:rsid w:val="000F14A1"/>
    <w:rsid w:val="003D597D"/>
    <w:rsid w:val="00847695"/>
    <w:rsid w:val="00DD4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AC23F"/>
  <w15:docId w15:val="{1BD81AEA-F712-40C0-9FDE-273A28C9B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B2333"/>
        <w:sz w:val="21"/>
        <w:szCs w:val="21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978</Words>
  <Characters>5385</Characters>
  <Application>Microsoft Office Word</Application>
  <DocSecurity>0</DocSecurity>
  <Lines>44</Lines>
  <Paragraphs>12</Paragraphs>
  <ScaleCrop>false</ScaleCrop>
  <Company/>
  <LinksUpToDate>false</LinksUpToDate>
  <CharactersWithSpaces>6351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Brayan Weko</cp:lastModifiedBy>
  <cp:revision>2</cp:revision>
  <dcterms:created xsi:type="dcterms:W3CDTF">2026-08-26T09:00:00Z</dcterms:created>
  <dcterms:modified xsi:type="dcterms:W3CDTF">2026-08-26T09:15:00Z</dcterms:modified>
</cp:coreProperties>
</file>