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60F8" w14:textId="77777777" w:rsidR="00032BC6" w:rsidRDefault="00032BC6">
      <w:pPr>
        <w:spacing w:after="900"/>
      </w:pPr>
    </w:p>
    <w:p w14:paraId="5E12ABBC" w14:textId="77777777" w:rsidR="00032BC6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09045C0B" wp14:editId="074BD8A8">
            <wp:extent cx="3048000" cy="1200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A7F" w14:textId="77777777" w:rsidR="00032BC6" w:rsidRDefault="00000000">
      <w:pPr>
        <w:spacing w:after="60"/>
        <w:jc w:val="center"/>
      </w:pPr>
      <w:r>
        <w:rPr>
          <w:b/>
          <w:bCs/>
          <w:caps/>
          <w:color w:val="F39200"/>
          <w:sz w:val="24"/>
          <w:szCs w:val="24"/>
        </w:rPr>
        <w:t>CAHIER DES CHARGES</w:t>
      </w:r>
    </w:p>
    <w:p w14:paraId="4CF7D388" w14:textId="77777777" w:rsidR="00032BC6" w:rsidRDefault="00000000">
      <w:pPr>
        <w:spacing w:after="40"/>
        <w:jc w:val="center"/>
      </w:pPr>
      <w:r>
        <w:rPr>
          <w:b/>
          <w:bCs/>
          <w:color w:val="2D2E83"/>
          <w:sz w:val="52"/>
          <w:szCs w:val="52"/>
        </w:rPr>
        <w:t>Modèle IA</w:t>
      </w:r>
    </w:p>
    <w:p w14:paraId="5A7AE77D" w14:textId="77777777" w:rsidR="00032BC6" w:rsidRDefault="00000000">
      <w:pPr>
        <w:spacing w:after="40"/>
        <w:jc w:val="center"/>
      </w:pPr>
      <w:r>
        <w:rPr>
          <w:color w:val="5A6B7B"/>
          <w:sz w:val="24"/>
          <w:szCs w:val="24"/>
        </w:rPr>
        <w:t>Détection de fraude · Scoring &amp; NLP africain</w:t>
      </w:r>
    </w:p>
    <w:p w14:paraId="380F9382" w14:textId="77777777" w:rsidR="00032BC6" w:rsidRDefault="00000000">
      <w:pPr>
        <w:spacing w:before="200" w:after="40"/>
        <w:jc w:val="center"/>
      </w:pPr>
      <w:r>
        <w:rPr>
          <w:color w:val="2D2E83"/>
          <w:sz w:val="26"/>
          <w:szCs w:val="26"/>
        </w:rPr>
        <w:t>■</w:t>
      </w:r>
      <w:r>
        <w:rPr>
          <w:color w:val="F39200"/>
          <w:sz w:val="26"/>
          <w:szCs w:val="26"/>
        </w:rPr>
        <w:t xml:space="preserve"> ■</w:t>
      </w:r>
      <w:r>
        <w:rPr>
          <w:color w:val="2FAC66"/>
          <w:sz w:val="26"/>
          <w:szCs w:val="26"/>
        </w:rPr>
        <w:t xml:space="preserve"> ■</w:t>
      </w:r>
    </w:p>
    <w:p w14:paraId="489AA7AF" w14:textId="77777777" w:rsidR="00032BC6" w:rsidRDefault="00032BC6">
      <w:pPr>
        <w:spacing w:after="1400"/>
      </w:pPr>
    </w:p>
    <w:tbl>
      <w:tblPr>
        <w:tblW w:w="4000" w:type="pct"/>
        <w:jc w:val="center"/>
        <w:tblBorders>
          <w:top w:val="single" w:sz="8" w:space="0" w:color="F39200"/>
          <w:bottom w:val="single" w:sz="8" w:space="0" w:color="F39200"/>
          <w:insideH w:val="single" w:sz="3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0"/>
        <w:gridCol w:w="4895"/>
      </w:tblGrid>
      <w:tr w:rsidR="00032BC6" w14:paraId="710DF8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01FCD06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Projet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0F0940F7" w14:textId="77777777" w:rsidR="00032BC6" w:rsidRDefault="00000000">
            <w:r>
              <w:rPr>
                <w:sz w:val="19"/>
                <w:szCs w:val="19"/>
              </w:rPr>
              <w:t>KWISMO — Protection anti-fraude Mobile Money</w:t>
            </w:r>
          </w:p>
        </w:tc>
      </w:tr>
      <w:tr w:rsidR="00032BC6" w14:paraId="79D25C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4010BB15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Document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5CE5E015" w14:textId="77777777" w:rsidR="00032BC6" w:rsidRDefault="00000000">
            <w:r>
              <w:rPr>
                <w:sz w:val="19"/>
                <w:szCs w:val="19"/>
              </w:rPr>
              <w:t>Cahier des charges — Modèle IA</w:t>
            </w:r>
          </w:p>
        </w:tc>
      </w:tr>
      <w:tr w:rsidR="00032BC6" w14:paraId="4D5F9F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623F617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Version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7CA47D16" w14:textId="77777777" w:rsidR="00032BC6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032BC6" w14:paraId="1C42EB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87E15F3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Date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481D0483" w14:textId="77777777" w:rsidR="00032BC6" w:rsidRDefault="00000000">
            <w:r>
              <w:rPr>
                <w:sz w:val="19"/>
                <w:szCs w:val="19"/>
              </w:rPr>
              <w:t>21 juillet 2026</w:t>
            </w:r>
          </w:p>
        </w:tc>
      </w:tr>
      <w:tr w:rsidR="00032BC6" w14:paraId="7C1AED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4E4CE79E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Destinataire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775E6A24" w14:textId="77777777" w:rsidR="00032BC6" w:rsidRDefault="00000000">
            <w:r>
              <w:rPr>
                <w:sz w:val="19"/>
                <w:szCs w:val="19"/>
              </w:rPr>
              <w:t>Équipe Data (2 data scientists)</w:t>
            </w:r>
          </w:p>
        </w:tc>
      </w:tr>
      <w:tr w:rsidR="00032BC6" w:rsidRPr="00754413" w14:paraId="433AF5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0219BBA" w14:textId="77777777" w:rsidR="00032BC6" w:rsidRDefault="00000000">
            <w:r>
              <w:rPr>
                <w:b/>
                <w:bCs/>
                <w:caps/>
                <w:color w:val="2D2E83"/>
                <w:sz w:val="18"/>
                <w:szCs w:val="18"/>
              </w:rPr>
              <w:t>Stack cible</w:t>
            </w:r>
          </w:p>
        </w:tc>
        <w:tc>
          <w:tcPr>
            <w:tcW w:w="61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146008B6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sz w:val="19"/>
                <w:szCs w:val="19"/>
                <w:lang w:val="en-CA"/>
              </w:rPr>
              <w:t>Python · scikit-learn/LightGBM · Hugging Face · FastAPI</w:t>
            </w:r>
          </w:p>
        </w:tc>
      </w:tr>
    </w:tbl>
    <w:p w14:paraId="47E153E1" w14:textId="77777777" w:rsidR="00032BC6" w:rsidRPr="00754413" w:rsidRDefault="00000000">
      <w:pPr>
        <w:rPr>
          <w:lang w:val="en-CA"/>
        </w:rPr>
      </w:pPr>
      <w:r w:rsidRPr="00754413">
        <w:rPr>
          <w:lang w:val="en-CA"/>
        </w:rPr>
        <w:br w:type="page"/>
      </w:r>
    </w:p>
    <w:p w14:paraId="2A5BAE77" w14:textId="77777777" w:rsidR="00032BC6" w:rsidRPr="00754413" w:rsidRDefault="00032BC6">
      <w:pPr>
        <w:rPr>
          <w:lang w:val="en-CA"/>
        </w:rPr>
        <w:sectPr w:rsidR="00032BC6" w:rsidRPr="00754413">
          <w:pgSz w:w="11906" w:h="16838"/>
          <w:pgMar w:top="1440" w:right="1200" w:bottom="1440" w:left="1200" w:header="708" w:footer="708" w:gutter="0"/>
          <w:cols w:space="720"/>
          <w:docGrid w:linePitch="360"/>
        </w:sectPr>
      </w:pPr>
    </w:p>
    <w:p w14:paraId="1A40C8E6" w14:textId="77777777" w:rsidR="00032BC6" w:rsidRDefault="00000000">
      <w:pPr>
        <w:pBdr>
          <w:bottom w:val="single" w:sz="14" w:space="6" w:color="F39200"/>
        </w:pBdr>
        <w:spacing w:after="160"/>
      </w:pPr>
      <w:r>
        <w:rPr>
          <w:b/>
          <w:bCs/>
          <w:color w:val="2D2E83"/>
          <w:sz w:val="30"/>
          <w:szCs w:val="30"/>
        </w:rPr>
        <w:lastRenderedPageBreak/>
        <w:t>Table des matières</w:t>
      </w:r>
    </w:p>
    <w:sdt>
      <w:sdtPr>
        <w:alias w:val="Sommaire"/>
        <w:id w:val="-384643896"/>
      </w:sdtPr>
      <w:sdtContent>
        <w:p w14:paraId="4267E5D6" w14:textId="77777777" w:rsidR="00754413" w:rsidRDefault="00000000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528181" w:history="1">
            <w:r w:rsidR="00754413" w:rsidRPr="00B840EB">
              <w:rPr>
                <w:rStyle w:val="Lienhypertexte"/>
                <w:noProof/>
              </w:rPr>
              <w:t>1  Présentation du document</w:t>
            </w:r>
            <w:r w:rsidR="00754413">
              <w:rPr>
                <w:noProof/>
              </w:rPr>
              <w:tab/>
            </w:r>
            <w:r w:rsidR="00754413">
              <w:rPr>
                <w:noProof/>
              </w:rPr>
              <w:fldChar w:fldCharType="begin"/>
            </w:r>
            <w:r w:rsidR="00754413">
              <w:rPr>
                <w:noProof/>
              </w:rPr>
              <w:instrText xml:space="preserve"> PAGEREF _Toc235528181 \h </w:instrText>
            </w:r>
            <w:r w:rsidR="00754413">
              <w:rPr>
                <w:noProof/>
              </w:rPr>
            </w:r>
            <w:r w:rsidR="00754413">
              <w:rPr>
                <w:noProof/>
              </w:rPr>
              <w:fldChar w:fldCharType="separate"/>
            </w:r>
            <w:r w:rsidR="00754413">
              <w:rPr>
                <w:noProof/>
              </w:rPr>
              <w:t>1</w:t>
            </w:r>
            <w:r w:rsidR="00754413">
              <w:rPr>
                <w:noProof/>
              </w:rPr>
              <w:fldChar w:fldCharType="end"/>
            </w:r>
          </w:hyperlink>
        </w:p>
        <w:p w14:paraId="26E92B1F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2" w:history="1">
            <w:r w:rsidRPr="00B840EB">
              <w:rPr>
                <w:rStyle w:val="Lienhypertexte"/>
                <w:noProof/>
              </w:rPr>
              <w:t>1.1  Deux modèles, un seul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7F8B6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3" w:history="1">
            <w:r w:rsidRPr="00B840EB">
              <w:rPr>
                <w:rStyle w:val="Lienhypertexte"/>
                <w:noProof/>
              </w:rPr>
              <w:t>1.2  Contrainte fondatrice : léger, rapide, efficace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7D3DA7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84" w:history="1">
            <w:r w:rsidRPr="00B840EB">
              <w:rPr>
                <w:rStyle w:val="Lienhypertexte"/>
                <w:noProof/>
              </w:rPr>
              <w:t>2  Comprendre l’entraînement d’un modèle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B2F9D9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5" w:history="1">
            <w:r w:rsidRPr="00B840EB">
              <w:rPr>
                <w:rStyle w:val="Lienhypertexte"/>
                <w:noProof/>
              </w:rPr>
              <w:t>2.1  Le principe : apprendre à partir d’exemples étiquetés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7CCEE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6" w:history="1">
            <w:r w:rsidRPr="00B840EB">
              <w:rPr>
                <w:rStyle w:val="Lienhypertexte"/>
                <w:noProof/>
              </w:rPr>
              <w:t>2.2  Les 7 étapes du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D8ACC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7" w:history="1">
            <w:r w:rsidRPr="00B840EB">
              <w:rPr>
                <w:rStyle w:val="Lienhypertexte"/>
                <w:noProof/>
              </w:rPr>
              <w:t>2.3  Le vocabulaire essentiel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280C3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88" w:history="1">
            <w:r w:rsidRPr="00B840EB">
              <w:rPr>
                <w:rStyle w:val="Lienhypertexte"/>
                <w:noProof/>
              </w:rPr>
              <w:t>3  Stratégie de données (adaptée au Cameroun / Afrique)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28BB7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89" w:history="1">
            <w:r w:rsidRPr="00B840EB">
              <w:rPr>
                <w:rStyle w:val="Lienhypertexte"/>
                <w:noProof/>
              </w:rPr>
              <w:t>3.1  Sources de données, de la plus fiable à la plus bruitée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69AEA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0" w:history="1">
            <w:r w:rsidRPr="00B840EB">
              <w:rPr>
                <w:rStyle w:val="Lienhypertexte"/>
                <w:noProof/>
              </w:rPr>
              <w:t>3.2  Le défi des langues locales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1B5A9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1" w:history="1">
            <w:r w:rsidRPr="00B840EB">
              <w:rPr>
                <w:rStyle w:val="Lienhypertexte"/>
                <w:noProof/>
              </w:rPr>
              <w:t>3.3  Gouvernance &amp;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2E624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2" w:history="1">
            <w:r w:rsidRPr="00B840EB">
              <w:rPr>
                <w:rStyle w:val="Lienhypertexte"/>
                <w:noProof/>
              </w:rPr>
              <w:t>3.4  Éthique &amp; biais (à surveiller)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3D36F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93" w:history="1">
            <w:r w:rsidRPr="00B840EB">
              <w:rPr>
                <w:rStyle w:val="Lienhypertexte"/>
                <w:noProof/>
              </w:rPr>
              <w:t>4  Modèle A — Scoring de réputation des numéros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D339CB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4" w:history="1">
            <w:r w:rsidRPr="00B840EB">
              <w:rPr>
                <w:rStyle w:val="Lienhypertexte"/>
                <w:noProof/>
              </w:rPr>
              <w:t>4.1  Caractéristiques (features)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CECF3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5" w:history="1">
            <w:r w:rsidRPr="00B840EB">
              <w:rPr>
                <w:rStyle w:val="Lienhypertexte"/>
                <w:noProof/>
              </w:rPr>
              <w:t>4.2  Algorithme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AF5B4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6" w:history="1">
            <w:r w:rsidRPr="00B840EB">
              <w:rPr>
                <w:rStyle w:val="Lienhypertexte"/>
                <w:noProof/>
              </w:rPr>
              <w:t>4.3  Entraînement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0C28B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97" w:history="1">
            <w:r w:rsidRPr="00B840EB">
              <w:rPr>
                <w:rStyle w:val="Lienhypertexte"/>
                <w:noProof/>
              </w:rPr>
              <w:t>5  Règles expertes — protéger dès le premier jour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44BA0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198" w:history="1">
            <w:r w:rsidRPr="00B840EB">
              <w:rPr>
                <w:rStyle w:val="Lienhypertexte"/>
                <w:noProof/>
              </w:rPr>
              <w:t>6  Modèle B — Analyse de texte multilingue (NLP)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62028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199" w:history="1">
            <w:r w:rsidRPr="00B840EB">
              <w:rPr>
                <w:rStyle w:val="Lienhypertexte"/>
                <w:noProof/>
              </w:rPr>
              <w:t>6.1  Prétraitement du 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BC48A4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0" w:history="1">
            <w:r w:rsidRPr="00B840EB">
              <w:rPr>
                <w:rStyle w:val="Lienhypertexte"/>
                <w:noProof/>
              </w:rPr>
              <w:t>6.2  Modèle de langue africain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3B9890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1" w:history="1">
            <w:r w:rsidRPr="00B840EB">
              <w:rPr>
                <w:rStyle w:val="Lienhypertexte"/>
                <w:noProof/>
              </w:rPr>
              <w:t>6.3  Repli simple garanti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8B61C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2" w:history="1">
            <w:r w:rsidRPr="00B840EB">
              <w:rPr>
                <w:rStyle w:val="Lienhypertexte"/>
                <w:noProof/>
              </w:rPr>
              <w:t>6.4  Entraînement léger — les techniques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F3C4B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03" w:history="1">
            <w:r w:rsidRPr="00B840EB">
              <w:rPr>
                <w:rStyle w:val="Lienhypertexte"/>
                <w:noProof/>
              </w:rPr>
              <w:t>7  Évaluation &amp; métriques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8E735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4" w:history="1">
            <w:r w:rsidRPr="00B840EB">
              <w:rPr>
                <w:rStyle w:val="Lienhypertexte"/>
                <w:noProof/>
              </w:rPr>
              <w:t>7.1  Seuils d’alerte réglables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AAD8D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05" w:history="1">
            <w:r w:rsidRPr="00B840EB">
              <w:rPr>
                <w:rStyle w:val="Lienhypertexte"/>
                <w:noProof/>
              </w:rPr>
              <w:t>8  Apprentissage continu &amp; gestion des versions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0D723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06" w:history="1">
            <w:r w:rsidRPr="00B840EB">
              <w:rPr>
                <w:rStyle w:val="Lienhypertexte"/>
                <w:noProof/>
              </w:rPr>
              <w:t>9  Service d’inférence &amp; intégration avec le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A1630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7" w:history="1">
            <w:r w:rsidRPr="00B840EB">
              <w:rPr>
                <w:rStyle w:val="Lienhypertexte"/>
                <w:noProof/>
              </w:rPr>
              <w:t>9.1  API d’inférence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1D2F5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8" w:history="1">
            <w:r w:rsidRPr="00B840EB">
              <w:rPr>
                <w:rStyle w:val="Lienhypertexte"/>
                <w:noProof/>
              </w:rPr>
              <w:t>9.2  Modes de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6B83B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09" w:history="1">
            <w:r w:rsidRPr="00B840EB">
              <w:rPr>
                <w:rStyle w:val="Lienhypertexte"/>
                <w:noProof/>
              </w:rPr>
              <w:t>9.3  Cohabitation dans le dépôt Git (point critique)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65DE4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10" w:history="1">
            <w:r w:rsidRPr="00B840EB">
              <w:rPr>
                <w:rStyle w:val="Lienhypertexte"/>
                <w:noProof/>
              </w:rPr>
              <w:t>10  Architecture &amp; structure des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CBEFC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11" w:history="1">
            <w:r w:rsidRPr="00B840EB">
              <w:rPr>
                <w:rStyle w:val="Lienhypertexte"/>
                <w:noProof/>
              </w:rPr>
              <w:t>10.1  Choix : Cookiecutter Data Science (adapté)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78425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12" w:history="1">
            <w:r w:rsidRPr="00B840EB">
              <w:rPr>
                <w:rStyle w:val="Lienhypertexte"/>
                <w:noProof/>
              </w:rPr>
              <w:t>10.2  Arborescence normative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53491" w14:textId="77777777" w:rsidR="00754413" w:rsidRDefault="00754413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5528213" w:history="1">
            <w:r w:rsidRPr="00B840EB">
              <w:rPr>
                <w:rStyle w:val="Lienhypertexte"/>
                <w:noProof/>
              </w:rPr>
              <w:t>10.3  Stack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E7033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14" w:history="1">
            <w:r w:rsidRPr="00B840EB">
              <w:rPr>
                <w:rStyle w:val="Lienhypertexte"/>
                <w:noProof/>
              </w:rPr>
              <w:t>11  Organisation des deux data scientists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31FFA" w14:textId="77777777" w:rsidR="00754413" w:rsidRDefault="00754413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5528215" w:history="1">
            <w:r w:rsidRPr="00B840EB">
              <w:rPr>
                <w:rStyle w:val="Lienhypertexte"/>
                <w:noProof/>
              </w:rPr>
              <w:t>12  Livrables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EB6A7" w14:textId="77777777" w:rsidR="00032BC6" w:rsidRDefault="00000000">
          <w:r>
            <w:fldChar w:fldCharType="end"/>
          </w:r>
        </w:p>
      </w:sdtContent>
    </w:sdt>
    <w:p w14:paraId="6F71EFAB" w14:textId="77777777" w:rsidR="00032BC6" w:rsidRDefault="00000000">
      <w:r>
        <w:br w:type="page"/>
      </w:r>
    </w:p>
    <w:p w14:paraId="01046C82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0" w:name="_Toc235528181"/>
      <w:r>
        <w:rPr>
          <w:color w:val="F39200"/>
        </w:rPr>
        <w:lastRenderedPageBreak/>
        <w:t xml:space="preserve">1  </w:t>
      </w:r>
      <w:r>
        <w:t>Présentation du document</w:t>
      </w:r>
      <w:bookmarkEnd w:id="0"/>
    </w:p>
    <w:p w14:paraId="21C37498" w14:textId="77777777" w:rsidR="00032BC6" w:rsidRDefault="00000000">
      <w:pPr>
        <w:spacing w:after="140" w:line="276" w:lineRule="auto"/>
        <w:jc w:val="both"/>
      </w:pPr>
      <w:r>
        <w:t xml:space="preserve">Ce cahier des charges décrit le </w:t>
      </w:r>
      <w:r>
        <w:rPr>
          <w:b/>
          <w:bCs/>
          <w:color w:val="2D2E83"/>
        </w:rPr>
        <w:t>service de modèle IA de KWISMO</w:t>
      </w:r>
      <w:r>
        <w:t xml:space="preserve">, chargé de détecter les numéros et messages frauduleux liés au Mobile Money. Il est rédigé de façon pédagogique : il explique non seulement </w:t>
      </w:r>
      <w:r>
        <w:rPr>
          <w:i/>
          <w:iCs/>
        </w:rPr>
        <w:t>quoi</w:t>
      </w:r>
      <w:r>
        <w:t xml:space="preserve"> construire, mais aussi </w:t>
      </w:r>
      <w:r>
        <w:rPr>
          <w:i/>
          <w:iCs/>
        </w:rPr>
        <w:t>comment</w:t>
      </w:r>
      <w:r>
        <w:t xml:space="preserve"> entraîner les modèles, </w:t>
      </w:r>
      <w:r>
        <w:rPr>
          <w:i/>
          <w:iCs/>
        </w:rPr>
        <w:t>où</w:t>
      </w:r>
      <w:r>
        <w:t xml:space="preserve"> trouver les données et </w:t>
      </w:r>
      <w:r>
        <w:rPr>
          <w:i/>
          <w:iCs/>
        </w:rPr>
        <w:t>comment</w:t>
      </w:r>
      <w:r>
        <w:t xml:space="preserve"> garantir un entraînement léger, rapide et efficace, adapté au contexte camerounais et africain.</w:t>
      </w:r>
    </w:p>
    <w:p w14:paraId="625CBBFE" w14:textId="77777777" w:rsidR="00032BC6" w:rsidRDefault="00000000">
      <w:pPr>
        <w:pStyle w:val="Titre2"/>
        <w:spacing w:before="260" w:after="120"/>
      </w:pPr>
      <w:bookmarkStart w:id="1" w:name="_Toc235528182"/>
      <w:r>
        <w:t>1.1  Deux modèles, un seul service</w:t>
      </w:r>
      <w:bookmarkEnd w:id="1"/>
    </w:p>
    <w:p w14:paraId="1AA4DD46" w14:textId="77777777" w:rsidR="00032BC6" w:rsidRDefault="00000000">
      <w:pPr>
        <w:spacing w:after="140" w:line="276" w:lineRule="auto"/>
        <w:jc w:val="both"/>
      </w:pPr>
      <w:r>
        <w:t>Le service IA contient deux modèles complémentaires, développés en parallèle par les deux data scientists, dans le même dossier :</w:t>
      </w:r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2602"/>
        <w:gridCol w:w="3644"/>
        <w:gridCol w:w="3199"/>
        <w:gridCol w:w="30"/>
      </w:tblGrid>
      <w:tr w:rsidR="00032BC6" w14:paraId="4FE913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26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98811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36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5D282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Problème résolu</w:t>
            </w:r>
          </w:p>
        </w:tc>
        <w:tc>
          <w:tcPr>
            <w:tcW w:w="31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9B95E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Nature de la donnée</w:t>
            </w:r>
          </w:p>
        </w:tc>
      </w:tr>
      <w:tr w:rsidR="00032BC6" w14:paraId="7FEA1E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1ED96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Modèle A</w:t>
            </w:r>
            <w:r>
              <w:rPr>
                <w:sz w:val="18"/>
                <w:szCs w:val="18"/>
              </w:rPr>
              <w:t xml:space="preserve"> — Scoring de réputation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469E2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Évaluer le risque d’un numéro (sécurisé / à signaler / frauduleux).</w:t>
            </w:r>
          </w:p>
        </w:tc>
        <w:tc>
          <w:tcPr>
            <w:tcW w:w="3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EED7F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Comportement : signalements, ancienneté, opérateur, préfixe, cohérence.</w:t>
            </w:r>
          </w:p>
        </w:tc>
      </w:tr>
      <w:tr w:rsidR="00032BC6" w14:paraId="2E3212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26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65CEF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Modèle B</w:t>
            </w:r>
            <w:r>
              <w:rPr>
                <w:sz w:val="18"/>
                <w:szCs w:val="18"/>
              </w:rPr>
              <w:t xml:space="preserve"> — Analyse de texte (NLP)</w:t>
            </w:r>
          </w:p>
        </w:tc>
        <w:tc>
          <w:tcPr>
            <w:tcW w:w="36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81145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Détecter qu’un message (SMS/WhatsApp) est une arnaque.</w:t>
            </w:r>
          </w:p>
        </w:tc>
        <w:tc>
          <w:tcPr>
            <w:tcW w:w="3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B52BD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Texte en français, anglais, pidgin et franglais camerounais.</w:t>
            </w:r>
          </w:p>
        </w:tc>
      </w:tr>
      <w:tr w:rsidR="00032BC6" w14:paraId="016FDCE4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4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F1EE52" w14:textId="77777777" w:rsidR="00032BC6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Pourquoi deux modèles distincts ?</w:t>
            </w:r>
          </w:p>
          <w:p w14:paraId="4950A2EB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 Modèle A raisonne sur des chiffres (combien de signalements, depuis quand…) : il est léger et s’entraîne en quelques minutes sur un simple processeur (CPU).</w:t>
            </w:r>
          </w:p>
          <w:p w14:paraId="3586F720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 Modèle B raisonne sur du langage : il exige des données locales annotées et un modèle de langage adapté à l’Afrique. Son entraînement est plus lourd mais reste maîtrisé (voir §6).</w:t>
            </w:r>
          </w:p>
          <w:p w14:paraId="15C353BB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Les mélanger serait une erreur : ils n’utilisent pas les mêmes données ni les mêmes techniques.</w:t>
            </w:r>
          </w:p>
        </w:tc>
      </w:tr>
    </w:tbl>
    <w:p w14:paraId="3B79D3E5" w14:textId="77777777" w:rsidR="00032BC6" w:rsidRDefault="00000000">
      <w:pPr>
        <w:pStyle w:val="Titre2"/>
        <w:spacing w:before="260" w:after="120"/>
      </w:pPr>
      <w:bookmarkStart w:id="2" w:name="_Toc235528183"/>
      <w:r>
        <w:t>1.2  Contrainte fondatrice : léger, rapide, efficace</w:t>
      </w:r>
      <w:bookmarkEnd w:id="2"/>
    </w:p>
    <w:p w14:paraId="4BC2D374" w14:textId="77777777" w:rsidR="00032BC6" w:rsidRDefault="00000000">
      <w:pPr>
        <w:spacing w:after="140" w:line="276" w:lineRule="auto"/>
        <w:jc w:val="both"/>
      </w:pPr>
      <w:r>
        <w:t xml:space="preserve">L’entraînement </w:t>
      </w:r>
      <w:r>
        <w:rPr>
          <w:b/>
          <w:bCs/>
          <w:color w:val="2D2E83"/>
        </w:rPr>
        <w:t>ne doit jamais saturer le PC ni le serveur, quelle que soit la taille des données</w:t>
      </w:r>
      <w:r>
        <w:t>. Cette contrainte guide tous les choix techniques :</w:t>
      </w:r>
    </w:p>
    <w:p w14:paraId="0C36F797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En production</w:t>
      </w:r>
      <w:r>
        <w:t xml:space="preserve"> : le serveur ne fait que de l’inférence (prédire), opération quasi instantanée qui ne charge pas la machine.</w:t>
      </w:r>
    </w:p>
    <w:p w14:paraId="33C5054B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Entraînement du Modèle A</w:t>
      </w:r>
      <w:r>
        <w:t xml:space="preserve"> : algorithmes légers (arbres de décision boostés), entraînables en minutes sur CPU, même avec beaucoup de données.</w:t>
      </w:r>
    </w:p>
    <w:p w14:paraId="2868D2E2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Entraînement du Modèle B</w:t>
      </w:r>
      <w:r>
        <w:t xml:space="preserve"> : réalisé hors-ligne (Google Colab / PC), jamais sur le serveur de production ; techniques d’allègement (voir §6.4) pour rester faisable sur une machine modeste.</w:t>
      </w:r>
    </w:p>
    <w:p w14:paraId="586EEA43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Apprentissage continu</w:t>
      </w:r>
      <w:r>
        <w:t xml:space="preserve"> : les mises à jour sont incrémentales et planifiées, jamais un réentraînement complet à chaque requête.</w:t>
      </w:r>
    </w:p>
    <w:p w14:paraId="42504AA6" w14:textId="2353F01E" w:rsidR="00032BC6" w:rsidRDefault="00000000" w:rsidP="00754413">
      <w:r>
        <w:br w:type="page"/>
      </w:r>
      <w:bookmarkStart w:id="3" w:name="_Toc235528184"/>
      <w:r>
        <w:rPr>
          <w:b/>
          <w:bCs/>
          <w:color w:val="F39200"/>
          <w:sz w:val="30"/>
          <w:szCs w:val="30"/>
        </w:rPr>
        <w:lastRenderedPageBreak/>
        <w:t xml:space="preserve">2  </w:t>
      </w:r>
      <w:r>
        <w:rPr>
          <w:b/>
          <w:bCs/>
          <w:color w:val="2D2E83"/>
          <w:sz w:val="30"/>
          <w:szCs w:val="30"/>
        </w:rPr>
        <w:t>Comprendre l’entraînement d’un modèle</w:t>
      </w:r>
      <w:bookmarkEnd w:id="3"/>
    </w:p>
    <w:p w14:paraId="1D4C8D3C" w14:textId="77777777" w:rsidR="00032BC6" w:rsidRDefault="00000000">
      <w:pPr>
        <w:spacing w:after="140" w:line="276" w:lineRule="auto"/>
        <w:jc w:val="both"/>
      </w:pPr>
      <w:r>
        <w:t>Cette section pose les bases pour toute l’équipe. Le cycle est le même pour les deux modèles.</w:t>
      </w:r>
    </w:p>
    <w:p w14:paraId="1CD302DA" w14:textId="77777777" w:rsidR="00032BC6" w:rsidRDefault="00000000">
      <w:pPr>
        <w:pStyle w:val="Titre2"/>
        <w:spacing w:before="260" w:after="120"/>
      </w:pPr>
      <w:bookmarkStart w:id="4" w:name="_Toc235528185"/>
      <w:r>
        <w:t>2.1  Le principe : apprendre à partir d’exemples étiquetés</w:t>
      </w:r>
      <w:bookmarkEnd w:id="4"/>
    </w:p>
    <w:p w14:paraId="662126AE" w14:textId="77777777" w:rsidR="00032BC6" w:rsidRDefault="00000000">
      <w:pPr>
        <w:spacing w:after="140" w:line="276" w:lineRule="auto"/>
        <w:jc w:val="both"/>
      </w:pPr>
      <w:r>
        <w:t>Un modèle apprend en observant de nombreux exemples pour lesquels on connaît déjà la bonne réponse. Cette « bonne réponse » s’appelle l’étiquette (label). Exemple : « ce numéro → frauduleux », « ce message → légitime ». Le modèle ajuste ses paramètres internes jusqu’à prédire correctement l’étiquette, puis on l’utilise sur des cas inconnus.</w:t>
      </w:r>
    </w:p>
    <w:p w14:paraId="20D5D7F9" w14:textId="77777777" w:rsidR="00032BC6" w:rsidRDefault="00000000">
      <w:pPr>
        <w:pStyle w:val="Titre2"/>
        <w:spacing w:before="260" w:after="120"/>
      </w:pPr>
      <w:bookmarkStart w:id="5" w:name="_Toc235528186"/>
      <w:r>
        <w:t>2.2  Les 7 étapes du cycle de vie</w:t>
      </w:r>
      <w:bookmarkEnd w:id="5"/>
    </w:p>
    <w:p w14:paraId="46CB417A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Collecter</w:t>
      </w:r>
      <w:r>
        <w:t xml:space="preserve"> des exemples étiquetés (numéros/messages avec leur verdict).</w:t>
      </w:r>
    </w:p>
    <w:p w14:paraId="7E9BACE0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Préparer</w:t>
      </w:r>
      <w:r>
        <w:t xml:space="preserve"> : nettoyer les données et les transformer en caractéristiques exploitables (features).</w:t>
      </w:r>
    </w:p>
    <w:p w14:paraId="3543F91F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Séparer</w:t>
      </w:r>
      <w:r>
        <w:t xml:space="preserve"> en trois paquets : entraînement (~70 %), validation (~15 %), test (~15 %). On n’évalue jamais sur des données déjà vues.</w:t>
      </w:r>
    </w:p>
    <w:p w14:paraId="0BB8FBE6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Entraîner</w:t>
      </w:r>
      <w:r>
        <w:t xml:space="preserve"> : le modèle apprend à réduire ses erreurs sur le paquet d’entraînement.</w:t>
      </w:r>
    </w:p>
    <w:p w14:paraId="52A44DAB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Évaluer</w:t>
      </w:r>
      <w:r>
        <w:t xml:space="preserve"> sur le paquet de test avec des métriques adaptées à la fraude (§7).</w:t>
      </w:r>
    </w:p>
    <w:p w14:paraId="04446BEC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Déployer</w:t>
      </w:r>
      <w:r>
        <w:t xml:space="preserve"> : exposer le modèle via l’API d’inférence appelée par le backend.</w:t>
      </w:r>
    </w:p>
    <w:p w14:paraId="4FECE532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Boucler</w:t>
      </w:r>
      <w:r>
        <w:t xml:space="preserve"> : les nouveaux signalements deviennent de nouvelles données → réentraînement (apprentissage continu).</w:t>
      </w:r>
    </w:p>
    <w:p w14:paraId="4E218C4D" w14:textId="77777777" w:rsidR="00032BC6" w:rsidRDefault="00000000">
      <w:pPr>
        <w:pStyle w:val="Titre2"/>
        <w:spacing w:before="260" w:after="120"/>
      </w:pPr>
      <w:bookmarkStart w:id="6" w:name="_Toc235528187"/>
      <w:r>
        <w:t>2.3  Le vocabulaire essentiel</w:t>
      </w:r>
      <w:bookmarkEnd w:id="6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7"/>
        <w:gridCol w:w="6459"/>
      </w:tblGrid>
      <w:tr w:rsidR="00032BC6" w14:paraId="18CE7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03757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63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80EDA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Signification simple</w:t>
            </w:r>
          </w:p>
        </w:tc>
      </w:tr>
      <w:tr w:rsidR="00032BC6" w14:paraId="30CC9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739F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Feature (caractéristique)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C70B5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Une information mesurable donnée au modèle (ex. nombre de signalements d’un numéro).</w:t>
            </w:r>
          </w:p>
        </w:tc>
      </w:tr>
      <w:tr w:rsidR="00032BC6" w14:paraId="3F7DB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A4979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Label (étiquette)</w:t>
            </w:r>
          </w:p>
        </w:tc>
        <w:tc>
          <w:tcPr>
            <w:tcW w:w="63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1881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 bonne réponse connue (ex. frauduleux / légitime).</w:t>
            </w:r>
          </w:p>
        </w:tc>
      </w:tr>
      <w:tr w:rsidR="00032BC6" w14:paraId="6F422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B6870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Entraînement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28340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Phase où le modèle apprend à partir des exemples.</w:t>
            </w:r>
          </w:p>
        </w:tc>
      </w:tr>
      <w:tr w:rsidR="00032BC6" w14:paraId="25F21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D5BCA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Inférence (prédiction)</w:t>
            </w:r>
          </w:p>
        </w:tc>
        <w:tc>
          <w:tcPr>
            <w:tcW w:w="63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72B3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Phase où le modèle donne une réponse sur un cas nouveau (rapide, en production).</w:t>
            </w:r>
          </w:p>
        </w:tc>
      </w:tr>
      <w:tr w:rsidR="00032BC6" w14:paraId="13A85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E6100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Sur-apprentissage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C229B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Le modèle « récite » les exemples mais échoue sur du nouveau : à éviter via la validation.</w:t>
            </w:r>
          </w:p>
        </w:tc>
      </w:tr>
      <w:tr w:rsidR="00032BC6" w14:paraId="49B78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72784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Démarrage à froid</w:t>
            </w:r>
          </w:p>
        </w:tc>
        <w:tc>
          <w:tcPr>
            <w:tcW w:w="63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3D5A3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 lancement, on a peu de données : on compense par des règles expertes (§5).</w:t>
            </w:r>
          </w:p>
        </w:tc>
      </w:tr>
    </w:tbl>
    <w:p w14:paraId="213C065C" w14:textId="77777777" w:rsidR="00032BC6" w:rsidRDefault="00000000">
      <w:r>
        <w:br w:type="page"/>
      </w:r>
    </w:p>
    <w:p w14:paraId="16CCCB7F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7" w:name="_Toc235528188"/>
      <w:r>
        <w:rPr>
          <w:color w:val="F39200"/>
        </w:rPr>
        <w:lastRenderedPageBreak/>
        <w:t xml:space="preserve">3  </w:t>
      </w:r>
      <w:r>
        <w:t>Stratégie de données (adaptée au Cameroun / Afrique)</w:t>
      </w:r>
      <w:bookmarkEnd w:id="7"/>
    </w:p>
    <w:p w14:paraId="49A772F8" w14:textId="77777777" w:rsidR="00032BC6" w:rsidRDefault="00000000">
      <w:pPr>
        <w:spacing w:after="140" w:line="276" w:lineRule="auto"/>
        <w:jc w:val="both"/>
      </w:pPr>
      <w:r>
        <w:t>La donnée est l’actif le plus précieux du projet. Un bon modèle sur de mauvaises données échoue ; un modèle simple sur de bonnes données locales réussit. Cette section répond à la question centrale : comment collecter les bonnes données ?</w:t>
      </w:r>
    </w:p>
    <w:p w14:paraId="37F277E6" w14:textId="77777777" w:rsidR="00032BC6" w:rsidRDefault="00000000">
      <w:pPr>
        <w:pStyle w:val="Titre2"/>
        <w:spacing w:before="260" w:after="120"/>
      </w:pPr>
      <w:bookmarkStart w:id="8" w:name="_Toc235528189"/>
      <w:r>
        <w:t>3.1  Sources de données, de la plus fiable à la plus bruitée</w:t>
      </w:r>
      <w:bookmarkEnd w:id="8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4631"/>
        <w:gridCol w:w="2641"/>
      </w:tblGrid>
      <w:tr w:rsidR="00032BC6" w14:paraId="6670D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E8A4B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5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C53FC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EC462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Fiabilité</w:t>
            </w:r>
          </w:p>
        </w:tc>
      </w:tr>
      <w:tr w:rsidR="00032BC6" w14:paraId="0C6A7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6D59B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Signalements KWISMO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D698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Chaque signalement dans l’app = une donnée étiquetée, gratuite et parfaitement locale.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67887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1E7A45"/>
                <w:sz w:val="18"/>
                <w:szCs w:val="18"/>
              </w:rPr>
              <w:t>Très haute</w:t>
            </w:r>
          </w:p>
        </w:tc>
      </w:tr>
      <w:tr w:rsidR="00032BC6" w14:paraId="60500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3A5E9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Règles expertes</w:t>
            </w:r>
          </w:p>
        </w:tc>
        <w:tc>
          <w:tcPr>
            <w:tcW w:w="45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0D68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Verdicts produits par des règles au démarrage (numéro très signalé, préfixe incohérent…).</w:t>
            </w:r>
          </w:p>
        </w:tc>
        <w:tc>
          <w:tcPr>
            <w:tcW w:w="26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2CEB1" w14:textId="77777777" w:rsidR="00032BC6" w:rsidRDefault="00000000">
            <w:pPr>
              <w:spacing w:line="250" w:lineRule="auto"/>
            </w:pPr>
            <w:r>
              <w:rPr>
                <w:color w:val="1E7A45"/>
                <w:sz w:val="18"/>
                <w:szCs w:val="18"/>
              </w:rPr>
              <w:t>Haute</w:t>
            </w:r>
          </w:p>
        </w:tc>
      </w:tr>
      <w:tr w:rsidR="00032BC6" w14:paraId="621CB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3DED1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Collecte terrain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7E9D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Dons de SMS/messages d’arnaque par les premiers utilisateurs (avec consentement), captures de vishing.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1D45D" w14:textId="77777777" w:rsidR="00032BC6" w:rsidRDefault="00000000">
            <w:pPr>
              <w:spacing w:line="250" w:lineRule="auto"/>
            </w:pPr>
            <w:r>
              <w:rPr>
                <w:color w:val="1E7A45"/>
                <w:sz w:val="18"/>
                <w:szCs w:val="18"/>
              </w:rPr>
              <w:t>Haute (locale)</w:t>
            </w:r>
          </w:p>
        </w:tc>
      </w:tr>
      <w:tr w:rsidR="00032BC6" w14:paraId="479EC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20585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Partenariats</w:t>
            </w:r>
          </w:p>
        </w:tc>
        <w:tc>
          <w:tcPr>
            <w:tcW w:w="45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A792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Opérateurs, associations de consommateurs, listes de numéros signalés.</w:t>
            </w:r>
          </w:p>
        </w:tc>
        <w:tc>
          <w:tcPr>
            <w:tcW w:w="26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6FC6D" w14:textId="77777777" w:rsidR="00032BC6" w:rsidRDefault="00000000">
            <w:pPr>
              <w:spacing w:line="250" w:lineRule="auto"/>
            </w:pPr>
            <w:r>
              <w:rPr>
                <w:color w:val="A05A00"/>
                <w:sz w:val="18"/>
                <w:szCs w:val="18"/>
              </w:rPr>
              <w:t>Variable</w:t>
            </w:r>
          </w:p>
        </w:tc>
      </w:tr>
      <w:tr w:rsidR="00032BC6" w14:paraId="2EA69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A2B2C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Jeux publics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7121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Données SMS spam publiques : utiles pour démarrer le NLP mais non camerounaises.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E1E20" w14:textId="77777777" w:rsidR="00032BC6" w:rsidRDefault="00000000">
            <w:pPr>
              <w:spacing w:line="250" w:lineRule="auto"/>
            </w:pPr>
            <w:r>
              <w:rPr>
                <w:color w:val="A05A00"/>
                <w:sz w:val="18"/>
                <w:szCs w:val="18"/>
              </w:rPr>
              <w:t>Amorçage seulement</w:t>
            </w:r>
          </w:p>
        </w:tc>
      </w:tr>
      <w:tr w:rsidR="00032BC6" w14:paraId="37877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FBB51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Augmentation</w:t>
            </w:r>
          </w:p>
        </w:tc>
        <w:tc>
          <w:tcPr>
            <w:tcW w:w="45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1FCF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Génération de variantes réalistes d’arnaques locales, relues par un humain.</w:t>
            </w:r>
          </w:p>
        </w:tc>
        <w:tc>
          <w:tcPr>
            <w:tcW w:w="26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2C189" w14:textId="77777777" w:rsidR="00032BC6" w:rsidRDefault="00000000">
            <w:pPr>
              <w:spacing w:line="250" w:lineRule="auto"/>
            </w:pPr>
            <w:r>
              <w:rPr>
                <w:color w:val="A05A00"/>
                <w:sz w:val="18"/>
                <w:szCs w:val="18"/>
              </w:rPr>
              <w:t>Complément</w:t>
            </w:r>
          </w:p>
        </w:tc>
      </w:tr>
    </w:tbl>
    <w:p w14:paraId="6441D625" w14:textId="77777777" w:rsidR="00032BC6" w:rsidRDefault="00000000">
      <w:pPr>
        <w:pStyle w:val="Titre2"/>
        <w:spacing w:before="260" w:after="120"/>
      </w:pPr>
      <w:bookmarkStart w:id="9" w:name="_Toc235528190"/>
      <w:r>
        <w:t>3.2  Le défi des langues locales</w:t>
      </w:r>
      <w:bookmarkEnd w:id="9"/>
    </w:p>
    <w:p w14:paraId="4CC12980" w14:textId="77777777" w:rsidR="00032BC6" w:rsidRDefault="00000000">
      <w:pPr>
        <w:spacing w:after="140" w:line="276" w:lineRule="auto"/>
        <w:jc w:val="both"/>
      </w:pPr>
      <w:r>
        <w:t xml:space="preserve">Les messages frauduleux au Cameroun mélangent français, anglais, </w:t>
      </w:r>
      <w:r>
        <w:rPr>
          <w:i/>
          <w:iCs/>
        </w:rPr>
        <w:t>pidgin</w:t>
      </w:r>
      <w:r>
        <w:t xml:space="preserve"> et franglais, avec des fautes volontaires et un style non professionnel. Un modèle entraîné uniquement sur de l’anglais standard échouerait. La solution tient en une phrase : </w:t>
      </w:r>
      <w:r>
        <w:rPr>
          <w:b/>
          <w:bCs/>
          <w:color w:val="2D2E83"/>
        </w:rPr>
        <w:t>la donnée locale annotée par des humains qui comprennent le contexte est irremplaçable</w:t>
      </w:r>
      <w:r>
        <w:t>.</w:t>
      </w:r>
    </w:p>
    <w:p w14:paraId="2961E819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Annotation humaine</w:t>
      </w:r>
      <w:r>
        <w:t xml:space="preserve"> : les deux data scientists (et des relecteurs locaux) étiquettent les messages collectés. C’est la moitié du travail, autant que la modélisation.</w:t>
      </w:r>
    </w:p>
    <w:p w14:paraId="2C11BD55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Modèle de langue africain</w:t>
      </w:r>
      <w:r>
        <w:t xml:space="preserve"> : on s’appuie sur un modèle pré-entraîné sur des langues africaines (famille AfroXLMR/AfriBERTa) qui « comprend » déjà mieux le pidgin que les modèles anglophones standards (voir §6).</w:t>
      </w:r>
    </w:p>
    <w:p w14:paraId="3F992CD6" w14:textId="77777777" w:rsidR="00032BC6" w:rsidRDefault="00000000">
      <w:pPr>
        <w:pStyle w:val="Titre2"/>
        <w:spacing w:before="260" w:after="120"/>
      </w:pPr>
      <w:bookmarkStart w:id="10" w:name="_Toc235528191"/>
      <w:r>
        <w:t>3.3  Gouvernance &amp; conformité</w:t>
      </w:r>
      <w:bookmarkEnd w:id="10"/>
    </w:p>
    <w:p w14:paraId="7259E81A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Les numéros de téléphone sont des données personnelles : traitement conforme à la réglementation locale en vigueur.</w:t>
      </w:r>
    </w:p>
    <w:p w14:paraId="7E2A2FE4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lastRenderedPageBreak/>
        <w:t>Le consentement est recueilli par l’application mobile (hors périmètre de ce document).</w:t>
      </w:r>
    </w:p>
    <w:p w14:paraId="337C472C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Minimisation &amp; pseudonymisation</w:t>
      </w:r>
      <w:r>
        <w:t xml:space="preserve"> : on ne conserve que le nécessaire ; les identifiants sont pseudonymisés pour l’entraînement quand c’est possible.</w:t>
      </w:r>
    </w:p>
    <w:p w14:paraId="41C33AE0" w14:textId="77777777" w:rsidR="00032BC6" w:rsidRDefault="00000000">
      <w:pPr>
        <w:pStyle w:val="Titre2"/>
        <w:spacing w:before="260" w:after="120"/>
      </w:pPr>
      <w:bookmarkStart w:id="11" w:name="_Toc235528192"/>
      <w:r>
        <w:t>3.4  Éthique &amp; biais (à surveiller)</w:t>
      </w:r>
      <w:bookmarkEnd w:id="11"/>
    </w:p>
    <w:tbl>
      <w:tblPr>
        <w:tblW w:w="5000" w:type="pct"/>
        <w:tblBorders>
          <w:left w:val="single" w:sz="24" w:space="0" w:color="F392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032BC6" w14:paraId="7DBED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B67FAF" w14:textId="77777777" w:rsidR="00032BC6" w:rsidRDefault="00000000">
            <w:pPr>
              <w:spacing w:after="60"/>
            </w:pPr>
            <w:r>
              <w:rPr>
                <w:b/>
                <w:bCs/>
                <w:color w:val="A05A00"/>
                <w:sz w:val="20"/>
                <w:szCs w:val="20"/>
              </w:rPr>
              <w:t>Éviter la discrimination par préfixe ou région</w:t>
            </w:r>
          </w:p>
          <w:p w14:paraId="694D5462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Un modèle pourrait injustement sur-signaler tous les numéros d’un préfixe ou d’une région simplement parce que quelques fraudeurs y sont apparus.</w:t>
            </w:r>
          </w:p>
          <w:p w14:paraId="56AB1E86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Mesures : surveiller le taux d’alerte par préfixe/région, exiger un faisceau d’indices (pas un seul), et permettre la contestation d’un statut. La réputation se fonde sur le comportement, jamais sur l’origine seule.</w:t>
            </w:r>
          </w:p>
        </w:tc>
      </w:tr>
    </w:tbl>
    <w:p w14:paraId="1E13D6AC" w14:textId="77777777" w:rsidR="00032BC6" w:rsidRDefault="00000000">
      <w:r>
        <w:br w:type="page"/>
      </w:r>
    </w:p>
    <w:p w14:paraId="7A1F351C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12" w:name="_Toc235528193"/>
      <w:r>
        <w:rPr>
          <w:color w:val="F39200"/>
        </w:rPr>
        <w:lastRenderedPageBreak/>
        <w:t xml:space="preserve">4  </w:t>
      </w:r>
      <w:r>
        <w:t>Modèle A — Scoring de réputation des numéros</w:t>
      </w:r>
      <w:bookmarkEnd w:id="12"/>
    </w:p>
    <w:p w14:paraId="1A456EF5" w14:textId="77777777" w:rsidR="00032BC6" w:rsidRDefault="00000000">
      <w:pPr>
        <w:spacing w:after="140" w:line="276" w:lineRule="auto"/>
        <w:jc w:val="both"/>
      </w:pPr>
      <w:r>
        <w:t>C’est le cœur du service au lancement. Il alimente la vérification de numéro, la liste de contacts à insignes et le transfert protégé.</w:t>
      </w:r>
    </w:p>
    <w:p w14:paraId="74BE632D" w14:textId="77777777" w:rsidR="00032BC6" w:rsidRDefault="00000000">
      <w:pPr>
        <w:pStyle w:val="Titre2"/>
        <w:spacing w:before="260" w:after="120"/>
      </w:pPr>
      <w:bookmarkStart w:id="13" w:name="_Toc235528194"/>
      <w:r>
        <w:t>4.1  Caractéristiques (features) utilisées</w:t>
      </w:r>
      <w:bookmarkEnd w:id="13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6256"/>
      </w:tblGrid>
      <w:tr w:rsidR="00032BC6" w14:paraId="19673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F9BB3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Caractéristique</w:t>
            </w:r>
          </w:p>
        </w:tc>
        <w:tc>
          <w:tcPr>
            <w:tcW w:w="61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500A9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Pourquoi elle est utile</w:t>
            </w:r>
          </w:p>
        </w:tc>
      </w:tr>
      <w:tr w:rsidR="00032BC6" w14:paraId="1D6EE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DAD55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Nombre de signalements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F63A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 numéro très signalé est très probablement frauduleux.</w:t>
            </w:r>
          </w:p>
        </w:tc>
      </w:tr>
      <w:tr w:rsidR="00032BC6" w14:paraId="4EBA1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D83F2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Vitesse des signalements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BB98C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Une montée soudaine indique une campagne de fraude active.</w:t>
            </w:r>
          </w:p>
        </w:tc>
      </w:tr>
      <w:tr w:rsidR="00032BC6" w14:paraId="51D25E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16E6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Ancienneté du numéro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5985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Les numéros jetables récents sont plus risqués.</w:t>
            </w:r>
          </w:p>
        </w:tc>
      </w:tr>
      <w:tr w:rsidR="00032BC6" w14:paraId="23F8CB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EC1B2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Opérateur &amp; préfixe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988FB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Cohérence pays/opérateur/préfixe ; certains schémas sont suspects.</w:t>
            </w:r>
          </w:p>
        </w:tc>
      </w:tr>
      <w:tr w:rsidR="00032BC6" w14:paraId="2ED1E1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CBCD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Diversité des signaleurs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64D5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Beaucoup d’utilisateurs différents = signal plus fiable qu’un seul.</w:t>
            </w:r>
          </w:p>
        </w:tc>
      </w:tr>
      <w:tr w:rsidR="00032BC6" w14:paraId="182247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08A8D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Historique de vérifications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192B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Fréquence et résultats des vérifications passées.</w:t>
            </w:r>
          </w:p>
        </w:tc>
      </w:tr>
      <w:tr w:rsidR="00032BC6" w14:paraId="5C01B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2AC1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Statut communautaire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2025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Verdicts antérieurs validés par les administrateurs.</w:t>
            </w:r>
          </w:p>
        </w:tc>
      </w:tr>
    </w:tbl>
    <w:p w14:paraId="493905AF" w14:textId="77777777" w:rsidR="00032BC6" w:rsidRDefault="00000000">
      <w:pPr>
        <w:pStyle w:val="Titre2"/>
        <w:spacing w:before="260" w:after="120"/>
      </w:pPr>
      <w:bookmarkStart w:id="14" w:name="_Toc235528195"/>
      <w:r>
        <w:t>4.2  Algorithme</w:t>
      </w:r>
      <w:bookmarkEnd w:id="14"/>
    </w:p>
    <w:p w14:paraId="2B9BD6C7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Choix principal</w:t>
      </w:r>
      <w:r>
        <w:t xml:space="preserve"> : arbres de décision boostés (gradient boosting, type LightGBM/XGBoost). Excellents sur données tabulaires, très rapides à entraîner sur CPU, robustes et explicables.</w:t>
      </w:r>
    </w:p>
    <w:p w14:paraId="148B5FB8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Repli simple</w:t>
      </w:r>
      <w:r>
        <w:t xml:space="preserve"> : régression logistique comme référence de base (baseline), encore plus légère.</w:t>
      </w:r>
    </w:p>
    <w:p w14:paraId="41E3DE00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Sortie</w:t>
      </w:r>
      <w:r>
        <w:t xml:space="preserve"> : un score de risque de 0 à 1, converti en statut (sécurisé / à signaler / frauduleux) selon des seuils réglables (§7).</w:t>
      </w:r>
    </w:p>
    <w:tbl>
      <w:tblPr>
        <w:tblW w:w="5000" w:type="pct"/>
        <w:tblBorders>
          <w:left w:val="single" w:sz="24" w:space="0" w:color="2FAC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032BC6" w14:paraId="69C4B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FF3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C87CC4" w14:textId="77777777" w:rsidR="00032BC6" w:rsidRDefault="00000000">
            <w:pPr>
              <w:spacing w:after="60"/>
            </w:pPr>
            <w:r>
              <w:rPr>
                <w:b/>
                <w:bCs/>
                <w:color w:val="1E7A45"/>
                <w:sz w:val="20"/>
                <w:szCs w:val="20"/>
              </w:rPr>
              <w:t>Pourquoi pas un réseau de neurones ici ?</w:t>
            </w:r>
          </w:p>
          <w:p w14:paraId="6F675214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Sur des données tabulaires (des chiffres), les arbres boostés sont souvent aussi précis et beaucoup plus légers/rapides qu’un réseau de neurones. C’est le choix « soft, rapide, efficace » demandé.</w:t>
            </w:r>
          </w:p>
        </w:tc>
      </w:tr>
    </w:tbl>
    <w:p w14:paraId="39F3DA7D" w14:textId="77777777" w:rsidR="00032BC6" w:rsidRDefault="00000000">
      <w:pPr>
        <w:pStyle w:val="Titre2"/>
        <w:spacing w:before="260" w:after="120"/>
      </w:pPr>
      <w:bookmarkStart w:id="15" w:name="_Toc235528196"/>
      <w:r>
        <w:t>4.3  Entraînement</w:t>
      </w:r>
      <w:bookmarkEnd w:id="15"/>
    </w:p>
    <w:p w14:paraId="5B11B018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S’entraîne en quelques minutes sur un CPU ordinaire, même avec un grand volume de données.</w:t>
      </w:r>
    </w:p>
    <w:p w14:paraId="509D7BE2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Réentraînement continu léger : planifié (ex. quotidien) ou déclenché par un seuil de nouvelles données, jamais à chaque requête.</w:t>
      </w:r>
    </w:p>
    <w:p w14:paraId="44A66DE9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lastRenderedPageBreak/>
        <w:t>L’explicabilité (importance des caractéristiques) aide à justifier une alerte auprès de l’utilisateur et à détecter les biais.</w:t>
      </w:r>
    </w:p>
    <w:p w14:paraId="3FD35132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16" w:name="_Toc235528197"/>
      <w:r>
        <w:rPr>
          <w:color w:val="F39200"/>
        </w:rPr>
        <w:t xml:space="preserve">5  </w:t>
      </w:r>
      <w:r>
        <w:t>Règles expertes — protéger dès le premier jour</w:t>
      </w:r>
      <w:bookmarkEnd w:id="16"/>
    </w:p>
    <w:p w14:paraId="28DEC4EE" w14:textId="77777777" w:rsidR="00032BC6" w:rsidRDefault="00000000">
      <w:pPr>
        <w:spacing w:after="140" w:line="276" w:lineRule="auto"/>
        <w:jc w:val="both"/>
      </w:pPr>
      <w:r>
        <w:t>Au lancement, il y a peu de signalements : le modèle manque de données. Les règles expertes protègent les premiers utilisateurs et génèrent des étiquettes qui nourriront le modèle.</w:t>
      </w:r>
    </w:p>
    <w:p w14:paraId="0535A92B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Un numéro signalé au-delà d’un seuil par des utilisateurs distincts est marqué « à signaler » / « frauduleux ».</w:t>
      </w:r>
    </w:p>
    <w:p w14:paraId="76A78DC4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Une incohérence pays/opérateur/préfixe déclenche une prudence.</w:t>
      </w:r>
    </w:p>
    <w:p w14:paraId="14F68C6B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Ces règles servent aussi de repli quand le modèle est indisponible (robustesse, voir §9).</w:t>
      </w:r>
    </w:p>
    <w:tbl>
      <w:tblPr>
        <w:tblW w:w="5000" w:type="pct"/>
        <w:tblBorders>
          <w:left w:val="single" w:sz="24" w:space="0" w:color="2D2E8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032BC6" w14:paraId="425BB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75B438" w14:textId="77777777" w:rsidR="00032BC6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Transition douce</w:t>
            </w:r>
          </w:p>
          <w:p w14:paraId="2B8FAFE5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À mesure que les données s’accumulent, le Modèle A prend le relais des règles, qui restent en filet de sécurité. Les deux coexistent : le modèle décide, les règles garantissent un plancher de protection.</w:t>
            </w:r>
          </w:p>
        </w:tc>
      </w:tr>
    </w:tbl>
    <w:p w14:paraId="54BE48C4" w14:textId="77777777" w:rsidR="00032BC6" w:rsidRDefault="00000000">
      <w:r>
        <w:br w:type="page"/>
      </w:r>
    </w:p>
    <w:p w14:paraId="22FA73A0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17" w:name="_Toc235528198"/>
      <w:r>
        <w:rPr>
          <w:color w:val="F39200"/>
        </w:rPr>
        <w:lastRenderedPageBreak/>
        <w:t xml:space="preserve">6  </w:t>
      </w:r>
      <w:r>
        <w:t>Modèle B — Analyse de texte multilingue (NLP)</w:t>
      </w:r>
      <w:bookmarkEnd w:id="17"/>
    </w:p>
    <w:p w14:paraId="7D329497" w14:textId="77777777" w:rsidR="00032BC6" w:rsidRDefault="00000000">
      <w:pPr>
        <w:spacing w:after="140" w:line="276" w:lineRule="auto"/>
        <w:jc w:val="both"/>
      </w:pPr>
      <w:r>
        <w:t>Ce modèle lit un message (SMS/WhatsApp) et estime s’il s’agit d’une arnaque. Il vise le contexte camerounais/africain avec l’approche avancée demandée, réalisée de la manière la plus simple et légère possible.</w:t>
      </w:r>
    </w:p>
    <w:p w14:paraId="187B7266" w14:textId="77777777" w:rsidR="00032BC6" w:rsidRDefault="00000000">
      <w:pPr>
        <w:pStyle w:val="Titre2"/>
        <w:spacing w:before="260" w:after="120"/>
      </w:pPr>
      <w:bookmarkStart w:id="18" w:name="_Toc235528199"/>
      <w:r>
        <w:t>6.1  Prétraitement du texte</w:t>
      </w:r>
      <w:bookmarkEnd w:id="18"/>
    </w:p>
    <w:p w14:paraId="52E06B2D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Normalisation : minuscules, nettoyage des caractères parasites, gestion des émojis et des répétitions (« gagnéééé »).</w:t>
      </w:r>
    </w:p>
    <w:p w14:paraId="067C7910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Conservation des indices d’arnaque : montants, numéros courts, mots-clés (« code », « OTP », « gagné », « MTN/Orange »), sans sur-nettoyer.</w:t>
      </w:r>
    </w:p>
    <w:p w14:paraId="703D1AE0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Prise en charge du mélange de langues (français/anglais/pidgin) sans forcer une seule langue.</w:t>
      </w:r>
    </w:p>
    <w:p w14:paraId="733CE8D3" w14:textId="77777777" w:rsidR="00032BC6" w:rsidRDefault="00000000">
      <w:pPr>
        <w:pStyle w:val="Titre2"/>
        <w:spacing w:before="260" w:after="120"/>
      </w:pPr>
      <w:bookmarkStart w:id="19" w:name="_Toc235528200"/>
      <w:r>
        <w:t>6.2  Modèle de langue africain</w:t>
      </w:r>
      <w:bookmarkEnd w:id="19"/>
    </w:p>
    <w:p w14:paraId="02BCE4C3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Base</w:t>
      </w:r>
      <w:r>
        <w:t xml:space="preserve"> : un modèle pré-entraîné sur des langues africaines (famille AfroXLMR / AfriBERTa), qui comprend déjà mieux le pidgin et le franglais que les modèles anglophones.</w:t>
      </w:r>
    </w:p>
    <w:p w14:paraId="23A0B4EE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Affinage (fine-tuning)</w:t>
      </w:r>
      <w:r>
        <w:t xml:space="preserve"> : on spécialise ce modèle sur les messages KWISMO annotés (arnaque / légitime). C’est l’étape qui l’adapte réellement au terrain.</w:t>
      </w:r>
    </w:p>
    <w:p w14:paraId="6749C8C1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Écosystème</w:t>
      </w:r>
      <w:r>
        <w:t xml:space="preserve"> : Hugging Face Transformers (chargement du modèle, entraînement, sauvegarde) ; PyTorch en support. TensorFlow reste possible mais Hugging Face est privilégié pour ce type de modèle.</w:t>
      </w:r>
    </w:p>
    <w:p w14:paraId="14A79119" w14:textId="77777777" w:rsidR="00032BC6" w:rsidRDefault="00000000">
      <w:pPr>
        <w:pStyle w:val="Titre2"/>
        <w:spacing w:before="260" w:after="120"/>
      </w:pPr>
      <w:bookmarkStart w:id="20" w:name="_Toc235528201"/>
      <w:r>
        <w:t>6.3  Repli simple garanti</w:t>
      </w:r>
      <w:bookmarkEnd w:id="20"/>
    </w:p>
    <w:tbl>
      <w:tblPr>
        <w:tblW w:w="5000" w:type="pct"/>
        <w:tblBorders>
          <w:left w:val="single" w:sz="24" w:space="0" w:color="2FAC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032BC6" w14:paraId="17728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FF3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761EA8" w14:textId="77777777" w:rsidR="00032BC6" w:rsidRDefault="00000000">
            <w:pPr>
              <w:spacing w:after="60"/>
            </w:pPr>
            <w:r>
              <w:rPr>
                <w:b/>
                <w:bCs/>
                <w:color w:val="1E7A45"/>
                <w:sz w:val="20"/>
                <w:szCs w:val="20"/>
              </w:rPr>
              <w:t>Filet de sécurité si la machine ne suit pas</w:t>
            </w:r>
          </w:p>
          <w:p w14:paraId="7D83042B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Si l’entraînement du modèle africain s’avère trop lourd pour la machine disponible, un modèle simple TF-IDF + régression logistique sert de repli : très léger, entraînable sur n’importe quel PC, et déjà utile.</w:t>
            </w:r>
          </w:p>
          <w:p w14:paraId="2643F09D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La production reste dans tous les cas légère : seule l’inférence tourne sur le serveur, et un petit modèle de texte prédit en une fraction de seconde.</w:t>
            </w:r>
          </w:p>
        </w:tc>
      </w:tr>
    </w:tbl>
    <w:p w14:paraId="20DC36AC" w14:textId="77777777" w:rsidR="00032BC6" w:rsidRDefault="00000000">
      <w:pPr>
        <w:pStyle w:val="Titre2"/>
        <w:spacing w:before="260" w:after="120"/>
      </w:pPr>
      <w:bookmarkStart w:id="21" w:name="_Toc235528202"/>
      <w:r>
        <w:t>6.4  Entraînement léger — les techniques clés</w:t>
      </w:r>
      <w:bookmarkEnd w:id="21"/>
    </w:p>
    <w:p w14:paraId="3B2A17D0" w14:textId="77777777" w:rsidR="00032BC6" w:rsidRDefault="00000000">
      <w:pPr>
        <w:spacing w:after="140" w:line="276" w:lineRule="auto"/>
        <w:jc w:val="both"/>
      </w:pPr>
      <w:r>
        <w:t>Pour respecter la contrainte « ne jamais saturer la machine », l’entraînement du Modèle B s’appuie sur des techniques d’allègement, en ligne (Colab) ou sur PC :</w:t>
      </w:r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3412"/>
        <w:gridCol w:w="6034"/>
        <w:gridCol w:w="30"/>
      </w:tblGrid>
      <w:tr w:rsidR="00032BC6" w14:paraId="21E143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340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04A4C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Technique</w:t>
            </w:r>
          </w:p>
        </w:tc>
        <w:tc>
          <w:tcPr>
            <w:tcW w:w="59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F273E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Effet</w:t>
            </w:r>
          </w:p>
        </w:tc>
      </w:tr>
      <w:tr w:rsidR="00032BC6" w14:paraId="2B0BBE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29CB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Google Colab / Kaggle (GPU gratuit)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445EF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Déporte l’entraînement lourd hors du serveur de production, gratuitement.</w:t>
            </w:r>
          </w:p>
        </w:tc>
      </w:tr>
      <w:tr w:rsidR="00032BC6" w14:paraId="0E407E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9B4BC" w14:textId="77777777" w:rsidR="00032BC6" w:rsidRPr="00754413" w:rsidRDefault="00000000">
            <w:pPr>
              <w:spacing w:line="250" w:lineRule="auto"/>
              <w:rPr>
                <w:lang w:val="en-CA"/>
              </w:rPr>
            </w:pPr>
            <w:r w:rsidRPr="00754413">
              <w:rPr>
                <w:b/>
                <w:bCs/>
                <w:sz w:val="18"/>
                <w:szCs w:val="18"/>
                <w:lang w:val="en-CA"/>
              </w:rPr>
              <w:t>Fine-tuning léger (PEFT / LoRA)</w:t>
            </w:r>
          </w:p>
        </w:tc>
        <w:tc>
          <w:tcPr>
            <w:tcW w:w="59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79A8B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On n’entraîne qu’une petite partie du modèle : bien plus rapide et léger.</w:t>
            </w:r>
          </w:p>
        </w:tc>
      </w:tr>
      <w:tr w:rsidR="00032BC6" w14:paraId="0AA1D2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1CE98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Quantification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F732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Réduit la taille du modèle pour l’inférence : rapide et peu gourmand en mémoire.</w:t>
            </w:r>
          </w:p>
        </w:tc>
      </w:tr>
      <w:tr w:rsidR="00032BC6" w14:paraId="557C9F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40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2987C" w14:textId="77777777" w:rsidR="00032BC6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Distillation (option)</w:t>
            </w:r>
          </w:p>
        </w:tc>
        <w:tc>
          <w:tcPr>
            <w:tcW w:w="59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0BC17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Transfère la connaissance vers un modèle plus petit pour la production.</w:t>
            </w:r>
          </w:p>
        </w:tc>
      </w:tr>
      <w:tr w:rsidR="00032BC6" w14:paraId="6B8898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34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6FAE8" w14:textId="77777777" w:rsidR="00032BC6" w:rsidRPr="00754413" w:rsidRDefault="00000000">
            <w:pPr>
              <w:spacing w:line="250" w:lineRule="auto"/>
              <w:rPr>
                <w:lang w:val="en-CA"/>
              </w:rPr>
            </w:pPr>
            <w:r w:rsidRPr="00754413">
              <w:rPr>
                <w:b/>
                <w:bCs/>
                <w:sz w:val="18"/>
                <w:szCs w:val="18"/>
                <w:lang w:val="en-CA"/>
              </w:rPr>
              <w:t>Petits lots (batchs) &amp; early stopping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45334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Limite la mémoire utilisée et arrête l’entraînement dès que ça n’améliore plus.</w:t>
            </w:r>
          </w:p>
        </w:tc>
      </w:tr>
      <w:tr w:rsidR="00032BC6" w14:paraId="3EBE7485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3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CCE6A" w14:textId="77777777" w:rsidR="00032BC6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Résultat</w:t>
            </w:r>
          </w:p>
          <w:p w14:paraId="6D67B603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Un entraînement faisable sur Colab gratuit ou un PC modeste, et un modèle final quantifié qui prédit vite sur le serveur sans le saturer.</w:t>
            </w:r>
          </w:p>
        </w:tc>
      </w:tr>
    </w:tbl>
    <w:p w14:paraId="2B88EDA8" w14:textId="77777777" w:rsidR="00032BC6" w:rsidRDefault="00000000">
      <w:r>
        <w:br w:type="page"/>
      </w:r>
    </w:p>
    <w:p w14:paraId="3F12099E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2" w:name="_Toc235528203"/>
      <w:r>
        <w:rPr>
          <w:color w:val="F39200"/>
        </w:rPr>
        <w:lastRenderedPageBreak/>
        <w:t xml:space="preserve">7  </w:t>
      </w:r>
      <w:r>
        <w:t>Évaluation &amp; métriques</w:t>
      </w:r>
      <w:bookmarkEnd w:id="22"/>
    </w:p>
    <w:p w14:paraId="3207C618" w14:textId="77777777" w:rsidR="00032BC6" w:rsidRDefault="00000000">
      <w:pPr>
        <w:spacing w:after="140" w:line="276" w:lineRule="auto"/>
        <w:jc w:val="both"/>
      </w:pPr>
      <w:r>
        <w:t>En fraude, les cas frauduleux sont rares. Un modèle qui dirait « tout est sûr » aurait un fort taux de bonnes réponses mais serait inutile. On utilise donc des métriques adaptées.</w:t>
      </w:r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3819"/>
        <w:gridCol w:w="3250"/>
      </w:tblGrid>
      <w:tr w:rsidR="00032BC6" w14:paraId="5A7C7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75C6F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Métrique</w:t>
            </w:r>
          </w:p>
        </w:tc>
        <w:tc>
          <w:tcPr>
            <w:tcW w:w="37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206BC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à laquelle elle répond</w:t>
            </w:r>
          </w:p>
        </w:tc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9303E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Enjeu KWISMO</w:t>
            </w:r>
          </w:p>
        </w:tc>
      </w:tr>
      <w:tr w:rsidR="00032BC6" w14:paraId="581F5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BD109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Rappel (recall)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F4DB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Quelle part des fraudes réelles attrape-t-on ?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63516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Crucial : rater une fraude = utilisateur volé.</w:t>
            </w:r>
          </w:p>
        </w:tc>
      </w:tr>
      <w:tr w:rsidR="00032BC6" w14:paraId="389D0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D87A2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Précision</w:t>
            </w:r>
          </w:p>
        </w:tc>
        <w:tc>
          <w:tcPr>
            <w:tcW w:w="3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2146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Parmi les alertes, combien sont justes ?</w:t>
            </w:r>
          </w:p>
        </w:tc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E68F2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Trop de fausses alertes = les gens ignorent l’app.</w:t>
            </w:r>
          </w:p>
        </w:tc>
      </w:tr>
      <w:tr w:rsidR="00032BC6" w14:paraId="62072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0D205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Score F1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600A7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Équilibre entre rappel et précision.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3E3CD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Mesure de synthèse principale.</w:t>
            </w:r>
          </w:p>
        </w:tc>
      </w:tr>
      <w:tr w:rsidR="00032BC6" w14:paraId="2381C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80022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Courbe précision/rappel</w:t>
            </w:r>
          </w:p>
        </w:tc>
        <w:tc>
          <w:tcPr>
            <w:tcW w:w="37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9F70F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Comment évolue le compromis selon le seuil.</w:t>
            </w:r>
          </w:p>
        </w:tc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7EB1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Aide à choisir les seuils d’alerte.</w:t>
            </w:r>
          </w:p>
        </w:tc>
      </w:tr>
      <w:tr w:rsidR="00032BC6" w14:paraId="69ED4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89BBD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Matrice de confusion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B6EAF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Où le modèle se trompe (faux positifs/négatifs).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2254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Diagnostic et suivi des biais.</w:t>
            </w:r>
          </w:p>
        </w:tc>
      </w:tr>
    </w:tbl>
    <w:p w14:paraId="4F19126D" w14:textId="77777777" w:rsidR="00032BC6" w:rsidRDefault="00000000">
      <w:pPr>
        <w:pStyle w:val="Titre2"/>
        <w:spacing w:before="260" w:after="120"/>
      </w:pPr>
      <w:bookmarkStart w:id="23" w:name="_Toc235528204"/>
      <w:r>
        <w:t>7.1  Seuils d’alerte réglables</w:t>
      </w:r>
      <w:bookmarkEnd w:id="23"/>
    </w:p>
    <w:p w14:paraId="0FE4C61A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Les seuils qui transforment un score en statut (sécurisé / à signaler / frauduleux) sont réglables sans réentraîner le modèle.</w:t>
      </w:r>
    </w:p>
    <w:p w14:paraId="56909981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t>On privilégie un rappel élevé sur les cas graves (ne pas rater de fraude), tout en surveillant les fausses alertes.</w:t>
      </w:r>
    </w:p>
    <w:p w14:paraId="045DBD56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4" w:name="_Toc235528205"/>
      <w:r>
        <w:rPr>
          <w:color w:val="F39200"/>
        </w:rPr>
        <w:t xml:space="preserve">8  </w:t>
      </w:r>
      <w:r>
        <w:t>Apprentissage continu &amp; gestion des versions</w:t>
      </w:r>
      <w:bookmarkEnd w:id="24"/>
    </w:p>
    <w:p w14:paraId="1B354D0F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Automatique</w:t>
      </w:r>
      <w:r>
        <w:t xml:space="preserve"> : conformément aux diagrammes du projet, l’entraînement se déclenche automatiquement à partir des nouvelles données (vérifications, signalements), sans intervention d’administrateur.</w:t>
      </w:r>
    </w:p>
    <w:p w14:paraId="66D9F07E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Incrémental &amp; planifié</w:t>
      </w:r>
      <w:r>
        <w:t xml:space="preserve"> : mises à jour légères et périodiques ; jamais un réentraînement complet à chaque requête.</w:t>
      </w:r>
    </w:p>
    <w:p w14:paraId="51EC0CE1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Versioning des modèles</w:t>
      </w:r>
      <w:r>
        <w:t xml:space="preserve"> : chaque modèle entraîné est versionné (numéro de version, date, performance). On peut revenir à une version précédente en cas de régression.</w:t>
      </w:r>
    </w:p>
    <w:p w14:paraId="67B6FE49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Registre de modèles</w:t>
      </w:r>
      <w:r>
        <w:t xml:space="preserve"> : les artefacts de modèles sont stockés dans un emplacement convenu (voir §9.3), avec leurs métriques.</w:t>
      </w:r>
    </w:p>
    <w:p w14:paraId="72461B98" w14:textId="77777777" w:rsidR="00032BC6" w:rsidRDefault="00000000">
      <w:r>
        <w:br w:type="page"/>
      </w:r>
    </w:p>
    <w:p w14:paraId="069D97B3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5" w:name="_Toc235528206"/>
      <w:r>
        <w:rPr>
          <w:color w:val="F39200"/>
        </w:rPr>
        <w:lastRenderedPageBreak/>
        <w:t xml:space="preserve">9  </w:t>
      </w:r>
      <w:r>
        <w:t>Service d’inférence &amp; intégration avec le backend</w:t>
      </w:r>
      <w:bookmarkEnd w:id="25"/>
    </w:p>
    <w:p w14:paraId="66D15CB5" w14:textId="77777777" w:rsidR="00032BC6" w:rsidRDefault="00000000">
      <w:pPr>
        <w:spacing w:after="140" w:line="276" w:lineRule="auto"/>
        <w:jc w:val="both"/>
      </w:pPr>
      <w:r>
        <w:t xml:space="preserve">Le service IA est une API Python séparée (FastAPI). Il </w:t>
      </w:r>
      <w:r>
        <w:rPr>
          <w:b/>
          <w:bCs/>
        </w:rPr>
        <w:t>ne se connecte jamais à la base de données</w:t>
      </w:r>
      <w:r>
        <w:t xml:space="preserve"> : il reçoit ses données uniquement du backend et lui renvoie ses prédictions.</w:t>
      </w:r>
    </w:p>
    <w:p w14:paraId="08DE6BD1" w14:textId="77777777" w:rsidR="00032BC6" w:rsidRDefault="00000000">
      <w:pPr>
        <w:pStyle w:val="Titre2"/>
        <w:spacing w:before="260" w:after="120"/>
      </w:pPr>
      <w:bookmarkStart w:id="26" w:name="_Toc235528207"/>
      <w:r>
        <w:t>9.1  API d’inférence</w:t>
      </w:r>
      <w:bookmarkEnd w:id="26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3"/>
        <w:gridCol w:w="6053"/>
      </w:tblGrid>
      <w:tr w:rsidR="00032BC6" w14:paraId="2FE9F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ADF28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59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FDE26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032BC6" w14:paraId="0F3B39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B3B6C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/predict/number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36AF7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Reçoit les caractéristiques d’un numéro, renvoie score + statut (Modèle A).</w:t>
            </w:r>
          </w:p>
        </w:tc>
      </w:tr>
      <w:tr w:rsidR="00032BC6" w14:paraId="09B5C1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E77EC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/predict/text</w:t>
            </w:r>
          </w:p>
        </w:tc>
        <w:tc>
          <w:tcPr>
            <w:tcW w:w="59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987D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Reçoit un message, renvoie la probabilité d’arnaque (Modèle B).</w:t>
            </w:r>
          </w:p>
        </w:tc>
      </w:tr>
      <w:tr w:rsidR="00032BC6" w14:paraId="3EEBFE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535D7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POST /feedback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F40F6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Reçoit une nouvelle donnée étiquetée (signalement) pour l’apprentissage continu.</w:t>
            </w:r>
          </w:p>
        </w:tc>
      </w:tr>
      <w:tr w:rsidR="00032BC6" w14:paraId="6D1C7B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4111E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6"/>
                <w:szCs w:val="16"/>
              </w:rPr>
              <w:t>GET /health · GET /version</w:t>
            </w:r>
          </w:p>
        </w:tc>
        <w:tc>
          <w:tcPr>
            <w:tcW w:w="59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1B9A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État du service et version du modèle chargé.</w:t>
            </w:r>
          </w:p>
        </w:tc>
      </w:tr>
    </w:tbl>
    <w:p w14:paraId="78C2BD7F" w14:textId="77777777" w:rsidR="00032BC6" w:rsidRDefault="00000000">
      <w:pPr>
        <w:pStyle w:val="Titre2"/>
        <w:spacing w:before="260" w:after="120"/>
      </w:pPr>
      <w:bookmarkStart w:id="27" w:name="_Toc235528208"/>
      <w:r>
        <w:t>9.2  Modes de communication</w:t>
      </w:r>
      <w:bookmarkEnd w:id="27"/>
    </w:p>
    <w:p w14:paraId="61EC9CF5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Synchrone</w:t>
      </w:r>
      <w:r>
        <w:t xml:space="preserve"> : le backend appelle /predict lors d’une vérification et reçoit une réponse immédiate.</w:t>
      </w:r>
    </w:p>
    <w:p w14:paraId="4D4E4B87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Asynchrone</w:t>
      </w:r>
      <w:r>
        <w:t xml:space="preserve"> : les signalements sont transmis via /feedback pour nourrir l’apprentissage continu.</w:t>
      </w:r>
    </w:p>
    <w:p w14:paraId="4FB462CB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Robustesse</w:t>
      </w:r>
      <w:r>
        <w:t xml:space="preserve"> : si le service IA est momentanément indisponible, le backend applique ses règles expertes de repli — l’utilisateur n’est jamais bloqué.</w:t>
      </w:r>
    </w:p>
    <w:p w14:paraId="563EDD09" w14:textId="77777777" w:rsidR="00032BC6" w:rsidRDefault="00000000">
      <w:pPr>
        <w:pStyle w:val="Titre2"/>
        <w:spacing w:before="260" w:after="120"/>
      </w:pPr>
      <w:bookmarkStart w:id="28" w:name="_Toc235528209"/>
      <w:r>
        <w:t>9.3  Cohabitation dans le dépôt Git (point critique)</w:t>
      </w:r>
      <w:bookmarkEnd w:id="28"/>
    </w:p>
    <w:p w14:paraId="44B29390" w14:textId="77777777" w:rsidR="00032BC6" w:rsidRDefault="00000000">
      <w:pPr>
        <w:spacing w:after="140" w:line="276" w:lineRule="auto"/>
        <w:jc w:val="both"/>
      </w:pPr>
      <w:r>
        <w:t xml:space="preserve">Le service IA et le backend vivent dans </w:t>
      </w:r>
      <w:r>
        <w:rPr>
          <w:b/>
          <w:bCs/>
          <w:color w:val="2D2E83"/>
        </w:rPr>
        <w:t>le même dépôt Git</w:t>
      </w:r>
      <w:r>
        <w:t xml:space="preserve">, en deux sous-dossiers distincts (kwismo-ai/ et kwismo-backend/). L’exigence : quand l’entraînement se termine, le modèle doit être </w:t>
      </w:r>
      <w:r>
        <w:rPr>
          <w:b/>
          <w:bCs/>
        </w:rPr>
        <w:t>immédiatement exploitable</w:t>
      </w:r>
      <w:r>
        <w:t xml:space="preserve"> sans manipulation ni incompatibilité. Trois règles le garantissent.</w:t>
      </w:r>
    </w:p>
    <w:p w14:paraId="11D3C75E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Contrat d’API partagé</w:t>
      </w:r>
      <w:r>
        <w:t xml:space="preserve"> : les formats d’échange (entrée/sortie de /predict) sont définis par des schémas communs, documentés dans les deux Swagger. Aucun des deux services ne devine le format de l’autre.</w:t>
      </w:r>
    </w:p>
    <w:p w14:paraId="049422A4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Emplacement de modèle convenu</w:t>
      </w:r>
      <w:r>
        <w:t xml:space="preserve"> : le modèle entraîné est sauvegardé dans un dossier d’artefacts partagé (monté en volume Docker) ou publié dans un registre. Le service IA y charge la dernière version au démarrage et après chaque réentraînement.</w:t>
      </w:r>
    </w:p>
    <w:p w14:paraId="4201979D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rPr>
          <w:b/>
          <w:bCs/>
        </w:rPr>
        <w:t>Orchestration commune</w:t>
      </w:r>
      <w:r>
        <w:t xml:space="preserve"> : un docker-compose à la racine du dépôt démarre backend + base + service IA ensemble, avec les variables (URL du service IA, chemin des modèles) déjà câblées. Un seul « docker compose up » lève tout.</w:t>
      </w:r>
    </w:p>
    <w:tbl>
      <w:tblPr>
        <w:tblW w:w="5000" w:type="pct"/>
        <w:tblBorders>
          <w:left w:val="single" w:sz="24" w:space="0" w:color="2FAC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6"/>
      </w:tblGrid>
      <w:tr w:rsidR="00032BC6" w14:paraId="610B6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FF3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22380D" w14:textId="77777777" w:rsidR="00032BC6" w:rsidRDefault="00000000">
            <w:pPr>
              <w:spacing w:after="60"/>
            </w:pPr>
            <w:r>
              <w:rPr>
                <w:b/>
                <w:bCs/>
                <w:color w:val="1E7A45"/>
                <w:sz w:val="20"/>
                <w:szCs w:val="20"/>
              </w:rPr>
              <w:lastRenderedPageBreak/>
              <w:t>Ce que ça garantit</w:t>
            </w:r>
          </w:p>
          <w:p w14:paraId="05CD38A5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Dès la fin de l’entraînement (sur Colab ou PC), l’artefact de modèle est déposé à l’emplacement convenu ; le service IA le charge et le backend l’utilise via l’API — sans friction ni incompatibilité de format.</w:t>
            </w:r>
          </w:p>
          <w:p w14:paraId="2D02D754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Les deux dossiers restent indépendants (équipes séparées) mais parlent le même langage.</w:t>
            </w:r>
          </w:p>
        </w:tc>
      </w:tr>
    </w:tbl>
    <w:p w14:paraId="0E5368C2" w14:textId="77777777" w:rsidR="00032BC6" w:rsidRDefault="00000000">
      <w:r>
        <w:br w:type="page"/>
      </w:r>
    </w:p>
    <w:p w14:paraId="30E68F27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29" w:name="_Toc235528210"/>
      <w:r>
        <w:rPr>
          <w:color w:val="F39200"/>
        </w:rPr>
        <w:lastRenderedPageBreak/>
        <w:t xml:space="preserve">10  </w:t>
      </w:r>
      <w:r>
        <w:t>Architecture &amp; structure des dossiers</w:t>
      </w:r>
      <w:bookmarkEnd w:id="29"/>
    </w:p>
    <w:p w14:paraId="180E993F" w14:textId="77777777" w:rsidR="00032BC6" w:rsidRDefault="00000000">
      <w:pPr>
        <w:pStyle w:val="Titre2"/>
        <w:spacing w:before="260" w:after="120"/>
      </w:pPr>
      <w:bookmarkStart w:id="30" w:name="_Toc235528211"/>
      <w:r>
        <w:t>10.1  Choix : Cookiecutter Data Science (adapté)</w:t>
      </w:r>
      <w:bookmarkEnd w:id="30"/>
    </w:p>
    <w:p w14:paraId="0319C3B5" w14:textId="77777777" w:rsidR="00032BC6" w:rsidRDefault="00000000">
      <w:pPr>
        <w:spacing w:after="140" w:line="276" w:lineRule="auto"/>
        <w:jc w:val="both"/>
      </w:pPr>
      <w:r>
        <w:t xml:space="preserve">La structure suit la convention </w:t>
      </w:r>
      <w:r>
        <w:rPr>
          <w:b/>
          <w:bCs/>
          <w:color w:val="2D2E83"/>
        </w:rPr>
        <w:t>Cookiecutter Data Science</w:t>
      </w:r>
      <w:r>
        <w:t>, standard reconnu des projets de science des données, adaptée pour inclure le service d’inférence. Elle sépare clairement les données, l’exploration, le code source et les modèles.</w:t>
      </w:r>
    </w:p>
    <w:p w14:paraId="0E75A49D" w14:textId="77777777" w:rsidR="00032BC6" w:rsidRDefault="00000000">
      <w:pPr>
        <w:pStyle w:val="Titre4"/>
        <w:spacing w:before="150" w:after="70"/>
      </w:pPr>
      <w:r>
        <w:t>Pourquoi ce choix (justificatifs pour l’équipe)</w:t>
      </w:r>
    </w:p>
    <w:p w14:paraId="5238D4CE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Standard reconnu</w:t>
      </w:r>
      <w:r>
        <w:t xml:space="preserve"> : structure comprise par tout data scientist ; onboarding rapide.</w:t>
      </w:r>
    </w:p>
    <w:p w14:paraId="6948D566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Séparation données / code / modèles</w:t>
      </w:r>
      <w:r>
        <w:t xml:space="preserve"> : on ne mélange pas les données brutes, les notebooks d’exploration et le code de production.</w:t>
      </w:r>
    </w:p>
    <w:p w14:paraId="2A2F9FD8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Reproductibilité</w:t>
      </w:r>
      <w:r>
        <w:t xml:space="preserve"> : chaque étape (préparation, entraînement, évaluation) est un script versionné, rejouable à l’identique.</w:t>
      </w:r>
    </w:p>
    <w:p w14:paraId="0013E9A1" w14:textId="77777777" w:rsidR="00032BC6" w:rsidRDefault="00000000">
      <w:pPr>
        <w:pStyle w:val="Paragraphedeliste"/>
        <w:numPr>
          <w:ilvl w:val="0"/>
          <w:numId w:val="2"/>
        </w:numPr>
        <w:spacing w:after="70" w:line="268" w:lineRule="auto"/>
      </w:pPr>
      <w:r>
        <w:rPr>
          <w:b/>
          <w:bCs/>
        </w:rPr>
        <w:t>Compatible Colab</w:t>
      </w:r>
      <w:r>
        <w:t xml:space="preserve"> : les notebooks d’entraînement s’exécutent aussi bien en local que sur Colab, avec le même code source importé.</w:t>
      </w:r>
    </w:p>
    <w:p w14:paraId="16F675E5" w14:textId="77777777" w:rsidR="00032BC6" w:rsidRDefault="00000000">
      <w:pPr>
        <w:pStyle w:val="Titre2"/>
        <w:spacing w:before="260" w:after="120"/>
      </w:pPr>
      <w:bookmarkStart w:id="31" w:name="_Toc235528212"/>
      <w:r>
        <w:t>10.2  Arborescence normative</w:t>
      </w:r>
      <w:bookmarkEnd w:id="31"/>
    </w:p>
    <w:tbl>
      <w:tblPr>
        <w:tblW w:w="5000" w:type="pct"/>
        <w:tblBorders>
          <w:top w:val="single" w:sz="4" w:space="0" w:color="D8DEE6"/>
          <w:left w:val="single" w:sz="12" w:space="0" w:color="2D2E83"/>
          <w:bottom w:val="single" w:sz="4" w:space="0" w:color="D8DEE6"/>
          <w:right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456"/>
        <w:gridCol w:w="15"/>
      </w:tblGrid>
      <w:tr w:rsidR="00032BC6" w14:paraId="33B1FD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shd w:val="clear" w:color="auto" w:fill="F7F8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81592B6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kwismo-ai/</w:t>
            </w:r>
          </w:p>
          <w:p w14:paraId="3EA9F9F2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data/                        # Données (jamais versionnées si sensibles)</w:t>
            </w:r>
          </w:p>
          <w:p w14:paraId="19E6988B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raw/                      # Données brutes reçues (via le backend)</w:t>
            </w:r>
          </w:p>
          <w:p w14:paraId="3E76D5C7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interim/                  # Données nettoyées intermédiaires</w:t>
            </w:r>
          </w:p>
          <w:p w14:paraId="6FF3FF7E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└─ processed/                # Données prêtes pour l’entraînement</w:t>
            </w:r>
          </w:p>
          <w:p w14:paraId="7E9D7A8F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notebooks/                   # Exploration &amp; entraînement (local + Colab)</w:t>
            </w:r>
          </w:p>
          <w:p w14:paraId="7A73AE77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01_exploration.ipynb</w:t>
            </w:r>
          </w:p>
          <w:p w14:paraId="42F90870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02_train_model_a.ipynb    # Scoring numéros</w:t>
            </w:r>
          </w:p>
          <w:p w14:paraId="66C5783E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└─ 03_train_model_b.ipynb    # NLP AfroXLMR</w:t>
            </w:r>
          </w:p>
          <w:p w14:paraId="40A2CE45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src/                         # ★ Code source réutilisable</w:t>
            </w:r>
          </w:p>
          <w:p w14:paraId="40D00E8C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config.py                 # Chemins, seuils, hyperparamètres</w:t>
            </w:r>
          </w:p>
          <w:p w14:paraId="08CAF6C4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data/</w:t>
            </w:r>
          </w:p>
          <w:p w14:paraId="6D6971E0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├─ collect.py             # Réception des données depuis le backend</w:t>
            </w:r>
          </w:p>
          <w:p w14:paraId="014292D1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├─ clean.py               # Nettoyage</w:t>
            </w:r>
          </w:p>
          <w:p w14:paraId="720719E4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└─ features.py            # Construction des caractéristiques</w:t>
            </w:r>
          </w:p>
          <w:p w14:paraId="157921FD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models/</w:t>
            </w:r>
          </w:p>
          <w:p w14:paraId="6319A3FA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├─ model_a/               # Scoring de réputation</w:t>
            </w:r>
          </w:p>
          <w:p w14:paraId="69B48915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│  ├─ train.py</w:t>
            </w:r>
          </w:p>
          <w:p w14:paraId="4DFBCD9C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│  ├─ predict.py</w:t>
            </w:r>
          </w:p>
          <w:p w14:paraId="500BB17D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│  └─ rules.py            # Règles expertes (démarrage à froid)</w:t>
            </w:r>
          </w:p>
          <w:p w14:paraId="6BA4DDC0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│  └─ model_b/               # NLP multilingue</w:t>
            </w:r>
          </w:p>
          <w:p w14:paraId="2EDC0AAF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│     ├─ preprocess.py</w:t>
            </w:r>
          </w:p>
          <w:p w14:paraId="4A929FD5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│     ├─ train.py            # Fine-tuning (Colab/PC)</w:t>
            </w:r>
          </w:p>
          <w:p w14:paraId="760A9A6C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│     ├─ predict.py</w:t>
            </w:r>
          </w:p>
          <w:p w14:paraId="0FD31E98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│     └─ fallback.py         # Repli TF-IDF</w:t>
            </w:r>
          </w:p>
          <w:p w14:paraId="31495C5A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evaluation/</w:t>
            </w:r>
          </w:p>
          <w:p w14:paraId="6668A5D6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│  └─ metrics.py             # Rappel, précision, F1, matrices</w:t>
            </w:r>
          </w:p>
          <w:p w14:paraId="57AEE4F9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└─ api/                      # ★ Service d’inférence (FastAPI)</w:t>
            </w:r>
          </w:p>
          <w:p w14:paraId="6B930350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│     ├─ main.py                # Routes /predict, /feedback, /health</w:t>
            </w:r>
          </w:p>
          <w:p w14:paraId="01F3129F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├─ schemas.py             # Contrat d’API partagé avec le backend</w:t>
            </w:r>
          </w:p>
          <w:p w14:paraId="651E094B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└─ loader.py              # Chargement de la dernière version du modèle</w:t>
            </w:r>
          </w:p>
          <w:p w14:paraId="4C57708B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models/                      # ★ Artefacts entraînés (partagés au backend)</w:t>
            </w:r>
          </w:p>
          <w:p w14:paraId="51855D5C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model_a/                  # ex. model_a_v3.pkl</w:t>
            </w:r>
          </w:p>
          <w:p w14:paraId="045B7C99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├─ model_b/                  # modèle NLP quantifié</w:t>
            </w:r>
          </w:p>
          <w:p w14:paraId="44C7BBD2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└─ registry.json             # Versions + métriques (versioning)</w:t>
            </w:r>
          </w:p>
          <w:p w14:paraId="3D7D30A5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tests/                       # Tests des pipelines et de l’API</w:t>
            </w:r>
          </w:p>
          <w:p w14:paraId="06BFFD1E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t>├─ .env / .env.example          # BACKEND_URL, MODEL_DIR…</w:t>
            </w:r>
          </w:p>
          <w:p w14:paraId="0E5E0CD7" w14:textId="77777777" w:rsidR="00032BC6" w:rsidRPr="00754413" w:rsidRDefault="00000000">
            <w:pPr>
              <w:rPr>
                <w:lang w:val="en-CA"/>
              </w:rPr>
            </w:pPr>
            <w:r w:rsidRPr="00754413">
              <w:rPr>
                <w:rFonts w:ascii="Consolas" w:eastAsia="Consolas" w:hAnsi="Consolas" w:cs="Consolas"/>
                <w:sz w:val="16"/>
                <w:szCs w:val="16"/>
                <w:lang w:val="en-CA"/>
              </w:rPr>
              <w:lastRenderedPageBreak/>
              <w:t>├─ requirements.txt             # scikit-learn, lightgbm, transformers…</w:t>
            </w:r>
          </w:p>
          <w:p w14:paraId="491F5CA3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 Dockerfile                   # Image du service d’inférence</w:t>
            </w:r>
          </w:p>
          <w:p w14:paraId="5331AC76" w14:textId="77777777" w:rsidR="00032BC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└─ README.md</w:t>
            </w:r>
          </w:p>
        </w:tc>
      </w:tr>
      <w:tr w:rsidR="00032BC6" w14:paraId="403A0133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right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49127D" w14:textId="77777777" w:rsidR="00032BC6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Le pont avec le backend</w:t>
            </w:r>
          </w:p>
          <w:p w14:paraId="64571907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 dossier models/ contient les artefacts entraînés ; c’est l’emplacement partagé (monté en volume) que le service d’inférence charge et que l’orchestration commune relie au backend.</w:t>
            </w:r>
          </w:p>
          <w:p w14:paraId="7C6816A7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src/api/schemas.py porte le contrat d’API partagé : il DOIT rester cohérent avec les schémas côté backend (module ai_gateway).</w:t>
            </w:r>
          </w:p>
        </w:tc>
      </w:tr>
    </w:tbl>
    <w:p w14:paraId="0C4CD72D" w14:textId="77777777" w:rsidR="00032BC6" w:rsidRDefault="00000000">
      <w:pPr>
        <w:pStyle w:val="Titre2"/>
        <w:spacing w:before="260" w:after="120"/>
      </w:pPr>
      <w:bookmarkStart w:id="32" w:name="_Toc235528213"/>
      <w:r>
        <w:t>10.3  Stack technique</w:t>
      </w:r>
      <w:bookmarkEnd w:id="32"/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6256"/>
      </w:tblGrid>
      <w:tr w:rsidR="00032BC6" w14:paraId="1CD76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E77E0F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616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C05CE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Bibliothèque</w:t>
            </w:r>
          </w:p>
        </w:tc>
      </w:tr>
      <w:tr w:rsidR="00032BC6" w14:paraId="48291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9FBA6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Manipulation de données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A2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Pandas, NumPy</w:t>
            </w:r>
          </w:p>
        </w:tc>
      </w:tr>
      <w:tr w:rsidR="00032BC6" w:rsidRPr="00754413" w14:paraId="566F47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331CA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Modèle A (scoring)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08C6" w14:textId="77777777" w:rsidR="00032BC6" w:rsidRPr="00754413" w:rsidRDefault="00000000">
            <w:pPr>
              <w:spacing w:line="250" w:lineRule="auto"/>
              <w:rPr>
                <w:lang w:val="en-CA"/>
              </w:rPr>
            </w:pPr>
            <w:r w:rsidRPr="00754413">
              <w:rPr>
                <w:sz w:val="18"/>
                <w:szCs w:val="18"/>
                <w:lang w:val="en-CA"/>
              </w:rPr>
              <w:t>scikit-learn, LightGBM (ou XGBoost)</w:t>
            </w:r>
          </w:p>
        </w:tc>
      </w:tr>
      <w:tr w:rsidR="00032BC6" w:rsidRPr="00754413" w14:paraId="23A99F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7B2F9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Modèle B (NLP)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9BDF7" w14:textId="77777777" w:rsidR="00032BC6" w:rsidRPr="00754413" w:rsidRDefault="00000000">
            <w:pPr>
              <w:spacing w:line="250" w:lineRule="auto"/>
              <w:rPr>
                <w:lang w:val="en-CA"/>
              </w:rPr>
            </w:pPr>
            <w:r w:rsidRPr="00754413">
              <w:rPr>
                <w:sz w:val="18"/>
                <w:szCs w:val="18"/>
                <w:lang w:val="en-CA"/>
              </w:rPr>
              <w:t>Hugging Face Transformers, PyTorch, PEFT (fine-tuning léger)</w:t>
            </w:r>
          </w:p>
        </w:tc>
      </w:tr>
      <w:tr w:rsidR="00032BC6" w14:paraId="136A80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5152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Repli NLP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864A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scikit-learn (TF-IDF + régression logistique)</w:t>
            </w:r>
          </w:p>
        </w:tc>
      </w:tr>
      <w:tr w:rsidR="00032BC6" w14:paraId="2CE2C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B6D3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Service d’inférence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AD5A4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FastAPI + Uvicorn</w:t>
            </w:r>
          </w:p>
        </w:tc>
      </w:tr>
      <w:tr w:rsidR="00032BC6" w14:paraId="2F3636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4C85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Suivi d’expériences (option)</w:t>
            </w:r>
          </w:p>
        </w:tc>
        <w:tc>
          <w:tcPr>
            <w:tcW w:w="616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6820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MLflow ou simple registre JSON</w:t>
            </w:r>
          </w:p>
        </w:tc>
      </w:tr>
      <w:tr w:rsidR="00032BC6" w14:paraId="605D04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11528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Qualité &amp; tests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8B47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pytest, Ruff, Black</w:t>
            </w:r>
          </w:p>
        </w:tc>
      </w:tr>
    </w:tbl>
    <w:p w14:paraId="6B79D754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33" w:name="_Toc235528214"/>
      <w:r>
        <w:rPr>
          <w:color w:val="F39200"/>
        </w:rPr>
        <w:t xml:space="preserve">11  </w:t>
      </w:r>
      <w:r>
        <w:t>Organisation des deux data scientists</w:t>
      </w:r>
      <w:bookmarkEnd w:id="33"/>
    </w:p>
    <w:p w14:paraId="3C46B2EB" w14:textId="77777777" w:rsidR="00032BC6" w:rsidRDefault="00000000">
      <w:pPr>
        <w:spacing w:after="140" w:line="276" w:lineRule="auto"/>
        <w:jc w:val="both"/>
      </w:pPr>
      <w:r>
        <w:t>Les deux data scientists travaillent en parallèle, dans le même dossier, sur des responsabilités complémentaires.</w:t>
      </w:r>
    </w:p>
    <w:tbl>
      <w:tblPr>
        <w:tblW w:w="5000" w:type="pct"/>
        <w:tblBorders>
          <w:top w:val="single" w:sz="4" w:space="0" w:color="D8DEE6"/>
          <w:bottom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4707"/>
        <w:gridCol w:w="4738"/>
        <w:gridCol w:w="30"/>
      </w:tblGrid>
      <w:tr w:rsidR="00032BC6" w14:paraId="7C19E1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blHeader/>
        </w:trPr>
        <w:tc>
          <w:tcPr>
            <w:tcW w:w="4680" w:type="dxa"/>
            <w:gridSpan w:val="2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AAF85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Data 1 — Scoring &amp; pipeline</w:t>
            </w:r>
          </w:p>
        </w:tc>
        <w:tc>
          <w:tcPr>
            <w:tcW w:w="4680" w:type="dxa"/>
            <w:shd w:val="clear" w:color="auto" w:fill="2D2E8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C6C76" w14:textId="77777777" w:rsidR="00032BC6" w:rsidRDefault="00000000">
            <w:r>
              <w:rPr>
                <w:b/>
                <w:bCs/>
                <w:color w:val="FFFFFF"/>
                <w:sz w:val="18"/>
                <w:szCs w:val="18"/>
              </w:rPr>
              <w:t>Data 2 — NLP &amp; annotation</w:t>
            </w:r>
          </w:p>
        </w:tc>
      </w:tr>
      <w:tr w:rsidR="00032BC6" w14:paraId="624C12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468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BF3D8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Modèle A</w:t>
            </w:r>
            <w:r>
              <w:rPr>
                <w:sz w:val="18"/>
                <w:szCs w:val="18"/>
              </w:rPr>
              <w:t xml:space="preserve"> : caractéristiques, entraînement LightGBM, seuils.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655F4" w14:textId="77777777" w:rsidR="00032BC6" w:rsidRDefault="00000000">
            <w:pPr>
              <w:spacing w:line="250" w:lineRule="auto"/>
            </w:pPr>
            <w:r>
              <w:rPr>
                <w:b/>
                <w:bCs/>
                <w:color w:val="2D2E83"/>
                <w:sz w:val="18"/>
                <w:szCs w:val="18"/>
              </w:rPr>
              <w:t>Modèle B</w:t>
            </w:r>
            <w:r>
              <w:rPr>
                <w:sz w:val="18"/>
                <w:szCs w:val="18"/>
              </w:rPr>
              <w:t xml:space="preserve"> : prétraitement, fine-tuning AfroXLMR, repli TF-IDF.</w:t>
            </w:r>
          </w:p>
        </w:tc>
      </w:tr>
      <w:tr w:rsidR="00032BC6" w14:paraId="19CD1B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468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88143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Règles expertes (démarrage à froid).</w:t>
            </w:r>
          </w:p>
        </w:tc>
        <w:tc>
          <w:tcPr>
            <w:tcW w:w="468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39737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Collecte &amp; annotation des messages locaux.</w:t>
            </w:r>
          </w:p>
        </w:tc>
      </w:tr>
      <w:tr w:rsidR="00032BC6" w14:paraId="58943C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468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08D5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Pipeline de données (collecte, nettoyage, features).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C3FB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Prétraitement du franglais/pidgin.</w:t>
            </w:r>
          </w:p>
        </w:tc>
      </w:tr>
      <w:tr w:rsidR="00032BC6" w14:paraId="49F719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4680" w:type="dxa"/>
            <w:gridSpan w:val="2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9921" w14:textId="77777777" w:rsidR="00032BC6" w:rsidRPr="00754413" w:rsidRDefault="00000000">
            <w:pPr>
              <w:spacing w:line="250" w:lineRule="auto"/>
              <w:rPr>
                <w:lang w:val="en-CA"/>
              </w:rPr>
            </w:pPr>
            <w:r w:rsidRPr="00754413">
              <w:rPr>
                <w:sz w:val="18"/>
                <w:szCs w:val="18"/>
                <w:lang w:val="en-CA"/>
              </w:rPr>
              <w:t>Service d’inférence /predict/number + /feedback.</w:t>
            </w:r>
          </w:p>
        </w:tc>
        <w:tc>
          <w:tcPr>
            <w:tcW w:w="4680" w:type="dxa"/>
            <w:shd w:val="clear" w:color="auto" w:fill="FBFCF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671C3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Service d’inférence /predict/text.</w:t>
            </w:r>
          </w:p>
        </w:tc>
      </w:tr>
      <w:tr w:rsidR="00032BC6" w14:paraId="0B6CC9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468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8929E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Évaluation &amp; versioning du Modèle A.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D8D91" w14:textId="77777777" w:rsidR="00032BC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Évaluation &amp; surveillance des biais.</w:t>
            </w:r>
          </w:p>
        </w:tc>
      </w:tr>
      <w:tr w:rsidR="00032BC6" w14:paraId="645E336A" w14:textId="77777777">
        <w:tblPrEx>
          <w:tblBorders>
            <w:top w:val="none" w:sz="0" w:space="0" w:color="auto"/>
            <w:left w:val="single" w:sz="24" w:space="0" w:color="2D2E83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360" w:type="dxa"/>
            <w:gridSpan w:val="3"/>
            <w:shd w:val="clear" w:color="auto" w:fill="E9EA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6E5A20" w14:textId="77777777" w:rsidR="00032BC6" w:rsidRDefault="00000000">
            <w:pPr>
              <w:spacing w:after="60"/>
            </w:pPr>
            <w:r>
              <w:rPr>
                <w:b/>
                <w:bCs/>
                <w:color w:val="2D2E83"/>
                <w:sz w:val="20"/>
                <w:szCs w:val="20"/>
              </w:rPr>
              <w:t>Point de coordination</w:t>
            </w:r>
          </w:p>
          <w:p w14:paraId="0F845FDC" w14:textId="77777777" w:rsidR="00032BC6" w:rsidRDefault="00000000">
            <w:pPr>
              <w:spacing w:after="40"/>
            </w:pPr>
            <w:r>
              <w:rPr>
                <w:sz w:val="19"/>
                <w:szCs w:val="19"/>
              </w:rPr>
              <w:t>Les deux partagent le contrat d’API (src/api/schemas.py) et le dossier models/. Une revue croisée régulière garantit la cohérence avec le backend.</w:t>
            </w:r>
          </w:p>
        </w:tc>
      </w:tr>
    </w:tbl>
    <w:p w14:paraId="0CE76811" w14:textId="77777777" w:rsidR="00032BC6" w:rsidRDefault="00000000">
      <w:r>
        <w:br w:type="page"/>
      </w:r>
    </w:p>
    <w:p w14:paraId="248FFFA3" w14:textId="77777777" w:rsidR="00032BC6" w:rsidRDefault="00000000">
      <w:pPr>
        <w:pStyle w:val="Titre1"/>
        <w:pBdr>
          <w:bottom w:val="single" w:sz="14" w:space="6" w:color="F39200"/>
        </w:pBdr>
        <w:spacing w:before="320" w:after="160"/>
      </w:pPr>
      <w:bookmarkStart w:id="34" w:name="_Toc235528215"/>
      <w:r>
        <w:rPr>
          <w:color w:val="F39200"/>
        </w:rPr>
        <w:lastRenderedPageBreak/>
        <w:t xml:space="preserve">12  </w:t>
      </w:r>
      <w:r>
        <w:t>Livrables attendus</w:t>
      </w:r>
      <w:bookmarkEnd w:id="34"/>
    </w:p>
    <w:p w14:paraId="434ED12E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Pipeline de données : collecte (via backend), nettoyage, construction des caractéristiques.</w:t>
      </w:r>
    </w:p>
    <w:p w14:paraId="41BB97B2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Modèle A entraîné (scoring de réputation) + règles expertes de démarrage/repli.</w:t>
      </w:r>
    </w:p>
    <w:p w14:paraId="54B7542A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Modèle B entraîné (NLP AfroXLMR) + repli TF-IDF garanti.</w:t>
      </w:r>
    </w:p>
    <w:p w14:paraId="1824BA8F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Service d’inférence FastAPI (/predict/number, /predict/text, /feedback, /health, /version).</w:t>
      </w:r>
    </w:p>
    <w:p w14:paraId="5415B79F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Contrat d’API partagé cohérent avec le backend (module ai_gateway).</w:t>
      </w:r>
    </w:p>
    <w:p w14:paraId="60322707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Évaluation documentée (rappel, précision, F1) et seuils réglés.</w:t>
      </w:r>
    </w:p>
    <w:p w14:paraId="7F101054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Versioning des modèles (registre) + artefacts déposés dans le dossier partagé.</w:t>
      </w:r>
    </w:p>
    <w:p w14:paraId="264F7016" w14:textId="77777777" w:rsidR="00032BC6" w:rsidRDefault="00000000">
      <w:pPr>
        <w:pStyle w:val="Paragraphedeliste"/>
        <w:numPr>
          <w:ilvl w:val="0"/>
          <w:numId w:val="3"/>
        </w:numPr>
        <w:spacing w:after="70" w:line="268" w:lineRule="auto"/>
      </w:pPr>
      <w:r>
        <w:t>Dockerfile du service + intégration au docker-compose commun.</w:t>
      </w:r>
    </w:p>
    <w:p w14:paraId="508BC259" w14:textId="77777777" w:rsidR="00032BC6" w:rsidRDefault="00032BC6">
      <w:pPr>
        <w:spacing w:after="120"/>
      </w:pPr>
    </w:p>
    <w:p w14:paraId="1CABBFAE" w14:textId="77777777" w:rsidR="00032BC6" w:rsidRDefault="00032BC6">
      <w:pPr>
        <w:pBdr>
          <w:bottom w:val="single" w:sz="8" w:space="2" w:color="D8DEE6"/>
        </w:pBdr>
        <w:spacing w:before="60" w:after="120"/>
      </w:pPr>
    </w:p>
    <w:p w14:paraId="03E5268B" w14:textId="77777777" w:rsidR="00032BC6" w:rsidRDefault="00000000">
      <w:pPr>
        <w:spacing w:before="120"/>
        <w:jc w:val="center"/>
      </w:pPr>
      <w:r>
        <w:rPr>
          <w:i/>
          <w:iCs/>
          <w:color w:val="5A6B7B"/>
          <w:sz w:val="18"/>
          <w:szCs w:val="18"/>
        </w:rPr>
        <w:t>Fin du cahier des charges — KWISMO Modèle IA</w:t>
      </w:r>
    </w:p>
    <w:sectPr w:rsidR="00032BC6">
      <w:headerReference w:type="default" r:id="rId8"/>
      <w:footerReference w:type="default" r:id="rId9"/>
      <w:pgSz w:w="11906" w:h="16838"/>
      <w:pgMar w:top="16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4438" w14:textId="77777777" w:rsidR="00E80A5B" w:rsidRDefault="00E80A5B">
      <w:r>
        <w:separator/>
      </w:r>
    </w:p>
  </w:endnote>
  <w:endnote w:type="continuationSeparator" w:id="0">
    <w:p w14:paraId="4E9EE39A" w14:textId="77777777" w:rsidR="00E80A5B" w:rsidRDefault="00E8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5DEA" w14:textId="77777777" w:rsidR="00032BC6" w:rsidRDefault="00000000">
    <w:pPr>
      <w:pBdr>
        <w:top w:val="single" w:sz="6" w:space="6" w:color="D8DEE6"/>
      </w:pBdr>
      <w:tabs>
        <w:tab w:val="right" w:pos="9026"/>
      </w:tabs>
    </w:pPr>
    <w:r>
      <w:rPr>
        <w:color w:val="8A97A6"/>
        <w:sz w:val="15"/>
        <w:szCs w:val="15"/>
      </w:rPr>
      <w:t>KWISMO — Confidentiel</w:t>
    </w:r>
    <w:r>
      <w:rPr>
        <w:sz w:val="15"/>
        <w:szCs w:val="15"/>
      </w:rPr>
      <w:tab/>
    </w:r>
    <w:r>
      <w:rPr>
        <w:color w:val="8A97A6"/>
        <w:sz w:val="15"/>
        <w:szCs w:val="15"/>
      </w:rPr>
      <w:t xml:space="preserve">Modèle IA  ·  Page </w:t>
    </w:r>
    <w:r>
      <w:rPr>
        <w:b/>
        <w:bCs/>
        <w:color w:val="5A6B7B"/>
        <w:sz w:val="15"/>
        <w:szCs w:val="15"/>
      </w:rPr>
      <w:fldChar w:fldCharType="begin"/>
    </w:r>
    <w:r>
      <w:rPr>
        <w:b/>
        <w:bCs/>
        <w:color w:val="5A6B7B"/>
        <w:sz w:val="15"/>
        <w:szCs w:val="15"/>
      </w:rPr>
      <w:instrText>PAGE</w:instrText>
    </w:r>
    <w:r>
      <w:rPr>
        <w:b/>
        <w:bCs/>
        <w:color w:val="5A6B7B"/>
        <w:sz w:val="15"/>
        <w:szCs w:val="15"/>
      </w:rPr>
      <w:fldChar w:fldCharType="separate"/>
    </w:r>
    <w:r w:rsidR="00754413">
      <w:rPr>
        <w:b/>
        <w:bCs/>
        <w:noProof/>
        <w:color w:val="5A6B7B"/>
        <w:sz w:val="15"/>
        <w:szCs w:val="15"/>
      </w:rPr>
      <w:t>1</w:t>
    </w:r>
    <w:r>
      <w:rPr>
        <w:b/>
        <w:bCs/>
        <w:color w:val="5A6B7B"/>
        <w:sz w:val="15"/>
        <w:szCs w:val="15"/>
      </w:rPr>
      <w:fldChar w:fldCharType="end"/>
    </w:r>
    <w:r>
      <w:rPr>
        <w:color w:val="8A97A6"/>
        <w:sz w:val="15"/>
        <w:szCs w:val="15"/>
      </w:rPr>
      <w:t xml:space="preserve"> / </w:t>
    </w:r>
    <w:r>
      <w:rPr>
        <w:color w:val="5A6B7B"/>
        <w:sz w:val="15"/>
        <w:szCs w:val="15"/>
      </w:rPr>
      <w:fldChar w:fldCharType="begin"/>
    </w:r>
    <w:r>
      <w:rPr>
        <w:color w:val="5A6B7B"/>
        <w:sz w:val="15"/>
        <w:szCs w:val="15"/>
      </w:rPr>
      <w:instrText>NUMPAGES</w:instrText>
    </w:r>
    <w:r>
      <w:rPr>
        <w:color w:val="5A6B7B"/>
        <w:sz w:val="15"/>
        <w:szCs w:val="15"/>
      </w:rPr>
      <w:fldChar w:fldCharType="separate"/>
    </w:r>
    <w:r w:rsidR="00754413">
      <w:rPr>
        <w:noProof/>
        <w:color w:val="5A6B7B"/>
        <w:sz w:val="15"/>
        <w:szCs w:val="15"/>
      </w:rPr>
      <w:t>1</w:t>
    </w:r>
    <w:r>
      <w:rPr>
        <w:color w:val="5A6B7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BBE8" w14:textId="77777777" w:rsidR="00E80A5B" w:rsidRDefault="00E80A5B">
      <w:r>
        <w:separator/>
      </w:r>
    </w:p>
  </w:footnote>
  <w:footnote w:type="continuationSeparator" w:id="0">
    <w:p w14:paraId="59B1201A" w14:textId="77777777" w:rsidR="00E80A5B" w:rsidRDefault="00E80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6" w:space="0" w:color="D8DEE6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437"/>
      <w:gridCol w:w="7069"/>
    </w:tblGrid>
    <w:tr w:rsidR="00032BC6" w14:paraId="213F7C6A" w14:textId="77777777">
      <w:tblPrEx>
        <w:tblCellMar>
          <w:top w:w="0" w:type="dxa"/>
          <w:bottom w:w="0" w:type="dxa"/>
        </w:tblCellMar>
      </w:tblPrEx>
      <w:tc>
        <w:tcPr>
          <w:tcW w:w="2400" w:type="dxa"/>
          <w:vAlign w:val="center"/>
        </w:tcPr>
        <w:p w14:paraId="469BEBDB" w14:textId="77777777" w:rsidR="00032BC6" w:rsidRDefault="00000000">
          <w:r>
            <w:rPr>
              <w:noProof/>
            </w:rPr>
            <w:drawing>
              <wp:inline distT="0" distB="0" distL="0" distR="0" wp14:anchorId="5FFD065D" wp14:editId="08EA039E">
                <wp:extent cx="1123950" cy="342900"/>
                <wp:effectExtent l="0" t="0" r="0" b="0"/>
                <wp:docPr id="1184020645" name="Image 1184020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vAlign w:val="center"/>
        </w:tcPr>
        <w:p w14:paraId="66B3F80A" w14:textId="77777777" w:rsidR="00032BC6" w:rsidRDefault="00000000">
          <w:pPr>
            <w:jc w:val="right"/>
          </w:pPr>
          <w:r>
            <w:rPr>
              <w:caps/>
              <w:color w:val="5A6B7B"/>
              <w:sz w:val="15"/>
              <w:szCs w:val="15"/>
            </w:rPr>
            <w:t>Cahier des charges — Modèle IA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26"/>
    <w:multiLevelType w:val="hybridMultilevel"/>
    <w:tmpl w:val="2FEE1A44"/>
    <w:lvl w:ilvl="0" w:tplc="05C0EB38">
      <w:start w:val="1"/>
      <w:numFmt w:val="bullet"/>
      <w:lvlText w:val="●"/>
      <w:lvlJc w:val="left"/>
      <w:pPr>
        <w:ind w:left="720" w:hanging="360"/>
      </w:pPr>
    </w:lvl>
    <w:lvl w:ilvl="1" w:tplc="81E47584">
      <w:start w:val="1"/>
      <w:numFmt w:val="bullet"/>
      <w:lvlText w:val="○"/>
      <w:lvlJc w:val="left"/>
      <w:pPr>
        <w:ind w:left="1440" w:hanging="360"/>
      </w:pPr>
    </w:lvl>
    <w:lvl w:ilvl="2" w:tplc="DAA6C2D0">
      <w:start w:val="1"/>
      <w:numFmt w:val="bullet"/>
      <w:lvlText w:val="■"/>
      <w:lvlJc w:val="left"/>
      <w:pPr>
        <w:ind w:left="2160" w:hanging="360"/>
      </w:pPr>
    </w:lvl>
    <w:lvl w:ilvl="3" w:tplc="483A378C">
      <w:start w:val="1"/>
      <w:numFmt w:val="bullet"/>
      <w:lvlText w:val="●"/>
      <w:lvlJc w:val="left"/>
      <w:pPr>
        <w:ind w:left="2880" w:hanging="360"/>
      </w:pPr>
    </w:lvl>
    <w:lvl w:ilvl="4" w:tplc="7A7C7F28">
      <w:start w:val="1"/>
      <w:numFmt w:val="bullet"/>
      <w:lvlText w:val="○"/>
      <w:lvlJc w:val="left"/>
      <w:pPr>
        <w:ind w:left="3600" w:hanging="360"/>
      </w:pPr>
    </w:lvl>
    <w:lvl w:ilvl="5" w:tplc="9EE8D53C">
      <w:start w:val="1"/>
      <w:numFmt w:val="bullet"/>
      <w:lvlText w:val="■"/>
      <w:lvlJc w:val="left"/>
      <w:pPr>
        <w:ind w:left="4320" w:hanging="360"/>
      </w:pPr>
    </w:lvl>
    <w:lvl w:ilvl="6" w:tplc="DFFE9CBA">
      <w:start w:val="1"/>
      <w:numFmt w:val="bullet"/>
      <w:lvlText w:val="●"/>
      <w:lvlJc w:val="left"/>
      <w:pPr>
        <w:ind w:left="5040" w:hanging="360"/>
      </w:pPr>
    </w:lvl>
    <w:lvl w:ilvl="7" w:tplc="3280DFA0">
      <w:start w:val="1"/>
      <w:numFmt w:val="bullet"/>
      <w:lvlText w:val="●"/>
      <w:lvlJc w:val="left"/>
      <w:pPr>
        <w:ind w:left="5760" w:hanging="360"/>
      </w:pPr>
    </w:lvl>
    <w:lvl w:ilvl="8" w:tplc="A3AC7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1B22A5"/>
    <w:multiLevelType w:val="hybridMultilevel"/>
    <w:tmpl w:val="B8B239CC"/>
    <w:lvl w:ilvl="0" w:tplc="D17C076A">
      <w:start w:val="1"/>
      <w:numFmt w:val="bullet"/>
      <w:lvlText w:val="•"/>
      <w:lvlJc w:val="left"/>
      <w:pPr>
        <w:ind w:left="340" w:hanging="200"/>
      </w:pPr>
      <w:rPr>
        <w:color w:val="F39200"/>
      </w:rPr>
    </w:lvl>
    <w:lvl w:ilvl="1" w:tplc="AE988CDC">
      <w:start w:val="1"/>
      <w:numFmt w:val="bullet"/>
      <w:lvlText w:val="–"/>
      <w:lvlJc w:val="left"/>
      <w:pPr>
        <w:ind w:left="700" w:hanging="200"/>
      </w:pPr>
      <w:rPr>
        <w:color w:val="2FAC66"/>
      </w:rPr>
    </w:lvl>
    <w:lvl w:ilvl="2" w:tplc="67EEB482">
      <w:start w:val="1"/>
      <w:numFmt w:val="bullet"/>
      <w:lvlText w:val="▪"/>
      <w:lvlJc w:val="left"/>
      <w:pPr>
        <w:ind w:left="1060" w:hanging="200"/>
      </w:pPr>
      <w:rPr>
        <w:color w:val="2D2E83"/>
      </w:rPr>
    </w:lvl>
    <w:lvl w:ilvl="3" w:tplc="5B648D80">
      <w:numFmt w:val="decimal"/>
      <w:lvlText w:val=""/>
      <w:lvlJc w:val="left"/>
    </w:lvl>
    <w:lvl w:ilvl="4" w:tplc="EE30665E">
      <w:numFmt w:val="decimal"/>
      <w:lvlText w:val=""/>
      <w:lvlJc w:val="left"/>
    </w:lvl>
    <w:lvl w:ilvl="5" w:tplc="81FE8DC8">
      <w:numFmt w:val="decimal"/>
      <w:lvlText w:val=""/>
      <w:lvlJc w:val="left"/>
    </w:lvl>
    <w:lvl w:ilvl="6" w:tplc="CDDCFE12">
      <w:numFmt w:val="decimal"/>
      <w:lvlText w:val=""/>
      <w:lvlJc w:val="left"/>
    </w:lvl>
    <w:lvl w:ilvl="7" w:tplc="AB0ED986">
      <w:numFmt w:val="decimal"/>
      <w:lvlText w:val=""/>
      <w:lvlJc w:val="left"/>
    </w:lvl>
    <w:lvl w:ilvl="8" w:tplc="90CA0E4E">
      <w:numFmt w:val="decimal"/>
      <w:lvlText w:val=""/>
      <w:lvlJc w:val="left"/>
    </w:lvl>
  </w:abstractNum>
  <w:abstractNum w:abstractNumId="2" w15:restartNumberingAfterBreak="0">
    <w:nsid w:val="5D9A3A31"/>
    <w:multiLevelType w:val="hybridMultilevel"/>
    <w:tmpl w:val="74FA1C56"/>
    <w:lvl w:ilvl="0" w:tplc="6400E194">
      <w:start w:val="1"/>
      <w:numFmt w:val="decimal"/>
      <w:lvlText w:val="%1."/>
      <w:lvlJc w:val="left"/>
      <w:pPr>
        <w:ind w:left="360" w:hanging="260"/>
      </w:pPr>
      <w:rPr>
        <w:b/>
        <w:bCs/>
        <w:color w:val="2D2E83"/>
      </w:rPr>
    </w:lvl>
    <w:lvl w:ilvl="1" w:tplc="A462AE3A">
      <w:start w:val="1"/>
      <w:numFmt w:val="lowerLetter"/>
      <w:lvlText w:val="%2)"/>
      <w:lvlJc w:val="left"/>
      <w:pPr>
        <w:ind w:left="760" w:hanging="260"/>
      </w:pPr>
    </w:lvl>
    <w:lvl w:ilvl="2" w:tplc="9BE08192">
      <w:numFmt w:val="decimal"/>
      <w:lvlText w:val=""/>
      <w:lvlJc w:val="left"/>
    </w:lvl>
    <w:lvl w:ilvl="3" w:tplc="4B56A1CC">
      <w:numFmt w:val="decimal"/>
      <w:lvlText w:val=""/>
      <w:lvlJc w:val="left"/>
    </w:lvl>
    <w:lvl w:ilvl="4" w:tplc="920EABBE">
      <w:numFmt w:val="decimal"/>
      <w:lvlText w:val=""/>
      <w:lvlJc w:val="left"/>
    </w:lvl>
    <w:lvl w:ilvl="5" w:tplc="407C6708">
      <w:numFmt w:val="decimal"/>
      <w:lvlText w:val=""/>
      <w:lvlJc w:val="left"/>
    </w:lvl>
    <w:lvl w:ilvl="6" w:tplc="117E5BCC">
      <w:numFmt w:val="decimal"/>
      <w:lvlText w:val=""/>
      <w:lvlJc w:val="left"/>
    </w:lvl>
    <w:lvl w:ilvl="7" w:tplc="083C50D0">
      <w:numFmt w:val="decimal"/>
      <w:lvlText w:val=""/>
      <w:lvlJc w:val="left"/>
    </w:lvl>
    <w:lvl w:ilvl="8" w:tplc="A59603AE">
      <w:numFmt w:val="decimal"/>
      <w:lvlText w:val=""/>
      <w:lvlJc w:val="left"/>
    </w:lvl>
  </w:abstractNum>
  <w:num w:numId="1" w16cid:durableId="1987322321">
    <w:abstractNumId w:val="0"/>
    <w:lvlOverride w:ilvl="0">
      <w:startOverride w:val="1"/>
    </w:lvlOverride>
  </w:num>
  <w:num w:numId="2" w16cid:durableId="134764886">
    <w:abstractNumId w:val="1"/>
    <w:lvlOverride w:ilvl="0">
      <w:startOverride w:val="1"/>
    </w:lvlOverride>
  </w:num>
  <w:num w:numId="3" w16cid:durableId="695083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C6"/>
    <w:rsid w:val="00032BC6"/>
    <w:rsid w:val="00754413"/>
    <w:rsid w:val="00E10133"/>
    <w:rsid w:val="00E8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4801"/>
  <w15:docId w15:val="{5B1FFA54-A8F1-437E-ADC9-625AC32B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20222E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2D2E83"/>
      <w:sz w:val="30"/>
      <w:szCs w:val="3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2D2E83"/>
      <w:sz w:val="25"/>
      <w:szCs w:val="25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2FAC66"/>
      <w:sz w:val="22"/>
      <w:szCs w:val="22"/>
    </w:rPr>
  </w:style>
  <w:style w:type="paragraph" w:styleId="Titre4">
    <w:name w:val="heading 4"/>
    <w:uiPriority w:val="9"/>
    <w:unhideWhenUsed/>
    <w:qFormat/>
    <w:pPr>
      <w:outlineLvl w:val="3"/>
    </w:pPr>
    <w:rPr>
      <w:b/>
      <w:bCs/>
      <w:sz w:val="20"/>
      <w:szCs w:val="20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5441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5441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3843</Words>
  <Characters>21141</Characters>
  <Application>Microsoft Office Word</Application>
  <DocSecurity>0</DocSecurity>
  <Lines>176</Lines>
  <Paragraphs>49</Paragraphs>
  <ScaleCrop>false</ScaleCrop>
  <Company/>
  <LinksUpToDate>false</LinksUpToDate>
  <CharactersWithSpaces>24935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Modèle IA</dc:title>
  <dc:creator>KWISMO</dc:creator>
  <dc:description>Modèle IA KWISMO</dc:description>
  <cp:lastModifiedBy>Brayan Weko</cp:lastModifiedBy>
  <cp:revision>2</cp:revision>
  <dcterms:created xsi:type="dcterms:W3CDTF">2026-07-21T00:54:00Z</dcterms:created>
  <dcterms:modified xsi:type="dcterms:W3CDTF">2026-07-21T11:09:00Z</dcterms:modified>
</cp:coreProperties>
</file>