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E9F8" w14:textId="77777777" w:rsidR="007E6AAA" w:rsidRDefault="007E6AAA">
      <w:pPr>
        <w:spacing w:after="900"/>
      </w:pPr>
    </w:p>
    <w:p w14:paraId="4BC2B585" w14:textId="77777777" w:rsidR="007E6AAA" w:rsidRDefault="00000000">
      <w:pPr>
        <w:spacing w:after="480"/>
        <w:jc w:val="center"/>
      </w:pPr>
      <w:r>
        <w:rPr>
          <w:noProof/>
        </w:rPr>
        <w:drawing>
          <wp:inline distT="0" distB="0" distL="0" distR="0" wp14:anchorId="5142A503" wp14:editId="04C13FE2">
            <wp:extent cx="3048000" cy="12001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94C6" w14:textId="77777777" w:rsidR="007E6AAA" w:rsidRDefault="00000000">
      <w:pPr>
        <w:spacing w:after="60"/>
        <w:jc w:val="center"/>
      </w:pPr>
      <w:r>
        <w:rPr>
          <w:b/>
          <w:bCs/>
          <w:caps/>
          <w:color w:val="F39200"/>
          <w:sz w:val="24"/>
          <w:szCs w:val="24"/>
        </w:rPr>
        <w:t>CAHIER DES CHARGES</w:t>
      </w:r>
    </w:p>
    <w:p w14:paraId="1BEA2129" w14:textId="77777777" w:rsidR="007E6AAA" w:rsidRDefault="00000000">
      <w:pPr>
        <w:spacing w:after="40"/>
        <w:jc w:val="center"/>
      </w:pPr>
      <w:r>
        <w:rPr>
          <w:b/>
          <w:bCs/>
          <w:color w:val="2D2E83"/>
          <w:sz w:val="52"/>
          <w:szCs w:val="52"/>
        </w:rPr>
        <w:t>Backend hybride</w:t>
      </w:r>
    </w:p>
    <w:p w14:paraId="0006E256" w14:textId="77777777" w:rsidR="007E6AAA" w:rsidRDefault="00000000">
      <w:pPr>
        <w:spacing w:after="40"/>
        <w:jc w:val="center"/>
      </w:pPr>
      <w:r>
        <w:rPr>
          <w:color w:val="5A6B7B"/>
          <w:sz w:val="24"/>
          <w:szCs w:val="24"/>
        </w:rPr>
        <w:t>API centrale · Sécurité · Passerelle IA</w:t>
      </w:r>
    </w:p>
    <w:p w14:paraId="2325B8D0" w14:textId="77777777" w:rsidR="007E6AAA" w:rsidRDefault="00000000">
      <w:pPr>
        <w:spacing w:before="200" w:after="40"/>
        <w:jc w:val="center"/>
      </w:pPr>
      <w:r>
        <w:rPr>
          <w:color w:val="2D2E83"/>
          <w:sz w:val="26"/>
          <w:szCs w:val="26"/>
        </w:rPr>
        <w:t>■</w:t>
      </w:r>
      <w:r>
        <w:rPr>
          <w:color w:val="F39200"/>
          <w:sz w:val="26"/>
          <w:szCs w:val="26"/>
        </w:rPr>
        <w:t xml:space="preserve"> ■</w:t>
      </w:r>
      <w:r>
        <w:rPr>
          <w:color w:val="2FAC66"/>
          <w:sz w:val="26"/>
          <w:szCs w:val="26"/>
        </w:rPr>
        <w:t xml:space="preserve"> ■</w:t>
      </w:r>
    </w:p>
    <w:p w14:paraId="792FC68C" w14:textId="77777777" w:rsidR="007E6AAA" w:rsidRDefault="007E6AAA">
      <w:pPr>
        <w:spacing w:after="1400"/>
      </w:pPr>
    </w:p>
    <w:tbl>
      <w:tblPr>
        <w:tblW w:w="4000" w:type="pct"/>
        <w:jc w:val="center"/>
        <w:tblBorders>
          <w:top w:val="single" w:sz="8" w:space="0" w:color="F39200"/>
          <w:bottom w:val="single" w:sz="8" w:space="0" w:color="F39200"/>
          <w:insideH w:val="single" w:sz="3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7"/>
        <w:gridCol w:w="4878"/>
      </w:tblGrid>
      <w:tr w:rsidR="007E6AAA" w14:paraId="6120A0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8E0DF2C" w14:textId="77777777" w:rsidR="007E6AAA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Projet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25DE6DA2" w14:textId="77777777" w:rsidR="007E6AAA" w:rsidRDefault="00000000">
            <w:r>
              <w:rPr>
                <w:sz w:val="19"/>
                <w:szCs w:val="19"/>
              </w:rPr>
              <w:t>KWISMO — Protection anti-fraude Mobile Money</w:t>
            </w:r>
          </w:p>
        </w:tc>
      </w:tr>
      <w:tr w:rsidR="007E6AAA" w14:paraId="5B81D0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BC3580A" w14:textId="77777777" w:rsidR="007E6AAA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Document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50154841" w14:textId="77777777" w:rsidR="007E6AAA" w:rsidRDefault="00000000">
            <w:r>
              <w:rPr>
                <w:sz w:val="19"/>
                <w:szCs w:val="19"/>
              </w:rPr>
              <w:t>Cahier des charges — Backend</w:t>
            </w:r>
          </w:p>
        </w:tc>
      </w:tr>
      <w:tr w:rsidR="007E6AAA" w14:paraId="29DC07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1E29F954" w14:textId="77777777" w:rsidR="007E6AAA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Version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4B4ED206" w14:textId="77777777" w:rsidR="007E6AAA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7E6AAA" w14:paraId="0CCC1D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9091887" w14:textId="77777777" w:rsidR="007E6AAA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Date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6CFEFA10" w14:textId="77777777" w:rsidR="007E6AAA" w:rsidRDefault="00000000">
            <w:r>
              <w:rPr>
                <w:sz w:val="19"/>
                <w:szCs w:val="19"/>
              </w:rPr>
              <w:t>21 juillet 2026</w:t>
            </w:r>
          </w:p>
        </w:tc>
      </w:tr>
      <w:tr w:rsidR="007E6AAA" w14:paraId="6FC2D7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0DA57035" w14:textId="77777777" w:rsidR="007E6AAA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Destinataire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1ECE69F0" w14:textId="77777777" w:rsidR="007E6AAA" w:rsidRDefault="00000000">
            <w:r>
              <w:rPr>
                <w:sz w:val="19"/>
                <w:szCs w:val="19"/>
              </w:rPr>
              <w:t>Développeur Backend &amp; Intégration</w:t>
            </w:r>
          </w:p>
        </w:tc>
      </w:tr>
      <w:tr w:rsidR="007E6AAA" w:rsidRPr="00D4522D" w14:paraId="1B8CCD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20BF31C2" w14:textId="77777777" w:rsidR="007E6AAA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Stack cible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61E4A4A2" w14:textId="77777777" w:rsidR="007E6AAA" w:rsidRPr="00D4522D" w:rsidRDefault="00000000">
            <w:pPr>
              <w:rPr>
                <w:lang w:val="en-CA"/>
              </w:rPr>
            </w:pPr>
            <w:r w:rsidRPr="00D4522D">
              <w:rPr>
                <w:sz w:val="19"/>
                <w:szCs w:val="19"/>
                <w:lang w:val="en-CA"/>
              </w:rPr>
              <w:t>Python · FastAPI · Prisma · Swagger · Docker</w:t>
            </w:r>
          </w:p>
        </w:tc>
      </w:tr>
    </w:tbl>
    <w:p w14:paraId="03BFB0A7" w14:textId="77777777" w:rsidR="007E6AAA" w:rsidRPr="00D4522D" w:rsidRDefault="00000000">
      <w:pPr>
        <w:rPr>
          <w:lang w:val="en-CA"/>
        </w:rPr>
      </w:pPr>
      <w:r w:rsidRPr="00D4522D">
        <w:rPr>
          <w:lang w:val="en-CA"/>
        </w:rPr>
        <w:br w:type="page"/>
      </w:r>
    </w:p>
    <w:p w14:paraId="6BE8AA37" w14:textId="77777777" w:rsidR="007E6AAA" w:rsidRPr="00D4522D" w:rsidRDefault="007E6AAA">
      <w:pPr>
        <w:rPr>
          <w:lang w:val="en-CA"/>
        </w:rPr>
        <w:sectPr w:rsidR="007E6AAA" w:rsidRPr="00D4522D">
          <w:pgSz w:w="11906" w:h="16838"/>
          <w:pgMar w:top="1440" w:right="1200" w:bottom="1440" w:left="1200" w:header="708" w:footer="708" w:gutter="0"/>
          <w:cols w:space="720"/>
          <w:docGrid w:linePitch="360"/>
        </w:sectPr>
      </w:pPr>
    </w:p>
    <w:p w14:paraId="57D6FEFC" w14:textId="77777777" w:rsidR="007E6AAA" w:rsidRDefault="00000000">
      <w:pPr>
        <w:pBdr>
          <w:bottom w:val="single" w:sz="14" w:space="6" w:color="F39200"/>
        </w:pBdr>
        <w:spacing w:after="160"/>
      </w:pPr>
      <w:r>
        <w:rPr>
          <w:b/>
          <w:bCs/>
          <w:color w:val="2D2E83"/>
          <w:sz w:val="30"/>
          <w:szCs w:val="30"/>
        </w:rPr>
        <w:lastRenderedPageBreak/>
        <w:t>Table des matières</w:t>
      </w:r>
    </w:p>
    <w:sdt>
      <w:sdtPr>
        <w:alias w:val="Sommaire"/>
        <w:id w:val="2111154628"/>
      </w:sdtPr>
      <w:sdtContent>
        <w:p w14:paraId="6E00DEE3" w14:textId="77777777" w:rsidR="00D4522D" w:rsidRDefault="00000000">
          <w:pPr>
            <w:pStyle w:val="TM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528074" w:history="1">
            <w:r w:rsidR="00D4522D" w:rsidRPr="009165A6">
              <w:rPr>
                <w:rStyle w:val="Lienhypertexte"/>
                <w:noProof/>
              </w:rPr>
              <w:t>1  Présentation du document</w:t>
            </w:r>
            <w:r w:rsidR="00D4522D">
              <w:rPr>
                <w:noProof/>
              </w:rPr>
              <w:tab/>
            </w:r>
            <w:r w:rsidR="00D4522D">
              <w:rPr>
                <w:noProof/>
              </w:rPr>
              <w:fldChar w:fldCharType="begin"/>
            </w:r>
            <w:r w:rsidR="00D4522D">
              <w:rPr>
                <w:noProof/>
              </w:rPr>
              <w:instrText xml:space="preserve"> PAGEREF _Toc235528074 \h </w:instrText>
            </w:r>
            <w:r w:rsidR="00D4522D">
              <w:rPr>
                <w:noProof/>
              </w:rPr>
            </w:r>
            <w:r w:rsidR="00D4522D">
              <w:rPr>
                <w:noProof/>
              </w:rPr>
              <w:fldChar w:fldCharType="separate"/>
            </w:r>
            <w:r w:rsidR="00D4522D">
              <w:rPr>
                <w:noProof/>
              </w:rPr>
              <w:t>4</w:t>
            </w:r>
            <w:r w:rsidR="00D4522D">
              <w:rPr>
                <w:noProof/>
              </w:rPr>
              <w:fldChar w:fldCharType="end"/>
            </w:r>
          </w:hyperlink>
        </w:p>
        <w:p w14:paraId="3273A666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75" w:history="1">
            <w:r w:rsidRPr="009165A6">
              <w:rPr>
                <w:rStyle w:val="Lienhypertexte"/>
                <w:noProof/>
              </w:rPr>
              <w:t>1.1  Rôle du backend dans l’architecture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C35B51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76" w:history="1">
            <w:r w:rsidRPr="009165A6">
              <w:rPr>
                <w:rStyle w:val="Lienhypertexte"/>
                <w:noProof/>
              </w:rPr>
              <w:t>1.2  Objectifs de qualité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92F81B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077" w:history="1">
            <w:r w:rsidRPr="009165A6">
              <w:rPr>
                <w:rStyle w:val="Lienhypertexte"/>
                <w:noProof/>
              </w:rPr>
              <w:t>2  Stack technologique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452129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078" w:history="1">
            <w:r w:rsidRPr="009165A6">
              <w:rPr>
                <w:rStyle w:val="Lienhypertexte"/>
                <w:noProof/>
              </w:rPr>
              <w:t>3  Architecture &amp; structure des dossiers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161DC1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79" w:history="1">
            <w:r w:rsidRPr="009165A6">
              <w:rPr>
                <w:rStyle w:val="Lienhypertexte"/>
                <w:noProof/>
              </w:rPr>
              <w:t>3.1  Choix : architecture en couches (Layered / Clean léger)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803254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80" w:history="1">
            <w:r w:rsidRPr="009165A6">
              <w:rPr>
                <w:rStyle w:val="Lienhypertexte"/>
                <w:noProof/>
              </w:rPr>
              <w:t>3.2  Arborescence normative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17A9B8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81" w:history="1">
            <w:r w:rsidRPr="009165A6">
              <w:rPr>
                <w:rStyle w:val="Lienhypertexte"/>
                <w:noProof/>
              </w:rPr>
              <w:t>3.3  Rôle des dossiers clés — sécurité, données, i18n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D6AC39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082" w:history="1">
            <w:r w:rsidRPr="009165A6">
              <w:rPr>
                <w:rStyle w:val="Lienhypertexte"/>
                <w:noProof/>
              </w:rPr>
              <w:t>4  Modèle de données (Prisma)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99B8E8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083" w:history="1">
            <w:r w:rsidRPr="009165A6">
              <w:rPr>
                <w:rStyle w:val="Lienhypertexte"/>
                <w:noProof/>
              </w:rPr>
              <w:t>5  Modules fonctionnels &amp; routes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5790F1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84" w:history="1">
            <w:r w:rsidRPr="009165A6">
              <w:rPr>
                <w:rStyle w:val="Lienhypertexte"/>
                <w:noProof/>
              </w:rPr>
              <w:t>5.1  Authentification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6066B6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85" w:history="1">
            <w:r w:rsidRPr="009165A6">
              <w:rPr>
                <w:rStyle w:val="Lienhypertexte"/>
                <w:noProof/>
              </w:rPr>
              <w:t>5.2  Utilisateurs (users)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5122F1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86" w:history="1">
            <w:r w:rsidRPr="009165A6">
              <w:rPr>
                <w:rStyle w:val="Lienhypertexte"/>
                <w:noProof/>
              </w:rPr>
              <w:t>5.3  Numéros (numbers)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B654B0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87" w:history="1">
            <w:r w:rsidRPr="009165A6">
              <w:rPr>
                <w:rStyle w:val="Lienhypertexte"/>
                <w:noProof/>
              </w:rPr>
              <w:t>5.4  Signalements (reports)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DBB550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88" w:history="1">
            <w:r w:rsidRPr="009165A6">
              <w:rPr>
                <w:rStyle w:val="Lienhypertexte"/>
                <w:noProof/>
              </w:rPr>
              <w:t>5.5  Transferts (transactions)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C77B93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89" w:history="1">
            <w:r w:rsidRPr="009165A6">
              <w:rPr>
                <w:rStyle w:val="Lienhypertexte"/>
                <w:noProof/>
              </w:rPr>
              <w:t>5.6  USSD : Pays / Opérateurs / Actions (ussd)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DCBB7A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90" w:history="1">
            <w:r w:rsidRPr="009165A6">
              <w:rPr>
                <w:rStyle w:val="Lienhypertexte"/>
                <w:noProof/>
              </w:rPr>
              <w:t>5.7  Partenaires &amp; affiliation (partners)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110194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91" w:history="1">
            <w:r w:rsidRPr="009165A6">
              <w:rPr>
                <w:rStyle w:val="Lienhypertexte"/>
                <w:noProof/>
              </w:rPr>
              <w:t>5.8  Alerte WhatsApp (whatsapp_alert)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763E77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92" w:history="1">
            <w:r w:rsidRPr="009165A6">
              <w:rPr>
                <w:rStyle w:val="Lienhypertexte"/>
                <w:noProof/>
              </w:rPr>
              <w:t>5.9  Enquêtes, KPI, droits,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4741CE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093" w:history="1">
            <w:r w:rsidRPr="009165A6">
              <w:rPr>
                <w:rStyle w:val="Lienhypertexte"/>
                <w:noProof/>
              </w:rPr>
              <w:t>6  Documentation Swagger / OpenAPI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B46F3A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094" w:history="1">
            <w:r w:rsidRPr="009165A6">
              <w:rPr>
                <w:rStyle w:val="Lienhypertexte"/>
                <w:noProof/>
              </w:rPr>
              <w:t>7  Internationalisation (FR / 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1BD36B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095" w:history="1">
            <w:r w:rsidRPr="009165A6">
              <w:rPr>
                <w:rStyle w:val="Lienhypertexte"/>
                <w:noProof/>
              </w:rPr>
              <w:t>8  Sécurité renforcée (défense en profondeur)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8A976B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96" w:history="1">
            <w:r w:rsidRPr="009165A6">
              <w:rPr>
                <w:rStyle w:val="Lienhypertexte"/>
                <w:noProof/>
              </w:rPr>
              <w:t>8.1  Authentification &amp; identité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DFE520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97" w:history="1">
            <w:r w:rsidRPr="009165A6">
              <w:rPr>
                <w:rStyle w:val="Lienhypertexte"/>
                <w:noProof/>
              </w:rPr>
              <w:t>8.2  Autorisation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65BCD7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98" w:history="1">
            <w:r w:rsidRPr="009165A6">
              <w:rPr>
                <w:rStyle w:val="Lienhypertexte"/>
                <w:noProof/>
              </w:rPr>
              <w:t>8.3  Protection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0A5122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099" w:history="1">
            <w:r w:rsidRPr="009165A6">
              <w:rPr>
                <w:rStyle w:val="Lienhypertexte"/>
                <w:noProof/>
              </w:rPr>
              <w:t>8.4  Sécurité applicative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D754B3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00" w:history="1">
            <w:r w:rsidRPr="009165A6">
              <w:rPr>
                <w:rStyle w:val="Lienhypertexte"/>
                <w:noProof/>
              </w:rPr>
              <w:t>8.5  Protection réseau &amp; anti-attaques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D93E94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01" w:history="1">
            <w:r w:rsidRPr="009165A6">
              <w:rPr>
                <w:rStyle w:val="Lienhypertexte"/>
                <w:noProof/>
              </w:rPr>
              <w:t>8.6  Conformité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428EA6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102" w:history="1">
            <w:r w:rsidRPr="009165A6">
              <w:rPr>
                <w:rStyle w:val="Lienhypertexte"/>
                <w:noProof/>
              </w:rPr>
              <w:t>9  Communication avec le service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67832B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03" w:history="1">
            <w:r w:rsidRPr="009165A6">
              <w:rPr>
                <w:rStyle w:val="Lienhypertexte"/>
                <w:noProof/>
              </w:rPr>
              <w:t>9.1  Mode synchrone — prédiction en temps réel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1FF50B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04" w:history="1">
            <w:r w:rsidRPr="009165A6">
              <w:rPr>
                <w:rStyle w:val="Lienhypertexte"/>
                <w:noProof/>
              </w:rPr>
              <w:t>9.2  Mode asynchrone — apprentissage continu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087A77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05" w:history="1">
            <w:r w:rsidRPr="009165A6">
              <w:rPr>
                <w:rStyle w:val="Lienhypertexte"/>
                <w:noProof/>
              </w:rPr>
              <w:t>9.3  Contrat d’échange &amp; modèle partagé dans le dépôt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4F0E68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106" w:history="1">
            <w:r w:rsidRPr="009165A6">
              <w:rPr>
                <w:rStyle w:val="Lienhypertexte"/>
                <w:noProof/>
              </w:rPr>
              <w:t>10  Observabilité, tests &amp;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E88A44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07" w:history="1">
            <w:r w:rsidRPr="009165A6">
              <w:rPr>
                <w:rStyle w:val="Lienhypertexte"/>
                <w:noProof/>
              </w:rPr>
              <w:t>10.1  Journalisation &amp; supervision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0D2E6A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08" w:history="1">
            <w:r w:rsidRPr="009165A6">
              <w:rPr>
                <w:rStyle w:val="Lienhypertexte"/>
                <w:noProof/>
              </w:rPr>
              <w:t>10.2 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BA7EEF" w14:textId="77777777" w:rsidR="00D4522D" w:rsidRDefault="00D4522D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09" w:history="1">
            <w:r w:rsidRPr="009165A6">
              <w:rPr>
                <w:rStyle w:val="Lienhypertexte"/>
                <w:noProof/>
              </w:rPr>
              <w:t>10.3 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5A47C47" w14:textId="77777777" w:rsidR="00D4522D" w:rsidRDefault="00D4522D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110" w:history="1">
            <w:r w:rsidRPr="009165A6">
              <w:rPr>
                <w:rStyle w:val="Lienhypertexte"/>
                <w:noProof/>
              </w:rPr>
              <w:t>11  Livrables attendus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408763" w14:textId="77777777" w:rsidR="007E6AAA" w:rsidRDefault="00000000">
          <w:r>
            <w:fldChar w:fldCharType="end"/>
          </w:r>
        </w:p>
      </w:sdtContent>
    </w:sdt>
    <w:p w14:paraId="2096A168" w14:textId="77777777" w:rsidR="007E6AAA" w:rsidRDefault="00000000">
      <w:r>
        <w:br w:type="page"/>
      </w:r>
    </w:p>
    <w:p w14:paraId="4DBACE59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0" w:name="_Toc235528074"/>
      <w:proofErr w:type="gramStart"/>
      <w:r>
        <w:rPr>
          <w:color w:val="F39200"/>
        </w:rPr>
        <w:lastRenderedPageBreak/>
        <w:t xml:space="preserve">1  </w:t>
      </w:r>
      <w:r>
        <w:t>Présentation</w:t>
      </w:r>
      <w:proofErr w:type="gramEnd"/>
      <w:r>
        <w:t xml:space="preserve"> du document</w:t>
      </w:r>
      <w:bookmarkEnd w:id="0"/>
    </w:p>
    <w:p w14:paraId="128B15AF" w14:textId="77777777" w:rsidR="007E6AAA" w:rsidRDefault="00000000">
      <w:pPr>
        <w:spacing w:after="140" w:line="276" w:lineRule="auto"/>
        <w:jc w:val="both"/>
      </w:pPr>
      <w:r>
        <w:t xml:space="preserve">Ce cahier des charges décrit de façon exhaustive le </w:t>
      </w:r>
      <w:r>
        <w:rPr>
          <w:b/>
          <w:bCs/>
          <w:color w:val="2D2E83"/>
        </w:rPr>
        <w:t>backend hybride de KWISMO</w:t>
      </w:r>
      <w:r>
        <w:t xml:space="preserve"> : l’API centrale qui relie l’application mobile, le site web (landing, espaces Admin et Partenaire) et le service de modèle IA à une base de données. Le backend est la </w:t>
      </w:r>
      <w:r>
        <w:rPr>
          <w:b/>
          <w:bCs/>
        </w:rPr>
        <w:t>seule porte d’accès à la base de données</w:t>
      </w:r>
      <w:r>
        <w:t xml:space="preserve"> : ni le front, ni le mobile, ni l’IA n’y accèdent directement. Ce document est la référence normative pour le développement (Python/FastAPI) et pour la génération de la documentation Swagger.</w:t>
      </w:r>
    </w:p>
    <w:p w14:paraId="7CCB9CE2" w14:textId="77777777" w:rsidR="007E6AAA" w:rsidRDefault="00000000">
      <w:pPr>
        <w:pStyle w:val="Titre2"/>
        <w:spacing w:before="260" w:after="120"/>
      </w:pPr>
      <w:bookmarkStart w:id="1" w:name="_Toc235528075"/>
      <w:proofErr w:type="gramStart"/>
      <w:r>
        <w:t>1.1  Rôle</w:t>
      </w:r>
      <w:proofErr w:type="gramEnd"/>
      <w:r>
        <w:t xml:space="preserve"> du backend dans l’architecture</w:t>
      </w:r>
      <w:bookmarkEnd w:id="1"/>
    </w:p>
    <w:p w14:paraId="2A4E80CA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Point central</w:t>
      </w:r>
      <w:r>
        <w:t xml:space="preserve"> : toutes les données transitent par le backend, qui applique l’authentification, les droits d’accès, la validation et la journalisation.</w:t>
      </w:r>
    </w:p>
    <w:p w14:paraId="20AF946F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Fournisseur d’API</w:t>
      </w:r>
      <w:r>
        <w:t xml:space="preserve"> : expose une API REST documentée (Swagger/OpenAPI) consommée par le web et le mobile.</w:t>
      </w:r>
    </w:p>
    <w:p w14:paraId="0ADE3201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Passerelle IA</w:t>
      </w:r>
      <w:r>
        <w:t xml:space="preserve"> : transmet au service IA les données de vérification/signalement et récupère les scores de risque ; l’IA ne touche jamais la base directement (voir §9).</w:t>
      </w:r>
    </w:p>
    <w:p w14:paraId="09311560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Multilingue</w:t>
      </w:r>
      <w:r>
        <w:t xml:space="preserve"> : sert les textes (notifications, alertes, messages d’erreur) en français et en anglais selon la préférence de l’utilisateur.</w:t>
      </w:r>
    </w:p>
    <w:p w14:paraId="3B0DC284" w14:textId="77777777" w:rsidR="007E6AAA" w:rsidRDefault="00000000">
      <w:pPr>
        <w:pStyle w:val="Titre2"/>
        <w:spacing w:before="260" w:after="120"/>
      </w:pPr>
      <w:bookmarkStart w:id="2" w:name="_Toc235528076"/>
      <w:proofErr w:type="gramStart"/>
      <w:r>
        <w:t>1.2  Objectifs</w:t>
      </w:r>
      <w:proofErr w:type="gramEnd"/>
      <w:r>
        <w:t xml:space="preserve"> de qualité</w:t>
      </w:r>
      <w:bookmarkEnd w:id="2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602"/>
        <w:gridCol w:w="6844"/>
        <w:gridCol w:w="30"/>
      </w:tblGrid>
      <w:tr w:rsidR="007E6AAA" w14:paraId="7748CE9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blHeader/>
        </w:trPr>
        <w:tc>
          <w:tcPr>
            <w:tcW w:w="2600" w:type="dxa"/>
            <w:gridSpan w:val="2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C161A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6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89640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Cible normative</w:t>
            </w:r>
          </w:p>
        </w:tc>
      </w:tr>
      <w:tr w:rsidR="007E6AAA" w14:paraId="31F8E7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98F28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Hybride BD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5BC6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Compatible SQLite (défaut), PostgreSQL, MySQL et MongoDB via Prisma, sans réécriture du code métier.</w:t>
            </w:r>
          </w:p>
        </w:tc>
      </w:tr>
      <w:tr w:rsidR="007E6AAA" w14:paraId="75FA4E7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6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4A355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6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AC3E6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Swagger/OpenAPI généré automatiquement : routes, schémas, modèles et codes d’erreur.</w:t>
            </w:r>
          </w:p>
        </w:tc>
      </w:tr>
      <w:tr w:rsidR="007E6AAA" w14:paraId="14965E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0BABE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Sécurité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8D594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Défense en profondeur : authentification forte, chiffrement, RBAC, protection réseau et anti-attaques.</w:t>
            </w:r>
          </w:p>
        </w:tc>
      </w:tr>
      <w:tr w:rsidR="007E6AAA" w14:paraId="76C072D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6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E05B2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Internationalisation</w:t>
            </w:r>
          </w:p>
        </w:tc>
        <w:tc>
          <w:tcPr>
            <w:tcW w:w="6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D728E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Tous les textes destinés à l’utilisateur disponibles en FR et EN.</w:t>
            </w:r>
          </w:p>
        </w:tc>
      </w:tr>
      <w:tr w:rsidR="007E6AAA" w14:paraId="61F319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2D0B0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CD279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Réponses rapides (opérations courantes &lt; 200 ms hors traitement IA), pagination systématique.</w:t>
            </w:r>
          </w:p>
        </w:tc>
      </w:tr>
      <w:tr w:rsidR="007E6AAA" w14:paraId="5C35B1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6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7E070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Testabilité</w:t>
            </w:r>
          </w:p>
        </w:tc>
        <w:tc>
          <w:tcPr>
            <w:tcW w:w="6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9FC01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Couche métier isolée, testable unitairement ; jeux de tests d’intégration sur l’API.</w:t>
            </w:r>
          </w:p>
        </w:tc>
      </w:tr>
      <w:tr w:rsidR="007E6AAA" w14:paraId="1690AA12" w14:textId="77777777">
        <w:tblPrEx>
          <w:tblBorders>
            <w:top w:val="none" w:sz="0" w:space="0" w:color="auto"/>
            <w:left w:val="single" w:sz="24" w:space="0" w:color="2D2E83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3"/>
            <w:shd w:val="clear" w:color="auto" w:fill="E9EA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2F93763" w14:textId="77777777" w:rsidR="007E6AAA" w:rsidRDefault="00000000">
            <w:pPr>
              <w:spacing w:after="60"/>
            </w:pPr>
            <w:r>
              <w:rPr>
                <w:b/>
                <w:bCs/>
                <w:color w:val="2D2E83"/>
                <w:sz w:val="20"/>
                <w:szCs w:val="20"/>
              </w:rPr>
              <w:t>Convention de lecture</w:t>
            </w:r>
          </w:p>
          <w:p w14:paraId="7DCE7E98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Les routes sont notées MÉTHODE /chemin (ex. POST /auth/login).</w:t>
            </w:r>
          </w:p>
          <w:p w14:paraId="75DB7ECF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Les rôles sont : user (application mobile), partner (espace partenaire), admin (supervision globale).</w:t>
            </w:r>
          </w:p>
          <w:p w14:paraId="009CB321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Chaque module précise ses entités, ses routes et les règles d’accès par rôle.</w:t>
            </w:r>
          </w:p>
        </w:tc>
      </w:tr>
    </w:tbl>
    <w:p w14:paraId="13BBA050" w14:textId="7E50FA2C" w:rsidR="007E6AAA" w:rsidRDefault="00000000" w:rsidP="00D4522D">
      <w:r>
        <w:br w:type="page"/>
      </w:r>
      <w:bookmarkStart w:id="3" w:name="_Toc235528077"/>
      <w:proofErr w:type="gramStart"/>
      <w:r>
        <w:rPr>
          <w:b/>
          <w:bCs/>
          <w:color w:val="F39200"/>
          <w:sz w:val="30"/>
          <w:szCs w:val="30"/>
        </w:rPr>
        <w:lastRenderedPageBreak/>
        <w:t xml:space="preserve">2  </w:t>
      </w:r>
      <w:r>
        <w:rPr>
          <w:b/>
          <w:bCs/>
          <w:color w:val="2D2E83"/>
          <w:sz w:val="30"/>
          <w:szCs w:val="30"/>
        </w:rPr>
        <w:t>Stack</w:t>
      </w:r>
      <w:proofErr w:type="gramEnd"/>
      <w:r>
        <w:rPr>
          <w:b/>
          <w:bCs/>
          <w:color w:val="2D2E83"/>
          <w:sz w:val="30"/>
          <w:szCs w:val="30"/>
        </w:rPr>
        <w:t xml:space="preserve"> technologique</w:t>
      </w:r>
      <w:bookmarkEnd w:id="3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"/>
        <w:gridCol w:w="2197"/>
        <w:gridCol w:w="2733"/>
        <w:gridCol w:w="4515"/>
        <w:gridCol w:w="30"/>
      </w:tblGrid>
      <w:tr w:rsidR="007E6AAA" w14:paraId="3266D65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blHeader/>
        </w:trPr>
        <w:tc>
          <w:tcPr>
            <w:tcW w:w="2200" w:type="dxa"/>
            <w:gridSpan w:val="2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1C7A0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Domaine</w:t>
            </w:r>
          </w:p>
        </w:tc>
        <w:tc>
          <w:tcPr>
            <w:tcW w:w="27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3FF31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44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1F23C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7E6AAA" w14:paraId="11692B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8B832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Langage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F16AD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Python 3.11+</w:t>
            </w:r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5D3BF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Demandé au cahier des charges ; écosystème riche, cohérent avec le service IA (même langage).</w:t>
            </w:r>
          </w:p>
        </w:tc>
      </w:tr>
      <w:tr w:rsidR="007E6AAA" w14:paraId="26DED4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B0F17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Framework API</w:t>
            </w:r>
          </w:p>
        </w:tc>
        <w:tc>
          <w:tcPr>
            <w:tcW w:w="27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E8BCB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FastAPI</w:t>
            </w:r>
          </w:p>
        </w:tc>
        <w:tc>
          <w:tcPr>
            <w:tcW w:w="44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5CB8F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Documentation OpenAPI/Swagger native, validation par types, hautes performances (ASGI), asynchrone.</w:t>
            </w:r>
          </w:p>
        </w:tc>
      </w:tr>
      <w:tr w:rsidR="007E6AAA" w14:paraId="45AB6A2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D1C7A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Serveur ASGI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A656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Uvicorn (+ Gunicorn)</w:t>
            </w:r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0647A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Serveur de production performant ; Gunicorn gère plusieurs workers.</w:t>
            </w:r>
          </w:p>
        </w:tc>
      </w:tr>
      <w:tr w:rsidR="007E6AAA" w14:paraId="0AF3AA2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4E942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ORM</w:t>
            </w:r>
          </w:p>
        </w:tc>
        <w:tc>
          <w:tcPr>
            <w:tcW w:w="27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56990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Prisma Client Python</w:t>
            </w:r>
          </w:p>
        </w:tc>
        <w:tc>
          <w:tcPr>
            <w:tcW w:w="44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F71F5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Backend hybride : un seul schéma, plusieurs bases (SQLite/PostgreSQL/MySQL/MongoDB). Migrations intégrées.</w:t>
            </w:r>
          </w:p>
        </w:tc>
      </w:tr>
      <w:tr w:rsidR="007E6AAA" w14:paraId="3BC40C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2A3EE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7C989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Pydantic v2</w:t>
            </w:r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B721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Schémas d’entrée/sortie typés, cœur de la génération Swagger et de la sécurité des données.</w:t>
            </w:r>
          </w:p>
        </w:tc>
      </w:tr>
      <w:tr w:rsidR="007E6AAA" w14:paraId="020D5F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292A1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27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00BA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JWT (python-jose) + Argon2</w:t>
            </w:r>
          </w:p>
        </w:tc>
        <w:tc>
          <w:tcPr>
            <w:tcW w:w="44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C8F98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Jetons d’accès/rafraîchissement ; hachage de mots de passe robuste (argon2-cffi).</w:t>
            </w:r>
          </w:p>
        </w:tc>
      </w:tr>
      <w:tr w:rsidR="007E6AAA" w14:paraId="3A25FE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80F00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Documentation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465A4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Swagger UI + ReDoc (FastAPI)</w:t>
            </w:r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31F9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Générés automatiquement à partir du code ; toujours à jour.</w:t>
            </w:r>
          </w:p>
        </w:tc>
      </w:tr>
      <w:tr w:rsidR="007E6AAA" w14:paraId="2626E8A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C6359" w14:textId="77777777" w:rsidR="007E6AAA" w:rsidRDefault="00000000">
            <w:pPr>
              <w:spacing w:line="250" w:lineRule="auto"/>
            </w:pPr>
            <w:proofErr w:type="gramStart"/>
            <w:r>
              <w:rPr>
                <w:b/>
                <w:bCs/>
                <w:sz w:val="18"/>
                <w:szCs w:val="18"/>
              </w:rPr>
              <w:t>i</w:t>
            </w:r>
            <w:proofErr w:type="gramEnd"/>
            <w:r>
              <w:rPr>
                <w:b/>
                <w:bCs/>
                <w:sz w:val="18"/>
                <w:szCs w:val="18"/>
              </w:rPr>
              <w:t>18n</w:t>
            </w:r>
          </w:p>
        </w:tc>
        <w:tc>
          <w:tcPr>
            <w:tcW w:w="27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C309D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Fichiers de traduction (JSON) + middleware</w:t>
            </w:r>
          </w:p>
        </w:tc>
        <w:tc>
          <w:tcPr>
            <w:tcW w:w="44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1C45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Sélection FR/EN par en-tête de langue ; textes centralisés.</w:t>
            </w:r>
          </w:p>
        </w:tc>
      </w:tr>
      <w:tr w:rsidR="007E6AAA" w14:paraId="3A492F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7D902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Tâches asynchrones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CFE1D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File d’attente légère (RQ/Celery selon besoin)</w:t>
            </w:r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D76F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Traitement différé (envois, transmission des signalements à l’IA).</w:t>
            </w:r>
          </w:p>
        </w:tc>
      </w:tr>
      <w:tr w:rsidR="007E6AAA" w14:paraId="3CE03ED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D1467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Cache</w:t>
            </w:r>
          </w:p>
        </w:tc>
        <w:tc>
          <w:tcPr>
            <w:tcW w:w="27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4817E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Redis (optionnel)</w:t>
            </w:r>
          </w:p>
        </w:tc>
        <w:tc>
          <w:tcPr>
            <w:tcW w:w="44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8A2F4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Cache de réponses, limitation de débit, files ; activable en production.</w:t>
            </w:r>
          </w:p>
        </w:tc>
      </w:tr>
      <w:tr w:rsidR="007E6AAA" w14:paraId="72BAB2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85E0F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Tests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D1AA5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pytest</w:t>
            </w:r>
            <w:proofErr w:type="gramEnd"/>
            <w:r>
              <w:rPr>
                <w:sz w:val="18"/>
                <w:szCs w:val="18"/>
              </w:rPr>
              <w:t xml:space="preserve"> + httpx</w:t>
            </w:r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42ACB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Tests unitaires et d’intégration de l’API.</w:t>
            </w:r>
          </w:p>
        </w:tc>
      </w:tr>
      <w:tr w:rsidR="007E6AAA" w14:paraId="65E12B3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C8D43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Qualité</w:t>
            </w:r>
          </w:p>
        </w:tc>
        <w:tc>
          <w:tcPr>
            <w:tcW w:w="27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4390E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Ruff + Black + mypy</w:t>
            </w:r>
          </w:p>
        </w:tc>
        <w:tc>
          <w:tcPr>
            <w:tcW w:w="44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D8F59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Lint, formatage et vérification de types.</w:t>
            </w:r>
          </w:p>
        </w:tc>
      </w:tr>
      <w:tr w:rsidR="007E6AAA" w14:paraId="4302BE1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2B2D2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Conteneurisation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2E8B9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Docker + docker-compose</w:t>
            </w:r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6D128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Environnements reproductibles ; parité dev/prod ; déploiement simplifié.</w:t>
            </w:r>
          </w:p>
        </w:tc>
      </w:tr>
      <w:tr w:rsidR="007E6AAA" w14:paraId="336F0F77" w14:textId="77777777">
        <w:tblPrEx>
          <w:tblBorders>
            <w:top w:val="none" w:sz="0" w:space="0" w:color="auto"/>
            <w:left w:val="single" w:sz="24" w:space="0" w:color="F39200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4"/>
            <w:shd w:val="clear" w:color="auto" w:fill="FDEBD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B43CBBA" w14:textId="77777777" w:rsidR="007E6AAA" w:rsidRDefault="00000000">
            <w:pPr>
              <w:spacing w:after="60"/>
            </w:pPr>
            <w:r>
              <w:rPr>
                <w:b/>
                <w:bCs/>
                <w:color w:val="A05A00"/>
                <w:sz w:val="20"/>
                <w:szCs w:val="20"/>
              </w:rPr>
              <w:t>Sur la compatibilité des bases de données</w:t>
            </w:r>
          </w:p>
          <w:p w14:paraId="52EB8812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Prisma prend en charge SQLite, PostgreSQL, MySQL et MongoDB. Le développement démarre sur SQLite (zéro configuration) ; la production peut basculer vers PostgreSQL en changeant une seule variable d’environnement, sans modifier le code métier.</w:t>
            </w:r>
          </w:p>
          <w:p w14:paraId="30CFEACA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Cassandra n’est pas prise en charge par Prisma : elle est volontairement exclue du périmètre pour ne pas promettre une compatibilité non tenable.</w:t>
            </w:r>
          </w:p>
        </w:tc>
      </w:tr>
    </w:tbl>
    <w:p w14:paraId="46B11807" w14:textId="77777777" w:rsidR="007E6AAA" w:rsidRDefault="00000000">
      <w:r>
        <w:br w:type="page"/>
      </w:r>
    </w:p>
    <w:p w14:paraId="12F3AF8B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4" w:name="_Toc235528078"/>
      <w:proofErr w:type="gramStart"/>
      <w:r>
        <w:rPr>
          <w:color w:val="F39200"/>
        </w:rPr>
        <w:lastRenderedPageBreak/>
        <w:t xml:space="preserve">3  </w:t>
      </w:r>
      <w:r>
        <w:t>Architecture</w:t>
      </w:r>
      <w:proofErr w:type="gramEnd"/>
      <w:r>
        <w:t xml:space="preserve"> &amp; structure des dossiers</w:t>
      </w:r>
      <w:bookmarkEnd w:id="4"/>
    </w:p>
    <w:p w14:paraId="29A229A9" w14:textId="77777777" w:rsidR="007E6AAA" w:rsidRDefault="00000000">
      <w:pPr>
        <w:pStyle w:val="Titre2"/>
        <w:spacing w:before="260" w:after="120"/>
      </w:pPr>
      <w:bookmarkStart w:id="5" w:name="_Toc235528079"/>
      <w:proofErr w:type="gramStart"/>
      <w:r>
        <w:t>3.1  Choix</w:t>
      </w:r>
      <w:proofErr w:type="gramEnd"/>
      <w:r>
        <w:t xml:space="preserve"> : architecture en couches (Layered / Clean léger)</w:t>
      </w:r>
      <w:bookmarkEnd w:id="5"/>
    </w:p>
    <w:p w14:paraId="4D24FAC8" w14:textId="77777777" w:rsidR="007E6AAA" w:rsidRDefault="00000000">
      <w:pPr>
        <w:spacing w:after="140" w:line="276" w:lineRule="auto"/>
        <w:jc w:val="both"/>
      </w:pPr>
      <w:r>
        <w:t xml:space="preserve">L’architecture retenue est une </w:t>
      </w:r>
      <w:r>
        <w:rPr>
          <w:b/>
          <w:bCs/>
          <w:color w:val="2D2E83"/>
        </w:rPr>
        <w:t>architecture en couches modulaire par domaine</w:t>
      </w:r>
      <w:r>
        <w:t>, largement recommandée par la communauté FastAPI (structure « feature-based » proche du dépôt de référence de N. Netfoundry / patterns officiels FastAPI) et par les principes de Clean Architecture, adaptée sans sur-ingénierie.</w:t>
      </w:r>
    </w:p>
    <w:p w14:paraId="1EB5A1F3" w14:textId="77777777" w:rsidR="007E6AAA" w:rsidRDefault="00000000">
      <w:pPr>
        <w:pStyle w:val="Titre4"/>
        <w:spacing w:before="150" w:after="70"/>
      </w:pPr>
      <w:r>
        <w:t>Pourquoi ce choix (justificatifs pour l’équipe)</w:t>
      </w:r>
    </w:p>
    <w:p w14:paraId="3912B235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Séparation des responsabilités</w:t>
      </w:r>
      <w:r>
        <w:t xml:space="preserve"> : les routes (présentation), la logique métier (services) et l’accès aux données (repositories/Prisma) sont séparés. On teste la logique sans lancer de serveur.</w:t>
      </w:r>
    </w:p>
    <w:p w14:paraId="1D4B674F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Modularité par domaine</w:t>
      </w:r>
      <w:r>
        <w:t xml:space="preserve"> : chaque module (auth, users, numbers…) regroupe ses routes, schémas et services. Ajouter un domaine ne perturbe pas les autres.</w:t>
      </w:r>
    </w:p>
    <w:p w14:paraId="70C7032F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Sécurité centralisée</w:t>
      </w:r>
      <w:r>
        <w:t xml:space="preserve"> : l’authentification, les dépendances de rôle et la validation sont mutualisées dans une couche « core », appliquée uniformément.</w:t>
      </w:r>
    </w:p>
    <w:p w14:paraId="1DD218D7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Portabilité BD</w:t>
      </w:r>
      <w:r>
        <w:t xml:space="preserve"> : l’accès aux données passant par Prisma et une fine couche repository, changer de base n’impacte pas la logique métier.</w:t>
      </w:r>
    </w:p>
    <w:p w14:paraId="200F9FD6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Alternative écartée</w:t>
      </w:r>
      <w:r>
        <w:t xml:space="preserve"> : tout mettre dans les fichiers de routes (style script) rend le code intestable et non maintenable dès que les règles se complexifient (rôles, affiliation partenaire…).</w:t>
      </w:r>
    </w:p>
    <w:p w14:paraId="1273A345" w14:textId="77777777" w:rsidR="007E6AAA" w:rsidRDefault="00000000">
      <w:pPr>
        <w:pStyle w:val="Titre2"/>
        <w:spacing w:before="260" w:after="120"/>
      </w:pPr>
      <w:bookmarkStart w:id="6" w:name="_Toc235528080"/>
      <w:proofErr w:type="gramStart"/>
      <w:r>
        <w:t>3.2  Arborescence</w:t>
      </w:r>
      <w:proofErr w:type="gramEnd"/>
      <w:r>
        <w:t xml:space="preserve"> normative</w:t>
      </w:r>
      <w:bookmarkEnd w:id="6"/>
    </w:p>
    <w:tbl>
      <w:tblPr>
        <w:tblW w:w="5000" w:type="pct"/>
        <w:tblBorders>
          <w:top w:val="single" w:sz="4" w:space="0" w:color="D8DEE6"/>
          <w:left w:val="single" w:sz="12" w:space="0" w:color="2D2E83"/>
          <w:bottom w:val="single" w:sz="4" w:space="0" w:color="D8DEE6"/>
          <w:right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6"/>
      </w:tblGrid>
      <w:tr w:rsidR="007E6AAA" w14:paraId="1DC3C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7F8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94B4F53" w14:textId="77777777" w:rsidR="007E6AAA" w:rsidRPr="00D4522D" w:rsidRDefault="00000000">
            <w:pPr>
              <w:rPr>
                <w:lang w:val="en-CA"/>
              </w:rPr>
            </w:pPr>
            <w:r w:rsidRPr="00D4522D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kwismo-backend/</w:t>
            </w:r>
          </w:p>
          <w:p w14:paraId="592F2B5F" w14:textId="77777777" w:rsidR="007E6AAA" w:rsidRPr="00D4522D" w:rsidRDefault="00000000">
            <w:pPr>
              <w:rPr>
                <w:lang w:val="en-CA"/>
              </w:rPr>
            </w:pPr>
            <w:r w:rsidRPr="00D4522D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├─ app/</w:t>
            </w:r>
          </w:p>
          <w:p w14:paraId="019FBE0C" w14:textId="77777777" w:rsidR="007E6AAA" w:rsidRPr="00D4522D" w:rsidRDefault="00000000">
            <w:pPr>
              <w:rPr>
                <w:lang w:val="en-CA"/>
              </w:rPr>
            </w:pPr>
            <w:proofErr w:type="gramStart"/>
            <w:r w:rsidRPr="00D4522D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│  ├</w:t>
            </w:r>
            <w:proofErr w:type="gramEnd"/>
            <w:r w:rsidRPr="00D4522D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─ main.py                   # Point d’entrée FastAPI (montage routes, middlewares)</w:t>
            </w:r>
          </w:p>
          <w:p w14:paraId="684A805D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core/                     # Cœur transverse</w:t>
            </w:r>
          </w:p>
          <w:p w14:paraId="0D2B5DDC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config.py              # Variables d’environnement (Pydantic Settings)</w:t>
            </w:r>
          </w:p>
          <w:p w14:paraId="53BC7958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security.py            # JWT, hachage Argon2, dépendances d’auth</w:t>
            </w:r>
          </w:p>
          <w:p w14:paraId="0087F632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permissions.py         # RBAC : dépendances require_role(admin/partner)</w:t>
            </w:r>
          </w:p>
          <w:p w14:paraId="7AFC8BBE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rate_limit.py          # Limitation de débit</w:t>
            </w:r>
          </w:p>
          <w:p w14:paraId="4589DEFA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middleware.py          # Journalisation, i18n, en-têtes de sécurité</w:t>
            </w:r>
          </w:p>
          <w:p w14:paraId="553BF1DD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exceptions.py          # Erreurs métier + gestion centralisée</w:t>
            </w:r>
          </w:p>
          <w:p w14:paraId="77BA8B57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└─ i18n.py                # Chargement des traductions, résolution de langue</w:t>
            </w:r>
          </w:p>
          <w:p w14:paraId="4A808390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db/</w:t>
            </w:r>
          </w:p>
          <w:p w14:paraId="3F440800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prisma_client.py       # Instance Prisma partagée (connexion)</w:t>
            </w:r>
          </w:p>
          <w:p w14:paraId="2FF3B5ED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└─ repositories/          # Accès données par entité (fine abstraction)</w:t>
            </w:r>
          </w:p>
          <w:p w14:paraId="33971B57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modules/                  # ★ Un domaine = un dossier</w:t>
            </w:r>
          </w:p>
          <w:p w14:paraId="4700B511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auth/</w:t>
            </w:r>
          </w:p>
          <w:p w14:paraId="012F2C90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router.py           # Routes /auth/*</w:t>
            </w:r>
          </w:p>
          <w:p w14:paraId="09CD4C8F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schemas.py          # Pydantic (LoginIn, TokenOut…)</w:t>
            </w:r>
          </w:p>
          <w:p w14:paraId="23FEBEED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service.py          # Logique (login, OTP, refresh, reset)</w:t>
            </w:r>
          </w:p>
          <w:p w14:paraId="7EEF592E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└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dependencies.py</w:t>
            </w:r>
          </w:p>
          <w:p w14:paraId="3F3D426B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users/                 # Utilisateurs</w:t>
            </w:r>
          </w:p>
          <w:p w14:paraId="2C29D91D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partners/              # Partenaires + règles d’affiliation</w:t>
            </w:r>
          </w:p>
          <w:p w14:paraId="5C7B09FF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numbers/               # Numéros, statuts, scores</w:t>
            </w:r>
          </w:p>
          <w:p w14:paraId="773B5B04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reports/               # Signalements</w:t>
            </w:r>
          </w:p>
          <w:p w14:paraId="3B1FB16C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transactions/          # Transferts (métadonnées, pas de fonds)</w:t>
            </w:r>
          </w:p>
          <w:p w14:paraId="49E65792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ussd/                  # Pays / Opérateurs / Codes USSD</w:t>
            </w:r>
          </w:p>
          <w:p w14:paraId="24BA65FD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whatsapp_alert/        # Incident + diffusion d’alerte</w:t>
            </w:r>
          </w:p>
          <w:p w14:paraId="1DE76E9C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surveys/               # Formulaires d’enquête</w:t>
            </w:r>
          </w:p>
          <w:p w14:paraId="528B0607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kpi/                   # Indicateurs (global &amp; partenaire)</w:t>
            </w:r>
          </w:p>
          <w:p w14:paraId="3A730C97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access_control/        # Rôles &amp; droits</w:t>
            </w:r>
          </w:p>
          <w:p w14:paraId="6AB6D2B9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notifications/         # Notifications (FR/EN)</w:t>
            </w:r>
          </w:p>
          <w:p w14:paraId="02BEE332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└─ ai_gateway/            # Passerelle vers le service IA</w:t>
            </w:r>
          </w:p>
          <w:p w14:paraId="701E9C6D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locales/                  # Traductions serveur</w:t>
            </w:r>
          </w:p>
          <w:p w14:paraId="6163E255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├─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fr.json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# messages, erreurs, notifications</w:t>
            </w:r>
          </w:p>
          <w:p w14:paraId="4FEEB477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└─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en.json</w:t>
            </w:r>
            <w:proofErr w:type="gramEnd"/>
          </w:p>
          <w:p w14:paraId="138E0E0D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└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utils/                    # Helpers (phone, dates, pagination)</w:t>
            </w:r>
          </w:p>
          <w:p w14:paraId="4BBDD3E0" w14:textId="77777777" w:rsidR="007E6A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prisma/</w:t>
            </w:r>
          </w:p>
          <w:p w14:paraId="4C761955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─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schema.prisma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# ★ Schéma unique (modèles = tables)</w:t>
            </w:r>
          </w:p>
          <w:p w14:paraId="69B6AD5D" w14:textId="77777777" w:rsidR="007E6AAA" w:rsidRDefault="00000000"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│  └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─ migrations/               # Historique des migrations</w:t>
            </w:r>
          </w:p>
          <w:p w14:paraId="2025C0AC" w14:textId="77777777" w:rsidR="007E6A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tests/                       # pytest (unitaires + intégration)</w:t>
            </w:r>
          </w:p>
          <w:p w14:paraId="635D51EF" w14:textId="77777777" w:rsidR="007E6A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scripts/                     # Seed, tâches d’administration</w:t>
            </w:r>
          </w:p>
          <w:p w14:paraId="0E1D3AA8" w14:textId="77777777" w:rsidR="007E6A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─ .env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/ .env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.example          # DATABASE_URL, JWT_SECRET, AI_SERVICE_URL…</w:t>
            </w:r>
          </w:p>
          <w:p w14:paraId="12600A0A" w14:textId="77777777" w:rsidR="007E6A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Dockerfile</w:t>
            </w:r>
          </w:p>
          <w:p w14:paraId="096DCE4B" w14:textId="77777777" w:rsidR="007E6A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docker-compose.yml           # backend + base + (redis) + service IA</w:t>
            </w:r>
          </w:p>
          <w:p w14:paraId="548FD09D" w14:textId="77777777" w:rsidR="007E6A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├─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pyproject.toml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# Dépendances &amp; outils (ruff, black, mypy)</w:t>
            </w:r>
          </w:p>
          <w:p w14:paraId="2C42E7CF" w14:textId="77777777" w:rsidR="007E6A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└─ README.md</w:t>
            </w:r>
          </w:p>
        </w:tc>
      </w:tr>
    </w:tbl>
    <w:p w14:paraId="7A10FFFA" w14:textId="77777777" w:rsidR="007E6AAA" w:rsidRDefault="00000000">
      <w:pPr>
        <w:pStyle w:val="Titre2"/>
        <w:spacing w:before="260" w:after="120"/>
      </w:pPr>
      <w:bookmarkStart w:id="7" w:name="_Toc235528081"/>
      <w:proofErr w:type="gramStart"/>
      <w:r>
        <w:t>3.3  Rôle</w:t>
      </w:r>
      <w:proofErr w:type="gramEnd"/>
      <w:r>
        <w:t xml:space="preserve"> des dossiers clés — sécurité, données, i18n</w:t>
      </w:r>
      <w:bookmarkEnd w:id="7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3250"/>
        <w:gridCol w:w="3717"/>
      </w:tblGrid>
      <w:tr w:rsidR="007E6AAA" w14:paraId="47ED0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90770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F4A00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Responsabilité</w:t>
            </w:r>
          </w:p>
        </w:tc>
        <w:tc>
          <w:tcPr>
            <w:tcW w:w="36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6B4A5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Point de vigilance</w:t>
            </w:r>
          </w:p>
        </w:tc>
      </w:tr>
      <w:tr w:rsidR="007E6AAA" w14:paraId="6FF2A8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D0E2D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core/security.py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5CB56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JWT, hachage, dépendances d’authentification.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666CD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Source unique de la logique d’auth ; jamais dupliquée dans les modules.</w:t>
            </w:r>
          </w:p>
        </w:tc>
      </w:tr>
      <w:tr w:rsidR="007E6AAA" w14:paraId="6EE670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5016A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core/permissions.py</w:t>
            </w:r>
          </w:p>
        </w:tc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4167F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Contrôle d’accès par rôle (RBAC).</w:t>
            </w:r>
          </w:p>
        </w:tc>
        <w:tc>
          <w:tcPr>
            <w:tcW w:w="36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001EB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Toute route protégée déclare explicitement le rôle requis.</w:t>
            </w:r>
          </w:p>
        </w:tc>
      </w:tr>
      <w:tr w:rsidR="007E6AAA" w14:paraId="1DB71F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65AA3" w14:textId="77777777" w:rsidR="007E6AAA" w:rsidRDefault="00000000">
            <w:pPr>
              <w:spacing w:line="250" w:lineRule="auto"/>
            </w:pPr>
            <w:proofErr w:type="gramStart"/>
            <w:r>
              <w:rPr>
                <w:b/>
                <w:bCs/>
                <w:sz w:val="18"/>
                <w:szCs w:val="18"/>
              </w:rPr>
              <w:t>db</w:t>
            </w:r>
            <w:proofErr w:type="gramEnd"/>
            <w:r>
              <w:rPr>
                <w:b/>
                <w:bCs/>
                <w:sz w:val="18"/>
                <w:szCs w:val="18"/>
              </w:rPr>
              <w:t>/repositories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FD77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Accès aux données via Prisma.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A99B2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Isole le métier de la base ; facilite le changement de BD et les tests.</w:t>
            </w:r>
          </w:p>
        </w:tc>
      </w:tr>
      <w:tr w:rsidR="007E6AAA" w14:paraId="57F375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DAE0A" w14:textId="77777777" w:rsidR="007E6AAA" w:rsidRDefault="00000000">
            <w:pPr>
              <w:spacing w:line="250" w:lineRule="auto"/>
            </w:pPr>
            <w:proofErr w:type="gramStart"/>
            <w:r>
              <w:rPr>
                <w:b/>
                <w:bCs/>
                <w:sz w:val="18"/>
                <w:szCs w:val="18"/>
              </w:rPr>
              <w:t>modules</w:t>
            </w:r>
            <w:proofErr w:type="gramEnd"/>
            <w:r>
              <w:rPr>
                <w:b/>
                <w:bCs/>
                <w:sz w:val="18"/>
                <w:szCs w:val="18"/>
              </w:rPr>
              <w:t>/ai_gateway</w:t>
            </w:r>
          </w:p>
        </w:tc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A5FD1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Communication avec le service IA.</w:t>
            </w:r>
          </w:p>
        </w:tc>
        <w:tc>
          <w:tcPr>
            <w:tcW w:w="36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AB8E1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Seul point qui parle à l’IA ; applique délais et repli si l’IA est indisponible.</w:t>
            </w:r>
          </w:p>
        </w:tc>
      </w:tr>
      <w:tr w:rsidR="007E6AAA" w14:paraId="549949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C5015" w14:textId="77777777" w:rsidR="007E6AAA" w:rsidRDefault="00000000">
            <w:pPr>
              <w:spacing w:line="250" w:lineRule="auto"/>
            </w:pPr>
            <w:proofErr w:type="gramStart"/>
            <w:r>
              <w:rPr>
                <w:b/>
                <w:bCs/>
                <w:sz w:val="18"/>
                <w:szCs w:val="18"/>
              </w:rPr>
              <w:t>locales</w:t>
            </w:r>
            <w:proofErr w:type="gramEnd"/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8F0A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Textes FR/EN.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5D56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Aucun message utilisateur en dur dans le code ; tout passe par une clé de traduction.</w:t>
            </w:r>
          </w:p>
        </w:tc>
      </w:tr>
      <w:tr w:rsidR="007E6AAA" w14:paraId="140E8B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3859C" w14:textId="77777777" w:rsidR="007E6AAA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prisma/schema.prisma</w:t>
            </w:r>
          </w:p>
        </w:tc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9730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Modèle de données unique.</w:t>
            </w:r>
          </w:p>
        </w:tc>
        <w:tc>
          <w:tcPr>
            <w:tcW w:w="36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DFC8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Vérité des tables ; toute évolution passe par une migration versionnée.</w:t>
            </w:r>
          </w:p>
        </w:tc>
      </w:tr>
    </w:tbl>
    <w:p w14:paraId="0D09DB02" w14:textId="77777777" w:rsidR="007E6AAA" w:rsidRDefault="00000000">
      <w:r>
        <w:br w:type="page"/>
      </w:r>
    </w:p>
    <w:p w14:paraId="4E238FBA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8" w:name="_Toc235528082"/>
      <w:proofErr w:type="gramStart"/>
      <w:r>
        <w:rPr>
          <w:color w:val="F39200"/>
        </w:rPr>
        <w:lastRenderedPageBreak/>
        <w:t xml:space="preserve">4  </w:t>
      </w:r>
      <w:r>
        <w:t>Modèle</w:t>
      </w:r>
      <w:proofErr w:type="gramEnd"/>
      <w:r>
        <w:t xml:space="preserve"> de données (Prisma)</w:t>
      </w:r>
      <w:bookmarkEnd w:id="8"/>
    </w:p>
    <w:p w14:paraId="454DAEA8" w14:textId="77777777" w:rsidR="007E6AAA" w:rsidRDefault="00000000">
      <w:pPr>
        <w:spacing w:after="140" w:line="276" w:lineRule="auto"/>
        <w:jc w:val="both"/>
      </w:pPr>
      <w:r>
        <w:t>Le schéma Prisma reprend le diagramme de classes du projet. Les entités ci-dessous sont les tables/collections principales. Chaque entité possède un identifiant, des horodatages de création/mise à jour, et des relations explicites.</w:t>
      </w:r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"/>
        <w:gridCol w:w="2399"/>
        <w:gridCol w:w="4211"/>
        <w:gridCol w:w="2835"/>
        <w:gridCol w:w="30"/>
      </w:tblGrid>
      <w:tr w:rsidR="007E6AAA" w14:paraId="55958C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blHeader/>
        </w:trPr>
        <w:tc>
          <w:tcPr>
            <w:tcW w:w="2400" w:type="dxa"/>
            <w:gridSpan w:val="2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245F0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Entité</w:t>
            </w:r>
          </w:p>
        </w:tc>
        <w:tc>
          <w:tcPr>
            <w:tcW w:w="41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B1D909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Champs principaux</w:t>
            </w:r>
          </w:p>
        </w:tc>
        <w:tc>
          <w:tcPr>
            <w:tcW w:w="28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007BC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Relations</w:t>
            </w:r>
          </w:p>
        </w:tc>
      </w:tr>
      <w:tr w:rsidR="007E6AAA" w14:paraId="0FC0B8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B8567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User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9B322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nom</w:t>
            </w:r>
            <w:proofErr w:type="gramEnd"/>
            <w:r>
              <w:rPr>
                <w:sz w:val="18"/>
                <w:szCs w:val="18"/>
              </w:rPr>
              <w:t>, prénom, numéro, pays, statut, rôle, dateInscription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9FCB6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Signalements, Transactions, Contacts, Réponses d’enquête, Rôle.</w:t>
            </w:r>
          </w:p>
        </w:tc>
      </w:tr>
      <w:tr w:rsidR="007E6AAA" w14:paraId="3F3ECB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ED235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Contact</w:t>
            </w:r>
          </w:p>
        </w:tc>
        <w:tc>
          <w:tcPr>
            <w:tcW w:w="4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31B17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nom</w:t>
            </w:r>
            <w:proofErr w:type="gramEnd"/>
            <w:r>
              <w:rPr>
                <w:sz w:val="18"/>
                <w:szCs w:val="18"/>
              </w:rPr>
              <w:t>, numéro, statut (insigne)</w:t>
            </w:r>
          </w:p>
        </w:tc>
        <w:tc>
          <w:tcPr>
            <w:tcW w:w="28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30120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Appartient à un User, correspond à un Numero.</w:t>
            </w:r>
          </w:p>
        </w:tc>
      </w:tr>
      <w:tr w:rsidR="007E6AAA" w14:paraId="6F1DE6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EDF2E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Numero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4CD04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valeur</w:t>
            </w:r>
            <w:proofErr w:type="gramEnd"/>
            <w:r>
              <w:rPr>
                <w:sz w:val="18"/>
                <w:szCs w:val="18"/>
              </w:rPr>
              <w:t>, scoreRisque, statut, dateDernièreVérif.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9DC1D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Opérateur, Signalements, Partenaire affilié.</w:t>
            </w:r>
          </w:p>
        </w:tc>
      </w:tr>
      <w:tr w:rsidR="007E6AAA" w14:paraId="30DAC0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E1A60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Report (Signalement)</w:t>
            </w:r>
          </w:p>
        </w:tc>
        <w:tc>
          <w:tcPr>
            <w:tcW w:w="4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6C558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motif</w:t>
            </w:r>
            <w:proofErr w:type="gramEnd"/>
            <w:r>
              <w:rPr>
                <w:sz w:val="18"/>
                <w:szCs w:val="18"/>
              </w:rPr>
              <w:t>, date, statut</w:t>
            </w:r>
          </w:p>
        </w:tc>
        <w:tc>
          <w:tcPr>
            <w:tcW w:w="28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D8D1A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User (auteur), Numero (concerné).</w:t>
            </w:r>
          </w:p>
        </w:tc>
      </w:tr>
      <w:tr w:rsidR="007E6AAA" w14:paraId="5F2C76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93A69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Country (Pays)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2A48A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nom</w:t>
            </w:r>
            <w:proofErr w:type="gramEnd"/>
            <w:r>
              <w:rPr>
                <w:sz w:val="18"/>
                <w:szCs w:val="18"/>
              </w:rPr>
              <w:t>, indicatif, estParDéfaut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F062B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Opérateurs.</w:t>
            </w:r>
          </w:p>
        </w:tc>
      </w:tr>
      <w:tr w:rsidR="007E6AAA" w14:paraId="43A3A8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4FA32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Operator</w:t>
            </w:r>
          </w:p>
        </w:tc>
        <w:tc>
          <w:tcPr>
            <w:tcW w:w="4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F2475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nom</w:t>
            </w:r>
            <w:proofErr w:type="gramEnd"/>
            <w:r>
              <w:rPr>
                <w:sz w:val="18"/>
                <w:szCs w:val="18"/>
              </w:rPr>
              <w:t>, préfixes</w:t>
            </w:r>
          </w:p>
        </w:tc>
        <w:tc>
          <w:tcPr>
            <w:tcW w:w="28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6839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Pays, Actions USSD, Numéros.</w:t>
            </w:r>
          </w:p>
        </w:tc>
      </w:tr>
      <w:tr w:rsidR="007E6AAA" w14:paraId="667746D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DA69D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UssdAction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DBF35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nomAction</w:t>
            </w:r>
            <w:proofErr w:type="gramEnd"/>
            <w:r>
              <w:rPr>
                <w:sz w:val="18"/>
                <w:szCs w:val="18"/>
              </w:rPr>
              <w:t>, format du code USSD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D3CED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Opérateur.</w:t>
            </w:r>
          </w:p>
        </w:tc>
      </w:tr>
      <w:tr w:rsidR="007E6AAA" w14:paraId="714E28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63C05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Partner</w:t>
            </w:r>
          </w:p>
        </w:tc>
        <w:tc>
          <w:tcPr>
            <w:tcW w:w="4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933FB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nomEntreprise</w:t>
            </w:r>
            <w:proofErr w:type="gramEnd"/>
            <w:r>
              <w:rPr>
                <w:sz w:val="18"/>
                <w:szCs w:val="18"/>
              </w:rPr>
              <w:t>, type, dateAdhésion</w:t>
            </w:r>
          </w:p>
        </w:tc>
        <w:tc>
          <w:tcPr>
            <w:tcW w:w="28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BE57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Numéros affiliés, KPI, règles d’affiliation.</w:t>
            </w:r>
          </w:p>
        </w:tc>
      </w:tr>
      <w:tr w:rsidR="007E6AAA" w14:paraId="043739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BC172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AffiliationRule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91F48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pays</w:t>
            </w:r>
            <w:proofErr w:type="gramEnd"/>
            <w:r>
              <w:rPr>
                <w:sz w:val="18"/>
                <w:szCs w:val="18"/>
              </w:rPr>
              <w:t>, préfixes/plages (69, 651-654…)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20A70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Partenaire, Pays.</w:t>
            </w:r>
          </w:p>
        </w:tc>
      </w:tr>
      <w:tr w:rsidR="007E6AAA" w14:paraId="5AE5B1D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7D45F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Transaction</w:t>
            </w:r>
          </w:p>
        </w:tc>
        <w:tc>
          <w:tcPr>
            <w:tcW w:w="4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B267D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montant</w:t>
            </w:r>
            <w:proofErr w:type="gramEnd"/>
            <w:r>
              <w:rPr>
                <w:sz w:val="18"/>
                <w:szCs w:val="18"/>
              </w:rPr>
              <w:t>, date, statut, niveauRisque, codeUSSD</w:t>
            </w:r>
          </w:p>
        </w:tc>
        <w:tc>
          <w:tcPr>
            <w:tcW w:w="28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06B6A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User, Numero, Pays, Opérateur, Action.</w:t>
            </w:r>
          </w:p>
        </w:tc>
      </w:tr>
      <w:tr w:rsidR="007E6AAA" w14:paraId="6EB1A44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3D048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WhatsAppAlert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A31D3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contenu</w:t>
            </w:r>
            <w:proofErr w:type="gramEnd"/>
            <w:r>
              <w:rPr>
                <w:sz w:val="18"/>
                <w:szCs w:val="18"/>
              </w:rPr>
              <w:t>, dateEnvoi, statut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63310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User (émetteur), Contacts (destinataires).</w:t>
            </w:r>
          </w:p>
        </w:tc>
      </w:tr>
      <w:tr w:rsidR="007E6AAA" w14:paraId="48B839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761B4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SurveyResponse</w:t>
            </w:r>
          </w:p>
        </w:tc>
        <w:tc>
          <w:tcPr>
            <w:tcW w:w="4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C02E5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question</w:t>
            </w:r>
            <w:proofErr w:type="gramEnd"/>
            <w:r>
              <w:rPr>
                <w:sz w:val="18"/>
                <w:szCs w:val="18"/>
              </w:rPr>
              <w:t>, réponse, date</w:t>
            </w:r>
          </w:p>
        </w:tc>
        <w:tc>
          <w:tcPr>
            <w:tcW w:w="28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7D021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User.</w:t>
            </w:r>
          </w:p>
        </w:tc>
      </w:tr>
      <w:tr w:rsidR="007E6AAA" w14:paraId="21C9F28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8E0A9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Kpi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F8C2F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indicateur</w:t>
            </w:r>
            <w:proofErr w:type="gramEnd"/>
            <w:r>
              <w:rPr>
                <w:sz w:val="18"/>
                <w:szCs w:val="18"/>
              </w:rPr>
              <w:t>, valeur, période, portée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1CA48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Global ou Partenaire.</w:t>
            </w:r>
          </w:p>
        </w:tc>
      </w:tr>
      <w:tr w:rsidR="007E6AAA" w14:paraId="6AB210F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97AEF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Role / AccessRight</w:t>
            </w:r>
          </w:p>
        </w:tc>
        <w:tc>
          <w:tcPr>
            <w:tcW w:w="4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DF983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nomRôle</w:t>
            </w:r>
            <w:proofErr w:type="gramEnd"/>
            <w:r>
              <w:rPr>
                <w:sz w:val="18"/>
                <w:szCs w:val="18"/>
              </w:rPr>
              <w:t>, permissions</w:t>
            </w:r>
          </w:p>
        </w:tc>
        <w:tc>
          <w:tcPr>
            <w:tcW w:w="28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A1CD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Utilisateurs.</w:t>
            </w:r>
          </w:p>
        </w:tc>
      </w:tr>
      <w:tr w:rsidR="007E6AAA" w14:paraId="5B754E5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0D267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AuditLog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4A5FD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acteur</w:t>
            </w:r>
            <w:proofErr w:type="gramEnd"/>
            <w:r>
              <w:rPr>
                <w:sz w:val="18"/>
                <w:szCs w:val="18"/>
              </w:rPr>
              <w:t>, action, cible, date, IP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0BC52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Traçabilité des actions sensibles.</w:t>
            </w:r>
          </w:p>
        </w:tc>
      </w:tr>
      <w:tr w:rsidR="007E6AAA" w14:paraId="68C8B04E" w14:textId="77777777">
        <w:tblPrEx>
          <w:tblBorders>
            <w:top w:val="none" w:sz="0" w:space="0" w:color="auto"/>
            <w:left w:val="single" w:sz="24" w:space="0" w:color="2D2E83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4"/>
            <w:shd w:val="clear" w:color="auto" w:fill="E9EA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E4BFE95" w14:textId="77777777" w:rsidR="007E6AAA" w:rsidRDefault="00000000">
            <w:pPr>
              <w:spacing w:after="60"/>
            </w:pPr>
            <w:r>
              <w:rPr>
                <w:b/>
                <w:bCs/>
                <w:color w:val="2D2E83"/>
                <w:sz w:val="20"/>
                <w:szCs w:val="20"/>
              </w:rPr>
              <w:t>Portabilité SQL / MongoDB</w:t>
            </w:r>
          </w:p>
          <w:p w14:paraId="047267D5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Le même schéma Prisma fonctionne en SQL (tables) et en MongoDB (collections). Les identifiants et relations sont déclarés de façon compatible.</w:t>
            </w:r>
          </w:p>
          <w:p w14:paraId="340617B8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Les champs de type liste (ex. préfixes d’une règle d’affiliation) sont modélisés de manière portable (table de liaison en SQL, tableau en MongoDB).</w:t>
            </w:r>
          </w:p>
        </w:tc>
      </w:tr>
    </w:tbl>
    <w:p w14:paraId="76207E98" w14:textId="77777777" w:rsidR="007E6AAA" w:rsidRDefault="00000000">
      <w:r>
        <w:br w:type="page"/>
      </w:r>
    </w:p>
    <w:p w14:paraId="57A57A63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9" w:name="_Toc235528083"/>
      <w:proofErr w:type="gramStart"/>
      <w:r>
        <w:rPr>
          <w:color w:val="F39200"/>
        </w:rPr>
        <w:lastRenderedPageBreak/>
        <w:t xml:space="preserve">5  </w:t>
      </w:r>
      <w:r>
        <w:t>Modules</w:t>
      </w:r>
      <w:proofErr w:type="gramEnd"/>
      <w:r>
        <w:t xml:space="preserve"> fonctionnels &amp; routes API</w:t>
      </w:r>
      <w:bookmarkEnd w:id="9"/>
    </w:p>
    <w:p w14:paraId="02551AD6" w14:textId="77777777" w:rsidR="007E6AAA" w:rsidRDefault="00000000">
      <w:pPr>
        <w:spacing w:after="140" w:line="276" w:lineRule="auto"/>
        <w:jc w:val="both"/>
      </w:pPr>
      <w:r>
        <w:t>Chaque module expose des routes REST documentées automatiquement dans Swagger. Les accès sont contrôlés par rôle. La liste ci-dessous est normative (les noms exacts peuvent être ajustés à l’implémentation, mais la couverture doit être respectée).</w:t>
      </w:r>
    </w:p>
    <w:p w14:paraId="15F32251" w14:textId="77777777" w:rsidR="007E6AAA" w:rsidRDefault="00000000">
      <w:pPr>
        <w:pStyle w:val="Titre2"/>
        <w:spacing w:before="260" w:after="120"/>
      </w:pPr>
      <w:bookmarkStart w:id="10" w:name="_Toc235528084"/>
      <w:proofErr w:type="gramStart"/>
      <w:r>
        <w:t>5.1  Authentification</w:t>
      </w:r>
      <w:proofErr w:type="gramEnd"/>
      <w:r>
        <w:t xml:space="preserve"> (auth)</w:t>
      </w:r>
      <w:bookmarkEnd w:id="10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1422"/>
        <w:gridCol w:w="4834"/>
      </w:tblGrid>
      <w:tr w:rsidR="007E6AAA" w14:paraId="2F422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8351A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9EF5A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801F6B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6AAA" w14:paraId="79B3BC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47734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/auth/register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DC7E8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public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AC3BB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Inscription (mobile) : pays + numéro.</w:t>
            </w:r>
          </w:p>
        </w:tc>
      </w:tr>
      <w:tr w:rsidR="007E6AAA" w14:paraId="6AA5D4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211C5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/auth/otp/request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0AC2E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public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A0CB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Envoi d’un OTP au numéro (durée de vie courte).</w:t>
            </w:r>
          </w:p>
        </w:tc>
      </w:tr>
      <w:tr w:rsidR="007E6AAA" w14:paraId="1941C2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4797E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/auth/otp/verify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CC42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public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9F8F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Vérification OTP → jetons d’accès/rafraîchissement.</w:t>
            </w:r>
          </w:p>
        </w:tc>
      </w:tr>
      <w:tr w:rsidR="007E6AAA" w14:paraId="774AD0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AF17E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/auth/login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F1909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public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032D5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Connexion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 xml:space="preserve"> + mot de passe (admin/partenaire).</w:t>
            </w:r>
          </w:p>
        </w:tc>
      </w:tr>
      <w:tr w:rsidR="007E6AAA" w14:paraId="450F77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05DEA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/auth/refresh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F8AA3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auth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664A2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Renouvellement du jeton d’accès.</w:t>
            </w:r>
          </w:p>
        </w:tc>
      </w:tr>
      <w:tr w:rsidR="007E6AAA" w14:paraId="2F26F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3F750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/auth/password/forgot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3BCE8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public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3126F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Demande de réinitialisation par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6AAA" w14:paraId="23D8EA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5AB44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/auth/password/reset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7FD2F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public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8D7BB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Réinitialisation via jeton reçu par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E6AAA" w14:paraId="72AAAB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22B47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/auth/logout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31BBB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auth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BC61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Révocation du jeton de rafraîchissement.</w:t>
            </w:r>
          </w:p>
        </w:tc>
      </w:tr>
    </w:tbl>
    <w:p w14:paraId="18835813" w14:textId="77777777" w:rsidR="007E6AAA" w:rsidRDefault="00000000">
      <w:pPr>
        <w:pStyle w:val="Titre2"/>
        <w:spacing w:before="260" w:after="120"/>
      </w:pPr>
      <w:bookmarkStart w:id="11" w:name="_Toc235528085"/>
      <w:proofErr w:type="gramStart"/>
      <w:r>
        <w:t>5.2  Utilisateurs</w:t>
      </w:r>
      <w:proofErr w:type="gramEnd"/>
      <w:r>
        <w:t xml:space="preserve"> (users)</w:t>
      </w:r>
      <w:bookmarkEnd w:id="11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1564"/>
        <w:gridCol w:w="4747"/>
      </w:tblGrid>
      <w:tr w:rsidR="007E6AAA" w14:paraId="12A0A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69877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3AC41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3F4BC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6AAA" w14:paraId="742E46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D5814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/users/me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8C62A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71D5E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Profil de l’utilisateur courant + KPI personnels.</w:t>
            </w:r>
          </w:p>
        </w:tc>
      </w:tr>
      <w:tr w:rsidR="007E6AAA" w14:paraId="4463A1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1AB86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PATCH /users/me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E0F05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2F667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Mise à jour du profil.</w:t>
            </w:r>
          </w:p>
        </w:tc>
      </w:tr>
      <w:tr w:rsidR="007E6AAA" w14:paraId="27B66D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8AB41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/users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EAEA9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/partner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F5F4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Liste paginée (partenaire : périmètre restreint).</w:t>
            </w:r>
          </w:p>
        </w:tc>
      </w:tr>
      <w:tr w:rsidR="007E6AAA" w14:paraId="5F5359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CD6DB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/users/{id}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B50E5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/partner</w:t>
            </w:r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B4A04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Détail d’un utilisateur.</w:t>
            </w:r>
          </w:p>
        </w:tc>
      </w:tr>
      <w:tr w:rsidR="007E6AAA" w14:paraId="589FC0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5884A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PATCH /users/{id}/status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A4B4F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FA07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Activer / suspendre.</w:t>
            </w:r>
          </w:p>
        </w:tc>
      </w:tr>
    </w:tbl>
    <w:p w14:paraId="03B06AEC" w14:textId="77777777" w:rsidR="007E6AAA" w:rsidRDefault="00000000">
      <w:pPr>
        <w:pStyle w:val="Titre2"/>
        <w:spacing w:before="260" w:after="120"/>
      </w:pPr>
      <w:bookmarkStart w:id="12" w:name="_Toc235528086"/>
      <w:proofErr w:type="gramStart"/>
      <w:r>
        <w:t>5.3  Numéros</w:t>
      </w:r>
      <w:proofErr w:type="gramEnd"/>
      <w:r>
        <w:t xml:space="preserve"> (numbers)</w:t>
      </w:r>
      <w:bookmarkEnd w:id="12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1564"/>
        <w:gridCol w:w="4747"/>
      </w:tblGrid>
      <w:tr w:rsidR="007E6AAA" w14:paraId="4D94A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0295AF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352C05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6A6AB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6AAA" w14:paraId="5D9935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4FAF6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/numbers/verify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C85E9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A0D9D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Vérifier un numéro (appelle l’IA) → score &amp; statut.</w:t>
            </w:r>
          </w:p>
        </w:tc>
      </w:tr>
      <w:tr w:rsidR="007E6AAA" w14:paraId="4CFBC7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E88CA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/numbers/batch-verify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2819A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2D114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Vérifier une liste (contacts) en une fois.</w:t>
            </w:r>
          </w:p>
        </w:tc>
      </w:tr>
      <w:tr w:rsidR="007E6AAA" w14:paraId="37E941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DE881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/numbers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D8A8E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/partner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966CA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Liste paginée + filtres (statut, pays, opérateur).</w:t>
            </w:r>
          </w:p>
        </w:tc>
      </w:tr>
      <w:tr w:rsidR="007E6AAA" w14:paraId="1C44C8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832DA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/numbers/{id}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3946F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/partner</w:t>
            </w:r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24BD9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Détail + historique de vérification.</w:t>
            </w:r>
          </w:p>
        </w:tc>
      </w:tr>
      <w:tr w:rsidR="007E6AAA" w14:paraId="652599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676F2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PATCH /numbers/{id}/status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DEBCB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/partner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BA855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Forcer un statut / réanalyse.</w:t>
            </w:r>
          </w:p>
        </w:tc>
      </w:tr>
    </w:tbl>
    <w:p w14:paraId="6E86332E" w14:textId="77777777" w:rsidR="007E6AAA" w:rsidRDefault="00000000">
      <w:pPr>
        <w:pStyle w:val="Titre2"/>
        <w:spacing w:before="260" w:after="120"/>
      </w:pPr>
      <w:bookmarkStart w:id="13" w:name="_Toc235528087"/>
      <w:proofErr w:type="gramStart"/>
      <w:r>
        <w:lastRenderedPageBreak/>
        <w:t>5.4  Signalements</w:t>
      </w:r>
      <w:proofErr w:type="gramEnd"/>
      <w:r>
        <w:t xml:space="preserve"> (reports)</w:t>
      </w:r>
      <w:bookmarkEnd w:id="13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1564"/>
        <w:gridCol w:w="4747"/>
      </w:tblGrid>
      <w:tr w:rsidR="007E6AAA" w14:paraId="24985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664CAB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817C2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44CF0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6AAA" w14:paraId="4F4528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75E46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/reports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86763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33780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Créer un signalement (motif + numéro).</w:t>
            </w:r>
          </w:p>
        </w:tc>
      </w:tr>
      <w:tr w:rsidR="007E6AAA" w14:paraId="0D8C94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E72FC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/reports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DF57A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/partner</w:t>
            </w:r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F318B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Liste des signalements (périmètre selon rôle).</w:t>
            </w:r>
          </w:p>
        </w:tc>
      </w:tr>
      <w:tr w:rsidR="007E6AAA" w14:paraId="2261C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2D812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PATCH /reports/{id}/validate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81A54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70904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Valider / clore un signalement.</w:t>
            </w:r>
          </w:p>
        </w:tc>
      </w:tr>
    </w:tbl>
    <w:p w14:paraId="1CDBE4E8" w14:textId="77777777" w:rsidR="007E6AAA" w:rsidRDefault="00000000">
      <w:pPr>
        <w:pStyle w:val="Titre2"/>
        <w:spacing w:before="260" w:after="120"/>
      </w:pPr>
      <w:bookmarkStart w:id="14" w:name="_Toc235528088"/>
      <w:proofErr w:type="gramStart"/>
      <w:r>
        <w:t>5.5  Transferts</w:t>
      </w:r>
      <w:proofErr w:type="gramEnd"/>
      <w:r>
        <w:t xml:space="preserve"> (transactions)</w:t>
      </w:r>
      <w:bookmarkEnd w:id="14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"/>
        <w:gridCol w:w="3209"/>
        <w:gridCol w:w="1417"/>
        <w:gridCol w:w="4819"/>
        <w:gridCol w:w="30"/>
      </w:tblGrid>
      <w:tr w:rsidR="007E6AAA" w14:paraId="243362D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blHeader/>
        </w:trPr>
        <w:tc>
          <w:tcPr>
            <w:tcW w:w="3200" w:type="dxa"/>
            <w:gridSpan w:val="2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96801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7D265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F32FA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6AAA" w14:paraId="2A89EA5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36031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/transactions/prepare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E1756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2086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Prépare le transfert : vérifie le numéro, renvoie le code USSD.</w:t>
            </w:r>
          </w:p>
        </w:tc>
      </w:tr>
      <w:tr w:rsidR="007E6AAA" w14:paraId="7A450C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F8338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/transactions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9A1A3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A96B9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Historique des transferts de l’utilisateur.</w:t>
            </w:r>
          </w:p>
        </w:tc>
      </w:tr>
      <w:tr w:rsidR="007E6AAA" w14:paraId="1E259F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09204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/transactions/{id}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E7534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305E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Détail d’un transfert.</w:t>
            </w:r>
          </w:p>
        </w:tc>
      </w:tr>
      <w:tr w:rsidR="007E6AAA" w14:paraId="4E8ECD8B" w14:textId="77777777">
        <w:tblPrEx>
          <w:tblBorders>
            <w:top w:val="none" w:sz="0" w:space="0" w:color="auto"/>
            <w:left w:val="single" w:sz="24" w:space="0" w:color="F39200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4"/>
            <w:shd w:val="clear" w:color="auto" w:fill="FDEBD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467702B" w14:textId="77777777" w:rsidR="007E6AAA" w:rsidRDefault="00000000">
            <w:pPr>
              <w:spacing w:after="60"/>
            </w:pPr>
            <w:r>
              <w:rPr>
                <w:b/>
                <w:bCs/>
                <w:color w:val="A05A00"/>
                <w:sz w:val="20"/>
                <w:szCs w:val="20"/>
              </w:rPr>
              <w:t>Le backend ne déplace pas d’argent</w:t>
            </w:r>
          </w:p>
          <w:p w14:paraId="2F46EA14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KWISMO génère et sécurise le code USSD ; la transaction financière réelle se déroule dans l’interface native de l’opérateur. Le backend ne stocke que des métadonnées (montant, statut, niveau de risque), jamais de code PIN.</w:t>
            </w:r>
          </w:p>
        </w:tc>
      </w:tr>
    </w:tbl>
    <w:p w14:paraId="577023E3" w14:textId="77777777" w:rsidR="007E6AAA" w:rsidRDefault="00000000">
      <w:pPr>
        <w:pStyle w:val="Titre2"/>
        <w:spacing w:before="260" w:after="120"/>
      </w:pPr>
      <w:bookmarkStart w:id="15" w:name="_Toc235528089"/>
      <w:proofErr w:type="gramStart"/>
      <w:r>
        <w:t>5.6  USSD</w:t>
      </w:r>
      <w:proofErr w:type="gramEnd"/>
      <w:r>
        <w:t xml:space="preserve"> : Pays / Opérateurs / Actions (ussd)</w:t>
      </w:r>
      <w:bookmarkEnd w:id="15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1422"/>
        <w:gridCol w:w="4834"/>
      </w:tblGrid>
      <w:tr w:rsidR="007E6AAA" w14:paraId="179152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DA5DE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0E66E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4C6F5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6AAA" w14:paraId="1BEB37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78D6C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/countries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946B4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A249C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Liste des pays (drapeaux/indicatifs) — Cameroun par défaut.</w:t>
            </w:r>
          </w:p>
        </w:tc>
      </w:tr>
      <w:tr w:rsidR="007E6AAA" w14:paraId="7F03D6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D50F7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</w:t>
            </w:r>
            <w:proofErr w:type="gramStart"/>
            <w:r>
              <w:rPr>
                <w:b/>
                <w:bCs/>
                <w:color w:val="2D2E83"/>
                <w:sz w:val="16"/>
                <w:szCs w:val="16"/>
              </w:rPr>
              <w:t>operators?</w:t>
            </w:r>
            <w:proofErr w:type="gramEnd"/>
            <w:r>
              <w:rPr>
                <w:b/>
                <w:bCs/>
                <w:color w:val="2D2E83"/>
                <w:sz w:val="16"/>
                <w:szCs w:val="16"/>
              </w:rPr>
              <w:t>country=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7EC4B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0EDE9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Opérateurs d’un pays.</w:t>
            </w:r>
          </w:p>
        </w:tc>
      </w:tr>
      <w:tr w:rsidR="007E6AAA" w14:paraId="66AF82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39C01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/ussd-</w:t>
            </w:r>
            <w:proofErr w:type="gramStart"/>
            <w:r>
              <w:rPr>
                <w:b/>
                <w:bCs/>
                <w:color w:val="2D2E83"/>
                <w:sz w:val="16"/>
                <w:szCs w:val="16"/>
              </w:rPr>
              <w:t>actions?</w:t>
            </w:r>
            <w:proofErr w:type="gramEnd"/>
            <w:r>
              <w:rPr>
                <w:b/>
                <w:bCs/>
                <w:color w:val="2D2E83"/>
                <w:sz w:val="16"/>
                <w:szCs w:val="16"/>
              </w:rPr>
              <w:t>operator=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4B3B2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E8BA0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Actions &amp; formats USSD d’un opérateur.</w:t>
            </w:r>
          </w:p>
        </w:tc>
      </w:tr>
      <w:tr w:rsidR="007E6AAA" w14:paraId="0A5D79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88CF7" w14:textId="77777777" w:rsidR="007E6AAA" w:rsidRPr="00D4522D" w:rsidRDefault="00000000">
            <w:pPr>
              <w:spacing w:line="250" w:lineRule="auto"/>
              <w:rPr>
                <w:lang w:val="en-CA"/>
              </w:rPr>
            </w:pPr>
            <w:r w:rsidRPr="00D4522D">
              <w:rPr>
                <w:b/>
                <w:bCs/>
                <w:color w:val="2D2E83"/>
                <w:sz w:val="16"/>
                <w:szCs w:val="16"/>
                <w:lang w:val="en-CA"/>
              </w:rPr>
              <w:t>POST /countries · /operators · /ussd-actions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4D1EB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61DAD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Création (CRUD complet réservé admin).</w:t>
            </w:r>
          </w:p>
        </w:tc>
      </w:tr>
      <w:tr w:rsidR="007E6AAA" w14:paraId="3DAEE1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99D4C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PATCH/DELETE …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44195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4A3DA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Édition / suppression (admin).</w:t>
            </w:r>
          </w:p>
        </w:tc>
      </w:tr>
    </w:tbl>
    <w:p w14:paraId="790516AA" w14:textId="77777777" w:rsidR="007E6AAA" w:rsidRDefault="00000000">
      <w:pPr>
        <w:pStyle w:val="Titre2"/>
        <w:spacing w:before="260" w:after="120"/>
      </w:pPr>
      <w:bookmarkStart w:id="16" w:name="_Toc235528090"/>
      <w:proofErr w:type="gramStart"/>
      <w:r>
        <w:t>5.7  Partenaires</w:t>
      </w:r>
      <w:proofErr w:type="gramEnd"/>
      <w:r>
        <w:t xml:space="preserve"> &amp; affiliation (partners)</w:t>
      </w:r>
      <w:bookmarkEnd w:id="16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"/>
        <w:gridCol w:w="3209"/>
        <w:gridCol w:w="1417"/>
        <w:gridCol w:w="4819"/>
        <w:gridCol w:w="30"/>
      </w:tblGrid>
      <w:tr w:rsidR="007E6AAA" w14:paraId="4C695D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blHeader/>
        </w:trPr>
        <w:tc>
          <w:tcPr>
            <w:tcW w:w="3200" w:type="dxa"/>
            <w:gridSpan w:val="2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36899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10A4B3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B4F2E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6AAA" w14:paraId="3C1A012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9624D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/partners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CC6AB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E456B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Liste des partenaires.</w:t>
            </w:r>
          </w:p>
        </w:tc>
      </w:tr>
      <w:tr w:rsidR="007E6AAA" w14:paraId="6F0BFB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B57B0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/partners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FD3F3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30963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Créer un partenaire.</w:t>
            </w:r>
          </w:p>
        </w:tc>
      </w:tr>
      <w:tr w:rsidR="007E6AAA" w14:paraId="1845A7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56942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/partners/{id}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3D52D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61522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Fiche partenaire + KPI.</w:t>
            </w:r>
          </w:p>
        </w:tc>
      </w:tr>
      <w:tr w:rsidR="007E6AAA" w14:paraId="2B62628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5ECC7" w14:textId="77777777" w:rsidR="007E6AAA" w:rsidRPr="00D4522D" w:rsidRDefault="00000000">
            <w:pPr>
              <w:spacing w:line="250" w:lineRule="auto"/>
              <w:rPr>
                <w:lang w:val="en-CA"/>
              </w:rPr>
            </w:pPr>
            <w:r w:rsidRPr="00D4522D">
              <w:rPr>
                <w:b/>
                <w:bCs/>
                <w:color w:val="2D2E83"/>
                <w:sz w:val="16"/>
                <w:szCs w:val="16"/>
                <w:lang w:val="en-CA"/>
              </w:rPr>
              <w:t>GET /partners/{id}/affiliation-rules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9752B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0DB85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Règles d’affiliation (pays + préfixes).</w:t>
            </w:r>
          </w:p>
        </w:tc>
      </w:tr>
      <w:tr w:rsidR="007E6AAA" w14:paraId="45314E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B578B" w14:textId="77777777" w:rsidR="007E6AAA" w:rsidRPr="00D4522D" w:rsidRDefault="00000000">
            <w:pPr>
              <w:spacing w:line="250" w:lineRule="auto"/>
              <w:rPr>
                <w:lang w:val="en-CA"/>
              </w:rPr>
            </w:pPr>
            <w:r w:rsidRPr="00D4522D">
              <w:rPr>
                <w:b/>
                <w:bCs/>
                <w:color w:val="2D2E83"/>
                <w:sz w:val="16"/>
                <w:szCs w:val="16"/>
                <w:lang w:val="en-CA"/>
              </w:rPr>
              <w:t>POST /partners/{id}/affiliation-rules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A62A9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7CE47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Ajouter une règle (ex. 69, 651-654, 68).</w:t>
            </w:r>
          </w:p>
        </w:tc>
      </w:tr>
      <w:tr w:rsidR="007E6AAA" w14:paraId="14E408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2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628B5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lastRenderedPageBreak/>
              <w:t>GET /partner/scope/*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472D6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partner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62F5E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Vues restreintes au périmètre du partenaire (numéros, users, KPI).</w:t>
            </w:r>
          </w:p>
        </w:tc>
      </w:tr>
      <w:tr w:rsidR="007E6AAA" w14:paraId="002F51AA" w14:textId="77777777">
        <w:tblPrEx>
          <w:tblBorders>
            <w:top w:val="none" w:sz="0" w:space="0" w:color="auto"/>
            <w:left w:val="single" w:sz="24" w:space="0" w:color="2FAC66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4"/>
            <w:shd w:val="clear" w:color="auto" w:fill="DFF3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30CBA1" w14:textId="77777777" w:rsidR="007E6AAA" w:rsidRDefault="00000000">
            <w:pPr>
              <w:spacing w:after="60"/>
            </w:pPr>
            <w:r>
              <w:rPr>
                <w:b/>
                <w:bCs/>
                <w:color w:val="1E7A45"/>
                <w:sz w:val="20"/>
                <w:szCs w:val="20"/>
              </w:rPr>
              <w:t>Cloisonnement des données partenaire</w:t>
            </w:r>
          </w:p>
          <w:p w14:paraId="6A008819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Le filtrage par périmètre est appliqué CÔTÉ SERVEUR à chaque requête d’un partenaire : il ne voit que les numéros correspondant à ses règles d’affiliation, et les utilisateurs/KPI qui en découlent.</w:t>
            </w:r>
          </w:p>
          <w:p w14:paraId="31721228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L’admin peut consulter tout périmètre (mode supervision). Un partenaire n’accède jamais aux données d’un autre.</w:t>
            </w:r>
          </w:p>
        </w:tc>
      </w:tr>
    </w:tbl>
    <w:p w14:paraId="325CA506" w14:textId="77777777" w:rsidR="007E6AAA" w:rsidRDefault="00000000">
      <w:pPr>
        <w:pStyle w:val="Titre2"/>
        <w:spacing w:before="260" w:after="120"/>
      </w:pPr>
      <w:bookmarkStart w:id="17" w:name="_Toc235528091"/>
      <w:proofErr w:type="gramStart"/>
      <w:r>
        <w:t>5.8  Alerte</w:t>
      </w:r>
      <w:proofErr w:type="gramEnd"/>
      <w:r>
        <w:t xml:space="preserve"> WhatsApp (whatsapp_alert)</w:t>
      </w:r>
      <w:bookmarkEnd w:id="17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1422"/>
        <w:gridCol w:w="4834"/>
      </w:tblGrid>
      <w:tr w:rsidR="007E6AAA" w14:paraId="74C4E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3AED9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790A1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042323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6AAA" w14:paraId="14AA7E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49816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/whatsapp-alerts/incident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B5523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E150E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Déclarer un compte WhatsApp piraté.</w:t>
            </w:r>
          </w:p>
        </w:tc>
      </w:tr>
      <w:tr w:rsidR="007E6AAA" w14:paraId="0D52BE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4E0FA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/whatsapp-alerts/broadcast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7D992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28E87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Diffuser l’alerte aux contacts sélectionnés.</w:t>
            </w:r>
          </w:p>
        </w:tc>
      </w:tr>
    </w:tbl>
    <w:p w14:paraId="3A6C2F81" w14:textId="77777777" w:rsidR="007E6AAA" w:rsidRDefault="00000000">
      <w:pPr>
        <w:pStyle w:val="Titre2"/>
        <w:spacing w:before="260" w:after="120"/>
      </w:pPr>
      <w:bookmarkStart w:id="18" w:name="_Toc235528092"/>
      <w:proofErr w:type="gramStart"/>
      <w:r>
        <w:t>5.9  Enquêtes</w:t>
      </w:r>
      <w:proofErr w:type="gramEnd"/>
      <w:r>
        <w:t>, KPI, droits, notifications</w:t>
      </w:r>
      <w:bookmarkEnd w:id="18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1422"/>
        <w:gridCol w:w="4834"/>
      </w:tblGrid>
      <w:tr w:rsidR="007E6AAA" w14:paraId="61D962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72F58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027C0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1AFFE" w14:textId="77777777" w:rsidR="007E6A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6AAA" w14:paraId="36B17E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2413F" w14:textId="77777777" w:rsidR="007E6AAA" w:rsidRPr="00D4522D" w:rsidRDefault="00000000">
            <w:pPr>
              <w:spacing w:line="250" w:lineRule="auto"/>
              <w:rPr>
                <w:lang w:val="en-CA"/>
              </w:rPr>
            </w:pPr>
            <w:r w:rsidRPr="00D4522D">
              <w:rPr>
                <w:b/>
                <w:bCs/>
                <w:color w:val="2D2E83"/>
                <w:sz w:val="16"/>
                <w:szCs w:val="16"/>
                <w:lang w:val="en-CA"/>
              </w:rPr>
              <w:t>GET /surveys/active · POST /surveys/{id}/answer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DF091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2CD0F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Récupérer et répondre à une enquête.</w:t>
            </w:r>
          </w:p>
        </w:tc>
      </w:tr>
      <w:tr w:rsidR="007E6AAA" w14:paraId="62AE9E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D740D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/kpi/global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9E94B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7C287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KPI globaux (dashboard admin).</w:t>
            </w:r>
          </w:p>
        </w:tc>
      </w:tr>
      <w:tr w:rsidR="007E6AAA" w14:paraId="52E3B7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50ABE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/kpi/partner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A0978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partner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A1065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KPI du partenaire.</w:t>
            </w:r>
          </w:p>
        </w:tc>
      </w:tr>
      <w:tr w:rsidR="007E6AAA" w14:paraId="34CAEC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CD3AE" w14:textId="77777777" w:rsidR="007E6AAA" w:rsidRPr="00D4522D" w:rsidRDefault="00000000">
            <w:pPr>
              <w:spacing w:line="250" w:lineRule="auto"/>
              <w:rPr>
                <w:lang w:val="en-CA"/>
              </w:rPr>
            </w:pPr>
            <w:r w:rsidRPr="00D4522D">
              <w:rPr>
                <w:b/>
                <w:bCs/>
                <w:color w:val="2D2E83"/>
                <w:sz w:val="16"/>
                <w:szCs w:val="16"/>
                <w:lang w:val="en-CA"/>
              </w:rPr>
              <w:t>GET/POST /roles · /access-rights</w:t>
            </w:r>
          </w:p>
        </w:tc>
        <w:tc>
          <w:tcPr>
            <w:tcW w:w="1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17C98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5D0E0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Gestion des rôles &amp; permissions.</w:t>
            </w:r>
          </w:p>
        </w:tc>
      </w:tr>
      <w:tr w:rsidR="007E6AAA" w14:paraId="6F17F4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B1842" w14:textId="77777777" w:rsidR="007E6AAA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/notifications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E7FB4" w14:textId="77777777" w:rsidR="007E6AAA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61388" w14:textId="77777777" w:rsidR="007E6AAA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Notifications de l’utilisateur (texte FR/EN).</w:t>
            </w:r>
          </w:p>
        </w:tc>
      </w:tr>
    </w:tbl>
    <w:p w14:paraId="050D2B74" w14:textId="77777777" w:rsidR="007E6AAA" w:rsidRDefault="00000000">
      <w:r>
        <w:br w:type="page"/>
      </w:r>
    </w:p>
    <w:p w14:paraId="6548A208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19" w:name="_Toc235528093"/>
      <w:proofErr w:type="gramStart"/>
      <w:r>
        <w:rPr>
          <w:color w:val="F39200"/>
        </w:rPr>
        <w:lastRenderedPageBreak/>
        <w:t xml:space="preserve">6  </w:t>
      </w:r>
      <w:r>
        <w:t>Documentation</w:t>
      </w:r>
      <w:proofErr w:type="gramEnd"/>
      <w:r>
        <w:t xml:space="preserve"> Swagger / OpenAPI</w:t>
      </w:r>
      <w:bookmarkEnd w:id="19"/>
    </w:p>
    <w:p w14:paraId="2E7D0325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Génération automatique</w:t>
      </w:r>
      <w:r>
        <w:t xml:space="preserve"> : FastAPI produit la spécification OpenAPI à partir du code (routes, schémas Pydantic, codes de réponse). Aucune documentation manuelle à maintenir.</w:t>
      </w:r>
    </w:p>
    <w:p w14:paraId="0CEE6E0C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Interfaces</w:t>
      </w:r>
      <w:r>
        <w:t xml:space="preserve"> : Swagger UI (interactif, « essayer la requête ») et ReDoc (lecture) exposés sur /docs et /redoc, protégés en production.</w:t>
      </w:r>
    </w:p>
    <w:p w14:paraId="32008067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Contenu documenté</w:t>
      </w:r>
      <w:r>
        <w:t xml:space="preserve"> : chaque route porte un résumé, une description, les paramètres, le corps attendu, les réponses possibles et les erreurs ; les modèles décrivent chaque champ.</w:t>
      </w:r>
    </w:p>
    <w:p w14:paraId="584AB22E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Regroupement</w:t>
      </w:r>
      <w:r>
        <w:t xml:space="preserve"> : les routes sont étiquetées par module (tags) pour une navigation claire dans Swagger.</w:t>
      </w:r>
    </w:p>
    <w:p w14:paraId="44A2627B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Export</w:t>
      </w:r>
      <w:r>
        <w:t xml:space="preserve"> : la spécification </w:t>
      </w:r>
      <w:proofErr w:type="gramStart"/>
      <w:r>
        <w:t>openapi.json</w:t>
      </w:r>
      <w:proofErr w:type="gramEnd"/>
      <w:r>
        <w:t xml:space="preserve"> est exportable pour générer des clients (web/mobile) et pour l’intégration partenaire.</w:t>
      </w:r>
    </w:p>
    <w:p w14:paraId="24A8E55F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20" w:name="_Toc235528094"/>
      <w:proofErr w:type="gramStart"/>
      <w:r>
        <w:rPr>
          <w:color w:val="F39200"/>
        </w:rPr>
        <w:t xml:space="preserve">7  </w:t>
      </w:r>
      <w:r>
        <w:t>Internationalisation</w:t>
      </w:r>
      <w:proofErr w:type="gramEnd"/>
      <w:r>
        <w:t xml:space="preserve"> (FR / EN)</w:t>
      </w:r>
      <w:bookmarkEnd w:id="20"/>
    </w:p>
    <w:p w14:paraId="7E743B6F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Portée</w:t>
      </w:r>
      <w:r>
        <w:t xml:space="preserve"> : tous les textes destinés à l’humain — notifications, alertes, messages d’erreur, libellés d’enquête, </w:t>
      </w:r>
      <w:proofErr w:type="gramStart"/>
      <w:r>
        <w:t>emails</w:t>
      </w:r>
      <w:proofErr w:type="gramEnd"/>
      <w:r>
        <w:t xml:space="preserve"> de réinitialisation — sont disponibles en français et en anglais.</w:t>
      </w:r>
    </w:p>
    <w:p w14:paraId="4C190DEE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Sélection de langue</w:t>
      </w:r>
      <w:r>
        <w:t xml:space="preserve"> : déterminée par l’en-tête de requête (Accept-Language) ou la préférence enregistrée de l’utilisateur ; défaut = français.</w:t>
      </w:r>
    </w:p>
    <w:p w14:paraId="78383FFF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Organisation</w:t>
      </w:r>
      <w:r>
        <w:t xml:space="preserve"> : fichiers locales/fr.json et locales/en.json, avec des clés hiérarchiques (ex. </w:t>
      </w:r>
      <w:proofErr w:type="gramStart"/>
      <w:r>
        <w:t>errors.invalid</w:t>
      </w:r>
      <w:proofErr w:type="gramEnd"/>
      <w:r>
        <w:t xml:space="preserve">_otp, </w:t>
      </w:r>
      <w:proofErr w:type="gramStart"/>
      <w:r>
        <w:t>notifications.suspicious</w:t>
      </w:r>
      <w:proofErr w:type="gramEnd"/>
      <w:r>
        <w:t>_call). Aucun texte en dur dans le code.</w:t>
      </w:r>
    </w:p>
    <w:p w14:paraId="20FBFFFE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Interpolation &amp; pluriels</w:t>
      </w:r>
      <w:r>
        <w:t xml:space="preserve"> : variables insérées dans les messages (ex. « Numéro invalide pour {country} ») ; gestion des pluriels.</w:t>
      </w:r>
    </w:p>
    <w:p w14:paraId="7E986B8B" w14:textId="77777777" w:rsidR="007E6AAA" w:rsidRDefault="00000000">
      <w:r>
        <w:br w:type="page"/>
      </w:r>
    </w:p>
    <w:p w14:paraId="38629D25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21" w:name="_Toc235528095"/>
      <w:proofErr w:type="gramStart"/>
      <w:r>
        <w:rPr>
          <w:color w:val="F39200"/>
        </w:rPr>
        <w:lastRenderedPageBreak/>
        <w:t xml:space="preserve">8  </w:t>
      </w:r>
      <w:r>
        <w:t>Sécurité</w:t>
      </w:r>
      <w:proofErr w:type="gramEnd"/>
      <w:r>
        <w:t xml:space="preserve"> renforcée (défense en profondeur)</w:t>
      </w:r>
      <w:bookmarkEnd w:id="21"/>
    </w:p>
    <w:p w14:paraId="3A3372C7" w14:textId="77777777" w:rsidR="007E6AAA" w:rsidRDefault="00000000">
      <w:pPr>
        <w:spacing w:after="140" w:line="276" w:lineRule="auto"/>
        <w:jc w:val="both"/>
      </w:pPr>
      <w:r>
        <w:t>La sécurité est traitée à plusieurs niveaux : identité, données, application et réseau. Aucun niveau ne suffit seul ; leur combinaison assure la robustesse.</w:t>
      </w:r>
    </w:p>
    <w:p w14:paraId="62C70A11" w14:textId="77777777" w:rsidR="007E6AAA" w:rsidRDefault="00000000">
      <w:pPr>
        <w:pStyle w:val="Titre2"/>
        <w:spacing w:before="260" w:after="120"/>
      </w:pPr>
      <w:bookmarkStart w:id="22" w:name="_Toc235528096"/>
      <w:proofErr w:type="gramStart"/>
      <w:r>
        <w:t>8.1  Authentification</w:t>
      </w:r>
      <w:proofErr w:type="gramEnd"/>
      <w:r>
        <w:t xml:space="preserve"> &amp; identité</w:t>
      </w:r>
      <w:bookmarkEnd w:id="22"/>
    </w:p>
    <w:p w14:paraId="08DA1CD9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JWT</w:t>
      </w:r>
      <w:r>
        <w:t xml:space="preserve"> : jeton d’accès de courte durée + jeton de rafraîchissement de plus longue durée, rotatif et révocable.</w:t>
      </w:r>
    </w:p>
    <w:p w14:paraId="32916F2C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Mots de passe</w:t>
      </w:r>
      <w:r>
        <w:t xml:space="preserve"> : hachés avec Argon2 (résistant aux attaques par force brute et GPU) ; jamais stockés en clair.</w:t>
      </w:r>
    </w:p>
    <w:p w14:paraId="1062C99F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OTP</w:t>
      </w:r>
      <w:r>
        <w:t xml:space="preserve"> : à durée de vie courte, à usage unique, invalidé après vérification.</w:t>
      </w:r>
    </w:p>
    <w:p w14:paraId="38DD9C0C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Anti-force brute</w:t>
      </w:r>
      <w:r>
        <w:t xml:space="preserve"> : limitation des tentatives de connexion et d’OTP, verrouillage temporaire progressif.</w:t>
      </w:r>
    </w:p>
    <w:p w14:paraId="28B8568C" w14:textId="77777777" w:rsidR="007E6AAA" w:rsidRDefault="00000000">
      <w:pPr>
        <w:pStyle w:val="Titre2"/>
        <w:spacing w:before="260" w:after="120"/>
      </w:pPr>
      <w:bookmarkStart w:id="23" w:name="_Toc235528097"/>
      <w:proofErr w:type="gramStart"/>
      <w:r>
        <w:t>8.2  Autorisation</w:t>
      </w:r>
      <w:proofErr w:type="gramEnd"/>
      <w:r>
        <w:t xml:space="preserve"> (RBAC)</w:t>
      </w:r>
      <w:bookmarkEnd w:id="23"/>
    </w:p>
    <w:p w14:paraId="42DCF8B3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Contrôle d’accès basé sur les rôles (user / partner / admin) appliqué par des dépendances FastAPI sur chaque route protégée.</w:t>
      </w:r>
    </w:p>
    <w:p w14:paraId="323DBB94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Cloisonnement du périmètre partenaire appliqué systématiquement côté serveur (filtrage des données selon les règles d’affiliation).</w:t>
      </w:r>
    </w:p>
    <w:p w14:paraId="0551DA5C" w14:textId="77777777" w:rsidR="007E6AAA" w:rsidRDefault="00000000">
      <w:pPr>
        <w:pStyle w:val="Titre2"/>
        <w:spacing w:before="260" w:after="120"/>
      </w:pPr>
      <w:bookmarkStart w:id="24" w:name="_Toc235528098"/>
      <w:proofErr w:type="gramStart"/>
      <w:r>
        <w:t>8.3  Protection</w:t>
      </w:r>
      <w:proofErr w:type="gramEnd"/>
      <w:r>
        <w:t xml:space="preserve"> des données</w:t>
      </w:r>
      <w:bookmarkEnd w:id="24"/>
    </w:p>
    <w:p w14:paraId="3032BABD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Chiffrement en transit</w:t>
      </w:r>
      <w:r>
        <w:t xml:space="preserve"> : HTTPS/TLS obligatoire ; redirection du trafic non chiffré.</w:t>
      </w:r>
    </w:p>
    <w:p w14:paraId="2532AACC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Chiffrement au repos</w:t>
      </w:r>
      <w:r>
        <w:t xml:space="preserve"> : chiffrement des champs sensibles (ex. données personnelles) et de la base selon l’hébergement.</w:t>
      </w:r>
    </w:p>
    <w:p w14:paraId="23CF0830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Minimisation</w:t>
      </w:r>
      <w:r>
        <w:t xml:space="preserve"> : on ne collecte que le nécessaire ; les données transmises à l’IA sont réduites au strict besoin (voir §9).</w:t>
      </w:r>
    </w:p>
    <w:p w14:paraId="5879D621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Journal d’audit</w:t>
      </w:r>
      <w:r>
        <w:t xml:space="preserve"> : traçabilité des actions sensibles (qui, quoi, quand, IP) pour investigation.</w:t>
      </w:r>
    </w:p>
    <w:p w14:paraId="55188EC6" w14:textId="77777777" w:rsidR="007E6AAA" w:rsidRDefault="00000000">
      <w:pPr>
        <w:pStyle w:val="Titre2"/>
        <w:spacing w:before="260" w:after="120"/>
      </w:pPr>
      <w:bookmarkStart w:id="25" w:name="_Toc235528099"/>
      <w:proofErr w:type="gramStart"/>
      <w:r>
        <w:t>8.4  Sécurité</w:t>
      </w:r>
      <w:proofErr w:type="gramEnd"/>
      <w:r>
        <w:t xml:space="preserve"> applicative</w:t>
      </w:r>
      <w:bookmarkEnd w:id="25"/>
    </w:p>
    <w:p w14:paraId="2A2A1327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Validation stricte des entrées (Pydantic) : rejet de toute donnée malformée avant traitement.</w:t>
      </w:r>
    </w:p>
    <w:p w14:paraId="2B2D951D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Protection contre les injections (requêtes paramétrées via Prisma), XSS et CSRF (jetons, en-têtes adaptés).</w:t>
      </w:r>
    </w:p>
    <w:p w14:paraId="0EBE3A20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En-têtes de sécurité HTTP (HSTS, X-Content-Type-Options, X-Frame-Options, Content-Security-Policy).</w:t>
      </w:r>
    </w:p>
    <w:p w14:paraId="32C8A721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lastRenderedPageBreak/>
        <w:t>CORS strict : seules les origines du web et du mobile officiels sont autorisées.</w:t>
      </w:r>
    </w:p>
    <w:p w14:paraId="56C07E18" w14:textId="77777777" w:rsidR="007E6AAA" w:rsidRDefault="00000000">
      <w:pPr>
        <w:pStyle w:val="Titre2"/>
        <w:spacing w:before="260" w:after="120"/>
      </w:pPr>
      <w:bookmarkStart w:id="26" w:name="_Toc235528100"/>
      <w:proofErr w:type="gramStart"/>
      <w:r>
        <w:t>8.5  Protection</w:t>
      </w:r>
      <w:proofErr w:type="gramEnd"/>
      <w:r>
        <w:t xml:space="preserve"> réseau &amp; anti-attaques</w:t>
      </w:r>
      <w:bookmarkEnd w:id="26"/>
    </w:p>
    <w:p w14:paraId="31B24825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Limitation de débit (rate limiting)</w:t>
      </w:r>
      <w:r>
        <w:t xml:space="preserve"> : plafonnement des requêtes par IP/utilisateur pour absorber les abus.</w:t>
      </w:r>
    </w:p>
    <w:p w14:paraId="1F867CB9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Reverse proxy / WAF</w:t>
      </w:r>
      <w:r>
        <w:t xml:space="preserve"> : passage par un proxy (ex. Nginx) et un pare-feu applicatif filtrant les requêtes malveillantes.</w:t>
      </w:r>
    </w:p>
    <w:p w14:paraId="056B916A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Atténuation DDoS</w:t>
      </w:r>
      <w:r>
        <w:t xml:space="preserve"> : protection au niveau de l’hébergeur/CDN contre les attaques par déni de service.</w:t>
      </w:r>
    </w:p>
    <w:p w14:paraId="0AB63892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Isolation</w:t>
      </w:r>
      <w:r>
        <w:t xml:space="preserve"> : services conteneurisés, base non exposée publiquement, secrets hors du code (variables d’environnement / coffre).</w:t>
      </w:r>
    </w:p>
    <w:p w14:paraId="0BA50133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Signature des échanges partenaires</w:t>
      </w:r>
      <w:r>
        <w:t xml:space="preserve"> : les webhooks/appels sortants vers les partenaires sont signés pour garantir l’authenticité.</w:t>
      </w:r>
    </w:p>
    <w:p w14:paraId="542BB1EE" w14:textId="77777777" w:rsidR="007E6AAA" w:rsidRDefault="00000000">
      <w:pPr>
        <w:pStyle w:val="Titre2"/>
        <w:spacing w:before="260" w:after="120"/>
      </w:pPr>
      <w:bookmarkStart w:id="27" w:name="_Toc235528101"/>
      <w:proofErr w:type="gramStart"/>
      <w:r>
        <w:t>8.6  Conformité</w:t>
      </w:r>
      <w:bookmarkEnd w:id="27"/>
      <w:proofErr w:type="gramEnd"/>
    </w:p>
    <w:p w14:paraId="2B55DE57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Traitement des données personnelles conforme à la réglementation locale en vigueur ; le consentement des utilisateurs est recueilli par l’application mobile (hors périmètre de ce document).</w:t>
      </w:r>
    </w:p>
    <w:p w14:paraId="183F7225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Politique de conservation et de suppression des données définie ; possibilité d’anonymisation.</w:t>
      </w:r>
    </w:p>
    <w:p w14:paraId="550AB44E" w14:textId="77777777" w:rsidR="007E6AAA" w:rsidRDefault="00000000">
      <w:r>
        <w:br w:type="page"/>
      </w:r>
    </w:p>
    <w:p w14:paraId="16B3FD63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28" w:name="_Toc235528102"/>
      <w:proofErr w:type="gramStart"/>
      <w:r>
        <w:rPr>
          <w:color w:val="F39200"/>
        </w:rPr>
        <w:lastRenderedPageBreak/>
        <w:t xml:space="preserve">9  </w:t>
      </w:r>
      <w:r>
        <w:t>Communication</w:t>
      </w:r>
      <w:proofErr w:type="gramEnd"/>
      <w:r>
        <w:t xml:space="preserve"> avec le service IA</w:t>
      </w:r>
      <w:bookmarkEnd w:id="28"/>
    </w:p>
    <w:p w14:paraId="120C8BC5" w14:textId="77777777" w:rsidR="007E6AAA" w:rsidRDefault="00000000">
      <w:pPr>
        <w:spacing w:after="140" w:line="276" w:lineRule="auto"/>
        <w:jc w:val="both"/>
      </w:pPr>
      <w:r>
        <w:t xml:space="preserve">Le service IA est un service Python séparé (voir cahier des charges dédié). Il </w:t>
      </w:r>
      <w:r>
        <w:rPr>
          <w:b/>
          <w:bCs/>
        </w:rPr>
        <w:t>ne se connecte jamais directement à la base de données</w:t>
      </w:r>
      <w:r>
        <w:t xml:space="preserve"> : le backend est son unique interlocuteur. Deux modes de communication coexistent.</w:t>
      </w:r>
    </w:p>
    <w:p w14:paraId="065ABF04" w14:textId="77777777" w:rsidR="007E6AAA" w:rsidRDefault="00000000">
      <w:pPr>
        <w:pStyle w:val="Titre2"/>
        <w:spacing w:before="260" w:after="120"/>
      </w:pPr>
      <w:bookmarkStart w:id="29" w:name="_Toc235528103"/>
      <w:proofErr w:type="gramStart"/>
      <w:r>
        <w:t>9.1  Mode</w:t>
      </w:r>
      <w:proofErr w:type="gramEnd"/>
      <w:r>
        <w:t xml:space="preserve"> synchrone — prédiction en temps réel</w:t>
      </w:r>
      <w:bookmarkEnd w:id="29"/>
    </w:p>
    <w:p w14:paraId="625EA3A4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Lors d’une vérification de numéro, le backend appelle le service IA (POST /predict) avec les caractéristiques nécessaires et reçoit un score de risque et un statut.</w:t>
      </w:r>
    </w:p>
    <w:p w14:paraId="63B8A457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Robustesse</w:t>
      </w:r>
      <w:r>
        <w:t xml:space="preserve"> : délai maximal (timeout) défini ; en cas d’indisponibilité de l’IA, repli sur les règles expertes du backend (voir cahier IA) pour ne jamais bloquer l’utilisateur.</w:t>
      </w:r>
    </w:p>
    <w:p w14:paraId="3D858EAC" w14:textId="77777777" w:rsidR="007E6AAA" w:rsidRDefault="00000000">
      <w:pPr>
        <w:pStyle w:val="Titre2"/>
        <w:spacing w:before="260" w:after="120"/>
      </w:pPr>
      <w:bookmarkStart w:id="30" w:name="_Toc235528104"/>
      <w:proofErr w:type="gramStart"/>
      <w:r>
        <w:t>9.2  Mode</w:t>
      </w:r>
      <w:proofErr w:type="gramEnd"/>
      <w:r>
        <w:t xml:space="preserve"> asynchrone — apprentissage continu</w:t>
      </w:r>
      <w:bookmarkEnd w:id="30"/>
    </w:p>
    <w:p w14:paraId="47BF39FF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À chaque signalement/vérification, le backend transmet la donnée au service IA (file d’attente) qui met à jour son apprentissage et renvoie, le cas échéant, des statuts mis à jour que le backend enregistre.</w:t>
      </w:r>
    </w:p>
    <w:p w14:paraId="0E20B97E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Aucune intervention manuelle d’administrateur : l’entraînement est déclenché automatiquement, conformément aux diagrammes du projet.</w:t>
      </w:r>
    </w:p>
    <w:p w14:paraId="1878BFB0" w14:textId="77777777" w:rsidR="007E6AAA" w:rsidRDefault="00000000">
      <w:pPr>
        <w:pStyle w:val="Titre2"/>
        <w:spacing w:before="260" w:after="120"/>
      </w:pPr>
      <w:bookmarkStart w:id="31" w:name="_Toc235528105"/>
      <w:proofErr w:type="gramStart"/>
      <w:r>
        <w:t>9.3  Contrat</w:t>
      </w:r>
      <w:proofErr w:type="gramEnd"/>
      <w:r>
        <w:t xml:space="preserve"> d’échange &amp; modèle partagé dans le dépôt Git</w:t>
      </w:r>
      <w:bookmarkEnd w:id="31"/>
    </w:p>
    <w:p w14:paraId="6B5E7D28" w14:textId="77777777" w:rsidR="007E6AAA" w:rsidRDefault="00000000">
      <w:pPr>
        <w:spacing w:after="140" w:line="276" w:lineRule="auto"/>
        <w:jc w:val="both"/>
      </w:pPr>
      <w:r>
        <w:t xml:space="preserve">Le backend et le service IA vivent dans </w:t>
      </w:r>
      <w:r>
        <w:rPr>
          <w:b/>
          <w:bCs/>
          <w:color w:val="2D2E83"/>
        </w:rPr>
        <w:t>le même dépôt Git</w:t>
      </w:r>
      <w:r>
        <w:t>, dans deux sous-dossiers distincts (kwismo-backend/ et kwismo-ai/). Pour que la communication soit sans friction, trois règles sont imposées.</w:t>
      </w:r>
    </w:p>
    <w:p w14:paraId="22F4468B" w14:textId="77777777" w:rsidR="007E6AAA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Contrat d’API partagé</w:t>
      </w:r>
      <w:r>
        <w:t xml:space="preserve"> : les formats d’échange (entrée /predict, sortie score/statut) sont définis par des schémas communs, documentés dans les deux Swagger, afin qu’aucun des deux services ne « devine » le format de l’autre.</w:t>
      </w:r>
    </w:p>
    <w:p w14:paraId="10430243" w14:textId="77777777" w:rsidR="007E6AAA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Artefact de modèle accessible</w:t>
      </w:r>
      <w:r>
        <w:t xml:space="preserve"> : quand l’entraînement produit un nouveau modèle, celui-ci est publié dans un emplacement convenu (dossier partagé monté en volume, ou registre d’artefacts). Le service IA le charge pour l’inférence ; le backend n’a pas besoin du fichier de modèle, il appelle seulement l’API IA.</w:t>
      </w:r>
    </w:p>
    <w:p w14:paraId="75BA8DEB" w14:textId="77777777" w:rsidR="007E6AAA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Orchestration commune</w:t>
      </w:r>
      <w:r>
        <w:t xml:space="preserve"> : un docker-compose à la racine du dépôt démarre ensemble le backend, la base et le service IA, avec les variables (AI_SERVICE_URL, chemins de modèle) déjà câblées. Un seul « docker compose up » lève tout l’environnement.</w:t>
      </w:r>
    </w:p>
    <w:tbl>
      <w:tblPr>
        <w:tblW w:w="5000" w:type="pct"/>
        <w:tblBorders>
          <w:left w:val="single" w:sz="24" w:space="0" w:color="2FAC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6"/>
      </w:tblGrid>
      <w:tr w:rsidR="007E6AAA" w14:paraId="5003CF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FF3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0E35873" w14:textId="77777777" w:rsidR="007E6AAA" w:rsidRDefault="00000000">
            <w:pPr>
              <w:spacing w:after="60"/>
            </w:pPr>
            <w:r>
              <w:rPr>
                <w:b/>
                <w:bCs/>
                <w:color w:val="1E7A45"/>
                <w:sz w:val="20"/>
                <w:szCs w:val="20"/>
              </w:rPr>
              <w:t>Résultat attendu</w:t>
            </w:r>
          </w:p>
          <w:p w14:paraId="7CC4F2CA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Dès que l’entraînement se termine, le nouveau modèle est immédiatement exploitable par le service IA, et donc par le backend, sans manipulation manuelle ni incompatibilité de format.</w:t>
            </w:r>
          </w:p>
          <w:p w14:paraId="2AA3265F" w14:textId="77777777" w:rsidR="007E6AAA" w:rsidRDefault="00000000">
            <w:pPr>
              <w:spacing w:after="40"/>
            </w:pPr>
            <w:r>
              <w:rPr>
                <w:sz w:val="19"/>
                <w:szCs w:val="19"/>
              </w:rPr>
              <w:t>Les deux dossiers restent indépendants (équipes séparées) mais parlent le même langage grâce au contrat d’API partagé et à l’orchestration commune.</w:t>
            </w:r>
          </w:p>
        </w:tc>
      </w:tr>
    </w:tbl>
    <w:p w14:paraId="3D2BC719" w14:textId="77777777" w:rsidR="007E6AAA" w:rsidRDefault="00000000">
      <w:r>
        <w:br w:type="page"/>
      </w:r>
    </w:p>
    <w:p w14:paraId="5381D097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32" w:name="_Toc235528106"/>
      <w:proofErr w:type="gramStart"/>
      <w:r>
        <w:rPr>
          <w:color w:val="F39200"/>
        </w:rPr>
        <w:lastRenderedPageBreak/>
        <w:t xml:space="preserve">10  </w:t>
      </w:r>
      <w:r>
        <w:t>Observabilité</w:t>
      </w:r>
      <w:proofErr w:type="gramEnd"/>
      <w:r>
        <w:t>, tests &amp; déploiement</w:t>
      </w:r>
      <w:bookmarkEnd w:id="32"/>
    </w:p>
    <w:p w14:paraId="362C07C6" w14:textId="77777777" w:rsidR="007E6AAA" w:rsidRDefault="00000000">
      <w:pPr>
        <w:pStyle w:val="Titre2"/>
        <w:spacing w:before="260" w:after="120"/>
      </w:pPr>
      <w:bookmarkStart w:id="33" w:name="_Toc235528107"/>
      <w:proofErr w:type="gramStart"/>
      <w:r>
        <w:t>10.1  Journalisation</w:t>
      </w:r>
      <w:proofErr w:type="gramEnd"/>
      <w:r>
        <w:t xml:space="preserve"> &amp; supervision</w:t>
      </w:r>
      <w:bookmarkEnd w:id="33"/>
    </w:p>
    <w:p w14:paraId="52330561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Journaux structurés (JSON) : requêtes, erreurs, événements de sécurité, appels IA.</w:t>
      </w:r>
    </w:p>
    <w:p w14:paraId="0A623AE6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Points de contrôle de santé (/health) pour la supervision et l’orchestration.</w:t>
      </w:r>
    </w:p>
    <w:p w14:paraId="757A492A" w14:textId="77777777" w:rsidR="007E6AAA" w:rsidRDefault="00000000">
      <w:pPr>
        <w:pStyle w:val="Titre2"/>
        <w:spacing w:before="260" w:after="120"/>
      </w:pPr>
      <w:bookmarkStart w:id="34" w:name="_Toc235528108"/>
      <w:proofErr w:type="gramStart"/>
      <w:r>
        <w:t>10.2  Tests</w:t>
      </w:r>
      <w:bookmarkEnd w:id="34"/>
      <w:proofErr w:type="gramEnd"/>
    </w:p>
    <w:p w14:paraId="6F55D8A0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Tests unitaires de la logique métier (services) ; tests d’intégration des routes (pytest + httpx).</w:t>
      </w:r>
    </w:p>
    <w:p w14:paraId="4B646271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Jeux de données de test (seed) reproductibles ; base SQLite en mémoire pour les tests rapides.</w:t>
      </w:r>
    </w:p>
    <w:p w14:paraId="65216DAD" w14:textId="77777777" w:rsidR="007E6AAA" w:rsidRDefault="00000000">
      <w:pPr>
        <w:pStyle w:val="Titre2"/>
        <w:spacing w:before="260" w:after="120"/>
      </w:pPr>
      <w:bookmarkStart w:id="35" w:name="_Toc235528109"/>
      <w:proofErr w:type="gramStart"/>
      <w:r>
        <w:t>10.3  Déploiement</w:t>
      </w:r>
      <w:bookmarkEnd w:id="35"/>
      <w:proofErr w:type="gramEnd"/>
    </w:p>
    <w:p w14:paraId="4E7983E0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Conteneurisation Docker ; base non exposée publiquement ; secrets en variables d’environnement.</w:t>
      </w:r>
    </w:p>
    <w:p w14:paraId="26C51626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Migrations Prisma appliquées au déploiement ; bascule SQLite → PostgreSQL par simple changement de DATABASE_URL.</w:t>
      </w:r>
    </w:p>
    <w:p w14:paraId="71EF6740" w14:textId="77777777" w:rsidR="007E6AAA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Intégration continue : lint, types et tests exécutés à chaque poussée de code.</w:t>
      </w:r>
    </w:p>
    <w:p w14:paraId="0858EBFA" w14:textId="77777777" w:rsidR="007E6AAA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36" w:name="_Toc235528110"/>
      <w:proofErr w:type="gramStart"/>
      <w:r>
        <w:rPr>
          <w:color w:val="F39200"/>
        </w:rPr>
        <w:t xml:space="preserve">11  </w:t>
      </w:r>
      <w:r>
        <w:t>Livrables</w:t>
      </w:r>
      <w:proofErr w:type="gramEnd"/>
      <w:r>
        <w:t xml:space="preserve"> attendus</w:t>
      </w:r>
      <w:bookmarkEnd w:id="36"/>
    </w:p>
    <w:p w14:paraId="566194AF" w14:textId="77777777" w:rsidR="007E6AAA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API FastAPI complète couvrant tous les modules du §5, protégée par la sécurité du §8.</w:t>
      </w:r>
    </w:p>
    <w:p w14:paraId="7891E69F" w14:textId="77777777" w:rsidR="007E6AAA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Schéma Prisma + migrations, fonctionnant sur SQLite (dev) et prêt pour PostgreSQL (prod).</w:t>
      </w:r>
    </w:p>
    <w:p w14:paraId="104954EE" w14:textId="77777777" w:rsidR="007E6AAA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Documentation Swagger/OpenAPI générée et exportable (</w:t>
      </w:r>
      <w:proofErr w:type="gramStart"/>
      <w:r>
        <w:t>openapi.json</w:t>
      </w:r>
      <w:proofErr w:type="gramEnd"/>
      <w:r>
        <w:t>).</w:t>
      </w:r>
    </w:p>
    <w:p w14:paraId="684BE8FA" w14:textId="77777777" w:rsidR="007E6AAA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Fichiers de traduction FR/EN complets.</w:t>
      </w:r>
    </w:p>
    <w:p w14:paraId="4335B9B4" w14:textId="77777777" w:rsidR="007E6AAA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Passerelle IA (synchrone + asynchrone) avec contrat d’API partagé et repli par règles.</w:t>
      </w:r>
    </w:p>
    <w:p w14:paraId="7F220408" w14:textId="77777777" w:rsidR="007E6AAA" w:rsidRPr="00D4522D" w:rsidRDefault="00000000">
      <w:pPr>
        <w:pStyle w:val="Paragraphedeliste"/>
        <w:numPr>
          <w:ilvl w:val="0"/>
          <w:numId w:val="3"/>
        </w:numPr>
        <w:spacing w:after="70" w:line="268" w:lineRule="auto"/>
        <w:rPr>
          <w:lang w:val="en-CA"/>
        </w:rPr>
      </w:pPr>
      <w:r w:rsidRPr="00D4522D">
        <w:rPr>
          <w:lang w:val="en-CA"/>
        </w:rPr>
        <w:t>Configuration Docker + docker-compose orchestrant backend + base + service IA.</w:t>
      </w:r>
    </w:p>
    <w:p w14:paraId="57019859" w14:textId="77777777" w:rsidR="007E6AAA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Suite de tests (unitaires + intégration) et jeux de données de seed.</w:t>
      </w:r>
    </w:p>
    <w:p w14:paraId="733E6878" w14:textId="77777777" w:rsidR="007E6AAA" w:rsidRDefault="007E6AAA">
      <w:pPr>
        <w:spacing w:after="120"/>
      </w:pPr>
    </w:p>
    <w:p w14:paraId="3C3AB124" w14:textId="77777777" w:rsidR="007E6AAA" w:rsidRDefault="007E6AAA">
      <w:pPr>
        <w:pBdr>
          <w:bottom w:val="single" w:sz="8" w:space="2" w:color="D8DEE6"/>
        </w:pBdr>
        <w:spacing w:before="60" w:after="120"/>
      </w:pPr>
    </w:p>
    <w:p w14:paraId="32AA7B22" w14:textId="77777777" w:rsidR="007E6AAA" w:rsidRDefault="00000000">
      <w:pPr>
        <w:spacing w:before="120"/>
        <w:jc w:val="center"/>
      </w:pPr>
      <w:r>
        <w:rPr>
          <w:i/>
          <w:iCs/>
          <w:color w:val="5A6B7B"/>
          <w:sz w:val="18"/>
          <w:szCs w:val="18"/>
        </w:rPr>
        <w:t>Fin du cahier des charges — KWISMO Backend</w:t>
      </w:r>
    </w:p>
    <w:sectPr w:rsidR="007E6AAA">
      <w:headerReference w:type="default" r:id="rId8"/>
      <w:footerReference w:type="default" r:id="rId9"/>
      <w:pgSz w:w="11906" w:h="16838"/>
      <w:pgMar w:top="160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99A8" w14:textId="77777777" w:rsidR="00415586" w:rsidRDefault="00415586">
      <w:r>
        <w:separator/>
      </w:r>
    </w:p>
  </w:endnote>
  <w:endnote w:type="continuationSeparator" w:id="0">
    <w:p w14:paraId="142CDB77" w14:textId="77777777" w:rsidR="00415586" w:rsidRDefault="00415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BB9C2" w14:textId="77777777" w:rsidR="007E6AAA" w:rsidRDefault="00000000">
    <w:pPr>
      <w:pBdr>
        <w:top w:val="single" w:sz="6" w:space="6" w:color="D8DEE6"/>
      </w:pBdr>
      <w:tabs>
        <w:tab w:val="right" w:pos="9026"/>
      </w:tabs>
    </w:pPr>
    <w:r>
      <w:rPr>
        <w:color w:val="8A97A6"/>
        <w:sz w:val="15"/>
        <w:szCs w:val="15"/>
      </w:rPr>
      <w:t>KWISMO — Confidentiel</w:t>
    </w:r>
    <w:r>
      <w:rPr>
        <w:sz w:val="15"/>
        <w:szCs w:val="15"/>
      </w:rPr>
      <w:tab/>
    </w:r>
    <w:proofErr w:type="gramStart"/>
    <w:r>
      <w:rPr>
        <w:color w:val="8A97A6"/>
        <w:sz w:val="15"/>
        <w:szCs w:val="15"/>
      </w:rPr>
      <w:t>Backend  ·</w:t>
    </w:r>
    <w:proofErr w:type="gramEnd"/>
    <w:r>
      <w:rPr>
        <w:color w:val="8A97A6"/>
        <w:sz w:val="15"/>
        <w:szCs w:val="15"/>
      </w:rPr>
      <w:t xml:space="preserve">  Page </w:t>
    </w:r>
    <w:r>
      <w:rPr>
        <w:b/>
        <w:bCs/>
        <w:color w:val="5A6B7B"/>
        <w:sz w:val="15"/>
        <w:szCs w:val="15"/>
      </w:rPr>
      <w:fldChar w:fldCharType="begin"/>
    </w:r>
    <w:r>
      <w:rPr>
        <w:b/>
        <w:bCs/>
        <w:color w:val="5A6B7B"/>
        <w:sz w:val="15"/>
        <w:szCs w:val="15"/>
      </w:rPr>
      <w:instrText>PAGE</w:instrText>
    </w:r>
    <w:r>
      <w:rPr>
        <w:b/>
        <w:bCs/>
        <w:color w:val="5A6B7B"/>
        <w:sz w:val="15"/>
        <w:szCs w:val="15"/>
      </w:rPr>
      <w:fldChar w:fldCharType="separate"/>
    </w:r>
    <w:r w:rsidR="00D4522D">
      <w:rPr>
        <w:b/>
        <w:bCs/>
        <w:noProof/>
        <w:color w:val="5A6B7B"/>
        <w:sz w:val="15"/>
        <w:szCs w:val="15"/>
      </w:rPr>
      <w:t>1</w:t>
    </w:r>
    <w:r>
      <w:rPr>
        <w:b/>
        <w:bCs/>
        <w:color w:val="5A6B7B"/>
        <w:sz w:val="15"/>
        <w:szCs w:val="15"/>
      </w:rPr>
      <w:fldChar w:fldCharType="end"/>
    </w:r>
    <w:r>
      <w:rPr>
        <w:color w:val="8A97A6"/>
        <w:sz w:val="15"/>
        <w:szCs w:val="15"/>
      </w:rPr>
      <w:t xml:space="preserve"> / </w:t>
    </w:r>
    <w:r>
      <w:rPr>
        <w:color w:val="5A6B7B"/>
        <w:sz w:val="15"/>
        <w:szCs w:val="15"/>
      </w:rPr>
      <w:fldChar w:fldCharType="begin"/>
    </w:r>
    <w:r>
      <w:rPr>
        <w:color w:val="5A6B7B"/>
        <w:sz w:val="15"/>
        <w:szCs w:val="15"/>
      </w:rPr>
      <w:instrText>NUMPAGES</w:instrText>
    </w:r>
    <w:r>
      <w:rPr>
        <w:color w:val="5A6B7B"/>
        <w:sz w:val="15"/>
        <w:szCs w:val="15"/>
      </w:rPr>
      <w:fldChar w:fldCharType="separate"/>
    </w:r>
    <w:r w:rsidR="00D4522D">
      <w:rPr>
        <w:noProof/>
        <w:color w:val="5A6B7B"/>
        <w:sz w:val="15"/>
        <w:szCs w:val="15"/>
      </w:rPr>
      <w:t>1</w:t>
    </w:r>
    <w:r>
      <w:rPr>
        <w:color w:val="5A6B7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39AED" w14:textId="77777777" w:rsidR="00415586" w:rsidRDefault="00415586">
      <w:r>
        <w:separator/>
      </w:r>
    </w:p>
  </w:footnote>
  <w:footnote w:type="continuationSeparator" w:id="0">
    <w:p w14:paraId="63636613" w14:textId="77777777" w:rsidR="00415586" w:rsidRDefault="00415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6" w:space="0" w:color="D8DEE6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437"/>
      <w:gridCol w:w="7069"/>
    </w:tblGrid>
    <w:tr w:rsidR="007E6AAA" w14:paraId="68033734" w14:textId="77777777">
      <w:tblPrEx>
        <w:tblCellMar>
          <w:top w:w="0" w:type="dxa"/>
          <w:bottom w:w="0" w:type="dxa"/>
        </w:tblCellMar>
      </w:tblPrEx>
      <w:tc>
        <w:tcPr>
          <w:tcW w:w="2400" w:type="dxa"/>
          <w:vAlign w:val="center"/>
        </w:tcPr>
        <w:p w14:paraId="2CA8F39B" w14:textId="77777777" w:rsidR="007E6AAA" w:rsidRDefault="00000000">
          <w:r>
            <w:rPr>
              <w:noProof/>
            </w:rPr>
            <w:drawing>
              <wp:inline distT="0" distB="0" distL="0" distR="0" wp14:anchorId="2449A318" wp14:editId="38028B5D">
                <wp:extent cx="1123950" cy="342900"/>
                <wp:effectExtent l="0" t="0" r="0" b="0"/>
                <wp:docPr id="1079278106" name="Image 1079278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60" w:type="dxa"/>
          <w:vAlign w:val="center"/>
        </w:tcPr>
        <w:p w14:paraId="689645DE" w14:textId="77777777" w:rsidR="007E6AAA" w:rsidRDefault="00000000">
          <w:pPr>
            <w:jc w:val="right"/>
          </w:pPr>
          <w:r>
            <w:rPr>
              <w:caps/>
              <w:color w:val="5A6B7B"/>
              <w:sz w:val="15"/>
              <w:szCs w:val="15"/>
            </w:rPr>
            <w:t>Cahier des charges — Backend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54F75"/>
    <w:multiLevelType w:val="hybridMultilevel"/>
    <w:tmpl w:val="082CC9FE"/>
    <w:lvl w:ilvl="0" w:tplc="CED42CC4">
      <w:start w:val="1"/>
      <w:numFmt w:val="decimal"/>
      <w:lvlText w:val="%1."/>
      <w:lvlJc w:val="left"/>
      <w:pPr>
        <w:ind w:left="360" w:hanging="260"/>
      </w:pPr>
      <w:rPr>
        <w:b/>
        <w:bCs/>
        <w:color w:val="2D2E83"/>
      </w:rPr>
    </w:lvl>
    <w:lvl w:ilvl="1" w:tplc="B420C9B8">
      <w:start w:val="1"/>
      <w:numFmt w:val="lowerLetter"/>
      <w:lvlText w:val="%2)"/>
      <w:lvlJc w:val="left"/>
      <w:pPr>
        <w:ind w:left="760" w:hanging="260"/>
      </w:pPr>
    </w:lvl>
    <w:lvl w:ilvl="2" w:tplc="0F548C8E">
      <w:numFmt w:val="decimal"/>
      <w:lvlText w:val=""/>
      <w:lvlJc w:val="left"/>
    </w:lvl>
    <w:lvl w:ilvl="3" w:tplc="A87E6218">
      <w:numFmt w:val="decimal"/>
      <w:lvlText w:val=""/>
      <w:lvlJc w:val="left"/>
    </w:lvl>
    <w:lvl w:ilvl="4" w:tplc="A300C4C2">
      <w:numFmt w:val="decimal"/>
      <w:lvlText w:val=""/>
      <w:lvlJc w:val="left"/>
    </w:lvl>
    <w:lvl w:ilvl="5" w:tplc="FB72D7D4">
      <w:numFmt w:val="decimal"/>
      <w:lvlText w:val=""/>
      <w:lvlJc w:val="left"/>
    </w:lvl>
    <w:lvl w:ilvl="6" w:tplc="7BD2A358">
      <w:numFmt w:val="decimal"/>
      <w:lvlText w:val=""/>
      <w:lvlJc w:val="left"/>
    </w:lvl>
    <w:lvl w:ilvl="7" w:tplc="EC44AA86">
      <w:numFmt w:val="decimal"/>
      <w:lvlText w:val=""/>
      <w:lvlJc w:val="left"/>
    </w:lvl>
    <w:lvl w:ilvl="8" w:tplc="6E3A115E">
      <w:numFmt w:val="decimal"/>
      <w:lvlText w:val=""/>
      <w:lvlJc w:val="left"/>
    </w:lvl>
  </w:abstractNum>
  <w:abstractNum w:abstractNumId="1" w15:restartNumberingAfterBreak="0">
    <w:nsid w:val="496C005F"/>
    <w:multiLevelType w:val="hybridMultilevel"/>
    <w:tmpl w:val="323CA5B0"/>
    <w:lvl w:ilvl="0" w:tplc="DA2A2BF2">
      <w:start w:val="1"/>
      <w:numFmt w:val="bullet"/>
      <w:lvlText w:val="●"/>
      <w:lvlJc w:val="left"/>
      <w:pPr>
        <w:ind w:left="720" w:hanging="360"/>
      </w:pPr>
    </w:lvl>
    <w:lvl w:ilvl="1" w:tplc="60BEDCBE">
      <w:start w:val="1"/>
      <w:numFmt w:val="bullet"/>
      <w:lvlText w:val="○"/>
      <w:lvlJc w:val="left"/>
      <w:pPr>
        <w:ind w:left="1440" w:hanging="360"/>
      </w:pPr>
    </w:lvl>
    <w:lvl w:ilvl="2" w:tplc="21AAE264">
      <w:start w:val="1"/>
      <w:numFmt w:val="bullet"/>
      <w:lvlText w:val="■"/>
      <w:lvlJc w:val="left"/>
      <w:pPr>
        <w:ind w:left="2160" w:hanging="360"/>
      </w:pPr>
    </w:lvl>
    <w:lvl w:ilvl="3" w:tplc="9C7CB3E8">
      <w:start w:val="1"/>
      <w:numFmt w:val="bullet"/>
      <w:lvlText w:val="●"/>
      <w:lvlJc w:val="left"/>
      <w:pPr>
        <w:ind w:left="2880" w:hanging="360"/>
      </w:pPr>
    </w:lvl>
    <w:lvl w:ilvl="4" w:tplc="5596C3B0">
      <w:start w:val="1"/>
      <w:numFmt w:val="bullet"/>
      <w:lvlText w:val="○"/>
      <w:lvlJc w:val="left"/>
      <w:pPr>
        <w:ind w:left="3600" w:hanging="360"/>
      </w:pPr>
    </w:lvl>
    <w:lvl w:ilvl="5" w:tplc="D354BEC8">
      <w:start w:val="1"/>
      <w:numFmt w:val="bullet"/>
      <w:lvlText w:val="■"/>
      <w:lvlJc w:val="left"/>
      <w:pPr>
        <w:ind w:left="4320" w:hanging="360"/>
      </w:pPr>
    </w:lvl>
    <w:lvl w:ilvl="6" w:tplc="75385D8E">
      <w:start w:val="1"/>
      <w:numFmt w:val="bullet"/>
      <w:lvlText w:val="●"/>
      <w:lvlJc w:val="left"/>
      <w:pPr>
        <w:ind w:left="5040" w:hanging="360"/>
      </w:pPr>
    </w:lvl>
    <w:lvl w:ilvl="7" w:tplc="9842845C">
      <w:start w:val="1"/>
      <w:numFmt w:val="bullet"/>
      <w:lvlText w:val="●"/>
      <w:lvlJc w:val="left"/>
      <w:pPr>
        <w:ind w:left="5760" w:hanging="360"/>
      </w:pPr>
    </w:lvl>
    <w:lvl w:ilvl="8" w:tplc="529EF7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7D1ED0"/>
    <w:multiLevelType w:val="hybridMultilevel"/>
    <w:tmpl w:val="A7808DB0"/>
    <w:lvl w:ilvl="0" w:tplc="013EFBEE">
      <w:start w:val="1"/>
      <w:numFmt w:val="bullet"/>
      <w:lvlText w:val="•"/>
      <w:lvlJc w:val="left"/>
      <w:pPr>
        <w:ind w:left="340" w:hanging="200"/>
      </w:pPr>
      <w:rPr>
        <w:color w:val="F39200"/>
      </w:rPr>
    </w:lvl>
    <w:lvl w:ilvl="1" w:tplc="60E498F4">
      <w:start w:val="1"/>
      <w:numFmt w:val="bullet"/>
      <w:lvlText w:val="–"/>
      <w:lvlJc w:val="left"/>
      <w:pPr>
        <w:ind w:left="700" w:hanging="200"/>
      </w:pPr>
      <w:rPr>
        <w:color w:val="2FAC66"/>
      </w:rPr>
    </w:lvl>
    <w:lvl w:ilvl="2" w:tplc="5A26D4C4">
      <w:start w:val="1"/>
      <w:numFmt w:val="bullet"/>
      <w:lvlText w:val="▪"/>
      <w:lvlJc w:val="left"/>
      <w:pPr>
        <w:ind w:left="1060" w:hanging="200"/>
      </w:pPr>
      <w:rPr>
        <w:color w:val="2D2E83"/>
      </w:rPr>
    </w:lvl>
    <w:lvl w:ilvl="3" w:tplc="20FA7FB6">
      <w:numFmt w:val="decimal"/>
      <w:lvlText w:val=""/>
      <w:lvlJc w:val="left"/>
    </w:lvl>
    <w:lvl w:ilvl="4" w:tplc="FC1673FC">
      <w:numFmt w:val="decimal"/>
      <w:lvlText w:val=""/>
      <w:lvlJc w:val="left"/>
    </w:lvl>
    <w:lvl w:ilvl="5" w:tplc="EA069176">
      <w:numFmt w:val="decimal"/>
      <w:lvlText w:val=""/>
      <w:lvlJc w:val="left"/>
    </w:lvl>
    <w:lvl w:ilvl="6" w:tplc="D70EBD66">
      <w:numFmt w:val="decimal"/>
      <w:lvlText w:val=""/>
      <w:lvlJc w:val="left"/>
    </w:lvl>
    <w:lvl w:ilvl="7" w:tplc="8926F81C">
      <w:numFmt w:val="decimal"/>
      <w:lvlText w:val=""/>
      <w:lvlJc w:val="left"/>
    </w:lvl>
    <w:lvl w:ilvl="8" w:tplc="01DCCF6E">
      <w:numFmt w:val="decimal"/>
      <w:lvlText w:val=""/>
      <w:lvlJc w:val="left"/>
    </w:lvl>
  </w:abstractNum>
  <w:num w:numId="1" w16cid:durableId="2007706989">
    <w:abstractNumId w:val="1"/>
    <w:lvlOverride w:ilvl="0">
      <w:startOverride w:val="1"/>
    </w:lvlOverride>
  </w:num>
  <w:num w:numId="2" w16cid:durableId="1226532698">
    <w:abstractNumId w:val="2"/>
    <w:lvlOverride w:ilvl="0">
      <w:startOverride w:val="1"/>
    </w:lvlOverride>
  </w:num>
  <w:num w:numId="3" w16cid:durableId="1743022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AA"/>
    <w:rsid w:val="00415586"/>
    <w:rsid w:val="005321B2"/>
    <w:rsid w:val="007E6AAA"/>
    <w:rsid w:val="00D4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63BD0"/>
  <w15:docId w15:val="{E49094FD-3ED2-440A-A233-F4D06036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color w:val="20222E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2D2E83"/>
      <w:sz w:val="30"/>
      <w:szCs w:val="3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2D2E83"/>
      <w:sz w:val="25"/>
      <w:szCs w:val="25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2FAC66"/>
      <w:sz w:val="22"/>
      <w:szCs w:val="22"/>
    </w:rPr>
  </w:style>
  <w:style w:type="paragraph" w:styleId="Titre4">
    <w:name w:val="heading 4"/>
    <w:uiPriority w:val="9"/>
    <w:unhideWhenUsed/>
    <w:qFormat/>
    <w:pPr>
      <w:outlineLvl w:val="3"/>
    </w:pPr>
    <w:rPr>
      <w:b/>
      <w:bCs/>
      <w:sz w:val="20"/>
      <w:szCs w:val="20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D4522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4522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4106</Words>
  <Characters>22583</Characters>
  <Application>Microsoft Office Word</Application>
  <DocSecurity>0</DocSecurity>
  <Lines>188</Lines>
  <Paragraphs>53</Paragraphs>
  <ScaleCrop>false</ScaleCrop>
  <Company/>
  <LinksUpToDate>false</LinksUpToDate>
  <CharactersWithSpaces>26636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Backend</dc:title>
  <dc:creator>KWISMO</dc:creator>
  <dc:description>Backend hybride KWISMO</dc:description>
  <cp:lastModifiedBy>Brayan Weko</cp:lastModifiedBy>
  <cp:revision>2</cp:revision>
  <dcterms:created xsi:type="dcterms:W3CDTF">2026-07-21T00:51:00Z</dcterms:created>
  <dcterms:modified xsi:type="dcterms:W3CDTF">2026-07-21T11:08:00Z</dcterms:modified>
</cp:coreProperties>
</file>