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480"/>
        <w:jc w:val="center"/>
      </w:pPr>
      <w:r>
        <w:drawing>
          <wp:inline distT="0" distB="0" distL="0" distR="0">
            <wp:extent cx="3048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Poppins" w:cs="Poppins" w:eastAsia="Poppins" w:hAnsi="Poppins"/>
          <w:b/>
          <w:bCs/>
          <w:caps/>
          <w:color w:val="F39200"/>
          <w:sz w:val="24"/>
          <w:szCs w:val="24"/>
        </w:rPr>
        <w:t xml:space="preserve">CAHIER DES CHARGES</w:t>
      </w:r>
    </w:p>
    <w:p>
      <w:pPr>
        <w:spacing w:after="40"/>
        <w:jc w:val="center"/>
      </w:pPr>
      <w:r>
        <w:rPr>
          <w:rFonts w:ascii="Poppins" w:cs="Poppins" w:eastAsia="Poppins" w:hAnsi="Poppins"/>
          <w:b/>
          <w:bCs/>
          <w:color w:val="2D2E83"/>
          <w:sz w:val="52"/>
          <w:szCs w:val="52"/>
        </w:rPr>
        <w:t xml:space="preserve">Planification</w:t>
      </w:r>
    </w:p>
    <w:p>
      <w:pPr>
        <w:spacing w:after="40"/>
        <w:jc w:val="center"/>
      </w:pPr>
      <w:r>
        <w:rPr>
          <w:rFonts w:ascii="Poppins" w:cs="Poppins" w:eastAsia="Poppins" w:hAnsi="Poppins"/>
          <w:color w:val="5A6B7B"/>
          <w:sz w:val="24"/>
          <w:szCs w:val="24"/>
        </w:rPr>
        <w:t xml:space="preserve">Épics · Sprints · Tâches · Jira</w:t>
      </w:r>
    </w:p>
    <w:p>
      <w:pPr>
        <w:spacing w:after="40" w:before="200"/>
        <w:jc w:val="center"/>
      </w:pPr>
      <w:r>
        <w:rPr>
          <w:rFonts w:ascii="Poppins" w:cs="Poppins" w:eastAsia="Poppins" w:hAnsi="Poppins"/>
          <w:color w:val="2D2E83"/>
          <w:sz w:val="26"/>
          <w:szCs w:val="26"/>
        </w:rPr>
        <w:t xml:space="preserve">■</w:t>
      </w:r>
      <w:r>
        <w:rPr>
          <w:rFonts w:ascii="Poppins" w:cs="Poppins" w:eastAsia="Poppins" w:hAnsi="Poppins"/>
          <w:color w:val="F39200"/>
          <w:sz w:val="26"/>
          <w:szCs w:val="26"/>
        </w:rPr>
        <w:t xml:space="preserve"> ■</w:t>
      </w:r>
      <w:r>
        <w:rPr>
          <w:rFonts w:ascii="Poppins" w:cs="Poppins" w:eastAsia="Poppins" w:hAnsi="Poppins"/>
          <w:color w:val="2FAC66"/>
          <w:sz w:val="26"/>
          <w:szCs w:val="26"/>
        </w:rPr>
        <w:t xml:space="preserve"> ■</w:t>
      </w:r>
    </w:p>
    <w:p>
      <w:pPr>
        <w:spacing w:after="1400"/>
      </w:pPr>
    </w:p>
    <w:tbl>
      <w:tblPr>
        <w:tblW w:type="pct" w:w="80%"/>
        <w:jc w:val="center"/>
        <w:tblBorders>
          <w:top w:val="single" w:color="F39200" w:sz="8"/>
          <w:left w:val="none"/>
          <w:bottom w:val="single" w:color="F39200" w:sz="8"/>
          <w:right w:val="none"/>
          <w:insideH w:val="single" w:color="D8DEE6" w:sz="3"/>
          <w:insideV w:val="none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aps/>
                <w:color w:val="2D2E83"/>
                <w:sz w:val="18"/>
                <w:szCs w:val="18"/>
              </w:rPr>
              <w:t xml:space="preserve">Projet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KWISMO — Protection anti-fraude Mobile Money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aps/>
                <w:color w:val="2D2E83"/>
                <w:sz w:val="18"/>
                <w:szCs w:val="18"/>
              </w:rPr>
              <w:t xml:space="preserve">Document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Planification &amp; Ordonnancement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aps/>
                <w:color w:val="2D2E83"/>
                <w:sz w:val="18"/>
                <w:szCs w:val="18"/>
              </w:rPr>
              <w:t xml:space="preserve">Version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aps/>
                <w:color w:val="2D2E83"/>
                <w:sz w:val="18"/>
                <w:szCs w:val="18"/>
              </w:rPr>
              <w:t xml:space="preserve">Date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21 juillet 2026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aps/>
                <w:color w:val="2D2E83"/>
                <w:sz w:val="18"/>
                <w:szCs w:val="18"/>
              </w:rPr>
              <w:t xml:space="preserve">Équipe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6 personnes (1 designer, 1 backend, 1 frontend, 1 mobile, 2 data)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Poppins" w:cs="Poppins" w:eastAsia="Poppins" w:hAnsi="Poppins"/>
                <w:b/>
                <w:bCs/>
                <w:caps/>
                <w:color w:val="2D2E83"/>
                <w:sz w:val="18"/>
                <w:szCs w:val="18"/>
              </w:rPr>
              <w:t xml:space="preserve">Outil</w:t>
            </w:r>
          </w:p>
        </w:tc>
        <w:tc>
          <w:tcPr>
            <w:tcW w:type="dxa" w:w="616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Jira — sprints hebdomadaires (lun. → ven.)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pBdr>
          <w:bottom w:val="single" w:color="F39200" w:sz="14" w:space="6"/>
        </w:pBdr>
        <w:spacing w:after="160"/>
      </w:pPr>
      <w:r>
        <w:rPr>
          <w:rFonts w:ascii="Poppins" w:cs="Poppins" w:eastAsia="Poppins" w:hAnsi="Poppins"/>
          <w:b/>
          <w:bCs/>
          <w:color w:val="2D2E83"/>
          <w:sz w:val="30"/>
          <w:szCs w:val="30"/>
        </w:rPr>
        <w:t xml:space="preserve">Table des matières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Poppins" w:cs="Poppins" w:eastAsia="Poppins" w:hAnsi="Poppins"/>
          <w:b/>
          <w:bCs/>
          <w:color w:val="F39200"/>
          <w:sz w:val="30"/>
          <w:szCs w:val="30"/>
        </w:rPr>
        <w:t xml:space="preserve">1  </w:t>
      </w:r>
      <w:r>
        <w:rPr>
          <w:rFonts w:ascii="Poppins" w:cs="Poppins" w:eastAsia="Poppins" w:hAnsi="Poppins"/>
          <w:b/>
          <w:bCs/>
          <w:color w:val="2D2E83"/>
          <w:sz w:val="30"/>
          <w:szCs w:val="30"/>
        </w:rPr>
        <w:t xml:space="preserve">Présentation &amp; méthode</w:t>
      </w:r>
    </w:p>
    <w:p>
      <w:pPr>
        <w:spacing w:after="140" w:line="276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Ce document est le </w:t>
      </w:r>
      <w:r>
        <w:rPr>
          <w:rFonts w:ascii="Poppins" w:cs="Poppins" w:eastAsia="Poppins" w:hAnsi="Poppins"/>
          <w:b/>
          <w:bCs/>
          <w:i w:val="false"/>
          <w:iCs w:val="false"/>
          <w:color w:val="2D2E83"/>
          <w:sz w:val="21"/>
          <w:szCs w:val="21"/>
        </w:rPr>
        <w:t xml:space="preserve">plan de projet de KWISMO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, structuré pour l’outil </w:t>
      </w: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Jira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selon la hiérarchie </w:t>
      </w: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Épic → Task (Story) → Sous-tâche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. Il répartit le travail par jour, par sprint et par personne, en tenant compte des dépendances (tâches en parallèle et tâches bloquantes). Un fichier CSV d’import Jira accompagne ce document.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1.1  Cadre temporel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Démarrage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lundi 20 juillet 2026.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Sprints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d’une semaine, du lundi au vendredi (5 jours ouvrés).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Durée totale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environ 3 mois — 1 semaine de conception/maquette, 3 semaines de développement, 1 semaine de déploiement/lancement, puis maintenance/acquisition jusqu’à mi-septembre et une semaine de préparation de la présentation.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1.2  Équipe (6 personnes)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69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Responsabilité principale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Designer</w:t>
            </w:r>
          </w:p>
        </w:tc>
        <w:tc>
          <w:tcPr>
            <w:tcW w:type="dxa" w:w="69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Design system, maquette Figma, puis branding, réseaux sociaux, affiches, animations et acquisition.</w:t>
            </w:r>
          </w:p>
        </w:tc>
      </w:tr>
      <w:tr>
        <w:tc>
          <w:tcPr>
            <w:tcW w:type="dxa" w:w="2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Dev Backend</w:t>
            </w:r>
          </w:p>
        </w:tc>
        <w:tc>
          <w:tcPr>
            <w:tcW w:type="dxa" w:w="69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API FastAPI, base Prisma, sécurité, passerelle IA, déploiement.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Dev Frontend</w:t>
            </w:r>
          </w:p>
        </w:tc>
        <w:tc>
          <w:tcPr>
            <w:tcW w:type="dxa" w:w="69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Site web : landing + espaces Admin/Partenaire (React/Vite/Tailwind).</w:t>
            </w:r>
          </w:p>
        </w:tc>
      </w:tr>
      <w:tr>
        <w:tc>
          <w:tcPr>
            <w:tcW w:type="dxa" w:w="2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Dev Mobile</w:t>
            </w:r>
          </w:p>
        </w:tc>
        <w:tc>
          <w:tcPr>
            <w:tcW w:type="dxa" w:w="69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Application React Native (Expo) iOS/Android.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Data 1 (Scoring)</w:t>
            </w:r>
          </w:p>
        </w:tc>
        <w:tc>
          <w:tcPr>
            <w:tcW w:type="dxa" w:w="69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Modèle A (scoring de numéros), pipeline de données, règles expertes.</w:t>
            </w:r>
          </w:p>
        </w:tc>
      </w:tr>
      <w:tr>
        <w:tc>
          <w:tcPr>
            <w:tcW w:type="dxa" w:w="24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Data 2 (NLP)</w:t>
            </w:r>
          </w:p>
        </w:tc>
        <w:tc>
          <w:tcPr>
            <w:tcW w:type="dxa" w:w="69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Modèle B (NLP africain), collecte &amp; annotation, surveillance des biais.</w:t>
            </w:r>
          </w:p>
        </w:tc>
      </w:tr>
    </w:tbl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1.3  Règles d’ordonnancement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La maquette bloque le développement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le web et le mobile ne démarrent qu’après la remise de la maquette (fin du Sprint 1).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Le backend est sur le chemin critique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l’IA (passerelle), le web et le mobile dépendent de ses endpoints. Les modules d’authentification sont livrés tôt pour débloquer les autres.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Web et mobile en 3 semaines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écrans statiques et UI/UX d’abord (S2), puis branchement progressif de l’API (S3 → S4), au rythme de livraison du backend.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/>
          <w:bCs/>
          <w:i w:val="false"/>
          <w:iCs w:val="false"/>
          <w:color w:val="20222E"/>
          <w:sz w:val="21"/>
          <w:szCs w:val="21"/>
        </w:rPr>
        <w:t xml:space="preserve">Les deux data en parallèle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 : Data 1 sur le scoring, Data 2 sur le NLP et l’annotation, dès le Sprint 2.</w:t>
      </w:r>
    </w:p>
    <w:p>
      <w:r>
        <w:br w:type="page"/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Poppins" w:cs="Poppins" w:eastAsia="Poppins" w:hAnsi="Poppins"/>
          <w:b/>
          <w:bCs/>
          <w:color w:val="F39200"/>
          <w:sz w:val="30"/>
          <w:szCs w:val="30"/>
        </w:rPr>
        <w:t xml:space="preserve">2  </w:t>
      </w:r>
      <w:r>
        <w:rPr>
          <w:rFonts w:ascii="Poppins" w:cs="Poppins" w:eastAsia="Poppins" w:hAnsi="Poppins"/>
          <w:b/>
          <w:bCs/>
          <w:color w:val="2D2E83"/>
          <w:sz w:val="30"/>
          <w:szCs w:val="30"/>
        </w:rPr>
        <w:t xml:space="preserve">Vue d’ensemble des sprints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900"/>
        <w:gridCol w:w="2100"/>
        <w:gridCol w:w="6360"/>
      </w:tblGrid>
      <w:tr>
        <w:trPr>
          <w:tblHeader/>
        </w:trPr>
        <w:tc>
          <w:tcPr>
            <w:tcW w:type="dxa" w:w="9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1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Objectif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S1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20 → 24 juil. 2026</w:t>
            </w:r>
          </w:p>
        </w:tc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Conception finalisée, maquette Figma, initialisation des projets.</w:t>
            </w:r>
          </w:p>
        </w:tc>
      </w:tr>
      <w:tr>
        <w:tc>
          <w:tcPr>
            <w:tcW w:type="dxa" w:w="9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S2</w:t>
            </w:r>
          </w:p>
        </w:tc>
        <w:tc>
          <w:tcPr>
            <w:tcW w:type="dxa" w:w="21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27 → 31 juil. 2026</w:t>
            </w:r>
          </w:p>
        </w:tc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Démarrage backend, IA, web statique, mobile statique.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S3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3 → 7 août 2026</w:t>
            </w:r>
          </w:p>
        </w:tc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Cœur métier, connexion front/mobile ↔ API, entraînement des modèles.</w:t>
            </w:r>
          </w:p>
        </w:tc>
      </w:tr>
      <w:tr>
        <w:tc>
          <w:tcPr>
            <w:tcW w:type="dxa" w:w="9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S4</w:t>
            </w:r>
          </w:p>
        </w:tc>
        <w:tc>
          <w:tcPr>
            <w:tcW w:type="dxa" w:w="21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10 → 14 août 2026</w:t>
            </w:r>
          </w:p>
        </w:tc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Finalisation, intégration complète, durcissement.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S5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17 → 21 août 2026</w:t>
            </w:r>
          </w:p>
        </w:tc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Tests bout en bout, déploiement, lancement public, premiers retours.</w:t>
            </w:r>
          </w:p>
        </w:tc>
      </w:tr>
      <w:tr>
        <w:tc>
          <w:tcPr>
            <w:tcW w:type="dxa" w:w="9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S6</w:t>
            </w:r>
          </w:p>
        </w:tc>
        <w:tc>
          <w:tcPr>
            <w:tcW w:type="dxa" w:w="21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24 → 28 août 2026</w:t>
            </w:r>
          </w:p>
        </w:tc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Correctifs post-lancement, peaufinage modèle, acquisition.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S7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31 août → 4 sept. 2026</w:t>
            </w:r>
          </w:p>
        </w:tc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Améliorations, réentraînement, croissance de l’audience.</w:t>
            </w:r>
          </w:p>
        </w:tc>
      </w:tr>
      <w:tr>
        <w:tc>
          <w:tcPr>
            <w:tcW w:type="dxa" w:w="9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S8</w:t>
            </w:r>
          </w:p>
        </w:tc>
        <w:tc>
          <w:tcPr>
            <w:tcW w:type="dxa" w:w="21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7 → 11 sept. 2026</w:t>
            </w:r>
          </w:p>
        </w:tc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Stabilisation finale, gel du code.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8"/>
                <w:szCs w:val="18"/>
              </w:rPr>
              <w:t xml:space="preserve">S9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14 → 18 sept. 2026</w:t>
            </w:r>
          </w:p>
        </w:tc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Arrêt du développement, préparation de la soutenance/démo.</w:t>
            </w:r>
          </w:p>
        </w:tc>
      </w:tr>
    </w:tbl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2.1  Chronologie des chantiers (macro)</w:t>
      </w:r>
    </w:p>
    <w:p>
      <w:pPr>
        <w:spacing w:after="140" w:line="276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Le tableau ci-dessous montre quels chantiers sont actifs à chaque sprint (● actif, ○ partiel/support).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216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rPr>
          <w:tblHeader/>
        </w:trPr>
        <w:tc>
          <w:tcPr>
            <w:tcW w:type="dxa" w:w="21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Chantier</w:t>
            </w:r>
          </w:p>
        </w:tc>
        <w:tc>
          <w:tcPr>
            <w:tcW w:type="dxa" w:w="8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S1</w:t>
            </w:r>
          </w:p>
        </w:tc>
        <w:tc>
          <w:tcPr>
            <w:tcW w:type="dxa" w:w="8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S2</w:t>
            </w:r>
          </w:p>
        </w:tc>
        <w:tc>
          <w:tcPr>
            <w:tcW w:type="dxa" w:w="8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S3</w:t>
            </w:r>
          </w:p>
        </w:tc>
        <w:tc>
          <w:tcPr>
            <w:tcW w:type="dxa" w:w="8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S4</w:t>
            </w:r>
          </w:p>
        </w:tc>
        <w:tc>
          <w:tcPr>
            <w:tcW w:type="dxa" w:w="8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S5</w:t>
            </w:r>
          </w:p>
        </w:tc>
        <w:tc>
          <w:tcPr>
            <w:tcW w:type="dxa" w:w="8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S6</w:t>
            </w:r>
          </w:p>
        </w:tc>
        <w:tc>
          <w:tcPr>
            <w:tcW w:type="dxa" w:w="8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S7</w:t>
            </w:r>
          </w:p>
        </w:tc>
        <w:tc>
          <w:tcPr>
            <w:tcW w:type="dxa" w:w="8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S8</w:t>
            </w:r>
          </w:p>
        </w:tc>
        <w:tc>
          <w:tcPr>
            <w:tcW w:type="dxa" w:w="8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S9</w:t>
            </w:r>
          </w:p>
        </w:tc>
      </w:tr>
      <w:tr>
        <w:tc>
          <w:tcPr>
            <w:tcW w:type="dxa" w:w="2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Conception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FAC66"/>
                <w:sz w:val="18"/>
                <w:szCs w:val="18"/>
              </w:rPr>
              <w:t xml:space="preserve">●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</w:tr>
      <w:tr>
        <w:tc>
          <w:tcPr>
            <w:tcW w:type="dxa" w:w="21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Design / Maquette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FAC66"/>
                <w:sz w:val="18"/>
                <w:szCs w:val="18"/>
              </w:rPr>
              <w:t xml:space="preserve">●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</w:tr>
      <w:tr>
        <w:tc>
          <w:tcPr>
            <w:tcW w:type="dxa" w:w="2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Marketing (design)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FAC66"/>
                <w:sz w:val="18"/>
                <w:szCs w:val="18"/>
              </w:rPr>
              <w:t xml:space="preserve">●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FAC66"/>
                <w:sz w:val="18"/>
                <w:szCs w:val="18"/>
              </w:rPr>
              <w:t xml:space="preserve">●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FAC66"/>
                <w:sz w:val="18"/>
                <w:szCs w:val="18"/>
              </w:rPr>
              <w:t xml:space="preserve">●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FAC66"/>
                <w:sz w:val="18"/>
                <w:szCs w:val="18"/>
              </w:rPr>
              <w:t xml:space="preserve">●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FAC66"/>
                <w:sz w:val="18"/>
                <w:szCs w:val="18"/>
              </w:rPr>
              <w:t xml:space="preserve">●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FAC66"/>
                <w:sz w:val="18"/>
                <w:szCs w:val="18"/>
              </w:rPr>
              <w:t xml:space="preserve">●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FAC66"/>
                <w:sz w:val="18"/>
                <w:szCs w:val="18"/>
              </w:rPr>
              <w:t xml:space="preserve">●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F3920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21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Backend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FAC66"/>
                <w:sz w:val="18"/>
                <w:szCs w:val="18"/>
              </w:rPr>
              <w:t xml:space="preserve">●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FAC66"/>
                <w:sz w:val="18"/>
                <w:szCs w:val="18"/>
              </w:rPr>
              <w:t xml:space="preserve">●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FAC66"/>
                <w:sz w:val="18"/>
                <w:szCs w:val="18"/>
              </w:rPr>
              <w:t xml:space="preserve">●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F39200"/>
                <w:sz w:val="18"/>
                <w:szCs w:val="18"/>
              </w:rPr>
              <w:t xml:space="preserve">○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F39200"/>
                <w:sz w:val="18"/>
                <w:szCs w:val="18"/>
              </w:rPr>
              <w:t xml:space="preserve">○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F39200"/>
                <w:sz w:val="18"/>
                <w:szCs w:val="18"/>
              </w:rPr>
              <w:t xml:space="preserve">○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</w:tr>
      <w:tr>
        <w:tc>
          <w:tcPr>
            <w:tcW w:type="dxa" w:w="2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Modèle IA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FAC66"/>
                <w:sz w:val="18"/>
                <w:szCs w:val="18"/>
              </w:rPr>
              <w:t xml:space="preserve">●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FAC66"/>
                <w:sz w:val="18"/>
                <w:szCs w:val="18"/>
              </w:rPr>
              <w:t xml:space="preserve">●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FAC66"/>
                <w:sz w:val="18"/>
                <w:szCs w:val="18"/>
              </w:rPr>
              <w:t xml:space="preserve">●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F39200"/>
                <w:sz w:val="18"/>
                <w:szCs w:val="18"/>
              </w:rPr>
              <w:t xml:space="preserve">○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FAC66"/>
                <w:sz w:val="18"/>
                <w:szCs w:val="18"/>
              </w:rPr>
              <w:t xml:space="preserve">●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FAC66"/>
                <w:sz w:val="18"/>
                <w:szCs w:val="18"/>
              </w:rPr>
              <w:t xml:space="preserve">●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F3920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21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Frontend Web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FAC66"/>
                <w:sz w:val="18"/>
                <w:szCs w:val="18"/>
              </w:rPr>
              <w:t xml:space="preserve">●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FAC66"/>
                <w:sz w:val="18"/>
                <w:szCs w:val="18"/>
              </w:rPr>
              <w:t xml:space="preserve">●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FAC66"/>
                <w:sz w:val="18"/>
                <w:szCs w:val="18"/>
              </w:rPr>
              <w:t xml:space="preserve">●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F39200"/>
                <w:sz w:val="18"/>
                <w:szCs w:val="18"/>
              </w:rPr>
              <w:t xml:space="preserve">○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F39200"/>
                <w:sz w:val="18"/>
                <w:szCs w:val="18"/>
              </w:rPr>
              <w:t xml:space="preserve">○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F39200"/>
                <w:sz w:val="18"/>
                <w:szCs w:val="18"/>
              </w:rPr>
              <w:t xml:space="preserve">○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F39200"/>
                <w:sz w:val="18"/>
                <w:szCs w:val="18"/>
              </w:rPr>
              <w:t xml:space="preserve">○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F3920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2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App Mobile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FAC66"/>
                <w:sz w:val="18"/>
                <w:szCs w:val="18"/>
              </w:rPr>
              <w:t xml:space="preserve">●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FAC66"/>
                <w:sz w:val="18"/>
                <w:szCs w:val="18"/>
              </w:rPr>
              <w:t xml:space="preserve">●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FAC66"/>
                <w:sz w:val="18"/>
                <w:szCs w:val="18"/>
              </w:rPr>
              <w:t xml:space="preserve">●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F39200"/>
                <w:sz w:val="18"/>
                <w:szCs w:val="18"/>
              </w:rPr>
              <w:t xml:space="preserve">○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F39200"/>
                <w:sz w:val="18"/>
                <w:szCs w:val="18"/>
              </w:rPr>
              <w:t xml:space="preserve">○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F39200"/>
                <w:sz w:val="18"/>
                <w:szCs w:val="18"/>
              </w:rPr>
              <w:t xml:space="preserve">○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F3920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21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Déploiement/Tests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FAC66"/>
                <w:sz w:val="18"/>
                <w:szCs w:val="18"/>
              </w:rPr>
              <w:t xml:space="preserve">●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</w:tr>
      <w:tr>
        <w:tc>
          <w:tcPr>
            <w:tcW w:type="dxa" w:w="2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Présentation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D8DEE6"/>
                <w:sz w:val="18"/>
                <w:szCs w:val="18"/>
              </w:rPr>
              <w:t xml:space="preserve">·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FAC66"/>
                <w:sz w:val="18"/>
                <w:szCs w:val="18"/>
              </w:rPr>
              <w:t xml:space="preserve">●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Poppins" w:cs="Poppins" w:eastAsia="Poppins" w:hAnsi="Poppins"/>
          <w:b/>
          <w:bCs/>
          <w:color w:val="F39200"/>
          <w:sz w:val="30"/>
          <w:szCs w:val="30"/>
        </w:rPr>
        <w:t xml:space="preserve">3  </w:t>
      </w:r>
      <w:r>
        <w:rPr>
          <w:rFonts w:ascii="Poppins" w:cs="Poppins" w:eastAsia="Poppins" w:hAnsi="Poppins"/>
          <w:b/>
          <w:bCs/>
          <w:color w:val="2D2E83"/>
          <w:sz w:val="30"/>
          <w:szCs w:val="30"/>
        </w:rPr>
        <w:t xml:space="preserve">Charge de travail par personne</w:t>
      </w:r>
    </w:p>
    <w:p>
      <w:pPr>
        <w:spacing w:after="140" w:line="276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Charge estimée en jours par sprint (semaine de 5 jours ouvrés). Cette vue permet de repérer les tensions et d’équilibrer.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216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rPr>
          <w:tblHeader/>
        </w:trPr>
        <w:tc>
          <w:tcPr>
            <w:tcW w:type="dxa" w:w="21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8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S1</w:t>
            </w:r>
          </w:p>
        </w:tc>
        <w:tc>
          <w:tcPr>
            <w:tcW w:type="dxa" w:w="8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S2</w:t>
            </w:r>
          </w:p>
        </w:tc>
        <w:tc>
          <w:tcPr>
            <w:tcW w:type="dxa" w:w="8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S3</w:t>
            </w:r>
          </w:p>
        </w:tc>
        <w:tc>
          <w:tcPr>
            <w:tcW w:type="dxa" w:w="8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S4</w:t>
            </w:r>
          </w:p>
        </w:tc>
        <w:tc>
          <w:tcPr>
            <w:tcW w:type="dxa" w:w="8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S5</w:t>
            </w:r>
          </w:p>
        </w:tc>
        <w:tc>
          <w:tcPr>
            <w:tcW w:type="dxa" w:w="8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S6</w:t>
            </w:r>
          </w:p>
        </w:tc>
        <w:tc>
          <w:tcPr>
            <w:tcW w:type="dxa" w:w="8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S7</w:t>
            </w:r>
          </w:p>
        </w:tc>
        <w:tc>
          <w:tcPr>
            <w:tcW w:type="dxa" w:w="8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S8</w:t>
            </w:r>
          </w:p>
        </w:tc>
        <w:tc>
          <w:tcPr>
            <w:tcW w:type="dxa" w:w="8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S9</w:t>
            </w:r>
          </w:p>
        </w:tc>
      </w:tr>
      <w:tr>
        <w:tc>
          <w:tcPr>
            <w:tcW w:type="dxa" w:w="2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Designer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E7A45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E7A45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E7A45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E7A45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E7A45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E7A45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E7A45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1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Dev Backend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E7A45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E7A45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B0BAC5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B0BAC5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Dev Frontend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B0BAC5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E7A45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E7A45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E7A45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1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Dev Mobile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B0BAC5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E7A45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E7A45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1E7A45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B0BAC5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Data 1 (Scoring)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B0BAC5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B0BAC5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B0BAC5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1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6"/>
                <w:szCs w:val="16"/>
              </w:rPr>
              <w:t xml:space="preserve">Data 2 (NLP)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B0BAC5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B0BAC5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B0BAC5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7"/>
                <w:szCs w:val="17"/>
              </w:rPr>
              <w:t xml:space="preserve">1</w:t>
            </w:r>
          </w:p>
        </w:tc>
      </w:tr>
    </w:tbl>
    <w:tbl>
      <w:tblPr>
        <w:tblW w:type="pct" w:w="100%"/>
        <w:tblBorders>
          <w:top w:val="none"/>
          <w:left w:val="single" w:color="F39200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BD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A05A00"/>
                <w:sz w:val="20"/>
                <w:szCs w:val="20"/>
              </w:rPr>
              <w:t xml:space="preserve">Lecture de la charge</w:t>
            </w:r>
          </w:p>
          <w:p>
            <w:pPr>
              <w:spacing w:after="40"/>
              <w:jc w:val="left"/>
            </w:pPr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Vert = sprint plein (5 j). Rouge = dépassement à surveiller. Gris = pas d’activité planifiée sur ce chantier.</w:t>
            </w:r>
          </w:p>
          <w:p>
            <w:pPr>
              <w:spacing w:after="40"/>
              <w:jc w:val="left"/>
            </w:pPr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Le Dev Backend atteint 6 j au Sprint 4 : c’est le chemin critique du projet. Deux atténuations sont prévues (voir §6) : livraison anticipée de l’auth et report d’une partie des tests vers le Sprint 5.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Poppins" w:cs="Poppins" w:eastAsia="Poppins" w:hAnsi="Poppins"/>
          <w:b/>
          <w:bCs/>
          <w:color w:val="F39200"/>
          <w:sz w:val="30"/>
          <w:szCs w:val="30"/>
        </w:rPr>
        <w:t xml:space="preserve">4  </w:t>
      </w:r>
      <w:r>
        <w:rPr>
          <w:rFonts w:ascii="Poppins" w:cs="Poppins" w:eastAsia="Poppins" w:hAnsi="Poppins"/>
          <w:b/>
          <w:bCs/>
          <w:color w:val="2D2E83"/>
          <w:sz w:val="30"/>
          <w:szCs w:val="30"/>
        </w:rPr>
        <w:t xml:space="preserve">Détail des Épics, Tasks &amp; Sous-tâches</w:t>
      </w:r>
    </w:p>
    <w:p>
      <w:pPr>
        <w:spacing w:after="140" w:line="276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Chaque Épic regroupe des Tasks (Stories dans Jira), elles-mêmes décomposées en sous-tâches. Les durées correspondent aux estimations du cahier des charges. La colonne « Dépend de » matérialise l’ordonnancement.</w:t>
      </w:r>
    </w:p>
    <w:p>
      <w:r>
        <w:br w:type="page"/>
      </w:r>
    </w:p>
    <w:tbl>
      <w:tblPr>
        <w:tblW w:type="pct" w:w="100%"/>
        <w:tblBorders>
          <w:top w:val="none"/>
          <w:left w:val="single" w:color="2D2E83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6FA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2D2E83"/>
                <w:sz w:val="26"/>
                <w:szCs w:val="26"/>
              </w:rPr>
              <w:t xml:space="preserve">Épic 1 — Conception</w:t>
            </w:r>
          </w:p>
          <w:p>
            <w:r>
              <w:rPr>
                <w:rFonts w:ascii="Poppins" w:cs="Poppins" w:eastAsia="Poppins" w:hAnsi="Poppins"/>
                <w:color w:val="5A6B7B"/>
                <w:sz w:val="18"/>
                <w:szCs w:val="18"/>
              </w:rPr>
              <w:t xml:space="preserve">Finaliser la conception UML et poser les fondations documentaires du projet.</w:t>
            </w:r>
          </w:p>
        </w:tc>
      </w:tr>
    </w:tbl>
    <w:p>
      <w:pPr>
        <w:spacing w:after="12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CONC-1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Finalisation des diagrammes UML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Dev Backend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S1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2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</w:t>
      </w:r>
      <w:r>
        <w:rPr>
          <w:rFonts w:ascii="Poppins" w:cs="Poppins" w:eastAsia="Poppins" w:hAnsi="Poppins"/>
          <w:i/>
          <w:iCs/>
          <w:color w:val="1E7A45"/>
          <w:sz w:val="16"/>
          <w:szCs w:val="16"/>
        </w:rPr>
        <w:t xml:space="preserve">Aucune dépendance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CONC-1-1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Revue des diagrammes de cas d’utilisation, séquence, activité, classe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Backend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CONC-1-2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Validation croisée avec l’équipe et gel de la conception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Backend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CONC-2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Validation des cahiers des charges (Web, Mobile, Backend, IA)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Dev Backend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S1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1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</w:t>
      </w:r>
      <w:r>
        <w:rPr>
          <w:rFonts w:ascii="Poppins" w:cs="Poppins" w:eastAsia="Poppins" w:hAnsi="Poppins"/>
          <w:i/>
          <w:iCs/>
          <w:color w:val="1E7A45"/>
          <w:sz w:val="16"/>
          <w:szCs w:val="16"/>
        </w:rPr>
        <w:t xml:space="preserve">Aucune dépendance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CONC-2-1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Lecture partagée et amendements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Backend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pct" w:w="100%"/>
        <w:tblBorders>
          <w:top w:val="none"/>
          <w:left w:val="single" w:color="F39200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6FA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2D2E83"/>
                <w:sz w:val="26"/>
                <w:szCs w:val="26"/>
              </w:rPr>
              <w:t xml:space="preserve">Épic 2 — Design, Maquette &amp; Branding</w:t>
            </w:r>
          </w:p>
          <w:p>
            <w:r>
              <w:rPr>
                <w:rFonts w:ascii="Poppins" w:cs="Poppins" w:eastAsia="Poppins" w:hAnsi="Poppins"/>
                <w:color w:val="5A6B7B"/>
                <w:sz w:val="18"/>
                <w:szCs w:val="18"/>
              </w:rPr>
              <w:t xml:space="preserve">Produire l’identité visuelle, la maquette complète (Web + Mobile) et amorcer le marketing.</w:t>
            </w:r>
          </w:p>
        </w:tc>
      </w:tr>
    </w:tbl>
    <w:p>
      <w:pPr>
        <w:spacing w:after="12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DES-1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Design system Figma (tokens, composants, thèmes clair/sombre)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Designer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S1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1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CONC-2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DES-1-1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Variables couleurs (clair/sombre) + styles de texte (Poppins/Aptos) + composants de base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Designer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DES-2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Maquette Web (landing + admin + partenaire, responsive, 2 thèmes)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Designer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S1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2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DES-1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DES-2-1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Landing (hero, comparatif, fonctionnalités, pricing API, footer)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Designer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DES-2-2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Espaces Admin &amp; Partenaire (dashboard, modules, états)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Designer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DES-3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Maquette Mobile (onboarding, auth, écrans app, 2 thèmes)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Designer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S1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1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DES-1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DES-3-1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Splash/onboarding + connexion pays/numéro + OTP + écrans app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Designer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DES-4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Prototype interactif + remise des specs aux développeurs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Designer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S1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1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DES-2, DES-3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DES-4-1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Prototype cliquable (navigation, bascules thème/langue)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Designer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DES-5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Branding complet &amp; charte marketing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Designer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S2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5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DES-4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DES-5-1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Déclinaisons du logo, charte, gabarits d’affiches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Designer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DES-5-2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Kit de communication (couleurs, typographies, ton)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Designer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DES-5-3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Support ponctuel aux développeurs (assets, ajustements maquette)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Designer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DES-6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Création &amp; lancement des pages sociales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Designer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S3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5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DES-5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DES-6-1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Ouverture des comptes (Facebook, Instagram, LinkedIn, TikTok…)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Designer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DES-6-2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Visuels de lancement + calendrier éditorial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Designer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DES-6-3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Affiches de teasing + animations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Designer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DES-7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Préparation de la campagne de lancement V1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Designer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S4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5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DES-6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DES-7-1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Assets de lancement (store, réseaux, presse)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Designer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DES-7-2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Vidéo/animation de présentation de l’app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Designer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DES-7-3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Vérification des visuels sur la V1 avant publication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Designer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pct" w:w="100%"/>
        <w:tblBorders>
          <w:top w:val="none"/>
          <w:left w:val="single" w:color="2FAC66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6FA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2D2E83"/>
                <w:sz w:val="26"/>
                <w:szCs w:val="26"/>
              </w:rPr>
              <w:t xml:space="preserve">Épic 3 — Backend hybride</w:t>
            </w:r>
          </w:p>
          <w:p>
            <w:r>
              <w:rPr>
                <w:rFonts w:ascii="Poppins" w:cs="Poppins" w:eastAsia="Poppins" w:hAnsi="Poppins"/>
                <w:color w:val="5A6B7B"/>
                <w:sz w:val="18"/>
                <w:szCs w:val="18"/>
              </w:rPr>
              <w:t xml:space="preserve">Livrer l’API centrale sécurisée (FastAPI + Prisma), documentée (Swagger), bilingue, passerelle IA.</w:t>
            </w:r>
          </w:p>
        </w:tc>
      </w:tr>
    </w:tbl>
    <w:p>
      <w:pPr>
        <w:spacing w:after="12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BACK-1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Initialisation projet &amp; socle technique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Dev Backend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S2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2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CONC-1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BACK-1-1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Structure en couches, config, Docker, docker-compose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Backend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BACK-1-2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Schéma Prisma initial (SQLite) + première migration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Backend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BACK-2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Authentification &amp; sécurité de base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Dev Backend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S2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3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BACK-1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BACK-2-1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JWT (access/refresh), Argon2, OTP, reset par email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Backend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BACK-2-2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RBAC (user/partner/admin) + dépendances de rôle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Backend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BACK-3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Modules cœur : users, numbers, reports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Dev Backend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S3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3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BACK-2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BACK-3-1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CRUD utilisateurs + profil + KPI perso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Backend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BACK-3-2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Vérification de numéro (+ batch contacts)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Backend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BACK-3-3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Signalements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Backend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BACK-4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Modules USSD, partenaires &amp; affiliation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Dev Backend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S3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2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BACK-3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BACK-4-1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Pays/Opérateurs/Actions USSD (CRUD admin)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Backend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BACK-4-2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Partenaires + règles d’affiliation par préfixes + cloisonnement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Backend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BACK-5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Passerelle IA (synchrone + asynchrone) &amp; repli par règles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Dev Backend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S4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2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BACK-3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BACK-5-1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Appel /predict + timeout + repli règles expertes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Backend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BACK-5-2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Transmission des signalements (/feedback) en asynchrone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Backend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BACK-6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Transactions, WhatsApp, enquêtes, notifications, KPI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Dev Backend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S4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2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BACK-4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BACK-6-1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Préparation transfert USSD + alerte WhatsApp + enquêtes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Backend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BACK-6-2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KPI (global/partenaire) + notifications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Backend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BACK-7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i18n FR/EN, Swagger &amp; durcissement sécurité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Dev Backend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S4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2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BACK-6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BACK-7-1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Fichiers FR/EN + middleware de langue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Backend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BACK-7-2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Rate-limiting, en-têtes, CORS, audit log, protections réseau + Swagger finalisé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Backend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pct" w:w="100%"/>
        <w:tblBorders>
          <w:top w:val="none"/>
          <w:left w:val="single" w:color="5B5CD6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6FA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2D2E83"/>
                <w:sz w:val="26"/>
                <w:szCs w:val="26"/>
              </w:rPr>
              <w:t xml:space="preserve">Épic 4 — Modèle IA</w:t>
            </w:r>
          </w:p>
          <w:p>
            <w:r>
              <w:rPr>
                <w:rFonts w:ascii="Poppins" w:cs="Poppins" w:eastAsia="Poppins" w:hAnsi="Poppins"/>
                <w:color w:val="5A6B7B"/>
                <w:sz w:val="18"/>
                <w:szCs w:val="18"/>
              </w:rPr>
              <w:t xml:space="preserve">Livrer le service IA (Modèle A scoring + Modèle B NLP africain), léger et intégré au backend.</w:t>
            </w:r>
          </w:p>
        </w:tc>
      </w:tr>
    </w:tbl>
    <w:p>
      <w:pPr>
        <w:spacing w:after="12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IA-1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Initialisation projet IA &amp; pipeline de données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Data 1 (Scoring)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S2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3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CONC-1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IA-1-1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Structure Cookiecutter DS + Docker + contrat d’API partagé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Data 1 (Scoring)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IA-1-2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Collecte (via backend), nettoyage, features (Modèle A)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Data 1 (Scoring)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IA-2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Collecte &amp; annotation des données texte (local)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Data 2 (NLP)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S2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4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CONC-1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IA-2-1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Rassemblement des messages (dons, jeux publics d’amorçage)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Data 2 (NLP)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IA-2-2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Annotation arnaque/légitime + prétraitement franglais/pidgin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Data 2 (NLP)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IA-3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Modèle A — entraînement scoring + règles expertes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Data 1 (Scoring)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S3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3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IA-1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IA-3-1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Entraînement LightGBM + baseline + seuils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Data 1 (Scoring)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IA-3-2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Règles expertes (démarrage à froid / repli)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Data 1 (Scoring)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IA-4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Modèle B — fine-tuning NLP AfroXLMR (Colab/PC)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Data 2 (NLP)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S3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4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IA-2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IA-4-1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Fine-tuning léger (PEFT/LoRA) sur Colab + quantification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Data 2 (NLP)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IA-4-2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Repli TF-IDF garanti + évaluation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Data 2 (NLP)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IA-5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Service d’inférence FastAPI (/predict, /feedback)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Data 1 (Scoring)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S4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3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IA-3, BACK-5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IA-5-1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Routes /predict/number + /feedback + /health + /version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Data 1 (Scoring)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IA-5-2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Intégration au docker-compose commun + dossier models partagé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Data 1 (Scoring)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IA-6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Intégration NLP au service + évaluation finale &amp; biais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Data 2 (NLP)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S4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3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IA-4, IA-5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IA-6-1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Route /predict/text + chargement du modèle quantifié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Data 2 (NLP)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IA-6-2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Métriques (rappel/précision/F1) + surveillance des biais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Data 2 (NLP)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pct" w:w="100%"/>
        <w:tblBorders>
          <w:top w:val="none"/>
          <w:left w:val="single" w:color="2D2E83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6FA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2D2E83"/>
                <w:sz w:val="26"/>
                <w:szCs w:val="26"/>
              </w:rPr>
              <w:t xml:space="preserve">Épic 5 — Frontend Web</w:t>
            </w:r>
          </w:p>
          <w:p>
            <w:r>
              <w:rPr>
                <w:rFonts w:ascii="Poppins" w:cs="Poppins" w:eastAsia="Poppins" w:hAnsi="Poppins"/>
                <w:color w:val="5A6B7B"/>
                <w:sz w:val="18"/>
                <w:szCs w:val="18"/>
              </w:rPr>
              <w:t xml:space="preserve">Livrer la landing et les espaces Admin/Partenaire (Vite + React + Tailwind), responsive, bilingues.</w:t>
            </w:r>
          </w:p>
        </w:tc>
      </w:tr>
    </w:tbl>
    <w:p>
      <w:pPr>
        <w:spacing w:after="12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WEB-1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Initialisation &amp; design system en code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Dev Frontend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S2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2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DES-4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WEB-1-1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Vite + React + Tailwind + shadcn/ui + i18n + thèmes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Frontend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WEB-1-2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Composants de base d’après la maquette (tokens, UI)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Frontend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WEB-2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Landing page (statique) responsive &amp; bilingue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Dev Frontend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S2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3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WEB-1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WEB-2-1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Sections hero, problème, comparatif, fonctionnalités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Frontend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WEB-2-2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Pricing API, CTA, footer + thèmes clair/sombre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Frontend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WEB-3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Écrans Admin/Partenaire (statiques) + états UI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Dev Frontend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S3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3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WEB-2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WEB-3-1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Layout applicatif (sidebar, topbar, dashboard, tableaux)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Frontend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WEB-3-2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États chargement/vide/erreur/succès (skeletons)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Frontend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WEB-4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Connexion à l’API (auth, données)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Dev Frontend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S3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2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WEB-3, BACK-2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WEB-4-1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Auth (login, refresh, routes protégées par rôle)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Frontend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WEB-4-2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TanStack Query + intercepteurs Axios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Frontend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WEB-5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Intégration complète des modules &amp; finitions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Dev Frontend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S4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5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WEB-4, BACK-6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WEB-5-1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Branchement modules (users, numbers, partenaires, USSD, KPI)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Frontend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3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WEB-5-2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Accessibilité (WCAG AA), responsive final, polish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Frontend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WEB-5-3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Tests manuels + corrections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Frontend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pct" w:w="100%"/>
        <w:tblBorders>
          <w:top w:val="none"/>
          <w:left w:val="single" w:color="F39200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6FA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2D2E83"/>
                <w:sz w:val="26"/>
                <w:szCs w:val="26"/>
              </w:rPr>
              <w:t xml:space="preserve">Épic 6 — Application Mobile</w:t>
            </w:r>
          </w:p>
          <w:p>
            <w:r>
              <w:rPr>
                <w:rFonts w:ascii="Poppins" w:cs="Poppins" w:eastAsia="Poppins" w:hAnsi="Poppins"/>
                <w:color w:val="5A6B7B"/>
                <w:sz w:val="18"/>
                <w:szCs w:val="18"/>
              </w:rPr>
              <w:t xml:space="preserve">Livrer l’app React Native (Expo), du splash aux écrans connectés, responsive et bilingue.</w:t>
            </w:r>
          </w:p>
        </w:tc>
      </w:tr>
    </w:tbl>
    <w:p>
      <w:pPr>
        <w:spacing w:after="12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MOB-1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Initialisation Expo &amp; design system en code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Dev Mobile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S2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2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DES-4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MOB-1-1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Expo Router + NativeWind + i18n + thèmes + SecureStore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Mobile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MOB-1-2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Composants de base d’après la maquette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Mobile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MOB-2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Onboarding, connexion &amp; écrans statiques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Dev Mobile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S2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3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MOB-1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MOB-2-1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Splash/onboarding animés (Reanimated/Moti)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Mobile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MOB-2-2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Connexion pays/numéro (libphonenumber) + OTP (UI)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Mobile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MOB-2-3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Écrans app statiques (accueil, vérif, contacts, profil…)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Mobile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MOB-3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Fonctionnalités natives UI/UX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Dev Mobile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S3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3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MOB-2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MOB-3-1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Capture d’appel entrant + overlay d’alerte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Mobile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MOB-3-2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Lecture des contacts (permissions) + insignes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Mobile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MOB-3-3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Formulaire d’enquête (notification) + composition USSD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Mobile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MOB-4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Connexion à l’API (auth, données)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Dev Mobile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S3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2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MOB-3, BACK-2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MOB-4-1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Auth OTP + stockage sécurisé des tokens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Mobile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MOB-4-2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TanStack Query + branchement vérif/contacts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Mobile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MOB-5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Intégration complète des modules &amp; finitions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Dev Mobile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S4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5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MOB-4, BACK-6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MOB-5-1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Branchement transfert USSD, alerte WhatsApp, signalement, KPI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Mobile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3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MOB-5-2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Responsive, accessibilité, mode hors-ligne, polish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Mobile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MOB-5-3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Tests sur appareils + corrections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Mobile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pct" w:w="100%"/>
        <w:tblBorders>
          <w:top w:val="none"/>
          <w:left w:val="single" w:color="2FAC66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6FA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2D2E83"/>
                <w:sz w:val="26"/>
                <w:szCs w:val="26"/>
              </w:rPr>
              <w:t xml:space="preserve">Épic 7 — Déploiement, Tests &amp; Lancement V1</w:t>
            </w:r>
          </w:p>
          <w:p>
            <w:r>
              <w:rPr>
                <w:rFonts w:ascii="Poppins" w:cs="Poppins" w:eastAsia="Poppins" w:hAnsi="Poppins"/>
                <w:color w:val="5A6B7B"/>
                <w:sz w:val="18"/>
                <w:szCs w:val="18"/>
              </w:rPr>
              <w:t xml:space="preserve">Tester bout en bout, déployer l’ensemble et lancer publiquement la V1.</w:t>
            </w:r>
          </w:p>
        </w:tc>
      </w:tr>
    </w:tbl>
    <w:p>
      <w:pPr>
        <w:spacing w:after="12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DEP-1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Tests d’intégration bout en bout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Dev Backend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S5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2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BACK-7, IA-6, WEB-5, MOB-5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DEP-1-1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Scénarios complets (vérif, transfert, signalement, alerte)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Backend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DEP-1-2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Correctifs bloquants identifiés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Frontend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DEP-2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Déploiement backend + IA + base (prod)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Dev Backend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S5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2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DEP-1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DEP-2-1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Bascule PostgreSQL, secrets, HTTPS, reverse proxy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Backend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DEP-2-2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Déploiement service IA + dossier models partagé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Data 1 (Scoring)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DEP-3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Déploiement web + publication de l’app mobile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Dev Frontend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S5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2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DEP-2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DEP-3-1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Mise en ligne du site (landing + espaces)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Frontend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DEP-3-2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Build &amp; soumission de l’app (stores / distribution)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Mobile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DEP-4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Lancement public V1 &amp; collecte des premiers retours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Designer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S5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1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DEP-3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DEP-4-1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Campagne de lancement (réseaux, affiches)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Designer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pct" w:w="100%"/>
        <w:tblBorders>
          <w:top w:val="none"/>
          <w:left w:val="single" w:color="5A6B7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6FA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2D2E83"/>
                <w:sz w:val="26"/>
                <w:szCs w:val="26"/>
              </w:rPr>
              <w:t xml:space="preserve">Épic 8 — Maintenance, Peaufinage &amp; Acquisition</w:t>
            </w:r>
          </w:p>
          <w:p>
            <w:r>
              <w:rPr>
                <w:rFonts w:ascii="Poppins" w:cs="Poppins" w:eastAsia="Poppins" w:hAnsi="Poppins"/>
                <w:color w:val="5A6B7B"/>
                <w:sz w:val="18"/>
                <w:szCs w:val="18"/>
              </w:rPr>
              <w:t xml:space="preserve">Stabiliser le produit, améliorer le modèle et faire croître l’audience jusqu’au gel du code.</w:t>
            </w:r>
          </w:p>
        </w:tc>
      </w:tr>
    </w:tbl>
    <w:p>
      <w:pPr>
        <w:spacing w:after="12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MAINT-1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Correction des bugs post-lancement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Dev Backend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S6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5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DEP-4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MAINT-1-1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Tri et priorisation des retours utilisateurs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Backend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MAINT-1-2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Correctifs backend/API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Backend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MAINT-1-3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Correctifs web &amp; mobile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Frontend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MAINT-2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Peaufinage du modèle IA (réentraînement)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Data 1 (Scoring)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S6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5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DEP-4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MAINT-2-1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Réentraînement avec les vrais signalements collectés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Data 1 (Scoring)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MAINT-2-2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Réglage des seuils + suivi des métriques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Data 2 (NLP)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MAINT-2-3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Surveillance des biais en conditions réelles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Data 2 (NLP)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MAINT-3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Acquisition &amp; animation des réseaux (S6)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Designer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S6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5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DEP-4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MAINT-3-1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Publications régulières + campagnes d’acquisition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Designer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3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MAINT-3-2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Affiches &amp; contenus pour pousser au téléchargement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Designer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MAINT-3B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Acquisition &amp; animation des réseaux (S7)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Designer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S7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5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MAINT-3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MAINT-3B-1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Nouvelles campagnes + contenus de croissance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Designer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3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MAINT-3B-2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Suivi de l’audience et ajustements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Designer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MAINT-3C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Acquisition &amp; animation des réseaux (S8)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Designer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S8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5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MAINT-3B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MAINT-3C-1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Consolidation de la communauté + bilan d’acquisition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Designer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3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MAINT-3C-2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Préparation des visuels pour la présentation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Designer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MAINT-4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Améliorations &amp; stabilisation (itératif)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Dev Mobile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S7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5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MAINT-1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MAINT-4-1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Optimisations mobile (performance, UX)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Mobile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3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MAINT-4-2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Optimisations web + backend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Frontend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MAINT-5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Réentraînement continu &amp; vérif de robustesse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Data 1 (Scoring)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S7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5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MAINT-2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MAINT-5-1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Boucle d’apprentissage continu vérifiée en prod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Data 1 (Scoring)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3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MAINT-5-2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Contrôle qualité des prédictions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Data 2 (NLP)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MAINT-6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Gel du code &amp; stabilisation finale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Dev Backend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S8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5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MAINT-4, MAINT-5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MAINT-6-1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Derniers correctifs + gel de version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Backend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MAINT-6-2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Vérification complète de la V1 stabilisée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Frontend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MAINT-6-3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Sauvegardes &amp; documentation de maintenance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Mobile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pct" w:w="100%"/>
        <w:tblBorders>
          <w:top w:val="none"/>
          <w:left w:val="single" w:color="2D2E83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6FA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2D2E83"/>
                <w:sz w:val="26"/>
                <w:szCs w:val="26"/>
              </w:rPr>
              <w:t xml:space="preserve">Épic 9 — Préparation de la présentation</w:t>
            </w:r>
          </w:p>
          <w:p>
            <w:r>
              <w:rPr>
                <w:rFonts w:ascii="Poppins" w:cs="Poppins" w:eastAsia="Poppins" w:hAnsi="Poppins"/>
                <w:color w:val="5A6B7B"/>
                <w:sz w:val="18"/>
                <w:szCs w:val="18"/>
              </w:rPr>
              <w:t xml:space="preserve">Préparer la soutenance : support, démo, récit du projet.</w:t>
            </w:r>
          </w:p>
        </w:tc>
      </w:tr>
    </w:tbl>
    <w:p>
      <w:pPr>
        <w:spacing w:after="12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PRES-1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Support de présentation &amp; récit du projet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Designer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S9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3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MAINT-6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PRES-1-1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Slides (problème, solution, architecture, résultats)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Designer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2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PRES-1-2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Chiffres d’impact &amp; retours utilisateurs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Data 2 (NLP)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pPr>
        <w:spacing w:after="40" w:before="160"/>
      </w:pPr>
      <w:r>
        <w:rPr>
          <w:rFonts w:ascii="Poppins" w:cs="Poppins" w:eastAsia="Poppins" w:hAnsi="Poppins"/>
          <w:b/>
          <w:bCs/>
          <w:color w:val="F39200"/>
          <w:sz w:val="19"/>
          <w:szCs w:val="19"/>
        </w:rPr>
        <w:t xml:space="preserve">PRES-2  </w:t>
      </w:r>
      <w:r>
        <w:rPr>
          <w:rFonts w:ascii="Poppins" w:cs="Poppins" w:eastAsia="Poppins" w:hAnsi="Poppins"/>
          <w:b/>
          <w:bCs/>
          <w:color w:val="20222E"/>
          <w:sz w:val="19"/>
          <w:szCs w:val="19"/>
        </w:rPr>
        <w:t xml:space="preserve">Scénario de démonstration live</w:t>
      </w:r>
    </w:p>
    <w:p>
      <w:pPr>
        <w:spacing w:after="60"/>
      </w:pPr>
      <w:r>
        <w:rPr>
          <w:rFonts w:ascii="Poppins" w:cs="Poppins" w:eastAsia="Poppins" w:hAnsi="Poppins"/>
          <w:color w:val="5A6B7B"/>
          <w:sz w:val="16"/>
          <w:szCs w:val="16"/>
        </w:rPr>
        <w:t xml:space="preserve">Assigné : </w:t>
      </w:r>
      <w:r>
        <w:rPr>
          <w:rFonts w:ascii="Poppins" w:cs="Poppins" w:eastAsia="Poppins" w:hAnsi="Poppins"/>
          <w:b/>
          <w:bCs/>
          <w:color w:val="2D2E83"/>
          <w:sz w:val="16"/>
          <w:szCs w:val="16"/>
        </w:rPr>
        <w:t xml:space="preserve">Dev Mobile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Sprint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S9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Durée : </w:t>
      </w:r>
      <w:r>
        <w:rPr>
          <w:rFonts w:ascii="Poppins" w:cs="Poppins" w:eastAsia="Poppins" w:hAnsi="Poppins"/>
          <w:b/>
          <w:bCs/>
          <w:color w:val="20222E"/>
          <w:sz w:val="16"/>
          <w:szCs w:val="16"/>
        </w:rPr>
        <w:t xml:space="preserve">2 j</w:t>
      </w:r>
      <w:r>
        <w:rPr>
          <w:rFonts w:ascii="Poppins" w:cs="Poppins" w:eastAsia="Poppins" w:hAnsi="Poppins"/>
          <w:color w:val="5A6B7B"/>
          <w:sz w:val="16"/>
          <w:szCs w:val="16"/>
        </w:rPr>
        <w:t xml:space="preserve">   ·   Dépend de : </w:t>
      </w:r>
      <w:r>
        <w:rPr>
          <w:rFonts w:ascii="Poppins" w:cs="Poppins" w:eastAsia="Poppins" w:hAnsi="Poppins"/>
          <w:b/>
          <w:bCs/>
          <w:color w:val="C0392B"/>
          <w:sz w:val="16"/>
          <w:szCs w:val="16"/>
        </w:rPr>
        <w:t xml:space="preserve">PRES-1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6360"/>
        <w:gridCol w:w="2000"/>
        <w:gridCol w:w="1000"/>
      </w:tblGrid>
      <w:tr>
        <w:trPr>
          <w:tblHeader/>
        </w:trPr>
        <w:tc>
          <w:tcPr>
            <w:tcW w:type="dxa" w:w="63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Sous-tâche</w:t>
            </w:r>
          </w:p>
        </w:tc>
        <w:tc>
          <w:tcPr>
            <w:tcW w:type="dxa" w:w="2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Assigné</w:t>
            </w:r>
          </w:p>
        </w:tc>
        <w:tc>
          <w:tcPr>
            <w:tcW w:type="dxa" w:w="10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6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PRES-2-1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Parcours démo (vérif, transfert, alerte)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Mobile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  <w:tr>
        <w:tc>
          <w:tcPr>
            <w:tcW w:type="dxa" w:w="63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D2E83"/>
                <w:sz w:val="15"/>
                <w:szCs w:val="15"/>
              </w:rPr>
              <w:t xml:space="preserve">PRES-2-2  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Répétition générale + plan B (vidéo de secours)</w:t>
            </w:r>
          </w:p>
        </w:tc>
        <w:tc>
          <w:tcPr>
            <w:tcW w:type="dxa" w:w="2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0222E"/>
                <w:sz w:val="16"/>
                <w:szCs w:val="16"/>
              </w:rPr>
              <w:t xml:space="preserve">Dev Frontend</w:t>
            </w:r>
          </w:p>
        </w:tc>
        <w:tc>
          <w:tcPr>
            <w:tcW w:type="dxa" w:w="10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6"/>
                <w:szCs w:val="16"/>
              </w:rPr>
              <w:t xml:space="preserve">1 j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Poppins" w:cs="Poppins" w:eastAsia="Poppins" w:hAnsi="Poppins"/>
          <w:b/>
          <w:bCs/>
          <w:color w:val="F39200"/>
          <w:sz w:val="30"/>
          <w:szCs w:val="30"/>
        </w:rPr>
        <w:t xml:space="preserve">5  </w:t>
      </w:r>
      <w:r>
        <w:rPr>
          <w:rFonts w:ascii="Poppins" w:cs="Poppins" w:eastAsia="Poppins" w:hAnsi="Poppins"/>
          <w:b/>
          <w:bCs/>
          <w:color w:val="2D2E83"/>
          <w:sz w:val="30"/>
          <w:szCs w:val="30"/>
        </w:rPr>
        <w:t xml:space="preserve">Rôle étendu du Designer (marketing)</w:t>
      </w:r>
    </w:p>
    <w:p>
      <w:pPr>
        <w:spacing w:after="140" w:line="276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Le rôle du designer ne s’arrête pas à la maquette. Dès la fin du Sprint 1, il bascule sur le </w:t>
      </w:r>
      <w:r>
        <w:rPr>
          <w:rFonts w:ascii="Poppins" w:cs="Poppins" w:eastAsia="Poppins" w:hAnsi="Poppins"/>
          <w:b/>
          <w:bCs/>
          <w:i w:val="false"/>
          <w:iCs w:val="false"/>
          <w:color w:val="2D2E83"/>
          <w:sz w:val="21"/>
          <w:szCs w:val="21"/>
        </w:rPr>
        <w:t xml:space="preserve">marketing et la communication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, activités essentielles mais non détaillées dans les cahiers des charges techniques. Elles sont notées ici pour être planifiées ; le détail sera précisé ultérieurement.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5.1  Pendant le développement (S2 → S4)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Branding complet : déclinaisons du logo, charte graphique, gabarits d’affiches, kit de communication.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Création des pages sociales (Facebook, Instagram, LinkedIn, TikTok…) et calendrier éditorial.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Affiches de teasing, animations, visuels de pré-lancement.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Support ponctuel aux développeurs : fourniture d’assets, ajustements de maquette si un écran pose problème.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5.2  Au lancement (S5)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Campagne de lancement de la V1 : visuels stores, réseaux, éventuelle vidéo de présentation.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Vérification des visuels sur la V1 avant publication.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5.3  Après le lancement (S6 → S8)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Acquisition : publications régulières, campagnes pour pousser au téléchargement, croissance de l’audience.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Suivi de l’audience et ajustements ; consolidation de la communauté.</w:t>
      </w:r>
    </w:p>
    <w:tbl>
      <w:tblPr>
        <w:tblW w:type="pct" w:w="100%"/>
        <w:tblBorders>
          <w:top w:val="none"/>
          <w:left w:val="single" w:color="2D2E83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9EAF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2D2E83"/>
                <w:sz w:val="20"/>
                <w:szCs w:val="20"/>
              </w:rPr>
              <w:t xml:space="preserve">À préciser plus tard</w:t>
            </w:r>
          </w:p>
          <w:p>
            <w:pPr>
              <w:spacing w:after="40"/>
              <w:jc w:val="left"/>
            </w:pPr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Le périmètre marketing (budget publicitaire, canaux prioritaires, objectifs d’acquisition chiffrés) fera l’objet d’un brief dédié. Le présent plan réserve simplement le temps du designer sur ces activités.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Poppins" w:cs="Poppins" w:eastAsia="Poppins" w:hAnsi="Poppins"/>
          <w:b/>
          <w:bCs/>
          <w:color w:val="F39200"/>
          <w:sz w:val="30"/>
          <w:szCs w:val="30"/>
        </w:rPr>
        <w:t xml:space="preserve">6  </w:t>
      </w:r>
      <w:r>
        <w:rPr>
          <w:rFonts w:ascii="Poppins" w:cs="Poppins" w:eastAsia="Poppins" w:hAnsi="Poppins"/>
          <w:b/>
          <w:bCs/>
          <w:color w:val="2D2E83"/>
          <w:sz w:val="30"/>
          <w:szCs w:val="30"/>
        </w:rPr>
        <w:t xml:space="preserve">Dépendances critiques &amp; risques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6.1  Chaîne de dépendances principale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Conception (S1) → Maquette (S1) → démarrage Web &amp; Mobile (S2).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Backend Auth (BACK-2, S2) → connexion API du Web (WEB-4) et du Mobile (MOB-4) en S3.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Backend modules (BACK-6, S4) → intégration complète Web (WEB-5) et Mobile (MOB-5) en S4.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Backend passerelle IA (BACK-5) + IA scoring (IA-3) → service d’inférence (IA-5) en S4.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Tout le développement (S4) → tests bout en bout et déploiement (S5).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6.2  Risques identifiés &amp; atténuations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26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1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Atténuation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Backend en retard (chemin critique)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Bloque web, mobile et IA.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Auth livrée dès S2 ; passerelle IA avec repli par règles ; une partie des tests reportée en S5.</w:t>
            </w:r>
          </w:p>
        </w:tc>
      </w:tr>
      <w:tr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Surcharge Backend au S4 (6 j)</w:t>
            </w:r>
          </w:p>
        </w:tc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Fin de dev serrée.</w:t>
            </w:r>
          </w:p>
        </w:tc>
        <w:tc>
          <w:tcPr>
            <w:tcW w:type="dxa" w:w="41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Report des tests en S5 ; appui possible d’un data sur l’intégration.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Entraînement NLP trop lourd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Retard du Modèle B.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Repli TF-IDF garanti ; entraînement sur Colab gratuit (hors serveur).</w:t>
            </w:r>
          </w:p>
        </w:tc>
      </w:tr>
      <w:tr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Peu de données au lancement</w:t>
            </w:r>
          </w:p>
        </w:tc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Modèle IA peu performant.</w:t>
            </w:r>
          </w:p>
        </w:tc>
        <w:tc>
          <w:tcPr>
            <w:tcW w:type="dxa" w:w="41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Règles expertes de démarrage ; réentraînement continu dès les premiers signalements.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Maquette non finalisée à temps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Retarde tout le dev.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Design system compressé ; priorisation des écrans du parcours critique.</w:t>
            </w:r>
          </w:p>
        </w:tc>
      </w:tr>
      <w:tr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Publication mobile (stores) lente</w:t>
            </w:r>
          </w:p>
        </w:tc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Retard du lancement.</w:t>
            </w:r>
          </w:p>
        </w:tc>
        <w:tc>
          <w:tcPr>
            <w:tcW w:type="dxa" w:w="41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Préparer le build et la soumission tôt ; distribution directe en repli.</w:t>
            </w:r>
          </w:p>
        </w:tc>
      </w:tr>
    </w:tbl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6.3  Jalons clés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Jalon</w:t>
            </w:r>
          </w:p>
        </w:tc>
        <w:tc>
          <w:tcPr>
            <w:tcW w:type="dxa" w:w="36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Échéance</w:t>
            </w:r>
          </w:p>
        </w:tc>
      </w:tr>
      <w:tr>
        <w:tc>
          <w:tcPr>
            <w:tcW w:type="dxa" w:w="5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Maquette validée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Fin S1 — ven. 24 juil.</w:t>
            </w:r>
          </w:p>
        </w:tc>
      </w:tr>
      <w:tr>
        <w:tc>
          <w:tcPr>
            <w:tcW w:type="dxa" w:w="5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API d’authentification disponible</w:t>
            </w:r>
          </w:p>
        </w:tc>
        <w:tc>
          <w:tcPr>
            <w:tcW w:type="dxa" w:w="3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Fin S2 — ven. 31 juil.</w:t>
            </w:r>
          </w:p>
        </w:tc>
      </w:tr>
      <w:tr>
        <w:tc>
          <w:tcPr>
            <w:tcW w:type="dxa" w:w="5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Fin du développement (tous chantiers)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Fin S4 — ven. 14 août.</w:t>
            </w:r>
          </w:p>
        </w:tc>
      </w:tr>
      <w:tr>
        <w:tc>
          <w:tcPr>
            <w:tcW w:type="dxa" w:w="5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Lancement public V1</w:t>
            </w:r>
          </w:p>
        </w:tc>
        <w:tc>
          <w:tcPr>
            <w:tcW w:type="dxa" w:w="3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S5 — sem. du 17 août.</w:t>
            </w:r>
          </w:p>
        </w:tc>
      </w:tr>
      <w:tr>
        <w:tc>
          <w:tcPr>
            <w:tcW w:type="dxa" w:w="5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Gel du code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Fin S8 — ven. 11 sept.</w:t>
            </w:r>
          </w:p>
        </w:tc>
      </w:tr>
      <w:tr>
        <w:tc>
          <w:tcPr>
            <w:tcW w:type="dxa" w:w="5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0222E"/>
                <w:sz w:val="18"/>
                <w:szCs w:val="18"/>
              </w:rPr>
              <w:t xml:space="preserve">Présentation du projet</w:t>
            </w:r>
          </w:p>
        </w:tc>
        <w:tc>
          <w:tcPr>
            <w:tcW w:type="dxa" w:w="3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S9 — sem. du 14 sept.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39200" w:sz="14" w:space="6"/>
        </w:pBdr>
        <w:spacing w:after="160" w:before="320"/>
      </w:pPr>
      <w:r>
        <w:rPr>
          <w:rFonts w:ascii="Poppins" w:cs="Poppins" w:eastAsia="Poppins" w:hAnsi="Poppins"/>
          <w:b/>
          <w:bCs/>
          <w:color w:val="F39200"/>
          <w:sz w:val="30"/>
          <w:szCs w:val="30"/>
        </w:rPr>
        <w:t xml:space="preserve">7  </w:t>
      </w:r>
      <w:r>
        <w:rPr>
          <w:rFonts w:ascii="Poppins" w:cs="Poppins" w:eastAsia="Poppins" w:hAnsi="Poppins"/>
          <w:b/>
          <w:bCs/>
          <w:color w:val="2D2E83"/>
          <w:sz w:val="30"/>
          <w:szCs w:val="30"/>
        </w:rPr>
        <w:t xml:space="preserve">Import dans Jira (fichier CSV)</w:t>
      </w:r>
    </w:p>
    <w:p>
      <w:pPr>
        <w:spacing w:after="140" w:line="276"/>
        <w:jc w:val="both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Le fichier KWISMO_Planification_Jira.csv accompagne ce document. Il contient toute la hiérarchie (Épics, Stories, Sous-tâches) avec assignés, sprints, estimations et dépendances, prêt à importer.</w:t>
      </w:r>
    </w:p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7.1  Colonnes du fichier</w:t>
      </w:r>
    </w:p>
    <w:tbl>
      <w:tblPr>
        <w:tblW w:type="pct" w:w="100%"/>
        <w:tblBorders>
          <w:top w:val="single" w:color="D8DEE6" w:sz="4"/>
          <w:left w:val="none"/>
          <w:bottom w:val="single" w:color="D8DEE6" w:sz="4"/>
          <w:right w:val="none"/>
          <w:insideH w:val="single" w:color="D8DEE6" w:sz="4"/>
          <w:insideV w:val="single" w:color="D8DEE6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6760"/>
            <w:shd w:fill="2D2E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Issue Type</w:t>
            </w:r>
          </w:p>
        </w:tc>
        <w:tc>
          <w:tcPr>
            <w:tcW w:type="dxa" w:w="6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Epic, Story (task) ou Sub-task.</w:t>
            </w:r>
          </w:p>
        </w:tc>
      </w:tr>
      <w:tr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Issue Key</w:t>
            </w:r>
          </w:p>
        </w:tc>
        <w:tc>
          <w:tcPr>
            <w:tcW w:type="dxa" w:w="6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Identifiant lisible (ex. BACK-3).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Summary</w:t>
            </w:r>
          </w:p>
        </w:tc>
        <w:tc>
          <w:tcPr>
            <w:tcW w:type="dxa" w:w="6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Intitulé de l’élément.</w:t>
            </w:r>
          </w:p>
        </w:tc>
      </w:tr>
      <w:tr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Epic Name / Epic Link</w:t>
            </w:r>
          </w:p>
        </w:tc>
        <w:tc>
          <w:tcPr>
            <w:tcW w:type="dxa" w:w="6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Rattachement à l’épic.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Parent</w:t>
            </w:r>
          </w:p>
        </w:tc>
        <w:tc>
          <w:tcPr>
            <w:tcW w:type="dxa" w:w="6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Story parente d’une sous-tâche.</w:t>
            </w:r>
          </w:p>
        </w:tc>
      </w:tr>
      <w:tr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Assignee</w:t>
            </w:r>
          </w:p>
        </w:tc>
        <w:tc>
          <w:tcPr>
            <w:tcW w:type="dxa" w:w="6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Rôle assigné (à mapper vers un compte Jira).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Sprint</w:t>
            </w:r>
          </w:p>
        </w:tc>
        <w:tc>
          <w:tcPr>
            <w:tcW w:type="dxa" w:w="6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Sprint de rattachement (nom + dates).</w:t>
            </w:r>
          </w:p>
        </w:tc>
      </w:tr>
      <w:tr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Estimate (j)</w:t>
            </w:r>
          </w:p>
        </w:tc>
        <w:tc>
          <w:tcPr>
            <w:tcW w:type="dxa" w:w="6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Estimation en jours.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Depends On</w:t>
            </w:r>
          </w:p>
        </w:tc>
        <w:tc>
          <w:tcPr>
            <w:tcW w:type="dxa" w:w="6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Clés des éléments bloquants.</w:t>
            </w:r>
          </w:p>
        </w:tc>
      </w:tr>
      <w:tr>
        <w:tc>
          <w:tcPr>
            <w:tcW w:type="dxa" w:w="260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Component</w:t>
            </w:r>
          </w:p>
        </w:tc>
        <w:tc>
          <w:tcPr>
            <w:tcW w:type="dxa" w:w="6760"/>
            <w:shd w:fill="FBFC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Poppins" w:cs="Poppins" w:eastAsia="Poppins" w:hAnsi="Poppins"/>
                <w:color w:val="20222E"/>
                <w:sz w:val="18"/>
                <w:szCs w:val="18"/>
              </w:rPr>
              <w:t xml:space="preserve">Domaine (épic) pour le filtrage.</w:t>
            </w:r>
          </w:p>
        </w:tc>
      </w:tr>
    </w:tbl>
    <w:p>
      <w:pPr>
        <w:pStyle w:val="Heading2"/>
        <w:spacing w:after="120" w:before="260"/>
      </w:pPr>
      <w:r>
        <w:rPr>
          <w:rFonts w:ascii="Poppins" w:cs="Poppins" w:eastAsia="Poppins" w:hAnsi="Poppins"/>
          <w:b/>
          <w:bCs/>
          <w:color w:val="2D2E83"/>
          <w:sz w:val="25"/>
          <w:szCs w:val="25"/>
        </w:rPr>
        <w:t xml:space="preserve">7.2  Marche à suivre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Dans Jira : Paramètres du projet → Importer → CSV (ou Filtres → Importer des tickets).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Charger le fichier CSV (encodage UTF-8, déjà géré).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Mapper les colonnes : Issue Type, Summary, Epic Link, Parent, Sprint, Assignee, Estimate.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Associer chaque rôle (Assignee) au compte réel du membre correspondant.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0222E"/>
          <w:sz w:val="21"/>
          <w:szCs w:val="21"/>
        </w:rPr>
        <w:t xml:space="preserve">Créer les liens « is blocked by » à partir de la colonne Depends On (manuellement ou via un module d’import avancé).</w:t>
      </w:r>
    </w:p>
    <w:tbl>
      <w:tblPr>
        <w:tblW w:type="pct" w:w="100%"/>
        <w:tblBorders>
          <w:top w:val="none"/>
          <w:left w:val="single" w:color="2FAC66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FF3E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1E7A45"/>
                <w:sz w:val="20"/>
                <w:szCs w:val="20"/>
              </w:rPr>
              <w:t xml:space="preserve">Mise à jour</w:t>
            </w:r>
          </w:p>
          <w:p>
            <w:pPr>
              <w:spacing w:after="40"/>
              <w:jc w:val="left"/>
            </w:pPr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Ce document Word et le CSV sont issus de la même source : ils restent cohérents.</w:t>
            </w:r>
          </w:p>
          <w:p>
            <w:pPr>
              <w:spacing w:after="40"/>
              <w:jc w:val="left"/>
            </w:pPr>
            <w:r>
              <w:rPr>
                <w:rFonts w:ascii="Poppins" w:cs="Poppins" w:eastAsia="Poppins" w:hAnsi="Poppins"/>
                <w:color w:val="20222E"/>
                <w:sz w:val="19"/>
                <w:szCs w:val="19"/>
              </w:rPr>
              <w:t xml:space="preserve">Si vous modifiez la planification dans le Word et me le renvoyez, je régénère un CSV à jour correspondant.</w:t>
            </w:r>
          </w:p>
        </w:tc>
      </w:tr>
    </w:tbl>
    <w:p>
      <w:pPr>
        <w:spacing w:after="120"/>
      </w:pPr>
    </w:p>
    <w:p>
      <w:pPr>
        <w:pBdr>
          <w:bottom w:val="single" w:color="D8DEE6" w:sz="8" w:space="2"/>
        </w:pBdr>
        <w:spacing w:after="120" w:before="60"/>
      </w:pPr>
    </w:p>
    <w:p>
      <w:pPr>
        <w:spacing w:before="120"/>
        <w:jc w:val="center"/>
      </w:pPr>
      <w:r>
        <w:rPr>
          <w:rFonts w:ascii="Poppins" w:cs="Poppins" w:eastAsia="Poppins" w:hAnsi="Poppins"/>
          <w:i/>
          <w:iCs/>
          <w:color w:val="5A6B7B"/>
          <w:sz w:val="18"/>
          <w:szCs w:val="18"/>
        </w:rPr>
        <w:t xml:space="preserve">Fin du document de planification — KWISMO</w:t>
      </w:r>
    </w:p>
    <w:sectPr>
      <w:headerReference w:type="default" r:id="rId7"/>
      <w:footerReference w:type="default" r:id="rId8"/>
      <w:pgSz w:w="11906" w:h="16838" w:orient="portrait"/>
      <w:pgMar w:top="160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6" w:sz="6" w:space="6"/>
      </w:pBdr>
      <w:tabs>
        <w:tab w:val="right" w:pos="9026"/>
      </w:tabs>
    </w:pPr>
    <w:r>
      <w:rPr>
        <w:rFonts w:ascii="Poppins" w:cs="Poppins" w:eastAsia="Poppins" w:hAnsi="Poppins"/>
        <w:color w:val="8A97A6"/>
        <w:sz w:val="15"/>
        <w:szCs w:val="15"/>
      </w:rPr>
      <w:t xml:space="preserve">KWISMO — Confidentiel</w:t>
    </w:r>
    <w:r>
      <w:rPr>
        <w:rFonts w:ascii="Poppins" w:cs="Poppins" w:eastAsia="Poppins" w:hAnsi="Poppins"/>
        <w:sz w:val="15"/>
        <w:szCs w:val="15"/>
      </w:rPr>
      <w:t xml:space="preserve">	</w:t>
    </w:r>
    <w:r>
      <w:rPr>
        <w:rFonts w:ascii="Poppins" w:cs="Poppins" w:eastAsia="Poppins" w:hAnsi="Poppins"/>
        <w:color w:val="8A97A6"/>
        <w:sz w:val="15"/>
        <w:szCs w:val="15"/>
      </w:rPr>
      <w:t xml:space="preserve">Planification  ·  Page </w:t>
    </w:r>
    <w:r>
      <w:rPr>
        <w:rFonts w:ascii="Poppins" w:cs="Poppins" w:eastAsia="Poppins" w:hAnsi="Poppins"/>
        <w:b/>
        <w:bCs/>
        <w:color w:val="5A6B7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Poppins" w:cs="Poppins" w:eastAsia="Poppins" w:hAnsi="Poppins"/>
        <w:color w:val="8A97A6"/>
        <w:sz w:val="15"/>
        <w:szCs w:val="15"/>
      </w:rPr>
      <w:t xml:space="preserve"> / </w:t>
    </w:r>
    <w:r>
      <w:rPr>
        <w:rFonts w:ascii="Poppins" w:cs="Poppins" w:eastAsia="Poppins" w:hAnsi="Poppins"/>
        <w:color w:val="5A6B7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D8DEE6" w:sz="6"/>
        <w:right w:val="none"/>
        <w:insideH w:val="none"/>
        <w:insideV w:val="none"/>
      </w:tblBorders>
    </w:tblPr>
    <w:tblGrid>
      <w:gridCol w:w="2400"/>
      <w:gridCol w:w="6960"/>
    </w:tblGrid>
    <w:tr>
      <w:tc>
        <w:tcPr>
          <w:tcW w:type="dxa" w:w="2400"/>
          <w:tcBorders>
            <w:top w:val="none"/>
            <w:left w:val="none"/>
            <w:bottom w:val="none"/>
            <w:right w:val="none"/>
          </w:tcBorders>
          <w:vAlign w:val="center"/>
        </w:tcPr>
        <w:p>
          <w:r>
            <w:drawing>
              <wp:inline distT="0" distB="0" distL="0" distR="0">
                <wp:extent cx="1123950" cy="3429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60"/>
          <w:tcBorders>
            <w:top w:val="none"/>
            <w:left w:val="none"/>
            <w:bottom w:val="none"/>
            <w:right w:val="none"/>
          </w:tcBorders>
          <w:vAlign w:val="center"/>
        </w:tcPr>
        <w:p>
          <w:pPr>
            <w:jc w:val="right"/>
          </w:pPr>
          <w:r>
            <w:rPr>
              <w:rFonts w:ascii="Poppins" w:cs="Poppins" w:eastAsia="Poppins" w:hAnsi="Poppins"/>
              <w:caps/>
              <w:color w:val="5A6B7B"/>
              <w:sz w:val="15"/>
              <w:szCs w:val="15"/>
            </w:rPr>
            <w:t xml:space="preserve">Planification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color w:val="F39200"/>
      </w:rPr>
    </w:lvl>
    <w:lvl w:ilvl="1" w15:tentative="1">
      <w:start w:val="1"/>
      <w:numFmt w:val="bullet"/>
      <w:lvlText w:val="–"/>
      <w:lvlJc w:val="left"/>
      <w:pPr>
        <w:ind w:left="700" w:hanging="200"/>
      </w:pPr>
      <w:rPr>
        <w:color w:val="2FAC66"/>
      </w:rPr>
    </w:lvl>
    <w:lvl w:ilvl="2" w15:tentative="1">
      <w:start w:val="1"/>
      <w:numFmt w:val="bullet"/>
      <w:lvlText w:val="▪"/>
      <w:lvlJc w:val="left"/>
      <w:pPr>
        <w:ind w:left="1060" w:hanging="200"/>
      </w:pPr>
      <w:rPr>
        <w:color w:val="2D2E83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2D2E83"/>
      </w:rPr>
    </w:lvl>
    <w:lvl w:ilvl="1" w15:tentative="1">
      <w:start w:val="1"/>
      <w:numFmt w:val="lowerLetter"/>
      <w:lvlText w:val="%2)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2022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Poppins" w:cs="Poppins" w:eastAsia="Poppins" w:hAnsi="Poppins"/>
      <w:b/>
      <w:bCs/>
      <w:color w:val="2D2E83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Poppins" w:cs="Poppins" w:eastAsia="Poppins" w:hAnsi="Poppins"/>
      <w:b/>
      <w:bCs/>
      <w:color w:val="2D2E83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Poppins" w:cs="Poppins" w:eastAsia="Poppins" w:hAnsi="Poppins"/>
      <w:b/>
      <w:bCs/>
      <w:color w:val="2FAC66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Poppins" w:cs="Poppins" w:eastAsia="Poppins" w:hAnsi="Poppins"/>
      <w:b/>
      <w:bCs/>
      <w:color w:val="2022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a56e3ab88dd801d571f66910bc76ecfd63f394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5b86e230085ec1a57889fa163fa65b096d32e2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Planification KWISMO</dc:title>
  <dc:creator>KWISMO</dc:creator>
  <dc:description>Plan de projet KWISMO</dc:description>
  <cp:lastModifiedBy>Un-named</cp:lastModifiedBy>
  <cp:revision>1</cp:revision>
  <dcterms:created xsi:type="dcterms:W3CDTF">2026-07-21T09:09:00.110Z</dcterms:created>
  <dcterms:modified xsi:type="dcterms:W3CDTF">2026-07-21T09:09:00.124Z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