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480"/>
        <w:jc w:val="center"/>
      </w:pPr>
      <w:r>
        <w:drawing>
          <wp:inline distT="0" distB="0" distL="0" distR="0">
            <wp:extent cx="3048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Poppins" w:cs="Poppins" w:eastAsia="Poppins" w:hAnsi="Poppins"/>
          <w:b/>
          <w:bCs/>
          <w:caps/>
          <w:color w:val="F39200"/>
          <w:sz w:val="24"/>
          <w:szCs w:val="24"/>
        </w:rPr>
        <w:t xml:space="preserve">CAHIER DES CHARGES</w:t>
      </w:r>
    </w:p>
    <w:p>
      <w:pPr>
        <w:spacing w:after="40"/>
        <w:jc w:val="center"/>
      </w:pPr>
      <w:r>
        <w:rPr>
          <w:rFonts w:ascii="Poppins" w:cs="Poppins" w:eastAsia="Poppins" w:hAnsi="Poppins"/>
          <w:b/>
          <w:bCs/>
          <w:color w:val="2D2E83"/>
          <w:sz w:val="52"/>
          <w:szCs w:val="52"/>
        </w:rPr>
        <w:t xml:space="preserve">Backend hybride</w:t>
      </w:r>
    </w:p>
    <w:p>
      <w:pPr>
        <w:spacing w:after="40"/>
        <w:jc w:val="center"/>
      </w:pPr>
      <w:r>
        <w:rPr>
          <w:rFonts w:ascii="Poppins" w:cs="Poppins" w:eastAsia="Poppins" w:hAnsi="Poppins"/>
          <w:color w:val="5A6B7B"/>
          <w:sz w:val="24"/>
          <w:szCs w:val="24"/>
        </w:rPr>
        <w:t xml:space="preserve">API centrale · Sécurité · Passerelle IA</w:t>
      </w:r>
    </w:p>
    <w:p>
      <w:pPr>
        <w:spacing w:after="40" w:before="200"/>
        <w:jc w:val="center"/>
      </w:pPr>
      <w:r>
        <w:rPr>
          <w:rFonts w:ascii="Poppins" w:cs="Poppins" w:eastAsia="Poppins" w:hAnsi="Poppins"/>
          <w:color w:val="2D2E83"/>
          <w:sz w:val="26"/>
          <w:szCs w:val="26"/>
        </w:rPr>
        <w:t xml:space="preserve">■</w:t>
      </w:r>
      <w:r>
        <w:rPr>
          <w:rFonts w:ascii="Poppins" w:cs="Poppins" w:eastAsia="Poppins" w:hAnsi="Poppins"/>
          <w:color w:val="F39200"/>
          <w:sz w:val="26"/>
          <w:szCs w:val="26"/>
        </w:rPr>
        <w:t xml:space="preserve"> ■</w:t>
      </w:r>
      <w:r>
        <w:rPr>
          <w:rFonts w:ascii="Poppins" w:cs="Poppins" w:eastAsia="Poppins" w:hAnsi="Poppins"/>
          <w:color w:val="2FAC66"/>
          <w:sz w:val="26"/>
          <w:szCs w:val="26"/>
        </w:rPr>
        <w:t xml:space="preserve"> ■</w:t>
      </w:r>
    </w:p>
    <w:p>
      <w:pPr>
        <w:spacing w:after="1400"/>
      </w:pPr>
    </w:p>
    <w:tbl>
      <w:tblPr>
        <w:tblW w:type="pct" w:w="80%"/>
        <w:jc w:val="center"/>
        <w:tblBorders>
          <w:top w:val="single" w:color="F39200" w:sz="8"/>
          <w:left w:val="none"/>
          <w:bottom w:val="single" w:color="F39200" w:sz="8"/>
          <w:right w:val="none"/>
          <w:insideH w:val="single" w:color="D8DEE6" w:sz="3"/>
          <w:insideV w:val="none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aps/>
                <w:color w:val="2D2E83"/>
                <w:sz w:val="18"/>
                <w:szCs w:val="18"/>
              </w:rPr>
              <w:t xml:space="preserve">Projet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KWISMO — Protection anti-fraude Mobile Money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aps/>
                <w:color w:val="2D2E83"/>
                <w:sz w:val="18"/>
                <w:szCs w:val="18"/>
              </w:rPr>
              <w:t xml:space="preserve">Document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Cahier des charges — Backend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aps/>
                <w:color w:val="2D2E83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aps/>
                <w:color w:val="2D2E83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21 juillet 2026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aps/>
                <w:color w:val="2D2E83"/>
                <w:sz w:val="18"/>
                <w:szCs w:val="18"/>
              </w:rPr>
              <w:t xml:space="preserve">Destinataire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Développeur Backend &amp; Intégration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aps/>
                <w:color w:val="2D2E83"/>
                <w:sz w:val="18"/>
                <w:szCs w:val="18"/>
              </w:rPr>
              <w:t xml:space="preserve">Stack cible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Python · FastAPI · Prisma · Swagger · Docker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Bdr>
          <w:bottom w:val="single" w:color="F39200" w:sz="14" w:space="6"/>
        </w:pBdr>
        <w:spacing w:after="160"/>
      </w:pP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1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Présentation du document</w:t>
      </w:r>
    </w:p>
    <w:p>
      <w:pPr>
        <w:spacing w:after="140" w:line="276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Ce cahier des charges décrit de façon exhaustive le </w:t>
      </w:r>
      <w:r>
        <w:rPr>
          <w:rFonts w:ascii="Poppins" w:cs="Poppins" w:eastAsia="Poppins" w:hAnsi="Poppins"/>
          <w:b/>
          <w:bCs/>
          <w:i w:val="false"/>
          <w:iCs w:val="false"/>
          <w:color w:val="2D2E83"/>
          <w:sz w:val="21"/>
          <w:szCs w:val="21"/>
        </w:rPr>
        <w:t xml:space="preserve">backend hybride de KWISMO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l’API centrale qui relie l’application mobile, le site web (landing, espaces Admin et Partenaire) et le service de modèle IA à une base de données. 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Le backend est la </w:t>
      </w: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seule porte d’accès à la base de données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ni le front, ni le mobile, ni l’IA n’y accèdent directement. Ce document est la référence normative pour le développement (Python/FastAPI) et pour la génération de la documentation Swagger.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1.1  Rôle du backend dans l’architecture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Point central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toutes les données transitent par le backend, qui applique l’authentification, les droits d’accès, la validation et la journalisation.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Fournisseur d’API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expose une API REST documentée (Swagger/OpenAPI) consommée par le web et le mobile.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Passerelle IA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transmet au service IA les données de vérification/signalement et récupère les scores de risque ; l’IA ne touche jamais la base directement (voir §9).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Multilingue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sert les textes (notifications, alertes, messages d’erreur) en français et en anglais selon la préférence de l’utilisateur.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1.2  Objectifs de qualité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6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Cible normative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Hybride BD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Compatible SQLite (défaut), PostgreSQL, MySQL et MongoDB via Prisma, sans réécriture du code métier.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6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Swagger/OpenAPI généré automatiquement : routes, schémas, modèles et codes d’erreur.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Défense en profondeur : authentification forte, chiffrement, RBAC, protection réseau et anti-attaques.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Internationalisation</w:t>
            </w:r>
          </w:p>
        </w:tc>
        <w:tc>
          <w:tcPr>
            <w:tcW w:type="dxa" w:w="6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Tous les textes destinés à l’utilisateur disponibles en FR et EN.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Réponses rapides (opérations courantes &lt; 200 ms hors traitement IA), pagination systématique.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Testabilité</w:t>
            </w:r>
          </w:p>
        </w:tc>
        <w:tc>
          <w:tcPr>
            <w:tcW w:type="dxa" w:w="6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Couche métier isolée, testable unitairement ; jeux de tests d’intégration sur l’API.</w:t>
            </w:r>
          </w:p>
        </w:tc>
      </w:tr>
    </w:tbl>
    <w:tbl>
      <w:tblPr>
        <w:tblW w:type="pct" w:w="100%"/>
        <w:tblBorders>
          <w:top w:val="none"/>
          <w:left w:val="single" w:color="2D2E83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9EAF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2D2E83"/>
                <w:sz w:val="20"/>
                <w:szCs w:val="20"/>
              </w:rPr>
              <w:t xml:space="preserve">Convention de lecture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Les routes sont notées MÉTHODE /chemin (ex. POST /auth/login).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Les rôles sont : user (application mobile), partner (espace partenaire), admin (supervision globale).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Chaque module précise ses entités, ses routes et les règles d’accès par rôle.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2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Stack technologique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200"/>
        <w:gridCol w:w="2700"/>
        <w:gridCol w:w="4460"/>
      </w:tblGrid>
      <w:tr>
        <w:trPr>
          <w:tblHeader/>
        </w:trPr>
        <w:tc>
          <w:tcPr>
            <w:tcW w:type="dxa" w:w="2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27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44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Langage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44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Demandé au cahier des charges ; écosystème riche, cohérent avec le service IA (même langage).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Framework API</w:t>
            </w:r>
          </w:p>
        </w:tc>
        <w:tc>
          <w:tcPr>
            <w:tcW w:type="dxa" w:w="27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FastAPI</w:t>
            </w:r>
          </w:p>
        </w:tc>
        <w:tc>
          <w:tcPr>
            <w:tcW w:type="dxa" w:w="44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Documentation OpenAPI/Swagger native, validation par types, hautes performances (ASGI), asynchrone.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Serveur ASGI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Uvicorn (+ Gunicorn)</w:t>
            </w:r>
          </w:p>
        </w:tc>
        <w:tc>
          <w:tcPr>
            <w:tcW w:type="dxa" w:w="44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Serveur de production performant ; Gunicorn gère plusieurs workers.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ORM</w:t>
            </w:r>
          </w:p>
        </w:tc>
        <w:tc>
          <w:tcPr>
            <w:tcW w:type="dxa" w:w="27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Prisma Client Python</w:t>
            </w:r>
          </w:p>
        </w:tc>
        <w:tc>
          <w:tcPr>
            <w:tcW w:type="dxa" w:w="44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Backend hybride : un seul schéma, plusieurs bases (SQLite/PostgreSQL/MySQL/MongoDB). Migrations intégrées.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44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Schémas d’entrée/sortie typés, cœur de la génération Swagger et de la sécurité des données.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Auth</w:t>
            </w:r>
          </w:p>
        </w:tc>
        <w:tc>
          <w:tcPr>
            <w:tcW w:type="dxa" w:w="27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JWT (python-jose) + Argon2</w:t>
            </w:r>
          </w:p>
        </w:tc>
        <w:tc>
          <w:tcPr>
            <w:tcW w:type="dxa" w:w="44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Jetons d’accès/rafraîchissement ; hachage de mots de passe robuste (argon2-cffi).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Swagger UI + ReDoc (FastAPI)</w:t>
            </w:r>
          </w:p>
        </w:tc>
        <w:tc>
          <w:tcPr>
            <w:tcW w:type="dxa" w:w="44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Générés automatiquement à partir du code ; toujours à jour.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i18n</w:t>
            </w:r>
          </w:p>
        </w:tc>
        <w:tc>
          <w:tcPr>
            <w:tcW w:type="dxa" w:w="27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Fichiers de traduction (JSON) + middleware</w:t>
            </w:r>
          </w:p>
        </w:tc>
        <w:tc>
          <w:tcPr>
            <w:tcW w:type="dxa" w:w="44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Sélection FR/EN par en-tête de langue ; textes centralisés.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Tâches asynchrones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File d’attente légère (RQ/Celery selon besoin)</w:t>
            </w:r>
          </w:p>
        </w:tc>
        <w:tc>
          <w:tcPr>
            <w:tcW w:type="dxa" w:w="44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Traitement différé (envois, transmission des signalements à l’IA).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Cache</w:t>
            </w:r>
          </w:p>
        </w:tc>
        <w:tc>
          <w:tcPr>
            <w:tcW w:type="dxa" w:w="27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Redis (optionnel)</w:t>
            </w:r>
          </w:p>
        </w:tc>
        <w:tc>
          <w:tcPr>
            <w:tcW w:type="dxa" w:w="44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Cache de réponses, limitation de débit, files ; activable en production.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Tests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pytest + httpx</w:t>
            </w:r>
          </w:p>
        </w:tc>
        <w:tc>
          <w:tcPr>
            <w:tcW w:type="dxa" w:w="44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Tests unitaires et d’intégration de l’API.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Qualité</w:t>
            </w:r>
          </w:p>
        </w:tc>
        <w:tc>
          <w:tcPr>
            <w:tcW w:type="dxa" w:w="27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Ruff + Black + mypy</w:t>
            </w:r>
          </w:p>
        </w:tc>
        <w:tc>
          <w:tcPr>
            <w:tcW w:type="dxa" w:w="44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Lint, formatage et vérification de types.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Conteneurisation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Docker + docker-compose</w:t>
            </w:r>
          </w:p>
        </w:tc>
        <w:tc>
          <w:tcPr>
            <w:tcW w:type="dxa" w:w="44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Environnements reproductibles ; parité dev/prod ; déploiement simplifié.</w:t>
            </w:r>
          </w:p>
        </w:tc>
      </w:tr>
    </w:tbl>
    <w:tbl>
      <w:tblPr>
        <w:tblW w:type="pct" w:w="100%"/>
        <w:tblBorders>
          <w:top w:val="none"/>
          <w:left w:val="single" w:color="F392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BD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A05A00"/>
                <w:sz w:val="20"/>
                <w:szCs w:val="20"/>
              </w:rPr>
              <w:t xml:space="preserve">Sur la compatibilité des bases de données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Prisma prend en charge SQLite, PostgreSQL, MySQL et MongoDB. Le développement démarre sur SQLite (zéro configuration) ; la production peut basculer vers PostgreSQL en changeant une seule variable d’environnement, sans modifier le code métier.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Cassandra n’est pas prise en charge par Prisma : elle est volontairement exclue du périmètre pour ne pas promettre une compatibilité non tenable.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3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Architecture &amp; structure des dossiers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3.1  Choix : architecture en couches (Layered / Clean léger)</w:t>
      </w:r>
    </w:p>
    <w:p>
      <w:pPr>
        <w:spacing w:after="140" w:line="276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L’architecture retenue est une </w:t>
      </w:r>
      <w:r>
        <w:rPr>
          <w:rFonts w:ascii="Poppins" w:cs="Poppins" w:eastAsia="Poppins" w:hAnsi="Poppins"/>
          <w:b/>
          <w:bCs/>
          <w:i w:val="false"/>
          <w:iCs w:val="false"/>
          <w:color w:val="2D2E83"/>
          <w:sz w:val="21"/>
          <w:szCs w:val="21"/>
        </w:rPr>
        <w:t xml:space="preserve">architecture en couches modulaire par domaine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, largement recommandée par la communauté FastAPI (structure « feature-based » proche du dépôt de référence de N. Netfoundry / patterns officiels FastAPI) et par les principes de Clean Architecture, adaptée sans sur-ingénierie.</w:t>
      </w:r>
    </w:p>
    <w:p>
      <w:pPr>
        <w:pStyle w:val="Heading4"/>
        <w:spacing w:after="70" w:before="150"/>
      </w:pPr>
      <w:r>
        <w:rPr>
          <w:rFonts w:ascii="Poppins" w:cs="Poppins" w:eastAsia="Poppins" w:hAnsi="Poppins"/>
          <w:b/>
          <w:bCs/>
          <w:color w:val="20222E"/>
          <w:sz w:val="20"/>
          <w:szCs w:val="20"/>
        </w:rPr>
        <w:t xml:space="preserve">Pourquoi ce choix (justificatifs pour l’équipe)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Séparation des responsabilités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les routes (présentation), la logique métier (services) et l’accès aux données (repositories/Prisma) sont séparés. On teste la logique sans lancer de serveur.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Modularité par domaine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chaque module (auth, users, numbers…) regroupe ses routes, schémas et services. Ajouter un domaine ne perturbe pas les autres.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Sécurité centralisée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l’authentification, les dépendances de rôle et la validation sont mutualisées dans une couche « core », appliquée uniformément.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Portabilité BD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l’accès aux données passant par Prisma et une fine couche repository, changer de base n’impacte pas la logique métier.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Alternative écartée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tout mettre dans les fichiers de routes (style script) rend le code intestable et non maintenable dès que les règles se complexifient (rôles, affiliation partenaire…).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3.2  Arborescence normative</w:t>
      </w:r>
    </w:p>
    <w:tbl>
      <w:tblPr>
        <w:tblW w:type="pct" w:w="100%"/>
        <w:tblBorders>
          <w:top w:val="single" w:color="D8DEE6" w:sz="4"/>
          <w:left w:val="single" w:color="2D2E83" w:sz="12"/>
          <w:bottom w:val="single" w:color="D8DEE6" w:sz="4"/>
          <w:right w:val="single" w:color="D8DEE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B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kwismo-backend/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app/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├─ main.py                   # Point d’entrée FastAPI (montage routes, middlewares)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├─ core/                     # Cœur transverse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config.py              # Variables d’environnement (Pydantic Settings)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security.py            # JWT, hachage Argon2, dépendances d’auth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permissions.py         # RBAC : dépendances require_role(admin/partner)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rate_limit.py          # Limitation de débit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middleware.py          # Journalisation, i18n, en-têtes de sécurité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exceptions.py          # Erreurs métier + gestion centralisée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└─ i18n.py                # Chargement des traductions, résolution de langue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├─ db/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prisma_client.py       # Instance Prisma partagée (connexion)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└─ repositories/          # Accès données par entité (fine abstraction)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├─ modules/                  # ★ Un domaine = un dossier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auth/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│  ├─ router.py           # Routes /auth/*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│  ├─ schemas.py          # Pydantic (LoginIn, TokenOut…)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│  ├─ service.py          # Logique (register, OTP email, login, device, reset)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│  ├─ otp.py              # Génération/vérification OTP (email &amp; SMS)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│  ├─ devices.py          # Reconnaissance des appareils connus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│  └─ dependencies.py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users/                 # Utilisateurs (compte : nom, prénom, email)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user_phones/           # ★ Mes numéros (multi-SIM) + OTP SMS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partners/              # Partenaires + règles d’affiliation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numbers/               # Numéros, statuts, scores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reports/               # Signalements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transactions/          # Transferts (métadonnées, pas de fonds)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ussd/                  # Pays / Opérateurs / Codes USSD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whatsapp_alert/        # Incident + diffusion d’alerte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surveys/               # Formulaires d’enquête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kpi/                   # Indicateurs (global &amp; partenaire)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access_control/        # Rôles &amp; droits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notifications/         # Notifications (FR/EN)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└─ ai_gateway/            # Passerelle vers le service 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├─ locales/                  # Traductions serveur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fr.json                # messages, erreurs, notifications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└─ en.json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└─ utils/                    # Helpers (phone, dates, pagination)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prisma/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├─ schema.prisma             # ★ Schéma unique (modèles = tables)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└─ migrations/               # Historique des migrations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tests/                       # pytest (unitaires + intégration)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scripts/                     # Seed, tâches d’administration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.env / .env.example          # DATABASE_URL, JWT_SECRET, AI_SERVICE_URL…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Dockerfile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docker-compose.yml           # backend + base + (redis) + service 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pyproject.toml               # Dépendances &amp; outils (ruff, black, mypy)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└─ README.md</w:t>
            </w:r>
          </w:p>
        </w:tc>
      </w:tr>
    </w:tbl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3.3  Rôle des dossiers clés — sécurité, données, i18n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Responsabilité</w:t>
            </w:r>
          </w:p>
        </w:tc>
        <w:tc>
          <w:tcPr>
            <w:tcW w:type="dxa" w:w="36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Point de vigilance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core/security.py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JWT, hachage, dépendances d’authentification.</w:t>
            </w:r>
          </w:p>
        </w:tc>
        <w:tc>
          <w:tcPr>
            <w:tcW w:type="dxa" w:w="3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Source unique de la logique d’auth ; jamais dupliquée dans les modules.</w:t>
            </w:r>
          </w:p>
        </w:tc>
      </w:tr>
      <w:tr>
        <w:tc>
          <w:tcPr>
            <w:tcW w:type="dxa" w:w="25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core/permissions.py</w:t>
            </w:r>
          </w:p>
        </w:tc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Contrôle d’accès par rôle (RBAC).</w:t>
            </w:r>
          </w:p>
        </w:tc>
        <w:tc>
          <w:tcPr>
            <w:tcW w:type="dxa" w:w="36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Toute route protégée déclare explicitement le rôle requis.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db/repositories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Accès aux données via Prisma.</w:t>
            </w:r>
          </w:p>
        </w:tc>
        <w:tc>
          <w:tcPr>
            <w:tcW w:type="dxa" w:w="3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Isole le métier de la base ; facilite le changement de BD et les tests.</w:t>
            </w:r>
          </w:p>
        </w:tc>
      </w:tr>
      <w:tr>
        <w:tc>
          <w:tcPr>
            <w:tcW w:type="dxa" w:w="25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modules/ai_gateway</w:t>
            </w:r>
          </w:p>
        </w:tc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Communication avec le service IA.</w:t>
            </w:r>
          </w:p>
        </w:tc>
        <w:tc>
          <w:tcPr>
            <w:tcW w:type="dxa" w:w="36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Seul point qui parle à l’IA ; applique délais et repli si l’IA est indisponible.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locales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Textes FR/EN.</w:t>
            </w:r>
          </w:p>
        </w:tc>
        <w:tc>
          <w:tcPr>
            <w:tcW w:type="dxa" w:w="3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Aucun message utilisateur en dur dans le code ; tout passe par une clé de traduction.</w:t>
            </w:r>
          </w:p>
        </w:tc>
      </w:tr>
      <w:tr>
        <w:tc>
          <w:tcPr>
            <w:tcW w:type="dxa" w:w="25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Modèle de données unique.</w:t>
            </w:r>
          </w:p>
        </w:tc>
        <w:tc>
          <w:tcPr>
            <w:tcW w:type="dxa" w:w="36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Vérité des tables ; toute évolution passe par une migration versionnée.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4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Modèle de données (Prisma)</w:t>
      </w:r>
    </w:p>
    <w:p>
      <w:pPr>
        <w:spacing w:after="140" w:line="276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Le schéma Prisma reprend le diagramme de classes du projet. Les entités ci-dessous sont les tables/collections principales. Chaque entité possède un identifiant, des horodatages de création/mise à jour, et des relations explicites.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Entité</w:t>
            </w:r>
          </w:p>
        </w:tc>
        <w:tc>
          <w:tcPr>
            <w:tcW w:type="dxa" w:w="41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Champs principaux</w:t>
            </w:r>
          </w:p>
        </w:tc>
        <w:tc>
          <w:tcPr>
            <w:tcW w:type="dxa" w:w="2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User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nom, prénom, email (unique), motDePasse (Argon2), emailVerifie, statut, rôle, dateInscription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UserPhone, Devices, Signalements, Transactions, Contacts, Réponses d’enquête, Rôle.</w:t>
            </w:r>
          </w:p>
        </w:tc>
      </w:tr>
      <w:tr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UserPhone</w:t>
            </w:r>
          </w:p>
        </w:tc>
        <w:tc>
          <w:tcPr>
            <w:tcW w:type="dxa" w:w="4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valeur (unique globale), pays, opérateur, estVerifie, dateVerification, estCompromis</w:t>
            </w:r>
          </w:p>
        </w:tc>
        <w:tc>
          <w:tcPr>
            <w:tcW w:type="dxa" w:w="2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Appartient à un User, référence un Numero.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OtpCode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code, canal (email|sms), cible, expiration, estUtilise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 (et UserPhone si canal SMS).</w:t>
            </w:r>
          </w:p>
        </w:tc>
      </w:tr>
      <w:tr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Device</w:t>
            </w:r>
          </w:p>
        </w:tc>
        <w:tc>
          <w:tcPr>
            <w:tcW w:type="dxa" w:w="4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identifiant, nom, premièreConnexion, dernièreConnexion</w:t>
            </w:r>
          </w:p>
        </w:tc>
        <w:tc>
          <w:tcPr>
            <w:tcW w:type="dxa" w:w="2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 — permet de savoir si un appareil est connu.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CompromiseIncident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dateDeclaration, statut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User, UserPhone concerné, MessagesWhatsApp déclenchés.</w:t>
            </w:r>
          </w:p>
        </w:tc>
      </w:tr>
      <w:tr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Contact</w:t>
            </w:r>
          </w:p>
        </w:tc>
        <w:tc>
          <w:tcPr>
            <w:tcW w:type="dxa" w:w="4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nom, numéro, statut (insigne)</w:t>
            </w:r>
          </w:p>
        </w:tc>
        <w:tc>
          <w:tcPr>
            <w:tcW w:type="dxa" w:w="2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Appartient à un User, correspond à un Numero.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Numero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valeur, scoreRisque, statut, dateDernièreVérif.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Opérateur, Signalements, Partenaire affilié.</w:t>
            </w:r>
          </w:p>
        </w:tc>
      </w:tr>
      <w:tr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Report (Signalement)</w:t>
            </w:r>
          </w:p>
        </w:tc>
        <w:tc>
          <w:tcPr>
            <w:tcW w:type="dxa" w:w="4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motif, date, statut</w:t>
            </w:r>
          </w:p>
        </w:tc>
        <w:tc>
          <w:tcPr>
            <w:tcW w:type="dxa" w:w="2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 (auteur), Numero (concerné).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Country (Pays)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nom, indicatif, estParDéfaut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Opérateurs.</w:t>
            </w:r>
          </w:p>
        </w:tc>
      </w:tr>
      <w:tr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Operator</w:t>
            </w:r>
          </w:p>
        </w:tc>
        <w:tc>
          <w:tcPr>
            <w:tcW w:type="dxa" w:w="4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nom, préfixes</w:t>
            </w:r>
          </w:p>
        </w:tc>
        <w:tc>
          <w:tcPr>
            <w:tcW w:type="dxa" w:w="2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Pays, Actions USSD, Numéros.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UssdAction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nomAction, format du code USSD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Opérateur.</w:t>
            </w:r>
          </w:p>
        </w:tc>
      </w:tr>
      <w:tr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Partner</w:t>
            </w:r>
          </w:p>
        </w:tc>
        <w:tc>
          <w:tcPr>
            <w:tcW w:type="dxa" w:w="4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nomEntreprise, type, dateAdhésion</w:t>
            </w:r>
          </w:p>
        </w:tc>
        <w:tc>
          <w:tcPr>
            <w:tcW w:type="dxa" w:w="2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Numéros affiliés, KPI, règles d’affiliation.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AffiliationRule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pays, préfixes/plages (69, 651-654…)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Partenaire, Pays.</w:t>
            </w:r>
          </w:p>
        </w:tc>
      </w:tr>
      <w:tr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4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montant, date, statut, niveauRisque, codeUSSD</w:t>
            </w:r>
          </w:p>
        </w:tc>
        <w:tc>
          <w:tcPr>
            <w:tcW w:type="dxa" w:w="2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User, Numero, Pays, Opérateur, Action.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WhatsAppAlert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contenu, dateEnvoi, statut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 (émetteur), Contacts (destinataires).</w:t>
            </w:r>
          </w:p>
        </w:tc>
      </w:tr>
      <w:tr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SurveyResponse</w:t>
            </w:r>
          </w:p>
        </w:tc>
        <w:tc>
          <w:tcPr>
            <w:tcW w:type="dxa" w:w="4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question, réponse, date</w:t>
            </w:r>
          </w:p>
        </w:tc>
        <w:tc>
          <w:tcPr>
            <w:tcW w:type="dxa" w:w="2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Kpi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indicateur, valeur, période, portée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Global ou Partenaire.</w:t>
            </w:r>
          </w:p>
        </w:tc>
      </w:tr>
      <w:tr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Role / AccessRight</w:t>
            </w:r>
          </w:p>
        </w:tc>
        <w:tc>
          <w:tcPr>
            <w:tcW w:type="dxa" w:w="4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nomRôle, permissions</w:t>
            </w:r>
          </w:p>
        </w:tc>
        <w:tc>
          <w:tcPr>
            <w:tcW w:type="dxa" w:w="2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Utilisateurs.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AuditLog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acteur, action, cible, date, IP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Traçabilité des actions sensibles.</w:t>
            </w:r>
          </w:p>
        </w:tc>
      </w:tr>
    </w:tbl>
    <w:tbl>
      <w:tblPr>
        <w:tblW w:type="pct" w:w="100%"/>
        <w:tblBorders>
          <w:top w:val="none"/>
          <w:left w:val="single" w:color="2D2E83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9EAF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2D2E83"/>
                <w:sz w:val="20"/>
                <w:szCs w:val="20"/>
              </w:rPr>
              <w:t xml:space="preserve">Portabilité SQL / MongoDB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Le même schéma Prisma fonctionne en SQL (tables) et en MongoDB (collections). Les identifiants et relations sont déclarés de façon compatible.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Les champs de type liste (ex. préfixes d’une règle d’affiliation) sont modélisés de manière portable (table de liaison en SQL, tableau en MongoDB).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5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Modules fonctionnels &amp; routes API</w:t>
      </w:r>
    </w:p>
    <w:p>
      <w:pPr>
        <w:spacing w:after="140" w:line="276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Chaque module expose des routes REST documentées automatiquement dans Swagger. Les accès sont contrôlés par rôle. La liste ci-dessous est normative (les noms exacts peuvent être ajustés à l’implémentation, mais la couverture doit être respectée).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5.1  Authentification (auth)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/auth/register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public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Inscription : nom, prénom, email, mot de passe. Déclenche un OTP par EMAIL.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/auth/email/verify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public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Vérification de l’OTP email → compte vérifié + jetons.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/auth/email/resend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public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Renvoi de l’OTP email (temporisé).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/auth/login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public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Connexion email + mot de passe (avec identifiant d’appareil).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/auth/device/verify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public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Vérification de l’OTP email lors d’une connexion sur un nouvel appareil.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/auth/refresh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auth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Renouvellement du jeton d’accès.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/auth/password/forgot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public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Demande de réinitialisation par email.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/auth/password/reset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public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Réinitialisation via jeton reçu par email.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/auth/logout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auth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Révocation du jeton de rafraîchissement.</w:t>
            </w:r>
          </w:p>
        </w:tc>
      </w:tr>
    </w:tbl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5.2  Utilisateurs (users)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/users/me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Profil du compte courant (nom, prénom, email) + KPI personnels.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PATCH /users/me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Mise à jour du profil.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/users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admin/partner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Liste paginée : nom, prénom, email, nombre de numéros rattachés.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/users/{id}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admin/partner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Détail d’un compte, incluant la liste de ses numéros associés.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PATCH /users/{id}/status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Activer / suspendre le compte.</w:t>
            </w:r>
          </w:p>
        </w:tc>
      </w:tr>
    </w:tbl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5.3  Mes numéros (user_phones)</w:t>
      </w:r>
    </w:p>
    <w:p>
      <w:pPr>
        <w:spacing w:after="140" w:line="276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Module qui matérialise le modèle </w:t>
      </w:r>
      <w:r>
        <w:rPr>
          <w:rFonts w:ascii="Poppins" w:cs="Poppins" w:eastAsia="Poppins" w:hAnsi="Poppins"/>
          <w:b/>
          <w:bCs/>
          <w:i w:val="false"/>
          <w:iCs w:val="false"/>
          <w:color w:val="2D2E83"/>
          <w:sz w:val="21"/>
          <w:szCs w:val="21"/>
        </w:rPr>
        <w:t xml:space="preserve">un compte, plusieurs numéros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. Chaque numéro ajouté est vérifié par un OTP envoyé par SMS sur la ligne concernée, et ne peut être rattaché qu’à un seul compte.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/users/me/phones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Liste des numéros du compte avec leur statut.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/users/me/phones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Ajouter un numéro (pays + valeur). Vérifie l’unicité puis envoie un OTP SMS.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/users/me/phones/{id}/verify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Vérifier l’OTP SMS → numéro marqué vérifié.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/users/me/phones/{id}/resend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Renvoyer l’OTP SMS (temporisé).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DELETE /users/me/phones/{id}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Retirer un numéro du compte.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/users/me/phones/{id}/compromise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Déclarer ce numéro compromis (crée un incident).</w:t>
            </w:r>
          </w:p>
        </w:tc>
      </w:tr>
    </w:tbl>
    <w:tbl>
      <w:tblPr>
        <w:tblW w:type="pct" w:w="100%"/>
        <w:tblBorders>
          <w:top w:val="none"/>
          <w:left w:val="single" w:color="F392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BD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A05A00"/>
                <w:sz w:val="20"/>
                <w:szCs w:val="20"/>
              </w:rPr>
              <w:t xml:space="preserve">Règles métier à respecter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Unicité globale : un numéro déjà rattaché à un compte (vérifié) ne peut pas être ajouté ailleurs — l’API renvoie une erreur explicite.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Aucun numéro « principal » : tous les numéros d’un compte sont égaux.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Un numéro non vérifié n’ouvre aucun droit : seules les lignes vérifiées peuvent être déclarées compromises.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La suppression d’un numéro libère sa valeur, qui redevient rattachable par un autre compte après contrôle.</w:t>
            </w:r>
          </w:p>
        </w:tc>
      </w:tr>
    </w:tbl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5.4  Numéros (numbers)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/numbers/verify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Vérifier un numéro (appelle l’IA) → score &amp; statut.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/numbers/batch-verify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Vérifier une liste (contacts) en une fois.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/numbers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admin/partner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Liste paginée + filtres (statut, pays, opérateur).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/numbers/{id}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admin/partner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Détail + historique de vérification.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PATCH /numbers/{id}/status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admin/partner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Forcer un statut / réanalyse.</w:t>
            </w:r>
          </w:p>
        </w:tc>
      </w:tr>
    </w:tbl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5.5  Signalements (reports)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/reports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Créer un signalement (motif + numéro).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/reports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admin/partner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Liste des signalements (périmètre selon rôle).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PATCH /reports/{id}/validate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Valider / clore un signalement.</w:t>
            </w:r>
          </w:p>
        </w:tc>
      </w:tr>
    </w:tbl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5.6  Transferts (transactions)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/transactions/prepare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Prépare le transfert : vérifie le numéro, renvoie le code USSD.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/transactions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Historique des transferts de l’utilisateur.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/transactions/{id}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Détail d’un transfert.</w:t>
            </w:r>
          </w:p>
        </w:tc>
      </w:tr>
    </w:tbl>
    <w:tbl>
      <w:tblPr>
        <w:tblW w:type="pct" w:w="100%"/>
        <w:tblBorders>
          <w:top w:val="none"/>
          <w:left w:val="single" w:color="F392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BD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A05A00"/>
                <w:sz w:val="20"/>
                <w:szCs w:val="20"/>
              </w:rPr>
              <w:t xml:space="preserve">Le backend ne déplace pas d’argent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KWISMO génère et sécurise le code USSD ; la transaction financière réelle se déroule dans l’interface native de l’opérateur. Le backend ne stocke que des métadonnées (montant, statut, niveau de risque), jamais de code PIN.</w:t>
            </w:r>
          </w:p>
        </w:tc>
      </w:tr>
    </w:tbl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5.7  USSD : Pays / Opérateurs / Actions (ussd)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/countries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Liste des pays (drapeaux/indicatifs) — Cameroun par défaut.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/operators?country=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Opérateurs d’un pays.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/ussd-actions?operator=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Actions &amp; formats USSD d’un opérateur.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/countries · /operators · /ussd-actions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Création (CRUD complet réservé admin).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PATCH/DELETE …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Édition / suppression (admin).</w:t>
            </w:r>
          </w:p>
        </w:tc>
      </w:tr>
    </w:tbl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5.8  Partenaires &amp; affiliation (partners)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/partners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Liste des partenaires.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/partners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Créer un partenaire.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/partners/{id}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Fiche partenaire + KPI.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/partners/{id}/affiliation-rules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Règles d’affiliation (pays + préfixes).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/partners/{id}/affiliation-rules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Ajouter une règle (ex. 69, 651-654, 68).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/partner/scope/*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partner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Vues restreintes au périmètre du partenaire (numéros, users, KPI).</w:t>
            </w:r>
          </w:p>
        </w:tc>
      </w:tr>
    </w:tbl>
    <w:tbl>
      <w:tblPr>
        <w:tblW w:type="pct" w:w="100%"/>
        <w:tblBorders>
          <w:top w:val="none"/>
          <w:left w:val="single" w:color="2FAC6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F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1E7A45"/>
                <w:sz w:val="20"/>
                <w:szCs w:val="20"/>
              </w:rPr>
              <w:t xml:space="preserve">Cloisonnement des données partenaire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Le filtrage par périmètre est appliqué CÔTÉ SERVEUR à chaque requête d’un partenaire : il ne voit que les numéros correspondant à ses règles d’affiliation, et les utilisateurs/KPI qui en découlent.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L’admin peut consulter tout périmètre (mode supervision). Un partenaire n’accède jamais aux données d’un autre.</w:t>
            </w:r>
          </w:p>
        </w:tc>
      </w:tr>
    </w:tbl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5.9  Alerte WhatsApp (whatsapp_alert)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/whatsapp-alerts/incident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Déclarer un compte WhatsApp piraté.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POST /whatsapp-alerts/broadcast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Diffuser l’alerte aux contacts sélectionnés.</w:t>
            </w:r>
          </w:p>
        </w:tc>
      </w:tr>
    </w:tbl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5.10  Enquêtes, KPI, droits, notifications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/surveys/active · POST /surveys/{id}/answer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Récupérer et répondre à une enquête.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/kpi/global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KPI globaux (dashboard admin).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/kpi/partner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partner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KPI du partenaire.</w:t>
            </w:r>
          </w:p>
        </w:tc>
      </w:tr>
      <w:tr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GET/POST /roles · /access-rights</w:t>
            </w:r>
          </w:p>
        </w:tc>
        <w:tc>
          <w:tcPr>
            <w:tcW w:type="dxa" w:w="1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admin</w:t>
            </w:r>
          </w:p>
        </w:tc>
        <w:tc>
          <w:tcPr>
            <w:tcW w:type="dxa" w:w="4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Gestion des rôles &amp; permissions.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GET /notifications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Notifications de l’utilisateur (texte FR/EN).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6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Documentation Swagger / OpenAPI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Génération automatique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FastAPI produit la spécification OpenAPI à partir du code (routes, schémas Pydantic, codes de réponse). Aucune documentation manuelle à maintenir.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Interfaces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Swagger UI (interactif, « essayer la requête ») et ReDoc (lecture) exposés sur /docs et /redoc, protégés en production.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Contenu documenté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chaque route porte un résumé, une description, les paramètres, le corps attendu, les réponses possibles et les erreurs ; les modèles décrivent chaque champ.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Regroupement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les routes sont étiquetées par module (tags) pour une navigation claire dans Swagger.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Export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la spécification openapi.json est exportable pour générer des clients (web/mobile) et pour l’intégration partenaire.</w:t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7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Internationalisation (FR / EN)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Portée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tous les textes destinés à l’humain — notifications, alertes, messages d’erreur, libellés d’enquête, emails de réinitialisation — sont disponibles en français et en anglais.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Sélection de langue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déterminée par l’en-tête de requête (Accept-Language) ou la préférence enregistrée de l’utilisateur ; défaut = français.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Organisation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fichiers locales/fr.json et locales/en.json, avec des clés hiérarchiques (ex. errors.invalid_otp, notifications.suspicious_call). Aucun texte en dur dans le code.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Interpolation &amp; pluriels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variables insérées dans les messages (ex. « Numéro invalide pour {country} ») ; gestion des pluriels.</w:t>
      </w:r>
    </w:p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8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Sécurité renforcée (défense en profondeur)</w:t>
      </w:r>
    </w:p>
    <w:p>
      <w:pPr>
        <w:spacing w:after="140" w:line="276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La sécurité est traitée à plusieurs niveaux : identité, données, application et réseau. Aucun niveau ne suffit seul ; leur combinaison assure la robustesse.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8.1  Authentification &amp; identité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JWT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jeton d’accès de courte durée + jeton de rafraîchissement de plus longue durée, rotatif et révocable.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Mots de passe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hachés avec Argon2 (résistant aux attaques par force brute et GPU) ; jamais stockés en clair.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OTP à deux canaux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par EMAIL pour l’inscription et la connexion depuis un nouvel appareil ; par SMS pour la vérification d’un numéro ajouté au compte. Dans les deux cas : durée de vie courte, usage unique, invalidation après vérification.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Appareils connus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chaque appareil validé est mémorisé ; une connexion depuis un appareil inconnu déclenche une vérification OTP par email.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Anti-force brute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limitation des tentatives de connexion, de vérification d’OTP et d’ajout de numéros, avec verrouillage temporaire progressif.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8.2  Autorisation (RBAC)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Contrôle d’accès basé sur les rôles (user / partner / admin) appliqué par des dépendances FastAPI sur chaque route protégée.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Cloisonnement du périmètre partenaire appliqué systématiquement côté serveur (filtrage des données selon les règles d’affiliation).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8.3  Protection des données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Chiffrement en transit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HTTPS/TLS obligatoire ; redirection du trafic non chiffré.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Chiffrement au repos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chiffrement des champs sensibles (ex. données personnelles) et de la base selon l’hébergement.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Minimisation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on ne collecte que le nécessaire ; les données transmises à l’IA sont réduites au strict besoin (voir §9).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Journal d’audit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traçabilité des actions sensibles (qui, quoi, quand, IP) pour investigation.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8.4  Sécurité applicative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Validation stricte des entrées (Pydantic) : rejet de toute donnée malformée avant traitement.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Protection contre les injections (requêtes paramétrées via Prisma), XSS et CSRF (jetons, en-têtes adaptés).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En-têtes de sécurité HTTP (HSTS, X-Content-Type-Options, X-Frame-Options, Content-Security-Policy).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CORS strict : seules les origines du web et du mobile officiels sont autorisées.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8.5  Protection réseau &amp; anti-attaques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Limitation de débit (rate limiting)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plafonnement des requêtes par IP/utilisateur pour absorber les abus.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Reverse proxy / WAF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passage par un proxy (ex. Nginx) et un pare-feu applicatif filtrant les requêtes malveillantes.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Atténuation DDoS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protection au niveau de l’hébergeur/CDN contre les attaques par déni de service.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Isolation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services conteneurisés, base non exposée publiquement, secrets hors du code (variables d’environnement / coffre).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Signature des échanges partenaires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les webhooks/appels sortants vers les partenaires sont signés pour garantir l’authenticité.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8.6  Conformité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Traitement des données personnelles conforme à la réglementation locale en vigueur ; le consentement des utilisateurs est recueilli par l’application mobile (hors périmètre de ce document).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Politique de conservation et de suppression des données définie ; possibilité d’anonymisation.</w:t>
      </w:r>
    </w:p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9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Communication avec le service IA</w:t>
      </w:r>
    </w:p>
    <w:p>
      <w:pPr>
        <w:spacing w:after="140" w:line="276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Le service IA est un service Python séparé (voir cahier des charges dédié). Il </w:t>
      </w: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ne se connecte jamais directement à la base de données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le backend est son unique interlocuteur. Deux modes de communication coexistent.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9.1  Mode synchrone — prédiction en temps réel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Lors d’une vérification de numéro, le backend appelle le service IA (POST /predict) avec les caractéristiques nécessaires et reçoit un score de risque et un statut.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Robustesse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délai maximal (timeout) défini ; en cas d’indisponibilité de l’IA, repli sur les règles expertes du backend (voir cahier IA) pour ne jamais bloquer l’utilisateur.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9.2  Mode asynchrone — apprentissage continu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À chaque signalement/vérification, le backend transmet la donnée au service IA (file d’attente) qui met à jour son apprentissage et renvoie, le cas échéant, des statuts mis à jour que le backend enregistre.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Aucune intervention manuelle d’administrateur : l’entraînement est déclenché automatiquement, conformément aux diagrammes du projet.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9.3  Contrat d’échange &amp; modèle partagé dans le dépôt Git</w:t>
      </w:r>
    </w:p>
    <w:p>
      <w:pPr>
        <w:spacing w:after="140" w:line="276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Le backend et le service IA vivent dans </w:t>
      </w:r>
      <w:r>
        <w:rPr>
          <w:rFonts w:ascii="Poppins" w:cs="Poppins" w:eastAsia="Poppins" w:hAnsi="Poppins"/>
          <w:b/>
          <w:bCs/>
          <w:i w:val="false"/>
          <w:iCs w:val="false"/>
          <w:color w:val="2D2E83"/>
          <w:sz w:val="21"/>
          <w:szCs w:val="21"/>
        </w:rPr>
        <w:t xml:space="preserve">le même dépôt Git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, dans deux sous-dossiers distincts (kwismo-backend/ et kwismo-ai/). Pour que la communication soit sans friction, trois règles sont imposées.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Contrat d’API partagé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les formats d’échange (entrée /predict, sortie score/statut) sont définis par des schémas communs, documentés dans les deux Swagger, afin qu’aucun des deux services ne « devine » le format de l’autre.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Artefact de modèle accessible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quand l’entraînement produit un nouveau modèle, celui-ci est publié dans un emplacement convenu (dossier partagé monté en volume, ou registre d’artefacts). Le service IA le charge pour l’inférence ; le backend n’a pas besoin du fichier de modèle, il appelle seulement l’API IA.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Orchestration commune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un docker-compose à la racine du dépôt démarre ensemble le backend, la base et le service IA, avec les variables (AI_SERVICE_URL, chemins de modèle) déjà câblées. Un seul « docker compose up » lève tout l’environnement.</w:t>
      </w:r>
    </w:p>
    <w:tbl>
      <w:tblPr>
        <w:tblW w:type="pct" w:w="100%"/>
        <w:tblBorders>
          <w:top w:val="none"/>
          <w:left w:val="single" w:color="2FAC6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F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1E7A45"/>
                <w:sz w:val="20"/>
                <w:szCs w:val="20"/>
              </w:rPr>
              <w:t xml:space="preserve">Résultat attendu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Dès que l’entraînement se termine, le nouveau modèle est immédiatement exploitable par le service IA, et donc par le backend, sans manipulation manuelle ni incompatibilité de format.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Les deux dossiers restent indépendants (équipes séparées) mais parlent le même langage grâce au contrat d’API partagé et à l’orchestration commune.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10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Observabilité, tests &amp; déploiement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10.1  Journalisation &amp; supervision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Journaux structurés (JSON) : requêtes, erreurs, événements de sécurité, appels IA.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Points de contrôle de santé (/health) pour la supervision et l’orchestration.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10.2  Tests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Tests unitaires de la logique métier (services) ; tests d’intégration des routes (pytest + httpx).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Jeux de données de test (seed) reproductibles ; base SQLite en mémoire pour les tests rapides.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10.3  Déploiement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Conteneurisation Docker ; base non exposée publiquement ; secrets en variables d’environnement.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Migrations Prisma appliquées au déploiement ; bascule SQLite → PostgreSQL par simple changement de DATABASE_URL.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Intégration continue : lint, types et tests exécutés à chaque poussée de code.</w:t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11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Livrables attendus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API FastAPI complète couvrant tous les modules du §5, protégée par la sécurité du §8.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Schéma Prisma + migrations, fonctionnant sur SQLite (dev) et prêt pour PostgreSQL (prod).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Documentation Swagger/OpenAPI générée et exportable (openapi.json).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Fichiers de traduction FR/EN complets.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Passerelle IA (synchrone + asynchrone) avec contrat d’API partagé et repli par règles.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Configuration Docker + docker-compose orchestrant backend + base + service IA.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Suite de tests (unitaires + intégration) et jeux de données de seed.</w:t>
      </w:r>
    </w:p>
    <w:p>
      <w:pPr>
        <w:spacing w:after="120"/>
      </w:pPr>
    </w:p>
    <w:p>
      <w:pPr>
        <w:pBdr>
          <w:bottom w:val="single" w:color="D8DEE6" w:sz="8" w:space="2"/>
        </w:pBdr>
        <w:spacing w:after="120" w:before="60"/>
      </w:pPr>
    </w:p>
    <w:p>
      <w:pPr>
        <w:spacing w:before="120"/>
        <w:jc w:val="center"/>
      </w:pPr>
      <w:r>
        <w:rPr>
          <w:rFonts w:ascii="Poppins" w:cs="Poppins" w:eastAsia="Poppins" w:hAnsi="Poppins"/>
          <w:i/>
          <w:iCs/>
          <w:color w:val="5A6B7B"/>
          <w:sz w:val="18"/>
          <w:szCs w:val="18"/>
        </w:rPr>
        <w:t xml:space="preserve">Fin du cahier des charges — KWISMO Backend</w:t>
      </w:r>
    </w:p>
    <w:sectPr>
      <w:headerReference w:type="default" r:id="rId7"/>
      <w:footerReference w:type="default" r:id="rId8"/>
      <w:pgSz w:w="11906" w:h="16838" w:orient="portrait"/>
      <w:pgMar w:top="160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6" w:space="6"/>
      </w:pBdr>
      <w:tabs>
        <w:tab w:val="right" w:pos="9026"/>
      </w:tabs>
    </w:pPr>
    <w:r>
      <w:rPr>
        <w:rFonts w:ascii="Poppins" w:cs="Poppins" w:eastAsia="Poppins" w:hAnsi="Poppins"/>
        <w:color w:val="8A97A6"/>
        <w:sz w:val="15"/>
        <w:szCs w:val="15"/>
      </w:rPr>
      <w:t xml:space="preserve">KWISMO — Confidentiel</w:t>
    </w:r>
    <w:r>
      <w:rPr>
        <w:rFonts w:ascii="Poppins" w:cs="Poppins" w:eastAsia="Poppins" w:hAnsi="Poppins"/>
        <w:sz w:val="15"/>
        <w:szCs w:val="15"/>
      </w:rPr>
      <w:t xml:space="preserve">	</w:t>
    </w:r>
    <w:r>
      <w:rPr>
        <w:rFonts w:ascii="Poppins" w:cs="Poppins" w:eastAsia="Poppins" w:hAnsi="Poppins"/>
        <w:color w:val="8A97A6"/>
        <w:sz w:val="15"/>
        <w:szCs w:val="15"/>
      </w:rPr>
      <w:t xml:space="preserve">Backend  ·  Page </w:t>
    </w:r>
    <w:r>
      <w:rPr>
        <w:rFonts w:ascii="Poppins" w:cs="Poppins" w:eastAsia="Poppins" w:hAnsi="Poppins"/>
        <w:b/>
        <w:bCs/>
        <w:color w:val="5A6B7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Poppins" w:cs="Poppins" w:eastAsia="Poppins" w:hAnsi="Poppins"/>
        <w:color w:val="8A97A6"/>
        <w:sz w:val="15"/>
        <w:szCs w:val="15"/>
      </w:rPr>
      <w:t xml:space="preserve"> / </w:t>
    </w:r>
    <w:r>
      <w:rPr>
        <w:rFonts w:ascii="Poppins" w:cs="Poppins" w:eastAsia="Poppins" w:hAnsi="Poppins"/>
        <w:color w:val="5A6B7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D8DEE6" w:sz="6"/>
        <w:right w:val="none"/>
        <w:insideH w:val="none"/>
        <w:insideV w:val="none"/>
      </w:tblBorders>
    </w:tblPr>
    <w:tblGrid>
      <w:gridCol w:w="2400"/>
      <w:gridCol w:w="6960"/>
    </w:tblGrid>
    <w:tr>
      <w:tc>
        <w:tcPr>
          <w:tcW w:type="dxa" w:w="2400"/>
          <w:tcBorders>
            <w:top w:val="none"/>
            <w:left w:val="none"/>
            <w:bottom w:val="none"/>
            <w:right w:val="none"/>
          </w:tcBorders>
          <w:vAlign w:val="center"/>
        </w:tcPr>
        <w:p>
          <w:r>
            <w:drawing>
              <wp:inline distT="0" distB="0" distL="0" distR="0">
                <wp:extent cx="1123950" cy="3429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60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right"/>
          </w:pPr>
          <w:r>
            <w:rPr>
              <w:rFonts w:ascii="Poppins" w:cs="Poppins" w:eastAsia="Poppins" w:hAnsi="Poppins"/>
              <w:caps/>
              <w:color w:val="5A6B7B"/>
              <w:sz w:val="15"/>
              <w:szCs w:val="15"/>
            </w:rPr>
            <w:t xml:space="preserve">Cahier des charges — Backend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F39200"/>
      </w:rPr>
    </w:lvl>
    <w:lvl w:ilvl="1" w15:tentative="1">
      <w:start w:val="1"/>
      <w:numFmt w:val="bullet"/>
      <w:lvlText w:val="–"/>
      <w:lvlJc w:val="left"/>
      <w:pPr>
        <w:ind w:left="700" w:hanging="200"/>
      </w:pPr>
      <w:rPr>
        <w:color w:val="2FAC66"/>
      </w:rPr>
    </w:lvl>
    <w:lvl w:ilvl="2" w15:tentative="1">
      <w:start w:val="1"/>
      <w:numFmt w:val="bullet"/>
      <w:lvlText w:val="▪"/>
      <w:lvlJc w:val="left"/>
      <w:pPr>
        <w:ind w:left="1060" w:hanging="200"/>
      </w:pPr>
      <w:rPr>
        <w:color w:val="2D2E83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2D2E83"/>
      </w:rPr>
    </w:lvl>
    <w:lvl w:ilvl="1" w15:tentative="1">
      <w:start w:val="1"/>
      <w:numFmt w:val="lowerLetter"/>
      <w:lvlText w:val="%2)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022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Poppins" w:cs="Poppins" w:eastAsia="Poppins" w:hAnsi="Poppins"/>
      <w:b/>
      <w:bCs/>
      <w:color w:val="2D2E8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Poppins" w:cs="Poppins" w:eastAsia="Poppins" w:hAnsi="Poppins"/>
      <w:b/>
      <w:bCs/>
      <w:color w:val="2D2E83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Poppins" w:cs="Poppins" w:eastAsia="Poppins" w:hAnsi="Poppins"/>
      <w:b/>
      <w:bCs/>
      <w:color w:val="2FAC66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Poppins" w:cs="Poppins" w:eastAsia="Poppins" w:hAnsi="Poppins"/>
      <w:b/>
      <w:bCs/>
      <w:color w:val="2022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a56e3ab88dd801d571f66910bc76ecfd63f39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5b86e230085ec1a57889fa163fa65b096d32e2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Backend</dc:title>
  <dc:creator>KWISMO</dc:creator>
  <dc:description>Backend hybride KWISMO</dc:description>
  <cp:lastModifiedBy>Un-named</cp:lastModifiedBy>
  <cp:revision>1</cp:revision>
  <dcterms:created xsi:type="dcterms:W3CDTF">2026-07-23T03:26:45.639Z</dcterms:created>
  <dcterms:modified xsi:type="dcterms:W3CDTF">2026-07-23T03:26:45.640Z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