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A6B7A"/>
          <w:sz w:val="20"/>
          <w:szCs w:val="20"/>
        </w:rPr>
        <w:t xml:space="preserve">Anteproyecto integrador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36"/>
          <w:sz w:val="32"/>
          <w:szCs w:val="32"/>
        </w:rPr>
        <w:t xml:space="preserve">Pipeline de Telemetría para Detección de Amenazas en Ciberseguridad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a4a5a"/>
          <w:sz w:val="22"/>
          <w:szCs w:val="22"/>
        </w:rPr>
        <w:t xml:space="preserve">Arquitectura reproducible de ingesta y análisis de eventos de seguridad para una empresa de software de laboratorio clínico con despliegues on-premise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Asignatura: </w:t>
      </w:r>
      <w:r>
        <w:rPr>
          <w:rFonts w:ascii="Arial" w:cs="Arial" w:eastAsia="Arial" w:hAnsi="Arial"/>
          <w:sz w:val="22"/>
          <w:szCs w:val="22"/>
        </w:rPr>
        <w:t xml:space="preserve">Infraestructura para Ciencia de Datos.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Integrante: </w:t>
      </w:r>
      <w:r>
        <w:rPr>
          <w:rFonts w:ascii="Arial" w:cs="Arial" w:eastAsia="Arial" w:hAnsi="Arial"/>
          <w:sz w:val="22"/>
          <w:szCs w:val="22"/>
        </w:rPr>
        <w:t xml:space="preserve">Koen Wittig.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9 de junio de 2026.</w:t>
      </w:r>
    </w:p>
    <w:p>
      <w:pPr>
        <w:pStyle w:val="Heading1"/>
      </w:pPr>
      <w:r>
        <w:rPr>
          <w:rFonts w:ascii="Arial" w:cs="Arial" w:eastAsia="Arial" w:hAnsi="Arial"/>
        </w:rPr>
        <w:t xml:space="preserve">1. Título tentativo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«Pipeline de telemetría para detección de amenazas en ciberseguridad: arquitectura reproducible de ingesta, normalización y análisis de eventos de seguridad para una empresa de software de laboratorio clínico con despliegues on-premise.» El título expresa el problema (detección de amenazas a partir de telemetría), el dominio (ciberseguridad de una plataforma clínica on-premise) y la dimensión infraestructural (un pipeline de datos por capas, reproducible, no un modelo de detección aislado).</w:t>
      </w:r>
    </w:p>
    <w:p>
      <w:pPr>
        <w:pStyle w:val="Heading1"/>
      </w:pPr>
      <w:r>
        <w:rPr>
          <w:rFonts w:ascii="Arial" w:cs="Arial" w:eastAsia="Arial" w:hAnsi="Arial"/>
        </w:rPr>
        <w:t xml:space="preserve">2. Contexto y problema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caso se sitúa en una empresa de software (en adelante «la Empresa»; los datos del prototipo serán sintéticos) que desarrolla y opera un sistema de información de laboratorio (LIS) instalado on-premise en unos 40 laboratorios clínicos clientes. La huella tecnológica incluye el datacenter propio de la Empresa, los servidores de aplicación y base de datos desplegados en cada sede cliente y cerca de 1.500 endpoints entre servidores y estaciones de trabajo, con accesos remotos de soporte mediante VPN. La operación de seguridad recae en un equipo de TI pequeño (2 a 3 personas con dedicación parcial).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software procesa datos de salud, un activo especialmente sensible y regulado, y los despliegues on-premise quedan fuera de la visibilidad directa del proveedor: cada sede genera sus propios registros, con formatos, husos horarios y retenciones distintos, y no existe una vía común que los reciba, normalice, almacene y sirva. No hay correlación entre sedes ni capacidad de detección casi en tiempo real, y la investigación de un incidente es manual y lenta. Una intrusión —credenciales de soporte comprometidas, ransomware en una sede, movimiento lateral o exfiltración de datos clínicos— puede pasar desapercibida durante días. El problema, antes que de modelos de detección, es de infraestructura de datos: falta el flujo que convierta telemetría dispersa en una base consultable y gobernada.</w:t>
      </w:r>
    </w:p>
    <w:p>
      <w:pPr>
        <w:pStyle w:val="Heading1"/>
      </w:pPr>
      <w:r>
        <w:rPr>
          <w:rFonts w:ascii="Arial" w:cs="Arial" w:eastAsia="Arial" w:hAnsi="Arial"/>
        </w:rPr>
        <w:t xml:space="preserve">3. Necesidad de datos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fuentes son heterogéneas, mayoritariamente semiestructuradas y de alta cadencia. La tabla resume formato, volumen relativo y características de las cinco familias principales, agregadas desde las 40 sedes y el datacenter propio: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400"/>
        <w:gridCol w:w="37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Volumen rel.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Notas (velocidad / variedad / calidad)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Servidores LIS (aplicación y auditoría)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/ texto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Accesos, cambios y errores de la aplicación clínica; esquema propio del producto.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 y EDR (servidores y estaciones)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Eventos de proceso, red y archivo; esquema rico y cambiante.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Firewall / NetFlow / VPN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Clave-valor / binario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Muy alto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Flujos de red y accesos remotos de soporte; alta cadencia, baja semántica por evento.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/ 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Clave para detectar beaconing y dominios sospechosos.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(AD / IdP)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Estructurado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Logins y MFA; central para fuerza bruta y abuso de credenciales de soporte.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>Las cinco V del caso: volumen</w:t>
      </w:r>
      <w:r>
        <w:rPr>
          <w:rFonts w:ascii="Arial" w:cs="Arial" w:eastAsia="Arial" w:hAnsi="Arial"/>
          <w:sz w:val="22"/>
          <w:szCs w:val="22"/>
        </w:rPr>
        <w:t xml:space="preserve"> — punto de diseño de ~1.500 eventos/segundo (EPS) sostenidos agregando todas las sedes y ~4.000 EPS en pico, del orden de 30 GB/día de telemetría cruda y ~11 TB anuales con retención de 12 meses;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velocidad</w:t>
      </w:r>
      <w:r>
        <w:rPr>
          <w:rFonts w:ascii="Arial" w:cs="Arial" w:eastAsia="Arial" w:hAnsi="Arial"/>
          <w:sz w:val="22"/>
          <w:szCs w:val="22"/>
        </w:rPr>
        <w:t xml:space="preserve"> — flujo continuo que exige procesamiento en streaming, no cargas batch nocturnas, porque la detección pierde valor con el retraso;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variedad</w:t>
      </w:r>
      <w:r>
        <w:rPr>
          <w:rFonts w:ascii="Arial" w:cs="Arial" w:eastAsia="Arial" w:hAnsi="Arial"/>
          <w:sz w:val="22"/>
          <w:szCs w:val="22"/>
        </w:rPr>
        <w:t xml:space="preserve"> — múltiples esquemas semiestructurados, con formatos de timestamp y husos distintos;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veracidad/calidad</w:t>
      </w:r>
      <w:r>
        <w:rPr>
          <w:rFonts w:ascii="Arial" w:cs="Arial" w:eastAsia="Arial" w:hAnsi="Arial"/>
          <w:sz w:val="22"/>
          <w:szCs w:val="22"/>
        </w:rPr>
        <w:t xml:space="preserve"> — campos faltantes, marcas de tiempo desfasadas, eventos duplicados, fallos de parseo y fuentes que se caen, todo lo cual debe vigilarse;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— la utilidad surge solo al correlacionar fuentes en una vista común.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Restricciones: </w:t>
      </w:r>
      <w:r>
        <w:rPr>
          <w:rFonts w:ascii="Arial" w:cs="Arial" w:eastAsia="Arial" w:hAnsi="Arial"/>
          <w:sz w:val="22"/>
          <w:szCs w:val="22"/>
        </w:rPr>
        <w:t xml:space="preserve">la telemetría proviene de un entorno que procesa datos de salud, por lo que el pipeline debe ingerir únicamente eventos de seguridad y nunca resultados clínicos ni datos de pacientes (minimización), en línea con la normativa de protección de datos personales y de información de salud (p. ej., la Ley 21.719 en Chile). Por eso, y por sensibilidad operacional, el prototipo del curso usa exclusivamente datos sintéticos generados con patrones realistas, lo que además los hace versionables y reproducibles.</w:t>
      </w:r>
    </w:p>
    <w:p>
      <w:pPr>
        <w:pStyle w:val="Heading1"/>
      </w:pPr>
      <w:r>
        <w:rPr>
          <w:rFonts w:ascii="Arial" w:cs="Arial" w:eastAsia="Arial" w:hAnsi="Arial"/>
        </w:rPr>
        <w:t xml:space="preserve">4. Pregunta o propósito técnico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Pregunta guía: ¿cómo diseñar una infraestructura de datos reproducible y operable por un equipo pequeño que ingiera telemetría heterogénea de seguridad desde despliegues on-premise distribuidos casi en tiempo real, la normalice a un esquema común, la almacene con costos sostenibles para retención prolongada y la sirva tanto para detección en streaming como para investigación histórica, sin ingerir nunca datos clínicos?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Propósito técnico: especificar y validar en prototipo un pipeline que cumpla objetivos medibles de throughput de ingesta, latencia de detección a alerta y latencia de consulta de investigación, manteniendo gobernanza del dato y reproducibilidad de extremo a extremo. El foco es el flujo de datos; la lógica de detección se trata como consumidor del pipeline y se mantiene deliberadamente simple.</w:t>
      </w:r>
    </w:p>
    <w:p>
      <w:pPr>
        <w:pStyle w:val="Heading1"/>
      </w:pPr>
      <w:r>
        <w:rPr>
          <w:rFonts w:ascii="Arial" w:cs="Arial" w:eastAsia="Arial" w:hAnsi="Arial"/>
        </w:rPr>
        <w:t xml:space="preserve">5. Arquitectura preliminar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arquitectura propuesta es un pipeline por capas con almacenamiento de dos niveles. El diagrama muestra el flujo de extremo a extremo y las dos bandas transversales de monitoreo y de seguridad/gobernanza.</w:t>
      </w:r>
    </w:p>
    <w:p>
      <w:pPr>
        <w:spacing w:after="60" w:before="60"/>
        <w:jc w:val="center"/>
      </w:pPr>
      <w:r>
        <w:drawing>
          <wp:inline distT="0" distB="0" distL="0" distR="0">
            <wp:extent cx="58293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Cada componente responde a un requisito declarado, no a una preferencia de herramienta: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Ingesta — </w:t>
      </w:r>
      <w:r>
        <w:rPr>
          <w:rFonts w:ascii="Arial" w:cs="Arial" w:eastAsia="Arial" w:hAnsi="Arial"/>
          <w:sz w:val="22"/>
          <w:szCs w:val="22"/>
        </w:rPr>
        <w:t xml:space="preserve">colectores edge ligeros (Vector o Fluent Bit) en el datacenter y en cada sede cliente filtran y reenvían cifrada solo la telemetría de seguridad hacia un bus central (Apache Kafka); su buffer local tolera cortes de enlace. El bus desacopla productores de consumidores, absorbe picos y, al retener los eventos, permite reprocesar tras una caída: responde a velocidad, distribución y resiliencia.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Procesamiento — </w:t>
      </w:r>
      <w:r>
        <w:rPr>
          <w:rFonts w:ascii="Arial" w:cs="Arial" w:eastAsia="Arial" w:hAnsi="Arial"/>
          <w:sz w:val="22"/>
          <w:szCs w:val="22"/>
        </w:rPr>
        <w:t xml:space="preserve">un procesador de flujo normaliza cada evento a un esquema común (OCSF, Open Cybersecurity Schema Framework) y aplica reglas de detección (formato Sigma) y correlación con baja latencia: responde a variedad, gobernanza y velocidad.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Almacenamiento por capas — </w:t>
      </w:r>
      <w:r>
        <w:rPr>
          <w:rFonts w:ascii="Arial" w:cs="Arial" w:eastAsia="Arial" w:hAnsi="Arial"/>
          <w:sz w:val="22"/>
          <w:szCs w:val="22"/>
        </w:rPr>
        <w:t xml:space="preserve">capa caliente (OpenSearch, ~30 días) para búsqueda interactiva durante la investigación, y capa fría (object store con Parquet sobre Apache Iceberg, ~12 meses) para threat hunting histórico a bajo costo: responde a costo, retención y variedad.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Consumo — </w:t>
      </w:r>
      <w:r>
        <w:rPr>
          <w:rFonts w:ascii="Arial" w:cs="Arial" w:eastAsia="Arial" w:hAnsi="Arial"/>
          <w:sz w:val="22"/>
          <w:szCs w:val="22"/>
        </w:rPr>
        <w:t xml:space="preserve">dashboards, alertas y gestión de casos sobre la capa caliente; consultas analíticas (Trino o Spark) sobre la capa fría.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Monitoreo — </w:t>
      </w:r>
      <w:r>
        <w:rPr>
          <w:rFonts w:ascii="Arial" w:cs="Arial" w:eastAsia="Arial" w:hAnsi="Arial"/>
          <w:sz w:val="22"/>
          <w:szCs w:val="22"/>
        </w:rPr>
        <w:t xml:space="preserve">observabilidad del propio pipeline: lag de consumo, throughput (EPS), eventos descartados, latencia detección→alerta y métricas de calidad de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y gobernanza — </w:t>
      </w:r>
      <w:r>
        <w:rPr>
          <w:rFonts w:ascii="Arial" w:cs="Arial" w:eastAsia="Arial" w:hAnsi="Arial"/>
          <w:sz w:val="22"/>
          <w:szCs w:val="22"/>
        </w:rPr>
        <w:t xml:space="preserve">cifrado en tránsito y reposo, control de acceso por rol, política de retención, minimización de datos (el pipeline nunca ingiere resultados clínicos ni datos de pacientes) y esquema gobernado; un pipeline de seguridad debe estar él mismo endurecido.</w:t>
      </w:r>
    </w:p>
    <w:p>
      <w:pPr>
        <w:pStyle w:val="Heading1"/>
      </w:pPr>
      <w:r>
        <w:rPr>
          <w:rFonts w:ascii="Arial" w:cs="Arial" w:eastAsia="Arial" w:hAnsi="Arial"/>
        </w:rPr>
        <w:t xml:space="preserve">6. Alternativas consideradas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comparan tres aproximaciones de infraestructura, organizadas por el paradigma de almacenamiento y consulta, que es donde se concentran los compromisos para este volumen y horizonte de retención.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Alternativa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Ventajas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Limitaciones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A. Data warehouse (p. ej. ClickHouse)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Consultas muy rápidas; esquema fuerte y consistente.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Costo alto para retención larga; rígido ante esquemas cambiantes; ingestión de variedad más costosa.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B. Data lake (object store + motor de consulta)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Bajo costo; flexible ante variedad; retención larga trivial.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búsqueda interactiva (alta latencia de investigación); gobierno más débil; streaming menos directo.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C. Por capas / lakehouse (seleccionada)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Equilibra latencia de investigación, costo de retención y flexibilidad; gobierno vía OCSF + Iceberg.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Más componentes que operar; se mitiga con contenedores, IaC y alcance acotado.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elige la alternativa C porque ningún nivel único satisface a la vez la búsqueda interactiva reciente (que el warehouse da bien pero caro) y la retención histórica barata (que el lake da bien pero sin latencia de consulta aceptable). La capa caliente cubre la investigación de los últimos 30 días y la fría sostiene el hunting anual; el esquema OCSF y el formato tabular gobernado mantienen la gobernanza. La mayor complejidad operativa es real, pero queda dentro de lo manejable para un equipo pequeño al empaquetar todo en contenedores y declarar la infraestructura como código.</w:t>
      </w:r>
    </w:p>
    <w:p>
      <w:pPr>
        <w:pStyle w:val="Heading1"/>
      </w:pPr>
      <w:r>
        <w:rPr>
          <w:rFonts w:ascii="Arial" w:cs="Arial" w:eastAsia="Arial" w:hAnsi="Arial"/>
        </w:rPr>
        <w:t xml:space="preserve">7. Criterios de evaluación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criterio se asocia a una métrica y a una forma de medirla en el prototipo: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00"/>
        <w:gridCol w:w="3210"/>
      </w:tblGrid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Métrica / objetivo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 se mide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≥1.500 EPS sostenidos sin lag creciente; detección→alerta &lt;60 s; consulta de investigación (30 d) p95 &lt;5 s.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Carga sintética creciente; medición de lag, latencia y p95.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Costo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Minimizar $/GB-mes retenido; proporción caliente/frío sostenible.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Estimación de almacenamiento por capa para 12 meses.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Throughput crece de forma aproximadamente lineal al añadir particiones/consumidores.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con distinto número de particiones.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Reproducibilidad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Entorno levantable desde cero; pipeline re-ejecutable sobre los mismos datos da resultados idénticos.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IaC + contenedores; datos sintéticos versionados.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Gobernanza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% de eventos conformes a OCSF; retención y control de acceso aplicados.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de esquema; revisión de políticas.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Tras caída de almacenamiento, no hay pérdida dentro de la ventana del bus (RPO≈0).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Caída simulada y reproceso desde Kafka.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Número de componentes y esfuerzo operativo acotados; runbooks claros.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cualitativa y documentación.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Prototipo o validación inicial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prototipo será una pila mínima en un solo nodo, orquestada con docker-compose: un generador de datos sintéticos que simula la telemetría de varias sedes e inyecta patrones de ataque conocidos (ráfaga de logins fallidos / fuerza bruta, beaconing periódico por DNS, intento de exfiltración) sobre tráfico de fondo benigno; un colector (Vector); un broker Kafka; un procesador de flujo que normaliza a OCSF y aplica dos o tres reglas Sigma; almacenamiento caliente (OpenSearch) y frío (MinIO con Parquet); y un panel con alertas.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validación demostrará: ingesta sostenida con medición de EPS y lag bajo carga creciente; una detección que dispara una alerta en menos de 60 segundos; una consulta de investigación sobre la capa caliente y un hunting sobre la fría; y el reproceso sin pérdida desde Kafka tras una caída simulada del almacenamiento. Todo el entorno y los datos sintéticos quedan versionados para garantizar reproducibilidad.</w:t>
      </w:r>
    </w:p>
    <w:p>
      <w:pPr>
        <w:pStyle w:val="Heading1"/>
      </w:pPr>
      <w:r>
        <w:rPr>
          <w:rFonts w:ascii="Arial" w:cs="Arial" w:eastAsia="Arial" w:hAnsi="Arial"/>
        </w:rPr>
        <w:t xml:space="preserve">9. Riesgos y restricciones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Validez de los datos sintéticos: </w:t>
      </w:r>
      <w:r>
        <w:rPr>
          <w:rFonts w:ascii="Arial" w:cs="Arial" w:eastAsia="Arial" w:hAnsi="Arial"/>
          <w:sz w:val="22"/>
          <w:szCs w:val="22"/>
        </w:rPr>
        <w:t xml:space="preserve">pueden no reflejar la distribución real del tráfico de las sedes. Mitigación: patrones realistas e inyección de ataques conocidos; se declara como limitación de validez externa.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Complejidad operativa: </w:t>
      </w:r>
      <w:r>
        <w:rPr>
          <w:rFonts w:ascii="Arial" w:cs="Arial" w:eastAsia="Arial" w:hAnsi="Arial"/>
          <w:sz w:val="22"/>
          <w:szCs w:val="22"/>
        </w:rPr>
        <w:t xml:space="preserve">Kafka, procesamiento de flujo e índice de búsqueda son muchas piezas. Mitigación: despliegue en un solo nodo, alcance acotado e infraestructura como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Recursos de cómputo: </w:t>
      </w:r>
      <w:r>
        <w:rPr>
          <w:rFonts w:ascii="Arial" w:cs="Arial" w:eastAsia="Arial" w:hAnsi="Arial"/>
          <w:sz w:val="22"/>
          <w:szCs w:val="22"/>
        </w:rPr>
        <w:t xml:space="preserve">la pila puede exceder el equipo de un estudiante. Mitigación: perfil mínimo y tasas de eventos reducidas en la demostración.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y alcance: </w:t>
      </w:r>
      <w:r>
        <w:rPr>
          <w:rFonts w:ascii="Arial" w:cs="Arial" w:eastAsia="Arial" w:hAnsi="Arial"/>
          <w:sz w:val="22"/>
          <w:szCs w:val="22"/>
        </w:rPr>
        <w:t xml:space="preserve">la calidad de detección (falsos positivos) es un problema de investigación. Mitigación: detección deliberadamente simple; el foco evaluado es la infraestructura.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Conectividad de sedes: </w:t>
      </w:r>
      <w:r>
        <w:rPr>
          <w:rFonts w:ascii="Arial" w:cs="Arial" w:eastAsia="Arial" w:hAnsi="Arial"/>
          <w:sz w:val="22"/>
          <w:szCs w:val="22"/>
        </w:rPr>
        <w:t xml:space="preserve">los enlaces de los laboratorios pueden caerse o degradarse. Mitigación: buffer local en el colector edge y reenvío diferido al recuperar el enlace.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del prototipo: </w:t>
      </w:r>
      <w:r>
        <w:rPr>
          <w:rFonts w:ascii="Arial" w:cs="Arial" w:eastAsia="Arial" w:hAnsi="Arial"/>
          <w:sz w:val="22"/>
          <w:szCs w:val="22"/>
        </w:rPr>
        <w:t xml:space="preserve">gestión de secretos y servicios no expuestos; el prototipo no procesa datos reales ni información de salud.</w:t>
      </w:r>
    </w:p>
    <w:p>
      <w:pPr>
        <w:pStyle w:val="Heading1"/>
      </w:pPr>
      <w:r>
        <w:rPr>
          <w:rFonts w:ascii="Arial" w:cs="Arial" w:eastAsia="Arial" w:hAnsi="Arial"/>
        </w:rPr>
        <w:t xml:space="preserve">10. Plan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880"/>
        <w:gridCol w:w="188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(sem.)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Actividades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(1–2)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detallado y generador de datos sintéticos.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Especificación + dataset sintético versionado.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(3–4)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Colectores, bus Kafka y normalización a OCSF.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de ingesta funcionando.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(5–6)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Almacenamiento por capas y reglas de detección.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Detección de extremo a extremo.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Almacenam. / Detección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(7)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Consumo (panel, alertas) y observabilidad.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Tablero + métricas del pipeline.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Observabilidad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(8)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de carga y resiliencia; medición de criterios.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final + demostración.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el grupo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Los responsables son indicativos y se ajustarán al tamaño real del grupo; los hitos coinciden con cada entregable de fase.</w:t>
      </w:r>
    </w:p>
    <w:p>
      <w:pPr>
        <w:pStyle w:val="Heading1"/>
      </w:pPr>
      <w:r>
        <w:rPr>
          <w:rFonts w:ascii="Arial" w:cs="Arial" w:eastAsia="Arial" w:hAnsi="Arial"/>
        </w:rPr>
        <w:t xml:space="preserve">11. Referencias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Kleppmann, M. (2017). Designing Data-Intensive Applications. O'Reilly Media.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Armbrust, M. et al. (2021). Lakehouse: A New Generation of Open Platforms that Unify Data Warehousing and Advanced Analytics. CIDR 2021.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National Institute of Standards and Technology (2006). SP 800-92: Guide to Computer Security Log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MITRE ATT&amp;CK Framework. The MITRE Corporation. https://attack.mitre.org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 Cybersecurity Schema Framework (OCSF). https://schema.ocsf.io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SigmaHQ — Generic signature format for SIEM systems. https://github.com/SigmaHQ/sigma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Documentación de Apache Kafka, Apache Iceberg, OpenSearch y Vector (sitios oficiales de cada proyecto).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Material de la asignatura: unidades de ingesta, almacenamiento por capas, procesamiento de flujo y gobierno de datos.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2A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16c62705a19c58818814c1718c2fc03e5d79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2026-06-10T02:49:12.716Z</dcterms:created>
  <dcterms:modified xsi:type="dcterms:W3CDTF">2026-06-10T02:49:12.717Z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