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8403" w14:textId="77777777" w:rsidR="00E65DD6" w:rsidRDefault="00E65DD6">
      <w:pPr>
        <w:spacing w:line="240" w:lineRule="auto"/>
        <w:jc w:val="both"/>
        <w:rPr>
          <w:sz w:val="22"/>
        </w:rPr>
      </w:pPr>
    </w:p>
    <w:p w14:paraId="731E5C93" w14:textId="77777777" w:rsidR="00E65DD6" w:rsidRDefault="00E65DD6">
      <w:pPr>
        <w:spacing w:line="240" w:lineRule="auto"/>
        <w:jc w:val="both"/>
        <w:rPr>
          <w:sz w:val="22"/>
        </w:rPr>
      </w:pPr>
    </w:p>
    <w:p w14:paraId="6ED26C69" w14:textId="77777777" w:rsidR="00E65DD6" w:rsidRDefault="00E65DD6">
      <w:pPr>
        <w:spacing w:line="320" w:lineRule="atLeast"/>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LACO/HQ/127</w:t>
      </w:r>
    </w:p>
    <w:p w14:paraId="1995DF79" w14:textId="77777777" w:rsidR="00E65DD6" w:rsidRDefault="00E65DD6">
      <w:pPr>
        <w:spacing w:line="240" w:lineRule="auto"/>
        <w:jc w:val="both"/>
        <w:rPr>
          <w:sz w:val="22"/>
        </w:rPr>
      </w:pPr>
    </w:p>
    <w:p w14:paraId="25AAEB04" w14:textId="77777777" w:rsidR="00E65DD6" w:rsidRDefault="00E65DD6">
      <w:pPr>
        <w:jc w:val="both"/>
        <w:rPr>
          <w:sz w:val="22"/>
        </w:rPr>
      </w:pPr>
    </w:p>
    <w:p w14:paraId="2906CBED" w14:textId="77777777" w:rsidR="00E65DD6" w:rsidRDefault="00E65DD6">
      <w:pPr>
        <w:spacing w:line="240" w:lineRule="auto"/>
        <w:jc w:val="right"/>
        <w:rPr>
          <w:rFonts w:ascii="Times New Roman" w:hAnsi="Times New Roman"/>
          <w:sz w:val="22"/>
        </w:rPr>
      </w:pPr>
      <w:r>
        <w:rPr>
          <w:rFonts w:ascii="Times New Roman" w:hAnsi="Times New Roman"/>
          <w:sz w:val="22"/>
        </w:rPr>
        <w:t>29 May 1997</w:t>
      </w:r>
    </w:p>
    <w:p w14:paraId="04CA03EA" w14:textId="77777777" w:rsidR="00E65DD6" w:rsidRDefault="00E65DD6">
      <w:pPr>
        <w:jc w:val="right"/>
        <w:rPr>
          <w:sz w:val="22"/>
        </w:rPr>
      </w:pPr>
    </w:p>
    <w:p w14:paraId="5504E00E" w14:textId="77777777" w:rsidR="00E65DD6" w:rsidRDefault="00E65DD6">
      <w:pPr>
        <w:spacing w:line="240" w:lineRule="auto"/>
        <w:jc w:val="center"/>
        <w:rPr>
          <w:rFonts w:ascii="Times New Roman" w:hAnsi="Times New Roman"/>
          <w:b/>
          <w:sz w:val="22"/>
        </w:rPr>
      </w:pPr>
      <w:r>
        <w:rPr>
          <w:rFonts w:ascii="Times New Roman" w:hAnsi="Times New Roman"/>
          <w:b/>
          <w:sz w:val="22"/>
        </w:rPr>
        <w:t>Legal Advisory and Conveyancing Office</w:t>
      </w:r>
    </w:p>
    <w:p w14:paraId="37144DD5" w14:textId="77777777" w:rsidR="00E65DD6" w:rsidRDefault="00E65DD6">
      <w:pPr>
        <w:spacing w:line="240" w:lineRule="auto"/>
        <w:jc w:val="center"/>
        <w:rPr>
          <w:rFonts w:ascii="Times New Roman" w:hAnsi="Times New Roman"/>
          <w:b/>
          <w:sz w:val="22"/>
          <w:u w:val="single"/>
        </w:rPr>
      </w:pPr>
      <w:r>
        <w:rPr>
          <w:rFonts w:ascii="Times New Roman" w:hAnsi="Times New Roman"/>
          <w:b/>
          <w:sz w:val="22"/>
          <w:u w:val="single"/>
        </w:rPr>
        <w:t>Circular Memorandum No. 24</w:t>
      </w:r>
      <w:r>
        <w:rPr>
          <w:rFonts w:ascii="Times New Roman" w:hAnsi="Times New Roman"/>
          <w:b/>
          <w:sz w:val="22"/>
          <w:u w:val="single"/>
        </w:rPr>
        <w:tab/>
      </w:r>
    </w:p>
    <w:p w14:paraId="20FAA891" w14:textId="77777777" w:rsidR="00E65DD6" w:rsidRDefault="00E65DD6">
      <w:pPr>
        <w:spacing w:line="240" w:lineRule="auto"/>
        <w:jc w:val="center"/>
        <w:rPr>
          <w:rFonts w:ascii="Times New Roman" w:hAnsi="Times New Roman"/>
          <w:b/>
          <w:sz w:val="22"/>
          <w:u w:val="single"/>
        </w:rPr>
      </w:pPr>
    </w:p>
    <w:p w14:paraId="4B218164" w14:textId="77777777" w:rsidR="00E65DD6" w:rsidRDefault="00E65DD6">
      <w:pPr>
        <w:spacing w:line="240" w:lineRule="auto"/>
        <w:jc w:val="center"/>
        <w:rPr>
          <w:rFonts w:ascii="Times New Roman" w:hAnsi="Times New Roman"/>
          <w:b/>
          <w:sz w:val="22"/>
        </w:rPr>
      </w:pPr>
      <w:r>
        <w:rPr>
          <w:rFonts w:ascii="Times New Roman" w:hAnsi="Times New Roman"/>
          <w:b/>
          <w:sz w:val="22"/>
        </w:rPr>
        <w:t>Lands Department Consent Scheme -</w:t>
      </w:r>
    </w:p>
    <w:p w14:paraId="5F6DB470" w14:textId="77777777" w:rsidR="00E65DD6" w:rsidRDefault="00E65DD6">
      <w:pPr>
        <w:spacing w:line="240" w:lineRule="auto"/>
        <w:jc w:val="center"/>
        <w:rPr>
          <w:rFonts w:ascii="Times New Roman" w:hAnsi="Times New Roman"/>
          <w:b/>
          <w:sz w:val="22"/>
        </w:rPr>
      </w:pPr>
      <w:r>
        <w:rPr>
          <w:rFonts w:ascii="Times New Roman" w:hAnsi="Times New Roman"/>
          <w:b/>
          <w:sz w:val="22"/>
        </w:rPr>
        <w:t>Residential developments subject to the conditions</w:t>
      </w:r>
    </w:p>
    <w:p w14:paraId="0EB02819" w14:textId="77777777" w:rsidR="00E65DD6" w:rsidRDefault="00E65DD6">
      <w:pPr>
        <w:spacing w:line="240" w:lineRule="auto"/>
        <w:jc w:val="center"/>
        <w:rPr>
          <w:sz w:val="22"/>
          <w:u w:val="single"/>
        </w:rPr>
      </w:pPr>
      <w:r>
        <w:rPr>
          <w:rFonts w:ascii="Times New Roman" w:hAnsi="Times New Roman"/>
          <w:b/>
          <w:sz w:val="22"/>
          <w:u w:val="single"/>
        </w:rPr>
        <w:t>of the Task Force on Land Supply &amp; Property Prices</w:t>
      </w:r>
    </w:p>
    <w:p w14:paraId="16FF00C8" w14:textId="77777777" w:rsidR="00E65DD6" w:rsidRDefault="00E65DD6">
      <w:pPr>
        <w:spacing w:line="240" w:lineRule="auto"/>
        <w:jc w:val="both"/>
        <w:rPr>
          <w:sz w:val="22"/>
        </w:rPr>
      </w:pPr>
    </w:p>
    <w:p w14:paraId="4FCDA6E3" w14:textId="77777777" w:rsidR="00E65DD6" w:rsidRDefault="00E65DD6">
      <w:pPr>
        <w:spacing w:line="240" w:lineRule="auto"/>
        <w:jc w:val="both"/>
        <w:rPr>
          <w:rFonts w:ascii="Times New Roman" w:hAnsi="Times New Roman"/>
          <w:sz w:val="22"/>
        </w:rPr>
      </w:pPr>
      <w:r>
        <w:rPr>
          <w:rFonts w:ascii="Times New Roman" w:hAnsi="Times New Roman"/>
          <w:sz w:val="22"/>
        </w:rPr>
        <w:tab/>
      </w:r>
      <w:r>
        <w:rPr>
          <w:rFonts w:ascii="Times New Roman" w:hAnsi="Times New Roman"/>
          <w:sz w:val="22"/>
        </w:rPr>
        <w:tab/>
        <w:t>The Government ha</w:t>
      </w:r>
      <w:r>
        <w:rPr>
          <w:rFonts w:ascii="Times New Roman" w:hAnsi="Times New Roman"/>
          <w:sz w:val="22"/>
        </w:rPr>
        <w:t>s announced on 26th March 1997 a number of additional measures to stabilize the residential property market and to increase flat supply.  Pre-sale applications received on or after 26th March 1997 will be subject to the additional measures set out below.</w:t>
      </w:r>
    </w:p>
    <w:p w14:paraId="1F882F14" w14:textId="77777777" w:rsidR="00E65DD6" w:rsidRDefault="00E65DD6">
      <w:pPr>
        <w:spacing w:line="240" w:lineRule="auto"/>
        <w:jc w:val="both"/>
        <w:rPr>
          <w:sz w:val="22"/>
        </w:rPr>
      </w:pPr>
    </w:p>
    <w:p w14:paraId="4682D939" w14:textId="77777777" w:rsidR="00E65DD6" w:rsidRDefault="00E65DD6">
      <w:pPr>
        <w:spacing w:line="240" w:lineRule="auto"/>
        <w:jc w:val="both"/>
        <w:rPr>
          <w:rFonts w:ascii="Times New Roman" w:hAnsi="Times New Roman"/>
          <w:sz w:val="22"/>
        </w:rPr>
      </w:pPr>
      <w:r>
        <w:rPr>
          <w:rFonts w:ascii="Times New Roman" w:hAnsi="Times New Roman"/>
          <w:sz w:val="22"/>
        </w:rPr>
        <w:tab/>
      </w:r>
      <w:r>
        <w:rPr>
          <w:rFonts w:ascii="Times New Roman" w:hAnsi="Times New Roman"/>
          <w:sz w:val="22"/>
        </w:rPr>
        <w:tab/>
        <w:t>With immediate effect, pre-sale consents in these cases will be given not more than 15 months before the Authorized Person</w:t>
      </w:r>
      <w:r>
        <w:rPr>
          <w:sz w:val="22"/>
        </w:rPr>
        <w:t>’</w:t>
      </w:r>
      <w:r>
        <w:rPr>
          <w:rFonts w:ascii="Times New Roman" w:hAnsi="Times New Roman"/>
          <w:sz w:val="22"/>
        </w:rPr>
        <w:t xml:space="preserve">s estimated date of completion of the development by compliance with the conditions of grant.  To this extent, LACO CM Nos. 7 (and </w:t>
      </w:r>
      <w:r>
        <w:rPr>
          <w:rFonts w:ascii="Times New Roman" w:hAnsi="Times New Roman"/>
          <w:sz w:val="22"/>
        </w:rPr>
        <w:t>paragraph 1 of Annex) and 16 are amended accordingly.</w:t>
      </w:r>
    </w:p>
    <w:p w14:paraId="24D43A13" w14:textId="77777777" w:rsidR="00E65DD6" w:rsidRDefault="00E65DD6">
      <w:pPr>
        <w:spacing w:line="240" w:lineRule="auto"/>
        <w:jc w:val="both"/>
        <w:rPr>
          <w:sz w:val="22"/>
        </w:rPr>
      </w:pPr>
    </w:p>
    <w:p w14:paraId="7CC4A09F" w14:textId="77777777" w:rsidR="00E65DD6" w:rsidRDefault="00E65DD6">
      <w:pPr>
        <w:spacing w:line="240" w:lineRule="auto"/>
        <w:jc w:val="both"/>
        <w:rPr>
          <w:rFonts w:ascii="Times New Roman" w:hAnsi="Times New Roman"/>
          <w:sz w:val="22"/>
        </w:rPr>
      </w:pPr>
      <w:r>
        <w:rPr>
          <w:rFonts w:ascii="Times New Roman" w:hAnsi="Times New Roman"/>
          <w:sz w:val="22"/>
        </w:rPr>
        <w:tab/>
      </w:r>
      <w:r>
        <w:rPr>
          <w:rFonts w:ascii="Times New Roman" w:hAnsi="Times New Roman"/>
          <w:sz w:val="22"/>
        </w:rPr>
        <w:tab/>
        <w:t>A new term will be imposed in consent letters requiring the developers to offer for sale all units (including those for private sales) which are the subject of the particular consent letter within 6 months from the issue of the consent.  It should be noted that the consent issued will lapse on expiration of the 6 months period and developers will need to apply to this Office for renewal or extension if they wish to offer the units for sale outside the</w:t>
      </w:r>
      <w:r>
        <w:rPr>
          <w:rFonts w:ascii="Times New Roman" w:hAnsi="Times New Roman"/>
          <w:sz w:val="22"/>
        </w:rPr>
        <w:t xml:space="preserve"> 6 months period but before the issue of the Certificate of Compliance.</w:t>
      </w:r>
    </w:p>
    <w:p w14:paraId="1E52FD08" w14:textId="77777777" w:rsidR="00E65DD6" w:rsidRDefault="00E65DD6">
      <w:pPr>
        <w:spacing w:line="240" w:lineRule="auto"/>
        <w:jc w:val="both"/>
        <w:rPr>
          <w:sz w:val="22"/>
        </w:rPr>
      </w:pPr>
    </w:p>
    <w:p w14:paraId="70C1ECC0" w14:textId="77777777" w:rsidR="00E65DD6" w:rsidRDefault="00E65DD6">
      <w:pPr>
        <w:spacing w:line="240" w:lineRule="auto"/>
        <w:jc w:val="both"/>
        <w:rPr>
          <w:rFonts w:ascii="Times New Roman" w:hAnsi="Times New Roman"/>
          <w:sz w:val="22"/>
        </w:rPr>
      </w:pPr>
      <w:r>
        <w:rPr>
          <w:rFonts w:ascii="Times New Roman" w:hAnsi="Times New Roman"/>
          <w:sz w:val="22"/>
        </w:rPr>
        <w:tab/>
      </w:r>
      <w:r>
        <w:rPr>
          <w:rFonts w:ascii="Times New Roman" w:hAnsi="Times New Roman"/>
          <w:sz w:val="22"/>
        </w:rPr>
        <w:tab/>
        <w:t>To ensure that a reasonable number of flats will be put onto the market on each occasion, the developers will be required to offer for sale on each occasion not less than 20% of the flats subject to the consent and which are to be made available for public sale.</w:t>
      </w:r>
    </w:p>
    <w:p w14:paraId="5AA48194" w14:textId="77777777" w:rsidR="00E65DD6" w:rsidRDefault="00E65DD6">
      <w:pPr>
        <w:spacing w:line="240" w:lineRule="auto"/>
        <w:jc w:val="both"/>
        <w:rPr>
          <w:sz w:val="22"/>
        </w:rPr>
      </w:pPr>
    </w:p>
    <w:p w14:paraId="740BE01B" w14:textId="77777777" w:rsidR="00E65DD6" w:rsidRDefault="00E65DD6">
      <w:pPr>
        <w:spacing w:line="240" w:lineRule="auto"/>
        <w:jc w:val="both"/>
        <w:rPr>
          <w:rFonts w:ascii="Times New Roman" w:hAnsi="Times New Roman"/>
          <w:sz w:val="22"/>
        </w:rPr>
      </w:pPr>
      <w:r>
        <w:rPr>
          <w:rFonts w:ascii="Times New Roman" w:hAnsi="Times New Roman"/>
          <w:sz w:val="22"/>
        </w:rPr>
        <w:tab/>
      </w:r>
      <w:r>
        <w:rPr>
          <w:rFonts w:ascii="Times New Roman" w:hAnsi="Times New Roman"/>
          <w:sz w:val="22"/>
        </w:rPr>
        <w:tab/>
        <w:t>I would also take this opportunity to emphasise again that developers are encouraged to submit pre-sale applications and Deeds of Mutual Covenants for approval any time we</w:t>
      </w:r>
      <w:r>
        <w:rPr>
          <w:rFonts w:ascii="Times New Roman" w:hAnsi="Times New Roman"/>
          <w:sz w:val="22"/>
        </w:rPr>
        <w:t>ll before the 15 months period, so long as their applications meet and comply with all the pre-requisites for submission.</w:t>
      </w:r>
    </w:p>
    <w:p w14:paraId="06A167BE" w14:textId="77777777" w:rsidR="00E65DD6" w:rsidRDefault="00E65DD6">
      <w:pPr>
        <w:spacing w:line="240" w:lineRule="auto"/>
        <w:jc w:val="both"/>
        <w:rPr>
          <w:sz w:val="22"/>
        </w:rPr>
      </w:pPr>
    </w:p>
    <w:p w14:paraId="7915A848" w14:textId="77777777" w:rsidR="00E65DD6" w:rsidRDefault="00E65DD6">
      <w:pPr>
        <w:spacing w:line="240" w:lineRule="auto"/>
        <w:jc w:val="both"/>
        <w:rPr>
          <w:sz w:val="22"/>
        </w:rPr>
      </w:pPr>
    </w:p>
    <w:p w14:paraId="4EE5BE34" w14:textId="77777777" w:rsidR="00E65DD6" w:rsidRDefault="00E65DD6">
      <w:pPr>
        <w:spacing w:line="240" w:lineRule="auto"/>
        <w:jc w:val="both"/>
        <w:rPr>
          <w:sz w:val="22"/>
        </w:rPr>
      </w:pPr>
    </w:p>
    <w:p w14:paraId="5EBEA808" w14:textId="77777777" w:rsidR="00E65DD6" w:rsidRDefault="00E65DD6">
      <w:pPr>
        <w:spacing w:line="240" w:lineRule="auto"/>
        <w:jc w:val="both"/>
        <w:rPr>
          <w:sz w:val="22"/>
        </w:rPr>
      </w:pPr>
    </w:p>
    <w:p w14:paraId="53411E43" w14:textId="77777777" w:rsidR="00E65DD6" w:rsidRDefault="00E65DD6">
      <w:pPr>
        <w:tabs>
          <w:tab w:val="center" w:pos="6840"/>
        </w:tabs>
        <w:spacing w:line="240" w:lineRule="auto"/>
        <w:jc w:val="both"/>
        <w:rPr>
          <w:rFonts w:ascii="Times New Roman" w:hAnsi="Times New Roman"/>
          <w:sz w:val="22"/>
        </w:rPr>
      </w:pPr>
      <w:r>
        <w:rPr>
          <w:rFonts w:ascii="Times New Roman" w:hAnsi="Times New Roman"/>
          <w:sz w:val="22"/>
        </w:rPr>
        <w:tab/>
        <w:t>(T. E. Berry)</w:t>
      </w:r>
    </w:p>
    <w:p w14:paraId="0432C4A3" w14:textId="77777777" w:rsidR="00E65DD6" w:rsidRDefault="00E65DD6">
      <w:pPr>
        <w:tabs>
          <w:tab w:val="center" w:pos="6840"/>
        </w:tabs>
        <w:spacing w:line="240" w:lineRule="auto"/>
        <w:jc w:val="both"/>
        <w:rPr>
          <w:rFonts w:ascii="Times New Roman" w:hAnsi="Times New Roman"/>
          <w:sz w:val="22"/>
        </w:rPr>
      </w:pPr>
      <w:r>
        <w:rPr>
          <w:rFonts w:ascii="Times New Roman" w:hAnsi="Times New Roman"/>
          <w:sz w:val="22"/>
        </w:rPr>
        <w:tab/>
        <w:t>Principal Solicitor</w:t>
      </w:r>
    </w:p>
    <w:p w14:paraId="2AAE61F4" w14:textId="77777777" w:rsidR="00E65DD6" w:rsidRDefault="00E65DD6">
      <w:pPr>
        <w:tabs>
          <w:tab w:val="center" w:pos="6840"/>
        </w:tabs>
        <w:spacing w:line="240" w:lineRule="auto"/>
        <w:jc w:val="both"/>
        <w:rPr>
          <w:rFonts w:ascii="Times New Roman" w:hAnsi="Times New Roman"/>
          <w:sz w:val="22"/>
        </w:rPr>
      </w:pPr>
      <w:r>
        <w:rPr>
          <w:rFonts w:ascii="Times New Roman" w:hAnsi="Times New Roman"/>
          <w:sz w:val="22"/>
        </w:rPr>
        <w:tab/>
        <w:t>for Director of Lands</w:t>
      </w:r>
    </w:p>
    <w:p w14:paraId="7EF0A514" w14:textId="77777777" w:rsidR="00E65DD6" w:rsidRDefault="00E65DD6">
      <w:pPr>
        <w:spacing w:line="240" w:lineRule="auto"/>
        <w:jc w:val="both"/>
        <w:rPr>
          <w:sz w:val="22"/>
        </w:rPr>
      </w:pPr>
    </w:p>
    <w:p w14:paraId="70F9EF7E" w14:textId="77777777" w:rsidR="00E65DD6" w:rsidRDefault="00E65DD6">
      <w:pPr>
        <w:spacing w:line="240" w:lineRule="auto"/>
        <w:jc w:val="both"/>
        <w:rPr>
          <w:sz w:val="22"/>
        </w:rPr>
      </w:pPr>
    </w:p>
    <w:p w14:paraId="3F659F19" w14:textId="77777777" w:rsidR="00E65DD6" w:rsidRDefault="00E65DD6">
      <w:pPr>
        <w:spacing w:line="240" w:lineRule="auto"/>
        <w:jc w:val="both"/>
        <w:rPr>
          <w:rFonts w:ascii="Times New Roman" w:hAnsi="Times New Roman"/>
          <w:sz w:val="22"/>
        </w:rPr>
      </w:pPr>
      <w:r>
        <w:rPr>
          <w:rFonts w:ascii="Times New Roman" w:hAnsi="Times New Roman"/>
          <w:sz w:val="22"/>
        </w:rPr>
        <w:t>To : All Solicitors</w:t>
      </w:r>
    </w:p>
    <w:p w14:paraId="38955255" w14:textId="77777777" w:rsidR="00E65DD6" w:rsidRDefault="00E65DD6">
      <w:pPr>
        <w:spacing w:line="240" w:lineRule="auto"/>
        <w:jc w:val="both"/>
        <w:rPr>
          <w:rFonts w:ascii="Times New Roman" w:hAnsi="Times New Roman"/>
          <w:sz w:val="22"/>
        </w:rPr>
      </w:pPr>
      <w:r>
        <w:rPr>
          <w:rFonts w:ascii="Times New Roman" w:hAnsi="Times New Roman"/>
          <w:sz w:val="22"/>
        </w:rPr>
        <w:t>bcc. LACO 7/316/61 XV</w:t>
      </w:r>
    </w:p>
    <w:p w14:paraId="53844EF6" w14:textId="77777777" w:rsidR="00E65DD6" w:rsidRDefault="00E65DD6">
      <w:pPr>
        <w:spacing w:line="240" w:lineRule="auto"/>
        <w:jc w:val="both"/>
        <w:rPr>
          <w:rFonts w:ascii="Times New Roman" w:hAnsi="Times New Roman"/>
          <w:sz w:val="22"/>
        </w:rPr>
      </w:pPr>
    </w:p>
    <w:p w14:paraId="15D6032B" w14:textId="77777777" w:rsidR="00E65DD6" w:rsidRDefault="00E65DD6">
      <w:pPr>
        <w:spacing w:line="240" w:lineRule="auto"/>
        <w:ind w:left="450" w:hanging="450"/>
        <w:jc w:val="both"/>
        <w:rPr>
          <w:rFonts w:ascii="Times New Roman" w:hAnsi="Times New Roman"/>
          <w:sz w:val="22"/>
        </w:rPr>
      </w:pPr>
      <w:r>
        <w:rPr>
          <w:rFonts w:ascii="Times New Roman" w:hAnsi="Times New Roman"/>
          <w:sz w:val="22"/>
        </w:rPr>
        <w:tab/>
        <w:t>For Legal Officers and LCOs only - a copy of the revised term (q) of the standard draft Consent Letter is enclosed for your use.</w:t>
      </w:r>
      <w:r>
        <w:rPr>
          <w:rFonts w:ascii="Times New Roman" w:hAnsi="Times New Roman"/>
          <w:sz w:val="22"/>
        </w:rPr>
        <w:br w:type="page"/>
      </w:r>
    </w:p>
    <w:tbl>
      <w:tblPr>
        <w:tblW w:w="0" w:type="auto"/>
        <w:tblLayout w:type="fixed"/>
        <w:tblCellMar>
          <w:left w:w="28" w:type="dxa"/>
          <w:right w:w="28" w:type="dxa"/>
        </w:tblCellMar>
        <w:tblLook w:val="0000" w:firstRow="0" w:lastRow="0" w:firstColumn="0" w:lastColumn="0" w:noHBand="0" w:noVBand="0"/>
      </w:tblPr>
      <w:tblGrid>
        <w:gridCol w:w="748"/>
        <w:gridCol w:w="720"/>
        <w:gridCol w:w="7616"/>
      </w:tblGrid>
      <w:tr w:rsidR="00000000" w14:paraId="5454AE85" w14:textId="77777777">
        <w:tblPrEx>
          <w:tblCellMar>
            <w:top w:w="0" w:type="dxa"/>
            <w:bottom w:w="0" w:type="dxa"/>
          </w:tblCellMar>
        </w:tblPrEx>
        <w:trPr>
          <w:cantSplit/>
        </w:trPr>
        <w:tc>
          <w:tcPr>
            <w:tcW w:w="748" w:type="dxa"/>
          </w:tcPr>
          <w:p w14:paraId="4E444D41" w14:textId="77777777" w:rsidR="00E65DD6" w:rsidRDefault="00E65DD6">
            <w:pPr>
              <w:spacing w:line="480" w:lineRule="atLeast"/>
              <w:jc w:val="both"/>
              <w:rPr>
                <w:rFonts w:ascii="Times New Roman" w:hAnsi="Times New Roman"/>
                <w:sz w:val="22"/>
              </w:rPr>
            </w:pPr>
            <w:r>
              <w:rPr>
                <w:rFonts w:ascii="Times New Roman" w:hAnsi="Times New Roman"/>
                <w:sz w:val="22"/>
              </w:rPr>
              <w:t>(q)</w:t>
            </w:r>
          </w:p>
        </w:tc>
        <w:tc>
          <w:tcPr>
            <w:tcW w:w="720" w:type="dxa"/>
          </w:tcPr>
          <w:p w14:paraId="2D549F24" w14:textId="77777777" w:rsidR="00E65DD6" w:rsidRDefault="00E65DD6">
            <w:pPr>
              <w:spacing w:line="480" w:lineRule="atLeast"/>
              <w:jc w:val="both"/>
              <w:rPr>
                <w:rFonts w:ascii="Times New Roman" w:hAnsi="Times New Roman"/>
                <w:sz w:val="22"/>
              </w:rPr>
            </w:pPr>
            <w:r>
              <w:rPr>
                <w:rFonts w:ascii="Times New Roman" w:hAnsi="Times New Roman"/>
                <w:sz w:val="22"/>
              </w:rPr>
              <w:t>(i)</w:t>
            </w:r>
          </w:p>
        </w:tc>
        <w:tc>
          <w:tcPr>
            <w:tcW w:w="7616" w:type="dxa"/>
          </w:tcPr>
          <w:p w14:paraId="2269EA77" w14:textId="77777777" w:rsidR="00E65DD6" w:rsidRDefault="00E65DD6">
            <w:pPr>
              <w:spacing w:line="480" w:lineRule="atLeast"/>
              <w:jc w:val="both"/>
              <w:rPr>
                <w:rFonts w:ascii="Times New Roman" w:hAnsi="Times New Roman"/>
                <w:sz w:val="22"/>
              </w:rPr>
            </w:pPr>
            <w:r>
              <w:rPr>
                <w:rFonts w:ascii="Times New Roman" w:hAnsi="Times New Roman"/>
                <w:sz w:val="22"/>
              </w:rPr>
              <w:t xml:space="preserve">The developer must offer for sale all Units to which this letter applies (including those for private sale under condition (u) of this letter) </w:t>
            </w:r>
            <w:r>
              <w:rPr>
                <w:rFonts w:ascii="Times New Roman" w:hAnsi="Times New Roman"/>
                <w:sz w:val="22"/>
              </w:rPr>
              <w:t>within 6 months from the date of this letter and with effect from (insert date 6 months + 1 day) this consent will lapse and be of no further effect and no preliminary agreement or Agreement for Sale and Purchase may be signed on or after that date, unless this consent has been extended or renewed by me (on such terms and conditions as I may specify) or my consent to assign the Units or Certificate of Compliance has been obtained provided that if a preliminary agreement has been signed for a Unit prior to t</w:t>
            </w:r>
            <w:r>
              <w:rPr>
                <w:rFonts w:ascii="Times New Roman" w:hAnsi="Times New Roman"/>
                <w:sz w:val="22"/>
              </w:rPr>
              <w:t>hat date, the parties can proceed to sign the formal Agreement for Sale and Purchase in respect of that Unit.</w:t>
            </w:r>
          </w:p>
        </w:tc>
      </w:tr>
      <w:tr w:rsidR="00000000" w14:paraId="069A81DA" w14:textId="77777777">
        <w:tblPrEx>
          <w:tblCellMar>
            <w:top w:w="0" w:type="dxa"/>
            <w:bottom w:w="0" w:type="dxa"/>
          </w:tblCellMar>
        </w:tblPrEx>
        <w:trPr>
          <w:cantSplit/>
        </w:trPr>
        <w:tc>
          <w:tcPr>
            <w:tcW w:w="748" w:type="dxa"/>
          </w:tcPr>
          <w:p w14:paraId="4FB8159B" w14:textId="77777777" w:rsidR="00E65DD6" w:rsidRDefault="00E65DD6">
            <w:pPr>
              <w:spacing w:line="480" w:lineRule="atLeast"/>
              <w:jc w:val="both"/>
              <w:rPr>
                <w:sz w:val="22"/>
              </w:rPr>
            </w:pPr>
          </w:p>
        </w:tc>
        <w:tc>
          <w:tcPr>
            <w:tcW w:w="720" w:type="dxa"/>
          </w:tcPr>
          <w:p w14:paraId="6421CDB9" w14:textId="77777777" w:rsidR="00E65DD6" w:rsidRDefault="00E65DD6">
            <w:pPr>
              <w:spacing w:line="480" w:lineRule="atLeast"/>
              <w:jc w:val="both"/>
              <w:rPr>
                <w:sz w:val="22"/>
              </w:rPr>
            </w:pPr>
          </w:p>
        </w:tc>
        <w:tc>
          <w:tcPr>
            <w:tcW w:w="7616" w:type="dxa"/>
          </w:tcPr>
          <w:p w14:paraId="7FDE1A0E" w14:textId="77777777" w:rsidR="00E65DD6" w:rsidRDefault="00E65DD6">
            <w:pPr>
              <w:spacing w:line="480" w:lineRule="atLeast"/>
              <w:jc w:val="both"/>
              <w:rPr>
                <w:sz w:val="22"/>
              </w:rPr>
            </w:pPr>
          </w:p>
        </w:tc>
      </w:tr>
      <w:tr w:rsidR="00000000" w14:paraId="70ED1BD2" w14:textId="77777777">
        <w:tblPrEx>
          <w:tblCellMar>
            <w:top w:w="0" w:type="dxa"/>
            <w:bottom w:w="0" w:type="dxa"/>
          </w:tblCellMar>
        </w:tblPrEx>
        <w:trPr>
          <w:cantSplit/>
        </w:trPr>
        <w:tc>
          <w:tcPr>
            <w:tcW w:w="748" w:type="dxa"/>
          </w:tcPr>
          <w:p w14:paraId="707437EC" w14:textId="77777777" w:rsidR="00E65DD6" w:rsidRDefault="00E65DD6">
            <w:pPr>
              <w:spacing w:line="480" w:lineRule="atLeast"/>
              <w:jc w:val="both"/>
              <w:rPr>
                <w:sz w:val="22"/>
              </w:rPr>
            </w:pPr>
          </w:p>
        </w:tc>
        <w:tc>
          <w:tcPr>
            <w:tcW w:w="720" w:type="dxa"/>
          </w:tcPr>
          <w:p w14:paraId="35924DA0" w14:textId="77777777" w:rsidR="00E65DD6" w:rsidRDefault="00E65DD6">
            <w:pPr>
              <w:spacing w:line="480" w:lineRule="atLeast"/>
              <w:jc w:val="both"/>
              <w:rPr>
                <w:rFonts w:ascii="Times New Roman" w:hAnsi="Times New Roman"/>
                <w:sz w:val="22"/>
              </w:rPr>
            </w:pPr>
            <w:r>
              <w:rPr>
                <w:rFonts w:ascii="Times New Roman" w:hAnsi="Times New Roman"/>
                <w:sz w:val="22"/>
              </w:rPr>
              <w:t>(ii)</w:t>
            </w:r>
          </w:p>
        </w:tc>
        <w:tc>
          <w:tcPr>
            <w:tcW w:w="7616" w:type="dxa"/>
          </w:tcPr>
          <w:p w14:paraId="48B8B463" w14:textId="77777777" w:rsidR="00E65DD6" w:rsidRDefault="00E65DD6">
            <w:pPr>
              <w:spacing w:line="480" w:lineRule="atLeast"/>
              <w:jc w:val="both"/>
              <w:rPr>
                <w:rFonts w:ascii="Times New Roman" w:hAnsi="Times New Roman"/>
                <w:sz w:val="22"/>
              </w:rPr>
            </w:pPr>
            <w:r>
              <w:rPr>
                <w:rFonts w:ascii="Times New Roman" w:hAnsi="Times New Roman"/>
                <w:sz w:val="22"/>
              </w:rPr>
              <w:t>The developer must not offer for sale less than the number of Units which have been advertised for sale on each occasion and must not withdraw any Unit from such sale.</w:t>
            </w:r>
          </w:p>
        </w:tc>
      </w:tr>
      <w:tr w:rsidR="00000000" w14:paraId="1919CA41" w14:textId="77777777">
        <w:tblPrEx>
          <w:tblCellMar>
            <w:top w:w="0" w:type="dxa"/>
            <w:bottom w:w="0" w:type="dxa"/>
          </w:tblCellMar>
        </w:tblPrEx>
        <w:trPr>
          <w:cantSplit/>
        </w:trPr>
        <w:tc>
          <w:tcPr>
            <w:tcW w:w="748" w:type="dxa"/>
          </w:tcPr>
          <w:p w14:paraId="535129AB" w14:textId="77777777" w:rsidR="00E65DD6" w:rsidRDefault="00E65DD6">
            <w:pPr>
              <w:spacing w:line="480" w:lineRule="atLeast"/>
              <w:jc w:val="both"/>
              <w:rPr>
                <w:sz w:val="22"/>
              </w:rPr>
            </w:pPr>
          </w:p>
        </w:tc>
        <w:tc>
          <w:tcPr>
            <w:tcW w:w="720" w:type="dxa"/>
          </w:tcPr>
          <w:p w14:paraId="6BB871FD" w14:textId="77777777" w:rsidR="00E65DD6" w:rsidRDefault="00E65DD6">
            <w:pPr>
              <w:spacing w:line="480" w:lineRule="atLeast"/>
              <w:jc w:val="both"/>
              <w:rPr>
                <w:sz w:val="22"/>
              </w:rPr>
            </w:pPr>
          </w:p>
        </w:tc>
        <w:tc>
          <w:tcPr>
            <w:tcW w:w="7616" w:type="dxa"/>
          </w:tcPr>
          <w:p w14:paraId="1DF9F431" w14:textId="77777777" w:rsidR="00E65DD6" w:rsidRDefault="00E65DD6">
            <w:pPr>
              <w:spacing w:line="480" w:lineRule="atLeast"/>
              <w:jc w:val="both"/>
              <w:rPr>
                <w:sz w:val="22"/>
              </w:rPr>
            </w:pPr>
          </w:p>
        </w:tc>
      </w:tr>
      <w:tr w:rsidR="00000000" w14:paraId="7A60D57F" w14:textId="77777777">
        <w:tblPrEx>
          <w:tblCellMar>
            <w:top w:w="0" w:type="dxa"/>
            <w:bottom w:w="0" w:type="dxa"/>
          </w:tblCellMar>
        </w:tblPrEx>
        <w:trPr>
          <w:cantSplit/>
        </w:trPr>
        <w:tc>
          <w:tcPr>
            <w:tcW w:w="748" w:type="dxa"/>
          </w:tcPr>
          <w:p w14:paraId="0D70D9E9" w14:textId="77777777" w:rsidR="00E65DD6" w:rsidRDefault="00E65DD6">
            <w:pPr>
              <w:spacing w:line="480" w:lineRule="atLeast"/>
              <w:jc w:val="both"/>
              <w:rPr>
                <w:sz w:val="22"/>
              </w:rPr>
            </w:pPr>
          </w:p>
        </w:tc>
        <w:tc>
          <w:tcPr>
            <w:tcW w:w="720" w:type="dxa"/>
          </w:tcPr>
          <w:p w14:paraId="3D647F42" w14:textId="77777777" w:rsidR="00E65DD6" w:rsidRDefault="00E65DD6">
            <w:pPr>
              <w:spacing w:line="480" w:lineRule="atLeast"/>
              <w:jc w:val="both"/>
              <w:rPr>
                <w:rFonts w:ascii="Times New Roman" w:hAnsi="Times New Roman"/>
                <w:sz w:val="22"/>
              </w:rPr>
            </w:pPr>
            <w:r>
              <w:rPr>
                <w:rFonts w:ascii="Times New Roman" w:hAnsi="Times New Roman"/>
                <w:sz w:val="22"/>
              </w:rPr>
              <w:t>(iii)</w:t>
            </w:r>
          </w:p>
        </w:tc>
        <w:tc>
          <w:tcPr>
            <w:tcW w:w="7616" w:type="dxa"/>
          </w:tcPr>
          <w:p w14:paraId="5372E8FB" w14:textId="77777777" w:rsidR="00E65DD6" w:rsidRDefault="00E65DD6">
            <w:pPr>
              <w:spacing w:line="480" w:lineRule="atLeast"/>
              <w:jc w:val="both"/>
              <w:rPr>
                <w:rFonts w:ascii="Times New Roman" w:hAnsi="Times New Roman"/>
                <w:sz w:val="22"/>
              </w:rPr>
            </w:pPr>
            <w:r>
              <w:rPr>
                <w:rFonts w:ascii="Times New Roman" w:hAnsi="Times New Roman"/>
                <w:sz w:val="22"/>
              </w:rPr>
              <w:t>The developer must  offer for sale on each occasion at least 20% of the total number of Units (excluding car parking spaces and those for private sale under condition (u) of this letter) to which this letter app</w:t>
            </w:r>
            <w:r>
              <w:rPr>
                <w:rFonts w:ascii="Times New Roman" w:hAnsi="Times New Roman"/>
                <w:sz w:val="22"/>
              </w:rPr>
              <w:t>lies provided that where the total number of Units (excluding car parking spaces and those for private sale under condition (u) of this letter) remaining unsold is less than 20% of the total Units, then the developer shall put all the Units remaining unsold on sale at one time.</w:t>
            </w:r>
          </w:p>
        </w:tc>
      </w:tr>
    </w:tbl>
    <w:p w14:paraId="6FEB740D" w14:textId="77777777" w:rsidR="00E65DD6" w:rsidRDefault="00E65DD6">
      <w:pPr>
        <w:spacing w:line="240" w:lineRule="auto"/>
        <w:ind w:left="450" w:hanging="450"/>
        <w:jc w:val="both"/>
        <w:rPr>
          <w:sz w:val="22"/>
        </w:rPr>
      </w:pPr>
    </w:p>
    <w:p w14:paraId="36D00DEF" w14:textId="77777777" w:rsidR="00E65DD6" w:rsidRDefault="00E65DD6">
      <w:pPr>
        <w:spacing w:line="240" w:lineRule="auto"/>
        <w:jc w:val="both"/>
        <w:rPr>
          <w:sz w:val="22"/>
        </w:rPr>
      </w:pPr>
    </w:p>
    <w:sectPr w:rsidR="00E65DD6">
      <w:pgSz w:w="11909" w:h="16834"/>
      <w:pgMar w:top="1843" w:right="1440" w:bottom="720" w:left="1440" w:header="850" w:footer="994" w:gutter="0"/>
      <w:cols w:space="425"/>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0A60"/>
    <w:rsid w:val="00290A60"/>
    <w:rsid w:val="00640696"/>
    <w:rsid w:val="00E65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305C2"/>
  <w15:chartTrackingRefBased/>
  <w15:docId w15:val="{D2671F2D-2F85-4484-BD76-904CF501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sz w:val="20"/>
    </w:rPr>
  </w:style>
  <w:style w:type="paragraph" w:styleId="Header">
    <w:name w:val="head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3072</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Authority Consent Scheme</dc:title>
  <dc:subject/>
  <dc:creator>HONG KONG GOVERNMENT</dc:creator>
  <cp:keywords/>
  <cp:lastModifiedBy>Rico Kwok</cp:lastModifiedBy>
  <cp:revision>2</cp:revision>
  <cp:lastPrinted>1997-07-23T03:26:00Z</cp:lastPrinted>
  <dcterms:created xsi:type="dcterms:W3CDTF">2026-10-02T17:18:00Z</dcterms:created>
  <dcterms:modified xsi:type="dcterms:W3CDTF">2026-10-02T17:18:00Z</dcterms:modified>
</cp:coreProperties>
</file>