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7C25" w14:textId="77777777" w:rsidR="00710039" w:rsidRDefault="00710039">
      <w:pPr>
        <w:spacing w:line="320" w:lineRule="exact"/>
        <w:ind w:left="1440" w:right="29"/>
        <w:rPr>
          <w:sz w:val="24"/>
        </w:rPr>
      </w:pPr>
    </w:p>
    <w:p w14:paraId="2D7A977F" w14:textId="77777777" w:rsidR="00710039" w:rsidRDefault="00710039">
      <w:pPr>
        <w:spacing w:line="320" w:lineRule="exact"/>
        <w:ind w:left="1440" w:right="29"/>
        <w:rPr>
          <w:sz w:val="24"/>
        </w:rPr>
      </w:pPr>
    </w:p>
    <w:p w14:paraId="5312A6F2" w14:textId="77777777" w:rsidR="00710039" w:rsidRDefault="00710039">
      <w:pPr>
        <w:tabs>
          <w:tab w:val="left" w:pos="7020"/>
        </w:tabs>
        <w:spacing w:line="320" w:lineRule="exact"/>
        <w:ind w:left="1440" w:right="29"/>
        <w:rPr>
          <w:sz w:val="24"/>
        </w:rPr>
      </w:pPr>
      <w:r>
        <w:rPr>
          <w:sz w:val="24"/>
        </w:rPr>
        <w:t>LACO/HQ/127</w:t>
      </w:r>
    </w:p>
    <w:p w14:paraId="0D9B7A84" w14:textId="77777777" w:rsidR="00710039" w:rsidRDefault="00710039">
      <w:pPr>
        <w:jc w:val="right"/>
        <w:rPr>
          <w:sz w:val="24"/>
        </w:rPr>
      </w:pPr>
    </w:p>
    <w:p w14:paraId="20B7E34F" w14:textId="77777777" w:rsidR="00710039" w:rsidRDefault="00710039">
      <w:pPr>
        <w:jc w:val="right"/>
        <w:rPr>
          <w:sz w:val="24"/>
        </w:rPr>
      </w:pPr>
      <w:r>
        <w:rPr>
          <w:sz w:val="24"/>
        </w:rPr>
        <w:t>17 July 1997</w:t>
      </w:r>
    </w:p>
    <w:p w14:paraId="499820DF" w14:textId="77777777" w:rsidR="00710039" w:rsidRDefault="00710039">
      <w:pPr>
        <w:jc w:val="right"/>
        <w:rPr>
          <w:sz w:val="24"/>
        </w:rPr>
      </w:pPr>
    </w:p>
    <w:p w14:paraId="6C31D650" w14:textId="77777777" w:rsidR="00710039" w:rsidRDefault="00710039">
      <w:pPr>
        <w:jc w:val="right"/>
        <w:rPr>
          <w:sz w:val="24"/>
        </w:rPr>
      </w:pPr>
    </w:p>
    <w:p w14:paraId="4EF7A9F5" w14:textId="77777777" w:rsidR="00710039" w:rsidRDefault="00710039">
      <w:pPr>
        <w:framePr w:w="3703" w:h="145" w:hSpace="180" w:wrap="around" w:vAnchor="text" w:hAnchor="page" w:x="6809" w:y="-46"/>
        <w:jc w:val="right"/>
        <w:rPr>
          <w:b/>
          <w:sz w:val="24"/>
          <w:u w:val="single"/>
        </w:rPr>
      </w:pPr>
    </w:p>
    <w:p w14:paraId="0E3FEF41" w14:textId="77777777" w:rsidR="00710039" w:rsidRDefault="00710039">
      <w:pPr>
        <w:rPr>
          <w:sz w:val="24"/>
        </w:rPr>
      </w:pPr>
    </w:p>
    <w:p w14:paraId="45CA3C85" w14:textId="77777777" w:rsidR="00710039" w:rsidRDefault="00710039">
      <w:pPr>
        <w:jc w:val="center"/>
        <w:rPr>
          <w:b/>
          <w:sz w:val="24"/>
        </w:rPr>
      </w:pPr>
      <w:r>
        <w:rPr>
          <w:b/>
          <w:sz w:val="24"/>
        </w:rPr>
        <w:t>Legal Advisory and Conveyancing Office</w:t>
      </w:r>
    </w:p>
    <w:p w14:paraId="7A80A516" w14:textId="77777777" w:rsidR="00710039" w:rsidRDefault="00710039">
      <w:pPr>
        <w:jc w:val="center"/>
        <w:rPr>
          <w:b/>
          <w:sz w:val="24"/>
          <w:u w:val="single"/>
        </w:rPr>
      </w:pPr>
      <w:r>
        <w:rPr>
          <w:b/>
          <w:sz w:val="24"/>
          <w:u w:val="single"/>
        </w:rPr>
        <w:t>Circular Memorandum No.25</w:t>
      </w:r>
    </w:p>
    <w:p w14:paraId="344A36FA" w14:textId="77777777" w:rsidR="00710039" w:rsidRDefault="00710039">
      <w:pPr>
        <w:jc w:val="center"/>
        <w:rPr>
          <w:b/>
          <w:sz w:val="24"/>
        </w:rPr>
      </w:pPr>
    </w:p>
    <w:p w14:paraId="1E2BE393" w14:textId="77777777" w:rsidR="00710039" w:rsidRDefault="00710039">
      <w:pPr>
        <w:jc w:val="center"/>
        <w:rPr>
          <w:b/>
          <w:sz w:val="24"/>
        </w:rPr>
      </w:pPr>
      <w:r>
        <w:rPr>
          <w:b/>
          <w:sz w:val="24"/>
        </w:rPr>
        <w:t>Lands Department Consent Scheme -</w:t>
      </w:r>
    </w:p>
    <w:p w14:paraId="14C62E36" w14:textId="77777777" w:rsidR="00710039" w:rsidRDefault="00710039">
      <w:pPr>
        <w:jc w:val="center"/>
        <w:rPr>
          <w:b/>
          <w:sz w:val="24"/>
        </w:rPr>
      </w:pPr>
      <w:r>
        <w:rPr>
          <w:b/>
          <w:sz w:val="24"/>
        </w:rPr>
        <w:t>Effect of Legal Services Legislation</w:t>
      </w:r>
    </w:p>
    <w:p w14:paraId="11E77CC0" w14:textId="77777777" w:rsidR="00710039" w:rsidRDefault="00710039">
      <w:pPr>
        <w:jc w:val="center"/>
        <w:rPr>
          <w:b/>
          <w:sz w:val="24"/>
          <w:u w:val="single"/>
        </w:rPr>
      </w:pPr>
      <w:r>
        <w:rPr>
          <w:b/>
          <w:sz w:val="24"/>
          <w:u w:val="single"/>
        </w:rPr>
        <w:t>(Miscellaneous Amendments) Ordinance 1997</w:t>
      </w:r>
    </w:p>
    <w:p w14:paraId="78A98EE3" w14:textId="77777777" w:rsidR="00710039" w:rsidRDefault="00710039">
      <w:pPr>
        <w:jc w:val="both"/>
        <w:rPr>
          <w:sz w:val="24"/>
        </w:rPr>
      </w:pPr>
    </w:p>
    <w:p w14:paraId="1BDBA310" w14:textId="77777777" w:rsidR="00710039" w:rsidRDefault="00710039">
      <w:pPr>
        <w:jc w:val="both"/>
        <w:rPr>
          <w:sz w:val="24"/>
        </w:rPr>
      </w:pPr>
      <w:r>
        <w:rPr>
          <w:sz w:val="24"/>
        </w:rPr>
        <w:tab/>
      </w:r>
      <w:r>
        <w:rPr>
          <w:sz w:val="24"/>
        </w:rPr>
        <w:tab/>
        <w:t>Section 14 of the above Ordinance amends S</w:t>
      </w:r>
      <w:r>
        <w:rPr>
          <w:sz w:val="24"/>
        </w:rPr>
        <w:t>.34A(3) and (4) of the Conveyancing and Property Ordinance, Cap.219, to read as follows:-</w:t>
      </w:r>
    </w:p>
    <w:p w14:paraId="540B5562" w14:textId="77777777" w:rsidR="00710039" w:rsidRDefault="00710039">
      <w:pPr>
        <w:jc w:val="both"/>
        <w:rPr>
          <w:sz w:val="24"/>
        </w:rPr>
      </w:pPr>
    </w:p>
    <w:p w14:paraId="51D76FC2" w14:textId="77777777" w:rsidR="00710039" w:rsidRDefault="00710039">
      <w:pPr>
        <w:ind w:left="1440" w:hanging="720"/>
        <w:jc w:val="both"/>
        <w:rPr>
          <w:sz w:val="24"/>
        </w:rPr>
      </w:pPr>
      <w:r>
        <w:rPr>
          <w:sz w:val="24"/>
        </w:rPr>
        <w:t>“(3)</w:t>
      </w:r>
      <w:r>
        <w:rPr>
          <w:sz w:val="24"/>
        </w:rPr>
        <w:tab/>
        <w:t xml:space="preserve">Any provision of an agreement to which this section applies is void in so far as it would, but for this section, have the effect of requiring the purchaser </w:t>
      </w:r>
      <w:r>
        <w:rPr>
          <w:sz w:val="24"/>
          <w:u w:val="single"/>
        </w:rPr>
        <w:t>or</w:t>
      </w:r>
      <w:r>
        <w:rPr>
          <w:sz w:val="24"/>
        </w:rPr>
        <w:t xml:space="preserve"> </w:t>
      </w:r>
      <w:r>
        <w:rPr>
          <w:sz w:val="24"/>
          <w:u w:val="single"/>
        </w:rPr>
        <w:t>sub</w:t>
      </w:r>
      <w:r>
        <w:rPr>
          <w:sz w:val="24"/>
          <w:u w:val="single"/>
        </w:rPr>
        <w:noBreakHyphen/>
        <w:t>purchaser</w:t>
      </w:r>
      <w:r>
        <w:rPr>
          <w:sz w:val="24"/>
        </w:rPr>
        <w:t xml:space="preserve"> of the undivided shares in the relevant land to pay the costs of the vendor </w:t>
      </w:r>
      <w:r>
        <w:rPr>
          <w:sz w:val="24"/>
          <w:u w:val="single"/>
        </w:rPr>
        <w:t>or sub</w:t>
      </w:r>
      <w:r>
        <w:rPr>
          <w:sz w:val="24"/>
          <w:u w:val="single"/>
        </w:rPr>
        <w:noBreakHyphen/>
        <w:t>vendor</w:t>
      </w:r>
      <w:r>
        <w:rPr>
          <w:sz w:val="24"/>
        </w:rPr>
        <w:t xml:space="preserve"> in or in relation to -”</w:t>
      </w:r>
    </w:p>
    <w:p w14:paraId="50E7598A" w14:textId="77777777" w:rsidR="00710039" w:rsidRDefault="00710039">
      <w:pPr>
        <w:ind w:left="1440" w:hanging="720"/>
        <w:jc w:val="both"/>
        <w:rPr>
          <w:sz w:val="24"/>
        </w:rPr>
      </w:pPr>
    </w:p>
    <w:p w14:paraId="5662EAD5" w14:textId="77777777" w:rsidR="00710039" w:rsidRDefault="00710039">
      <w:pPr>
        <w:ind w:left="1440" w:hanging="720"/>
        <w:jc w:val="both"/>
        <w:rPr>
          <w:sz w:val="24"/>
        </w:rPr>
      </w:pPr>
      <w:r>
        <w:rPr>
          <w:sz w:val="24"/>
        </w:rPr>
        <w:t>“(4)</w:t>
      </w:r>
      <w:r>
        <w:rPr>
          <w:sz w:val="24"/>
        </w:rPr>
        <w:tab/>
        <w:t>Subsection 3 has effect only where the vendor and the purchaser, or the sub-vendor and the sub-purchaser, under the agreeme</w:t>
      </w:r>
      <w:r>
        <w:rPr>
          <w:sz w:val="24"/>
        </w:rPr>
        <w:t>nt have separate legal representation”.</w:t>
      </w:r>
    </w:p>
    <w:p w14:paraId="2BD7D635" w14:textId="77777777" w:rsidR="00710039" w:rsidRDefault="00710039">
      <w:pPr>
        <w:ind w:left="1440" w:hanging="720"/>
        <w:jc w:val="both"/>
        <w:rPr>
          <w:sz w:val="24"/>
        </w:rPr>
      </w:pPr>
    </w:p>
    <w:p w14:paraId="12416727" w14:textId="77777777" w:rsidR="00710039" w:rsidRDefault="00710039">
      <w:pPr>
        <w:jc w:val="both"/>
        <w:rPr>
          <w:sz w:val="24"/>
        </w:rPr>
      </w:pPr>
      <w:r>
        <w:rPr>
          <w:sz w:val="24"/>
        </w:rPr>
        <w:t>In view of these provisions, Clause 11(2)(b) of the standard residential Agreement for Sale and Purchase should be amended to read as follows:-</w:t>
      </w:r>
    </w:p>
    <w:p w14:paraId="721F09F9" w14:textId="77777777" w:rsidR="00710039" w:rsidRDefault="00710039">
      <w:pPr>
        <w:jc w:val="both"/>
        <w:rPr>
          <w:sz w:val="24"/>
        </w:rPr>
      </w:pPr>
    </w:p>
    <w:p w14:paraId="2BCE8840" w14:textId="77777777" w:rsidR="00710039" w:rsidRDefault="00710039">
      <w:pPr>
        <w:ind w:left="1440" w:hanging="720"/>
        <w:jc w:val="both"/>
        <w:rPr>
          <w:sz w:val="24"/>
        </w:rPr>
      </w:pPr>
      <w:r>
        <w:rPr>
          <w:sz w:val="24"/>
        </w:rPr>
        <w:t>“(b)</w:t>
      </w:r>
      <w:r>
        <w:rPr>
          <w:sz w:val="24"/>
        </w:rPr>
        <w:tab/>
        <w:t>instruct any firm of solicitors of his choice to act for him in the Agreement for Sale and Purchase and subsequent Assignment to the Purchaser and in the event that the Purchaser instructs solicitors other than the vendor’s solicitors to act for him, each party shall pay its own solicitors’ costs of and incidental to th</w:t>
      </w:r>
      <w:r>
        <w:rPr>
          <w:sz w:val="24"/>
        </w:rPr>
        <w:t>is Agreement and the subsequent Assignment to the Purchaser (including all legal costs of and incidental to the preparation, completion, stamping and registration of this Agreement and the subsequent Assignment)”.</w:t>
      </w:r>
    </w:p>
    <w:p w14:paraId="2D4DBD38" w14:textId="77777777" w:rsidR="00710039" w:rsidRDefault="00710039">
      <w:pPr>
        <w:ind w:left="1440" w:hanging="720"/>
        <w:jc w:val="both"/>
        <w:rPr>
          <w:sz w:val="24"/>
        </w:rPr>
      </w:pPr>
    </w:p>
    <w:p w14:paraId="1A60C924" w14:textId="77777777" w:rsidR="00710039" w:rsidRDefault="00710039">
      <w:pPr>
        <w:jc w:val="both"/>
        <w:rPr>
          <w:sz w:val="24"/>
        </w:rPr>
      </w:pPr>
      <w:r>
        <w:rPr>
          <w:sz w:val="24"/>
        </w:rPr>
        <w:t>Similar amendments should be made to Clause 11(a) in the form for Private Sector Participation Scheme units and in Clause 11(c) of non-residential Agreements for Sale and Purchase.</w:t>
      </w:r>
    </w:p>
    <w:p w14:paraId="0E111B9C" w14:textId="77777777" w:rsidR="00710039" w:rsidRDefault="00710039">
      <w:pPr>
        <w:jc w:val="both"/>
        <w:rPr>
          <w:sz w:val="24"/>
        </w:rPr>
      </w:pPr>
    </w:p>
    <w:p w14:paraId="415CE59F" w14:textId="77777777" w:rsidR="00710039" w:rsidRDefault="00710039">
      <w:pPr>
        <w:jc w:val="both"/>
        <w:rPr>
          <w:sz w:val="24"/>
        </w:rPr>
      </w:pPr>
      <w:r>
        <w:rPr>
          <w:sz w:val="24"/>
        </w:rPr>
        <w:tab/>
      </w:r>
      <w:r>
        <w:rPr>
          <w:sz w:val="24"/>
        </w:rPr>
        <w:tab/>
        <w:t>The amendments to Cap.219 came into force on Monday 30 June 1997 and do not affect Agreements for Sale and Purcha</w:t>
      </w:r>
      <w:r>
        <w:rPr>
          <w:sz w:val="24"/>
        </w:rPr>
        <w:t xml:space="preserve">se entered into before that date.  The revised clauses in the Agreements for Sale and Purchase are to be adopted with immediate effect; any Agreements for Sale and Purchase entered into on or after 30 June 1997 but before promulgation of this Circular Memorandum where consent has already been issued, can be </w:t>
      </w:r>
      <w:r>
        <w:rPr>
          <w:sz w:val="24"/>
        </w:rPr>
        <w:lastRenderedPageBreak/>
        <w:t>amended to incorporate the new clauses set out above and do not require my specific approval in each case.</w:t>
      </w:r>
    </w:p>
    <w:p w14:paraId="23E1D636" w14:textId="77777777" w:rsidR="00710039" w:rsidRDefault="00710039">
      <w:pPr>
        <w:jc w:val="both"/>
        <w:rPr>
          <w:sz w:val="24"/>
        </w:rPr>
      </w:pPr>
    </w:p>
    <w:p w14:paraId="29E39A1A" w14:textId="77777777" w:rsidR="00710039" w:rsidRDefault="00710039">
      <w:pPr>
        <w:jc w:val="both"/>
        <w:rPr>
          <w:sz w:val="24"/>
        </w:rPr>
      </w:pPr>
      <w:r>
        <w:rPr>
          <w:sz w:val="24"/>
        </w:rPr>
        <w:tab/>
      </w:r>
      <w:r>
        <w:rPr>
          <w:sz w:val="24"/>
        </w:rPr>
        <w:tab/>
        <w:t>While my Office does not approve any form of preliminary agreement, Solicitors will note that</w:t>
      </w:r>
      <w:r>
        <w:rPr>
          <w:sz w:val="24"/>
        </w:rPr>
        <w:t xml:space="preserve"> the legislation also includes preliminary agreements by s.14(3)(c).</w:t>
      </w:r>
    </w:p>
    <w:p w14:paraId="1B9BB209" w14:textId="77777777" w:rsidR="00710039" w:rsidRDefault="00710039">
      <w:pPr>
        <w:jc w:val="both"/>
        <w:rPr>
          <w:sz w:val="24"/>
        </w:rPr>
      </w:pPr>
    </w:p>
    <w:p w14:paraId="3F09CDE6" w14:textId="77777777" w:rsidR="00710039" w:rsidRDefault="00710039">
      <w:pPr>
        <w:ind w:left="4320"/>
        <w:jc w:val="center"/>
        <w:rPr>
          <w:sz w:val="24"/>
        </w:rPr>
      </w:pPr>
    </w:p>
    <w:p w14:paraId="762CC718" w14:textId="77777777" w:rsidR="00710039" w:rsidRDefault="00710039">
      <w:pPr>
        <w:ind w:left="4320"/>
        <w:jc w:val="center"/>
        <w:rPr>
          <w:sz w:val="24"/>
        </w:rPr>
      </w:pPr>
    </w:p>
    <w:p w14:paraId="2EDEDC0E" w14:textId="77777777" w:rsidR="00710039" w:rsidRDefault="00710039">
      <w:pPr>
        <w:ind w:left="4320"/>
        <w:jc w:val="center"/>
        <w:rPr>
          <w:sz w:val="24"/>
        </w:rPr>
      </w:pPr>
    </w:p>
    <w:p w14:paraId="36ACD423" w14:textId="77777777" w:rsidR="00710039" w:rsidRDefault="00710039">
      <w:pPr>
        <w:ind w:left="4320"/>
        <w:jc w:val="center"/>
        <w:rPr>
          <w:sz w:val="24"/>
        </w:rPr>
      </w:pPr>
    </w:p>
    <w:p w14:paraId="1F530E65" w14:textId="77777777" w:rsidR="00710039" w:rsidRDefault="00710039">
      <w:pPr>
        <w:ind w:left="4320"/>
        <w:jc w:val="center"/>
        <w:rPr>
          <w:sz w:val="24"/>
        </w:rPr>
      </w:pPr>
    </w:p>
    <w:p w14:paraId="505BFDB3" w14:textId="77777777" w:rsidR="00710039" w:rsidRDefault="00710039">
      <w:pPr>
        <w:ind w:left="4320"/>
        <w:jc w:val="center"/>
        <w:rPr>
          <w:sz w:val="24"/>
        </w:rPr>
      </w:pPr>
      <w:r>
        <w:rPr>
          <w:sz w:val="24"/>
        </w:rPr>
        <w:t>(T E Berry)</w:t>
      </w:r>
    </w:p>
    <w:p w14:paraId="7420A107" w14:textId="77777777" w:rsidR="00710039" w:rsidRDefault="00710039">
      <w:pPr>
        <w:ind w:left="4320"/>
        <w:jc w:val="center"/>
        <w:rPr>
          <w:sz w:val="24"/>
        </w:rPr>
      </w:pPr>
      <w:r>
        <w:rPr>
          <w:sz w:val="24"/>
        </w:rPr>
        <w:t>Principal Solicitor</w:t>
      </w:r>
    </w:p>
    <w:p w14:paraId="22CE840E" w14:textId="77777777" w:rsidR="00710039" w:rsidRDefault="00710039">
      <w:pPr>
        <w:ind w:left="4320"/>
        <w:jc w:val="center"/>
        <w:rPr>
          <w:sz w:val="24"/>
        </w:rPr>
      </w:pPr>
      <w:r>
        <w:rPr>
          <w:sz w:val="24"/>
        </w:rPr>
        <w:t>for Director of Lands</w:t>
      </w:r>
    </w:p>
    <w:p w14:paraId="67ACBFF6" w14:textId="77777777" w:rsidR="00710039" w:rsidRDefault="00710039">
      <w:pPr>
        <w:jc w:val="both"/>
        <w:rPr>
          <w:sz w:val="24"/>
        </w:rPr>
      </w:pPr>
    </w:p>
    <w:p w14:paraId="694D2704" w14:textId="77777777" w:rsidR="00710039" w:rsidRDefault="00710039">
      <w:pPr>
        <w:jc w:val="both"/>
        <w:rPr>
          <w:sz w:val="24"/>
        </w:rPr>
      </w:pPr>
    </w:p>
    <w:p w14:paraId="4FDEBECF" w14:textId="77777777" w:rsidR="00710039" w:rsidRDefault="00710039">
      <w:pPr>
        <w:jc w:val="both"/>
        <w:rPr>
          <w:sz w:val="24"/>
        </w:rPr>
      </w:pPr>
    </w:p>
    <w:p w14:paraId="2F4AFCCB" w14:textId="77777777" w:rsidR="00710039" w:rsidRDefault="00710039">
      <w:pPr>
        <w:tabs>
          <w:tab w:val="left" w:pos="540"/>
        </w:tabs>
        <w:jc w:val="both"/>
        <w:rPr>
          <w:sz w:val="24"/>
        </w:rPr>
      </w:pPr>
      <w:r>
        <w:rPr>
          <w:sz w:val="24"/>
        </w:rPr>
        <w:t>To:</w:t>
      </w:r>
      <w:r>
        <w:rPr>
          <w:sz w:val="24"/>
        </w:rPr>
        <w:tab/>
        <w:t>All Solicitors</w:t>
      </w:r>
    </w:p>
    <w:p w14:paraId="6AD0B94E" w14:textId="77777777" w:rsidR="00710039" w:rsidRDefault="00710039">
      <w:pPr>
        <w:tabs>
          <w:tab w:val="left" w:pos="540"/>
        </w:tabs>
        <w:jc w:val="both"/>
        <w:rPr>
          <w:sz w:val="24"/>
        </w:rPr>
      </w:pPr>
    </w:p>
    <w:p w14:paraId="6461E310" w14:textId="77777777" w:rsidR="00710039" w:rsidRDefault="00710039">
      <w:pPr>
        <w:tabs>
          <w:tab w:val="left" w:pos="540"/>
        </w:tabs>
        <w:jc w:val="both"/>
        <w:rPr>
          <w:sz w:val="24"/>
        </w:rPr>
      </w:pPr>
      <w:r>
        <w:rPr>
          <w:sz w:val="24"/>
        </w:rPr>
        <w:t>bcc</w:t>
      </w:r>
      <w:r>
        <w:rPr>
          <w:sz w:val="24"/>
        </w:rPr>
        <w:tab/>
        <w:t>LACO 7/316/61 XV</w:t>
      </w:r>
    </w:p>
    <w:sectPr w:rsidR="00710039">
      <w:headerReference w:type="default" r:id="rId6"/>
      <w:pgSz w:w="11909" w:h="16834" w:code="9"/>
      <w:pgMar w:top="2045" w:right="1440" w:bottom="1440" w:left="1440" w:header="720" w:footer="720" w:gutter="0"/>
      <w:paperSrc w:first="1" w:other="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254D0" w14:textId="77777777" w:rsidR="00710039" w:rsidRDefault="00710039">
      <w:r>
        <w:separator/>
      </w:r>
    </w:p>
  </w:endnote>
  <w:endnote w:type="continuationSeparator" w:id="0">
    <w:p w14:paraId="21151EE5" w14:textId="77777777" w:rsidR="00710039" w:rsidRDefault="00710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0CE48" w14:textId="77777777" w:rsidR="00710039" w:rsidRDefault="00710039">
      <w:r>
        <w:separator/>
      </w:r>
    </w:p>
  </w:footnote>
  <w:footnote w:type="continuationSeparator" w:id="0">
    <w:p w14:paraId="01293D6B" w14:textId="77777777" w:rsidR="00710039" w:rsidRDefault="00710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785B" w14:textId="77777777" w:rsidR="00710039" w:rsidRDefault="00710039">
    <w:pPr>
      <w:pStyle w:val="Header"/>
      <w:jc w:val="center"/>
    </w:pPr>
    <w:r>
      <w:t xml:space="preserve">-   </w:t>
    </w:r>
    <w:r>
      <w:fldChar w:fldCharType="begin"/>
    </w:r>
    <w:r>
      <w:instrText>PAGE</w:instrText>
    </w:r>
    <w:r>
      <w:fldChar w:fldCharType="separate"/>
    </w:r>
    <w:r>
      <w:t>2</w:t>
    </w:r>
    <w:r>
      <w:fldChar w:fldCharType="end"/>
    </w:r>
    <w:r>
      <w:t xml:space="preserve">   -</w:t>
    </w:r>
  </w:p>
  <w:p w14:paraId="11F0FDD3" w14:textId="77777777" w:rsidR="00710039" w:rsidRDefault="00710039">
    <w:pPr>
      <w:pStyle w:val="Header"/>
      <w:jc w:val="center"/>
    </w:pPr>
  </w:p>
  <w:p w14:paraId="6546350F" w14:textId="77777777" w:rsidR="00710039" w:rsidRDefault="00710039">
    <w:pPr>
      <w:pStyle w:val="Header"/>
      <w:jc w:val="center"/>
    </w:pPr>
  </w:p>
  <w:p w14:paraId="516E5D23" w14:textId="77777777" w:rsidR="00710039" w:rsidRDefault="0071003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attachedTemplate r:id="rId1"/>
  <w:doNotTrackMoves/>
  <w:defaultTabStop w:val="72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7559"/>
    <w:rsid w:val="00277559"/>
    <w:rsid w:val="00710039"/>
    <w:rsid w:val="00EA5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09531F"/>
  <w15:chartTrackingRefBased/>
  <w15:docId w15:val="{A0135948-8A52-4016-BECF-286DA164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TEMPLATE\LE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LET.DOT</Template>
  <TotalTime>0</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2848 2738</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