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04038" w14:textId="77777777" w:rsidR="00740AC7" w:rsidRDefault="00740AC7">
      <w:pPr>
        <w:spacing w:line="240" w:lineRule="atLeast"/>
        <w:ind w:left="1080" w:right="-1321"/>
        <w:jc w:val="both"/>
        <w:rPr>
          <w:rFonts w:ascii="Times New Roman" w:hAnsi="Times New Roman"/>
          <w:sz w:val="24"/>
        </w:rPr>
      </w:pPr>
      <w:r>
        <w:rPr>
          <w:rFonts w:ascii="Times New Roman" w:hAnsi="Times New Roman"/>
          <w:sz w:val="24"/>
        </w:rPr>
        <w:t>2231 3722</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20/F, North Point Govt. Offices</w:t>
      </w:r>
    </w:p>
    <w:p w14:paraId="487C7F75" w14:textId="77777777" w:rsidR="00740AC7" w:rsidRDefault="00740AC7">
      <w:pPr>
        <w:spacing w:line="240" w:lineRule="atLeast"/>
        <w:ind w:left="1080" w:right="-1231"/>
        <w:jc w:val="both"/>
        <w:rPr>
          <w:rFonts w:ascii="Times New Roman" w:hAnsi="Times New Roman"/>
          <w:sz w:val="24"/>
        </w:rPr>
      </w:pPr>
      <w:r>
        <w:rPr>
          <w:rFonts w:ascii="Times New Roman" w:hAnsi="Times New Roman"/>
          <w:sz w:val="24"/>
        </w:rPr>
        <w:t>2845 1017</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333 Java Road</w:t>
      </w:r>
    </w:p>
    <w:p w14:paraId="6B32808C" w14:textId="77777777" w:rsidR="00740AC7" w:rsidRDefault="00740AC7">
      <w:pPr>
        <w:spacing w:line="240" w:lineRule="atLeast"/>
        <w:ind w:left="1080" w:right="-1231"/>
        <w:jc w:val="both"/>
        <w:rPr>
          <w:rFonts w:ascii="Times New Roman" w:hAnsi="Times New Roman"/>
          <w:sz w:val="24"/>
        </w:rPr>
      </w:pPr>
      <w:r>
        <w:rPr>
          <w:rFonts w:ascii="Times New Roman" w:hAnsi="Times New Roman"/>
          <w:sz w:val="24"/>
        </w:rPr>
        <w:t>LACO/HQ/127 II</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North Point, Hong Kong</w:t>
      </w:r>
    </w:p>
    <w:p w14:paraId="0B7A5AEC" w14:textId="77777777" w:rsidR="00740AC7" w:rsidRDefault="00740AC7">
      <w:pPr>
        <w:jc w:val="both"/>
        <w:rPr>
          <w:sz w:val="24"/>
        </w:rPr>
      </w:pPr>
    </w:p>
    <w:p w14:paraId="6FFEBE1D" w14:textId="77777777" w:rsidR="00740AC7" w:rsidRDefault="00740AC7">
      <w:pPr>
        <w:jc w:val="both"/>
        <w:rPr>
          <w:sz w:val="24"/>
        </w:rPr>
      </w:pPr>
    </w:p>
    <w:p w14:paraId="1AD04916" w14:textId="77777777" w:rsidR="00740AC7" w:rsidRDefault="00740AC7">
      <w:pPr>
        <w:tabs>
          <w:tab w:val="right" w:pos="9000"/>
        </w:tabs>
        <w:jc w:val="both"/>
        <w:rPr>
          <w:rFonts w:ascii="Times New Roman" w:hAnsi="Times New Roman"/>
          <w:sz w:val="24"/>
        </w:rPr>
      </w:pPr>
      <w:r>
        <w:rPr>
          <w:sz w:val="24"/>
        </w:rPr>
        <w:tab/>
      </w:r>
      <w:r>
        <w:rPr>
          <w:rFonts w:ascii="Times New Roman" w:hAnsi="Times New Roman"/>
          <w:sz w:val="24"/>
        </w:rPr>
        <w:t>23 April 1999</w:t>
      </w:r>
    </w:p>
    <w:p w14:paraId="43908FDB" w14:textId="77777777" w:rsidR="00740AC7" w:rsidRDefault="00740AC7">
      <w:pPr>
        <w:jc w:val="both"/>
        <w:rPr>
          <w:sz w:val="24"/>
        </w:rPr>
      </w:pPr>
    </w:p>
    <w:p w14:paraId="1BEBAD9C" w14:textId="77777777" w:rsidR="00740AC7" w:rsidRDefault="00740AC7">
      <w:pPr>
        <w:jc w:val="both"/>
        <w:rPr>
          <w:sz w:val="24"/>
        </w:rPr>
      </w:pPr>
    </w:p>
    <w:p w14:paraId="3B700679" w14:textId="77777777" w:rsidR="00740AC7" w:rsidRDefault="00740AC7">
      <w:pPr>
        <w:jc w:val="center"/>
        <w:rPr>
          <w:rFonts w:ascii="Times New Roman" w:hAnsi="Times New Roman"/>
          <w:b/>
          <w:sz w:val="24"/>
        </w:rPr>
      </w:pPr>
      <w:r>
        <w:rPr>
          <w:rFonts w:ascii="Times New Roman" w:hAnsi="Times New Roman"/>
          <w:b/>
          <w:sz w:val="24"/>
        </w:rPr>
        <w:t>Legal Advisory and Conveyancing Office</w:t>
      </w:r>
    </w:p>
    <w:p w14:paraId="53B530C3" w14:textId="77777777" w:rsidR="00740AC7" w:rsidRDefault="00740AC7">
      <w:pPr>
        <w:rPr>
          <w:rFonts w:ascii="Times New Roman" w:hAnsi="Times New Roman"/>
          <w:b/>
          <w:sz w:val="24"/>
        </w:rPr>
      </w:pPr>
      <w:r>
        <w:rPr>
          <w:rFonts w:ascii="Times New Roman" w:hAnsi="Times New Roman"/>
          <w:b/>
          <w:sz w:val="24"/>
        </w:rPr>
        <w:t xml:space="preserve">                                               </w:t>
      </w:r>
      <w:r>
        <w:rPr>
          <w:rFonts w:ascii="Times New Roman" w:hAnsi="Times New Roman"/>
          <w:b/>
          <w:sz w:val="24"/>
          <w:u w:val="single"/>
        </w:rPr>
        <w:t>Circular Memorandum No. 30B</w:t>
      </w:r>
    </w:p>
    <w:p w14:paraId="691C9CC0" w14:textId="77777777" w:rsidR="00740AC7" w:rsidRDefault="00740AC7">
      <w:pPr>
        <w:rPr>
          <w:rFonts w:ascii="Times New Roman" w:hAnsi="Times New Roman"/>
          <w:b/>
          <w:sz w:val="24"/>
        </w:rPr>
      </w:pPr>
    </w:p>
    <w:p w14:paraId="09B671E2" w14:textId="77777777" w:rsidR="00740AC7" w:rsidRDefault="00740AC7">
      <w:pPr>
        <w:jc w:val="center"/>
        <w:rPr>
          <w:rFonts w:ascii="Times New Roman" w:hAnsi="Times New Roman"/>
          <w:b/>
          <w:sz w:val="24"/>
        </w:rPr>
      </w:pPr>
      <w:r>
        <w:rPr>
          <w:rFonts w:ascii="Times New Roman" w:hAnsi="Times New Roman"/>
          <w:b/>
          <w:sz w:val="24"/>
        </w:rPr>
        <w:t>R</w:t>
      </w:r>
      <w:r>
        <w:rPr>
          <w:rFonts w:ascii="Times New Roman" w:hAnsi="Times New Roman"/>
          <w:b/>
          <w:sz w:val="24"/>
        </w:rPr>
        <w:t>elaxation of Certain Consent Measures</w:t>
      </w:r>
    </w:p>
    <w:p w14:paraId="373B8F71" w14:textId="77777777" w:rsidR="00740AC7" w:rsidRDefault="00740AC7">
      <w:pPr>
        <w:jc w:val="center"/>
        <w:rPr>
          <w:rFonts w:ascii="Times New Roman" w:hAnsi="Times New Roman"/>
          <w:b/>
          <w:sz w:val="24"/>
        </w:rPr>
      </w:pPr>
      <w:r>
        <w:rPr>
          <w:rFonts w:ascii="Times New Roman" w:hAnsi="Times New Roman"/>
          <w:b/>
          <w:sz w:val="24"/>
        </w:rPr>
        <w:t>for registration and balloting</w:t>
      </w:r>
    </w:p>
    <w:p w14:paraId="02FABF91" w14:textId="77777777" w:rsidR="00740AC7" w:rsidRDefault="00740AC7">
      <w:pPr>
        <w:jc w:val="center"/>
        <w:rPr>
          <w:rFonts w:ascii="Times New Roman" w:hAnsi="Times New Roman"/>
          <w:b/>
          <w:sz w:val="24"/>
        </w:rPr>
      </w:pPr>
      <w:r>
        <w:rPr>
          <w:rFonts w:ascii="Times New Roman" w:hAnsi="Times New Roman"/>
          <w:b/>
          <w:sz w:val="24"/>
          <w:u w:val="single"/>
        </w:rPr>
        <w:t>for Luxury Private Residential Units</w:t>
      </w:r>
    </w:p>
    <w:p w14:paraId="6893C529" w14:textId="77777777" w:rsidR="00740AC7" w:rsidRDefault="00740AC7">
      <w:pPr>
        <w:jc w:val="both"/>
        <w:rPr>
          <w:b/>
          <w:sz w:val="24"/>
        </w:rPr>
      </w:pPr>
    </w:p>
    <w:p w14:paraId="07FFAB8A" w14:textId="77777777" w:rsidR="00740AC7" w:rsidRDefault="00740AC7">
      <w:pPr>
        <w:jc w:val="both"/>
        <w:rPr>
          <w:sz w:val="24"/>
        </w:rPr>
      </w:pPr>
    </w:p>
    <w:p w14:paraId="766477FD" w14:textId="77777777" w:rsidR="00740AC7" w:rsidRDefault="00740AC7">
      <w:pPr>
        <w:tabs>
          <w:tab w:val="left" w:pos="1134"/>
        </w:tabs>
        <w:jc w:val="both"/>
        <w:rPr>
          <w:rFonts w:ascii="Times New Roman" w:hAnsi="Times New Roman"/>
          <w:sz w:val="24"/>
        </w:rPr>
      </w:pPr>
      <w:r>
        <w:rPr>
          <w:sz w:val="24"/>
        </w:rPr>
        <w:tab/>
      </w:r>
      <w:r>
        <w:rPr>
          <w:rFonts w:ascii="Times New Roman" w:hAnsi="Times New Roman"/>
          <w:sz w:val="24"/>
        </w:rPr>
        <w:t>The Secretary for Housing has agreed to a revision of the relaxation of certain consent conditions as set out in paragraph 4 of LACO Circular Memorandum No. 30 relating to registration and balloting for existing and future consents for luxury properties meeting the criteria no. I and III below.</w:t>
      </w:r>
    </w:p>
    <w:p w14:paraId="075C2138" w14:textId="77777777" w:rsidR="00740AC7" w:rsidRDefault="00740AC7">
      <w:pPr>
        <w:tabs>
          <w:tab w:val="left" w:pos="851"/>
        </w:tabs>
        <w:jc w:val="both"/>
        <w:rPr>
          <w:sz w:val="24"/>
        </w:rPr>
      </w:pPr>
    </w:p>
    <w:p w14:paraId="74732201" w14:textId="77777777" w:rsidR="00740AC7" w:rsidRDefault="00740AC7">
      <w:pPr>
        <w:tabs>
          <w:tab w:val="left" w:pos="1134"/>
        </w:tabs>
        <w:jc w:val="both"/>
        <w:rPr>
          <w:rFonts w:ascii="Times New Roman" w:hAnsi="Times New Roman"/>
          <w:sz w:val="24"/>
        </w:rPr>
      </w:pPr>
      <w:r>
        <w:rPr>
          <w:rFonts w:ascii="Times New Roman" w:hAnsi="Times New Roman"/>
          <w:sz w:val="24"/>
        </w:rPr>
        <w:t>2.</w:t>
      </w:r>
      <w:r>
        <w:rPr>
          <w:rFonts w:ascii="Times New Roman" w:hAnsi="Times New Roman"/>
          <w:sz w:val="24"/>
        </w:rPr>
        <w:tab/>
        <w:t xml:space="preserve">Developers who wish to take advantage of the revised relaxation should now apply to the Legal Advisory </w:t>
      </w:r>
      <w:r>
        <w:rPr>
          <w:rFonts w:ascii="Times New Roman" w:hAnsi="Times New Roman"/>
          <w:sz w:val="24"/>
        </w:rPr>
        <w:t>and Conveyancing Office (“LACO”) setting out their justifications.  The application should take into account the following general criteria for relaxation of the registration and balloting requirements:</w:t>
      </w:r>
    </w:p>
    <w:p w14:paraId="7FEC7732" w14:textId="77777777" w:rsidR="00740AC7" w:rsidRDefault="00740AC7">
      <w:pPr>
        <w:tabs>
          <w:tab w:val="left" w:pos="851"/>
        </w:tabs>
        <w:jc w:val="both"/>
        <w:rPr>
          <w:sz w:val="24"/>
        </w:rPr>
      </w:pPr>
    </w:p>
    <w:p w14:paraId="2DA5BCAA" w14:textId="77777777" w:rsidR="00740AC7" w:rsidRDefault="00740AC7">
      <w:pPr>
        <w:tabs>
          <w:tab w:val="left" w:pos="1134"/>
          <w:tab w:val="left" w:pos="1560"/>
        </w:tabs>
        <w:spacing w:after="120"/>
        <w:jc w:val="both"/>
        <w:rPr>
          <w:rFonts w:ascii="Times New Roman" w:hAnsi="Times New Roman"/>
          <w:sz w:val="24"/>
          <w:u w:val="single"/>
        </w:rPr>
      </w:pPr>
      <w:r>
        <w:rPr>
          <w:sz w:val="24"/>
        </w:rPr>
        <w:tab/>
      </w:r>
      <w:r>
        <w:rPr>
          <w:rFonts w:ascii="Times New Roman" w:hAnsi="Times New Roman"/>
          <w:sz w:val="24"/>
        </w:rPr>
        <w:t>I.</w:t>
      </w:r>
      <w:r>
        <w:rPr>
          <w:rFonts w:ascii="Times New Roman" w:hAnsi="Times New Roman"/>
          <w:sz w:val="24"/>
        </w:rPr>
        <w:tab/>
      </w:r>
      <w:r>
        <w:rPr>
          <w:rFonts w:ascii="Times New Roman" w:hAnsi="Times New Roman"/>
          <w:sz w:val="24"/>
          <w:u w:val="single"/>
        </w:rPr>
        <w:t xml:space="preserve">Flat Size </w:t>
      </w:r>
    </w:p>
    <w:p w14:paraId="4A439734" w14:textId="77777777" w:rsidR="00740AC7" w:rsidRDefault="00740AC7">
      <w:pPr>
        <w:tabs>
          <w:tab w:val="left" w:pos="851"/>
        </w:tabs>
        <w:ind w:left="1560" w:hanging="1418"/>
        <w:jc w:val="both"/>
        <w:rPr>
          <w:rFonts w:ascii="Times New Roman" w:hAnsi="Times New Roman"/>
          <w:sz w:val="24"/>
        </w:rPr>
      </w:pPr>
      <w:r>
        <w:rPr>
          <w:sz w:val="24"/>
        </w:rPr>
        <w:tab/>
      </w:r>
      <w:r>
        <w:rPr>
          <w:sz w:val="24"/>
        </w:rPr>
        <w:tab/>
      </w:r>
      <w:r>
        <w:rPr>
          <w:rFonts w:ascii="Times New Roman" w:hAnsi="Times New Roman"/>
          <w:sz w:val="24"/>
        </w:rPr>
        <w:t>Properties with gross floor area of about 1500 square feet or more.  The proportion of these luxury properties in the relevant development will also be taken into account in considering the application.</w:t>
      </w:r>
    </w:p>
    <w:p w14:paraId="1E0C90BE" w14:textId="77777777" w:rsidR="00740AC7" w:rsidRDefault="00740AC7">
      <w:pPr>
        <w:tabs>
          <w:tab w:val="left" w:pos="851"/>
        </w:tabs>
        <w:jc w:val="both"/>
        <w:rPr>
          <w:sz w:val="24"/>
        </w:rPr>
      </w:pPr>
    </w:p>
    <w:p w14:paraId="63197D3F" w14:textId="77777777" w:rsidR="00740AC7" w:rsidRDefault="00740AC7">
      <w:pPr>
        <w:tabs>
          <w:tab w:val="left" w:pos="1134"/>
          <w:tab w:val="left" w:pos="1560"/>
        </w:tabs>
        <w:spacing w:after="120"/>
        <w:jc w:val="both"/>
        <w:rPr>
          <w:sz w:val="24"/>
        </w:rPr>
      </w:pPr>
      <w:r>
        <w:rPr>
          <w:sz w:val="24"/>
        </w:rPr>
        <w:tab/>
      </w:r>
      <w:r>
        <w:rPr>
          <w:rFonts w:ascii="Times New Roman" w:hAnsi="Times New Roman"/>
          <w:sz w:val="24"/>
        </w:rPr>
        <w:t>II.</w:t>
      </w:r>
      <w:r>
        <w:rPr>
          <w:rFonts w:ascii="Times New Roman" w:hAnsi="Times New Roman"/>
          <w:sz w:val="24"/>
        </w:rPr>
        <w:tab/>
      </w:r>
      <w:r>
        <w:rPr>
          <w:rFonts w:ascii="Times New Roman" w:hAnsi="Times New Roman"/>
          <w:sz w:val="24"/>
          <w:u w:val="single"/>
        </w:rPr>
        <w:t>Number of Units</w:t>
      </w:r>
    </w:p>
    <w:p w14:paraId="63E6CAE0" w14:textId="77777777" w:rsidR="00740AC7" w:rsidRDefault="00740AC7">
      <w:pPr>
        <w:tabs>
          <w:tab w:val="left" w:pos="851"/>
        </w:tabs>
        <w:ind w:left="1560" w:hanging="1560"/>
        <w:jc w:val="both"/>
        <w:rPr>
          <w:rFonts w:ascii="Times New Roman" w:hAnsi="Times New Roman"/>
          <w:sz w:val="24"/>
        </w:rPr>
      </w:pPr>
      <w:r>
        <w:rPr>
          <w:sz w:val="24"/>
        </w:rPr>
        <w:tab/>
      </w:r>
      <w:r>
        <w:rPr>
          <w:sz w:val="24"/>
        </w:rPr>
        <w:tab/>
      </w:r>
      <w:r>
        <w:rPr>
          <w:rFonts w:ascii="Times New Roman" w:hAnsi="Times New Roman"/>
          <w:sz w:val="24"/>
        </w:rPr>
        <w:t>The original criteria of not more than about 100 units (excludin</w:t>
      </w:r>
      <w:r>
        <w:rPr>
          <w:rFonts w:ascii="Times New Roman" w:hAnsi="Times New Roman"/>
          <w:sz w:val="24"/>
        </w:rPr>
        <w:t>g car parking spaces) set out in paragraph 4 of LACO Circular Memorandum No.30 is retained, although LACO will exercise flexibility in applying this criteria.</w:t>
      </w:r>
    </w:p>
    <w:p w14:paraId="2801F048" w14:textId="77777777" w:rsidR="00740AC7" w:rsidRDefault="00740AC7">
      <w:pPr>
        <w:tabs>
          <w:tab w:val="left" w:pos="851"/>
        </w:tabs>
        <w:jc w:val="both"/>
        <w:rPr>
          <w:sz w:val="24"/>
        </w:rPr>
      </w:pPr>
    </w:p>
    <w:p w14:paraId="6D6BCC20" w14:textId="77777777" w:rsidR="00740AC7" w:rsidRDefault="00740AC7">
      <w:pPr>
        <w:tabs>
          <w:tab w:val="left" w:pos="1134"/>
          <w:tab w:val="left" w:pos="1560"/>
        </w:tabs>
        <w:spacing w:after="120"/>
        <w:jc w:val="both"/>
        <w:rPr>
          <w:rFonts w:ascii="Times New Roman" w:hAnsi="Times New Roman"/>
          <w:sz w:val="24"/>
          <w:u w:val="single"/>
        </w:rPr>
      </w:pPr>
      <w:r>
        <w:rPr>
          <w:sz w:val="24"/>
        </w:rPr>
        <w:tab/>
      </w:r>
      <w:r>
        <w:rPr>
          <w:rFonts w:ascii="Times New Roman" w:hAnsi="Times New Roman"/>
          <w:sz w:val="24"/>
        </w:rPr>
        <w:t>III.</w:t>
      </w:r>
      <w:r>
        <w:rPr>
          <w:rFonts w:ascii="Times New Roman" w:hAnsi="Times New Roman"/>
          <w:sz w:val="24"/>
        </w:rPr>
        <w:tab/>
      </w:r>
      <w:r>
        <w:rPr>
          <w:rFonts w:ascii="Times New Roman" w:hAnsi="Times New Roman"/>
          <w:sz w:val="24"/>
          <w:u w:val="single"/>
        </w:rPr>
        <w:t>Price</w:t>
      </w:r>
    </w:p>
    <w:p w14:paraId="5B82DCE3" w14:textId="77777777" w:rsidR="00740AC7" w:rsidRDefault="00740AC7">
      <w:pPr>
        <w:tabs>
          <w:tab w:val="left" w:pos="851"/>
        </w:tabs>
        <w:ind w:left="1560" w:hanging="1560"/>
        <w:jc w:val="both"/>
        <w:rPr>
          <w:rFonts w:ascii="Times New Roman" w:hAnsi="Times New Roman"/>
          <w:sz w:val="24"/>
        </w:rPr>
      </w:pPr>
      <w:r>
        <w:rPr>
          <w:sz w:val="24"/>
        </w:rPr>
        <w:tab/>
      </w:r>
      <w:r>
        <w:rPr>
          <w:sz w:val="24"/>
        </w:rPr>
        <w:tab/>
      </w:r>
      <w:r>
        <w:rPr>
          <w:rFonts w:ascii="Times New Roman" w:hAnsi="Times New Roman"/>
          <w:sz w:val="24"/>
        </w:rPr>
        <w:t>As a general indicator, properties must cost $7 million or more.</w:t>
      </w:r>
    </w:p>
    <w:p w14:paraId="4660D4A5" w14:textId="77777777" w:rsidR="00740AC7" w:rsidRDefault="00740AC7">
      <w:pPr>
        <w:tabs>
          <w:tab w:val="left" w:pos="851"/>
        </w:tabs>
        <w:jc w:val="both"/>
        <w:rPr>
          <w:sz w:val="24"/>
        </w:rPr>
      </w:pPr>
    </w:p>
    <w:p w14:paraId="0BCA922A" w14:textId="77777777" w:rsidR="00740AC7" w:rsidRDefault="00740AC7">
      <w:pPr>
        <w:tabs>
          <w:tab w:val="left" w:pos="1134"/>
        </w:tabs>
        <w:jc w:val="both"/>
        <w:rPr>
          <w:rFonts w:ascii="Times New Roman" w:hAnsi="Times New Roman"/>
          <w:sz w:val="24"/>
        </w:rPr>
      </w:pPr>
      <w:r>
        <w:rPr>
          <w:rFonts w:ascii="Times New Roman" w:hAnsi="Times New Roman"/>
          <w:sz w:val="24"/>
        </w:rPr>
        <w:t>3.</w:t>
      </w:r>
      <w:r>
        <w:rPr>
          <w:rFonts w:ascii="Times New Roman" w:hAnsi="Times New Roman"/>
          <w:sz w:val="24"/>
        </w:rPr>
        <w:tab/>
        <w:t>Each application will be considered on its individual merits, taking into account the above criteria.  Exemption will only be given at LACO’s discretion.  LACO may approve or disapprove an application having regard to one or all of the above criteria.  Solicitors for d</w:t>
      </w:r>
      <w:r>
        <w:rPr>
          <w:rFonts w:ascii="Times New Roman" w:hAnsi="Times New Roman"/>
          <w:sz w:val="24"/>
        </w:rPr>
        <w:t>evelopers will have to apply for the exemption on a development by development basis and produce evidence as LACO may require.</w:t>
      </w:r>
    </w:p>
    <w:p w14:paraId="75560F06" w14:textId="77777777" w:rsidR="00740AC7" w:rsidRDefault="00740AC7">
      <w:pPr>
        <w:tabs>
          <w:tab w:val="left" w:pos="851"/>
        </w:tabs>
        <w:jc w:val="both"/>
        <w:rPr>
          <w:sz w:val="24"/>
        </w:rPr>
      </w:pPr>
    </w:p>
    <w:p w14:paraId="018B5B1C" w14:textId="77777777" w:rsidR="00740AC7" w:rsidRDefault="00740AC7">
      <w:pPr>
        <w:tabs>
          <w:tab w:val="left" w:pos="1134"/>
        </w:tabs>
        <w:jc w:val="both"/>
        <w:rPr>
          <w:rFonts w:ascii="Times New Roman" w:hAnsi="Times New Roman"/>
          <w:sz w:val="24"/>
        </w:rPr>
      </w:pPr>
      <w:r>
        <w:rPr>
          <w:rFonts w:ascii="Times New Roman" w:hAnsi="Times New Roman"/>
          <w:sz w:val="24"/>
        </w:rPr>
        <w:t>4.</w:t>
      </w:r>
      <w:r>
        <w:rPr>
          <w:rFonts w:ascii="Times New Roman" w:hAnsi="Times New Roman"/>
          <w:sz w:val="24"/>
        </w:rPr>
        <w:tab/>
        <w:t>Paragraph 4 of LACO Circular Memorandum No.30 is replaced.</w:t>
      </w:r>
    </w:p>
    <w:p w14:paraId="5A32F373" w14:textId="77777777" w:rsidR="00740AC7" w:rsidRDefault="00740AC7">
      <w:pPr>
        <w:tabs>
          <w:tab w:val="left" w:pos="1134"/>
        </w:tabs>
        <w:jc w:val="both"/>
        <w:rPr>
          <w:rFonts w:ascii="Times New Roman" w:hAnsi="Times New Roman"/>
          <w:sz w:val="24"/>
        </w:rPr>
      </w:pPr>
    </w:p>
    <w:p w14:paraId="6FB2580B" w14:textId="77777777" w:rsidR="00740AC7" w:rsidRDefault="00740AC7">
      <w:pPr>
        <w:tabs>
          <w:tab w:val="left" w:pos="1134"/>
        </w:tabs>
        <w:jc w:val="both"/>
        <w:rPr>
          <w:rFonts w:ascii="Times New Roman" w:hAnsi="Times New Roman"/>
          <w:sz w:val="24"/>
        </w:rPr>
      </w:pPr>
    </w:p>
    <w:p w14:paraId="27E89E6D" w14:textId="77777777" w:rsidR="00740AC7" w:rsidRDefault="00740AC7">
      <w:pPr>
        <w:tabs>
          <w:tab w:val="left" w:pos="1134"/>
        </w:tabs>
        <w:jc w:val="both"/>
        <w:rPr>
          <w:rFonts w:ascii="Times New Roman" w:hAnsi="Times New Roman"/>
          <w:sz w:val="24"/>
        </w:rPr>
      </w:pPr>
      <w:r>
        <w:rPr>
          <w:rFonts w:ascii="Times New Roman" w:hAnsi="Times New Roman"/>
          <w:sz w:val="24"/>
        </w:rPr>
        <w:t>5.</w:t>
      </w:r>
      <w:r>
        <w:rPr>
          <w:rFonts w:ascii="Times New Roman" w:hAnsi="Times New Roman"/>
          <w:sz w:val="24"/>
        </w:rPr>
        <w:tab/>
        <w:t>Copies of this Circular Memorandum may be downloaded from Lands Department website at www.info.gov.hk/landsd/.</w:t>
      </w:r>
    </w:p>
    <w:p w14:paraId="22127BF7" w14:textId="77777777" w:rsidR="00740AC7" w:rsidRDefault="00740AC7">
      <w:pPr>
        <w:tabs>
          <w:tab w:val="left" w:pos="1134"/>
        </w:tabs>
        <w:jc w:val="both"/>
        <w:rPr>
          <w:sz w:val="24"/>
        </w:rPr>
      </w:pPr>
    </w:p>
    <w:p w14:paraId="3A2A6755" w14:textId="77777777" w:rsidR="00740AC7" w:rsidRDefault="00740AC7">
      <w:pPr>
        <w:tabs>
          <w:tab w:val="left" w:pos="1134"/>
        </w:tabs>
        <w:jc w:val="both"/>
        <w:rPr>
          <w:sz w:val="24"/>
        </w:rPr>
      </w:pPr>
    </w:p>
    <w:p w14:paraId="07CAEEFD" w14:textId="77777777" w:rsidR="00740AC7" w:rsidRDefault="00740AC7">
      <w:pPr>
        <w:tabs>
          <w:tab w:val="left" w:pos="1134"/>
        </w:tabs>
        <w:jc w:val="both"/>
        <w:rPr>
          <w:sz w:val="24"/>
        </w:rPr>
      </w:pPr>
    </w:p>
    <w:p w14:paraId="0F3F21DA" w14:textId="77777777" w:rsidR="00740AC7" w:rsidRDefault="00740AC7">
      <w:pPr>
        <w:tabs>
          <w:tab w:val="left" w:pos="1134"/>
        </w:tabs>
        <w:jc w:val="both"/>
        <w:rPr>
          <w:sz w:val="24"/>
        </w:rPr>
      </w:pPr>
    </w:p>
    <w:p w14:paraId="040255AE" w14:textId="77777777" w:rsidR="00740AC7" w:rsidRDefault="00740AC7">
      <w:pPr>
        <w:tabs>
          <w:tab w:val="left" w:pos="1134"/>
        </w:tabs>
        <w:jc w:val="both"/>
        <w:rPr>
          <w:sz w:val="24"/>
        </w:rPr>
      </w:pPr>
    </w:p>
    <w:p w14:paraId="689DB180" w14:textId="77777777" w:rsidR="00740AC7" w:rsidRDefault="00740AC7">
      <w:pPr>
        <w:tabs>
          <w:tab w:val="left" w:pos="1134"/>
        </w:tabs>
        <w:jc w:val="both"/>
        <w:rPr>
          <w:sz w:val="24"/>
        </w:rPr>
      </w:pPr>
    </w:p>
    <w:p w14:paraId="04AF6BAC" w14:textId="77777777" w:rsidR="00740AC7" w:rsidRDefault="00740AC7">
      <w:pPr>
        <w:tabs>
          <w:tab w:val="left" w:pos="1134"/>
        </w:tabs>
        <w:jc w:val="both"/>
        <w:rPr>
          <w:sz w:val="24"/>
        </w:rPr>
      </w:pPr>
    </w:p>
    <w:p w14:paraId="58C255BD" w14:textId="77777777" w:rsidR="00740AC7" w:rsidRDefault="00740AC7">
      <w:pPr>
        <w:tabs>
          <w:tab w:val="left" w:pos="1134"/>
        </w:tabs>
        <w:ind w:left="4678"/>
        <w:jc w:val="center"/>
        <w:rPr>
          <w:rFonts w:ascii="Times New Roman" w:hAnsi="Times New Roman"/>
          <w:sz w:val="24"/>
        </w:rPr>
      </w:pPr>
      <w:r>
        <w:rPr>
          <w:rFonts w:ascii="Times New Roman" w:hAnsi="Times New Roman"/>
          <w:sz w:val="24"/>
        </w:rPr>
        <w:t>(A L Robertson)</w:t>
      </w:r>
    </w:p>
    <w:p w14:paraId="32600C9A" w14:textId="77777777" w:rsidR="00740AC7" w:rsidRDefault="00740AC7">
      <w:pPr>
        <w:tabs>
          <w:tab w:val="left" w:pos="1134"/>
        </w:tabs>
        <w:ind w:left="4678"/>
        <w:jc w:val="center"/>
        <w:rPr>
          <w:rFonts w:ascii="Times New Roman" w:hAnsi="Times New Roman"/>
          <w:sz w:val="24"/>
        </w:rPr>
      </w:pPr>
      <w:r>
        <w:rPr>
          <w:rFonts w:ascii="Times New Roman" w:hAnsi="Times New Roman"/>
          <w:sz w:val="24"/>
        </w:rPr>
        <w:t>Deputy Director/Legal (Ag)</w:t>
      </w:r>
    </w:p>
    <w:p w14:paraId="29D03ABA" w14:textId="77777777" w:rsidR="00740AC7" w:rsidRDefault="00740AC7">
      <w:pPr>
        <w:tabs>
          <w:tab w:val="left" w:pos="1134"/>
        </w:tabs>
        <w:ind w:left="4678"/>
        <w:jc w:val="center"/>
        <w:rPr>
          <w:rFonts w:ascii="Times New Roman" w:hAnsi="Times New Roman"/>
          <w:sz w:val="24"/>
        </w:rPr>
      </w:pPr>
      <w:r>
        <w:rPr>
          <w:rFonts w:ascii="Times New Roman" w:hAnsi="Times New Roman"/>
          <w:sz w:val="24"/>
        </w:rPr>
        <w:t>for Director of Lands</w:t>
      </w:r>
    </w:p>
    <w:p w14:paraId="3469AFB0" w14:textId="77777777" w:rsidR="00740AC7" w:rsidRDefault="00740AC7">
      <w:pPr>
        <w:tabs>
          <w:tab w:val="left" w:pos="1134"/>
        </w:tabs>
        <w:jc w:val="both"/>
        <w:rPr>
          <w:sz w:val="24"/>
        </w:rPr>
      </w:pPr>
    </w:p>
    <w:p w14:paraId="5585BCAA" w14:textId="77777777" w:rsidR="00740AC7" w:rsidRDefault="00740AC7">
      <w:pPr>
        <w:tabs>
          <w:tab w:val="left" w:pos="1134"/>
        </w:tabs>
        <w:jc w:val="both"/>
        <w:rPr>
          <w:sz w:val="24"/>
        </w:rPr>
      </w:pPr>
    </w:p>
    <w:p w14:paraId="06A3BBC6" w14:textId="77777777" w:rsidR="00740AC7" w:rsidRDefault="00740AC7">
      <w:pPr>
        <w:tabs>
          <w:tab w:val="left" w:pos="1134"/>
        </w:tabs>
        <w:jc w:val="both"/>
        <w:rPr>
          <w:sz w:val="24"/>
        </w:rPr>
      </w:pPr>
    </w:p>
    <w:p w14:paraId="526751A0" w14:textId="77777777" w:rsidR="00740AC7" w:rsidRDefault="00740AC7">
      <w:pPr>
        <w:tabs>
          <w:tab w:val="left" w:pos="1134"/>
        </w:tabs>
        <w:jc w:val="both"/>
        <w:rPr>
          <w:sz w:val="24"/>
        </w:rPr>
      </w:pPr>
    </w:p>
    <w:p w14:paraId="60B357E4" w14:textId="77777777" w:rsidR="00740AC7" w:rsidRDefault="00740AC7">
      <w:pPr>
        <w:tabs>
          <w:tab w:val="left" w:pos="1134"/>
        </w:tabs>
        <w:jc w:val="both"/>
        <w:rPr>
          <w:rFonts w:ascii="Times New Roman" w:hAnsi="Times New Roman"/>
          <w:sz w:val="24"/>
        </w:rPr>
      </w:pPr>
      <w:r>
        <w:rPr>
          <w:rFonts w:ascii="Times New Roman" w:hAnsi="Times New Roman"/>
          <w:sz w:val="24"/>
        </w:rPr>
        <w:t>To: All Solicitors</w:t>
      </w:r>
    </w:p>
    <w:sectPr w:rsidR="00740AC7">
      <w:pgSz w:w="11909" w:h="16834"/>
      <w:pgMar w:top="1872"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1)">
    <w:altName w:val="Times New Roman"/>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²Ó©úÅé">
    <w:altName w:val="Calibri"/>
    <w:panose1 w:val="00000000000000000000"/>
    <w:charset w:val="00"/>
    <w:family w:val="auto"/>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hideGrammaticalErrors/>
  <w:doNotTrackMoves/>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40421"/>
    <w:rsid w:val="00040421"/>
    <w:rsid w:val="005F2688"/>
    <w:rsid w:val="00740A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3DBFA1"/>
  <w15:chartTrackingRefBased/>
  <w15:docId w15:val="{D268FE2F-1558-437A-A05A-1DBFE3869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s²Ó©úÅé" w:hAnsi="·s²Ó©úÅé"/>
      <w:lang w:val="en-GB"/>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327</Words>
  <Characters>1866</Characters>
  <Application>Microsoft Office Word</Application>
  <DocSecurity>0</DocSecurity>
  <Lines>15</Lines>
  <Paragraphs>4</Paragraphs>
  <ScaleCrop>false</ScaleCrop>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LACO/HQ/127 II</dc:title>
  <dc:subject/>
  <dc:creator>HONG KONG GOVERNMENT</dc:creator>
  <cp:keywords/>
  <cp:lastModifiedBy>Rico Kwok</cp:lastModifiedBy>
  <cp:revision>2</cp:revision>
  <cp:lastPrinted>1999-04-23T03:21:00Z</cp:lastPrinted>
  <dcterms:created xsi:type="dcterms:W3CDTF">2026-10-02T17:18:00Z</dcterms:created>
  <dcterms:modified xsi:type="dcterms:W3CDTF">2026-10-02T17:18:00Z</dcterms:modified>
</cp:coreProperties>
</file>