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7A1E" w14:textId="77777777" w:rsidR="00A8108B" w:rsidRDefault="00A8108B">
      <w:pPr>
        <w:spacing w:line="240" w:lineRule="atLeast"/>
        <w:ind w:left="1080" w:right="-1321"/>
        <w:jc w:val="both"/>
        <w:rPr>
          <w:rFonts w:ascii="Times New Roman" w:hAnsi="Times New Roman"/>
          <w:sz w:val="24"/>
        </w:rPr>
      </w:pPr>
      <w:r>
        <w:rPr>
          <w:rFonts w:ascii="Times New Roman" w:hAnsi="Times New Roman"/>
          <w:sz w:val="24"/>
        </w:rPr>
        <w:t>2231 3722</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20/F, North Point Govt. Offices</w:t>
      </w:r>
    </w:p>
    <w:p w14:paraId="3980A605" w14:textId="77777777" w:rsidR="00A8108B" w:rsidRDefault="00A8108B">
      <w:pPr>
        <w:spacing w:line="240" w:lineRule="atLeast"/>
        <w:ind w:left="1080" w:right="-1231"/>
        <w:jc w:val="both"/>
        <w:rPr>
          <w:rFonts w:ascii="Times New Roman" w:hAnsi="Times New Roman"/>
          <w:sz w:val="24"/>
        </w:rPr>
      </w:pPr>
      <w:r>
        <w:rPr>
          <w:rFonts w:ascii="Times New Roman" w:hAnsi="Times New Roman"/>
          <w:sz w:val="24"/>
        </w:rPr>
        <w:t>2845 1017</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333 Java Road</w:t>
      </w:r>
    </w:p>
    <w:p w14:paraId="176DCE7B" w14:textId="77777777" w:rsidR="00A8108B" w:rsidRDefault="00A8108B">
      <w:pPr>
        <w:spacing w:line="240" w:lineRule="atLeast"/>
        <w:ind w:left="1080" w:right="-1231"/>
        <w:jc w:val="both"/>
        <w:rPr>
          <w:rFonts w:ascii="Times New Roman" w:hAnsi="Times New Roman"/>
          <w:sz w:val="24"/>
        </w:rPr>
      </w:pPr>
      <w:r>
        <w:rPr>
          <w:rFonts w:ascii="Times New Roman" w:hAnsi="Times New Roman"/>
          <w:sz w:val="24"/>
        </w:rPr>
        <w:t>LACO/HQ/127 II</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North Point, Hong Kong</w:t>
      </w:r>
    </w:p>
    <w:p w14:paraId="6A971528" w14:textId="77777777" w:rsidR="00A8108B" w:rsidRDefault="00A8108B">
      <w:pPr>
        <w:jc w:val="both"/>
        <w:rPr>
          <w:rFonts w:ascii="Times New Roman" w:hAnsi="Times New Roman"/>
          <w:sz w:val="24"/>
        </w:rPr>
      </w:pPr>
    </w:p>
    <w:p w14:paraId="41137C84" w14:textId="77777777" w:rsidR="00A8108B" w:rsidRDefault="00A8108B">
      <w:pPr>
        <w:jc w:val="both"/>
        <w:rPr>
          <w:rFonts w:ascii="Times New Roman" w:hAnsi="Times New Roman"/>
          <w:sz w:val="24"/>
        </w:rPr>
      </w:pPr>
    </w:p>
    <w:p w14:paraId="239CBDC1" w14:textId="77777777" w:rsidR="00A8108B" w:rsidRDefault="00A8108B">
      <w:pPr>
        <w:tabs>
          <w:tab w:val="right" w:pos="9000"/>
        </w:tabs>
        <w:jc w:val="both"/>
        <w:rPr>
          <w:rFonts w:ascii="Times New Roman" w:hAnsi="Times New Roman"/>
          <w:sz w:val="24"/>
        </w:rPr>
      </w:pPr>
      <w:r>
        <w:rPr>
          <w:rFonts w:ascii="Times New Roman" w:hAnsi="Times New Roman"/>
          <w:sz w:val="24"/>
        </w:rPr>
        <w:tab/>
        <w:t>21 May 1999</w:t>
      </w:r>
    </w:p>
    <w:p w14:paraId="4F285ADF" w14:textId="77777777" w:rsidR="00A8108B" w:rsidRDefault="00A8108B">
      <w:pPr>
        <w:jc w:val="both"/>
        <w:rPr>
          <w:rFonts w:ascii="Times New Roman" w:hAnsi="Times New Roman"/>
          <w:sz w:val="24"/>
        </w:rPr>
      </w:pPr>
    </w:p>
    <w:p w14:paraId="5A32FAF8" w14:textId="77777777" w:rsidR="00A8108B" w:rsidRDefault="00A8108B">
      <w:pPr>
        <w:jc w:val="both"/>
        <w:rPr>
          <w:rFonts w:ascii="Times New Roman" w:hAnsi="Times New Roman"/>
          <w:sz w:val="24"/>
        </w:rPr>
      </w:pPr>
    </w:p>
    <w:p w14:paraId="70D2F3C0" w14:textId="77777777" w:rsidR="00A8108B" w:rsidRDefault="00A8108B">
      <w:pPr>
        <w:jc w:val="center"/>
        <w:rPr>
          <w:rFonts w:ascii="Times New Roman" w:hAnsi="Times New Roman"/>
          <w:b/>
          <w:sz w:val="24"/>
        </w:rPr>
      </w:pPr>
      <w:r>
        <w:rPr>
          <w:rFonts w:ascii="Times New Roman" w:hAnsi="Times New Roman"/>
          <w:b/>
          <w:sz w:val="24"/>
        </w:rPr>
        <w:t>Legal Advisory and Conveyancing Office</w:t>
      </w:r>
    </w:p>
    <w:p w14:paraId="67DE1006" w14:textId="77777777" w:rsidR="00A8108B" w:rsidRDefault="00A8108B">
      <w:pPr>
        <w:rPr>
          <w:rFonts w:ascii="Times New Roman" w:hAnsi="Times New Roman"/>
          <w:b/>
          <w:sz w:val="24"/>
        </w:rPr>
      </w:pPr>
      <w:r>
        <w:rPr>
          <w:rFonts w:ascii="Times New Roman" w:hAnsi="Times New Roman"/>
          <w:b/>
          <w:sz w:val="24"/>
        </w:rPr>
        <w:t xml:space="preserve">                                               Circular Memorandum No. 39</w:t>
      </w:r>
    </w:p>
    <w:p w14:paraId="4D199902" w14:textId="77777777" w:rsidR="00A8108B" w:rsidRDefault="00A8108B">
      <w:pPr>
        <w:rPr>
          <w:rFonts w:ascii="Times New Roman" w:hAnsi="Times New Roman"/>
          <w:b/>
          <w:sz w:val="24"/>
        </w:rPr>
      </w:pPr>
    </w:p>
    <w:p w14:paraId="6A0FD1F8" w14:textId="77777777" w:rsidR="00A8108B" w:rsidRDefault="00A8108B">
      <w:pPr>
        <w:jc w:val="center"/>
        <w:rPr>
          <w:rFonts w:ascii="Times New Roman" w:hAnsi="Times New Roman"/>
          <w:b/>
          <w:sz w:val="24"/>
        </w:rPr>
      </w:pPr>
      <w:r>
        <w:rPr>
          <w:rFonts w:ascii="Times New Roman" w:hAnsi="Times New Roman"/>
          <w:b/>
          <w:sz w:val="24"/>
        </w:rPr>
        <w:t>Amen</w:t>
      </w:r>
      <w:r>
        <w:rPr>
          <w:rFonts w:ascii="Times New Roman" w:hAnsi="Times New Roman"/>
          <w:b/>
          <w:sz w:val="24"/>
        </w:rPr>
        <w:t>dments to Approved Form of</w:t>
      </w:r>
    </w:p>
    <w:p w14:paraId="7BF6F4AD" w14:textId="77777777" w:rsidR="00A8108B" w:rsidRDefault="00A8108B">
      <w:pPr>
        <w:pBdr>
          <w:bottom w:val="single" w:sz="6" w:space="1" w:color="auto"/>
        </w:pBdr>
        <w:ind w:left="2700" w:right="2729"/>
        <w:jc w:val="center"/>
        <w:rPr>
          <w:rFonts w:ascii="Times New Roman" w:hAnsi="Times New Roman"/>
          <w:b/>
          <w:sz w:val="24"/>
        </w:rPr>
      </w:pPr>
      <w:r>
        <w:rPr>
          <w:rFonts w:ascii="Times New Roman" w:hAnsi="Times New Roman"/>
          <w:b/>
          <w:sz w:val="24"/>
        </w:rPr>
        <w:t>Agreement for Sale and Purchase</w:t>
      </w:r>
    </w:p>
    <w:p w14:paraId="4C158C08" w14:textId="77777777" w:rsidR="00A8108B" w:rsidRDefault="00A8108B">
      <w:pPr>
        <w:pBdr>
          <w:bottom w:val="single" w:sz="6" w:space="1" w:color="auto"/>
        </w:pBdr>
        <w:ind w:left="2700" w:right="2729"/>
        <w:jc w:val="center"/>
        <w:rPr>
          <w:rFonts w:ascii="Times New Roman" w:hAnsi="Times New Roman"/>
          <w:b/>
          <w:sz w:val="24"/>
        </w:rPr>
      </w:pPr>
      <w:r>
        <w:rPr>
          <w:rFonts w:ascii="Times New Roman" w:hAnsi="Times New Roman"/>
          <w:b/>
          <w:sz w:val="24"/>
        </w:rPr>
        <w:t>under the Consent Scheme</w:t>
      </w:r>
    </w:p>
    <w:p w14:paraId="71A9DA0E" w14:textId="77777777" w:rsidR="00A8108B" w:rsidRDefault="00A8108B">
      <w:pPr>
        <w:jc w:val="both"/>
        <w:rPr>
          <w:rFonts w:ascii="Times New Roman" w:hAnsi="Times New Roman"/>
          <w:b/>
          <w:sz w:val="24"/>
        </w:rPr>
      </w:pPr>
    </w:p>
    <w:p w14:paraId="1C1F5269" w14:textId="77777777" w:rsidR="00A8108B" w:rsidRDefault="00A8108B">
      <w:pPr>
        <w:jc w:val="both"/>
        <w:rPr>
          <w:rFonts w:ascii="Times New Roman" w:hAnsi="Times New Roman"/>
          <w:sz w:val="24"/>
        </w:rPr>
      </w:pPr>
    </w:p>
    <w:p w14:paraId="78A93B6A" w14:textId="77777777" w:rsidR="00A8108B" w:rsidRDefault="00A8108B">
      <w:pPr>
        <w:tabs>
          <w:tab w:val="left" w:pos="1134"/>
        </w:tabs>
        <w:jc w:val="both"/>
        <w:rPr>
          <w:rFonts w:ascii="Times New Roman" w:hAnsi="Times New Roman"/>
          <w:sz w:val="24"/>
        </w:rPr>
      </w:pPr>
      <w:r>
        <w:rPr>
          <w:rFonts w:ascii="Times New Roman" w:hAnsi="Times New Roman"/>
          <w:sz w:val="24"/>
        </w:rPr>
        <w:tab/>
        <w:t>Many purchasers opt to pay the balance of the purchase price payable under their Agreements for Sale and Purchase within a specified date of their entering into the agreement i.e. prior to the issue of the Certificate of Compliance or Consent to Assign.  Accordingly, clause 3(3) of the approved form of Agreement for Sale and Purchase has been amended to allow for “immediate payment” as per the attached.</w:t>
      </w:r>
    </w:p>
    <w:p w14:paraId="0F595755" w14:textId="77777777" w:rsidR="00A8108B" w:rsidRDefault="00A8108B">
      <w:pPr>
        <w:tabs>
          <w:tab w:val="left" w:pos="1134"/>
        </w:tabs>
        <w:jc w:val="both"/>
        <w:rPr>
          <w:rFonts w:ascii="Times New Roman" w:hAnsi="Times New Roman"/>
          <w:sz w:val="24"/>
        </w:rPr>
      </w:pPr>
    </w:p>
    <w:p w14:paraId="71781B3D" w14:textId="77777777" w:rsidR="00A8108B" w:rsidRDefault="00A8108B">
      <w:pPr>
        <w:tabs>
          <w:tab w:val="left" w:pos="1134"/>
        </w:tabs>
        <w:jc w:val="both"/>
        <w:rPr>
          <w:rFonts w:ascii="Times New Roman" w:hAnsi="Times New Roman"/>
          <w:sz w:val="24"/>
        </w:rPr>
      </w:pPr>
      <w:r>
        <w:rPr>
          <w:rFonts w:ascii="Times New Roman" w:hAnsi="Times New Roman"/>
          <w:sz w:val="24"/>
        </w:rPr>
        <w:t>2.</w:t>
      </w:r>
      <w:r>
        <w:rPr>
          <w:rFonts w:ascii="Times New Roman" w:hAnsi="Times New Roman"/>
          <w:sz w:val="24"/>
        </w:rPr>
        <w:tab/>
        <w:t xml:space="preserve">Pursuant to a </w:t>
      </w:r>
      <w:r>
        <w:rPr>
          <w:rFonts w:ascii="Times New Roman" w:hAnsi="Times New Roman"/>
          <w:sz w:val="24"/>
        </w:rPr>
        <w:t>Consent to Assign, a vendor can convey an equitable interest and not a legal estate.  Although the approved form of Agreement does not stipulate that there be an assignment of a legal estate upon completion, with a view to avoiding the possibility of argument that the vendor must convey a legal estate on completion, a new subclause 12(2) has been added to the approved form of Agreement as per the attached.</w:t>
      </w:r>
    </w:p>
    <w:p w14:paraId="27B9D851" w14:textId="77777777" w:rsidR="00A8108B" w:rsidRDefault="00A8108B">
      <w:pPr>
        <w:tabs>
          <w:tab w:val="left" w:pos="1134"/>
        </w:tabs>
        <w:jc w:val="both"/>
        <w:rPr>
          <w:rFonts w:ascii="Times New Roman" w:hAnsi="Times New Roman"/>
          <w:sz w:val="24"/>
        </w:rPr>
      </w:pPr>
    </w:p>
    <w:p w14:paraId="1FAC574C" w14:textId="77777777" w:rsidR="00A8108B" w:rsidRDefault="00A8108B">
      <w:pPr>
        <w:tabs>
          <w:tab w:val="left" w:pos="1134"/>
        </w:tabs>
        <w:jc w:val="both"/>
        <w:rPr>
          <w:rFonts w:ascii="Times New Roman" w:hAnsi="Times New Roman"/>
          <w:sz w:val="24"/>
        </w:rPr>
      </w:pPr>
      <w:r>
        <w:rPr>
          <w:rFonts w:ascii="Times New Roman" w:hAnsi="Times New Roman"/>
          <w:sz w:val="24"/>
        </w:rPr>
        <w:t>3.</w:t>
      </w:r>
      <w:r>
        <w:rPr>
          <w:rFonts w:ascii="Times New Roman" w:hAnsi="Times New Roman"/>
          <w:sz w:val="24"/>
        </w:rPr>
        <w:tab/>
        <w:t>The form of Agreement incorporating the above amendments may be used in respect of consents alread</w:t>
      </w:r>
      <w:r>
        <w:rPr>
          <w:rFonts w:ascii="Times New Roman" w:hAnsi="Times New Roman"/>
          <w:sz w:val="24"/>
        </w:rPr>
        <w:t>y issued as well as consents to be issued in the future.</w:t>
      </w:r>
    </w:p>
    <w:p w14:paraId="319DB71B" w14:textId="77777777" w:rsidR="00A8108B" w:rsidRDefault="00A8108B">
      <w:pPr>
        <w:tabs>
          <w:tab w:val="left" w:pos="1134"/>
        </w:tabs>
        <w:jc w:val="both"/>
        <w:rPr>
          <w:rFonts w:ascii="Times New Roman" w:hAnsi="Times New Roman"/>
          <w:sz w:val="24"/>
        </w:rPr>
      </w:pPr>
    </w:p>
    <w:p w14:paraId="0A865F01" w14:textId="77777777" w:rsidR="00A8108B" w:rsidRDefault="00A8108B">
      <w:pPr>
        <w:tabs>
          <w:tab w:val="left" w:pos="1134"/>
        </w:tabs>
        <w:jc w:val="both"/>
        <w:rPr>
          <w:rFonts w:ascii="Times New Roman" w:hAnsi="Times New Roman"/>
          <w:sz w:val="24"/>
        </w:rPr>
      </w:pPr>
    </w:p>
    <w:p w14:paraId="5FF754D2" w14:textId="77777777" w:rsidR="00A8108B" w:rsidRDefault="00A8108B">
      <w:pPr>
        <w:tabs>
          <w:tab w:val="left" w:pos="1134"/>
        </w:tabs>
        <w:jc w:val="both"/>
        <w:rPr>
          <w:rFonts w:ascii="Times New Roman" w:hAnsi="Times New Roman"/>
          <w:sz w:val="24"/>
        </w:rPr>
      </w:pPr>
    </w:p>
    <w:p w14:paraId="2E7DE39E" w14:textId="77777777" w:rsidR="00A8108B" w:rsidRDefault="00A8108B">
      <w:pPr>
        <w:tabs>
          <w:tab w:val="left" w:pos="1134"/>
        </w:tabs>
        <w:jc w:val="both"/>
        <w:rPr>
          <w:rFonts w:ascii="Times New Roman" w:hAnsi="Times New Roman"/>
          <w:sz w:val="24"/>
        </w:rPr>
      </w:pPr>
    </w:p>
    <w:p w14:paraId="2E91EA62" w14:textId="77777777" w:rsidR="00A8108B" w:rsidRDefault="00A8108B">
      <w:pPr>
        <w:tabs>
          <w:tab w:val="left" w:pos="1134"/>
        </w:tabs>
        <w:jc w:val="both"/>
        <w:rPr>
          <w:rFonts w:ascii="Times New Roman" w:hAnsi="Times New Roman"/>
          <w:sz w:val="24"/>
        </w:rPr>
      </w:pPr>
    </w:p>
    <w:p w14:paraId="2ED97E1B" w14:textId="77777777" w:rsidR="00A8108B" w:rsidRDefault="00A8108B">
      <w:pPr>
        <w:tabs>
          <w:tab w:val="left" w:pos="1134"/>
        </w:tabs>
        <w:jc w:val="both"/>
        <w:rPr>
          <w:rFonts w:ascii="Times New Roman" w:hAnsi="Times New Roman"/>
          <w:sz w:val="24"/>
        </w:rPr>
      </w:pPr>
    </w:p>
    <w:p w14:paraId="68C796BE" w14:textId="77777777" w:rsidR="00A8108B" w:rsidRDefault="00A8108B">
      <w:pPr>
        <w:tabs>
          <w:tab w:val="left" w:pos="1134"/>
        </w:tabs>
        <w:jc w:val="both"/>
        <w:rPr>
          <w:rFonts w:ascii="Times New Roman" w:hAnsi="Times New Roman"/>
          <w:sz w:val="24"/>
        </w:rPr>
      </w:pPr>
    </w:p>
    <w:p w14:paraId="4BEED50F" w14:textId="77777777" w:rsidR="00A8108B" w:rsidRDefault="00A8108B">
      <w:pPr>
        <w:tabs>
          <w:tab w:val="left" w:pos="1134"/>
        </w:tabs>
        <w:ind w:left="4678"/>
        <w:jc w:val="center"/>
        <w:rPr>
          <w:rFonts w:ascii="Times New Roman" w:hAnsi="Times New Roman"/>
          <w:sz w:val="24"/>
        </w:rPr>
      </w:pPr>
      <w:r>
        <w:rPr>
          <w:rFonts w:ascii="Times New Roman" w:hAnsi="Times New Roman"/>
          <w:sz w:val="24"/>
        </w:rPr>
        <w:t>(A L Robertson)</w:t>
      </w:r>
    </w:p>
    <w:p w14:paraId="247078B7" w14:textId="77777777" w:rsidR="00A8108B" w:rsidRDefault="00A8108B">
      <w:pPr>
        <w:tabs>
          <w:tab w:val="left" w:pos="1134"/>
        </w:tabs>
        <w:ind w:left="4678"/>
        <w:jc w:val="center"/>
        <w:rPr>
          <w:rFonts w:ascii="Times New Roman" w:hAnsi="Times New Roman"/>
          <w:sz w:val="24"/>
        </w:rPr>
      </w:pPr>
      <w:r>
        <w:rPr>
          <w:rFonts w:ascii="Times New Roman" w:hAnsi="Times New Roman"/>
          <w:sz w:val="24"/>
        </w:rPr>
        <w:t>Deputy Director/Legal (Ag)</w:t>
      </w:r>
    </w:p>
    <w:p w14:paraId="09D3DD46" w14:textId="77777777" w:rsidR="00A8108B" w:rsidRDefault="00A8108B">
      <w:pPr>
        <w:tabs>
          <w:tab w:val="left" w:pos="1134"/>
        </w:tabs>
        <w:ind w:left="4678"/>
        <w:jc w:val="center"/>
        <w:rPr>
          <w:rFonts w:ascii="Times New Roman" w:hAnsi="Times New Roman"/>
          <w:sz w:val="24"/>
        </w:rPr>
      </w:pPr>
      <w:r>
        <w:rPr>
          <w:rFonts w:ascii="Times New Roman" w:hAnsi="Times New Roman"/>
          <w:sz w:val="24"/>
        </w:rPr>
        <w:t>for Director of Lands</w:t>
      </w:r>
    </w:p>
    <w:p w14:paraId="1FDC8346" w14:textId="77777777" w:rsidR="00A8108B" w:rsidRDefault="00A8108B">
      <w:pPr>
        <w:tabs>
          <w:tab w:val="left" w:pos="1134"/>
        </w:tabs>
        <w:jc w:val="both"/>
        <w:rPr>
          <w:rFonts w:ascii="Times New Roman" w:hAnsi="Times New Roman"/>
          <w:sz w:val="24"/>
        </w:rPr>
      </w:pPr>
    </w:p>
    <w:p w14:paraId="69A4DAC9" w14:textId="77777777" w:rsidR="00A8108B" w:rsidRDefault="00A8108B">
      <w:pPr>
        <w:tabs>
          <w:tab w:val="left" w:pos="1134"/>
        </w:tabs>
        <w:jc w:val="both"/>
        <w:rPr>
          <w:rFonts w:ascii="Times New Roman" w:hAnsi="Times New Roman"/>
          <w:sz w:val="24"/>
        </w:rPr>
      </w:pPr>
    </w:p>
    <w:p w14:paraId="746A405C" w14:textId="77777777" w:rsidR="00A8108B" w:rsidRDefault="00A8108B">
      <w:pPr>
        <w:tabs>
          <w:tab w:val="left" w:pos="1134"/>
        </w:tabs>
        <w:jc w:val="both"/>
        <w:rPr>
          <w:rFonts w:ascii="Times New Roman" w:hAnsi="Times New Roman"/>
          <w:sz w:val="24"/>
        </w:rPr>
      </w:pPr>
    </w:p>
    <w:p w14:paraId="2B34067B" w14:textId="77777777" w:rsidR="00A8108B" w:rsidRDefault="00A8108B">
      <w:pPr>
        <w:tabs>
          <w:tab w:val="left" w:pos="1134"/>
        </w:tabs>
        <w:jc w:val="both"/>
        <w:rPr>
          <w:rFonts w:ascii="Times New Roman" w:hAnsi="Times New Roman"/>
          <w:sz w:val="24"/>
        </w:rPr>
      </w:pPr>
    </w:p>
    <w:p w14:paraId="05E9564F" w14:textId="77777777" w:rsidR="00A8108B" w:rsidRDefault="00A8108B">
      <w:pPr>
        <w:tabs>
          <w:tab w:val="left" w:pos="1134"/>
        </w:tabs>
        <w:jc w:val="both"/>
        <w:rPr>
          <w:rFonts w:ascii="Times New Roman" w:hAnsi="Times New Roman"/>
          <w:sz w:val="24"/>
        </w:rPr>
      </w:pPr>
      <w:r>
        <w:rPr>
          <w:rFonts w:ascii="Times New Roman" w:hAnsi="Times New Roman"/>
          <w:sz w:val="24"/>
        </w:rPr>
        <w:t>To: All Solicitors</w:t>
      </w:r>
    </w:p>
    <w:p w14:paraId="63A0BBF6" w14:textId="77777777" w:rsidR="00A8108B" w:rsidRDefault="00A8108B">
      <w:pPr>
        <w:tabs>
          <w:tab w:val="left" w:pos="1134"/>
        </w:tabs>
        <w:jc w:val="both"/>
        <w:rPr>
          <w:rFonts w:ascii="Times New Roman" w:hAnsi="Times New Roman"/>
          <w:sz w:val="24"/>
        </w:rPr>
      </w:pPr>
    </w:p>
    <w:p w14:paraId="2857AD1A" w14:textId="77777777" w:rsidR="00A8108B" w:rsidRDefault="00A8108B">
      <w:pPr>
        <w:tabs>
          <w:tab w:val="left" w:pos="1134"/>
        </w:tabs>
        <w:jc w:val="both"/>
        <w:rPr>
          <w:rFonts w:ascii="Times New Roman" w:hAnsi="Times New Roman"/>
          <w:sz w:val="24"/>
        </w:rPr>
        <w:sectPr w:rsidR="00000000">
          <w:pgSz w:w="11909" w:h="16834"/>
          <w:pgMar w:top="1872" w:right="1440" w:bottom="1440" w:left="1440" w:header="851" w:footer="992" w:gutter="0"/>
          <w:cols w:space="425"/>
        </w:sectPr>
      </w:pPr>
    </w:p>
    <w:p w14:paraId="46988507" w14:textId="77777777" w:rsidR="00A8108B" w:rsidRDefault="00A8108B">
      <w:pPr>
        <w:pStyle w:val="BodyText2"/>
      </w:pPr>
      <w:r>
        <w:lastRenderedPageBreak/>
        <w:t>Clause 3(3)</w:t>
      </w:r>
      <w:r>
        <w:tab/>
        <w:t>In the event of the Purchaser being required pursuant to Schedule 4 to pay the balance of the purchase price when the Vendor is not at that time in a position validly to assign the Property to the Purchaser for whatever reason, the Purchaser shall be entitled to withhold such payment until the Vendor is in a position validly to assign the Prope</w:t>
      </w:r>
      <w:r>
        <w:t>rty and has given at least 14 days’ notice in writing to that effect to the Purchaser.  Provided that where the Purchaser has opted for payment of the full balance of purchase price within      days of the signing hereof in accordance with Schedule 4 then this sub-clause (3) shall not apply.</w:t>
      </w:r>
    </w:p>
    <w:p w14:paraId="64343B6D" w14:textId="77777777" w:rsidR="00A8108B" w:rsidRDefault="00A8108B">
      <w:pPr>
        <w:ind w:left="1800" w:hanging="1800"/>
        <w:jc w:val="both"/>
        <w:rPr>
          <w:rFonts w:ascii="Times New Roman" w:hAnsi="Times New Roman"/>
          <w:sz w:val="24"/>
        </w:rPr>
      </w:pPr>
    </w:p>
    <w:p w14:paraId="42D8B54A" w14:textId="77777777" w:rsidR="00A8108B" w:rsidRDefault="00A8108B">
      <w:pPr>
        <w:ind w:left="1800" w:hanging="1800"/>
        <w:jc w:val="both"/>
        <w:rPr>
          <w:rFonts w:ascii="Times New Roman" w:hAnsi="Times New Roman"/>
          <w:sz w:val="24"/>
        </w:rPr>
      </w:pPr>
    </w:p>
    <w:p w14:paraId="0EAFB8EB" w14:textId="77777777" w:rsidR="00A8108B" w:rsidRDefault="00A8108B">
      <w:pPr>
        <w:pStyle w:val="Heading1"/>
        <w:tabs>
          <w:tab w:val="clear" w:pos="1134"/>
          <w:tab w:val="clear" w:pos="1843"/>
        </w:tabs>
        <w:ind w:left="1841" w:hanging="1841"/>
      </w:pPr>
      <w:r>
        <w:t>Clause 12(2)</w:t>
      </w:r>
      <w:r>
        <w:tab/>
        <w:t>The Purchaser shall raise no objection if the Vendor’s interest in the Property is an equitable interest and not a legal estate.</w:t>
      </w:r>
    </w:p>
    <w:sectPr w:rsidR="00A8108B">
      <w:pgSz w:w="11909" w:h="16834"/>
      <w:pgMar w:top="1872"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s2OcuAe">
    <w:altName w:val="MS Mincho"/>
    <w:panose1 w:val="00000000000000000000"/>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1D1"/>
    <w:rsid w:val="006851D1"/>
    <w:rsid w:val="00A8108B"/>
    <w:rsid w:val="00C55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6C224"/>
  <w15:chartTrackingRefBased/>
  <w15:docId w15:val="{502488DF-C0CC-4EEA-A5CC-28284430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lang w:val="en-GB"/>
    </w:rPr>
  </w:style>
  <w:style w:type="paragraph" w:styleId="Heading1">
    <w:name w:val="heading 1"/>
    <w:basedOn w:val="Normal"/>
    <w:next w:val="Normal"/>
    <w:qFormat/>
    <w:pPr>
      <w:keepNext/>
      <w:tabs>
        <w:tab w:val="left" w:pos="1134"/>
        <w:tab w:val="left" w:pos="1843"/>
      </w:tabs>
      <w:jc w:val="both"/>
      <w:outlineLvl w:val="0"/>
    </w:pPr>
    <w:rPr>
      <w:rFonts w:ascii="Times New Roman" w:hAnsi="Times New Roman"/>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ind w:left="1800" w:hanging="1800"/>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1897</Characters>
  <Application>Microsoft Office Word</Application>
  <DocSecurity>0</DocSecurity>
  <Lines>15</Lines>
  <Paragraphs>4</Paragraphs>
  <ScaleCrop>false</ScaleCrop>
  <Company>Lands Dept</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LACO/HQ/127 II</dc:title>
  <dc:subject/>
  <dc:creator>HONG KONG GOVERNMENT</dc:creator>
  <cp:keywords/>
  <dc:description/>
  <cp:lastModifiedBy>Rico Kwok</cp:lastModifiedBy>
  <cp:revision>2</cp:revision>
  <cp:lastPrinted>1999-05-21T04:26:00Z</cp:lastPrinted>
  <dcterms:created xsi:type="dcterms:W3CDTF">2026-10-02T17:18:00Z</dcterms:created>
  <dcterms:modified xsi:type="dcterms:W3CDTF">2026-10-02T17:18:00Z</dcterms:modified>
</cp:coreProperties>
</file>