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7E8CC" w14:textId="77777777" w:rsidR="00DD3992" w:rsidRDefault="00DD3992">
      <w:pPr>
        <w:jc w:val="both"/>
      </w:pPr>
    </w:p>
    <w:p w14:paraId="7A1AACD4" w14:textId="77777777" w:rsidR="00DD3992" w:rsidRDefault="00DD3992">
      <w:pPr>
        <w:jc w:val="both"/>
      </w:pPr>
    </w:p>
    <w:p w14:paraId="6C652F3C" w14:textId="77777777" w:rsidR="00DD3992" w:rsidRDefault="00DD3992">
      <w:pPr>
        <w:jc w:val="both"/>
      </w:pPr>
    </w:p>
    <w:p w14:paraId="00D1F222" w14:textId="77777777" w:rsidR="00DD3992" w:rsidRDefault="00DD3992">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LACO/HQ/127</w:t>
      </w:r>
    </w:p>
    <w:p w14:paraId="1142B408" w14:textId="77777777" w:rsidR="00DD3992" w:rsidRDefault="00DD3992">
      <w:pPr>
        <w:jc w:val="both"/>
        <w:rPr>
          <w:rFonts w:ascii="Times New Roman" w:hAnsi="Times New Roman"/>
        </w:rPr>
      </w:pPr>
    </w:p>
    <w:p w14:paraId="47015ACB" w14:textId="77777777" w:rsidR="00DD3992" w:rsidRDefault="00DD3992">
      <w:pPr>
        <w:spacing w:line="240" w:lineRule="atLeast"/>
        <w:jc w:val="both"/>
      </w:pPr>
    </w:p>
    <w:p w14:paraId="1A04F275" w14:textId="77777777" w:rsidR="00DD3992" w:rsidRDefault="00DD3992">
      <w:pPr>
        <w:spacing w:line="240" w:lineRule="atLeast"/>
        <w:jc w:val="both"/>
      </w:pPr>
    </w:p>
    <w:p w14:paraId="4AD6200F" w14:textId="77777777" w:rsidR="00DD3992" w:rsidRDefault="00DD3992">
      <w:pPr>
        <w:spacing w:line="240" w:lineRule="atLeast"/>
        <w:jc w:val="right"/>
        <w:rPr>
          <w:rFonts w:ascii="Times New Roman" w:hAnsi="Times New Roman"/>
        </w:rPr>
      </w:pPr>
      <w:r>
        <w:rPr>
          <w:rFonts w:ascii="Times New Roman" w:hAnsi="Times New Roman"/>
        </w:rPr>
        <w:t>11 May 1994</w:t>
      </w:r>
    </w:p>
    <w:p w14:paraId="1398CA13" w14:textId="77777777" w:rsidR="00DD3992" w:rsidRDefault="00DD3992">
      <w:pPr>
        <w:spacing w:line="240" w:lineRule="atLeast"/>
        <w:jc w:val="both"/>
      </w:pPr>
    </w:p>
    <w:p w14:paraId="678D0095" w14:textId="77777777" w:rsidR="00DD3992" w:rsidRDefault="00DD3992">
      <w:pPr>
        <w:spacing w:line="240" w:lineRule="atLeast"/>
        <w:jc w:val="both"/>
      </w:pPr>
    </w:p>
    <w:p w14:paraId="275C517C" w14:textId="77777777" w:rsidR="00DD3992" w:rsidRDefault="00DD3992">
      <w:pPr>
        <w:spacing w:line="240" w:lineRule="atLeast"/>
        <w:jc w:val="center"/>
        <w:rPr>
          <w:rFonts w:ascii="Times New Roman" w:hAnsi="Times New Roman"/>
          <w:b/>
        </w:rPr>
      </w:pPr>
      <w:r>
        <w:rPr>
          <w:rFonts w:ascii="Times New Roman" w:hAnsi="Times New Roman"/>
          <w:b/>
        </w:rPr>
        <w:t>Legal Advisory and Conveyancing Office</w:t>
      </w:r>
    </w:p>
    <w:p w14:paraId="1BAED778" w14:textId="77777777" w:rsidR="00DD3992" w:rsidRDefault="00DD3992">
      <w:pPr>
        <w:spacing w:line="240" w:lineRule="atLeast"/>
        <w:jc w:val="center"/>
        <w:rPr>
          <w:rFonts w:ascii="Times New Roman" w:hAnsi="Times New Roman"/>
          <w:b/>
          <w:u w:val="single"/>
        </w:rPr>
      </w:pPr>
      <w:r>
        <w:rPr>
          <w:rFonts w:ascii="Times New Roman" w:hAnsi="Times New Roman"/>
          <w:b/>
          <w:u w:val="single"/>
        </w:rPr>
        <w:t>Circular Memorandum No. 6</w:t>
      </w:r>
    </w:p>
    <w:p w14:paraId="1D8CCCC5" w14:textId="77777777" w:rsidR="00DD3992" w:rsidRDefault="00DD3992">
      <w:pPr>
        <w:spacing w:line="240" w:lineRule="atLeast"/>
        <w:jc w:val="center"/>
        <w:rPr>
          <w:rFonts w:ascii="Times New Roman" w:hAnsi="Times New Roman"/>
          <w:b/>
          <w:u w:val="single"/>
        </w:rPr>
      </w:pPr>
    </w:p>
    <w:p w14:paraId="3D98618E" w14:textId="77777777" w:rsidR="00DD3992" w:rsidRDefault="00DD3992">
      <w:pPr>
        <w:spacing w:line="240" w:lineRule="atLeast"/>
        <w:jc w:val="center"/>
        <w:rPr>
          <w:rFonts w:ascii="Times New Roman" w:hAnsi="Times New Roman"/>
          <w:b/>
        </w:rPr>
      </w:pPr>
      <w:r>
        <w:rPr>
          <w:rFonts w:ascii="Times New Roman" w:hAnsi="Times New Roman"/>
          <w:b/>
        </w:rPr>
        <w:t>Mortgage or Charge of Flats under the</w:t>
      </w:r>
    </w:p>
    <w:p w14:paraId="19E36313" w14:textId="77777777" w:rsidR="00DD3992" w:rsidRDefault="00DD3992">
      <w:pPr>
        <w:spacing w:line="240" w:lineRule="atLeast"/>
        <w:jc w:val="center"/>
        <w:rPr>
          <w:rFonts w:ascii="Times New Roman" w:hAnsi="Times New Roman"/>
          <w:b/>
          <w:u w:val="single"/>
        </w:rPr>
      </w:pPr>
      <w:r>
        <w:rPr>
          <w:rFonts w:ascii="Times New Roman" w:hAnsi="Times New Roman"/>
          <w:b/>
          <w:u w:val="single"/>
        </w:rPr>
        <w:t>Home Ownership Scheme/the Private Sector Participation Scheme</w:t>
      </w:r>
    </w:p>
    <w:p w14:paraId="435C8540" w14:textId="77777777" w:rsidR="00DD3992" w:rsidRDefault="00DD3992">
      <w:pPr>
        <w:spacing w:line="240" w:lineRule="atLeast"/>
        <w:jc w:val="both"/>
        <w:rPr>
          <w:rFonts w:ascii="Times New Roman" w:hAnsi="Times New Roman"/>
        </w:rPr>
      </w:pPr>
      <w:r>
        <w:rPr>
          <w:rFonts w:ascii="Times New Roman" w:hAnsi="Times New Roman"/>
        </w:rPr>
        <w:tab/>
      </w:r>
    </w:p>
    <w:p w14:paraId="4F70CEAD" w14:textId="77777777" w:rsidR="00DD3992" w:rsidRDefault="00DD3992">
      <w:pPr>
        <w:spacing w:line="240" w:lineRule="atLeast"/>
        <w:jc w:val="both"/>
      </w:pPr>
    </w:p>
    <w:p w14:paraId="35B5A84D" w14:textId="77777777" w:rsidR="00DD3992" w:rsidRDefault="00DD3992">
      <w:pPr>
        <w:spacing w:line="240" w:lineRule="atLeast"/>
        <w:jc w:val="both"/>
        <w:rPr>
          <w:rFonts w:ascii="Times New Roman" w:hAnsi="Times New Roman"/>
        </w:rPr>
      </w:pPr>
      <w:r>
        <w:rPr>
          <w:rFonts w:ascii="Times New Roman" w:hAnsi="Times New Roman"/>
        </w:rPr>
        <w:tab/>
      </w:r>
      <w:r>
        <w:rPr>
          <w:rFonts w:ascii="Times New Roman" w:hAnsi="Times New Roman"/>
        </w:rPr>
        <w:tab/>
        <w:t>Further to Legal Advisory &amp; Conveyancing Office Ci</w:t>
      </w:r>
      <w:r>
        <w:rPr>
          <w:rFonts w:ascii="Times New Roman" w:hAnsi="Times New Roman"/>
        </w:rPr>
        <w:t>rcular Memorandum No. 5, I wish to remind solicitors of the restrictions on the mortgaging or charging of flats acquired under the Home Ownership Scheme (HOS) and the Private Sector Participation Scheme (PSPS).</w:t>
      </w:r>
    </w:p>
    <w:p w14:paraId="15066991" w14:textId="77777777" w:rsidR="00DD3992" w:rsidRDefault="00DD3992">
      <w:pPr>
        <w:spacing w:line="240" w:lineRule="atLeast"/>
        <w:jc w:val="both"/>
      </w:pPr>
    </w:p>
    <w:p w14:paraId="320CA01E" w14:textId="77777777" w:rsidR="00DD3992" w:rsidRDefault="00DD3992">
      <w:pPr>
        <w:spacing w:line="240" w:lineRule="atLeast"/>
        <w:jc w:val="both"/>
        <w:rPr>
          <w:rFonts w:ascii="Times New Roman" w:hAnsi="Times New Roman"/>
        </w:rPr>
      </w:pPr>
      <w:r>
        <w:rPr>
          <w:rFonts w:ascii="Times New Roman" w:hAnsi="Times New Roman"/>
        </w:rPr>
        <w:tab/>
      </w:r>
      <w:r>
        <w:rPr>
          <w:rFonts w:ascii="Times New Roman" w:hAnsi="Times New Roman"/>
        </w:rPr>
        <w:tab/>
        <w:t>HOS/PSPS Agreements for Sale and Purchase and Deeds of Assignment incorporate the Schedule to the Housing Ordinance (Cap.283) (</w:t>
      </w:r>
      <w:r>
        <w:t>“</w:t>
      </w:r>
      <w:r>
        <w:rPr>
          <w:rFonts w:ascii="Times New Roman" w:hAnsi="Times New Roman"/>
        </w:rPr>
        <w:t>the Schedule</w:t>
      </w:r>
      <w:r>
        <w:t>”</w:t>
      </w:r>
      <w:r>
        <w:rPr>
          <w:rFonts w:ascii="Times New Roman" w:hAnsi="Times New Roman"/>
        </w:rPr>
        <w:t xml:space="preserve">).  Paragraph 1 of the Schedule prohibits (subject to the Schedule) the mortgaging or charging by an HOS/PSPS flat purchaser of his flat prior to the expiry </w:t>
      </w:r>
      <w:r>
        <w:rPr>
          <w:rFonts w:ascii="Times New Roman" w:hAnsi="Times New Roman"/>
        </w:rPr>
        <w:t>of a period of 10 years from the date of the assignment to him coupled with the payment of a premium calculated in accordance with the Schedule.</w:t>
      </w:r>
    </w:p>
    <w:p w14:paraId="29675A78" w14:textId="77777777" w:rsidR="00DD3992" w:rsidRDefault="00DD3992">
      <w:pPr>
        <w:spacing w:line="240" w:lineRule="atLeast"/>
        <w:jc w:val="both"/>
      </w:pPr>
    </w:p>
    <w:p w14:paraId="7D067094" w14:textId="77777777" w:rsidR="00DD3992" w:rsidRDefault="00DD3992">
      <w:pPr>
        <w:spacing w:line="240" w:lineRule="atLeast"/>
        <w:jc w:val="both"/>
        <w:rPr>
          <w:rFonts w:ascii="Times New Roman" w:hAnsi="Times New Roman"/>
        </w:rPr>
      </w:pPr>
      <w:r>
        <w:rPr>
          <w:rFonts w:ascii="Times New Roman" w:hAnsi="Times New Roman"/>
        </w:rPr>
        <w:tab/>
      </w:r>
      <w:r>
        <w:rPr>
          <w:rFonts w:ascii="Times New Roman" w:hAnsi="Times New Roman"/>
        </w:rPr>
        <w:tab/>
        <w:t>Under paragraph 4 of the Schedule, an HOS/PSPS flat purchaser is permitted to mortgage or charge his flat only with the prior approval of the Director of Housing (</w:t>
      </w:r>
      <w:r>
        <w:t>“</w:t>
      </w:r>
      <w:r>
        <w:rPr>
          <w:rFonts w:ascii="Times New Roman" w:hAnsi="Times New Roman"/>
        </w:rPr>
        <w:t>the Director</w:t>
      </w:r>
      <w:r>
        <w:t>”</w:t>
      </w:r>
      <w:r>
        <w:rPr>
          <w:rFonts w:ascii="Times New Roman" w:hAnsi="Times New Roman"/>
        </w:rPr>
        <w:t xml:space="preserve">) and on such terms as are authorized by the Director in writing.  Any mortgage or charge of a flat which has not been approved by the Director or does not comply with the terms on which </w:t>
      </w:r>
      <w:r>
        <w:rPr>
          <w:rFonts w:ascii="Times New Roman" w:hAnsi="Times New Roman"/>
        </w:rPr>
        <w:t>the Director has signified his approval is to be regarded as unauthorized and in breach of the Schedule.</w:t>
      </w:r>
    </w:p>
    <w:p w14:paraId="7B19C670" w14:textId="77777777" w:rsidR="00DD3992" w:rsidRDefault="00DD3992">
      <w:pPr>
        <w:spacing w:line="240" w:lineRule="atLeast"/>
        <w:jc w:val="both"/>
      </w:pPr>
    </w:p>
    <w:p w14:paraId="26DEAD73" w14:textId="77777777" w:rsidR="00DD3992" w:rsidRDefault="00DD3992">
      <w:pPr>
        <w:spacing w:line="240" w:lineRule="atLeast"/>
        <w:jc w:val="both"/>
        <w:rPr>
          <w:rFonts w:ascii="Times New Roman" w:hAnsi="Times New Roman"/>
        </w:rPr>
      </w:pPr>
      <w:r>
        <w:rPr>
          <w:rFonts w:ascii="Times New Roman" w:hAnsi="Times New Roman"/>
        </w:rPr>
        <w:tab/>
      </w:r>
      <w:r>
        <w:rPr>
          <w:rFonts w:ascii="Times New Roman" w:hAnsi="Times New Roman"/>
        </w:rPr>
        <w:tab/>
        <w:t>Any breach of the Schedule will necessarily be a breach of the terms and conditions of the HOS/PSPS agreement for sale and purchase and deed of assignment, for breach of which action may be taken against the HOS/PSPS flat purchaser.</w:t>
      </w:r>
    </w:p>
    <w:p w14:paraId="47B0EADF" w14:textId="77777777" w:rsidR="00DD3992" w:rsidRDefault="00DD3992">
      <w:pPr>
        <w:spacing w:line="240" w:lineRule="atLeast"/>
        <w:jc w:val="both"/>
      </w:pPr>
    </w:p>
    <w:p w14:paraId="692F3B89" w14:textId="77777777" w:rsidR="00DD3992" w:rsidRDefault="00DD3992">
      <w:pPr>
        <w:spacing w:line="240" w:lineRule="atLeast"/>
        <w:jc w:val="both"/>
        <w:rPr>
          <w:rFonts w:ascii="Times New Roman" w:hAnsi="Times New Roman"/>
        </w:rPr>
      </w:pPr>
      <w:r>
        <w:rPr>
          <w:rFonts w:ascii="Times New Roman" w:hAnsi="Times New Roman"/>
        </w:rPr>
        <w:tab/>
      </w:r>
      <w:r>
        <w:rPr>
          <w:rFonts w:ascii="Times New Roman" w:hAnsi="Times New Roman"/>
        </w:rPr>
        <w:tab/>
        <w:t>It is important to ensure, when dealing with mortgages or charges of flats under the HOS/PSPS, that they are first approved or authorized by the Director and comply str</w:t>
      </w:r>
      <w:r>
        <w:rPr>
          <w:rFonts w:ascii="Times New Roman" w:hAnsi="Times New Roman"/>
        </w:rPr>
        <w:t>ictly with all the terms imposed by him.</w:t>
      </w:r>
    </w:p>
    <w:p w14:paraId="540BDE65" w14:textId="77777777" w:rsidR="00DD3992" w:rsidRDefault="00DD3992">
      <w:pPr>
        <w:spacing w:line="240" w:lineRule="atLeast"/>
        <w:jc w:val="both"/>
      </w:pPr>
    </w:p>
    <w:p w14:paraId="665FAA8C" w14:textId="77777777" w:rsidR="00DD3992" w:rsidRDefault="00DD3992">
      <w:pPr>
        <w:spacing w:line="240" w:lineRule="atLeast"/>
        <w:jc w:val="both"/>
        <w:rPr>
          <w:rFonts w:ascii="Times New Roman" w:hAnsi="Times New Roman"/>
        </w:rPr>
      </w:pPr>
      <w:r>
        <w:rPr>
          <w:rFonts w:ascii="Times New Roman" w:hAnsi="Times New Roman"/>
        </w:rPr>
        <w:tab/>
      </w:r>
      <w:r>
        <w:rPr>
          <w:rFonts w:ascii="Times New Roman" w:hAnsi="Times New Roman"/>
        </w:rPr>
        <w:tab/>
        <w:t>HOS/PSPS mortgages or charges are authorized by the Director under and by virtue of Deeds of Guarantee entered into between the Hong Kong Housing Authority and participating lending institutions and therefore must not differ from the prescribed form.</w:t>
      </w:r>
    </w:p>
    <w:p w14:paraId="7F1E9F3D" w14:textId="77777777" w:rsidR="00DD3992" w:rsidRDefault="00DD3992">
      <w:pPr>
        <w:spacing w:line="240" w:lineRule="atLeast"/>
        <w:jc w:val="both"/>
      </w:pPr>
    </w:p>
    <w:p w14:paraId="54CFD3F5" w14:textId="77777777" w:rsidR="00DD3992" w:rsidRDefault="00DD3992">
      <w:pPr>
        <w:spacing w:line="240" w:lineRule="atLeast"/>
        <w:jc w:val="both"/>
      </w:pPr>
    </w:p>
    <w:p w14:paraId="44032DF4" w14:textId="77777777" w:rsidR="00DD3992" w:rsidRDefault="00DD3992">
      <w:pPr>
        <w:spacing w:line="240" w:lineRule="atLeast"/>
        <w:jc w:val="both"/>
      </w:pPr>
    </w:p>
    <w:p w14:paraId="4906BC36" w14:textId="77777777" w:rsidR="00DD3992" w:rsidRDefault="00DD3992">
      <w:pPr>
        <w:spacing w:line="240" w:lineRule="atLeast"/>
        <w:jc w:val="both"/>
        <w:rPr>
          <w:rFonts w:ascii="Times New Roman" w:hAnsi="Times New Roman"/>
        </w:rPr>
      </w:pPr>
      <w:r>
        <w:rPr>
          <w:rFonts w:ascii="Times New Roman" w:hAnsi="Times New Roman"/>
        </w:rPr>
        <w:tab/>
      </w:r>
      <w:r>
        <w:rPr>
          <w:rFonts w:ascii="Times New Roman" w:hAnsi="Times New Roman"/>
        </w:rPr>
        <w:tab/>
        <w:t>If any variation from the prescribed form is required to meet the circumstances of a particular case the approval of the Director to the variation must first be obtained.  If this approval is not obtained, the mo</w:t>
      </w:r>
      <w:r>
        <w:rPr>
          <w:rFonts w:ascii="Times New Roman" w:hAnsi="Times New Roman"/>
        </w:rPr>
        <w:t>rtgage or charge will not have the benefit of the relevant Deed of Guarantee.  HOS/PSPS mortgages or charges authorized by the Director otherwise than by the Deeds of Guarantee, should be first approved by the Director.</w:t>
      </w:r>
    </w:p>
    <w:p w14:paraId="226F43E7" w14:textId="77777777" w:rsidR="00DD3992" w:rsidRDefault="00DD3992">
      <w:pPr>
        <w:spacing w:line="240" w:lineRule="atLeast"/>
        <w:jc w:val="both"/>
      </w:pPr>
    </w:p>
    <w:p w14:paraId="218CB80E" w14:textId="77777777" w:rsidR="00DD3992" w:rsidRDefault="00DD3992">
      <w:pPr>
        <w:spacing w:line="240" w:lineRule="atLeast"/>
        <w:jc w:val="both"/>
      </w:pPr>
    </w:p>
    <w:p w14:paraId="2E7DC156" w14:textId="77777777" w:rsidR="00DD3992" w:rsidRDefault="00DD3992">
      <w:pPr>
        <w:spacing w:line="240" w:lineRule="atLeast"/>
        <w:jc w:val="both"/>
      </w:pPr>
    </w:p>
    <w:p w14:paraId="296EC853" w14:textId="77777777" w:rsidR="00DD3992" w:rsidRDefault="00DD3992">
      <w:pPr>
        <w:spacing w:line="240" w:lineRule="atLeast"/>
        <w:jc w:val="both"/>
      </w:pPr>
    </w:p>
    <w:p w14:paraId="1A07E7F4" w14:textId="77777777" w:rsidR="00DD3992" w:rsidRDefault="00DD3992">
      <w:pPr>
        <w:tabs>
          <w:tab w:val="center" w:pos="6480"/>
        </w:tabs>
        <w:spacing w:line="240" w:lineRule="atLeast"/>
        <w:jc w:val="both"/>
        <w:rPr>
          <w:rFonts w:ascii="Times New Roman" w:hAnsi="Times New Roman"/>
        </w:rPr>
      </w:pPr>
      <w:r>
        <w:rPr>
          <w:rFonts w:ascii="Times New Roman" w:hAnsi="Times New Roman"/>
        </w:rPr>
        <w:tab/>
        <w:t>(T. E. Berry)</w:t>
      </w:r>
    </w:p>
    <w:p w14:paraId="3C5A4047" w14:textId="77777777" w:rsidR="00DD3992" w:rsidRDefault="00DD3992">
      <w:pPr>
        <w:tabs>
          <w:tab w:val="center" w:pos="6480"/>
        </w:tabs>
        <w:spacing w:line="240" w:lineRule="atLeast"/>
        <w:jc w:val="both"/>
        <w:rPr>
          <w:rFonts w:ascii="Times New Roman" w:hAnsi="Times New Roman"/>
        </w:rPr>
      </w:pPr>
      <w:r>
        <w:rPr>
          <w:rFonts w:ascii="Times New Roman" w:hAnsi="Times New Roman"/>
        </w:rPr>
        <w:tab/>
        <w:t>Principal Solicitor</w:t>
      </w:r>
    </w:p>
    <w:p w14:paraId="6D60A5F4" w14:textId="77777777" w:rsidR="00DD3992" w:rsidRDefault="00DD3992">
      <w:pPr>
        <w:tabs>
          <w:tab w:val="center" w:pos="6480"/>
        </w:tabs>
        <w:spacing w:line="240" w:lineRule="atLeast"/>
        <w:jc w:val="both"/>
        <w:rPr>
          <w:rFonts w:ascii="Times New Roman" w:hAnsi="Times New Roman"/>
        </w:rPr>
      </w:pPr>
      <w:r>
        <w:rPr>
          <w:rFonts w:ascii="Times New Roman" w:hAnsi="Times New Roman"/>
        </w:rPr>
        <w:tab/>
        <w:t>for Director of Lands</w:t>
      </w:r>
    </w:p>
    <w:p w14:paraId="2FCB6A64" w14:textId="77777777" w:rsidR="00DD3992" w:rsidRDefault="00DD3992">
      <w:pPr>
        <w:tabs>
          <w:tab w:val="center" w:pos="6480"/>
        </w:tabs>
        <w:spacing w:line="240" w:lineRule="atLeast"/>
        <w:jc w:val="both"/>
        <w:rPr>
          <w:rFonts w:ascii="Times New Roman" w:hAnsi="Times New Roman"/>
        </w:rPr>
      </w:pPr>
    </w:p>
    <w:p w14:paraId="29BD55C5" w14:textId="77777777" w:rsidR="00DD3992" w:rsidRDefault="00DD3992">
      <w:pPr>
        <w:tabs>
          <w:tab w:val="center" w:pos="6480"/>
        </w:tabs>
        <w:spacing w:line="240" w:lineRule="atLeast"/>
        <w:jc w:val="both"/>
        <w:rPr>
          <w:rFonts w:ascii="Times New Roman" w:hAnsi="Times New Roman"/>
        </w:rPr>
      </w:pPr>
    </w:p>
    <w:p w14:paraId="5F903F6E" w14:textId="77777777" w:rsidR="00DD3992" w:rsidRDefault="00DD3992">
      <w:pPr>
        <w:tabs>
          <w:tab w:val="center" w:pos="6480"/>
        </w:tabs>
        <w:spacing w:line="240" w:lineRule="atLeast"/>
        <w:jc w:val="both"/>
        <w:rPr>
          <w:rFonts w:ascii="Times New Roman" w:hAnsi="Times New Roman"/>
        </w:rPr>
      </w:pPr>
      <w:r>
        <w:rPr>
          <w:rFonts w:ascii="Times New Roman" w:hAnsi="Times New Roman"/>
        </w:rPr>
        <w:t>To : All Solicitors</w:t>
      </w:r>
    </w:p>
    <w:p w14:paraId="3BDE4923" w14:textId="77777777" w:rsidR="00DD3992" w:rsidRDefault="00DD3992">
      <w:pPr>
        <w:tabs>
          <w:tab w:val="center" w:pos="6480"/>
        </w:tabs>
        <w:spacing w:line="240" w:lineRule="atLeast"/>
        <w:jc w:val="both"/>
      </w:pPr>
    </w:p>
    <w:p w14:paraId="59A885F3" w14:textId="77777777" w:rsidR="00DD3992" w:rsidRDefault="00DD3992">
      <w:pPr>
        <w:tabs>
          <w:tab w:val="center" w:pos="6480"/>
        </w:tabs>
        <w:spacing w:line="240" w:lineRule="atLeast"/>
        <w:jc w:val="both"/>
        <w:rPr>
          <w:rFonts w:ascii="Times New Roman" w:hAnsi="Times New Roman"/>
        </w:rPr>
      </w:pPr>
      <w:r>
        <w:rPr>
          <w:rFonts w:ascii="Times New Roman" w:hAnsi="Times New Roman"/>
        </w:rPr>
        <w:t>c.c.  LACO 5/700/77 XII</w:t>
      </w:r>
    </w:p>
    <w:p w14:paraId="3127AAFF" w14:textId="77777777" w:rsidR="00DD3992" w:rsidRDefault="00DD3992">
      <w:pPr>
        <w:tabs>
          <w:tab w:val="center" w:pos="6480"/>
        </w:tabs>
        <w:spacing w:line="240" w:lineRule="atLeast"/>
        <w:jc w:val="both"/>
        <w:rPr>
          <w:rFonts w:ascii="Times New Roman" w:hAnsi="Times New Roman"/>
        </w:rPr>
      </w:pPr>
      <w:r>
        <w:rPr>
          <w:rFonts w:ascii="Times New Roman" w:hAnsi="Times New Roman"/>
        </w:rPr>
        <w:tab/>
      </w:r>
    </w:p>
    <w:p w14:paraId="59D7CBCE" w14:textId="77777777" w:rsidR="00DD3992" w:rsidRDefault="00DD3992">
      <w:pPr>
        <w:tabs>
          <w:tab w:val="center" w:pos="6480"/>
        </w:tabs>
        <w:spacing w:line="240" w:lineRule="atLeast"/>
        <w:jc w:val="both"/>
        <w:rPr>
          <w:rFonts w:ascii="Times New Roman" w:hAnsi="Times New Roman"/>
          <w:sz w:val="20"/>
        </w:rPr>
      </w:pPr>
      <w:r>
        <w:rPr>
          <w:rFonts w:ascii="Times New Roman" w:hAnsi="Times New Roman"/>
          <w:sz w:val="20"/>
        </w:rPr>
        <w:t>TEB/CJ/sw</w:t>
      </w:r>
    </w:p>
    <w:sectPr w:rsidR="00DD3992">
      <w:headerReference w:type="default" r:id="rId6"/>
      <w:pgSz w:w="11907" w:h="16840"/>
      <w:pgMar w:top="1304" w:right="1418" w:bottom="1440" w:left="1418" w:header="851" w:footer="992"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6F83B" w14:textId="77777777" w:rsidR="00DD3992" w:rsidRDefault="00DD3992">
      <w:pPr>
        <w:spacing w:line="240" w:lineRule="auto"/>
      </w:pPr>
      <w:r>
        <w:separator/>
      </w:r>
    </w:p>
  </w:endnote>
  <w:endnote w:type="continuationSeparator" w:id="0">
    <w:p w14:paraId="5B0C8F30" w14:textId="77777777" w:rsidR="00DD3992" w:rsidRDefault="00DD3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F6CE5" w14:textId="77777777" w:rsidR="00DD3992" w:rsidRDefault="00DD3992">
      <w:pPr>
        <w:spacing w:line="240" w:lineRule="auto"/>
      </w:pPr>
      <w:r>
        <w:separator/>
      </w:r>
    </w:p>
  </w:footnote>
  <w:footnote w:type="continuationSeparator" w:id="0">
    <w:p w14:paraId="58E84826" w14:textId="77777777" w:rsidR="00DD3992" w:rsidRDefault="00DD39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5E3D" w14:textId="77777777" w:rsidR="00DD3992" w:rsidRDefault="00DD3992">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fldChar w:fldCharType="separate"/>
    </w:r>
    <w:r>
      <w:rPr>
        <w:rFonts w:ascii="Times New Roman" w:hAnsi="Times New Roman"/>
      </w:rPr>
      <w:t>2</w:t>
    </w:r>
    <w:r>
      <w:fldChar w:fldCharType="end"/>
    </w:r>
  </w:p>
  <w:p w14:paraId="791116BC" w14:textId="77777777" w:rsidR="00DD3992" w:rsidRDefault="00DD399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6D7B"/>
    <w:rsid w:val="005B6D7B"/>
    <w:rsid w:val="009951D9"/>
    <w:rsid w:val="00DD3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0A6826"/>
  <w15:chartTrackingRefBased/>
  <w15:docId w15:val="{E9733295-9532-4BCB-8F34-C2146FCB4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rPr>
      <w:sz w:val="20"/>
    </w:rPr>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LACO/HQ/127</dc:title>
  <dc:subject/>
  <dc:creator>HONG KONG GOVERNMENT</dc:creator>
  <cp:keywords/>
  <cp:lastModifiedBy>Rico Kwok</cp:lastModifiedBy>
  <cp:revision>2</cp:revision>
  <cp:lastPrinted>1997-01-17T08:06:00Z</cp:lastPrinted>
  <dcterms:created xsi:type="dcterms:W3CDTF">2026-10-02T17:18:00Z</dcterms:created>
  <dcterms:modified xsi:type="dcterms:W3CDTF">2026-10-02T17:18:00Z</dcterms:modified>
</cp:coreProperties>
</file>