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2A2B" w:rsidRDefault="00BE2A2B">
      <w:pPr>
        <w:pStyle w:val="Title"/>
        <w:widowControl/>
        <w:jc w:val="right"/>
        <w:rPr>
          <w:rFonts w:hint="eastAsia"/>
          <w:b/>
          <w:bCs/>
        </w:rPr>
      </w:pPr>
      <w:r>
        <w:rPr>
          <w:b/>
          <w:bCs/>
        </w:rPr>
        <w:t>Annex</w:t>
      </w:r>
      <w:r>
        <w:rPr>
          <w:rFonts w:hint="eastAsia"/>
          <w:b/>
          <w:bCs/>
        </w:rPr>
        <w:t xml:space="preserve"> III</w:t>
      </w:r>
    </w:p>
    <w:p w:rsidR="00BE2A2B" w:rsidRDefault="00BE2A2B">
      <w:pPr>
        <w:pStyle w:val="Title"/>
        <w:widowControl/>
        <w:spacing w:line="240" w:lineRule="exact"/>
        <w:rPr>
          <w:rFonts w:hint="eastAsia"/>
        </w:rPr>
      </w:pPr>
    </w:p>
    <w:p w:rsidR="00BE2A2B" w:rsidRDefault="00BE2A2B">
      <w:pPr>
        <w:pStyle w:val="Title"/>
        <w:widowControl/>
        <w:spacing w:line="240" w:lineRule="exact"/>
        <w:rPr>
          <w:rFonts w:hint="eastAsia"/>
        </w:rPr>
      </w:pPr>
    </w:p>
    <w:p w:rsidR="00BE2A2B" w:rsidRDefault="00BE2A2B">
      <w:pPr>
        <w:pStyle w:val="Title"/>
        <w:widowControl/>
        <w:rPr>
          <w:rFonts w:hint="eastAsia"/>
          <w:b/>
          <w:bCs/>
        </w:rPr>
      </w:pPr>
      <w:r>
        <w:rPr>
          <w:rFonts w:hint="eastAsia"/>
          <w:b/>
          <w:bCs/>
        </w:rPr>
        <w:t>Show Flat</w:t>
      </w:r>
    </w:p>
    <w:p w:rsidR="00BE2A2B" w:rsidRDefault="00BE2A2B">
      <w:pPr>
        <w:widowControl/>
        <w:rPr>
          <w:rFonts w:hint="eastAsia"/>
        </w:rPr>
      </w:pPr>
    </w:p>
    <w:p w:rsidR="00BE2A2B" w:rsidRDefault="00BE2A2B">
      <w:pPr>
        <w:widowControl/>
        <w:rPr>
          <w:rFonts w:hint="eastAsia"/>
        </w:rPr>
      </w:pPr>
      <w:r>
        <w:rPr>
          <w:rFonts w:hint="eastAsia"/>
        </w:rPr>
        <w:t xml:space="preserve">The show flat(s) must comply with </w:t>
      </w:r>
      <w:r>
        <w:t>the</w:t>
      </w:r>
      <w:r>
        <w:rPr>
          <w:rFonts w:hint="eastAsia"/>
        </w:rPr>
        <w:t xml:space="preserve"> following requirements: -</w:t>
      </w:r>
    </w:p>
    <w:p w:rsidR="00BE2A2B" w:rsidRDefault="00BE2A2B">
      <w:pPr>
        <w:widowControl/>
        <w:rPr>
          <w:rFonts w:hint="eastAsia"/>
        </w:rPr>
      </w:pPr>
    </w:p>
    <w:p w:rsidR="00BE2A2B" w:rsidRDefault="00BE2A2B">
      <w:pPr>
        <w:widowControl/>
        <w:ind w:left="720" w:hanging="720"/>
        <w:jc w:val="both"/>
        <w:rPr>
          <w:rFonts w:hint="eastAsia"/>
          <w:color w:val="000000"/>
          <w:szCs w:val="28"/>
        </w:rPr>
      </w:pPr>
      <w:r>
        <w:rPr>
          <w:color w:val="000000"/>
          <w:szCs w:val="28"/>
        </w:rPr>
        <w:t>1.</w:t>
      </w:r>
      <w:r>
        <w:rPr>
          <w:color w:val="000000"/>
          <w:szCs w:val="28"/>
        </w:rPr>
        <w:tab/>
      </w:r>
      <w:r>
        <w:rPr>
          <w:rFonts w:hint="eastAsia"/>
          <w:color w:val="000000"/>
          <w:szCs w:val="28"/>
        </w:rPr>
        <w:t>(a)</w:t>
      </w:r>
      <w:r>
        <w:rPr>
          <w:color w:val="000000"/>
          <w:szCs w:val="28"/>
        </w:rPr>
        <w:tab/>
      </w:r>
      <w:r>
        <w:rPr>
          <w:rFonts w:hint="eastAsia"/>
          <w:color w:val="000000"/>
          <w:szCs w:val="28"/>
        </w:rPr>
        <w:t>If there is only one show flat, it must be a show flat showing the same conditions of the actual unit (i.e. all the non-structural internal walls/partitions, fittings and finishes and complimentary appliances which will be provided in the actual unit must be shown in the show flat in exactly the same way as they will be featured in the actual unit) (</w:t>
      </w:r>
      <w:r>
        <w:rPr>
          <w:color w:val="000000"/>
          <w:szCs w:val="28"/>
        </w:rPr>
        <w:t>“</w:t>
      </w:r>
      <w:r>
        <w:rPr>
          <w:rFonts w:hint="eastAsia"/>
          <w:color w:val="000000"/>
          <w:szCs w:val="28"/>
        </w:rPr>
        <w:t>unmodified show flat</w:t>
      </w:r>
      <w:r>
        <w:rPr>
          <w:color w:val="000000"/>
          <w:szCs w:val="28"/>
        </w:rPr>
        <w:t>”</w:t>
      </w:r>
      <w:r>
        <w:rPr>
          <w:rFonts w:hint="eastAsia"/>
          <w:color w:val="000000"/>
          <w:szCs w:val="28"/>
        </w:rPr>
        <w:t>).</w:t>
      </w:r>
    </w:p>
    <w:p w:rsidR="00BE2A2B" w:rsidRDefault="00BE2A2B">
      <w:pPr>
        <w:widowControl/>
        <w:jc w:val="both"/>
        <w:rPr>
          <w:rFonts w:hint="eastAsia"/>
          <w:color w:val="000000"/>
          <w:szCs w:val="28"/>
        </w:rPr>
      </w:pPr>
    </w:p>
    <w:p w:rsidR="00BE2A2B" w:rsidRDefault="00BE2A2B">
      <w:pPr>
        <w:widowControl/>
        <w:tabs>
          <w:tab w:val="num" w:pos="540"/>
          <w:tab w:val="left" w:pos="900"/>
        </w:tabs>
        <w:snapToGrid w:val="0"/>
        <w:spacing w:line="360" w:lineRule="exact"/>
        <w:ind w:leftChars="300" w:left="720"/>
        <w:jc w:val="both"/>
        <w:rPr>
          <w:rFonts w:hint="eastAsia"/>
          <w:color w:val="000000"/>
          <w:szCs w:val="28"/>
        </w:rPr>
      </w:pPr>
      <w:r>
        <w:rPr>
          <w:rFonts w:hint="eastAsia"/>
          <w:color w:val="000000"/>
          <w:szCs w:val="28"/>
        </w:rPr>
        <w:t>(b)</w:t>
      </w:r>
      <w:r>
        <w:rPr>
          <w:rFonts w:hint="eastAsia"/>
          <w:color w:val="000000"/>
          <w:szCs w:val="28"/>
        </w:rPr>
        <w:tab/>
        <w:t>If there are two show flats, one of</w:t>
      </w:r>
      <w:r>
        <w:rPr>
          <w:rFonts w:hint="eastAsia"/>
          <w:color w:val="000000"/>
          <w:szCs w:val="28"/>
        </w:rPr>
        <w:t xml:space="preserve"> them must be an unmodified show flat.  The remaining one must be a show flat which mirrors that unmodified show flat (i.e. it must be of the same type of unit and having the same size of the unmodified show flat) </w:t>
      </w:r>
      <w:r>
        <w:rPr>
          <w:color w:val="000000"/>
          <w:szCs w:val="28"/>
        </w:rPr>
        <w:t>(“</w:t>
      </w:r>
      <w:r>
        <w:rPr>
          <w:rFonts w:hint="eastAsia"/>
          <w:color w:val="000000"/>
          <w:szCs w:val="28"/>
        </w:rPr>
        <w:t>mirrored show flat</w:t>
      </w:r>
      <w:r>
        <w:rPr>
          <w:color w:val="000000"/>
          <w:szCs w:val="28"/>
        </w:rPr>
        <w:t>”</w:t>
      </w:r>
      <w:r>
        <w:rPr>
          <w:rFonts w:hint="eastAsia"/>
          <w:color w:val="000000"/>
          <w:szCs w:val="28"/>
        </w:rPr>
        <w:t>).</w:t>
      </w:r>
    </w:p>
    <w:p w:rsidR="00BE2A2B" w:rsidRDefault="00BE2A2B">
      <w:pPr>
        <w:widowControl/>
        <w:ind w:leftChars="300" w:left="1440" w:hangingChars="300" w:hanging="720"/>
        <w:jc w:val="both"/>
        <w:rPr>
          <w:rFonts w:hint="eastAsia"/>
          <w:color w:val="000000"/>
          <w:szCs w:val="28"/>
        </w:rPr>
      </w:pPr>
    </w:p>
    <w:p w:rsidR="00BE2A2B" w:rsidRDefault="00BE2A2B">
      <w:pPr>
        <w:pStyle w:val="BodyTextIndent3"/>
        <w:widowControl/>
        <w:rPr>
          <w:rFonts w:hint="eastAsia"/>
        </w:rPr>
      </w:pPr>
      <w:r>
        <w:rPr>
          <w:rFonts w:hint="eastAsia"/>
        </w:rPr>
        <w:t>(c)</w:t>
      </w:r>
      <w:r>
        <w:rPr>
          <w:rFonts w:hint="eastAsia"/>
        </w:rPr>
        <w:tab/>
        <w:t>If there are three show flats, one of them must be an unmodified show flat and another one must be its mirrored show flat.</w:t>
      </w:r>
    </w:p>
    <w:p w:rsidR="00BE2A2B" w:rsidRDefault="00BE2A2B">
      <w:pPr>
        <w:widowControl/>
        <w:ind w:leftChars="300" w:left="1440" w:hangingChars="300" w:hanging="720"/>
        <w:jc w:val="both"/>
        <w:rPr>
          <w:rFonts w:hint="eastAsia"/>
          <w:color w:val="000000"/>
          <w:szCs w:val="28"/>
        </w:rPr>
      </w:pPr>
    </w:p>
    <w:p w:rsidR="00BE2A2B" w:rsidRDefault="00BE2A2B">
      <w:pPr>
        <w:pStyle w:val="BodyTextIndent3"/>
        <w:widowControl/>
        <w:rPr>
          <w:rFonts w:hint="eastAsia"/>
          <w:color w:val="0000FF"/>
        </w:rPr>
      </w:pPr>
      <w:r>
        <w:rPr>
          <w:rFonts w:hint="eastAsia"/>
        </w:rPr>
        <w:t>(d)</w:t>
      </w:r>
      <w:r>
        <w:rPr>
          <w:rFonts w:hint="eastAsia"/>
        </w:rPr>
        <w:tab/>
        <w:t>If there are four or more show flats, there must be at least one pair of an unmodified show flat and its mirrored show flat.</w:t>
      </w:r>
    </w:p>
    <w:p w:rsidR="00BE2A2B" w:rsidRDefault="00BE2A2B">
      <w:pPr>
        <w:widowControl/>
        <w:jc w:val="both"/>
        <w:rPr>
          <w:rFonts w:hint="eastAsia"/>
          <w:color w:val="0000FF"/>
          <w:szCs w:val="28"/>
        </w:rPr>
      </w:pPr>
    </w:p>
    <w:p w:rsidR="00BE2A2B" w:rsidRDefault="00BE2A2B">
      <w:pPr>
        <w:widowControl/>
        <w:tabs>
          <w:tab w:val="left" w:pos="720"/>
        </w:tabs>
        <w:ind w:left="720" w:hangingChars="300" w:hanging="720"/>
        <w:jc w:val="both"/>
        <w:rPr>
          <w:rFonts w:hint="eastAsia"/>
          <w:color w:val="000000"/>
          <w:szCs w:val="28"/>
        </w:rPr>
      </w:pPr>
      <w:r>
        <w:rPr>
          <w:rFonts w:hint="eastAsia"/>
          <w:color w:val="000000"/>
          <w:szCs w:val="28"/>
        </w:rPr>
        <w:t>2.</w:t>
      </w:r>
      <w:r>
        <w:rPr>
          <w:rFonts w:hint="eastAsia"/>
          <w:color w:val="000000"/>
          <w:szCs w:val="28"/>
        </w:rPr>
        <w:tab/>
        <w:t>The size/</w:t>
      </w:r>
      <w:r>
        <w:rPr>
          <w:color w:val="000000"/>
          <w:szCs w:val="28"/>
        </w:rPr>
        <w:t>dim</w:t>
      </w:r>
      <w:r>
        <w:rPr>
          <w:color w:val="000000"/>
          <w:szCs w:val="28"/>
        </w:rPr>
        <w:t>ensions</w:t>
      </w:r>
      <w:r>
        <w:rPr>
          <w:rFonts w:hint="eastAsia"/>
          <w:color w:val="000000"/>
          <w:szCs w:val="28"/>
        </w:rPr>
        <w:t xml:space="preserve"> of the show flat(s) must be identical to the size/</w:t>
      </w:r>
      <w:r>
        <w:rPr>
          <w:color w:val="000000"/>
          <w:szCs w:val="28"/>
        </w:rPr>
        <w:t>dimensions</w:t>
      </w:r>
      <w:r>
        <w:rPr>
          <w:rFonts w:hint="eastAsia"/>
          <w:color w:val="000000"/>
          <w:szCs w:val="28"/>
        </w:rPr>
        <w:t xml:space="preserve"> as specified/described in the relevant building plan(s)</w:t>
      </w:r>
      <w:r>
        <w:rPr>
          <w:color w:val="000000"/>
          <w:szCs w:val="28"/>
        </w:rPr>
        <w:t xml:space="preserve"> approved by the Building Authority (“approved building plan(s)”)</w:t>
      </w:r>
      <w:r>
        <w:rPr>
          <w:rFonts w:hint="eastAsia"/>
          <w:color w:val="000000"/>
          <w:szCs w:val="28"/>
        </w:rPr>
        <w:t xml:space="preserve"> and the sales brochures.</w:t>
      </w:r>
    </w:p>
    <w:p w:rsidR="00BE2A2B" w:rsidRDefault="00BE2A2B">
      <w:pPr>
        <w:widowControl/>
        <w:jc w:val="both"/>
        <w:rPr>
          <w:rFonts w:hint="eastAsia"/>
          <w:color w:val="000000"/>
          <w:szCs w:val="28"/>
        </w:rPr>
      </w:pPr>
    </w:p>
    <w:p w:rsidR="00BE2A2B" w:rsidRDefault="00BE2A2B">
      <w:pPr>
        <w:widowControl/>
        <w:tabs>
          <w:tab w:val="left" w:pos="720"/>
        </w:tabs>
        <w:ind w:left="720" w:hangingChars="300" w:hanging="720"/>
        <w:jc w:val="both"/>
        <w:rPr>
          <w:rFonts w:hint="eastAsia"/>
          <w:color w:val="000000"/>
          <w:szCs w:val="28"/>
        </w:rPr>
      </w:pPr>
      <w:r>
        <w:rPr>
          <w:rFonts w:hint="eastAsia"/>
          <w:color w:val="000000"/>
          <w:szCs w:val="28"/>
        </w:rPr>
        <w:t>3.</w:t>
      </w:r>
      <w:r>
        <w:rPr>
          <w:rFonts w:hint="eastAsia"/>
          <w:color w:val="000000"/>
          <w:szCs w:val="28"/>
        </w:rPr>
        <w:tab/>
        <w:t>Floor plan(s)/diagrams showing all the principal dimensions of the show flat unit(s) with scale must be displayed in a prominent location in the show flat(s).</w:t>
      </w:r>
    </w:p>
    <w:p w:rsidR="00BE2A2B" w:rsidRDefault="00BE2A2B">
      <w:pPr>
        <w:widowControl/>
        <w:jc w:val="both"/>
        <w:rPr>
          <w:rFonts w:hint="eastAsia"/>
          <w:color w:val="000000"/>
          <w:szCs w:val="28"/>
        </w:rPr>
      </w:pPr>
    </w:p>
    <w:p w:rsidR="00BE2A2B" w:rsidRDefault="00BE2A2B">
      <w:pPr>
        <w:widowControl/>
        <w:ind w:left="720" w:hangingChars="300" w:hanging="720"/>
        <w:jc w:val="both"/>
        <w:rPr>
          <w:rFonts w:hint="eastAsia"/>
          <w:color w:val="000000"/>
          <w:szCs w:val="28"/>
        </w:rPr>
      </w:pPr>
      <w:r>
        <w:rPr>
          <w:rFonts w:hint="eastAsia"/>
          <w:color w:val="000000"/>
          <w:szCs w:val="28"/>
        </w:rPr>
        <w:t>4.</w:t>
      </w:r>
      <w:r>
        <w:rPr>
          <w:rFonts w:hint="eastAsia"/>
          <w:color w:val="000000"/>
          <w:szCs w:val="28"/>
        </w:rPr>
        <w:tab/>
        <w:t>Enclosing or boundary walls must be provided in all show flat(s).  If due to fire-safety requirements it is necessary to create pa</w:t>
      </w:r>
      <w:r>
        <w:rPr>
          <w:rFonts w:hint="eastAsia"/>
          <w:color w:val="000000"/>
          <w:szCs w:val="28"/>
        </w:rPr>
        <w:t xml:space="preserve">ssageways along the enclosing or boundary walls, a notice of conspicuous size stating that the passageways are created in the show flat(s) for compliance with fire-safety requirements and are not part of the features of the actual unit(s) must be displayed in a prominent location in the show flat(s).  A solid line should also be provided on the floor showing </w:t>
      </w:r>
      <w:r>
        <w:rPr>
          <w:color w:val="000000"/>
          <w:szCs w:val="28"/>
        </w:rPr>
        <w:t>conspicuously</w:t>
      </w:r>
      <w:r>
        <w:rPr>
          <w:rFonts w:hint="eastAsia"/>
          <w:color w:val="000000"/>
          <w:szCs w:val="28"/>
        </w:rPr>
        <w:t xml:space="preserve"> the exact position and the identical thickness/width of the respective non-structural internal walls/partitions.</w:t>
      </w:r>
    </w:p>
    <w:p w:rsidR="00BE2A2B" w:rsidRDefault="00BE2A2B">
      <w:pPr>
        <w:widowControl/>
        <w:ind w:left="720" w:hangingChars="300" w:hanging="720"/>
        <w:jc w:val="both"/>
        <w:rPr>
          <w:rFonts w:hint="eastAsia"/>
          <w:color w:val="000000"/>
          <w:szCs w:val="28"/>
        </w:rPr>
      </w:pPr>
    </w:p>
    <w:p w:rsidR="00BE2A2B" w:rsidRDefault="00BE2A2B">
      <w:pPr>
        <w:widowControl/>
        <w:ind w:left="720" w:hangingChars="300" w:hanging="720"/>
        <w:jc w:val="both"/>
        <w:rPr>
          <w:rFonts w:hint="eastAsia"/>
          <w:color w:val="000000"/>
          <w:szCs w:val="28"/>
        </w:rPr>
      </w:pPr>
      <w:r>
        <w:rPr>
          <w:rFonts w:hint="eastAsia"/>
          <w:color w:val="000000"/>
          <w:szCs w:val="28"/>
        </w:rPr>
        <w:lastRenderedPageBreak/>
        <w:t>5.</w:t>
      </w:r>
      <w:r>
        <w:rPr>
          <w:rFonts w:hint="eastAsia"/>
          <w:color w:val="000000"/>
          <w:szCs w:val="28"/>
        </w:rPr>
        <w:tab/>
        <w:t>For modified show fl</w:t>
      </w:r>
      <w:r>
        <w:rPr>
          <w:rFonts w:hint="eastAsia"/>
          <w:color w:val="000000"/>
          <w:szCs w:val="28"/>
        </w:rPr>
        <w:t xml:space="preserve">at(s) with the non-structural internal walls/partitions removed, there must be a solid line on the floor showing </w:t>
      </w:r>
      <w:r>
        <w:rPr>
          <w:color w:val="000000"/>
          <w:szCs w:val="28"/>
        </w:rPr>
        <w:t>conspicuously</w:t>
      </w:r>
      <w:r>
        <w:rPr>
          <w:rFonts w:hint="eastAsia"/>
          <w:color w:val="000000"/>
          <w:szCs w:val="28"/>
        </w:rPr>
        <w:t xml:space="preserve"> the exact position and the identical thickness/width of the respective non-structural internal walls/partitions.  Diagrams of conspicuous size stating the actual layout, orientation and thickness of the non-structural internal walls/partitions which are to be found in the actual unit(s) must be displayed in a prominent location inside the relevant part of the modified show flat.</w:t>
      </w:r>
    </w:p>
    <w:p w:rsidR="00BE2A2B" w:rsidRDefault="00BE2A2B">
      <w:pPr>
        <w:widowControl/>
        <w:jc w:val="both"/>
        <w:rPr>
          <w:rFonts w:hint="eastAsia"/>
          <w:color w:val="000000"/>
          <w:szCs w:val="28"/>
        </w:rPr>
      </w:pPr>
    </w:p>
    <w:p w:rsidR="00BE2A2B" w:rsidRDefault="00BE2A2B">
      <w:pPr>
        <w:widowControl/>
        <w:ind w:left="720" w:hangingChars="300" w:hanging="720"/>
        <w:jc w:val="both"/>
        <w:rPr>
          <w:rFonts w:hint="eastAsia"/>
          <w:color w:val="000000"/>
          <w:szCs w:val="28"/>
        </w:rPr>
      </w:pPr>
      <w:r>
        <w:rPr>
          <w:rFonts w:hint="eastAsia"/>
          <w:color w:val="000000"/>
          <w:szCs w:val="28"/>
        </w:rPr>
        <w:t>6.</w:t>
      </w:r>
      <w:r>
        <w:rPr>
          <w:rFonts w:hint="eastAsia"/>
          <w:color w:val="000000"/>
          <w:szCs w:val="28"/>
        </w:rPr>
        <w:tab/>
        <w:t>All bay windows, A/C plant room, balcony and utility platform located inside the unit(s), if any, must be featured in the show flat(s).  The dimensions of these features must be identical to those as specified/described in the relevant approved building plan(s) and the sales brochures.  For balcony and utility platform, boundary walls or parapets must be provided.  Features not located inside the actual unit(s) (e.g. A/C plant room located outside the unit(s)) must not be featured in the show flat(s).</w:t>
      </w:r>
    </w:p>
    <w:p w:rsidR="00BE2A2B" w:rsidRDefault="00BE2A2B">
      <w:pPr>
        <w:widowControl/>
        <w:ind w:left="720" w:hangingChars="300" w:hanging="720"/>
        <w:jc w:val="both"/>
        <w:rPr>
          <w:rFonts w:hint="eastAsia"/>
          <w:color w:val="000000"/>
          <w:szCs w:val="28"/>
        </w:rPr>
      </w:pPr>
    </w:p>
    <w:p w:rsidR="00BE2A2B" w:rsidRDefault="00BE2A2B">
      <w:pPr>
        <w:widowControl/>
        <w:ind w:left="720" w:hangingChars="300" w:hanging="720"/>
        <w:jc w:val="both"/>
        <w:rPr>
          <w:rFonts w:hint="eastAsia"/>
          <w:color w:val="000000"/>
          <w:szCs w:val="28"/>
        </w:rPr>
      </w:pPr>
      <w:r>
        <w:rPr>
          <w:rFonts w:hint="eastAsia"/>
          <w:color w:val="000000"/>
          <w:szCs w:val="28"/>
        </w:rPr>
        <w:t>7.</w:t>
      </w:r>
      <w:r>
        <w:rPr>
          <w:rFonts w:hint="eastAsia"/>
          <w:color w:val="000000"/>
          <w:szCs w:val="28"/>
        </w:rPr>
        <w:tab/>
      </w:r>
      <w:r>
        <w:rPr>
          <w:rFonts w:hint="eastAsia"/>
          <w:color w:val="000000"/>
          <w:szCs w:val="28"/>
        </w:rPr>
        <w:t xml:space="preserve">Ceiling must be provided in the show flat(s).  The height of the show flat(s) should be </w:t>
      </w:r>
      <w:r>
        <w:rPr>
          <w:color w:val="000000"/>
          <w:szCs w:val="28"/>
        </w:rPr>
        <w:t>identical</w:t>
      </w:r>
      <w:r>
        <w:rPr>
          <w:rFonts w:hint="eastAsia"/>
          <w:color w:val="000000"/>
          <w:szCs w:val="28"/>
        </w:rPr>
        <w:t xml:space="preserve"> to or not higher than the height as specified/described in the relevant approved building plan(s) and the sales brochures.  If the height of the show flat(s) is lower than the height of the actual unit(s) due to the physical constraint, a notice of conspicuous size stating the height difference must be displayed in a </w:t>
      </w:r>
      <w:r>
        <w:rPr>
          <w:color w:val="000000"/>
          <w:szCs w:val="28"/>
        </w:rPr>
        <w:t>prominent</w:t>
      </w:r>
      <w:r>
        <w:rPr>
          <w:rFonts w:hint="eastAsia"/>
          <w:color w:val="000000"/>
          <w:szCs w:val="28"/>
        </w:rPr>
        <w:t xml:space="preserve"> location in the show flat(s).</w:t>
      </w:r>
    </w:p>
    <w:p w:rsidR="00BE2A2B" w:rsidRDefault="00BE2A2B">
      <w:pPr>
        <w:widowControl/>
        <w:jc w:val="both"/>
        <w:rPr>
          <w:rFonts w:hint="eastAsia"/>
          <w:color w:val="000000"/>
          <w:szCs w:val="28"/>
        </w:rPr>
      </w:pPr>
    </w:p>
    <w:p w:rsidR="00BE2A2B" w:rsidRDefault="00BE2A2B">
      <w:pPr>
        <w:widowControl/>
        <w:ind w:left="720" w:hangingChars="300" w:hanging="720"/>
        <w:jc w:val="both"/>
        <w:rPr>
          <w:rFonts w:hint="eastAsia"/>
          <w:color w:val="000000"/>
          <w:szCs w:val="28"/>
        </w:rPr>
      </w:pPr>
      <w:r>
        <w:rPr>
          <w:rFonts w:hint="eastAsia"/>
          <w:color w:val="000000"/>
          <w:szCs w:val="28"/>
        </w:rPr>
        <w:t>8.</w:t>
      </w:r>
      <w:r>
        <w:rPr>
          <w:rFonts w:hint="eastAsia"/>
          <w:color w:val="000000"/>
          <w:szCs w:val="28"/>
        </w:rPr>
        <w:tab/>
        <w:t>Main entrance doors must be provided.  If other doo</w:t>
      </w:r>
      <w:r>
        <w:rPr>
          <w:rFonts w:hint="eastAsia"/>
          <w:color w:val="000000"/>
          <w:szCs w:val="28"/>
        </w:rPr>
        <w:t xml:space="preserve">rs (e.g. doors for the kitchen, bathrooms and bedrooms) are not provided in the show flat(s), door frames must be provided.  If it is not physically possible to provide doors or door frames, the developer must provide a solid line on the floor showing </w:t>
      </w:r>
      <w:r>
        <w:rPr>
          <w:color w:val="000000"/>
          <w:szCs w:val="28"/>
        </w:rPr>
        <w:t>conspicuously</w:t>
      </w:r>
      <w:r>
        <w:rPr>
          <w:rFonts w:hint="eastAsia"/>
          <w:color w:val="000000"/>
          <w:szCs w:val="28"/>
        </w:rPr>
        <w:t xml:space="preserve"> the exact position and the identical thickness/width of the door.</w:t>
      </w:r>
    </w:p>
    <w:p w:rsidR="00BE2A2B" w:rsidRDefault="00BE2A2B">
      <w:pPr>
        <w:widowControl/>
        <w:jc w:val="both"/>
        <w:rPr>
          <w:rFonts w:hint="eastAsia"/>
          <w:color w:val="000000"/>
          <w:szCs w:val="28"/>
        </w:rPr>
      </w:pPr>
    </w:p>
    <w:p w:rsidR="00BE2A2B" w:rsidRDefault="00BE2A2B">
      <w:pPr>
        <w:widowControl/>
        <w:ind w:left="720" w:hangingChars="300" w:hanging="720"/>
        <w:jc w:val="both"/>
        <w:rPr>
          <w:rFonts w:hint="eastAsia"/>
          <w:color w:val="000000"/>
          <w:szCs w:val="28"/>
        </w:rPr>
      </w:pPr>
      <w:r>
        <w:rPr>
          <w:rFonts w:hint="eastAsia"/>
          <w:color w:val="000000"/>
          <w:szCs w:val="28"/>
        </w:rPr>
        <w:t>9.</w:t>
      </w:r>
      <w:r>
        <w:rPr>
          <w:rFonts w:hint="eastAsia"/>
          <w:color w:val="000000"/>
          <w:szCs w:val="28"/>
        </w:rPr>
        <w:tab/>
        <w:t xml:space="preserve">The fittings and finishes provided in the show flat(s) should be identical to those specified/described in the Agreement(s) for Sale and Purchase of the actual unit(s) and the </w:t>
      </w:r>
      <w:r>
        <w:rPr>
          <w:rFonts w:hint="eastAsia"/>
          <w:color w:val="000000"/>
          <w:szCs w:val="28"/>
        </w:rPr>
        <w:t xml:space="preserve">sales brochures.  If alternative fittings and finishes are being used in the show flat(s), they must be of comparable quality as those to be used in the actual unit(s).  A notice of </w:t>
      </w:r>
      <w:r>
        <w:rPr>
          <w:color w:val="000000"/>
          <w:szCs w:val="28"/>
        </w:rPr>
        <w:t>conspicuous</w:t>
      </w:r>
      <w:r>
        <w:rPr>
          <w:rFonts w:hint="eastAsia"/>
          <w:color w:val="000000"/>
          <w:szCs w:val="28"/>
        </w:rPr>
        <w:t xml:space="preserve"> size stating that alternative fittings and finishes are being used must be displayed in a </w:t>
      </w:r>
      <w:r>
        <w:rPr>
          <w:color w:val="000000"/>
          <w:szCs w:val="28"/>
        </w:rPr>
        <w:t>prominent</w:t>
      </w:r>
      <w:r>
        <w:rPr>
          <w:rFonts w:hint="eastAsia"/>
          <w:color w:val="000000"/>
          <w:szCs w:val="28"/>
        </w:rPr>
        <w:t xml:space="preserve"> location in the show flat(s).</w:t>
      </w:r>
    </w:p>
    <w:p w:rsidR="00BE2A2B" w:rsidRDefault="00BE2A2B">
      <w:pPr>
        <w:widowControl/>
        <w:jc w:val="both"/>
        <w:rPr>
          <w:rFonts w:hint="eastAsia"/>
          <w:color w:val="000000"/>
          <w:szCs w:val="28"/>
        </w:rPr>
      </w:pPr>
    </w:p>
    <w:p w:rsidR="00BE2A2B" w:rsidRDefault="00BE2A2B">
      <w:pPr>
        <w:widowControl/>
        <w:ind w:left="720" w:hangingChars="300" w:hanging="720"/>
        <w:jc w:val="both"/>
        <w:rPr>
          <w:rFonts w:hint="eastAsia"/>
          <w:color w:val="000000"/>
          <w:szCs w:val="28"/>
        </w:rPr>
      </w:pPr>
      <w:r>
        <w:rPr>
          <w:rFonts w:hint="eastAsia"/>
          <w:color w:val="000000"/>
          <w:szCs w:val="28"/>
        </w:rPr>
        <w:t>10.</w:t>
      </w:r>
      <w:r>
        <w:rPr>
          <w:rFonts w:hint="eastAsia"/>
          <w:color w:val="000000"/>
          <w:szCs w:val="28"/>
        </w:rPr>
        <w:tab/>
        <w:t>A notice of conspicuous size specifying the items which are shown in the show flat(s) and will be provided in the actual unit(s) (e.g. complimentary appliances) must be displayed in a</w:t>
      </w:r>
      <w:r>
        <w:rPr>
          <w:rFonts w:hint="eastAsia"/>
          <w:color w:val="000000"/>
          <w:szCs w:val="28"/>
        </w:rPr>
        <w:t xml:space="preserve"> prominent location in the show flat(s), with a clear </w:t>
      </w:r>
      <w:r>
        <w:rPr>
          <w:rFonts w:hint="eastAsia"/>
          <w:color w:val="000000"/>
          <w:szCs w:val="28"/>
        </w:rPr>
        <w:lastRenderedPageBreak/>
        <w:t>statement that all other items not specified as such will not be provided in the actual unit(s).</w:t>
      </w:r>
    </w:p>
    <w:p w:rsidR="00BE2A2B" w:rsidRDefault="00BE2A2B">
      <w:pPr>
        <w:widowControl/>
        <w:jc w:val="both"/>
        <w:rPr>
          <w:rFonts w:hint="eastAsia"/>
          <w:color w:val="000000"/>
          <w:szCs w:val="28"/>
        </w:rPr>
      </w:pPr>
    </w:p>
    <w:p w:rsidR="00BE2A2B" w:rsidRDefault="00BE2A2B">
      <w:pPr>
        <w:widowControl/>
        <w:ind w:left="720" w:hangingChars="300" w:hanging="720"/>
        <w:jc w:val="both"/>
        <w:rPr>
          <w:rFonts w:hint="eastAsia"/>
          <w:color w:val="000000"/>
          <w:szCs w:val="28"/>
        </w:rPr>
      </w:pPr>
      <w:r>
        <w:rPr>
          <w:rFonts w:hint="eastAsia"/>
          <w:color w:val="000000"/>
          <w:szCs w:val="28"/>
        </w:rPr>
        <w:t>11.</w:t>
      </w:r>
      <w:r>
        <w:rPr>
          <w:rFonts w:hint="eastAsia"/>
          <w:color w:val="000000"/>
          <w:szCs w:val="28"/>
        </w:rPr>
        <w:tab/>
        <w:t xml:space="preserve">A certificate signed by the </w:t>
      </w:r>
      <w:r>
        <w:rPr>
          <w:color w:val="000000"/>
          <w:szCs w:val="28"/>
        </w:rPr>
        <w:t>authorized</w:t>
      </w:r>
      <w:r>
        <w:rPr>
          <w:rFonts w:hint="eastAsia"/>
          <w:color w:val="000000"/>
          <w:szCs w:val="28"/>
        </w:rPr>
        <w:t xml:space="preserve"> person certifying that the external parameters of the show flat(s) are identical to those of the actual unit(s) must be deposited with the Real Estate Developers Association of Hong Kong (</w:t>
      </w:r>
      <w:r>
        <w:rPr>
          <w:color w:val="000000"/>
          <w:szCs w:val="28"/>
        </w:rPr>
        <w:t>“</w:t>
      </w:r>
      <w:r>
        <w:rPr>
          <w:rFonts w:hint="eastAsia"/>
          <w:color w:val="000000"/>
          <w:szCs w:val="28"/>
        </w:rPr>
        <w:t>REDA</w:t>
      </w:r>
      <w:r>
        <w:rPr>
          <w:color w:val="000000"/>
          <w:szCs w:val="28"/>
        </w:rPr>
        <w:t>”</w:t>
      </w:r>
      <w:r>
        <w:rPr>
          <w:rFonts w:hint="eastAsia"/>
          <w:color w:val="000000"/>
          <w:szCs w:val="28"/>
        </w:rPr>
        <w:t>) for record purpose.  Upon request, REDA must let prospective purchasers inspect the certificate free of charge.</w:t>
      </w:r>
    </w:p>
    <w:p w:rsidR="00BE2A2B" w:rsidRDefault="00BE2A2B">
      <w:pPr>
        <w:widowControl/>
        <w:jc w:val="both"/>
        <w:rPr>
          <w:rFonts w:hint="eastAsia"/>
          <w:color w:val="000000"/>
          <w:szCs w:val="28"/>
        </w:rPr>
      </w:pPr>
    </w:p>
    <w:p w:rsidR="00BE2A2B" w:rsidRDefault="00BE2A2B">
      <w:pPr>
        <w:widowControl/>
        <w:ind w:left="720" w:hangingChars="300" w:hanging="720"/>
        <w:jc w:val="both"/>
        <w:rPr>
          <w:rFonts w:hint="eastAsia"/>
          <w:color w:val="000000"/>
          <w:szCs w:val="28"/>
        </w:rPr>
      </w:pPr>
      <w:r>
        <w:rPr>
          <w:rFonts w:hint="eastAsia"/>
        </w:rPr>
        <w:t>12.</w:t>
      </w:r>
      <w:r>
        <w:rPr>
          <w:rFonts w:hint="eastAsia"/>
        </w:rPr>
        <w:tab/>
        <w:t>(a)</w:t>
      </w:r>
      <w:r>
        <w:rPr>
          <w:rFonts w:hint="eastAsia"/>
        </w:rPr>
        <w:tab/>
      </w:r>
      <w:r>
        <w:rPr>
          <w:rFonts w:hint="eastAsia"/>
        </w:rPr>
        <w:t xml:space="preserve">Save where there is objection from the designer(s) to photo-taking or video-making, the developer must allow show flat visitors to take measurements, take photos and make videos inside the show flat(s).  If it is not practicable at the time for crowd management reasons, arrangements must be made for the visitors concerned to take measurements, take photos and make videos at a time convenient to all parties concerned as soon as possible </w:t>
      </w:r>
      <w:r>
        <w:rPr>
          <w:rFonts w:hint="eastAsia"/>
          <w:color w:val="000000"/>
          <w:szCs w:val="28"/>
        </w:rPr>
        <w:t xml:space="preserve">provided that prior appointments for taking measurements, taking photos </w:t>
      </w:r>
      <w:r>
        <w:rPr>
          <w:rFonts w:hint="eastAsia"/>
          <w:color w:val="000000"/>
          <w:szCs w:val="28"/>
        </w:rPr>
        <w:t xml:space="preserve">and making videos may be introduced only when </w:t>
      </w:r>
      <w:r>
        <w:rPr>
          <w:color w:val="000000"/>
          <w:szCs w:val="28"/>
        </w:rPr>
        <w:t>there are</w:t>
      </w:r>
      <w:r>
        <w:rPr>
          <w:rFonts w:hint="eastAsia"/>
          <w:color w:val="000000"/>
          <w:szCs w:val="28"/>
        </w:rPr>
        <w:t xml:space="preserve"> genuine crowd management concerns.  When crowd management is not a concern, visitors must be allowed to take measurements, take photos and make videos without prior appointment.</w:t>
      </w:r>
    </w:p>
    <w:p w:rsidR="00BE2A2B" w:rsidRDefault="00BE2A2B">
      <w:pPr>
        <w:widowControl/>
        <w:jc w:val="both"/>
        <w:rPr>
          <w:color w:val="000000"/>
          <w:szCs w:val="28"/>
        </w:rPr>
      </w:pPr>
    </w:p>
    <w:p w:rsidR="00BE2A2B" w:rsidRDefault="00BE2A2B">
      <w:pPr>
        <w:widowControl/>
        <w:ind w:left="720" w:hangingChars="300" w:hanging="720"/>
        <w:jc w:val="both"/>
        <w:rPr>
          <w:rFonts w:hint="eastAsia"/>
          <w:color w:val="000000"/>
          <w:szCs w:val="28"/>
        </w:rPr>
      </w:pPr>
      <w:r>
        <w:rPr>
          <w:color w:val="000000"/>
          <w:szCs w:val="28"/>
        </w:rPr>
        <w:t xml:space="preserve">      </w:t>
      </w:r>
      <w:r>
        <w:rPr>
          <w:rFonts w:hint="eastAsia"/>
          <w:color w:val="000000"/>
          <w:szCs w:val="28"/>
        </w:rPr>
        <w:t>(b)</w:t>
      </w:r>
      <w:r>
        <w:rPr>
          <w:rFonts w:hint="eastAsia"/>
          <w:color w:val="000000"/>
          <w:szCs w:val="28"/>
        </w:rPr>
        <w:tab/>
      </w:r>
      <w:r>
        <w:t>For show flat</w:t>
      </w:r>
      <w:r>
        <w:rPr>
          <w:rFonts w:hint="eastAsia"/>
        </w:rPr>
        <w:t>(</w:t>
      </w:r>
      <w:r>
        <w:t>s</w:t>
      </w:r>
      <w:r>
        <w:rPr>
          <w:rFonts w:hint="eastAsia"/>
        </w:rPr>
        <w:t>)</w:t>
      </w:r>
      <w:r>
        <w:t xml:space="preserve"> </w:t>
      </w:r>
      <w:r>
        <w:rPr>
          <w:rFonts w:hint="eastAsia"/>
        </w:rPr>
        <w:t>open to the public for the first time</w:t>
      </w:r>
      <w:r>
        <w:t xml:space="preserve"> before 1 June 2010, </w:t>
      </w:r>
      <w:r>
        <w:rPr>
          <w:rFonts w:hint="eastAsia"/>
          <w:color w:val="000000"/>
          <w:szCs w:val="28"/>
        </w:rPr>
        <w:t xml:space="preserve">where there is objection from the designer(s) and photo-taking is not allowed inside a show flat </w:t>
      </w:r>
      <w:r>
        <w:rPr>
          <w:color w:val="000000"/>
          <w:szCs w:val="28"/>
        </w:rPr>
        <w:t>because</w:t>
      </w:r>
      <w:r>
        <w:rPr>
          <w:rFonts w:hint="eastAsia"/>
          <w:color w:val="000000"/>
          <w:szCs w:val="28"/>
        </w:rPr>
        <w:t xml:space="preserve"> of the objection, the developer must clearly explain to the visitors that </w:t>
      </w:r>
      <w:r>
        <w:rPr>
          <w:color w:val="000000"/>
          <w:szCs w:val="28"/>
        </w:rPr>
        <w:t xml:space="preserve">it is due to </w:t>
      </w:r>
      <w:r>
        <w:rPr>
          <w:color w:val="000000"/>
          <w:szCs w:val="28"/>
        </w:rPr>
        <w:t>the objection of the designer</w:t>
      </w:r>
      <w:r>
        <w:rPr>
          <w:rFonts w:hint="eastAsia"/>
          <w:color w:val="000000"/>
          <w:szCs w:val="28"/>
        </w:rPr>
        <w:t>(s).</w:t>
      </w:r>
    </w:p>
    <w:p w:rsidR="00BE2A2B" w:rsidRDefault="00BE2A2B">
      <w:pPr>
        <w:widowControl/>
        <w:ind w:left="720"/>
        <w:jc w:val="both"/>
        <w:rPr>
          <w:rFonts w:hint="eastAsia"/>
          <w:color w:val="0000FF"/>
          <w:szCs w:val="28"/>
        </w:rPr>
      </w:pPr>
    </w:p>
    <w:p w:rsidR="00BE2A2B" w:rsidRDefault="00BE2A2B">
      <w:pPr>
        <w:widowControl/>
        <w:ind w:leftChars="300" w:left="720"/>
        <w:jc w:val="both"/>
        <w:rPr>
          <w:rFonts w:hint="eastAsia"/>
          <w:color w:val="000000"/>
          <w:szCs w:val="28"/>
        </w:rPr>
      </w:pPr>
      <w:r>
        <w:rPr>
          <w:rFonts w:hint="eastAsia"/>
          <w:color w:val="000000"/>
          <w:szCs w:val="28"/>
        </w:rPr>
        <w:t>(c)</w:t>
      </w:r>
      <w:r>
        <w:rPr>
          <w:rFonts w:hint="eastAsia"/>
          <w:color w:val="000000"/>
          <w:szCs w:val="28"/>
        </w:rPr>
        <w:tab/>
        <w:t xml:space="preserve">For new show flat(s) </w:t>
      </w:r>
      <w:r>
        <w:rPr>
          <w:rFonts w:hint="eastAsia"/>
        </w:rPr>
        <w:t>open to the public for the first time</w:t>
      </w:r>
      <w:r>
        <w:rPr>
          <w:color w:val="000000"/>
          <w:szCs w:val="28"/>
        </w:rPr>
        <w:t xml:space="preserve"> on or after 1 June 2010</w:t>
      </w:r>
      <w:r>
        <w:rPr>
          <w:rFonts w:hint="eastAsia"/>
          <w:color w:val="000000"/>
          <w:szCs w:val="28"/>
        </w:rPr>
        <w:t>, the developer must make appropriate arrangements with its designer(s) before commissioning his or their services to clear any hurdles for allowing show flat visitors to take photos or make videos.</w:t>
      </w:r>
    </w:p>
    <w:sectPr w:rsidR="00BE2A2B">
      <w:headerReference w:type="even" r:id="rId7"/>
      <w:headerReference w:type="default" r:id="rId8"/>
      <w:footerReference w:type="even" r:id="rId9"/>
      <w:footerReference w:type="default" r:id="rId10"/>
      <w:pgSz w:w="11906" w:h="16838"/>
      <w:pgMar w:top="1134" w:right="1701"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2A2B" w:rsidRDefault="00BE2A2B">
      <w:r>
        <w:separator/>
      </w:r>
    </w:p>
  </w:endnote>
  <w:endnote w:type="continuationSeparator" w:id="0">
    <w:p w:rsidR="00BE2A2B" w:rsidRDefault="00BE2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2A2B" w:rsidRDefault="00BE2A2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E2A2B" w:rsidRDefault="00BE2A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2A2B" w:rsidRDefault="00BE2A2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rsidR="00BE2A2B" w:rsidRDefault="00BE2A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2A2B" w:rsidRDefault="00BE2A2B">
      <w:r>
        <w:separator/>
      </w:r>
    </w:p>
  </w:footnote>
  <w:footnote w:type="continuationSeparator" w:id="0">
    <w:p w:rsidR="00BE2A2B" w:rsidRDefault="00BE2A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2A2B" w:rsidRDefault="00BE2A2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E2A2B" w:rsidRDefault="00BE2A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2A2B" w:rsidRDefault="00BE2A2B">
    <w:pPr>
      <w:pStyle w:val="Header"/>
      <w:framePr w:wrap="around" w:vAnchor="text" w:hAnchor="margin" w:xAlign="center" w:y="1"/>
      <w:rPr>
        <w:rStyle w:val="PageNumber"/>
        <w:rFonts w:hint="eastAsia"/>
      </w:rPr>
    </w:pPr>
  </w:p>
  <w:p w:rsidR="00BE2A2B" w:rsidRDefault="00BE2A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A736D"/>
    <w:multiLevelType w:val="hybridMultilevel"/>
    <w:tmpl w:val="5F0CA6AA"/>
    <w:lvl w:ilvl="0" w:tplc="3E549154">
      <w:start w:val="1"/>
      <w:numFmt w:val="decimal"/>
      <w:lvlText w:val="%1."/>
      <w:lvlJc w:val="left"/>
      <w:pPr>
        <w:tabs>
          <w:tab w:val="num" w:pos="870"/>
        </w:tabs>
        <w:ind w:left="870" w:hanging="390"/>
      </w:pPr>
      <w:rPr>
        <w:rFonts w:hint="default"/>
      </w:rPr>
    </w:lvl>
    <w:lvl w:ilvl="1" w:tplc="50567072">
      <w:start w:val="1"/>
      <w:numFmt w:val="lowerLetter"/>
      <w:lvlText w:val="(%2)"/>
      <w:lvlJc w:val="left"/>
      <w:pPr>
        <w:tabs>
          <w:tab w:val="num" w:pos="1320"/>
        </w:tabs>
        <w:ind w:left="1320" w:hanging="360"/>
      </w:pPr>
      <w:rPr>
        <w:rFonts w:hint="default"/>
      </w:rPr>
    </w:lvl>
    <w:lvl w:ilvl="2" w:tplc="D228EC44">
      <w:start w:val="1"/>
      <w:numFmt w:val="bullet"/>
      <w:lvlText w:val=""/>
      <w:lvlJc w:val="left"/>
      <w:pPr>
        <w:tabs>
          <w:tab w:val="num" w:pos="1920"/>
        </w:tabs>
        <w:ind w:left="1920" w:hanging="480"/>
      </w:pPr>
      <w:rPr>
        <w:rFonts w:ascii="Wingdings" w:hAnsi="Wingdings" w:hint="default"/>
        <w:sz w:val="16"/>
        <w:szCs w:val="16"/>
      </w:r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 w15:restartNumberingAfterBreak="0">
    <w:nsid w:val="75D06EB8"/>
    <w:multiLevelType w:val="hybridMultilevel"/>
    <w:tmpl w:val="159EB96E"/>
    <w:lvl w:ilvl="0" w:tplc="D228EC44">
      <w:start w:val="1"/>
      <w:numFmt w:val="bullet"/>
      <w:lvlText w:val=""/>
      <w:lvlJc w:val="left"/>
      <w:pPr>
        <w:tabs>
          <w:tab w:val="num" w:pos="1379"/>
        </w:tabs>
        <w:ind w:left="1379" w:hanging="480"/>
      </w:pPr>
      <w:rPr>
        <w:rFonts w:ascii="Wingdings" w:hAnsi="Wingdings" w:hint="default"/>
        <w:sz w:val="16"/>
        <w:szCs w:val="16"/>
      </w:rPr>
    </w:lvl>
    <w:lvl w:ilvl="1" w:tplc="04090003" w:tentative="1">
      <w:start w:val="1"/>
      <w:numFmt w:val="bullet"/>
      <w:lvlText w:val=""/>
      <w:lvlJc w:val="left"/>
      <w:pPr>
        <w:tabs>
          <w:tab w:val="num" w:pos="1859"/>
        </w:tabs>
        <w:ind w:left="1859" w:hanging="480"/>
      </w:pPr>
      <w:rPr>
        <w:rFonts w:ascii="Wingdings" w:hAnsi="Wingdings" w:hint="default"/>
      </w:rPr>
    </w:lvl>
    <w:lvl w:ilvl="2" w:tplc="04090005" w:tentative="1">
      <w:start w:val="1"/>
      <w:numFmt w:val="bullet"/>
      <w:lvlText w:val=""/>
      <w:lvlJc w:val="left"/>
      <w:pPr>
        <w:tabs>
          <w:tab w:val="num" w:pos="2339"/>
        </w:tabs>
        <w:ind w:left="2339" w:hanging="480"/>
      </w:pPr>
      <w:rPr>
        <w:rFonts w:ascii="Wingdings" w:hAnsi="Wingdings" w:hint="default"/>
      </w:rPr>
    </w:lvl>
    <w:lvl w:ilvl="3" w:tplc="04090001" w:tentative="1">
      <w:start w:val="1"/>
      <w:numFmt w:val="bullet"/>
      <w:lvlText w:val=""/>
      <w:lvlJc w:val="left"/>
      <w:pPr>
        <w:tabs>
          <w:tab w:val="num" w:pos="2819"/>
        </w:tabs>
        <w:ind w:left="2819" w:hanging="480"/>
      </w:pPr>
      <w:rPr>
        <w:rFonts w:ascii="Wingdings" w:hAnsi="Wingdings" w:hint="default"/>
      </w:rPr>
    </w:lvl>
    <w:lvl w:ilvl="4" w:tplc="04090003" w:tentative="1">
      <w:start w:val="1"/>
      <w:numFmt w:val="bullet"/>
      <w:lvlText w:val=""/>
      <w:lvlJc w:val="left"/>
      <w:pPr>
        <w:tabs>
          <w:tab w:val="num" w:pos="3299"/>
        </w:tabs>
        <w:ind w:left="3299" w:hanging="480"/>
      </w:pPr>
      <w:rPr>
        <w:rFonts w:ascii="Wingdings" w:hAnsi="Wingdings" w:hint="default"/>
      </w:rPr>
    </w:lvl>
    <w:lvl w:ilvl="5" w:tplc="04090005" w:tentative="1">
      <w:start w:val="1"/>
      <w:numFmt w:val="bullet"/>
      <w:lvlText w:val=""/>
      <w:lvlJc w:val="left"/>
      <w:pPr>
        <w:tabs>
          <w:tab w:val="num" w:pos="3779"/>
        </w:tabs>
        <w:ind w:left="3779" w:hanging="480"/>
      </w:pPr>
      <w:rPr>
        <w:rFonts w:ascii="Wingdings" w:hAnsi="Wingdings" w:hint="default"/>
      </w:rPr>
    </w:lvl>
    <w:lvl w:ilvl="6" w:tplc="04090001" w:tentative="1">
      <w:start w:val="1"/>
      <w:numFmt w:val="bullet"/>
      <w:lvlText w:val=""/>
      <w:lvlJc w:val="left"/>
      <w:pPr>
        <w:tabs>
          <w:tab w:val="num" w:pos="4259"/>
        </w:tabs>
        <w:ind w:left="4259" w:hanging="480"/>
      </w:pPr>
      <w:rPr>
        <w:rFonts w:ascii="Wingdings" w:hAnsi="Wingdings" w:hint="default"/>
      </w:rPr>
    </w:lvl>
    <w:lvl w:ilvl="7" w:tplc="04090003" w:tentative="1">
      <w:start w:val="1"/>
      <w:numFmt w:val="bullet"/>
      <w:lvlText w:val=""/>
      <w:lvlJc w:val="left"/>
      <w:pPr>
        <w:tabs>
          <w:tab w:val="num" w:pos="4739"/>
        </w:tabs>
        <w:ind w:left="4739" w:hanging="480"/>
      </w:pPr>
      <w:rPr>
        <w:rFonts w:ascii="Wingdings" w:hAnsi="Wingdings" w:hint="default"/>
      </w:rPr>
    </w:lvl>
    <w:lvl w:ilvl="8" w:tplc="04090005" w:tentative="1">
      <w:start w:val="1"/>
      <w:numFmt w:val="bullet"/>
      <w:lvlText w:val=""/>
      <w:lvlJc w:val="left"/>
      <w:pPr>
        <w:tabs>
          <w:tab w:val="num" w:pos="5219"/>
        </w:tabs>
        <w:ind w:left="5219" w:hanging="480"/>
      </w:pPr>
      <w:rPr>
        <w:rFonts w:ascii="Wingdings" w:hAnsi="Wingdings" w:hint="default"/>
      </w:rPr>
    </w:lvl>
  </w:abstractNum>
  <w:num w:numId="1" w16cid:durableId="913127549">
    <w:abstractNumId w:val="1"/>
  </w:num>
  <w:num w:numId="2" w16cid:durableId="1490057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2A8D"/>
    <w:rsid w:val="00272A8D"/>
    <w:rsid w:val="00561209"/>
    <w:rsid w:val="00BE2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1637205-38C5-4C0E-A256-F026A53BF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u w:val="single"/>
    </w:rPr>
  </w:style>
  <w:style w:type="paragraph" w:styleId="Header">
    <w:name w:val="head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paragraph" w:styleId="Footer">
    <w:name w:val="footer"/>
    <w:basedOn w:val="Normal"/>
    <w:semiHidden/>
    <w:pPr>
      <w:tabs>
        <w:tab w:val="center" w:pos="4153"/>
        <w:tab w:val="right" w:pos="8306"/>
      </w:tabs>
      <w:snapToGrid w:val="0"/>
    </w:pPr>
    <w:rPr>
      <w:sz w:val="20"/>
      <w:szCs w:val="20"/>
    </w:rPr>
  </w:style>
  <w:style w:type="paragraph" w:styleId="BodyTextIndent">
    <w:name w:val="Body Text Indent"/>
    <w:basedOn w:val="Normal"/>
    <w:semiHidden/>
    <w:pPr>
      <w:ind w:left="1440" w:hangingChars="600" w:hanging="1440"/>
      <w:jc w:val="both"/>
    </w:pPr>
    <w:rPr>
      <w:color w:val="000000"/>
      <w:szCs w:val="28"/>
    </w:rPr>
  </w:style>
  <w:style w:type="paragraph" w:styleId="BodyTextIndent2">
    <w:name w:val="Body Text Indent 2"/>
    <w:basedOn w:val="Normal"/>
    <w:semiHidden/>
    <w:pPr>
      <w:tabs>
        <w:tab w:val="left" w:pos="720"/>
      </w:tabs>
      <w:ind w:leftChars="300" w:left="1440" w:hangingChars="300" w:hanging="720"/>
      <w:jc w:val="both"/>
    </w:pPr>
    <w:rPr>
      <w:color w:val="000000"/>
      <w:szCs w:val="28"/>
    </w:rPr>
  </w:style>
  <w:style w:type="paragraph" w:styleId="BodyTextIndent3">
    <w:name w:val="Body Text Indent 3"/>
    <w:basedOn w:val="Normal"/>
    <w:semiHidden/>
    <w:pPr>
      <w:ind w:leftChars="300" w:left="720"/>
      <w:jc w:val="both"/>
    </w:pPr>
    <w:rPr>
      <w:color w:val="000000"/>
      <w:szCs w:val="28"/>
    </w:rPr>
  </w:style>
  <w:style w:type="paragraph" w:customStyle="1" w:styleId="a">
    <w:name w:val="註解方塊文字"/>
    <w:basedOn w:val="Normal"/>
    <w:semiHidden/>
    <w:rPr>
      <w:rFonts w:ascii="Arial"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964</Words>
  <Characters>5500</Characters>
  <Application>Microsoft Office Word</Application>
  <DocSecurity>0</DocSecurity>
  <Lines>45</Lines>
  <Paragraphs>12</Paragraphs>
  <ScaleCrop>false</ScaleCrop>
  <HeadingPairs>
    <vt:vector size="2" baseType="variant">
      <vt:variant>
        <vt:lpstr>標題</vt:lpstr>
      </vt:variant>
      <vt:variant>
        <vt:i4>1</vt:i4>
      </vt:variant>
    </vt:vector>
  </HeadingPairs>
  <TitlesOfParts>
    <vt:vector size="1" baseType="lpstr">
      <vt:lpstr>Appendix [   ]</vt:lpstr>
    </vt:vector>
  </TitlesOfParts>
  <Company>Government of HKSAR</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   ]</dc:title>
  <dc:subject/>
  <dc:creator>LACO</dc:creator>
  <cp:keywords/>
  <dc:description/>
  <cp:lastModifiedBy>Rico Kwok</cp:lastModifiedBy>
  <cp:revision>2</cp:revision>
  <cp:lastPrinted>2010-06-02T04:29:00Z</cp:lastPrinted>
  <dcterms:created xsi:type="dcterms:W3CDTF">2026-10-02T17:17:00Z</dcterms:created>
  <dcterms:modified xsi:type="dcterms:W3CDTF">2026-10-02T17:17:00Z</dcterms:modified>
</cp:coreProperties>
</file>