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F135" w14:textId="77777777" w:rsidR="002632AA" w:rsidRDefault="002632AA">
      <w:pPr>
        <w:pStyle w:val="BodyText2"/>
        <w:ind w:left="480" w:hanging="480"/>
        <w:jc w:val="right"/>
        <w:rPr>
          <w:rFonts w:hint="eastAsia"/>
          <w:b/>
          <w:bCs/>
          <w:u w:val="single"/>
        </w:rPr>
      </w:pPr>
      <w:r>
        <w:rPr>
          <w:b/>
          <w:bCs/>
          <w:u w:val="single"/>
        </w:rPr>
        <w:t xml:space="preserve">Appendix </w:t>
      </w:r>
      <w:r>
        <w:rPr>
          <w:rFonts w:hint="eastAsia"/>
          <w:b/>
          <w:bCs/>
          <w:u w:val="single"/>
        </w:rPr>
        <w:t>IV</w:t>
      </w:r>
    </w:p>
    <w:p w14:paraId="47733464" w14:textId="77777777" w:rsidR="002632AA" w:rsidRDefault="002632AA">
      <w:pPr>
        <w:jc w:val="both"/>
        <w:rPr>
          <w:rFonts w:hint="eastAsia"/>
          <w:b/>
          <w:bCs/>
          <w:u w:val="single"/>
        </w:rPr>
      </w:pPr>
    </w:p>
    <w:p w14:paraId="29ADB005" w14:textId="77777777" w:rsidR="002632AA" w:rsidRDefault="002632AA">
      <w:pPr>
        <w:jc w:val="both"/>
        <w:rPr>
          <w:b/>
          <w:bCs/>
          <w:u w:val="single"/>
        </w:rPr>
      </w:pPr>
      <w:r>
        <w:rPr>
          <w:b/>
          <w:bCs/>
          <w:u w:val="single"/>
        </w:rPr>
        <w:t>Definition of “</w:t>
      </w:r>
      <w:r>
        <w:rPr>
          <w:rFonts w:hint="eastAsia"/>
          <w:b/>
          <w:bCs/>
          <w:u w:val="single"/>
        </w:rPr>
        <w:t>Saleable Area</w:t>
      </w:r>
      <w:r>
        <w:rPr>
          <w:b/>
          <w:bCs/>
          <w:u w:val="single"/>
        </w:rPr>
        <w:t>”</w:t>
      </w:r>
      <w:r>
        <w:rPr>
          <w:b/>
          <w:bCs/>
        </w:rPr>
        <w:t>:</w:t>
      </w:r>
    </w:p>
    <w:p w14:paraId="07466DC9" w14:textId="77777777" w:rsidR="002632AA" w:rsidRDefault="002632AA">
      <w:pPr>
        <w:jc w:val="both"/>
        <w:rPr>
          <w:rFonts w:hint="eastAsia"/>
        </w:rPr>
      </w:pPr>
    </w:p>
    <w:p w14:paraId="33EE73D0" w14:textId="77777777" w:rsidR="002632AA" w:rsidRDefault="002632AA">
      <w:pPr>
        <w:jc w:val="both"/>
        <w:rPr>
          <w:rFonts w:hint="eastAsia"/>
        </w:rPr>
      </w:pPr>
      <w:r>
        <w:rPr>
          <w:rFonts w:hint="eastAsia"/>
        </w:rPr>
        <w:t xml:space="preserve">the floor area of </w:t>
      </w:r>
      <w:r>
        <w:t>a unit enclosed by walls</w:t>
      </w:r>
      <w:r>
        <w:rPr>
          <w:rFonts w:hint="eastAsia"/>
        </w:rPr>
        <w:t xml:space="preserve"> </w:t>
      </w:r>
      <w:r>
        <w:t>(</w:t>
      </w:r>
      <w:r>
        <w:rPr>
          <w:rFonts w:hint="eastAsia"/>
        </w:rPr>
        <w:t xml:space="preserve">inclusive of </w:t>
      </w:r>
      <w:r>
        <w:t>the floor area of any balconies</w:t>
      </w:r>
      <w:r>
        <w:rPr>
          <w:rFonts w:hint="eastAsia"/>
        </w:rPr>
        <w:t>, utility platforms</w:t>
      </w:r>
      <w:r>
        <w:t xml:space="preserve"> and verandahs</w:t>
      </w:r>
      <w:r>
        <w:rPr>
          <w:rFonts w:hint="eastAsia"/>
        </w:rPr>
        <w:t xml:space="preserve"> but exclusive of the Other Areas</w:t>
      </w:r>
      <w:r>
        <w:t>)</w:t>
      </w:r>
      <w:r>
        <w:rPr>
          <w:rFonts w:hint="eastAsia"/>
        </w:rPr>
        <w:t xml:space="preserve">, which area (including any balcony, utility platform or verandah enclosed by walls) shall be </w:t>
      </w:r>
      <w:r>
        <w:t>measured from the exterior of the enclosing walls of such unit</w:t>
      </w:r>
      <w:r>
        <w:rPr>
          <w:rFonts w:hint="eastAsia"/>
        </w:rPr>
        <w:t>,</w:t>
      </w:r>
      <w:r>
        <w:t xml:space="preserve"> balconies</w:t>
      </w:r>
      <w:r>
        <w:rPr>
          <w:rFonts w:hint="eastAsia"/>
        </w:rPr>
        <w:t>, utility platforms</w:t>
      </w:r>
      <w:r>
        <w:t xml:space="preserve"> </w:t>
      </w:r>
      <w:r>
        <w:rPr>
          <w:rFonts w:hint="eastAsia"/>
        </w:rPr>
        <w:t>or</w:t>
      </w:r>
      <w:r>
        <w:t xml:space="preserve"> verandahs</w:t>
      </w:r>
      <w:r>
        <w:rPr>
          <w:rFonts w:hint="eastAsia"/>
        </w:rPr>
        <w:t xml:space="preserve"> (as the case may be) </w:t>
      </w:r>
      <w:r>
        <w:t>except where such enclosing walls separate two adjoining units</w:t>
      </w:r>
      <w:r>
        <w:rPr>
          <w:rFonts w:hint="eastAsia"/>
        </w:rPr>
        <w:t>,</w:t>
      </w:r>
      <w:r>
        <w:t xml:space="preserve"> balconies</w:t>
      </w:r>
      <w:r>
        <w:rPr>
          <w:rFonts w:hint="eastAsia"/>
        </w:rPr>
        <w:t>, utility platform</w:t>
      </w:r>
      <w:r>
        <w:rPr>
          <w:rFonts w:hint="eastAsia"/>
        </w:rPr>
        <w:t>s</w:t>
      </w:r>
      <w:r>
        <w:t xml:space="preserve"> </w:t>
      </w:r>
      <w:r>
        <w:rPr>
          <w:rFonts w:hint="eastAsia"/>
        </w:rPr>
        <w:t>or</w:t>
      </w:r>
      <w:r>
        <w:t xml:space="preserve"> verandahs</w:t>
      </w:r>
      <w:r>
        <w:rPr>
          <w:rFonts w:hint="eastAsia"/>
        </w:rPr>
        <w:t xml:space="preserve"> (as the case may be),</w:t>
      </w:r>
      <w:r>
        <w:t xml:space="preserve"> in which case the measurement shall be taken from the middle of those walls, and shall include the internal partitions and columns within such unit</w:t>
      </w:r>
      <w:r>
        <w:rPr>
          <w:rFonts w:hint="eastAsia"/>
        </w:rPr>
        <w:t>,</w:t>
      </w:r>
      <w:r>
        <w:t xml:space="preserve"> balconies</w:t>
      </w:r>
      <w:r>
        <w:rPr>
          <w:rFonts w:hint="eastAsia"/>
        </w:rPr>
        <w:t>, utility platforms</w:t>
      </w:r>
      <w:r>
        <w:t xml:space="preserve"> </w:t>
      </w:r>
      <w:r>
        <w:rPr>
          <w:rFonts w:hint="eastAsia"/>
        </w:rPr>
        <w:t>or</w:t>
      </w:r>
      <w:r>
        <w:t xml:space="preserve"> verandahs</w:t>
      </w:r>
      <w:r>
        <w:rPr>
          <w:rFonts w:hint="eastAsia"/>
        </w:rPr>
        <w:t xml:space="preserve"> (as the case may be)</w:t>
      </w:r>
      <w:r>
        <w:t>; but shall exclude the common parts outside the enclosing walls of such unit</w:t>
      </w:r>
      <w:r>
        <w:rPr>
          <w:rFonts w:hint="eastAsia"/>
        </w:rPr>
        <w:t>,</w:t>
      </w:r>
      <w:r>
        <w:t xml:space="preserve"> balconies</w:t>
      </w:r>
      <w:r>
        <w:rPr>
          <w:rFonts w:hint="eastAsia"/>
        </w:rPr>
        <w:t>, utility platforms</w:t>
      </w:r>
      <w:r>
        <w:t xml:space="preserve"> </w:t>
      </w:r>
      <w:r>
        <w:rPr>
          <w:rFonts w:hint="eastAsia"/>
        </w:rPr>
        <w:t>or</w:t>
      </w:r>
      <w:r>
        <w:t xml:space="preserve"> verandahs</w:t>
      </w:r>
      <w:r>
        <w:rPr>
          <w:rFonts w:hint="eastAsia"/>
        </w:rPr>
        <w:t xml:space="preserve"> (as the case may be), and for balconies, utility platforms or verandahs, shall exclude the whole thickness of the enclosing walls or boundary w</w:t>
      </w:r>
      <w:r>
        <w:rPr>
          <w:rFonts w:hint="eastAsia"/>
        </w:rPr>
        <w:t>hich abut onto the unit</w:t>
      </w:r>
      <w:r>
        <w:t xml:space="preserve"> Provided That if any of the enclosing walls abut onto a common area, then the whole thickness of the enclosing walls which so abut shall be included</w:t>
      </w:r>
      <w:r>
        <w:rPr>
          <w:rFonts w:hint="eastAsia"/>
        </w:rPr>
        <w:t xml:space="preserve">. Where a balcony, utility platform or verandah is not enclosed by a solid wall, the floor area of such balcony, utility platform or verandah shall be measured from the external boundary of </w:t>
      </w:r>
      <w:r>
        <w:t>the</w:t>
      </w:r>
      <w:r>
        <w:rPr>
          <w:rFonts w:hint="eastAsia"/>
        </w:rPr>
        <w:t xml:space="preserve"> said balcony, utility platform or verandah.</w:t>
      </w:r>
    </w:p>
    <w:p w14:paraId="5DDDCA74" w14:textId="77777777" w:rsidR="002632AA" w:rsidRDefault="002632AA">
      <w:pPr>
        <w:jc w:val="both"/>
        <w:rPr>
          <w:rFonts w:hint="eastAsia"/>
        </w:rPr>
      </w:pPr>
    </w:p>
    <w:p w14:paraId="20ACA074" w14:textId="77777777" w:rsidR="002632AA" w:rsidRDefault="002632AA">
      <w:pPr>
        <w:jc w:val="both"/>
        <w:rPr>
          <w:b/>
          <w:bCs/>
        </w:rPr>
      </w:pPr>
      <w:r>
        <w:rPr>
          <w:b/>
          <w:bCs/>
          <w:u w:val="single"/>
        </w:rPr>
        <w:t>Definition of “</w:t>
      </w:r>
      <w:r>
        <w:rPr>
          <w:rFonts w:hint="eastAsia"/>
          <w:b/>
          <w:bCs/>
          <w:u w:val="single"/>
        </w:rPr>
        <w:t>Other Areas</w:t>
      </w:r>
      <w:r>
        <w:rPr>
          <w:b/>
          <w:bCs/>
          <w:u w:val="single"/>
        </w:rPr>
        <w:t>”</w:t>
      </w:r>
      <w:r>
        <w:rPr>
          <w:b/>
          <w:bCs/>
        </w:rPr>
        <w:t>:</w:t>
      </w:r>
    </w:p>
    <w:p w14:paraId="19945397" w14:textId="77777777" w:rsidR="002632AA" w:rsidRDefault="002632AA">
      <w:pPr>
        <w:jc w:val="both"/>
        <w:rPr>
          <w:rFonts w:hint="eastAsia"/>
        </w:rPr>
      </w:pPr>
    </w:p>
    <w:p w14:paraId="6A578C56" w14:textId="77777777" w:rsidR="002632AA" w:rsidRDefault="002632AA">
      <w:pPr>
        <w:jc w:val="both"/>
        <w:rPr>
          <w:rFonts w:hint="eastAsia"/>
        </w:rPr>
      </w:pPr>
      <w:r>
        <w:rPr>
          <w:rFonts w:hint="eastAsia"/>
        </w:rPr>
        <w:t>the area of any cockloft which shall be measured from the interior of t</w:t>
      </w:r>
      <w:r>
        <w:rPr>
          <w:rFonts w:hint="eastAsia"/>
        </w:rPr>
        <w:t>he enclosing walls and shall include the internal partitions and columns within such cockloft;</w:t>
      </w:r>
    </w:p>
    <w:p w14:paraId="3BAFC032" w14:textId="77777777" w:rsidR="002632AA" w:rsidRDefault="002632AA">
      <w:pPr>
        <w:jc w:val="both"/>
        <w:rPr>
          <w:rFonts w:hint="eastAsia"/>
        </w:rPr>
      </w:pPr>
    </w:p>
    <w:p w14:paraId="606D08CA" w14:textId="77777777" w:rsidR="002632AA" w:rsidRDefault="002632AA">
      <w:pPr>
        <w:jc w:val="both"/>
        <w:rPr>
          <w:rFonts w:hint="eastAsia"/>
        </w:rPr>
      </w:pPr>
      <w:r>
        <w:rPr>
          <w:rFonts w:hint="eastAsia"/>
        </w:rPr>
        <w:t>the area of any bay window which shall be measured from the exterior of the enclosing walls or glass windows of such bay window and from the point where the bay window meets the wall dropping to the floor level of a unit excluding the thickness of such wall;</w:t>
      </w:r>
    </w:p>
    <w:p w14:paraId="51F72A4A" w14:textId="77777777" w:rsidR="002632AA" w:rsidRDefault="002632AA">
      <w:pPr>
        <w:pStyle w:val="BodyText"/>
        <w:shd w:val="clear" w:color="auto" w:fill="FFFFFF"/>
        <w:jc w:val="both"/>
        <w:rPr>
          <w:rFonts w:hint="eastAsia"/>
        </w:rPr>
      </w:pPr>
    </w:p>
    <w:p w14:paraId="121E2ADC" w14:textId="77777777" w:rsidR="002632AA" w:rsidRDefault="002632AA">
      <w:pPr>
        <w:pStyle w:val="BodyText"/>
        <w:shd w:val="clear" w:color="auto" w:fill="FFFFFF"/>
        <w:jc w:val="both"/>
        <w:rPr>
          <w:rFonts w:hint="eastAsia"/>
        </w:rPr>
      </w:pPr>
      <w:r>
        <w:rPr>
          <w:rFonts w:hint="eastAsia"/>
        </w:rPr>
        <w:t>the area of any carparking space which shall be measured to the centre of its demarcating lines or the interior face of its enclosing walls, as the case may</w:t>
      </w:r>
      <w:r>
        <w:rPr>
          <w:rFonts w:hint="eastAsia"/>
        </w:rPr>
        <w:t xml:space="preserve"> be;</w:t>
      </w:r>
    </w:p>
    <w:p w14:paraId="2A5EE276" w14:textId="77777777" w:rsidR="002632AA" w:rsidRDefault="002632AA">
      <w:pPr>
        <w:jc w:val="both"/>
        <w:rPr>
          <w:rFonts w:hint="eastAsia"/>
        </w:rPr>
      </w:pPr>
    </w:p>
    <w:p w14:paraId="1522869C" w14:textId="77777777" w:rsidR="002632AA" w:rsidRDefault="002632AA">
      <w:pPr>
        <w:jc w:val="both"/>
      </w:pPr>
      <w:r>
        <w:rPr>
          <w:rFonts w:hint="eastAsia"/>
        </w:rPr>
        <w:t xml:space="preserve">the area of any yard, terrace, garden, flat roof, roof and air-conditioning plant room which shall be measured from the interior of their boundary lines, and where boundary consists of a wall, then it shall be </w:t>
      </w:r>
      <w:r>
        <w:t>measured</w:t>
      </w:r>
      <w:r>
        <w:rPr>
          <w:rFonts w:hint="eastAsia"/>
        </w:rPr>
        <w:t xml:space="preserve"> from the interior of such wall.</w:t>
      </w:r>
    </w:p>
    <w:p w14:paraId="6892DBEC" w14:textId="77777777" w:rsidR="002632AA" w:rsidRDefault="002632AA"/>
    <w:sectPr w:rsidR="002632AA">
      <w:pgSz w:w="11906" w:h="16838"/>
      <w:pgMar w:top="1134" w:right="1701" w:bottom="1134"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oNotTrackMoves/>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00D1"/>
    <w:rsid w:val="002632AA"/>
    <w:rsid w:val="007C3167"/>
    <w:rsid w:val="00840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71317"/>
  <w15:chartTrackingRefBased/>
  <w15:docId w15:val="{C463CBC0-1F84-4599-9778-74857089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autoRedefine/>
    <w:semiHidden/>
    <w:pPr>
      <w:widowControl/>
    </w:pPr>
    <w:rPr>
      <w:rFonts w:ascii="Arial" w:eastAsia="SimSun" w:hAnsi="Arial"/>
      <w:kern w:val="0"/>
      <w:sz w:val="22"/>
      <w:szCs w:val="22"/>
      <w:lang w:val="en-GB" w:eastAsia="zh-CN"/>
    </w:rPr>
  </w:style>
  <w:style w:type="paragraph" w:styleId="BodyText">
    <w:name w:val="Body Text"/>
    <w:basedOn w:val="Normal"/>
    <w:semiHidden/>
    <w:pPr>
      <w:jc w:val="center"/>
    </w:pPr>
  </w:style>
  <w:style w:type="paragraph" w:styleId="BodyText2">
    <w:name w:val="Body Text 2"/>
    <w:basedOn w:val="Normal"/>
    <w:semiHidden/>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1962</Characters>
  <Application>Microsoft Office Word</Application>
  <DocSecurity>0</DocSecurity>
  <Lines>16</Lines>
  <Paragraphs>4</Paragraphs>
  <ScaleCrop>false</ScaleCrop>
  <HeadingPairs>
    <vt:vector size="2" baseType="variant">
      <vt:variant>
        <vt:lpstr>標題</vt:lpstr>
      </vt:variant>
      <vt:variant>
        <vt:i4>1</vt:i4>
      </vt:variant>
    </vt:vector>
  </HeadingPairs>
  <TitlesOfParts>
    <vt:vector size="1" baseType="lpstr">
      <vt:lpstr>Appendix A</vt:lpstr>
    </vt:vector>
  </TitlesOfParts>
  <Company>Government of HKSAR</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dc:title>
  <dc:subject/>
  <dc:creator>Winnie</dc:creator>
  <cp:keywords/>
  <dc:description/>
  <cp:lastModifiedBy>Rico Kwok</cp:lastModifiedBy>
  <cp:revision>2</cp:revision>
  <cp:lastPrinted>2010-05-31T08:54:00Z</cp:lastPrinted>
  <dcterms:created xsi:type="dcterms:W3CDTF">2026-10-02T17:17:00Z</dcterms:created>
  <dcterms:modified xsi:type="dcterms:W3CDTF">2026-10-02T17:17:00Z</dcterms:modified>
</cp:coreProperties>
</file>