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1A86" w14:textId="77777777" w:rsidR="005977BD" w:rsidRDefault="005977BD">
      <w:pPr>
        <w:jc w:val="both"/>
      </w:pPr>
    </w:p>
    <w:p w14:paraId="193674E7" w14:textId="77777777" w:rsidR="005977BD" w:rsidRDefault="005977BD">
      <w:pPr>
        <w:jc w:val="both"/>
      </w:pPr>
    </w:p>
    <w:p w14:paraId="592F7CCF" w14:textId="77777777" w:rsidR="005977BD" w:rsidRDefault="005977BD">
      <w:pPr>
        <w:jc w:val="both"/>
      </w:pPr>
    </w:p>
    <w:p w14:paraId="0DD40890" w14:textId="77777777" w:rsidR="005977BD" w:rsidRDefault="005977BD">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1A593D5A" w14:textId="77777777" w:rsidR="005977BD" w:rsidRDefault="005977BD">
      <w:pPr>
        <w:jc w:val="both"/>
        <w:rPr>
          <w:rFonts w:ascii="Times New Roman" w:hAnsi="Times New Roman"/>
        </w:rPr>
      </w:pPr>
    </w:p>
    <w:p w14:paraId="6C9372A5" w14:textId="77777777" w:rsidR="005977BD" w:rsidRDefault="005977BD">
      <w:pPr>
        <w:spacing w:line="240" w:lineRule="atLeast"/>
        <w:jc w:val="both"/>
      </w:pPr>
    </w:p>
    <w:p w14:paraId="6FA212AF" w14:textId="77777777" w:rsidR="005977BD" w:rsidRDefault="005977BD">
      <w:pPr>
        <w:spacing w:line="240" w:lineRule="atLeast"/>
        <w:jc w:val="both"/>
      </w:pPr>
    </w:p>
    <w:p w14:paraId="37B3AF66" w14:textId="77777777" w:rsidR="005977BD" w:rsidRDefault="005977BD">
      <w:pPr>
        <w:spacing w:line="240" w:lineRule="atLeast"/>
        <w:jc w:val="right"/>
        <w:rPr>
          <w:rFonts w:ascii="Times New Roman" w:hAnsi="Times New Roman"/>
        </w:rPr>
      </w:pPr>
      <w:r>
        <w:rPr>
          <w:rFonts w:ascii="Times New Roman" w:hAnsi="Times New Roman"/>
        </w:rPr>
        <w:t>15 July 1994</w:t>
      </w:r>
    </w:p>
    <w:p w14:paraId="035C9E38" w14:textId="77777777" w:rsidR="005977BD" w:rsidRDefault="005977BD">
      <w:pPr>
        <w:spacing w:line="240" w:lineRule="atLeast"/>
        <w:jc w:val="both"/>
      </w:pPr>
    </w:p>
    <w:p w14:paraId="132E8CBC" w14:textId="77777777" w:rsidR="005977BD" w:rsidRDefault="005977BD">
      <w:pPr>
        <w:spacing w:line="240" w:lineRule="atLeast"/>
        <w:jc w:val="both"/>
      </w:pPr>
    </w:p>
    <w:p w14:paraId="7BD9B939" w14:textId="77777777" w:rsidR="005977BD" w:rsidRDefault="005977BD">
      <w:pPr>
        <w:spacing w:line="240" w:lineRule="atLeast"/>
        <w:jc w:val="center"/>
        <w:rPr>
          <w:rFonts w:ascii="Times New Roman" w:hAnsi="Times New Roman"/>
          <w:b/>
        </w:rPr>
      </w:pPr>
      <w:r>
        <w:rPr>
          <w:rFonts w:ascii="Times New Roman" w:hAnsi="Times New Roman"/>
          <w:b/>
        </w:rPr>
        <w:t>Legal Advisory and Conveyancing Office</w:t>
      </w:r>
    </w:p>
    <w:p w14:paraId="6AA3B0FF" w14:textId="77777777" w:rsidR="005977BD" w:rsidRDefault="005977BD">
      <w:pPr>
        <w:spacing w:line="240" w:lineRule="atLeast"/>
        <w:jc w:val="center"/>
        <w:rPr>
          <w:rFonts w:ascii="Times New Roman" w:hAnsi="Times New Roman"/>
          <w:b/>
          <w:u w:val="single"/>
        </w:rPr>
      </w:pPr>
      <w:r>
        <w:rPr>
          <w:rFonts w:ascii="Times New Roman" w:hAnsi="Times New Roman"/>
          <w:b/>
          <w:u w:val="single"/>
        </w:rPr>
        <w:t>Circular Memorandum No. 9</w:t>
      </w:r>
    </w:p>
    <w:p w14:paraId="24CA190E" w14:textId="77777777" w:rsidR="005977BD" w:rsidRDefault="005977BD">
      <w:pPr>
        <w:spacing w:line="240" w:lineRule="atLeast"/>
        <w:jc w:val="center"/>
        <w:rPr>
          <w:rFonts w:ascii="Times New Roman" w:hAnsi="Times New Roman"/>
          <w:b/>
          <w:u w:val="single"/>
        </w:rPr>
      </w:pPr>
    </w:p>
    <w:p w14:paraId="782FEF92" w14:textId="77777777" w:rsidR="005977BD" w:rsidRDefault="005977BD">
      <w:pPr>
        <w:spacing w:line="240" w:lineRule="atLeast"/>
        <w:jc w:val="center"/>
        <w:rPr>
          <w:rFonts w:ascii="Times New Roman" w:hAnsi="Times New Roman"/>
          <w:b/>
        </w:rPr>
      </w:pPr>
      <w:r>
        <w:rPr>
          <w:rFonts w:ascii="Times New Roman" w:hAnsi="Times New Roman"/>
          <w:b/>
        </w:rPr>
        <w:t>Variations to Land Office Circular Memorandum No. 91</w:t>
      </w:r>
    </w:p>
    <w:p w14:paraId="6206AACC" w14:textId="77777777" w:rsidR="005977BD" w:rsidRDefault="005977BD">
      <w:pPr>
        <w:spacing w:line="240" w:lineRule="atLeast"/>
        <w:jc w:val="center"/>
      </w:pPr>
      <w:r>
        <w:rPr>
          <w:rFonts w:ascii="Times New Roman" w:hAnsi="Times New Roman"/>
          <w:b/>
          <w:u w:val="single"/>
        </w:rPr>
        <w:t>Amended Guidelines for DMCs in Consent Cases</w:t>
      </w:r>
    </w:p>
    <w:p w14:paraId="34D35091" w14:textId="77777777" w:rsidR="005977BD" w:rsidRDefault="005977BD">
      <w:pPr>
        <w:spacing w:line="240" w:lineRule="atLeast"/>
        <w:jc w:val="both"/>
      </w:pPr>
    </w:p>
    <w:p w14:paraId="29C69934" w14:textId="77777777" w:rsidR="005977BD" w:rsidRDefault="005977BD">
      <w:pPr>
        <w:spacing w:line="240" w:lineRule="atLeast"/>
        <w:jc w:val="both"/>
      </w:pPr>
    </w:p>
    <w:p w14:paraId="42F02127" w14:textId="77777777" w:rsidR="005977BD" w:rsidRDefault="005977BD">
      <w:pPr>
        <w:spacing w:line="240" w:lineRule="atLeast"/>
        <w:jc w:val="both"/>
        <w:rPr>
          <w:rFonts w:ascii="Times New Roman" w:hAnsi="Times New Roman"/>
        </w:rPr>
      </w:pPr>
      <w:r>
        <w:rPr>
          <w:rFonts w:ascii="Times New Roman" w:hAnsi="Times New Roman"/>
        </w:rPr>
        <w:tab/>
      </w:r>
      <w:r>
        <w:rPr>
          <w:rFonts w:ascii="Times New Roman" w:hAnsi="Times New Roman"/>
        </w:rPr>
        <w:tab/>
        <w:t>The following amendments to the former Registrar Gen</w:t>
      </w:r>
      <w:r>
        <w:rPr>
          <w:rFonts w:ascii="Times New Roman" w:hAnsi="Times New Roman"/>
        </w:rPr>
        <w:t>eral</w:t>
      </w:r>
      <w:r>
        <w:t>’</w:t>
      </w:r>
      <w:r>
        <w:rPr>
          <w:rFonts w:ascii="Times New Roman" w:hAnsi="Times New Roman"/>
        </w:rPr>
        <w:t>s Land Office Circular Memorandum No. 91 will be effective from 1st August 1994:</w:t>
      </w:r>
    </w:p>
    <w:p w14:paraId="1134B707" w14:textId="77777777" w:rsidR="005977BD" w:rsidRDefault="005977BD">
      <w:pPr>
        <w:spacing w:line="240" w:lineRule="atLeast"/>
        <w:jc w:val="both"/>
      </w:pPr>
    </w:p>
    <w:p w14:paraId="2E5E4390" w14:textId="77777777" w:rsidR="005977BD" w:rsidRDefault="005977BD">
      <w:pPr>
        <w:spacing w:line="240" w:lineRule="atLeast"/>
        <w:ind w:left="960" w:hanging="480"/>
        <w:jc w:val="both"/>
        <w:rPr>
          <w:rFonts w:ascii="Times New Roman" w:hAnsi="Times New Roman"/>
        </w:rPr>
      </w:pPr>
      <w:r>
        <w:rPr>
          <w:rFonts w:ascii="Times New Roman" w:hAnsi="Times New Roman"/>
        </w:rPr>
        <w:t>1.</w:t>
      </w:r>
      <w:r>
        <w:rPr>
          <w:rFonts w:ascii="Times New Roman" w:hAnsi="Times New Roman"/>
        </w:rPr>
        <w:tab/>
        <w:t>Notwithstanding paragraph 3 of LOCM No. 91, experience has shown since 1987 the great majority of developments should be within the scope of the Guidelines.  Such Guidelines will therefore apply to all developments of whatever size, except where there are good reasons, in the opinion of LACO, to vary or otherwise depart from them in the case of specific complex developments.</w:t>
      </w:r>
    </w:p>
    <w:p w14:paraId="7152B1BE" w14:textId="77777777" w:rsidR="005977BD" w:rsidRDefault="005977BD">
      <w:pPr>
        <w:spacing w:line="240" w:lineRule="atLeast"/>
        <w:ind w:left="960" w:hanging="480"/>
        <w:jc w:val="both"/>
      </w:pPr>
      <w:r>
        <w:rPr>
          <w:rFonts w:ascii="Times New Roman" w:hAnsi="Times New Roman"/>
        </w:rPr>
        <w:tab/>
      </w:r>
    </w:p>
    <w:p w14:paraId="0C79BC57" w14:textId="77777777" w:rsidR="005977BD" w:rsidRDefault="005977BD">
      <w:pPr>
        <w:spacing w:line="240" w:lineRule="atLeast"/>
        <w:ind w:left="960" w:hanging="480"/>
        <w:jc w:val="both"/>
        <w:rPr>
          <w:rFonts w:ascii="Times New Roman" w:hAnsi="Times New Roman"/>
        </w:rPr>
      </w:pPr>
      <w:r>
        <w:rPr>
          <w:rFonts w:ascii="Times New Roman" w:hAnsi="Times New Roman"/>
        </w:rPr>
        <w:t>2.</w:t>
      </w:r>
      <w:r>
        <w:rPr>
          <w:rFonts w:ascii="Times New Roman" w:hAnsi="Times New Roman"/>
        </w:rPr>
        <w:tab/>
        <w:t>Paragraphs 7 and 26 of the Guidelines f</w:t>
      </w:r>
      <w:r>
        <w:rPr>
          <w:rFonts w:ascii="Times New Roman" w:hAnsi="Times New Roman"/>
        </w:rPr>
        <w:t>or Drafting of DMCs attached to LOCM 91 shall be amended as follows:</w:t>
      </w:r>
    </w:p>
    <w:p w14:paraId="353B01E4" w14:textId="77777777" w:rsidR="005977BD" w:rsidRDefault="005977BD">
      <w:pPr>
        <w:spacing w:line="240" w:lineRule="atLeast"/>
        <w:jc w:val="both"/>
      </w:pPr>
    </w:p>
    <w:p w14:paraId="33C448B8" w14:textId="77777777" w:rsidR="005977BD" w:rsidRDefault="005977BD">
      <w:pPr>
        <w:spacing w:line="240" w:lineRule="atLeast"/>
        <w:ind w:left="960"/>
        <w:jc w:val="both"/>
      </w:pPr>
      <w:r>
        <w:t>“</w:t>
      </w:r>
      <w:r>
        <w:rPr>
          <w:rFonts w:ascii="Times New Roman" w:hAnsi="Times New Roman"/>
        </w:rPr>
        <w:t>7.</w:t>
      </w:r>
      <w:r>
        <w:rPr>
          <w:rFonts w:ascii="Times New Roman" w:hAnsi="Times New Roman"/>
        </w:rPr>
        <w:tab/>
      </w:r>
      <w:r>
        <w:rPr>
          <w:rFonts w:ascii="Times New Roman" w:hAnsi="Times New Roman"/>
        </w:rPr>
        <w:tab/>
        <w:t>The Manager shall be appointed to act as agent for and on behalf of all owners duly authorised in accordance with the provisions of the DMC in respect of any matter concerning the common parts.</w:t>
      </w:r>
      <w:r>
        <w:t>”</w:t>
      </w:r>
    </w:p>
    <w:p w14:paraId="0C2679DD" w14:textId="77777777" w:rsidR="005977BD" w:rsidRDefault="005977BD">
      <w:pPr>
        <w:spacing w:line="240" w:lineRule="atLeast"/>
        <w:ind w:left="960"/>
        <w:jc w:val="both"/>
      </w:pPr>
    </w:p>
    <w:p w14:paraId="3B1DBD8C" w14:textId="77777777" w:rsidR="005977BD" w:rsidRDefault="005977BD">
      <w:pPr>
        <w:spacing w:line="240" w:lineRule="atLeast"/>
        <w:ind w:left="960"/>
        <w:jc w:val="both"/>
      </w:pPr>
      <w:r>
        <w:t>“</w:t>
      </w:r>
      <w:r>
        <w:rPr>
          <w:rFonts w:ascii="Times New Roman" w:hAnsi="Times New Roman"/>
        </w:rPr>
        <w:t>26.</w:t>
      </w:r>
      <w:r>
        <w:rPr>
          <w:rFonts w:ascii="Times New Roman" w:hAnsi="Times New Roman"/>
        </w:rPr>
        <w:tab/>
      </w:r>
      <w:r>
        <w:rPr>
          <w:rFonts w:ascii="Times New Roman" w:hAnsi="Times New Roman"/>
        </w:rPr>
        <w:tab/>
        <w:t>A DMC will provide for the developer to provide a direct translation or summary in Chinese of the DMC within 2 months of the signing thereof, and ensure it is available for inspection and the taking of copies by owners at their expense</w:t>
      </w:r>
      <w:r>
        <w:rPr>
          <w:rFonts w:ascii="Times New Roman" w:hAnsi="Times New Roman"/>
        </w:rPr>
        <w:t xml:space="preserve"> at the management office.  In the event of a dispute as to the effect of the Chinese translation and the English document, the English version is to prevail.</w:t>
      </w:r>
      <w:r>
        <w:t>”</w:t>
      </w:r>
    </w:p>
    <w:p w14:paraId="7EFD686A" w14:textId="77777777" w:rsidR="005977BD" w:rsidRDefault="005977BD">
      <w:pPr>
        <w:spacing w:line="240" w:lineRule="atLeast"/>
        <w:jc w:val="both"/>
      </w:pPr>
    </w:p>
    <w:p w14:paraId="5A9BB26D" w14:textId="77777777" w:rsidR="005977BD" w:rsidRDefault="005977BD">
      <w:pPr>
        <w:spacing w:line="240" w:lineRule="atLeast"/>
        <w:jc w:val="both"/>
      </w:pPr>
    </w:p>
    <w:p w14:paraId="2218EC9F" w14:textId="77777777" w:rsidR="005977BD" w:rsidRDefault="005977BD">
      <w:pPr>
        <w:spacing w:line="240" w:lineRule="atLeast"/>
        <w:jc w:val="both"/>
      </w:pPr>
    </w:p>
    <w:p w14:paraId="313A4E41" w14:textId="77777777" w:rsidR="005977BD" w:rsidRDefault="005977BD">
      <w:pPr>
        <w:spacing w:line="240" w:lineRule="atLeast"/>
        <w:jc w:val="both"/>
      </w:pPr>
    </w:p>
    <w:p w14:paraId="24D8D9D3" w14:textId="77777777" w:rsidR="005977BD" w:rsidRDefault="005977BD">
      <w:pPr>
        <w:spacing w:line="240" w:lineRule="atLeast"/>
        <w:jc w:val="both"/>
      </w:pPr>
    </w:p>
    <w:p w14:paraId="2E292EB2" w14:textId="77777777" w:rsidR="005977BD" w:rsidRDefault="005977BD">
      <w:pPr>
        <w:tabs>
          <w:tab w:val="center" w:pos="6480"/>
        </w:tabs>
        <w:spacing w:line="240" w:lineRule="atLeast"/>
        <w:jc w:val="both"/>
        <w:rPr>
          <w:rFonts w:ascii="Times New Roman" w:hAnsi="Times New Roman"/>
        </w:rPr>
      </w:pPr>
      <w:r>
        <w:rPr>
          <w:rFonts w:ascii="Times New Roman" w:hAnsi="Times New Roman"/>
        </w:rPr>
        <w:tab/>
        <w:t>(T. E. Berry)</w:t>
      </w:r>
    </w:p>
    <w:p w14:paraId="7CF14198" w14:textId="77777777" w:rsidR="005977BD" w:rsidRDefault="005977BD">
      <w:pPr>
        <w:tabs>
          <w:tab w:val="center" w:pos="6480"/>
        </w:tabs>
        <w:spacing w:line="240" w:lineRule="atLeast"/>
        <w:jc w:val="both"/>
        <w:rPr>
          <w:rFonts w:ascii="Times New Roman" w:hAnsi="Times New Roman"/>
        </w:rPr>
      </w:pPr>
      <w:r>
        <w:rPr>
          <w:rFonts w:ascii="Times New Roman" w:hAnsi="Times New Roman"/>
        </w:rPr>
        <w:tab/>
        <w:t>Principal Solicitor</w:t>
      </w:r>
    </w:p>
    <w:p w14:paraId="4E6E69BE" w14:textId="77777777" w:rsidR="005977BD" w:rsidRDefault="005977BD">
      <w:pPr>
        <w:tabs>
          <w:tab w:val="center" w:pos="6480"/>
        </w:tabs>
        <w:spacing w:line="240" w:lineRule="atLeast"/>
        <w:jc w:val="both"/>
        <w:rPr>
          <w:rFonts w:ascii="Times New Roman" w:hAnsi="Times New Roman"/>
        </w:rPr>
      </w:pPr>
      <w:r>
        <w:rPr>
          <w:rFonts w:ascii="Times New Roman" w:hAnsi="Times New Roman"/>
        </w:rPr>
        <w:tab/>
        <w:t>for Director of Lands</w:t>
      </w:r>
    </w:p>
    <w:p w14:paraId="7CDB6BDF" w14:textId="77777777" w:rsidR="005977BD" w:rsidRDefault="005977BD">
      <w:pPr>
        <w:tabs>
          <w:tab w:val="center" w:pos="6480"/>
        </w:tabs>
        <w:spacing w:line="240" w:lineRule="atLeast"/>
        <w:jc w:val="both"/>
        <w:rPr>
          <w:rFonts w:ascii="Times New Roman" w:hAnsi="Times New Roman"/>
        </w:rPr>
      </w:pPr>
    </w:p>
    <w:p w14:paraId="08C63FA7" w14:textId="77777777" w:rsidR="005977BD" w:rsidRDefault="005977BD">
      <w:pPr>
        <w:tabs>
          <w:tab w:val="center" w:pos="6480"/>
        </w:tabs>
        <w:spacing w:line="240" w:lineRule="atLeast"/>
        <w:jc w:val="both"/>
        <w:rPr>
          <w:rFonts w:ascii="Times New Roman" w:hAnsi="Times New Roman"/>
        </w:rPr>
      </w:pPr>
      <w:r>
        <w:rPr>
          <w:rFonts w:ascii="Times New Roman" w:hAnsi="Times New Roman"/>
        </w:rPr>
        <w:t>To : All Solicitors</w:t>
      </w:r>
    </w:p>
    <w:sectPr w:rsidR="005977BD">
      <w:headerReference w:type="default" r:id="rId6"/>
      <w:pgSz w:w="11907" w:h="16840"/>
      <w:pgMar w:top="1304"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F2F5" w14:textId="77777777" w:rsidR="005977BD" w:rsidRDefault="005977BD">
      <w:pPr>
        <w:spacing w:line="240" w:lineRule="auto"/>
      </w:pPr>
      <w:r>
        <w:separator/>
      </w:r>
    </w:p>
  </w:endnote>
  <w:endnote w:type="continuationSeparator" w:id="0">
    <w:p w14:paraId="4A1D1EC3" w14:textId="77777777" w:rsidR="005977BD" w:rsidRDefault="00597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6C4B3" w14:textId="77777777" w:rsidR="005977BD" w:rsidRDefault="005977BD">
      <w:pPr>
        <w:spacing w:line="240" w:lineRule="auto"/>
      </w:pPr>
      <w:r>
        <w:separator/>
      </w:r>
    </w:p>
  </w:footnote>
  <w:footnote w:type="continuationSeparator" w:id="0">
    <w:p w14:paraId="78AE3735" w14:textId="77777777" w:rsidR="005977BD" w:rsidRDefault="005977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5AD9" w14:textId="77777777" w:rsidR="005977BD" w:rsidRDefault="005977BD">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1</w:t>
    </w:r>
    <w:r>
      <w:fldChar w:fldCharType="end"/>
    </w:r>
  </w:p>
  <w:p w14:paraId="0C041D7D" w14:textId="77777777" w:rsidR="005977BD" w:rsidRDefault="005977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4429"/>
    <w:rsid w:val="00244429"/>
    <w:rsid w:val="005977BD"/>
    <w:rsid w:val="00830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CC375"/>
  <w15:chartTrackingRefBased/>
  <w15:docId w15:val="{15EF7788-1EE8-4571-9CF7-ED2E3117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1997-01-18T02:03:00Z</cp:lastPrinted>
  <dcterms:created xsi:type="dcterms:W3CDTF">2026-10-02T17:18:00Z</dcterms:created>
  <dcterms:modified xsi:type="dcterms:W3CDTF">2026-10-02T17:18:00Z</dcterms:modified>
</cp:coreProperties>
</file>