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DE5" w:rsidRPr="005645AC" w:rsidRDefault="005645AC">
      <w:pPr>
        <w:pStyle w:val="Title"/>
        <w:wordWrap w:val="0"/>
        <w:jc w:val="right"/>
        <w:rPr>
          <w:sz w:val="24"/>
        </w:rPr>
      </w:pPr>
      <w:r w:rsidRPr="005645AC">
        <w:rPr>
          <w:rFonts w:hint="eastAsia"/>
          <w:sz w:val="24"/>
        </w:rPr>
        <w:t xml:space="preserve">Revised </w:t>
      </w:r>
      <w:r w:rsidR="00C47DE5" w:rsidRPr="005645AC">
        <w:rPr>
          <w:rFonts w:hint="eastAsia"/>
          <w:sz w:val="24"/>
        </w:rPr>
        <w:t>Appendix III</w:t>
      </w:r>
      <w:r w:rsidRPr="005645AC">
        <w:rPr>
          <w:rFonts w:hint="eastAsia"/>
          <w:sz w:val="24"/>
        </w:rPr>
        <w:t xml:space="preserve"> to LACO CM No. 54</w:t>
      </w:r>
    </w:p>
    <w:p w:rsidR="00C47DE5" w:rsidRDefault="00C47DE5">
      <w:pPr>
        <w:pStyle w:val="Title"/>
        <w:jc w:val="right"/>
        <w:rPr>
          <w:rFonts w:hint="eastAsia"/>
          <w:b w:val="0"/>
          <w:bCs w:val="0"/>
          <w:sz w:val="24"/>
          <w:u w:val="none"/>
        </w:rPr>
      </w:pPr>
    </w:p>
    <w:p w:rsidR="005645AC" w:rsidRPr="005645AC" w:rsidRDefault="005645AC">
      <w:pPr>
        <w:pStyle w:val="Title"/>
        <w:jc w:val="right"/>
        <w:rPr>
          <w:rFonts w:hint="eastAsia"/>
          <w:b w:val="0"/>
          <w:bCs w:val="0"/>
          <w:sz w:val="24"/>
          <w:u w:val="none"/>
        </w:rPr>
      </w:pPr>
    </w:p>
    <w:p w:rsidR="00C47DE5" w:rsidRDefault="00C47DE5">
      <w:pPr>
        <w:pStyle w:val="Title"/>
      </w:pPr>
      <w:r>
        <w:rPr>
          <w:rFonts w:hint="eastAsia"/>
        </w:rPr>
        <w:t>*Monthly/Final Report</w:t>
      </w:r>
      <w:r>
        <w:t xml:space="preserve"> by Solicitors</w:t>
      </w:r>
    </w:p>
    <w:p w:rsidR="00C47DE5" w:rsidRDefault="00C47DE5">
      <w:pPr>
        <w:rPr>
          <w:b/>
          <w:bCs/>
        </w:rPr>
      </w:pPr>
    </w:p>
    <w:p w:rsidR="00C47DE5" w:rsidRDefault="00C47DE5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ales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:rsidR="00C47DE5" w:rsidRDefault="00C47DE5">
      <w:pPr>
        <w:jc w:val="both"/>
        <w:rPr>
          <w:vertAlign w:val="superscript"/>
        </w:rPr>
      </w:pPr>
    </w:p>
    <w:p w:rsidR="00C47DE5" w:rsidRDefault="00C47DE5" w:rsidP="005645AC">
      <w:pPr>
        <w:tabs>
          <w:tab w:val="left" w:pos="900"/>
        </w:tabs>
        <w:jc w:val="both"/>
        <w:rPr>
          <w:u w:val="single"/>
        </w:rPr>
      </w:pPr>
      <w:r>
        <w:rPr>
          <w:rFonts w:hint="eastAsia"/>
        </w:rPr>
        <w:t xml:space="preserve">To  :  </w:t>
      </w:r>
      <w:r w:rsidR="005645AC">
        <w:rPr>
          <w:rFonts w:hint="eastAsia"/>
        </w:rPr>
        <w:tab/>
      </w:r>
      <w:r>
        <w:t>[Name of t</w:t>
      </w:r>
      <w:r>
        <w:rPr>
          <w:rFonts w:hint="eastAsia"/>
        </w:rPr>
        <w:t xml:space="preserve">he </w:t>
      </w:r>
      <w:r>
        <w:t>Developer i.e. the registered owner of the lot]</w:t>
      </w:r>
    </w:p>
    <w:p w:rsidR="00C47DE5" w:rsidRDefault="00C47DE5">
      <w:pPr>
        <w:jc w:val="both"/>
        <w:rPr>
          <w:rFonts w:hint="eastAsia"/>
          <w:u w:val="single"/>
        </w:rPr>
      </w:pPr>
    </w:p>
    <w:p w:rsidR="00C47DE5" w:rsidRDefault="00C47DE5" w:rsidP="005645AC">
      <w:pPr>
        <w:tabs>
          <w:tab w:val="left" w:pos="900"/>
        </w:tabs>
        <w:ind w:left="1440" w:hangingChars="600" w:hanging="1440"/>
        <w:jc w:val="both"/>
        <w:rPr>
          <w:rFonts w:hint="eastAsia"/>
        </w:rPr>
      </w:pPr>
      <w:r>
        <w:rPr>
          <w:rFonts w:hint="eastAsia"/>
        </w:rPr>
        <w:t>c.c.</w:t>
      </w:r>
      <w:r>
        <w:rPr>
          <w:rFonts w:hint="eastAsia"/>
        </w:rPr>
        <w:tab/>
        <w:t xml:space="preserve">(1) </w:t>
      </w:r>
      <w:r w:rsidR="005645AC">
        <w:rPr>
          <w:rFonts w:hint="eastAsia"/>
        </w:rPr>
        <w:tab/>
      </w:r>
      <w:r>
        <w:rPr>
          <w:rFonts w:hint="eastAsia"/>
        </w:rPr>
        <w:t>Transport and Housing Bureau (Attn: Principal Assistant Secretary for Transport and Housing (Housing) (Private Housing))</w:t>
      </w:r>
    </w:p>
    <w:p w:rsidR="00C47DE5" w:rsidRDefault="00C47DE5" w:rsidP="005645AC">
      <w:pPr>
        <w:ind w:leftChars="375" w:left="1440" w:hangingChars="225" w:hanging="540"/>
        <w:jc w:val="both"/>
        <w:rPr>
          <w:rFonts w:hint="eastAsia"/>
        </w:rPr>
      </w:pPr>
      <w:r>
        <w:rPr>
          <w:rFonts w:hint="eastAsia"/>
        </w:rPr>
        <w:t xml:space="preserve">(2) </w:t>
      </w:r>
      <w:r w:rsidR="005645AC">
        <w:rPr>
          <w:rFonts w:hint="eastAsia"/>
        </w:rPr>
        <w:tab/>
      </w:r>
      <w:r>
        <w:rPr>
          <w:rFonts w:hint="eastAsia"/>
        </w:rPr>
        <w:t>Legal Advisory and Conveyancing Office of Lands Department</w:t>
      </w:r>
    </w:p>
    <w:p w:rsidR="00C47DE5" w:rsidRDefault="00C47DE5" w:rsidP="005645AC">
      <w:pPr>
        <w:tabs>
          <w:tab w:val="left" w:pos="900"/>
        </w:tabs>
        <w:ind w:leftChars="300" w:left="1440" w:hangingChars="300" w:hanging="720"/>
        <w:jc w:val="both"/>
      </w:pPr>
      <w:r>
        <w:t>*[</w:t>
      </w:r>
      <w:r>
        <w:rPr>
          <w:rFonts w:hint="eastAsia"/>
        </w:rPr>
        <w:t xml:space="preserve">(3) </w:t>
      </w:r>
      <w:r w:rsidR="005645AC">
        <w:rPr>
          <w:rFonts w:hint="eastAsia"/>
        </w:rPr>
        <w:tab/>
      </w:r>
      <w:r>
        <w:t xml:space="preserve">Name of </w:t>
      </w:r>
      <w:r>
        <w:rPr>
          <w:rFonts w:hint="eastAsia"/>
        </w:rPr>
        <w:t xml:space="preserve">the Mortgagee </w:t>
      </w:r>
      <w:r>
        <w:t>]</w:t>
      </w:r>
    </w:p>
    <w:p w:rsidR="00C47DE5" w:rsidRDefault="00C47DE5">
      <w:pPr>
        <w:jc w:val="both"/>
      </w:pPr>
      <w:r>
        <w:tab/>
      </w:r>
    </w:p>
    <w:p w:rsidR="00C47DE5" w:rsidRDefault="00C47DE5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1.</w:t>
            </w: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  <w:r>
              <w:t>Lot No.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2.</w:t>
            </w: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  <w:r>
              <w:t>Name of the Developer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3.</w:t>
            </w: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  <w:r>
              <w:t>Name of the Development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4.</w:t>
            </w: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  <w:r>
              <w:t>Phase No. (if applicable)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5.</w:t>
            </w: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6.</w:t>
            </w: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  <w:r>
              <w:t xml:space="preserve">*No. of </w:t>
            </w:r>
            <w:r>
              <w:rPr>
                <w:rFonts w:hint="eastAsia"/>
              </w:rPr>
              <w:t>u</w:t>
            </w:r>
            <w:r>
              <w:t>nits in Phase ______</w:t>
            </w:r>
          </w:p>
          <w:p w:rsidR="00C47DE5" w:rsidRDefault="00C47DE5">
            <w:pPr>
              <w:jc w:val="both"/>
            </w:pPr>
            <w:r>
              <w:t>(if applicable) of the Development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7.</w:t>
            </w: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  <w:r>
              <w:t xml:space="preserve">Date of </w:t>
            </w:r>
            <w:r>
              <w:rPr>
                <w:rFonts w:hint="eastAsia"/>
              </w:rPr>
              <w:t>the 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8.</w:t>
            </w: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the </w:t>
            </w:r>
            <w:r>
              <w:rPr>
                <w:rFonts w:hint="eastAsia"/>
              </w:rPr>
              <w:t>c</w:t>
            </w:r>
            <w:r>
              <w:t>onsent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9.</w:t>
            </w: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  <w:r>
              <w:t>10.</w:t>
            </w:r>
          </w:p>
        </w:tc>
        <w:tc>
          <w:tcPr>
            <w:tcW w:w="5220" w:type="dxa"/>
          </w:tcPr>
          <w:p w:rsidR="00C47DE5" w:rsidRDefault="00C47DE5">
            <w:pPr>
              <w:ind w:left="69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C47DE5" w:rsidRDefault="00C47DE5">
            <w:pPr>
              <w:jc w:val="both"/>
            </w:pPr>
          </w:p>
        </w:tc>
        <w:tc>
          <w:tcPr>
            <w:tcW w:w="5220" w:type="dxa"/>
          </w:tcPr>
          <w:p w:rsidR="00C47DE5" w:rsidRDefault="00C47DE5">
            <w:pPr>
              <w:ind w:left="69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 fittings and finishes 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47DE5" w:rsidRDefault="00C47DE5">
            <w:pPr>
              <w:jc w:val="both"/>
            </w:pPr>
          </w:p>
        </w:tc>
      </w:tr>
    </w:tbl>
    <w:p w:rsidR="00C47DE5" w:rsidRDefault="00C47DE5">
      <w:pPr>
        <w:jc w:val="both"/>
      </w:pPr>
    </w:p>
    <w:p w:rsidR="00C47DE5" w:rsidRDefault="00C47DE5">
      <w:pPr>
        <w:jc w:val="both"/>
        <w:rPr>
          <w:rFonts w:hint="eastAsia"/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:rsidR="00C47DE5" w:rsidRDefault="00C47DE5">
      <w:pPr>
        <w:jc w:val="both"/>
        <w:rPr>
          <w:rFonts w:hint="eastAsia"/>
        </w:rPr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635"/>
        <w:gridCol w:w="444"/>
        <w:gridCol w:w="3779"/>
        <w:gridCol w:w="1164"/>
        <w:gridCol w:w="1244"/>
        <w:gridCol w:w="1060"/>
        <w:gridCol w:w="648"/>
      </w:tblGrid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C47DE5" w:rsidRDefault="00C47DE5" w:rsidP="00C47DE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635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C47DE5" w:rsidRDefault="00C47DE5" w:rsidP="00C47DE5">
            <w:pPr>
              <w:spacing w:line="280" w:lineRule="exact"/>
              <w:jc w:val="center"/>
              <w:rPr>
                <w:b/>
                <w:bCs/>
              </w:rPr>
            </w:pPr>
          </w:p>
        </w:tc>
        <w:tc>
          <w:tcPr>
            <w:tcW w:w="4223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C47DE5" w:rsidRDefault="00C47DE5" w:rsidP="00C47DE5">
            <w:pPr>
              <w:pStyle w:val="Heading1"/>
              <w:spacing w:line="280" w:lineRule="exact"/>
              <w:rPr>
                <w:rFonts w:hint="eastAsia"/>
              </w:rPr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C47DE5" w:rsidRDefault="00C47DE5" w:rsidP="00C47DE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 b/f from previous month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C47DE5" w:rsidRDefault="00C47DE5" w:rsidP="00C47DE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 received or paid in the month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C47DE5" w:rsidRDefault="00C47DE5" w:rsidP="00C47DE5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C47DE5" w:rsidRDefault="00C47DE5" w:rsidP="00C47DE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4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  <w:r>
              <w:t>A</w:t>
            </w:r>
          </w:p>
        </w:tc>
        <w:tc>
          <w:tcPr>
            <w:tcW w:w="635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>(1)</w:t>
            </w:r>
          </w:p>
        </w:tc>
        <w:tc>
          <w:tcPr>
            <w:tcW w:w="4223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  <w:rPr>
                <w:rFonts w:hint="eastAsia"/>
              </w:rPr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35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>(2)</w:t>
            </w:r>
          </w:p>
        </w:tc>
        <w:tc>
          <w:tcPr>
            <w:tcW w:w="4223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3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</w:p>
        </w:tc>
        <w:tc>
          <w:tcPr>
            <w:tcW w:w="3779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>Sub-total:</w:t>
            </w:r>
          </w:p>
        </w:tc>
        <w:tc>
          <w:tcPr>
            <w:tcW w:w="1164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</w:pPr>
            <w:r>
              <w:t>A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4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4858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the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</w:pPr>
            <w:r>
              <w:t>B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4858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>ortgage and interest under</w:t>
            </w:r>
            <w:r>
              <w:rPr>
                <w:rFonts w:hint="eastAsia"/>
              </w:rPr>
              <w:t xml:space="preserve"> Clause 26(1)(b) of the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</w:pPr>
            <w:r>
              <w:t>C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rPr>
                <w:rFonts w:hint="eastAsia"/>
              </w:rPr>
            </w:pPr>
            <w:r>
              <w:t>D</w:t>
            </w:r>
          </w:p>
        </w:tc>
        <w:tc>
          <w:tcPr>
            <w:tcW w:w="4858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>ortgage under</w:t>
            </w:r>
            <w:r>
              <w:rPr>
                <w:rFonts w:hint="eastAsia"/>
              </w:rPr>
              <w:t xml:space="preserve"> Clause 26(1)(c) of the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4858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  <w:rPr>
                <w:rFonts w:hint="eastAsia"/>
              </w:rPr>
            </w:pPr>
            <w:r>
              <w:t>E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rPr>
                <w:rFonts w:hint="eastAsia"/>
              </w:rPr>
            </w:pPr>
            <w:r>
              <w:t>F</w:t>
            </w:r>
          </w:p>
        </w:tc>
        <w:tc>
          <w:tcPr>
            <w:tcW w:w="4858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Developer under</w:t>
            </w:r>
            <w:r>
              <w:rPr>
                <w:rFonts w:hint="eastAsia"/>
              </w:rPr>
              <w:t xml:space="preserve"> Clause 26(1)(d) of the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  <w:rPr>
                <w:rFonts w:hint="eastAsia"/>
              </w:rPr>
            </w:pPr>
            <w:r>
              <w:t>F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  <w:tc>
          <w:tcPr>
            <w:tcW w:w="4858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 proceeds</w:t>
            </w:r>
            <w:r>
              <w:t xml:space="preserve"> to the Developer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5" w:type="dxa"/>
            <w:gridSpan w:val="6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both"/>
            </w:pPr>
            <w:r>
              <w:t>Balance of funds in the stakeholder account c/f [A-B</w:t>
            </w:r>
            <w:r>
              <w:rPr>
                <w:rFonts w:hint="eastAsia"/>
              </w:rPr>
              <w:t>-C-D</w:t>
            </w:r>
            <w:r>
              <w:t>-E</w:t>
            </w:r>
            <w:r>
              <w:rPr>
                <w:rFonts w:hint="eastAsia"/>
              </w:rPr>
              <w:t>-F-G</w:t>
            </w:r>
            <w:r>
              <w:t>]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C47DE5">
            <w:pPr>
              <w:spacing w:line="280" w:lineRule="exact"/>
              <w:jc w:val="center"/>
            </w:pPr>
          </w:p>
        </w:tc>
      </w:tr>
    </w:tbl>
    <w:p w:rsidR="00C47DE5" w:rsidRDefault="00C47DE5">
      <w:pPr>
        <w:tabs>
          <w:tab w:val="left" w:pos="540"/>
        </w:tabs>
        <w:jc w:val="both"/>
        <w:rPr>
          <w:rFonts w:hint="eastAsia"/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Progress of sale of </w:t>
      </w:r>
      <w:r>
        <w:rPr>
          <w:b/>
          <w:bCs/>
          <w:u w:val="single"/>
        </w:rPr>
        <w:t>u</w:t>
      </w:r>
      <w:r>
        <w:rPr>
          <w:rFonts w:hint="eastAsia"/>
          <w:b/>
          <w:bCs/>
          <w:u w:val="single"/>
        </w:rPr>
        <w:t>nits</w:t>
      </w:r>
      <w:r>
        <w:rPr>
          <w:rFonts w:hint="eastAsia"/>
          <w:b/>
          <w:bCs/>
        </w:rPr>
        <w:tab/>
      </w:r>
    </w:p>
    <w:p w:rsidR="00C47DE5" w:rsidRDefault="00C47DE5">
      <w:pPr>
        <w:jc w:val="both"/>
        <w:rPr>
          <w:rFonts w:hint="eastAsia"/>
        </w:rPr>
      </w:pPr>
    </w:p>
    <w:p w:rsidR="00C47DE5" w:rsidRDefault="00C47DE5">
      <w:pPr>
        <w:tabs>
          <w:tab w:val="left" w:pos="540"/>
        </w:tabs>
        <w:spacing w:afterLines="50" w:after="180"/>
        <w:jc w:val="both"/>
        <w:rPr>
          <w:rFonts w:hint="eastAsia"/>
          <w:u w:val="single"/>
        </w:rPr>
      </w:pPr>
      <w:r>
        <w:rPr>
          <w:rFonts w:hint="eastAsia"/>
        </w:rPr>
        <w:t>A.</w:t>
      </w:r>
      <w:r>
        <w:rPr>
          <w:rFonts w:hint="eastAsia"/>
        </w:rPr>
        <w:tab/>
      </w:r>
      <w:r>
        <w:rPr>
          <w:rFonts w:hint="eastAsia"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C47DE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both"/>
              <w:rPr>
                <w:rFonts w:hint="eastAsia"/>
              </w:rPr>
            </w:pP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both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b/f from previous </w:t>
            </w:r>
            <w:r>
              <w:rPr>
                <w:rFonts w:hint="eastAsia"/>
                <w:u w:val="single"/>
              </w:rPr>
              <w:t>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</w:pPr>
          </w:p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Current </w:t>
            </w:r>
            <w:r>
              <w:rPr>
                <w:rFonts w:hint="eastAsia"/>
                <w:u w:val="single"/>
              </w:rPr>
              <w:t>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pStyle w:val="Heading2"/>
              <w:spacing w:line="280" w:lineRule="exact"/>
            </w:pPr>
          </w:p>
          <w:p w:rsidR="00C47DE5" w:rsidRDefault="00C47DE5" w:rsidP="005645AC">
            <w:pPr>
              <w:spacing w:line="280" w:lineRule="exact"/>
            </w:pPr>
          </w:p>
          <w:p w:rsidR="00C47DE5" w:rsidRDefault="00C47DE5" w:rsidP="005645AC">
            <w:pPr>
              <w:pStyle w:val="Heading2"/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Total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Total no. of units handled by my firm for which ASPs are cancelled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</w:tbl>
    <w:p w:rsidR="00C47DE5" w:rsidRDefault="00C47DE5" w:rsidP="005645AC">
      <w:pPr>
        <w:spacing w:line="360" w:lineRule="auto"/>
      </w:pPr>
    </w:p>
    <w:p w:rsidR="00C47DE5" w:rsidRDefault="00C47DE5" w:rsidP="00C47DE5">
      <w:pPr>
        <w:pStyle w:val="BodyTextIndent"/>
        <w:spacing w:line="280" w:lineRule="exact"/>
        <w:ind w:rightChars="-49" w:right="-118"/>
      </w:pPr>
      <w:r>
        <w:rPr>
          <w:rFonts w:hint="eastAsia"/>
        </w:rPr>
        <w:t>B.</w:t>
      </w:r>
      <w:r>
        <w:rPr>
          <w:rFonts w:hint="eastAsia"/>
        </w:rPr>
        <w:tab/>
      </w:r>
      <w:r>
        <w:rPr>
          <w:rFonts w:hint="eastAsia"/>
          <w:u w:val="single"/>
        </w:rPr>
        <w:t>List of all units in IIA(2)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u w:val="single"/>
        </w:rPr>
        <w:t xml:space="preserve">for which full payment of purchase price </w:t>
      </w:r>
      <w:r>
        <w:rPr>
          <w:u w:val="single"/>
        </w:rPr>
        <w:t xml:space="preserve">is </w:t>
      </w:r>
      <w:r>
        <w:rPr>
          <w:rFonts w:hint="eastAsia"/>
          <w:u w:val="single"/>
        </w:rPr>
        <w:t xml:space="preserve">made in </w:t>
      </w:r>
      <w:r>
        <w:rPr>
          <w:u w:val="single"/>
        </w:rPr>
        <w:t xml:space="preserve">the </w:t>
      </w:r>
      <w:r>
        <w:rPr>
          <w:rFonts w:hint="eastAsia"/>
          <w:u w:val="single"/>
        </w:rPr>
        <w:t>current month</w:t>
      </w:r>
      <w:r w:rsidR="005645AC" w:rsidRPr="005645AC">
        <w:rPr>
          <w:rFonts w:hint="eastAsia"/>
        </w:rPr>
        <w:t xml:space="preserve"> </w:t>
      </w:r>
      <w:r>
        <w:rPr>
          <w:rFonts w:hint="eastAsia"/>
        </w:rPr>
        <w:t>:-</w:t>
      </w:r>
    </w:p>
    <w:p w:rsidR="00C47DE5" w:rsidRDefault="00C47DE5">
      <w:pPr>
        <w:pStyle w:val="BodyTextIndent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C47DE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15" w:type="dxa"/>
              <w:left w:w="72" w:type="dxa"/>
              <w:bottom w:w="115" w:type="dxa"/>
              <w:right w:w="72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  <w:t>Flat</w:t>
            </w:r>
          </w:p>
        </w:tc>
        <w:tc>
          <w:tcPr>
            <w:tcW w:w="3420" w:type="dxa"/>
            <w:tcMar>
              <w:top w:w="115" w:type="dxa"/>
              <w:left w:w="72" w:type="dxa"/>
              <w:bottom w:w="115" w:type="dxa"/>
              <w:right w:w="72" w:type="dxa"/>
            </w:tcMar>
          </w:tcPr>
          <w:p w:rsidR="00C47DE5" w:rsidRDefault="00C47DE5" w:rsidP="005645AC">
            <w:pPr>
              <w:pStyle w:val="Heading2"/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Floor</w:t>
            </w:r>
          </w:p>
        </w:tc>
        <w:tc>
          <w:tcPr>
            <w:tcW w:w="3028" w:type="dxa"/>
            <w:tcMar>
              <w:top w:w="115" w:type="dxa"/>
              <w:left w:w="72" w:type="dxa"/>
              <w:bottom w:w="115" w:type="dxa"/>
              <w:right w:w="72" w:type="dxa"/>
            </w:tcMar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  <w:t>Block</w:t>
            </w:r>
          </w:p>
        </w:tc>
      </w:tr>
      <w:tr w:rsidR="00C47DE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jc w:val="center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pStyle w:val="Heading2"/>
              <w:rPr>
                <w:rFonts w:hint="eastAsia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jc w:val="center"/>
              <w:rPr>
                <w:rFonts w:hint="eastAsia"/>
                <w:u w:val="single"/>
              </w:rPr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jc w:val="center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pStyle w:val="Heading2"/>
              <w:rPr>
                <w:rFonts w:hint="eastAsia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jc w:val="center"/>
              <w:rPr>
                <w:rFonts w:hint="eastAsia"/>
                <w:u w:val="single"/>
              </w:rPr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jc w:val="center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pStyle w:val="Heading2"/>
              <w:rPr>
                <w:rFonts w:hint="eastAsia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jc w:val="center"/>
              <w:rPr>
                <w:rFonts w:hint="eastAsia"/>
                <w:u w:val="single"/>
              </w:rPr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jc w:val="center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pStyle w:val="Heading2"/>
              <w:rPr>
                <w:rFonts w:hint="eastAsia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jc w:val="center"/>
              <w:rPr>
                <w:rFonts w:hint="eastAsia"/>
                <w:u w:val="single"/>
              </w:rPr>
            </w:pPr>
          </w:p>
        </w:tc>
      </w:tr>
      <w:tr w:rsidR="00C47DE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jc w:val="center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pStyle w:val="Heading2"/>
              <w:rPr>
                <w:rFonts w:hint="eastAsia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>
            <w:pPr>
              <w:jc w:val="center"/>
              <w:rPr>
                <w:rFonts w:hint="eastAsia"/>
                <w:u w:val="single"/>
              </w:rPr>
            </w:pPr>
          </w:p>
        </w:tc>
      </w:tr>
    </w:tbl>
    <w:p w:rsidR="005645AC" w:rsidRDefault="005645AC" w:rsidP="005645AC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  <w:rPr>
          <w:rFonts w:hint="eastAsia"/>
        </w:rPr>
      </w:pPr>
    </w:p>
    <w:p w:rsidR="00C47DE5" w:rsidRDefault="00C47DE5" w:rsidP="00C47DE5">
      <w:pPr>
        <w:tabs>
          <w:tab w:val="left" w:pos="540"/>
          <w:tab w:val="left" w:pos="966"/>
          <w:tab w:val="left" w:pos="4500"/>
          <w:tab w:val="left" w:pos="9000"/>
        </w:tabs>
        <w:spacing w:line="280" w:lineRule="exact"/>
        <w:jc w:val="both"/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ab/>
      </w:r>
      <w:r>
        <w:rPr>
          <w:rFonts w:hint="eastAsia"/>
          <w:u w:val="single"/>
        </w:rPr>
        <w:t>List of all units in IIA(3) for which ASPs are cancelled in the current month</w:t>
      </w:r>
      <w:r w:rsidR="005645AC">
        <w:rPr>
          <w:rFonts w:hint="eastAsia"/>
        </w:rPr>
        <w:t xml:space="preserve"> </w:t>
      </w:r>
      <w:r w:rsidR="005645AC" w:rsidRPr="005645AC">
        <w:rPr>
          <w:rFonts w:hint="eastAsia"/>
        </w:rPr>
        <w:t>:-</w:t>
      </w:r>
    </w:p>
    <w:p w:rsidR="00C47DE5" w:rsidRDefault="00C47DE5">
      <w:pPr>
        <w:tabs>
          <w:tab w:val="left" w:pos="540"/>
          <w:tab w:val="left" w:pos="966"/>
          <w:tab w:val="left" w:pos="4500"/>
          <w:tab w:val="left" w:pos="9000"/>
        </w:tabs>
        <w:jc w:val="both"/>
        <w:rPr>
          <w:rFonts w:hint="eastAsia"/>
        </w:rPr>
      </w:pPr>
    </w:p>
    <w:tbl>
      <w:tblPr>
        <w:tblW w:w="9180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3420"/>
      </w:tblGrid>
      <w:tr w:rsidR="00C47DE5"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C47DE5" w:rsidRDefault="00C47DE5" w:rsidP="005645AC">
            <w:pPr>
              <w:spacing w:line="280" w:lineRule="exact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  <w:t>Flat</w:t>
            </w:r>
          </w:p>
        </w:tc>
        <w:tc>
          <w:tcPr>
            <w:tcW w:w="180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  <w:t>Floor</w:t>
            </w:r>
          </w:p>
        </w:tc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  <w:t>Block</w:t>
            </w:r>
          </w:p>
        </w:tc>
        <w:tc>
          <w:tcPr>
            <w:tcW w:w="342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>Percent of purchase price forfeited</w:t>
            </w:r>
          </w:p>
        </w:tc>
      </w:tr>
      <w:tr w:rsidR="00C47DE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C47DE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C47DE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C47DE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C47DE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C47DE5" w:rsidRDefault="00C47DE5" w:rsidP="005645AC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</w:tbl>
    <w:p w:rsidR="00C47DE5" w:rsidRDefault="00C47DE5" w:rsidP="005645AC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rPr>
          <w:u w:val="dotted"/>
        </w:rPr>
        <w:tab/>
      </w:r>
      <w:r>
        <w:rPr>
          <w:rFonts w:hint="eastAsia"/>
        </w:rPr>
        <w:t xml:space="preserve">, a partner in the firm of </w:t>
      </w:r>
      <w:r>
        <w:rPr>
          <w:u w:val="dotted"/>
        </w:rPr>
        <w:tab/>
      </w:r>
      <w:r>
        <w:rPr>
          <w:rFonts w:hint="eastAsia"/>
          <w:u w:val="dotted"/>
        </w:rPr>
        <w:tab/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has been instructed by the </w:t>
      </w:r>
      <w:r>
        <w:t>Developer</w:t>
      </w:r>
      <w:r>
        <w:rPr>
          <w:rFonts w:hint="eastAsia"/>
        </w:rPr>
        <w:t xml:space="preserve"> to act in connection with the sale of units now in the course of construction on the above-mentioned property, do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:rsidR="00C47DE5" w:rsidRDefault="00C47DE5">
      <w:pPr>
        <w:tabs>
          <w:tab w:val="left" w:pos="966"/>
          <w:tab w:val="left" w:pos="4500"/>
          <w:tab w:val="left" w:pos="9000"/>
        </w:tabs>
        <w:jc w:val="both"/>
      </w:pPr>
    </w:p>
    <w:p w:rsidR="00C47DE5" w:rsidRDefault="00C47DE5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t xml:space="preserve">Dated this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:rsidR="005645AC" w:rsidRDefault="00C47DE5">
      <w:pPr>
        <w:tabs>
          <w:tab w:val="center" w:pos="6840"/>
        </w:tabs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5645AC" w:rsidRDefault="005645AC">
      <w:pPr>
        <w:tabs>
          <w:tab w:val="center" w:pos="6840"/>
        </w:tabs>
        <w:jc w:val="both"/>
        <w:rPr>
          <w:rFonts w:hint="eastAsia"/>
        </w:rPr>
      </w:pPr>
    </w:p>
    <w:p w:rsidR="005645AC" w:rsidRDefault="005645AC">
      <w:pPr>
        <w:tabs>
          <w:tab w:val="center" w:pos="6840"/>
        </w:tabs>
        <w:jc w:val="both"/>
        <w:rPr>
          <w:rFonts w:hint="eastAsia"/>
        </w:rPr>
      </w:pPr>
    </w:p>
    <w:p w:rsidR="005645AC" w:rsidRDefault="005645AC">
      <w:pPr>
        <w:tabs>
          <w:tab w:val="center" w:pos="6840"/>
        </w:tabs>
        <w:jc w:val="both"/>
        <w:rPr>
          <w:rFonts w:hint="eastAsia"/>
        </w:rPr>
      </w:pPr>
    </w:p>
    <w:p w:rsidR="00C47DE5" w:rsidRDefault="00C47DE5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u w:val="dotted"/>
        </w:rPr>
        <w:t>(    Name    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</w:t>
      </w:r>
    </w:p>
    <w:p w:rsidR="005645AC" w:rsidRDefault="005645AC">
      <w:pPr>
        <w:jc w:val="both"/>
        <w:rPr>
          <w:rFonts w:hint="eastAsia"/>
          <w:b/>
          <w:bCs/>
        </w:rPr>
      </w:pPr>
    </w:p>
    <w:p w:rsidR="005645AC" w:rsidRDefault="005645AC">
      <w:pPr>
        <w:jc w:val="both"/>
        <w:rPr>
          <w:rFonts w:hint="eastAsia"/>
          <w:b/>
          <w:bCs/>
        </w:rPr>
      </w:pPr>
    </w:p>
    <w:p w:rsidR="00C47DE5" w:rsidRDefault="00C47DE5">
      <w:pPr>
        <w:jc w:val="both"/>
        <w:rPr>
          <w:rFonts w:hint="eastAsia"/>
        </w:rPr>
      </w:pPr>
      <w:r>
        <w:rPr>
          <w:rFonts w:hint="eastAsia"/>
          <w:b/>
          <w:bCs/>
        </w:rPr>
        <w:t xml:space="preserve">*Delete if inapplicable </w:t>
      </w:r>
    </w:p>
    <w:sectPr w:rsidR="00C47DE5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30AF" w:rsidRDefault="000230AF">
      <w:r>
        <w:separator/>
      </w:r>
    </w:p>
  </w:endnote>
  <w:endnote w:type="continuationSeparator" w:id="0">
    <w:p w:rsidR="000230AF" w:rsidRDefault="0002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7DE5" w:rsidRDefault="00C47D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47DE5" w:rsidRDefault="00C47D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7DE5" w:rsidRDefault="00C47DE5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C47DE5" w:rsidRDefault="00C47DE5">
    <w:pPr>
      <w:pStyle w:val="Footer"/>
      <w:wordWrap w:val="0"/>
      <w:jc w:val="right"/>
      <w:rPr>
        <w:rFonts w:hint="eastAsia"/>
      </w:rPr>
    </w:pPr>
    <w:r>
      <w:rPr>
        <w:rFonts w:hint="eastAsia"/>
      </w:rPr>
      <w:t>As at 1.9.2010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7DE5" w:rsidRDefault="00C47DE5">
    <w:pPr>
      <w:pStyle w:val="Footer"/>
      <w:tabs>
        <w:tab w:val="clear" w:pos="8306"/>
      </w:tabs>
      <w:wordWrap w:val="0"/>
      <w:jc w:val="right"/>
      <w:rPr>
        <w:rFonts w:hint="eastAsia"/>
      </w:rPr>
    </w:pPr>
    <w:r>
      <w:rPr>
        <w:rFonts w:hint="eastAsia"/>
      </w:rPr>
      <w:t>As at 1.9.2010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30AF" w:rsidRDefault="000230AF">
      <w:r>
        <w:separator/>
      </w:r>
    </w:p>
  </w:footnote>
  <w:footnote w:type="continuationSeparator" w:id="0">
    <w:p w:rsidR="000230AF" w:rsidRDefault="00023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7DE5" w:rsidRDefault="00C47DE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47DE5" w:rsidRDefault="00C47D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7DE5" w:rsidRDefault="00C47DE5">
    <w:pPr>
      <w:pStyle w:val="Header"/>
      <w:jc w:val="center"/>
      <w:rPr>
        <w:rFonts w:hint="eastAsia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215041882">
    <w:abstractNumId w:val="3"/>
  </w:num>
  <w:num w:numId="2" w16cid:durableId="1388065687">
    <w:abstractNumId w:val="1"/>
  </w:num>
  <w:num w:numId="3" w16cid:durableId="1545942299">
    <w:abstractNumId w:val="0"/>
  </w:num>
  <w:num w:numId="4" w16cid:durableId="2080134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45AC"/>
    <w:rsid w:val="000230AF"/>
    <w:rsid w:val="00042417"/>
    <w:rsid w:val="005645AC"/>
    <w:rsid w:val="00C4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1E9EF-010D-4108-B199-5704BAE0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  <w:sz w:val="28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ind w:left="540" w:hangingChars="225" w:hanging="540"/>
      <w:jc w:val="both"/>
    </w:pPr>
  </w:style>
  <w:style w:type="paragraph" w:styleId="BodyTextIndent3">
    <w:name w:val="Body Text Indent 3"/>
    <w:basedOn w:val="Normal"/>
    <w:pPr>
      <w:spacing w:line="280" w:lineRule="exact"/>
      <w:ind w:leftChars="50" w:left="837" w:hangingChars="326" w:hanging="717"/>
      <w:jc w:val="both"/>
    </w:pPr>
    <w:rPr>
      <w:sz w:val="22"/>
    </w:rPr>
  </w:style>
  <w:style w:type="paragraph" w:styleId="FootnoteText">
    <w:name w:val="footnote text"/>
    <w:basedOn w:val="Normal"/>
    <w:semiHidden/>
    <w:pPr>
      <w:snapToGrid w:val="0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  <w:pPr>
      <w:snapToGrid w:val="0"/>
    </w:pPr>
  </w:style>
  <w:style w:type="character" w:styleId="EndnoteReference">
    <w:name w:val="endnote reference"/>
    <w:basedOn w:val="DefaultParagraphFont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2503</Characters>
  <Application>Microsoft Office Word</Application>
  <DocSecurity>0</DocSecurity>
  <Lines>20</Lines>
  <Paragraphs>5</Paragraphs>
  <ScaleCrop>false</ScaleCrop>
  <Company>The Government of HKSARG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</dc:title>
  <dc:subject/>
  <dc:creator>Chan Stella</dc:creator>
  <cp:keywords/>
  <dc:description/>
  <cp:lastModifiedBy>Rico Kwok</cp:lastModifiedBy>
  <cp:revision>2</cp:revision>
  <cp:lastPrinted>2010-09-01T07:15:00Z</cp:lastPrinted>
  <dcterms:created xsi:type="dcterms:W3CDTF">2026-10-02T17:17:00Z</dcterms:created>
  <dcterms:modified xsi:type="dcterms:W3CDTF">2026-10-02T17:17:00Z</dcterms:modified>
</cp:coreProperties>
</file>