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C554" w14:textId="77777777" w:rsidR="00982220" w:rsidRDefault="00982220">
      <w:pPr>
        <w:pBdr>
          <w:top w:val="single" w:sz="30" w:space="1" w:color="auto"/>
        </w:pBdr>
      </w:pPr>
    </w:p>
    <w:p w14:paraId="0E970E8C" w14:textId="77777777" w:rsidR="00982220" w:rsidRDefault="00982220">
      <w:pPr>
        <w:pBdr>
          <w:top w:val="single" w:sz="30" w:space="1" w:color="auto"/>
        </w:pBdr>
      </w:pPr>
      <w:r>
        <w:rPr>
          <w:rFonts w:ascii="Times New Roman"/>
          <w:noProof/>
          <w:sz w:val="20"/>
        </w:rPr>
        <w:pict w14:anchorId="79830B9C">
          <v:rect id="_x0000_s1026" style="position:absolute;margin-left:111.05pt;margin-top:6.1pt;width:63.05pt;height:59.45pt;z-index:-251658752;mso-position-horizontal-relative:page;mso-position-vertical-relative:text" o:allowincell="f" filled="f" stroked="f" strokeweight="0">
            <v:textbox inset="0,0,0,0">
              <w:txbxContent>
                <w:p w14:paraId="245D6502" w14:textId="77777777" w:rsidR="00982220" w:rsidRDefault="00982220">
                  <w:pPr>
                    <w:tabs>
                      <w:tab w:val="left" w:pos="-720"/>
                    </w:tabs>
                    <w:suppressAutoHyphens/>
                    <w:jc w:val="center"/>
                    <w:rPr>
                      <w:sz w:val="2"/>
                    </w:rPr>
                  </w:pPr>
                  <w:r>
                    <w:rPr>
                      <w:color w:val="00FF00"/>
                      <w:sz w:val="20"/>
                    </w:rPr>
                    <w:pict w14:anchorId="26630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59.15pt">
                        <v:imagedata r:id="rId4" o:title=""/>
                      </v:shape>
                    </w:pict>
                  </w:r>
                </w:p>
              </w:txbxContent>
            </v:textbox>
            <w10:wrap anchorx="page"/>
          </v:rect>
        </w:pict>
      </w:r>
      <w:r>
        <w:tab/>
      </w:r>
      <w:r>
        <w:tab/>
      </w:r>
      <w:r>
        <w:tab/>
      </w:r>
      <w:r>
        <w:rPr>
          <w:rFonts w:ascii="Times New Roman"/>
          <w:b/>
          <w:sz w:val="26"/>
        </w:rPr>
        <w:t>Lands Administration Office</w:t>
      </w:r>
    </w:p>
    <w:p w14:paraId="5415BAF8" w14:textId="77777777" w:rsidR="00982220" w:rsidRDefault="00982220">
      <w:pPr>
        <w:pBdr>
          <w:top w:val="single" w:sz="30" w:space="1" w:color="auto"/>
        </w:pBdr>
        <w:rPr>
          <w:b/>
        </w:rPr>
      </w:pPr>
      <w:r>
        <w:tab/>
      </w:r>
      <w:r>
        <w:tab/>
      </w:r>
      <w:r>
        <w:tab/>
      </w:r>
      <w:r>
        <w:rPr>
          <w:rFonts w:ascii="Times New Roman"/>
          <w:b/>
          <w:sz w:val="28"/>
        </w:rPr>
        <w:t>Lands Department</w:t>
      </w:r>
    </w:p>
    <w:p w14:paraId="60B29914" w14:textId="77777777" w:rsidR="00982220" w:rsidRDefault="00982220"/>
    <w:p w14:paraId="3EA77E11" w14:textId="77777777" w:rsidR="00982220" w:rsidRDefault="00982220">
      <w:pPr>
        <w:ind w:left="2160" w:hanging="2160"/>
        <w:rPr>
          <w:b/>
        </w:rPr>
      </w:pPr>
      <w:r>
        <w:rPr>
          <w:b/>
        </w:rPr>
        <w:tab/>
      </w:r>
      <w:r>
        <w:rPr>
          <w:rFonts w:ascii="Times New Roman"/>
          <w:b/>
          <w:sz w:val="26"/>
        </w:rPr>
        <w:t>Practice Note</w:t>
      </w:r>
    </w:p>
    <w:p w14:paraId="3A9C17EF" w14:textId="77777777" w:rsidR="00982220" w:rsidRDefault="00982220">
      <w:pPr>
        <w:tabs>
          <w:tab w:val="right" w:pos="7920"/>
        </w:tabs>
        <w:ind w:left="2160" w:hanging="2160"/>
        <w:rPr>
          <w:rFonts w:ascii="Times New Roman"/>
          <w:b/>
        </w:rPr>
      </w:pPr>
      <w:r>
        <w:rPr>
          <w:b/>
        </w:rPr>
        <w:tab/>
      </w:r>
      <w:r>
        <w:rPr>
          <w:b/>
        </w:rPr>
        <w:tab/>
      </w:r>
      <w:r>
        <w:rPr>
          <w:rFonts w:ascii="Times New Roman"/>
          <w:b/>
        </w:rPr>
        <w:t>Issue No. 3/2000</w:t>
      </w:r>
    </w:p>
    <w:p w14:paraId="114F09CA" w14:textId="77777777" w:rsidR="00982220" w:rsidRDefault="00982220">
      <w:pPr>
        <w:pBdr>
          <w:bottom w:val="single" w:sz="30" w:space="1" w:color="auto"/>
        </w:pBdr>
      </w:pPr>
    </w:p>
    <w:p w14:paraId="20373552" w14:textId="77777777" w:rsidR="00982220" w:rsidRDefault="00982220">
      <w:pPr>
        <w:jc w:val="center"/>
        <w:rPr>
          <w:b/>
          <w:sz w:val="26"/>
          <w:u w:val="single"/>
        </w:rPr>
      </w:pPr>
    </w:p>
    <w:p w14:paraId="01054157" w14:textId="77777777" w:rsidR="00982220" w:rsidRDefault="00982220">
      <w:pPr>
        <w:jc w:val="center"/>
        <w:rPr>
          <w:rFonts w:ascii="Times New Roman"/>
          <w:b/>
          <w:sz w:val="26"/>
          <w:u w:val="single"/>
        </w:rPr>
      </w:pPr>
      <w:r>
        <w:rPr>
          <w:rFonts w:ascii="Times New Roman"/>
          <w:b/>
          <w:sz w:val="26"/>
          <w:u w:val="single"/>
        </w:rPr>
        <w:t>Number of Houses Restrictions under Government Leases</w:t>
      </w:r>
    </w:p>
    <w:p w14:paraId="41A86313" w14:textId="77777777" w:rsidR="00982220" w:rsidRDefault="00982220">
      <w:pPr>
        <w:spacing w:line="360" w:lineRule="auto"/>
        <w:jc w:val="center"/>
        <w:rPr>
          <w:b/>
          <w:sz w:val="26"/>
          <w:u w:val="single"/>
        </w:rPr>
      </w:pPr>
    </w:p>
    <w:p w14:paraId="73ED99C8" w14:textId="77777777" w:rsidR="00982220" w:rsidRDefault="00982220">
      <w:pPr>
        <w:pStyle w:val="BodyText"/>
        <w:rPr>
          <w:rFonts w:ascii="Times New Roman"/>
          <w:sz w:val="22"/>
        </w:rPr>
      </w:pPr>
      <w:r>
        <w:rPr>
          <w:sz w:val="22"/>
        </w:rPr>
        <w:tab/>
      </w:r>
      <w:r>
        <w:rPr>
          <w:rFonts w:ascii="Times New Roman"/>
          <w:sz w:val="22"/>
        </w:rPr>
        <w:t>This practice note is issued to assist the concerned parties in preparing building plan submissions for develo</w:t>
      </w:r>
      <w:r>
        <w:rPr>
          <w:rFonts w:ascii="Times New Roman"/>
          <w:sz w:val="22"/>
        </w:rPr>
        <w:t>pments which are subject to a restriction in the government lease or land grant on the number of houses which may be erected on the affected land.</w:t>
      </w:r>
    </w:p>
    <w:p w14:paraId="7D3176B4" w14:textId="77777777" w:rsidR="00982220" w:rsidRDefault="00982220">
      <w:pPr>
        <w:tabs>
          <w:tab w:val="left" w:pos="1440"/>
        </w:tabs>
        <w:jc w:val="both"/>
        <w:rPr>
          <w:sz w:val="22"/>
        </w:rPr>
      </w:pPr>
    </w:p>
    <w:p w14:paraId="6DA3CAB4" w14:textId="77777777" w:rsidR="00982220" w:rsidRDefault="00982220">
      <w:pPr>
        <w:tabs>
          <w:tab w:val="left" w:pos="1440"/>
        </w:tabs>
        <w:jc w:val="both"/>
        <w:rPr>
          <w:rFonts w:ascii="Times New Roman"/>
          <w:sz w:val="22"/>
        </w:rPr>
      </w:pPr>
      <w:r>
        <w:rPr>
          <w:sz w:val="22"/>
        </w:rPr>
        <w:tab/>
      </w:r>
      <w:r>
        <w:rPr>
          <w:rFonts w:ascii="Times New Roman"/>
          <w:sz w:val="22"/>
        </w:rPr>
        <w:t>I will henceforth accept that a building with one main entrance and one secondary entrance, together with such means of escape (MoE) as may be required under the Buildings Ordinance to serve the buildings (providing such MoE are designed and constructed to be for exit purposes only and are openable only from the inside) is one house.</w:t>
      </w:r>
    </w:p>
    <w:p w14:paraId="3FA44A36" w14:textId="77777777" w:rsidR="00982220" w:rsidRDefault="00982220">
      <w:pPr>
        <w:tabs>
          <w:tab w:val="left" w:pos="1440"/>
        </w:tabs>
        <w:jc w:val="both"/>
        <w:rPr>
          <w:rFonts w:ascii="Times New Roman"/>
          <w:sz w:val="22"/>
        </w:rPr>
      </w:pPr>
    </w:p>
    <w:p w14:paraId="1CBFC5F9" w14:textId="77777777" w:rsidR="00982220" w:rsidRDefault="00982220">
      <w:pPr>
        <w:tabs>
          <w:tab w:val="left" w:pos="1440"/>
        </w:tabs>
        <w:jc w:val="both"/>
        <w:rPr>
          <w:rFonts w:ascii="Times New Roman"/>
          <w:sz w:val="22"/>
        </w:rPr>
      </w:pPr>
      <w:r>
        <w:rPr>
          <w:rFonts w:ascii="Times New Roman"/>
          <w:sz w:val="22"/>
        </w:rPr>
        <w:tab/>
        <w:t>For the avoidance of doub</w:t>
      </w:r>
      <w:r>
        <w:rPr>
          <w:rFonts w:ascii="Times New Roman"/>
          <w:sz w:val="22"/>
        </w:rPr>
        <w:t xml:space="preserve">t, a multi-storey residential/commercial development with shops on the ground floor, each shop having its own separate access to and from the street, would not comply with the definition of </w:t>
      </w:r>
      <w:r>
        <w:rPr>
          <w:sz w:val="22"/>
        </w:rPr>
        <w:t>?</w:t>
      </w:r>
      <w:r>
        <w:rPr>
          <w:rFonts w:ascii="Times New Roman"/>
          <w:sz w:val="22"/>
        </w:rPr>
        <w:t>one house</w:t>
      </w:r>
      <w:r>
        <w:rPr>
          <w:sz w:val="22"/>
        </w:rPr>
        <w:t>?</w:t>
      </w:r>
      <w:r>
        <w:rPr>
          <w:rFonts w:ascii="Times New Roman"/>
          <w:sz w:val="22"/>
        </w:rPr>
        <w:t xml:space="preserve"> nor would a terrace of town houses each with its own separate access.  A joint development, having the characteristics of one house but constructed over two lots, the leases of which each contain a clause that the owner </w:t>
      </w:r>
      <w:r>
        <w:rPr>
          <w:sz w:val="22"/>
        </w:rPr>
        <w:t>?</w:t>
      </w:r>
      <w:r>
        <w:rPr>
          <w:rFonts w:ascii="Times New Roman"/>
          <w:sz w:val="22"/>
        </w:rPr>
        <w:t>shall not erect other than one house</w:t>
      </w:r>
      <w:r>
        <w:rPr>
          <w:sz w:val="22"/>
        </w:rPr>
        <w:t>?</w:t>
      </w:r>
      <w:r>
        <w:rPr>
          <w:rFonts w:ascii="Times New Roman"/>
          <w:sz w:val="22"/>
        </w:rPr>
        <w:t>, will not be permitted.  It should also be noted th</w:t>
      </w:r>
      <w:r>
        <w:rPr>
          <w:rFonts w:ascii="Times New Roman"/>
          <w:sz w:val="22"/>
        </w:rPr>
        <w:t xml:space="preserve">at free-standing outbuildings are also </w:t>
      </w:r>
      <w:r>
        <w:rPr>
          <w:sz w:val="22"/>
        </w:rPr>
        <w:t>?</w:t>
      </w:r>
      <w:r>
        <w:rPr>
          <w:rFonts w:ascii="Times New Roman"/>
          <w:sz w:val="22"/>
        </w:rPr>
        <w:t>houses</w:t>
      </w:r>
      <w:r>
        <w:rPr>
          <w:sz w:val="22"/>
        </w:rPr>
        <w:t>?</w:t>
      </w:r>
      <w:r>
        <w:rPr>
          <w:rFonts w:ascii="Times New Roman"/>
          <w:sz w:val="22"/>
        </w:rPr>
        <w:t xml:space="preserve">.  Thus a proposed development on a lot with a </w:t>
      </w:r>
      <w:r>
        <w:rPr>
          <w:sz w:val="22"/>
        </w:rPr>
        <w:t>?</w:t>
      </w:r>
      <w:r>
        <w:rPr>
          <w:rFonts w:ascii="Times New Roman"/>
          <w:sz w:val="22"/>
        </w:rPr>
        <w:t>one house</w:t>
      </w:r>
      <w:r>
        <w:rPr>
          <w:sz w:val="22"/>
        </w:rPr>
        <w:t>?</w:t>
      </w:r>
      <w:r>
        <w:rPr>
          <w:rFonts w:ascii="Times New Roman"/>
          <w:sz w:val="22"/>
        </w:rPr>
        <w:t xml:space="preserve"> restriction comprising a building meeting the criteria set out in paragraph 2 above but with, for example, a free-standing guardhouse or E&amp;M room, would breach the one house restriction.</w:t>
      </w:r>
    </w:p>
    <w:p w14:paraId="041A9875" w14:textId="77777777" w:rsidR="00982220" w:rsidRDefault="00982220">
      <w:pPr>
        <w:tabs>
          <w:tab w:val="left" w:pos="1440"/>
        </w:tabs>
        <w:jc w:val="both"/>
        <w:rPr>
          <w:rFonts w:ascii="Times New Roman"/>
          <w:sz w:val="22"/>
        </w:rPr>
      </w:pPr>
    </w:p>
    <w:p w14:paraId="0B57806C" w14:textId="77777777" w:rsidR="00982220" w:rsidRDefault="00982220">
      <w:pPr>
        <w:pStyle w:val="BodyText"/>
        <w:tabs>
          <w:tab w:val="left" w:pos="840"/>
        </w:tabs>
        <w:ind w:left="840" w:hanging="840"/>
        <w:rPr>
          <w:rFonts w:ascii="Times New Roman"/>
          <w:sz w:val="22"/>
        </w:rPr>
      </w:pPr>
      <w:r>
        <w:rPr>
          <w:rFonts w:ascii="Times New Roman"/>
          <w:sz w:val="22"/>
          <w:u w:val="single"/>
        </w:rPr>
        <w:t>N.B.</w:t>
      </w:r>
      <w:r>
        <w:rPr>
          <w:sz w:val="22"/>
        </w:rPr>
        <w:tab/>
      </w:r>
      <w:r>
        <w:rPr>
          <w:rFonts w:ascii="Times New Roman"/>
          <w:sz w:val="22"/>
        </w:rPr>
        <w:t xml:space="preserve">The above is applicable only to those lots where the lease conditions refer to </w:t>
      </w:r>
      <w:r>
        <w:rPr>
          <w:sz w:val="22"/>
        </w:rPr>
        <w:t>?</w:t>
      </w:r>
      <w:r>
        <w:rPr>
          <w:rFonts w:ascii="Times New Roman"/>
          <w:sz w:val="22"/>
        </w:rPr>
        <w:t>house</w:t>
      </w:r>
      <w:r>
        <w:rPr>
          <w:sz w:val="22"/>
        </w:rPr>
        <w:t>?</w:t>
      </w:r>
      <w:r>
        <w:rPr>
          <w:rFonts w:ascii="Times New Roman"/>
          <w:sz w:val="22"/>
        </w:rPr>
        <w:t xml:space="preserve"> or </w:t>
      </w:r>
      <w:r>
        <w:rPr>
          <w:sz w:val="22"/>
        </w:rPr>
        <w:t>?</w:t>
      </w:r>
      <w:r>
        <w:rPr>
          <w:rFonts w:ascii="Times New Roman"/>
          <w:sz w:val="22"/>
        </w:rPr>
        <w:t>houses</w:t>
      </w:r>
      <w:r>
        <w:rPr>
          <w:sz w:val="22"/>
        </w:rPr>
        <w:t>?</w:t>
      </w:r>
      <w:r>
        <w:rPr>
          <w:rFonts w:ascii="Times New Roman"/>
          <w:sz w:val="22"/>
        </w:rPr>
        <w:t xml:space="preserve"> without qualification.  The following summarises my interpretation of common qualifications:-</w:t>
      </w:r>
    </w:p>
    <w:p w14:paraId="36E66063" w14:textId="77777777" w:rsidR="00982220" w:rsidRDefault="00982220">
      <w:pPr>
        <w:tabs>
          <w:tab w:val="left" w:pos="840"/>
          <w:tab w:val="left" w:pos="1440"/>
        </w:tabs>
        <w:jc w:val="both"/>
        <w:rPr>
          <w:sz w:val="22"/>
        </w:rPr>
      </w:pPr>
    </w:p>
    <w:p w14:paraId="3F0C95CC" w14:textId="77777777" w:rsidR="00982220" w:rsidRDefault="00982220">
      <w:pPr>
        <w:pStyle w:val="BodyText2"/>
        <w:tabs>
          <w:tab w:val="clear" w:pos="1080"/>
          <w:tab w:val="clear" w:pos="1440"/>
          <w:tab w:val="left" w:pos="3360"/>
        </w:tabs>
        <w:rPr>
          <w:rFonts w:ascii="Times New Roman"/>
          <w:sz w:val="22"/>
        </w:rPr>
      </w:pPr>
      <w:r>
        <w:rPr>
          <w:rFonts w:ascii="Times New Roman"/>
          <w:sz w:val="22"/>
        </w:rPr>
        <w:t>Dwelling House</w:t>
      </w:r>
      <w:r>
        <w:rPr>
          <w:rFonts w:ascii="Times New Roman"/>
          <w:sz w:val="22"/>
        </w:rPr>
        <w:tab/>
        <w:t>:</w:t>
      </w:r>
      <w:r>
        <w:rPr>
          <w:rFonts w:ascii="Times New Roman"/>
          <w:sz w:val="22"/>
        </w:rPr>
        <w:tab/>
        <w:t>Re</w:t>
      </w:r>
      <w:r>
        <w:rPr>
          <w:rFonts w:ascii="Times New Roman"/>
          <w:sz w:val="22"/>
        </w:rPr>
        <w:t xml:space="preserve">stricts user to residential purposes.  Residential flats within a building meeting the </w:t>
      </w:r>
      <w:r>
        <w:rPr>
          <w:sz w:val="22"/>
        </w:rPr>
        <w:t>?</w:t>
      </w:r>
      <w:r>
        <w:rPr>
          <w:rFonts w:ascii="Times New Roman"/>
          <w:sz w:val="22"/>
        </w:rPr>
        <w:t>house</w:t>
      </w:r>
      <w:r>
        <w:rPr>
          <w:sz w:val="22"/>
        </w:rPr>
        <w:t>?</w:t>
      </w:r>
      <w:r>
        <w:rPr>
          <w:rFonts w:ascii="Times New Roman"/>
          <w:sz w:val="22"/>
        </w:rPr>
        <w:t xml:space="preserve"> criteria are acceptable.</w:t>
      </w:r>
    </w:p>
    <w:p w14:paraId="60DB9929" w14:textId="77777777" w:rsidR="00982220" w:rsidRDefault="00982220">
      <w:pPr>
        <w:pStyle w:val="BodyText2"/>
        <w:tabs>
          <w:tab w:val="clear" w:pos="1080"/>
          <w:tab w:val="clear" w:pos="1440"/>
          <w:tab w:val="left" w:pos="3360"/>
        </w:tabs>
        <w:rPr>
          <w:rFonts w:ascii="Times New Roman"/>
          <w:sz w:val="22"/>
        </w:rPr>
      </w:pPr>
    </w:p>
    <w:p w14:paraId="638FA2DE" w14:textId="77777777" w:rsidR="00982220" w:rsidRDefault="00982220">
      <w:pPr>
        <w:pStyle w:val="BodyText2"/>
        <w:tabs>
          <w:tab w:val="clear" w:pos="1080"/>
          <w:tab w:val="clear" w:pos="1440"/>
          <w:tab w:val="left" w:pos="3360"/>
        </w:tabs>
        <w:rPr>
          <w:rFonts w:ascii="Times New Roman"/>
          <w:sz w:val="22"/>
        </w:rPr>
      </w:pPr>
      <w:r>
        <w:rPr>
          <w:rFonts w:ascii="Times New Roman"/>
          <w:sz w:val="22"/>
        </w:rPr>
        <w:t>Private Dwelling House</w:t>
      </w:r>
      <w:r>
        <w:rPr>
          <w:rFonts w:ascii="Times New Roman"/>
          <w:sz w:val="22"/>
        </w:rPr>
        <w:tab/>
        <w:t>:</w:t>
      </w:r>
      <w:r>
        <w:rPr>
          <w:rFonts w:ascii="Times New Roman"/>
          <w:sz w:val="22"/>
        </w:rPr>
        <w:tab/>
        <w:t>A house designed and constructed to be occupied as a single residential unit.</w:t>
      </w:r>
    </w:p>
    <w:p w14:paraId="18680AD9" w14:textId="77777777" w:rsidR="00982220" w:rsidRDefault="00982220">
      <w:pPr>
        <w:pStyle w:val="BodyText2"/>
        <w:tabs>
          <w:tab w:val="clear" w:pos="1080"/>
          <w:tab w:val="clear" w:pos="1440"/>
          <w:tab w:val="left" w:pos="3360"/>
        </w:tabs>
        <w:rPr>
          <w:rFonts w:ascii="Times New Roman"/>
          <w:sz w:val="22"/>
        </w:rPr>
      </w:pPr>
    </w:p>
    <w:p w14:paraId="6A74E565" w14:textId="77777777" w:rsidR="00982220" w:rsidRDefault="00982220">
      <w:pPr>
        <w:pStyle w:val="BodyText2"/>
        <w:tabs>
          <w:tab w:val="clear" w:pos="1080"/>
          <w:tab w:val="clear" w:pos="1440"/>
          <w:tab w:val="left" w:pos="3360"/>
        </w:tabs>
        <w:rPr>
          <w:rFonts w:ascii="Times New Roman"/>
          <w:sz w:val="22"/>
        </w:rPr>
      </w:pPr>
      <w:r>
        <w:rPr>
          <w:rFonts w:ascii="Times New Roman"/>
          <w:sz w:val="22"/>
        </w:rPr>
        <w:t>European House</w:t>
      </w:r>
      <w:r>
        <w:rPr>
          <w:rFonts w:ascii="Times New Roman"/>
          <w:sz w:val="22"/>
        </w:rPr>
        <w:tab/>
        <w:t>:</w:t>
      </w:r>
      <w:r>
        <w:rPr>
          <w:rFonts w:ascii="Times New Roman"/>
          <w:sz w:val="22"/>
        </w:rPr>
        <w:tab/>
        <w:t xml:space="preserve">Same criteria as </w:t>
      </w:r>
      <w:r>
        <w:rPr>
          <w:sz w:val="22"/>
        </w:rPr>
        <w:t>?</w:t>
      </w:r>
      <w:r>
        <w:rPr>
          <w:rFonts w:ascii="Times New Roman"/>
          <w:sz w:val="22"/>
        </w:rPr>
        <w:t>house</w:t>
      </w:r>
      <w:r>
        <w:rPr>
          <w:sz w:val="22"/>
        </w:rPr>
        <w:t>?</w:t>
      </w:r>
      <w:r>
        <w:rPr>
          <w:rFonts w:ascii="Times New Roman"/>
          <w:sz w:val="22"/>
        </w:rPr>
        <w:t>.</w:t>
      </w:r>
    </w:p>
    <w:p w14:paraId="2191473C" w14:textId="77777777" w:rsidR="00982220" w:rsidRDefault="00982220">
      <w:pPr>
        <w:tabs>
          <w:tab w:val="left" w:pos="1440"/>
        </w:tabs>
        <w:jc w:val="both"/>
        <w:rPr>
          <w:sz w:val="22"/>
        </w:rPr>
      </w:pPr>
    </w:p>
    <w:p w14:paraId="5D667FB8" w14:textId="77777777" w:rsidR="00982220" w:rsidRDefault="00982220">
      <w:pPr>
        <w:pStyle w:val="BodyTextIndent2"/>
        <w:rPr>
          <w:rFonts w:ascii="Times New Roman"/>
          <w:sz w:val="22"/>
        </w:rPr>
      </w:pPr>
      <w:r>
        <w:rPr>
          <w:rFonts w:ascii="Times New Roman"/>
          <w:sz w:val="22"/>
        </w:rPr>
        <w:t>It should be noted that the interpretations given above are as a guide only.  Lease conditions might vary from one case to another and it is necessary to consider each case on its own merits, and in the context of the lease conditions as a who</w:t>
      </w:r>
      <w:r>
        <w:rPr>
          <w:rFonts w:ascii="Times New Roman"/>
          <w:sz w:val="22"/>
        </w:rPr>
        <w:t>le.</w:t>
      </w:r>
    </w:p>
    <w:p w14:paraId="403E9527" w14:textId="77777777" w:rsidR="00982220" w:rsidRDefault="00982220">
      <w:pPr>
        <w:pStyle w:val="BodyTextIndent2"/>
        <w:rPr>
          <w:rFonts w:ascii="Times New Roman"/>
          <w:sz w:val="22"/>
        </w:rPr>
      </w:pPr>
    </w:p>
    <w:p w14:paraId="3BECD4CE" w14:textId="77777777" w:rsidR="00982220" w:rsidRDefault="00982220">
      <w:pPr>
        <w:pStyle w:val="BodyTextIndent2"/>
        <w:rPr>
          <w:rFonts w:ascii="Times New Roman"/>
          <w:sz w:val="22"/>
        </w:rPr>
      </w:pPr>
    </w:p>
    <w:p w14:paraId="07ACC24C" w14:textId="77777777" w:rsidR="00982220" w:rsidRDefault="00982220">
      <w:pPr>
        <w:pStyle w:val="BodyTextIndent2"/>
        <w:rPr>
          <w:rFonts w:ascii="Times New Roman"/>
          <w:sz w:val="22"/>
        </w:rPr>
      </w:pPr>
    </w:p>
    <w:p w14:paraId="09A6A0D3" w14:textId="77777777" w:rsidR="00982220" w:rsidRDefault="00982220">
      <w:pPr>
        <w:tabs>
          <w:tab w:val="center" w:pos="6300"/>
        </w:tabs>
        <w:ind w:left="6120"/>
        <w:jc w:val="center"/>
        <w:rPr>
          <w:rFonts w:ascii="Times New Roman"/>
          <w:i/>
          <w:sz w:val="22"/>
        </w:rPr>
      </w:pPr>
      <w:r>
        <w:rPr>
          <w:rFonts w:ascii="Times New Roman"/>
          <w:i/>
          <w:sz w:val="22"/>
        </w:rPr>
        <w:t>(R.D. Pope)</w:t>
      </w:r>
    </w:p>
    <w:p w14:paraId="58746F81" w14:textId="77777777" w:rsidR="00982220" w:rsidRDefault="00982220">
      <w:pPr>
        <w:tabs>
          <w:tab w:val="center" w:pos="6300"/>
        </w:tabs>
        <w:ind w:left="6120"/>
        <w:jc w:val="center"/>
        <w:rPr>
          <w:rFonts w:ascii="Times New Roman"/>
          <w:i/>
          <w:sz w:val="22"/>
        </w:rPr>
      </w:pPr>
      <w:r>
        <w:rPr>
          <w:rFonts w:ascii="Times New Roman"/>
          <w:i/>
          <w:sz w:val="22"/>
        </w:rPr>
        <w:t>Director of Lands</w:t>
      </w:r>
    </w:p>
    <w:p w14:paraId="05E69231" w14:textId="77777777" w:rsidR="00982220" w:rsidRDefault="00982220">
      <w:pPr>
        <w:pStyle w:val="Heading2"/>
        <w:ind w:left="6120"/>
        <w:jc w:val="center"/>
        <w:rPr>
          <w:rFonts w:ascii="Times New Roman"/>
          <w:sz w:val="22"/>
        </w:rPr>
      </w:pPr>
      <w:r>
        <w:rPr>
          <w:rFonts w:ascii="Times New Roman"/>
          <w:sz w:val="22"/>
        </w:rPr>
        <w:t>April 2000</w:t>
      </w:r>
    </w:p>
    <w:sectPr w:rsidR="00982220">
      <w:pgSz w:w="11909" w:h="16834" w:code="9"/>
      <w:pgMar w:top="1440" w:right="1800" w:bottom="432" w:left="1800" w:header="851" w:footer="992"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oNotHyphenateCaps/>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01CF"/>
    <w:rsid w:val="00597456"/>
    <w:rsid w:val="006A01CF"/>
    <w:rsid w:val="00982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B3E75F6"/>
  <w15:chartTrackingRefBased/>
  <w15:docId w15:val="{F17EB1E9-07FD-4563-8E7C-5E8EF37B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MingLiU" w:eastAsia="PMingLiU"/>
      <w:sz w:val="18"/>
      <w:lang w:val="en-GB"/>
    </w:rPr>
  </w:style>
  <w:style w:type="paragraph" w:styleId="Heading1">
    <w:name w:val="heading 1"/>
    <w:basedOn w:val="Normal"/>
    <w:next w:val="Normal"/>
    <w:qFormat/>
    <w:pPr>
      <w:keepNext/>
      <w:widowControl w:val="0"/>
      <w:spacing w:line="360" w:lineRule="auto"/>
      <w:ind w:left="6300"/>
      <w:jc w:val="right"/>
      <w:outlineLvl w:val="0"/>
    </w:pPr>
    <w:rPr>
      <w:u w:val="single"/>
    </w:rPr>
  </w:style>
  <w:style w:type="paragraph" w:styleId="Heading2">
    <w:name w:val="heading 2"/>
    <w:basedOn w:val="Normal"/>
    <w:next w:val="NormalIndent"/>
    <w:qFormat/>
    <w:pPr>
      <w:keepNext/>
      <w:tabs>
        <w:tab w:val="center" w:pos="6300"/>
      </w:tabs>
      <w:jc w:val="both"/>
      <w:outlineLvl w:val="1"/>
    </w:pPr>
    <w:rPr>
      <w:i/>
      <w:sz w:val="2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sz w:val="20"/>
      <w:lang w:val="en-US"/>
    </w:rPr>
  </w:style>
  <w:style w:type="paragraph" w:styleId="Title">
    <w:name w:val="Title"/>
    <w:basedOn w:val="Normal"/>
    <w:qFormat/>
    <w:pPr>
      <w:widowControl w:val="0"/>
      <w:spacing w:line="360" w:lineRule="auto"/>
      <w:jc w:val="center"/>
    </w:pPr>
    <w:rPr>
      <w:b/>
      <w:u w:val="single"/>
    </w:rPr>
  </w:style>
  <w:style w:type="paragraph" w:styleId="BodyText2">
    <w:name w:val="Body Text 2"/>
    <w:basedOn w:val="Normal"/>
    <w:pPr>
      <w:widowControl w:val="0"/>
      <w:tabs>
        <w:tab w:val="left" w:pos="1080"/>
        <w:tab w:val="left" w:pos="1440"/>
      </w:tabs>
      <w:ind w:left="3840" w:hanging="3000"/>
      <w:jc w:val="both"/>
    </w:pPr>
    <w:rPr>
      <w:kern w:val="2"/>
      <w:lang w:val="en-US"/>
    </w:rPr>
  </w:style>
  <w:style w:type="paragraph" w:styleId="BodyTextIndent2">
    <w:name w:val="Body Text Indent 2"/>
    <w:basedOn w:val="Normal"/>
    <w:pPr>
      <w:widowControl w:val="0"/>
      <w:tabs>
        <w:tab w:val="left" w:pos="1440"/>
      </w:tabs>
      <w:ind w:left="840"/>
      <w:jc w:val="both"/>
    </w:pPr>
    <w:rPr>
      <w:kern w:val="2"/>
      <w:lang w:val="en-US"/>
    </w:rPr>
  </w:style>
  <w:style w:type="paragraph" w:styleId="Footer">
    <w:name w:val="footer"/>
    <w:basedOn w:val="Normal"/>
    <w:semiHidden/>
    <w:pPr>
      <w:tabs>
        <w:tab w:val="center" w:pos="4153"/>
        <w:tab w:val="right" w:pos="8306"/>
      </w:tabs>
    </w:pPr>
    <w:rPr>
      <w:sz w:val="20"/>
    </w:rPr>
  </w:style>
  <w:style w:type="paragraph" w:styleId="BodyText">
    <w:name w:val="Body Text"/>
    <w:basedOn w:val="Normal"/>
    <w:semiHidden/>
    <w:pPr>
      <w:widowControl w:val="0"/>
      <w:tabs>
        <w:tab w:val="left" w:pos="1440"/>
      </w:tabs>
      <w:jc w:val="both"/>
    </w:pPr>
    <w:rPr>
      <w:kern w:val="2"/>
      <w:lang w:val="en-US"/>
    </w:rPr>
  </w:style>
  <w:style w:type="paragraph" w:styleId="NormalIndent">
    <w:name w:val="Normal Indent"/>
    <w:basedOn w:val="Normal"/>
    <w:semiHidden/>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___Lands Administration Office</dc:title>
  <dc:subject/>
  <dc:creator>CSU</dc:creator>
  <cp:keywords/>
  <cp:lastModifiedBy>Rico Kwok</cp:lastModifiedBy>
  <cp:revision>2</cp:revision>
  <dcterms:created xsi:type="dcterms:W3CDTF">2026-10-02T17:18:00Z</dcterms:created>
  <dcterms:modified xsi:type="dcterms:W3CDTF">2026-10-02T17:18:00Z</dcterms:modified>
</cp:coreProperties>
</file>