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C1AB42" w14:textId="500330E9" w:rsidR="00282F2E" w:rsidRPr="00824D56" w:rsidRDefault="00282F2E" w:rsidP="00824D56">
      <w:pPr>
        <w:jc w:val="center"/>
        <w:rPr>
          <w:b/>
          <w:bCs/>
          <w:sz w:val="32"/>
          <w:szCs w:val="32"/>
        </w:rPr>
      </w:pPr>
      <w:r w:rsidRPr="00824D56">
        <w:rPr>
          <w:b/>
          <w:bCs/>
          <w:sz w:val="32"/>
          <w:szCs w:val="32"/>
        </w:rPr>
        <w:t>USC Risk-Score Trend Analysis</w:t>
      </w:r>
      <w:r w:rsidR="00824D56">
        <w:rPr>
          <w:b/>
          <w:bCs/>
          <w:sz w:val="32"/>
          <w:szCs w:val="32"/>
        </w:rPr>
        <w:t xml:space="preserve"> Methodology</w:t>
      </w:r>
    </w:p>
    <w:p w14:paraId="5560FB1A" w14:textId="6B55D7FD" w:rsidR="00282F2E" w:rsidRDefault="00824D56">
      <w:proofErr w:type="spellStart"/>
      <w:r>
        <w:t>Kooha</w:t>
      </w:r>
      <w:proofErr w:type="spellEnd"/>
      <w:r>
        <w:t xml:space="preserve"> Kwon</w:t>
      </w:r>
    </w:p>
    <w:p w14:paraId="574BED0F" w14:textId="59DE2B5D" w:rsidR="00824D56" w:rsidRDefault="00824D56">
      <w:r>
        <w:t>09/07/2020</w:t>
      </w:r>
    </w:p>
    <w:p w14:paraId="3B327A3C" w14:textId="77777777" w:rsidR="00824D56" w:rsidRDefault="00824D56"/>
    <w:p w14:paraId="53E9F8F7" w14:textId="01D680C3" w:rsidR="00282F2E" w:rsidRPr="00824D56" w:rsidRDefault="00D51198">
      <w:pPr>
        <w:rPr>
          <w:b/>
          <w:bCs/>
        </w:rPr>
      </w:pPr>
      <w:r w:rsidRPr="00824D56">
        <w:rPr>
          <w:b/>
          <w:bCs/>
        </w:rPr>
        <w:t>Purpose:</w:t>
      </w:r>
    </w:p>
    <w:p w14:paraId="1D16589D" w14:textId="389CCC8A" w:rsidR="00D51198" w:rsidRDefault="00824D56">
      <w:r>
        <w:t xml:space="preserve">The purpose of this document is to define and explain methodologies used to categorize LA county regions into three </w:t>
      </w:r>
      <w:r w:rsidR="008D2155">
        <w:t>categories</w:t>
      </w:r>
      <w:r>
        <w:t>: trending up, neutral, trending down.</w:t>
      </w:r>
    </w:p>
    <w:p w14:paraId="5C4C5A76" w14:textId="78373575" w:rsidR="00D51198" w:rsidRDefault="00D51198"/>
    <w:p w14:paraId="790ACC7A" w14:textId="3B09E487" w:rsidR="00D51198" w:rsidRPr="00824D56" w:rsidRDefault="00D51198">
      <w:pPr>
        <w:rPr>
          <w:b/>
          <w:bCs/>
        </w:rPr>
      </w:pPr>
      <w:r w:rsidRPr="00824D56">
        <w:rPr>
          <w:b/>
          <w:bCs/>
        </w:rPr>
        <w:t>Methodology</w:t>
      </w:r>
      <w:r w:rsidR="00824D56">
        <w:rPr>
          <w:b/>
          <w:bCs/>
        </w:rPr>
        <w:t>: Moving (Rolling) Average</w:t>
      </w:r>
    </w:p>
    <w:p w14:paraId="4856DB37" w14:textId="4312375D" w:rsidR="00D51198" w:rsidRDefault="00D51198">
      <w:r>
        <w:t xml:space="preserve">As </w:t>
      </w:r>
      <w:r w:rsidR="00CE7571">
        <w:t>shown in Figure 1</w:t>
      </w:r>
      <w:r>
        <w:t xml:space="preserve">, the Risk-Score calculated by USC team showed approximately regular oscillations. The oscillation was not only visible for overall LA county data but also for regional data within LA county. </w:t>
      </w:r>
      <w:r w:rsidR="00824D56">
        <w:t xml:space="preserve">Oscillation increased the variability and makes it difficult to define overall trend of the Risk-Score. </w:t>
      </w:r>
      <w:r>
        <w:t>In order to reduce variability of the Risk-Score, moving (rolling) average was utilized. Since average oscillation period was around 9 days, moving average period of 18 days was chosen</w:t>
      </w:r>
      <w:r w:rsidR="008D2155">
        <w:t xml:space="preserve"> to include two full cycles</w:t>
      </w:r>
      <w:r>
        <w:t xml:space="preserve">. </w:t>
      </w:r>
      <w:r w:rsidR="00CE7571">
        <w:t xml:space="preserve">With the moving average, the variability of the data is significantly </w:t>
      </w:r>
      <w:r w:rsidR="00F902E2">
        <w:t>reduced,</w:t>
      </w:r>
      <w:r w:rsidR="00CE7571">
        <w:t xml:space="preserve"> and overall trend became more visible</w:t>
      </w:r>
      <w:r w:rsidR="00824D56">
        <w:t xml:space="preserve"> (figure 2)</w:t>
      </w:r>
      <w:r w:rsidR="00CE7571">
        <w:t>.</w:t>
      </w:r>
    </w:p>
    <w:p w14:paraId="36FE351B" w14:textId="316ACF08" w:rsidR="00282F2E" w:rsidRDefault="00282F2E">
      <w:r w:rsidRPr="00282F2E">
        <w:rPr>
          <w:noProof/>
        </w:rPr>
        <w:drawing>
          <wp:inline distT="0" distB="0" distL="0" distR="0" wp14:anchorId="4103E4AE" wp14:editId="1474C7BA">
            <wp:extent cx="5891917" cy="2939664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AD96A81-4D47-46BD-8157-3B5A7E5B16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AD96A81-4D47-46BD-8157-3B5A7E5B16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718" cy="29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316F" w14:textId="2A6C1B1F" w:rsidR="00D51198" w:rsidRDefault="00D51198">
      <w:r>
        <w:t>Figure 1: Timeseries plot of LA county Risk-Score shows regular oscillation</w:t>
      </w:r>
    </w:p>
    <w:p w14:paraId="10594796" w14:textId="4C1BF85E" w:rsidR="00CE7571" w:rsidRDefault="00CE7571"/>
    <w:p w14:paraId="681414CC" w14:textId="07CA0073" w:rsidR="00CE7571" w:rsidRDefault="00CE7571">
      <w:r w:rsidRPr="00CE7571">
        <w:rPr>
          <w:noProof/>
        </w:rPr>
        <w:lastRenderedPageBreak/>
        <w:drawing>
          <wp:inline distT="0" distB="0" distL="0" distR="0" wp14:anchorId="03150883" wp14:editId="07ECD62E">
            <wp:extent cx="5931673" cy="2979778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70679ED-5C59-4182-9838-BD7C9B0890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70679ED-5C59-4182-9838-BD7C9B0890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282" cy="298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4A5" w14:textId="0A1DA2CD" w:rsidR="00CE7571" w:rsidRDefault="00CE7571">
      <w:r>
        <w:t>Figure 2: Moving (rolling) average of both Risk-Score and daily new cases data significantly reduces variability.</w:t>
      </w:r>
    </w:p>
    <w:p w14:paraId="668177A0" w14:textId="77777777" w:rsidR="00F902E2" w:rsidRDefault="00F902E2"/>
    <w:p w14:paraId="6348642E" w14:textId="6C1A6E93" w:rsidR="00F902E2" w:rsidRPr="00824D56" w:rsidRDefault="00F902E2">
      <w:pPr>
        <w:rPr>
          <w:b/>
          <w:bCs/>
        </w:rPr>
      </w:pPr>
      <w:r w:rsidRPr="00824D56">
        <w:rPr>
          <w:b/>
          <w:bCs/>
        </w:rPr>
        <w:t>Methodology</w:t>
      </w:r>
      <w:r w:rsidR="00824D56">
        <w:rPr>
          <w:b/>
          <w:bCs/>
        </w:rPr>
        <w:t>: Trend Categorization</w:t>
      </w:r>
    </w:p>
    <w:p w14:paraId="1489F058" w14:textId="000BD54F" w:rsidR="000B4C69" w:rsidRDefault="001B3894">
      <w:r>
        <w:t>The d</w:t>
      </w:r>
      <w:r w:rsidR="00CE7571">
        <w:t>aily difference of the moving Risk-Score average was used to determine the</w:t>
      </w:r>
      <w:r w:rsidR="000B4C69">
        <w:t xml:space="preserve"> Risk-Score</w:t>
      </w:r>
      <w:r w:rsidR="00CE7571">
        <w:t xml:space="preserve"> trend of individual regions. </w:t>
      </w:r>
      <w:r>
        <w:t>According to USC’s report, t</w:t>
      </w:r>
      <w:r w:rsidR="00F902E2">
        <w:t>he Risk-Score</w:t>
      </w:r>
      <w:r>
        <w:t xml:space="preserve"> is the probability of an individual living in a specific region getting infected. Risk-Score of 1 implies a “1 in 10,000 chance of getting infected” and so on</w:t>
      </w:r>
      <w:r w:rsidR="00F3123F">
        <w:t>. I have defined that there is</w:t>
      </w:r>
      <w:r>
        <w:t xml:space="preserve"> a significant </w:t>
      </w:r>
      <w:r w:rsidR="000B4C69">
        <w:t xml:space="preserve">Risk-Score </w:t>
      </w:r>
      <w:r w:rsidR="00824D56">
        <w:t>trend</w:t>
      </w:r>
      <w:r>
        <w:t xml:space="preserve"> </w:t>
      </w:r>
      <w:r w:rsidR="00824D56">
        <w:t xml:space="preserve">if </w:t>
      </w:r>
      <w:r w:rsidR="000B4C69">
        <w:t xml:space="preserve">the Risk-Score </w:t>
      </w:r>
      <w:r w:rsidR="00824D56">
        <w:t>increase</w:t>
      </w:r>
      <w:r w:rsidR="000B4C69">
        <w:t>d</w:t>
      </w:r>
      <w:r w:rsidR="00824D56">
        <w:t xml:space="preserve"> or decrease</w:t>
      </w:r>
      <w:r w:rsidR="000B4C69">
        <w:t>d</w:t>
      </w:r>
      <w:r w:rsidR="00824D56">
        <w:t xml:space="preserve"> </w:t>
      </w:r>
      <w:r w:rsidR="000B4C69">
        <w:t>by</w:t>
      </w:r>
      <w:r w:rsidR="00824D56">
        <w:t xml:space="preserve"> </w:t>
      </w:r>
      <w:r w:rsidR="008D2155">
        <w:t>magnitude</w:t>
      </w:r>
      <w:r w:rsidR="000B4C69">
        <w:t xml:space="preserve"> of </w:t>
      </w:r>
      <w:r w:rsidR="00824D56">
        <w:t>1 within 10-day period.</w:t>
      </w:r>
      <w:r w:rsidR="000B4C69">
        <w:t xml:space="preserve"> </w:t>
      </w:r>
      <w:r w:rsidR="00F3123F">
        <w:t>Therefore,</w:t>
      </w:r>
      <w:r w:rsidR="000B4C69">
        <w:t xml:space="preserve"> the</w:t>
      </w:r>
      <w:r w:rsidR="00F3123F">
        <w:t xml:space="preserve"> daily difference threshold was set as </w:t>
      </w:r>
      <w:r w:rsidR="00824D56">
        <w:t xml:space="preserve">1/10 or </w:t>
      </w:r>
      <w:r w:rsidR="00F3123F">
        <w:t>0.1.</w:t>
      </w:r>
      <w:r w:rsidR="000B4C69">
        <w:t xml:space="preserve"> </w:t>
      </w:r>
    </w:p>
    <w:p w14:paraId="52237BFB" w14:textId="001AC595" w:rsidR="00CE7571" w:rsidRDefault="00CE7571">
      <w:r>
        <w:t>For example, if Risk-Score of</w:t>
      </w:r>
      <w:r w:rsidR="00F902E2">
        <w:t xml:space="preserve"> a</w:t>
      </w:r>
      <w:r>
        <w:t xml:space="preserve"> region increase</w:t>
      </w:r>
      <w:r w:rsidR="00824D56">
        <w:t>d</w:t>
      </w:r>
      <w:r>
        <w:t xml:space="preserve"> from 1.0 to 1.</w:t>
      </w:r>
      <w:r w:rsidR="00F3123F">
        <w:t>2</w:t>
      </w:r>
      <w:r w:rsidR="000B4C69">
        <w:t xml:space="preserve"> after a single day</w:t>
      </w:r>
      <w:r>
        <w:t xml:space="preserve">, then </w:t>
      </w:r>
      <w:r w:rsidR="00F3123F">
        <w:t xml:space="preserve">the daily difference </w:t>
      </w:r>
      <w:r>
        <w:t>simply calculate</w:t>
      </w:r>
      <w:r w:rsidR="00824D56">
        <w:t>s</w:t>
      </w:r>
      <w:r>
        <w:t xml:space="preserve"> to be 0.</w:t>
      </w:r>
      <w:r w:rsidR="00F3123F">
        <w:t>2</w:t>
      </w:r>
      <w:r>
        <w:t xml:space="preserve">. </w:t>
      </w:r>
      <w:r w:rsidR="00F3123F">
        <w:t>And since the difference</w:t>
      </w:r>
      <w:r w:rsidR="00F902E2">
        <w:t xml:space="preserve"> is higher than 0.1, </w:t>
      </w:r>
      <w:r w:rsidR="00F3123F">
        <w:t>the region is defined as</w:t>
      </w:r>
      <w:r w:rsidR="00F902E2">
        <w:t xml:space="preserve"> “trending up.”</w:t>
      </w:r>
      <w:r w:rsidR="00F3123F">
        <w:t xml:space="preserve"> The following table </w:t>
      </w:r>
      <w:r w:rsidR="00824D56">
        <w:t>defines</w:t>
      </w:r>
      <w:r w:rsidR="00F3123F">
        <w:t xml:space="preserve"> three trend categories:</w:t>
      </w:r>
    </w:p>
    <w:tbl>
      <w:tblPr>
        <w:tblStyle w:val="GridTable2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3123F" w14:paraId="337BBA58" w14:textId="77777777" w:rsidTr="00F312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D9E2F3" w:themeFill="accent1" w:themeFillTint="33"/>
          </w:tcPr>
          <w:p w14:paraId="09917E6D" w14:textId="7030C51C" w:rsidR="00F3123F" w:rsidRDefault="00F3123F">
            <w:r>
              <w:t>Daily Risk-Score Difference</w:t>
            </w:r>
          </w:p>
        </w:tc>
        <w:tc>
          <w:tcPr>
            <w:tcW w:w="467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D9E2F3" w:themeFill="accent1" w:themeFillTint="33"/>
          </w:tcPr>
          <w:p w14:paraId="2DABD0F3" w14:textId="27AF4C34" w:rsidR="00F3123F" w:rsidRDefault="00F312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Trend Category</w:t>
            </w:r>
          </w:p>
        </w:tc>
      </w:tr>
      <w:tr w:rsidR="00F3123F" w14:paraId="637E0A6F" w14:textId="77777777" w:rsidTr="00F312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2CA8810F" w14:textId="3B365676" w:rsidR="00F3123F" w:rsidRPr="00F3123F" w:rsidRDefault="00F3123F">
            <w:pPr>
              <w:rPr>
                <w:b w:val="0"/>
                <w:bCs w:val="0"/>
              </w:rPr>
            </w:pPr>
            <w:r w:rsidRPr="00F3123F">
              <w:rPr>
                <w:b w:val="0"/>
                <w:bCs w:val="0"/>
              </w:rPr>
              <w:t>Less than -0.1</w:t>
            </w:r>
          </w:p>
        </w:tc>
        <w:tc>
          <w:tcPr>
            <w:tcW w:w="4675" w:type="dxa"/>
            <w:shd w:val="clear" w:color="auto" w:fill="FFFFFF" w:themeFill="background1"/>
          </w:tcPr>
          <w:p w14:paraId="576BF40A" w14:textId="598BEDBB" w:rsidR="00F3123F" w:rsidRDefault="00F31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Trending Down</w:t>
            </w:r>
          </w:p>
        </w:tc>
      </w:tr>
      <w:tr w:rsidR="00F3123F" w14:paraId="06F6EA32" w14:textId="77777777" w:rsidTr="00F312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75632641" w14:textId="3349EBEB" w:rsidR="00F3123F" w:rsidRPr="00F3123F" w:rsidRDefault="00F3123F">
            <w:pPr>
              <w:rPr>
                <w:b w:val="0"/>
                <w:bCs w:val="0"/>
              </w:rPr>
            </w:pPr>
            <w:r w:rsidRPr="00F3123F">
              <w:rPr>
                <w:b w:val="0"/>
                <w:bCs w:val="0"/>
              </w:rPr>
              <w:t>Between -0.1 and 0.1</w:t>
            </w:r>
          </w:p>
        </w:tc>
        <w:tc>
          <w:tcPr>
            <w:tcW w:w="4675" w:type="dxa"/>
            <w:shd w:val="clear" w:color="auto" w:fill="FFFFFF" w:themeFill="background1"/>
          </w:tcPr>
          <w:p w14:paraId="77BF74F6" w14:textId="5F94CD74" w:rsidR="00F3123F" w:rsidRDefault="00F312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Neutral</w:t>
            </w:r>
          </w:p>
        </w:tc>
      </w:tr>
      <w:tr w:rsidR="00F3123F" w14:paraId="7ED4FE13" w14:textId="77777777" w:rsidTr="00F312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shd w:val="clear" w:color="auto" w:fill="FFFFFF" w:themeFill="background1"/>
          </w:tcPr>
          <w:p w14:paraId="49833823" w14:textId="3A0AA15B" w:rsidR="00F3123F" w:rsidRPr="00F3123F" w:rsidRDefault="00F3123F">
            <w:pPr>
              <w:rPr>
                <w:b w:val="0"/>
                <w:bCs w:val="0"/>
              </w:rPr>
            </w:pPr>
            <w:r w:rsidRPr="00F3123F">
              <w:rPr>
                <w:b w:val="0"/>
                <w:bCs w:val="0"/>
              </w:rPr>
              <w:t>Greater than 0.1</w:t>
            </w:r>
          </w:p>
        </w:tc>
        <w:tc>
          <w:tcPr>
            <w:tcW w:w="4675" w:type="dxa"/>
            <w:shd w:val="clear" w:color="auto" w:fill="FFFFFF" w:themeFill="background1"/>
          </w:tcPr>
          <w:p w14:paraId="4A0D647D" w14:textId="33CB1477" w:rsidR="00F3123F" w:rsidRDefault="00F31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Trending Up</w:t>
            </w:r>
          </w:p>
        </w:tc>
      </w:tr>
    </w:tbl>
    <w:p w14:paraId="0DEDBC7A" w14:textId="5D4856A1" w:rsidR="00824D56" w:rsidRDefault="008D2155">
      <w:r>
        <w:t>Table 1. Risk-Score Trend Categories</w:t>
      </w:r>
    </w:p>
    <w:p w14:paraId="5CA214AA" w14:textId="1E1A9B4E" w:rsidR="00824D56" w:rsidRDefault="00824D56"/>
    <w:p w14:paraId="7DC4BF53" w14:textId="53F55419" w:rsidR="000B4C69" w:rsidRPr="000B4C69" w:rsidRDefault="000B4C69">
      <w:pPr>
        <w:rPr>
          <w:b/>
          <w:bCs/>
        </w:rPr>
      </w:pPr>
      <w:r w:rsidRPr="000B4C69">
        <w:rPr>
          <w:b/>
          <w:bCs/>
        </w:rPr>
        <w:t>Conclusion:</w:t>
      </w:r>
    </w:p>
    <w:p w14:paraId="40B617AD" w14:textId="6102D84B" w:rsidR="000B4C69" w:rsidRDefault="000B4C69">
      <w:r>
        <w:t>By using those two methodologies, the script effectively defines each</w:t>
      </w:r>
      <w:r w:rsidR="00CD179D">
        <w:t xml:space="preserve"> LA county</w:t>
      </w:r>
      <w:r>
        <w:t xml:space="preserve"> region</w:t>
      </w:r>
      <w:r w:rsidR="00CD179D">
        <w:t>s</w:t>
      </w:r>
      <w:r>
        <w:t xml:space="preserve"> into three categories. </w:t>
      </w:r>
      <w:r w:rsidR="00CD179D">
        <w:t>In addition to</w:t>
      </w:r>
      <w:r>
        <w:t xml:space="preserve"> Risk-Level defined by the USC team, the trend </w:t>
      </w:r>
      <w:r w:rsidR="00CD179D">
        <w:t>categorization will aid viewers to determine whether a specific region currently has or wil</w:t>
      </w:r>
      <w:bookmarkStart w:id="0" w:name="_GoBack"/>
      <w:bookmarkEnd w:id="0"/>
      <w:r w:rsidR="00CD179D">
        <w:t xml:space="preserve">l have concerning level of Covid-19 risk. </w:t>
      </w:r>
    </w:p>
    <w:sectPr w:rsidR="000B4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2E"/>
    <w:rsid w:val="000B4C69"/>
    <w:rsid w:val="001B3894"/>
    <w:rsid w:val="00282F2E"/>
    <w:rsid w:val="00331DBA"/>
    <w:rsid w:val="00824D56"/>
    <w:rsid w:val="008D2155"/>
    <w:rsid w:val="00CD179D"/>
    <w:rsid w:val="00CE7571"/>
    <w:rsid w:val="00D51198"/>
    <w:rsid w:val="00F3123F"/>
    <w:rsid w:val="00F9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495D5"/>
  <w15:chartTrackingRefBased/>
  <w15:docId w15:val="{DF70E0D0-A9E6-416E-9075-B8D100A7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F312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2-Accent5">
    <w:name w:val="Grid Table 2 Accent 5"/>
    <w:basedOn w:val="TableNormal"/>
    <w:uiPriority w:val="47"/>
    <w:rsid w:val="00F3123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F3123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F3123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24D56"/>
  </w:style>
  <w:style w:type="character" w:customStyle="1" w:styleId="DateChar">
    <w:name w:val="Date Char"/>
    <w:basedOn w:val="DefaultParagraphFont"/>
    <w:link w:val="Date"/>
    <w:uiPriority w:val="99"/>
    <w:semiHidden/>
    <w:rsid w:val="00824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kwonkh0424@gmail.com</dc:creator>
  <cp:keywords/>
  <dc:description/>
  <cp:lastModifiedBy>kwonkh0424@gmail.com</cp:lastModifiedBy>
  <cp:revision>2</cp:revision>
  <dcterms:created xsi:type="dcterms:W3CDTF">2020-09-07T18:26:00Z</dcterms:created>
  <dcterms:modified xsi:type="dcterms:W3CDTF">2020-09-07T22:22:00Z</dcterms:modified>
</cp:coreProperties>
</file>