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시스템 보안 규정 내부 규정</w:t>
      </w:r>
    </w:p>
    <w:p>
      <w:pPr>
        <w:jc w:val="right"/>
      </w:pPr>
      <w:r>
        <w:rPr>
          <w:i/>
        </w:rPr>
        <w:t>소관부서: 법무팀  |  분류: 내부 규정</w:t>
        <w:br/>
      </w:r>
      <w:r>
        <w:rPr>
          <w:i/>
        </w:rPr>
        <w:t>정책 ID: SYS_SCR_001</w:t>
      </w:r>
    </w:p>
    <w:p/>
    <w:p>
      <w:pPr>
        <w:pStyle w:val="Heading2"/>
      </w:pPr>
      <w:r>
        <w:rPr>
          <w:color w:val="1F1F1F"/>
        </w:rPr>
        <w:t>제1조(목적)</w:t>
      </w:r>
    </w:p>
    <w:p>
      <w:r>
        <w:t>이 규정은 시스템 보안 규정에 관한 필요한 사항을 정하여 회사의 건전한 업무 환경을 조성하고 임직원의 올바른 업무 수행을 지원함을 목적으로 한다.</w:t>
      </w:r>
    </w:p>
    <w:p>
      <w:pPr>
        <w:pStyle w:val="Heading2"/>
      </w:pPr>
      <w:r>
        <w:rPr>
          <w:color w:val="1F1F1F"/>
        </w:rPr>
        <w:t>제2조(적용범위)</w:t>
      </w:r>
    </w:p>
    <w:p>
      <w:r>
        <w:t>이 규정은 회사의 모든 임직원, 계약직, 외주 용역 직원 및 회사 시스템을 이용하는 모든 사용자에게 적용된다.</w:t>
      </w:r>
    </w:p>
    <w:p>
      <w:pPr>
        <w:pStyle w:val="Heading2"/>
      </w:pPr>
      <w:r>
        <w:rPr>
          <w:color w:val="1F1F1F"/>
        </w:rPr>
        <w:t>제3조(금지사항)</w:t>
      </w:r>
    </w:p>
    <w:p>
      <w:r>
        <w:t>임직원은 회사의 윤리 강령 및 관련 법규에 반하는 내용을 AI 시스템을 통해 생성하거나 전달하여서는 안 된다.</w:t>
      </w:r>
    </w:p>
    <w:p>
      <w:pPr>
        <w:pStyle w:val="Heading2"/>
      </w:pPr>
      <w:r>
        <w:rPr>
          <w:color w:val="1F1F1F"/>
        </w:rPr>
        <w:t>제4조(준수사항)</w:t>
      </w:r>
    </w:p>
    <w:p>
      <w:r>
        <w:t>임직원은 AI 시스템 사용 시 다음 각 호의 사항을 준수하여야 한다.</w:t>
      </w:r>
    </w:p>
    <w:p>
      <w:pPr>
        <w:pStyle w:val="ListNumber"/>
      </w:pPr>
      <w:r>
        <w:t>1. 제1조(목적) 준수 여부 확인: 제1조(목적) 이 규정은 회사의 정보시스템과 정보통신의 보안에 관한 필요한 사항을 정하여 회사의 발전을 도모함을 목적으로 한다. [심각도: 중간 (정기 점검 대상)]</w:t>
      </w:r>
    </w:p>
    <w:p>
      <w:pPr>
        <w:pStyle w:val="ListNumber"/>
      </w:pPr>
      <w:r>
        <w:t>2. 제2조(용어의 정의) 준수 여부 확인: 제2조(용어의 정의) 이 규정에서 사용하는 용어의 정의는 다음 각 호와 같다. [심각도: 중간 (정기 점검 대상)]</w:t>
      </w:r>
    </w:p>
    <w:p>
      <w:pPr>
        <w:pStyle w:val="ListNumber"/>
      </w:pPr>
      <w:r>
        <w:t>3. 제3조(시스템보안 범위) 준수 여부 확인: 제3조(시스템보안 범위) 시스템 보안 관리는 다음 각 호와 같다. [심각도: 중간 (정기 점검 대상)]</w:t>
      </w:r>
    </w:p>
    <w:p>
      <w:pPr>
        <w:pStyle w:val="ListNumber"/>
      </w:pPr>
      <w:r>
        <w:t>4. 제4조(전산실 보호대책) 준수 여부 확인: 제4조(전산실 보호대책) 전산실 운영부서장은 전산실을 제한구역으로 하고 다음 각 호의 대책을 강구하여야 한다. [심각도: 중간 (정기 점검 대상)]</w:t>
      </w:r>
    </w:p>
    <w:p>
      <w:pPr>
        <w:pStyle w:val="ListNumber"/>
      </w:pPr>
      <w:r>
        <w:t>5. 제5조(정보자료 보안관리) 준수 여부 확인: 제5조(정보자료 보안관리) ① 시스템관리자는 전산자료 및 보안이 요구된다고 판단되는 전산자료의 유출, 파괴 또는 변조 등에 대비하여 다음 각 호와 같이 보호대책을 강구한다. [심각도: 중간 (정기 점검 대상)]</w:t>
      </w:r>
    </w:p>
    <w:p>
      <w:pPr>
        <w:pStyle w:val="ListNumber"/>
      </w:pPr>
      <w:r>
        <w:t>6. 제6조(보조기억매체 보안관리) 준수 여부 확인: 제6조(보조기억매체 보안관리) ① 보조기억매체의 관리책임자는 사용자의 소속부서장이 되며 관리책임자는 업무용 보조기억매체를 별지 제1호 서식을 이용하여 관리(등록, 파기, 반출, 반입)하여야 하며, 등록되지 않은 매체는 사용할 수 없다. [심각도: 중간 (정기 점검 대상)]</w:t>
      </w:r>
    </w:p>
    <w:p>
      <w:pPr>
        <w:pStyle w:val="ListNumber"/>
      </w:pPr>
      <w:r>
        <w:t>7. 제7조(개인용 컴퓨터 보안관리) 준수 여부 확인: 제7조(개인용 컴퓨터 보안관리) ① 소속 부서장은 회사 소유의 개인용 컴퓨터(데스크톱, 노트북, 일체형, 태블릿, 그 밖의 형태의 정보처리기기를 포함하여 이하 이 조에서 같다)의 취급자 및 보안 관리책임자를 지정하여야 한다. [심각도: 중간 (정기 점검 대상)]</w:t>
      </w:r>
    </w:p>
    <w:p>
      <w:pPr>
        <w:pStyle w:val="ListNumber"/>
      </w:pPr>
      <w:r>
        <w:t>8. 제8조(이메일 및 통신망 이용) 준수 여부 확인: 제8조(이메일 및 통신망 이용) ① 시스템관리자(전산부서)는 기술정보 보안을 위하여 내부통신망을 이용하여 대내외로 수발신하는 이메일 등을 통해 전송되는 자료에 대해서는 일정기간(3년 이내) 내역을 보존하여야 한다. [심각도: 중간 (정기 점검 대상)]</w:t>
      </w:r>
    </w:p>
    <w:p>
      <w:pPr>
        <w:pStyle w:val="ListNumber"/>
      </w:pPr>
      <w:r>
        <w:t>9. 제9조(홈페이지 등 공개용 웹 서버 관리) 준수 여부 확인: 제9조(홈페이지 등 공개용 웹 서버 관리) ① 시스템관리자는 홈페이지 등 공개용 웹 서버는 방화벽 등 침입차단시스템을 설치하여 내부망의 전산자원을 보호하여야 한다. [심각도: 중간 (정기 점검 대상)]</w:t>
      </w:r>
    </w:p>
    <w:p>
      <w:pPr>
        <w:pStyle w:val="ListNumber"/>
      </w:pPr>
      <w:r>
        <w:t>10. 제10조(무선 랜 관리) 준수 여부 확인: 제10조(무선 랜 관리) ① 무선 랜 사용은 제한함을 원칙으로 한다. [심각도: 중간 (정기 점검 대상)]</w:t>
      </w:r>
    </w:p>
    <w:p>
      <w:pPr>
        <w:pStyle w:val="ListNumber"/>
      </w:pPr>
      <w:r>
        <w:t>11. 제11조(정보보안의 책임) 준수 여부 확인: 제11조(정보보안의 책임) ① 개인이 보유하고 있는 자료 등의 정보의 보안에 관한 책임은 사용자 및 소속부서장에게 있다. [심각도: 중간 (정기 점검 대상)]</w:t>
      </w:r>
    </w:p>
    <w:p>
      <w:pPr>
        <w:pStyle w:val="Heading2"/>
      </w:pPr>
      <w:r>
        <w:rPr>
          <w:color w:val="1F1F1F"/>
        </w:rPr>
        <w:t>제5조(위반 시 처리)</w:t>
      </w:r>
    </w:p>
    <w:p>
      <w:r>
        <w:t>① 이 규정을 위반한 경우 해당 내용을 기록하고 모니터링 시스템에 이력을 남겨야 한다.</w:t>
      </w:r>
    </w:p>
    <w:p>
      <w:r>
        <w:t>② 위반 사실이 확인된 경우 취업규칙 및 관련 법규에 따라 징계 조치할 수 있다.</w:t>
      </w:r>
    </w:p>
    <w:p>
      <w:pPr>
        <w:pStyle w:val="Heading2"/>
      </w:pPr>
      <w:r>
        <w:rPr>
          <w:color w:val="1F1F1F"/>
        </w:rPr>
        <w:t>부칙</w:t>
      </w:r>
    </w:p>
    <w:p>
      <w:r>
        <w:t>이 규정은 대표이사가 승인한 날로부터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