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D67D7E" w14:textId="77777777" w:rsidR="0065082A" w:rsidRDefault="002D285D" w:rsidP="00C637EA">
      <w:pPr>
        <w:pStyle w:val="Title"/>
        <w:jc w:val="center"/>
      </w:pPr>
      <w:r>
        <w:t>Adding federated access to OpenStack</w:t>
      </w:r>
    </w:p>
    <w:p w14:paraId="2B9921D7" w14:textId="77777777" w:rsidR="00BF0B18" w:rsidRPr="00BF0B18" w:rsidRDefault="00BF0B18" w:rsidP="00BF0B18">
      <w:pPr>
        <w:pStyle w:val="Heading1"/>
      </w:pPr>
      <w:r>
        <w:t>Versioning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59"/>
        <w:gridCol w:w="1701"/>
        <w:gridCol w:w="3288"/>
        <w:gridCol w:w="3374"/>
      </w:tblGrid>
      <w:tr w:rsidR="00B36F2F" w14:paraId="79F47AD0" w14:textId="77777777" w:rsidTr="00B36F2F">
        <w:trPr>
          <w:jc w:val="center"/>
        </w:trPr>
        <w:tc>
          <w:tcPr>
            <w:tcW w:w="959" w:type="dxa"/>
          </w:tcPr>
          <w:p w14:paraId="2CB4117E" w14:textId="77777777" w:rsidR="00B36F2F" w:rsidRDefault="00B36F2F" w:rsidP="00B36F2F">
            <w:r>
              <w:t>Version</w:t>
            </w:r>
          </w:p>
        </w:tc>
        <w:tc>
          <w:tcPr>
            <w:tcW w:w="1701" w:type="dxa"/>
          </w:tcPr>
          <w:p w14:paraId="130FE731" w14:textId="77777777" w:rsidR="00B36F2F" w:rsidRDefault="00B36F2F" w:rsidP="00B36F2F">
            <w:r>
              <w:t>Date</w:t>
            </w:r>
          </w:p>
        </w:tc>
        <w:tc>
          <w:tcPr>
            <w:tcW w:w="3288" w:type="dxa"/>
          </w:tcPr>
          <w:p w14:paraId="6425032A" w14:textId="77777777" w:rsidR="00B36F2F" w:rsidRDefault="00B36F2F" w:rsidP="00B36F2F">
            <w:r>
              <w:t>Comment</w:t>
            </w:r>
          </w:p>
        </w:tc>
        <w:tc>
          <w:tcPr>
            <w:tcW w:w="3374" w:type="dxa"/>
          </w:tcPr>
          <w:p w14:paraId="7AF73D38" w14:textId="77777777" w:rsidR="00B36F2F" w:rsidRDefault="00B36F2F" w:rsidP="00B36F2F">
            <w:r>
              <w:t>Author</w:t>
            </w:r>
          </w:p>
        </w:tc>
      </w:tr>
      <w:tr w:rsidR="00B36F2F" w14:paraId="7E360E93" w14:textId="77777777" w:rsidTr="00B36F2F">
        <w:trPr>
          <w:jc w:val="center"/>
        </w:trPr>
        <w:tc>
          <w:tcPr>
            <w:tcW w:w="959" w:type="dxa"/>
          </w:tcPr>
          <w:p w14:paraId="331865F0" w14:textId="77777777" w:rsidR="00B36F2F" w:rsidRDefault="00B36F2F" w:rsidP="00B36F2F">
            <w:r>
              <w:t>0.1</w:t>
            </w:r>
          </w:p>
        </w:tc>
        <w:tc>
          <w:tcPr>
            <w:tcW w:w="1701" w:type="dxa"/>
          </w:tcPr>
          <w:p w14:paraId="4A0B8313" w14:textId="77777777" w:rsidR="00B36F2F" w:rsidRDefault="00B36F2F" w:rsidP="00B36F2F">
            <w:r>
              <w:t>09/07/2012</w:t>
            </w:r>
          </w:p>
        </w:tc>
        <w:tc>
          <w:tcPr>
            <w:tcW w:w="3288" w:type="dxa"/>
          </w:tcPr>
          <w:p w14:paraId="36B05668" w14:textId="77777777" w:rsidR="00B36F2F" w:rsidRDefault="001A6688" w:rsidP="0069395D">
            <w:r>
              <w:t>Initial c</w:t>
            </w:r>
            <w:r w:rsidR="00B36F2F">
              <w:t>reation of th</w:t>
            </w:r>
            <w:r w:rsidR="0069395D">
              <w:t>e</w:t>
            </w:r>
            <w:r w:rsidR="00B36F2F">
              <w:t xml:space="preserve"> document</w:t>
            </w:r>
            <w:r w:rsidR="0069395D">
              <w:t>.</w:t>
            </w:r>
          </w:p>
        </w:tc>
        <w:tc>
          <w:tcPr>
            <w:tcW w:w="3374" w:type="dxa"/>
          </w:tcPr>
          <w:p w14:paraId="25EF99D7" w14:textId="77777777" w:rsidR="00B36F2F" w:rsidRDefault="00B36F2F" w:rsidP="00B36F2F">
            <w:r>
              <w:t xml:space="preserve">Damien </w:t>
            </w:r>
            <w:proofErr w:type="spellStart"/>
            <w:r>
              <w:t>Germonville</w:t>
            </w:r>
            <w:proofErr w:type="spellEnd"/>
            <w:r>
              <w:t>,</w:t>
            </w:r>
          </w:p>
          <w:p w14:paraId="73EDA093" w14:textId="77777777" w:rsidR="00B36F2F" w:rsidRDefault="00B36F2F" w:rsidP="00B36F2F">
            <w:proofErr w:type="spellStart"/>
            <w:r>
              <w:t>Yann</w:t>
            </w:r>
            <w:proofErr w:type="spellEnd"/>
            <w:r>
              <w:t xml:space="preserve"> </w:t>
            </w:r>
            <w:proofErr w:type="spellStart"/>
            <w:r>
              <w:t>Fouillat</w:t>
            </w:r>
            <w:proofErr w:type="spellEnd"/>
          </w:p>
        </w:tc>
      </w:tr>
      <w:tr w:rsidR="007908C2" w14:paraId="43B6BA36" w14:textId="77777777" w:rsidTr="00B36F2F">
        <w:trPr>
          <w:jc w:val="center"/>
        </w:trPr>
        <w:tc>
          <w:tcPr>
            <w:tcW w:w="959" w:type="dxa"/>
          </w:tcPr>
          <w:p w14:paraId="7ADA223F" w14:textId="77777777" w:rsidR="007908C2" w:rsidRDefault="007908C2" w:rsidP="00B36F2F">
            <w:r>
              <w:t>0.2</w:t>
            </w:r>
          </w:p>
        </w:tc>
        <w:tc>
          <w:tcPr>
            <w:tcW w:w="1701" w:type="dxa"/>
          </w:tcPr>
          <w:p w14:paraId="1D60CD0A" w14:textId="77777777" w:rsidR="007908C2" w:rsidRDefault="007908C2" w:rsidP="00B36F2F">
            <w:r>
              <w:t>10/</w:t>
            </w:r>
            <w:r w:rsidR="00500E66">
              <w:t>0</w:t>
            </w:r>
            <w:r>
              <w:t>7/2012</w:t>
            </w:r>
          </w:p>
        </w:tc>
        <w:tc>
          <w:tcPr>
            <w:tcW w:w="3288" w:type="dxa"/>
          </w:tcPr>
          <w:p w14:paraId="25A6BFBE" w14:textId="77777777" w:rsidR="007908C2" w:rsidRDefault="007908C2" w:rsidP="0069395D">
            <w:r>
              <w:t>Comments</w:t>
            </w:r>
          </w:p>
        </w:tc>
        <w:tc>
          <w:tcPr>
            <w:tcW w:w="3374" w:type="dxa"/>
          </w:tcPr>
          <w:p w14:paraId="09169DF7" w14:textId="77777777" w:rsidR="007908C2" w:rsidRDefault="007908C2" w:rsidP="00B36F2F">
            <w:r>
              <w:t>David</w:t>
            </w:r>
          </w:p>
        </w:tc>
      </w:tr>
      <w:tr w:rsidR="00500E66" w14:paraId="3BC3E98E" w14:textId="77777777" w:rsidTr="00B36F2F">
        <w:trPr>
          <w:jc w:val="center"/>
        </w:trPr>
        <w:tc>
          <w:tcPr>
            <w:tcW w:w="959" w:type="dxa"/>
          </w:tcPr>
          <w:p w14:paraId="54128D45" w14:textId="77777777" w:rsidR="00500E66" w:rsidRDefault="00500E66" w:rsidP="00B36F2F">
            <w:r>
              <w:t>0.3</w:t>
            </w:r>
          </w:p>
        </w:tc>
        <w:tc>
          <w:tcPr>
            <w:tcW w:w="1701" w:type="dxa"/>
          </w:tcPr>
          <w:p w14:paraId="66C2803B" w14:textId="77777777" w:rsidR="00500E66" w:rsidRDefault="00500E66" w:rsidP="00B36F2F">
            <w:r>
              <w:t>13/07/2012</w:t>
            </w:r>
          </w:p>
        </w:tc>
        <w:tc>
          <w:tcPr>
            <w:tcW w:w="3288" w:type="dxa"/>
          </w:tcPr>
          <w:p w14:paraId="4EBE546A" w14:textId="77777777" w:rsidR="00500E66" w:rsidRDefault="00500E66" w:rsidP="0069395D">
            <w:r>
              <w:t>Comments and updates</w:t>
            </w:r>
          </w:p>
        </w:tc>
        <w:tc>
          <w:tcPr>
            <w:tcW w:w="3374" w:type="dxa"/>
          </w:tcPr>
          <w:p w14:paraId="76B93F72" w14:textId="77777777" w:rsidR="00500E66" w:rsidRDefault="00500E66" w:rsidP="00B36F2F">
            <w:r>
              <w:t xml:space="preserve">Damien, </w:t>
            </w:r>
            <w:proofErr w:type="spellStart"/>
            <w:r>
              <w:t>Yann</w:t>
            </w:r>
            <w:proofErr w:type="spellEnd"/>
          </w:p>
        </w:tc>
      </w:tr>
      <w:tr w:rsidR="00996402" w14:paraId="6ABB2DB1" w14:textId="77777777" w:rsidTr="00B36F2F">
        <w:trPr>
          <w:jc w:val="center"/>
        </w:trPr>
        <w:tc>
          <w:tcPr>
            <w:tcW w:w="959" w:type="dxa"/>
          </w:tcPr>
          <w:p w14:paraId="65E3D136" w14:textId="77777777" w:rsidR="00996402" w:rsidRDefault="00996402" w:rsidP="00B36F2F">
            <w:r>
              <w:t>0.4</w:t>
            </w:r>
          </w:p>
        </w:tc>
        <w:tc>
          <w:tcPr>
            <w:tcW w:w="1701" w:type="dxa"/>
          </w:tcPr>
          <w:p w14:paraId="6FDE02A5" w14:textId="77777777" w:rsidR="00996402" w:rsidRDefault="00996402" w:rsidP="00B36F2F">
            <w:r>
              <w:t>16 July 2012</w:t>
            </w:r>
          </w:p>
        </w:tc>
        <w:tc>
          <w:tcPr>
            <w:tcW w:w="3288" w:type="dxa"/>
          </w:tcPr>
          <w:p w14:paraId="331861B6" w14:textId="77777777" w:rsidR="00996402" w:rsidRDefault="00E976FA" w:rsidP="0069395D">
            <w:r>
              <w:t>Significant</w:t>
            </w:r>
            <w:r w:rsidR="00996402">
              <w:t xml:space="preserve"> edits</w:t>
            </w:r>
            <w:r>
              <w:t xml:space="preserve"> on data flows</w:t>
            </w:r>
          </w:p>
        </w:tc>
        <w:tc>
          <w:tcPr>
            <w:tcW w:w="3374" w:type="dxa"/>
          </w:tcPr>
          <w:p w14:paraId="49696101" w14:textId="77777777" w:rsidR="00996402" w:rsidRDefault="00996402" w:rsidP="00B36F2F">
            <w:r>
              <w:t>David</w:t>
            </w:r>
          </w:p>
        </w:tc>
      </w:tr>
      <w:tr w:rsidR="0081165D" w14:paraId="704DB482" w14:textId="77777777" w:rsidTr="00B36F2F">
        <w:trPr>
          <w:jc w:val="center"/>
        </w:trPr>
        <w:tc>
          <w:tcPr>
            <w:tcW w:w="959" w:type="dxa"/>
          </w:tcPr>
          <w:p w14:paraId="29D4C056" w14:textId="77777777" w:rsidR="0081165D" w:rsidRDefault="0081165D" w:rsidP="00B36F2F">
            <w:r>
              <w:t>0.5</w:t>
            </w:r>
          </w:p>
        </w:tc>
        <w:tc>
          <w:tcPr>
            <w:tcW w:w="1701" w:type="dxa"/>
          </w:tcPr>
          <w:p w14:paraId="61E35F55" w14:textId="77777777" w:rsidR="0081165D" w:rsidRDefault="0081165D" w:rsidP="00B36F2F">
            <w:r>
              <w:t>18/07/2012</w:t>
            </w:r>
          </w:p>
        </w:tc>
        <w:tc>
          <w:tcPr>
            <w:tcW w:w="3288" w:type="dxa"/>
          </w:tcPr>
          <w:p w14:paraId="6ACD33A4" w14:textId="77777777" w:rsidR="0081165D" w:rsidRDefault="0081165D" w:rsidP="0069395D">
            <w:r>
              <w:t>Workflow updated</w:t>
            </w:r>
          </w:p>
        </w:tc>
        <w:tc>
          <w:tcPr>
            <w:tcW w:w="3374" w:type="dxa"/>
          </w:tcPr>
          <w:p w14:paraId="5D430CC4" w14:textId="77777777" w:rsidR="0081165D" w:rsidRDefault="0081165D" w:rsidP="00B36F2F">
            <w:r>
              <w:t xml:space="preserve">Damien, </w:t>
            </w:r>
            <w:proofErr w:type="spellStart"/>
            <w:r>
              <w:t>Yann</w:t>
            </w:r>
            <w:proofErr w:type="spellEnd"/>
          </w:p>
        </w:tc>
      </w:tr>
      <w:tr w:rsidR="004677EA" w14:paraId="23C1D331" w14:textId="77777777" w:rsidTr="00B36F2F">
        <w:trPr>
          <w:jc w:val="center"/>
        </w:trPr>
        <w:tc>
          <w:tcPr>
            <w:tcW w:w="959" w:type="dxa"/>
          </w:tcPr>
          <w:p w14:paraId="7012E259" w14:textId="77777777" w:rsidR="004677EA" w:rsidRDefault="004677EA" w:rsidP="00B36F2F">
            <w:r>
              <w:t>0.6</w:t>
            </w:r>
          </w:p>
        </w:tc>
        <w:tc>
          <w:tcPr>
            <w:tcW w:w="1701" w:type="dxa"/>
          </w:tcPr>
          <w:p w14:paraId="1F826BBE" w14:textId="77777777" w:rsidR="004677EA" w:rsidRDefault="004677EA" w:rsidP="00B36F2F">
            <w:r>
              <w:t>18 July 2012</w:t>
            </w:r>
          </w:p>
        </w:tc>
        <w:tc>
          <w:tcPr>
            <w:tcW w:w="3288" w:type="dxa"/>
          </w:tcPr>
          <w:p w14:paraId="696C11CA" w14:textId="77777777" w:rsidR="004677EA" w:rsidRDefault="004677EA" w:rsidP="0069395D">
            <w:r>
              <w:t>Minor edits</w:t>
            </w:r>
          </w:p>
        </w:tc>
        <w:tc>
          <w:tcPr>
            <w:tcW w:w="3374" w:type="dxa"/>
          </w:tcPr>
          <w:p w14:paraId="71F3744E" w14:textId="77777777" w:rsidR="004677EA" w:rsidRDefault="004677EA" w:rsidP="00B36F2F">
            <w:r>
              <w:t>David</w:t>
            </w:r>
          </w:p>
        </w:tc>
      </w:tr>
      <w:tr w:rsidR="009F2669" w14:paraId="3F1F33D1" w14:textId="77777777" w:rsidTr="00B36F2F">
        <w:trPr>
          <w:jc w:val="center"/>
        </w:trPr>
        <w:tc>
          <w:tcPr>
            <w:tcW w:w="959" w:type="dxa"/>
          </w:tcPr>
          <w:p w14:paraId="5DCFC635" w14:textId="77777777" w:rsidR="009F2669" w:rsidRDefault="009F2669" w:rsidP="00B36F2F">
            <w:r>
              <w:t>0.7</w:t>
            </w:r>
          </w:p>
        </w:tc>
        <w:tc>
          <w:tcPr>
            <w:tcW w:w="1701" w:type="dxa"/>
          </w:tcPr>
          <w:p w14:paraId="06F3BD11" w14:textId="77777777" w:rsidR="009F2669" w:rsidRDefault="009F2669" w:rsidP="00B36F2F">
            <w:r>
              <w:t>18/07/2012</w:t>
            </w:r>
          </w:p>
        </w:tc>
        <w:tc>
          <w:tcPr>
            <w:tcW w:w="3288" w:type="dxa"/>
          </w:tcPr>
          <w:p w14:paraId="4FA8F889" w14:textId="77777777" w:rsidR="009F2669" w:rsidRDefault="00571F57" w:rsidP="0069395D">
            <w:r>
              <w:t>Review previous version, a</w:t>
            </w:r>
            <w:r w:rsidR="009F2669">
              <w:t>dd a comment</w:t>
            </w:r>
          </w:p>
        </w:tc>
        <w:tc>
          <w:tcPr>
            <w:tcW w:w="3374" w:type="dxa"/>
          </w:tcPr>
          <w:p w14:paraId="205384ED" w14:textId="77777777" w:rsidR="009F2669" w:rsidRDefault="009F2669" w:rsidP="00B36F2F">
            <w:r>
              <w:t xml:space="preserve">Damien, </w:t>
            </w:r>
            <w:proofErr w:type="spellStart"/>
            <w:r>
              <w:t>Yann</w:t>
            </w:r>
            <w:proofErr w:type="spellEnd"/>
          </w:p>
        </w:tc>
      </w:tr>
      <w:tr w:rsidR="004E67CA" w14:paraId="3E11FFCE" w14:textId="77777777" w:rsidTr="00B36F2F">
        <w:trPr>
          <w:jc w:val="center"/>
        </w:trPr>
        <w:tc>
          <w:tcPr>
            <w:tcW w:w="959" w:type="dxa"/>
          </w:tcPr>
          <w:p w14:paraId="2B13A9DA" w14:textId="77777777" w:rsidR="004E67CA" w:rsidRDefault="004E67CA" w:rsidP="00B36F2F">
            <w:r>
              <w:t>0.8</w:t>
            </w:r>
          </w:p>
        </w:tc>
        <w:tc>
          <w:tcPr>
            <w:tcW w:w="1701" w:type="dxa"/>
          </w:tcPr>
          <w:p w14:paraId="2C67CA44" w14:textId="77777777" w:rsidR="004E67CA" w:rsidRDefault="004E67CA" w:rsidP="00B36F2F">
            <w:r>
              <w:t>19 July</w:t>
            </w:r>
          </w:p>
        </w:tc>
        <w:tc>
          <w:tcPr>
            <w:tcW w:w="3288" w:type="dxa"/>
          </w:tcPr>
          <w:p w14:paraId="24C763C7" w14:textId="77777777" w:rsidR="004E67CA" w:rsidRDefault="004E67CA" w:rsidP="0069395D">
            <w:r>
              <w:t>Corrected inconsistencies</w:t>
            </w:r>
          </w:p>
        </w:tc>
        <w:tc>
          <w:tcPr>
            <w:tcW w:w="3374" w:type="dxa"/>
          </w:tcPr>
          <w:p w14:paraId="104B914D" w14:textId="77777777" w:rsidR="004E67CA" w:rsidRDefault="004E67CA" w:rsidP="00B36F2F">
            <w:r>
              <w:t>David</w:t>
            </w:r>
          </w:p>
        </w:tc>
      </w:tr>
      <w:tr w:rsidR="007563D8" w14:paraId="2320F1CF" w14:textId="77777777" w:rsidTr="00B36F2F">
        <w:trPr>
          <w:jc w:val="center"/>
        </w:trPr>
        <w:tc>
          <w:tcPr>
            <w:tcW w:w="959" w:type="dxa"/>
          </w:tcPr>
          <w:p w14:paraId="538F4A97" w14:textId="77777777" w:rsidR="007563D8" w:rsidRDefault="007563D8" w:rsidP="00B36F2F">
            <w:r>
              <w:t>0.9</w:t>
            </w:r>
          </w:p>
        </w:tc>
        <w:tc>
          <w:tcPr>
            <w:tcW w:w="1701" w:type="dxa"/>
          </w:tcPr>
          <w:p w14:paraId="3B2D6B02" w14:textId="77777777" w:rsidR="007563D8" w:rsidRDefault="007563D8" w:rsidP="00B36F2F">
            <w:r>
              <w:t>27 July 2012</w:t>
            </w:r>
          </w:p>
        </w:tc>
        <w:tc>
          <w:tcPr>
            <w:tcW w:w="3288" w:type="dxa"/>
          </w:tcPr>
          <w:p w14:paraId="586EF1A2" w14:textId="77777777" w:rsidR="007563D8" w:rsidRDefault="007563D8" w:rsidP="0069395D">
            <w:bookmarkStart w:id="0" w:name="_GoBack"/>
            <w:r>
              <w:t>Correct minor inconsistencies</w:t>
            </w:r>
            <w:bookmarkEnd w:id="0"/>
          </w:p>
        </w:tc>
        <w:tc>
          <w:tcPr>
            <w:tcW w:w="3374" w:type="dxa"/>
          </w:tcPr>
          <w:p w14:paraId="3338BFC0" w14:textId="77777777" w:rsidR="007563D8" w:rsidRDefault="007563D8" w:rsidP="00B36F2F">
            <w:r>
              <w:t>David</w:t>
            </w:r>
          </w:p>
        </w:tc>
      </w:tr>
      <w:tr w:rsidR="00511B19" w14:paraId="60F9B3C1" w14:textId="77777777" w:rsidTr="00B36F2F">
        <w:trPr>
          <w:jc w:val="center"/>
        </w:trPr>
        <w:tc>
          <w:tcPr>
            <w:tcW w:w="959" w:type="dxa"/>
          </w:tcPr>
          <w:p w14:paraId="41E9497F" w14:textId="77777777" w:rsidR="00511B19" w:rsidRDefault="00511B19" w:rsidP="00B36F2F">
            <w:r>
              <w:t>1.0</w:t>
            </w:r>
          </w:p>
        </w:tc>
        <w:tc>
          <w:tcPr>
            <w:tcW w:w="1701" w:type="dxa"/>
          </w:tcPr>
          <w:p w14:paraId="2DB568ED" w14:textId="77777777" w:rsidR="00511B19" w:rsidRDefault="00511B19" w:rsidP="00B36F2F">
            <w:r>
              <w:t>28 July 2012</w:t>
            </w:r>
          </w:p>
        </w:tc>
        <w:tc>
          <w:tcPr>
            <w:tcW w:w="3288" w:type="dxa"/>
          </w:tcPr>
          <w:p w14:paraId="23871322" w14:textId="77777777" w:rsidR="00511B19" w:rsidRDefault="00511B19" w:rsidP="0069395D">
            <w:r>
              <w:t>First Public release</w:t>
            </w:r>
          </w:p>
        </w:tc>
        <w:tc>
          <w:tcPr>
            <w:tcW w:w="3374" w:type="dxa"/>
          </w:tcPr>
          <w:p w14:paraId="0FF5BA53" w14:textId="77777777" w:rsidR="00511B19" w:rsidRDefault="00511B19" w:rsidP="00B36F2F">
            <w:r>
              <w:t>Kristy</w:t>
            </w:r>
          </w:p>
        </w:tc>
      </w:tr>
    </w:tbl>
    <w:p w14:paraId="6671D664" w14:textId="77777777" w:rsidR="002D285D" w:rsidRDefault="002D285D" w:rsidP="002D285D">
      <w:pPr>
        <w:pStyle w:val="Heading1"/>
      </w:pPr>
      <w:r>
        <w:t>Introduction</w:t>
      </w:r>
    </w:p>
    <w:p w14:paraId="383AAE05" w14:textId="77777777" w:rsidR="002D285D" w:rsidRDefault="002D285D" w:rsidP="00771B14">
      <w:pPr>
        <w:ind w:firstLine="720"/>
        <w:jc w:val="both"/>
      </w:pPr>
      <w:r>
        <w:t xml:space="preserve">In order to bring federated access to OpenStack, we will create </w:t>
      </w:r>
      <w:r w:rsidR="00244D10">
        <w:t xml:space="preserve">a </w:t>
      </w:r>
      <w:r w:rsidR="007908C2">
        <w:t>new</w:t>
      </w:r>
      <w:r>
        <w:t xml:space="preserve"> middleware </w:t>
      </w:r>
      <w:r w:rsidR="007908C2">
        <w:t xml:space="preserve">component </w:t>
      </w:r>
      <w:r>
        <w:t>responsible for the different</w:t>
      </w:r>
      <w:r w:rsidR="007908C2">
        <w:t xml:space="preserve"> federation</w:t>
      </w:r>
      <w:r>
        <w:t xml:space="preserve"> services we need: Discovery and </w:t>
      </w:r>
      <w:r w:rsidR="007908C2">
        <w:t xml:space="preserve">Credential </w:t>
      </w:r>
      <w:r>
        <w:t>Validation. Th</w:t>
      </w:r>
      <w:r w:rsidR="00DB33DF">
        <w:t>is</w:t>
      </w:r>
      <w:r>
        <w:t xml:space="preserve"> middleware</w:t>
      </w:r>
      <w:r w:rsidR="007908C2">
        <w:t xml:space="preserve"> component</w:t>
      </w:r>
      <w:r>
        <w:t xml:space="preserve"> will be inserted in the Keystone pipeline. </w:t>
      </w:r>
      <w:r w:rsidR="00244D10">
        <w:t>It</w:t>
      </w:r>
      <w:r>
        <w:t xml:space="preserve"> </w:t>
      </w:r>
      <w:r w:rsidR="007908C2">
        <w:t xml:space="preserve">will </w:t>
      </w:r>
      <w:r>
        <w:t>catch and process the incoming requests and the responses from and to the client</w:t>
      </w:r>
      <w:r w:rsidR="007908C2">
        <w:t xml:space="preserve">, and will talk to </w:t>
      </w:r>
      <w:r w:rsidR="00244D10">
        <w:t xml:space="preserve">the different </w:t>
      </w:r>
      <w:r w:rsidR="007908C2">
        <w:t>federation services</w:t>
      </w:r>
      <w:r>
        <w:t>. This new design requires a rework of the clients if they want to use these features. As the different OpenStack clients (Swift, Nova</w:t>
      </w:r>
      <w:r w:rsidR="00495BC7">
        <w:t xml:space="preserve"> etc.</w:t>
      </w:r>
      <w:r>
        <w:t>) have different design</w:t>
      </w:r>
      <w:r w:rsidR="00495BC7">
        <w:t>s</w:t>
      </w:r>
      <w:r>
        <w:t>, it w</w:t>
      </w:r>
      <w:r w:rsidR="00996402">
        <w:t>ill</w:t>
      </w:r>
      <w:r>
        <w:t xml:space="preserve"> be easier </w:t>
      </w:r>
      <w:r w:rsidR="0065082A" w:rsidRPr="0065082A">
        <w:t>to create a library</w:t>
      </w:r>
      <w:r w:rsidR="004E67CA">
        <w:t xml:space="preserve"> [1]</w:t>
      </w:r>
      <w:r w:rsidR="0065082A" w:rsidRPr="0065082A">
        <w:t xml:space="preserve"> that </w:t>
      </w:r>
      <w:r w:rsidR="00996402">
        <w:t>can</w:t>
      </w:r>
      <w:r w:rsidR="0065082A" w:rsidRPr="0065082A">
        <w:t xml:space="preserve"> be used by them to simplify the implementation.</w:t>
      </w:r>
      <w:r w:rsidR="004E67CA">
        <w:t xml:space="preserve"> </w:t>
      </w:r>
    </w:p>
    <w:p w14:paraId="3E32BAAD" w14:textId="77777777" w:rsidR="002D285D" w:rsidRDefault="002D285D" w:rsidP="002D285D">
      <w:pPr>
        <w:pStyle w:val="Heading1"/>
      </w:pPr>
      <w:r>
        <w:lastRenderedPageBreak/>
        <w:t>Workflow</w:t>
      </w:r>
    </w:p>
    <w:p w14:paraId="3B3055EA" w14:textId="77777777" w:rsidR="002D285D" w:rsidRDefault="00E6713D" w:rsidP="002D285D">
      <w:pPr>
        <w:jc w:val="center"/>
      </w:pPr>
      <w:r>
        <w:rPr>
          <w:noProof/>
        </w:rPr>
        <w:drawing>
          <wp:inline distT="0" distB="0" distL="0" distR="0" wp14:anchorId="0E835ECB" wp14:editId="60D85388">
            <wp:extent cx="6604186" cy="3892122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kflow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4186" cy="3892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CCE65" w14:textId="77777777" w:rsidR="000875F5" w:rsidRDefault="000875F5" w:rsidP="00706AFA">
      <w:pPr>
        <w:jc w:val="both"/>
      </w:pPr>
      <w:r>
        <w:t>It is assumed that either the client is configured with the address of keystone, or the user enters this along with his login credentials</w:t>
      </w:r>
    </w:p>
    <w:p w14:paraId="2B66D11C" w14:textId="77777777" w:rsidR="007908C2" w:rsidRDefault="002D285D" w:rsidP="00E34337">
      <w:pPr>
        <w:pStyle w:val="ListParagraph"/>
        <w:numPr>
          <w:ilvl w:val="0"/>
          <w:numId w:val="2"/>
        </w:numPr>
        <w:jc w:val="both"/>
      </w:pPr>
      <w:r>
        <w:t xml:space="preserve">The user types in </w:t>
      </w:r>
      <w:r w:rsidR="00E34337">
        <w:t>the realm</w:t>
      </w:r>
      <w:r w:rsidR="000A0B11">
        <w:rPr>
          <w:rStyle w:val="FootnoteReference"/>
        </w:rPr>
        <w:footnoteReference w:id="1"/>
      </w:r>
      <w:r w:rsidR="00E34337">
        <w:t xml:space="preserve"> he wants to use </w:t>
      </w:r>
      <w:r w:rsidR="00E976FA">
        <w:t xml:space="preserve">and optionally his tenant </w:t>
      </w:r>
      <w:r w:rsidR="007563D8">
        <w:t>friendly name</w:t>
      </w:r>
      <w:r w:rsidR="004677EA">
        <w:t>.</w:t>
      </w:r>
      <w:r w:rsidR="00E34337">
        <w:t xml:space="preserve"> (</w:t>
      </w:r>
      <w:r w:rsidR="004677EA">
        <w:t xml:space="preserve">Note. </w:t>
      </w:r>
      <w:r w:rsidR="004E67CA">
        <w:t xml:space="preserve">a client function </w:t>
      </w:r>
      <w:r w:rsidR="007563D8">
        <w:t>is</w:t>
      </w:r>
      <w:r w:rsidR="004E67CA">
        <w:t xml:space="preserve"> available for </w:t>
      </w:r>
      <w:r w:rsidR="007563D8">
        <w:t>obtaining the set of available realms</w:t>
      </w:r>
      <w:r w:rsidR="004E67CA">
        <w:t xml:space="preserve"> [1]</w:t>
      </w:r>
      <w:r w:rsidR="00E34337" w:rsidRPr="004C3B8A">
        <w:t>)</w:t>
      </w:r>
      <w:r>
        <w:t xml:space="preserve">. </w:t>
      </w:r>
    </w:p>
    <w:p w14:paraId="2270DF8A" w14:textId="77777777" w:rsidR="002D285D" w:rsidRDefault="00E34337" w:rsidP="006E761F">
      <w:pPr>
        <w:pStyle w:val="ListParagraph"/>
        <w:numPr>
          <w:ilvl w:val="0"/>
          <w:numId w:val="2"/>
        </w:numPr>
        <w:jc w:val="both"/>
      </w:pPr>
      <w:r>
        <w:t>The wanted realm is sent to Keystone</w:t>
      </w:r>
      <w:r w:rsidR="000875F5">
        <w:t>.</w:t>
      </w:r>
    </w:p>
    <w:p w14:paraId="5F3C65BB" w14:textId="77777777" w:rsidR="002D285D" w:rsidRDefault="002D285D" w:rsidP="006E761F">
      <w:pPr>
        <w:pStyle w:val="ListParagraph"/>
        <w:numPr>
          <w:ilvl w:val="0"/>
          <w:numId w:val="2"/>
        </w:numPr>
        <w:jc w:val="both"/>
      </w:pPr>
      <w:r>
        <w:t>The discovery middleware</w:t>
      </w:r>
      <w:r w:rsidR="007908C2">
        <w:t xml:space="preserve"> component</w:t>
      </w:r>
      <w:r>
        <w:t xml:space="preserve"> asks the discovery service </w:t>
      </w:r>
      <w:r w:rsidR="007563D8">
        <w:t>for the endpoint of the</w:t>
      </w:r>
      <w:r>
        <w:t xml:space="preserve"> Identity Provider the client should be redirected to in order to authenticate.</w:t>
      </w:r>
      <w:r w:rsidR="00671920">
        <w:t xml:space="preserve"> Note that every different IdP scheme (Shibboleth, Liberty Alliance, </w:t>
      </w:r>
      <w:proofErr w:type="spellStart"/>
      <w:r w:rsidR="00671920">
        <w:t>OpenID</w:t>
      </w:r>
      <w:proofErr w:type="spellEnd"/>
      <w:r w:rsidR="00671920">
        <w:t xml:space="preserve">, Oath etc.) may have a different discovery mechanism, so these components </w:t>
      </w:r>
      <w:r w:rsidR="00495BC7">
        <w:t xml:space="preserve">(discovery middleware and service) </w:t>
      </w:r>
      <w:r w:rsidR="00671920">
        <w:t>need to be replaceable. However the API to the discovery middleware should be fixed</w:t>
      </w:r>
      <w:r w:rsidR="00495BC7">
        <w:rPr>
          <w:rStyle w:val="FootnoteReference"/>
        </w:rPr>
        <w:footnoteReference w:id="2"/>
      </w:r>
      <w:r w:rsidR="00671920">
        <w:t>.</w:t>
      </w:r>
    </w:p>
    <w:p w14:paraId="2B17A468" w14:textId="77777777" w:rsidR="002D285D" w:rsidRDefault="002D285D" w:rsidP="006E761F">
      <w:pPr>
        <w:pStyle w:val="ListParagraph"/>
        <w:numPr>
          <w:ilvl w:val="0"/>
          <w:numId w:val="2"/>
        </w:numPr>
        <w:jc w:val="both"/>
      </w:pPr>
      <w:r>
        <w:t>The discovery service repl</w:t>
      </w:r>
      <w:r w:rsidR="007908C2">
        <w:t>ies</w:t>
      </w:r>
      <w:r>
        <w:t xml:space="preserve"> to the</w:t>
      </w:r>
      <w:r w:rsidR="00495BC7">
        <w:t xml:space="preserve"> discovery</w:t>
      </w:r>
      <w:r>
        <w:t xml:space="preserve"> middleware</w:t>
      </w:r>
      <w:r w:rsidR="00495BC7">
        <w:t xml:space="preserve"> component</w:t>
      </w:r>
      <w:r>
        <w:t xml:space="preserve"> telling </w:t>
      </w:r>
      <w:r w:rsidR="007908C2">
        <w:t>it</w:t>
      </w:r>
      <w:r w:rsidR="004677EA">
        <w:t xml:space="preserve"> the endpoint of</w:t>
      </w:r>
      <w:r w:rsidR="00BB52C6">
        <w:t xml:space="preserve"> </w:t>
      </w:r>
      <w:r w:rsidR="00CE4396">
        <w:t>the</w:t>
      </w:r>
      <w:r>
        <w:t xml:space="preserve"> IdP the user has to use.</w:t>
      </w:r>
    </w:p>
    <w:p w14:paraId="450AEBB8" w14:textId="77777777" w:rsidR="002D285D" w:rsidRDefault="002D285D" w:rsidP="006E761F">
      <w:pPr>
        <w:pStyle w:val="ListParagraph"/>
        <w:numPr>
          <w:ilvl w:val="0"/>
          <w:numId w:val="2"/>
        </w:numPr>
        <w:jc w:val="both"/>
      </w:pPr>
      <w:r>
        <w:t xml:space="preserve">The </w:t>
      </w:r>
      <w:r w:rsidR="004677EA">
        <w:t xml:space="preserve">endpoint of the </w:t>
      </w:r>
      <w:r>
        <w:t>IdP to use is sent back to the client</w:t>
      </w:r>
      <w:r w:rsidR="000875F5">
        <w:t xml:space="preserve">, along with </w:t>
      </w:r>
      <w:r w:rsidR="00495BC7">
        <w:t xml:space="preserve">a correctly formatted IdP request message for </w:t>
      </w:r>
      <w:r w:rsidR="000875F5">
        <w:t>the list of required attributes</w:t>
      </w:r>
      <w:r w:rsidR="00EE1B5D">
        <w:t xml:space="preserve"> (the request blob)</w:t>
      </w:r>
      <w:r>
        <w:t>.</w:t>
      </w:r>
      <w:r w:rsidR="00671920">
        <w:t xml:space="preserve"> Note that in the simple </w:t>
      </w:r>
      <w:r w:rsidR="00671920">
        <w:lastRenderedPageBreak/>
        <w:t>case the list of attributes will be * (meaning All).</w:t>
      </w:r>
      <w:r w:rsidR="00495BC7">
        <w:t xml:space="preserve"> Note that the format of the IdP request message</w:t>
      </w:r>
      <w:r w:rsidR="00EE1B5D">
        <w:t xml:space="preserve"> (the request blob)</w:t>
      </w:r>
      <w:r w:rsidR="00495BC7">
        <w:t xml:space="preserve"> will vary according to the IdP scheme in use</w:t>
      </w:r>
      <w:r w:rsidR="00EE1B5D">
        <w:rPr>
          <w:rStyle w:val="FootnoteReference"/>
        </w:rPr>
        <w:footnoteReference w:id="3"/>
      </w:r>
      <w:r w:rsidR="00495BC7">
        <w:t>.</w:t>
      </w:r>
    </w:p>
    <w:p w14:paraId="4F01C5B0" w14:textId="77777777" w:rsidR="002D285D" w:rsidRDefault="002D285D" w:rsidP="006E761F">
      <w:pPr>
        <w:pStyle w:val="ListParagraph"/>
        <w:numPr>
          <w:ilvl w:val="0"/>
          <w:numId w:val="2"/>
        </w:numPr>
        <w:jc w:val="both"/>
      </w:pPr>
      <w:r>
        <w:t xml:space="preserve">The client </w:t>
      </w:r>
      <w:r w:rsidR="004677EA">
        <w:t xml:space="preserve">opens up the user’s default browser </w:t>
      </w:r>
      <w:r w:rsidR="004E67CA">
        <w:t xml:space="preserve">in a new window </w:t>
      </w:r>
      <w:r w:rsidR="004677EA">
        <w:t>and passes it</w:t>
      </w:r>
      <w:r w:rsidR="00EE1B5D">
        <w:t xml:space="preserve"> a</w:t>
      </w:r>
      <w:r w:rsidR="00CE5D5D">
        <w:t>n</w:t>
      </w:r>
      <w:r w:rsidR="00EE1B5D">
        <w:t xml:space="preserve"> Http</w:t>
      </w:r>
      <w:r w:rsidR="00371FDA">
        <w:t>s</w:t>
      </w:r>
      <w:r w:rsidR="00EE1B5D">
        <w:t xml:space="preserve"> get request</w:t>
      </w:r>
      <w:r>
        <w:t xml:space="preserve"> to the </w:t>
      </w:r>
      <w:proofErr w:type="spellStart"/>
      <w:r>
        <w:t>IdP</w:t>
      </w:r>
      <w:r w:rsidR="004677EA">
        <w:t>’s</w:t>
      </w:r>
      <w:proofErr w:type="spellEnd"/>
      <w:r w:rsidR="004677EA">
        <w:t xml:space="preserve"> endpoint,</w:t>
      </w:r>
      <w:r w:rsidR="00EE1B5D">
        <w:t xml:space="preserve"> </w:t>
      </w:r>
      <w:r w:rsidR="004677EA">
        <w:t>containing</w:t>
      </w:r>
      <w:r w:rsidR="00EE1B5D">
        <w:t xml:space="preserve"> the “request blob”</w:t>
      </w:r>
      <w:r w:rsidR="000875F5">
        <w:t xml:space="preserve"> (</w:t>
      </w:r>
      <w:r w:rsidR="00371FDA">
        <w:t xml:space="preserve">Secure </w:t>
      </w:r>
      <w:r w:rsidR="000875F5">
        <w:t xml:space="preserve">Get on login URL). </w:t>
      </w:r>
      <w:r w:rsidR="007908C2">
        <w:t xml:space="preserve">Note that </w:t>
      </w:r>
      <w:r w:rsidR="00371FDA">
        <w:t>by instantiating the user’s browser, the client code</w:t>
      </w:r>
      <w:r w:rsidR="004677EA">
        <w:t xml:space="preserve"> is independent of the</w:t>
      </w:r>
      <w:r w:rsidR="007908C2">
        <w:t xml:space="preserve"> authentication mechanism</w:t>
      </w:r>
      <w:r w:rsidR="004677EA">
        <w:t xml:space="preserve"> actually used by the IdP</w:t>
      </w:r>
      <w:r w:rsidR="007908C2">
        <w:t xml:space="preserve">, </w:t>
      </w:r>
      <w:r w:rsidR="004677EA">
        <w:t>since the authentication exchange will be between the user’s browser and the IdP</w:t>
      </w:r>
      <w:r w:rsidR="00371FDA">
        <w:t>.</w:t>
      </w:r>
    </w:p>
    <w:p w14:paraId="1209D498" w14:textId="77777777" w:rsidR="00E34337" w:rsidRDefault="00E34337" w:rsidP="006E761F">
      <w:pPr>
        <w:pStyle w:val="ListParagraph"/>
        <w:numPr>
          <w:ilvl w:val="0"/>
          <w:numId w:val="2"/>
        </w:numPr>
        <w:jc w:val="both"/>
      </w:pPr>
      <w:r>
        <w:t>The login page is sent directly to the user</w:t>
      </w:r>
      <w:r w:rsidR="004677EA">
        <w:t>’s</w:t>
      </w:r>
      <w:r>
        <w:t xml:space="preserve"> default browser.</w:t>
      </w:r>
    </w:p>
    <w:p w14:paraId="1E2D9507" w14:textId="77777777" w:rsidR="00E34337" w:rsidRDefault="00E34337" w:rsidP="006E761F">
      <w:pPr>
        <w:pStyle w:val="ListParagraph"/>
        <w:numPr>
          <w:ilvl w:val="0"/>
          <w:numId w:val="2"/>
        </w:numPr>
        <w:jc w:val="both"/>
      </w:pPr>
      <w:r>
        <w:t>The user log</w:t>
      </w:r>
      <w:r w:rsidR="004677EA">
        <w:t>s</w:t>
      </w:r>
      <w:r>
        <w:t xml:space="preserve"> in to the </w:t>
      </w:r>
      <w:proofErr w:type="spellStart"/>
      <w:r>
        <w:t>IdP</w:t>
      </w:r>
      <w:proofErr w:type="spellEnd"/>
      <w:r w:rsidR="004E67CA">
        <w:t xml:space="preserve"> via his browser window</w:t>
      </w:r>
      <w:r>
        <w:t>.</w:t>
      </w:r>
    </w:p>
    <w:p w14:paraId="55BADDCC" w14:textId="77777777" w:rsidR="002D285D" w:rsidRDefault="002D285D" w:rsidP="006E761F">
      <w:pPr>
        <w:pStyle w:val="ListParagraph"/>
        <w:numPr>
          <w:ilvl w:val="0"/>
          <w:numId w:val="2"/>
        </w:numPr>
        <w:jc w:val="both"/>
      </w:pPr>
      <w:r>
        <w:t xml:space="preserve">Upon successful authentication, the IdP sends the </w:t>
      </w:r>
      <w:r w:rsidR="00EE1B5D">
        <w:t>“</w:t>
      </w:r>
      <w:r w:rsidR="00671920">
        <w:t>response</w:t>
      </w:r>
      <w:r w:rsidR="00EE1B5D">
        <w:t xml:space="preserve"> blob”</w:t>
      </w:r>
      <w:r w:rsidR="00671920">
        <w:t xml:space="preserve"> (e.g. </w:t>
      </w:r>
      <w:r>
        <w:t xml:space="preserve">SAML </w:t>
      </w:r>
      <w:proofErr w:type="spellStart"/>
      <w:r w:rsidR="000875F5">
        <w:t>authn</w:t>
      </w:r>
      <w:proofErr w:type="spellEnd"/>
      <w:r w:rsidR="000875F5">
        <w:t xml:space="preserve"> and attribute</w:t>
      </w:r>
      <w:r w:rsidR="00671920">
        <w:t xml:space="preserve"> assertions</w:t>
      </w:r>
      <w:r w:rsidR="000875F5">
        <w:t>)</w:t>
      </w:r>
      <w:r>
        <w:t xml:space="preserve"> to the </w:t>
      </w:r>
      <w:r w:rsidR="000875F5">
        <w:t>client</w:t>
      </w:r>
      <w:r w:rsidR="004E67CA">
        <w:t>’s browser</w:t>
      </w:r>
      <w:r w:rsidR="00EE1B5D">
        <w:t xml:space="preserve"> in the form of a redirect message to the Keystone service (e.g. Form POST)</w:t>
      </w:r>
      <w:r w:rsidR="000875F5">
        <w:t xml:space="preserve">. </w:t>
      </w:r>
      <w:r w:rsidR="00371FDA">
        <w:t>Note that the metadata for Keystone tells the IdP to redirect it to the alternative SSL port on the local host</w:t>
      </w:r>
      <w:r w:rsidR="004E67CA">
        <w:t>, so the browser does this</w:t>
      </w:r>
      <w:r w:rsidR="00371FDA">
        <w:t>. The client polls this port until it is able to pick up the response message. The client</w:t>
      </w:r>
      <w:r w:rsidR="004E67CA">
        <w:t xml:space="preserve"> then</w:t>
      </w:r>
      <w:r w:rsidR="00371FDA">
        <w:t xml:space="preserve"> closes the user’s browser window</w:t>
      </w:r>
      <w:r w:rsidR="007563D8">
        <w:rPr>
          <w:rStyle w:val="FootnoteReference"/>
        </w:rPr>
        <w:footnoteReference w:id="4"/>
      </w:r>
      <w:r w:rsidR="00371FDA">
        <w:t xml:space="preserve">. </w:t>
      </w:r>
    </w:p>
    <w:p w14:paraId="7CDBB40C" w14:textId="77777777" w:rsidR="001C63A2" w:rsidRDefault="002D285D" w:rsidP="006E761F">
      <w:pPr>
        <w:pStyle w:val="ListParagraph"/>
        <w:numPr>
          <w:ilvl w:val="0"/>
          <w:numId w:val="2"/>
        </w:numPr>
        <w:jc w:val="both"/>
      </w:pPr>
      <w:r>
        <w:t>The client sends the response</w:t>
      </w:r>
      <w:r w:rsidR="00AB4DB7">
        <w:t xml:space="preserve"> blob</w:t>
      </w:r>
      <w:r>
        <w:t xml:space="preserve"> to Keystone.</w:t>
      </w:r>
    </w:p>
    <w:p w14:paraId="13972181" w14:textId="77777777" w:rsidR="002D285D" w:rsidRDefault="002D285D" w:rsidP="006E761F">
      <w:pPr>
        <w:pStyle w:val="ListParagraph"/>
        <w:numPr>
          <w:ilvl w:val="0"/>
          <w:numId w:val="2"/>
        </w:numPr>
        <w:jc w:val="both"/>
      </w:pPr>
      <w:r>
        <w:t xml:space="preserve">The validation middleware sends the </w:t>
      </w:r>
      <w:r w:rsidR="00AB4DB7">
        <w:t>response blob</w:t>
      </w:r>
      <w:r>
        <w:t xml:space="preserve"> to the</w:t>
      </w:r>
      <w:r w:rsidR="00E64F63">
        <w:t xml:space="preserve"> credential</w:t>
      </w:r>
      <w:r>
        <w:t xml:space="preserve"> validation service.</w:t>
      </w:r>
    </w:p>
    <w:p w14:paraId="27ED1021" w14:textId="77777777" w:rsidR="002D285D" w:rsidRDefault="002D285D" w:rsidP="00E64F63">
      <w:pPr>
        <w:pStyle w:val="ListParagraph"/>
        <w:numPr>
          <w:ilvl w:val="0"/>
          <w:numId w:val="2"/>
        </w:numPr>
        <w:jc w:val="both"/>
      </w:pPr>
      <w:r>
        <w:t>The</w:t>
      </w:r>
      <w:r w:rsidR="00E64F63">
        <w:t xml:space="preserve"> credential</w:t>
      </w:r>
      <w:r>
        <w:t xml:space="preserve"> validation service validates the</w:t>
      </w:r>
      <w:r w:rsidR="00E976FA">
        <w:t xml:space="preserve"> </w:t>
      </w:r>
      <w:proofErr w:type="spellStart"/>
      <w:r w:rsidR="00E976FA">
        <w:t>IdP’s</w:t>
      </w:r>
      <w:proofErr w:type="spellEnd"/>
      <w:r>
        <w:t xml:space="preserve"> assertion</w:t>
      </w:r>
      <w:r w:rsidR="00E64F63">
        <w:t>s and returns the set of user attributes to the validation middleware</w:t>
      </w:r>
      <w:r>
        <w:t>.</w:t>
      </w:r>
      <w:r w:rsidR="00E64F63">
        <w:t xml:space="preserve"> The middleware looks up the user in the Keystone database</w:t>
      </w:r>
      <w:r w:rsidR="004E67CA">
        <w:t xml:space="preserve"> and is returned his set of tenants. Note that every user should be uniquely identified by one attribute, which is configured into the middleware [2]</w:t>
      </w:r>
      <w:r w:rsidR="00E64F63">
        <w:t>. If the user exists</w:t>
      </w:r>
      <w:r w:rsidR="00371FDA">
        <w:t xml:space="preserve"> and the tenant ID was provided and it belongs to the user, then </w:t>
      </w:r>
      <w:proofErr w:type="spellStart"/>
      <w:r w:rsidR="00371FDA">
        <w:t>goto</w:t>
      </w:r>
      <w:proofErr w:type="spellEnd"/>
      <w:r w:rsidR="00371FDA">
        <w:t xml:space="preserve"> 16</w:t>
      </w:r>
      <w:r w:rsidR="00E64F63">
        <w:t xml:space="preserve">, </w:t>
      </w:r>
      <w:r w:rsidR="00371FDA">
        <w:t>otherwise</w:t>
      </w:r>
    </w:p>
    <w:p w14:paraId="4C9099A7" w14:textId="77777777" w:rsidR="002D285D" w:rsidRDefault="00E64F63" w:rsidP="006E761F">
      <w:pPr>
        <w:pStyle w:val="ListParagraph"/>
        <w:numPr>
          <w:ilvl w:val="0"/>
          <w:numId w:val="2"/>
        </w:numPr>
        <w:jc w:val="both"/>
      </w:pPr>
      <w:r>
        <w:t>The validation middleware</w:t>
      </w:r>
      <w:r w:rsidR="002D285D">
        <w:t xml:space="preserve"> </w:t>
      </w:r>
      <w:r w:rsidR="004E67CA">
        <w:t xml:space="preserve">creates new tenants for each one that the user is entitled to, but does not yet have (according to the middleware configuration file [2]) and then </w:t>
      </w:r>
      <w:r w:rsidR="002D285D">
        <w:t>sends the “</w:t>
      </w:r>
      <w:proofErr w:type="spellStart"/>
      <w:r w:rsidR="002D285D">
        <w:t>unscoped</w:t>
      </w:r>
      <w:proofErr w:type="spellEnd"/>
      <w:r w:rsidR="002D285D">
        <w:t>” authentication token to the client along with the list of tenant</w:t>
      </w:r>
      <w:r>
        <w:t>s</w:t>
      </w:r>
      <w:r w:rsidR="002D285D">
        <w:t xml:space="preserve"> the user has access to.</w:t>
      </w:r>
    </w:p>
    <w:p w14:paraId="62638970" w14:textId="77777777" w:rsidR="002D285D" w:rsidRDefault="00371FDA" w:rsidP="0081165D">
      <w:pPr>
        <w:pStyle w:val="ListParagraph"/>
        <w:numPr>
          <w:ilvl w:val="0"/>
          <w:numId w:val="2"/>
        </w:numPr>
      </w:pPr>
      <w:r>
        <w:t>T</w:t>
      </w:r>
      <w:r w:rsidR="002D285D">
        <w:t>he user</w:t>
      </w:r>
      <w:r w:rsidR="00E976FA">
        <w:t xml:space="preserve"> is asked to</w:t>
      </w:r>
      <w:r w:rsidR="002D285D">
        <w:t xml:space="preserve"> choose a tenant</w:t>
      </w:r>
      <w:r w:rsidR="004110CF">
        <w:t>.</w:t>
      </w:r>
    </w:p>
    <w:p w14:paraId="1F9C6B80" w14:textId="77777777" w:rsidR="004110CF" w:rsidRDefault="004110CF" w:rsidP="0081165D">
      <w:pPr>
        <w:pStyle w:val="ListParagraph"/>
        <w:numPr>
          <w:ilvl w:val="0"/>
          <w:numId w:val="2"/>
        </w:numPr>
      </w:pPr>
      <w:r>
        <w:t>Th</w:t>
      </w:r>
      <w:r w:rsidR="007563D8">
        <w:t>e chosen</w:t>
      </w:r>
      <w:r>
        <w:t xml:space="preserve"> tenant </w:t>
      </w:r>
      <w:r w:rsidR="00371FDA">
        <w:t xml:space="preserve">ID </w:t>
      </w:r>
      <w:r>
        <w:t>is sent to Keystone along with the “unscoped”</w:t>
      </w:r>
      <w:r w:rsidR="0009455E">
        <w:t xml:space="preserve"> authentication</w:t>
      </w:r>
      <w:r>
        <w:t xml:space="preserve"> token.</w:t>
      </w:r>
    </w:p>
    <w:p w14:paraId="4ED4D0DC" w14:textId="77777777" w:rsidR="002D285D" w:rsidRDefault="002D285D" w:rsidP="006E761F">
      <w:pPr>
        <w:pStyle w:val="ListParagraph"/>
        <w:numPr>
          <w:ilvl w:val="0"/>
          <w:numId w:val="2"/>
        </w:numPr>
        <w:jc w:val="both"/>
      </w:pPr>
      <w:r>
        <w:t>Keystone sends back the “scoped” authentication token associated with this tenant</w:t>
      </w:r>
      <w:r w:rsidR="007563D8">
        <w:t xml:space="preserve"> along with the set of services where it can be used</w:t>
      </w:r>
      <w:r>
        <w:t>.</w:t>
      </w:r>
    </w:p>
    <w:p w14:paraId="555D6D13" w14:textId="77777777" w:rsidR="00E64F63" w:rsidRDefault="00E64F63" w:rsidP="006E761F">
      <w:pPr>
        <w:pStyle w:val="ListParagraph"/>
        <w:numPr>
          <w:ilvl w:val="0"/>
          <w:numId w:val="2"/>
        </w:numPr>
        <w:jc w:val="both"/>
      </w:pPr>
      <w:r>
        <w:t>The client can now use this scoped authentication token as before.</w:t>
      </w:r>
    </w:p>
    <w:p w14:paraId="7C2E53FB" w14:textId="77777777" w:rsidR="006E761F" w:rsidRDefault="006E761F" w:rsidP="006E761F">
      <w:pPr>
        <w:pStyle w:val="Heading1"/>
      </w:pPr>
      <w:r>
        <w:t>The services</w:t>
      </w:r>
    </w:p>
    <w:p w14:paraId="1858BB79" w14:textId="77777777" w:rsidR="006E761F" w:rsidRDefault="006E761F" w:rsidP="006E761F">
      <w:pPr>
        <w:pStyle w:val="ListParagraph"/>
        <w:numPr>
          <w:ilvl w:val="0"/>
          <w:numId w:val="1"/>
        </w:numPr>
        <w:jc w:val="both"/>
      </w:pPr>
      <w:r>
        <w:t>Discovery: This service is responsible for finding the</w:t>
      </w:r>
      <w:r w:rsidR="002B57C3">
        <w:t xml:space="preserve"> endpoint of the</w:t>
      </w:r>
      <w:r>
        <w:t xml:space="preserve"> right Identity Provider for the</w:t>
      </w:r>
      <w:r w:rsidR="00F30B3C">
        <w:t xml:space="preserve"> realm of the</w:t>
      </w:r>
      <w:r>
        <w:t xml:space="preserve"> user requesting authentication. The client sends the user’s realm</w:t>
      </w:r>
      <w:r w:rsidR="00E64F63">
        <w:t xml:space="preserve"> </w:t>
      </w:r>
      <w:r>
        <w:t xml:space="preserve">which is forwarded to the discovery service by the corresponding middleware. </w:t>
      </w:r>
      <w:r w:rsidR="00E64F63">
        <w:t>The discovery service looks up the realm,</w:t>
      </w:r>
      <w:r>
        <w:t xml:space="preserve"> then </w:t>
      </w:r>
      <w:r w:rsidR="00E64F63">
        <w:t>returns</w:t>
      </w:r>
      <w:r>
        <w:t xml:space="preserve"> the </w:t>
      </w:r>
      <w:r w:rsidR="007563D8">
        <w:t>endpoint</w:t>
      </w:r>
      <w:r>
        <w:t xml:space="preserve"> of the </w:t>
      </w:r>
      <w:r w:rsidR="00E64F63">
        <w:t xml:space="preserve">realm’s </w:t>
      </w:r>
      <w:r>
        <w:t>Identity Provider</w:t>
      </w:r>
      <w:r w:rsidR="00E64F63">
        <w:t xml:space="preserve"> to the middleware</w:t>
      </w:r>
      <w:r>
        <w:t>,</w:t>
      </w:r>
      <w:r w:rsidR="00E64F63">
        <w:t xml:space="preserve"> which</w:t>
      </w:r>
      <w:r>
        <w:t xml:space="preserve"> return</w:t>
      </w:r>
      <w:r w:rsidR="00E64F63">
        <w:t xml:space="preserve">s it </w:t>
      </w:r>
      <w:r>
        <w:t>to the client</w:t>
      </w:r>
      <w:r w:rsidR="00E64F63">
        <w:t xml:space="preserve">, along with the set of attributes that the Keystone </w:t>
      </w:r>
      <w:r w:rsidR="00E64F63">
        <w:lastRenderedPageBreak/>
        <w:t>service requires</w:t>
      </w:r>
      <w:r w:rsidR="00F30B3C">
        <w:t>, in a correctly formatted IdP request message.</w:t>
      </w:r>
      <w:r w:rsidR="00E64F63">
        <w:t xml:space="preserve"> </w:t>
      </w:r>
      <w:r w:rsidR="00F30B3C">
        <w:t>Note.</w:t>
      </w:r>
      <w:r w:rsidR="00E64F63">
        <w:t xml:space="preserve"> </w:t>
      </w:r>
      <w:r w:rsidR="00F30B3C">
        <w:t xml:space="preserve">The middleware configuration details </w:t>
      </w:r>
      <w:r w:rsidR="004E67CA">
        <w:t xml:space="preserve">[2] </w:t>
      </w:r>
      <w:r w:rsidR="00F30B3C">
        <w:t xml:space="preserve">say which attributes are needed to access which Keystone service. </w:t>
      </w:r>
      <w:r w:rsidR="00E64F63">
        <w:t xml:space="preserve">If keystone supports multiple services, </w:t>
      </w:r>
      <w:r w:rsidR="00F30B3C">
        <w:t>then the union of all the attributes may be sent to the IdP</w:t>
      </w:r>
      <w:r>
        <w:t xml:space="preserve">. </w:t>
      </w:r>
    </w:p>
    <w:p w14:paraId="1F1CCB07" w14:textId="77777777" w:rsidR="006E761F" w:rsidRDefault="00E64F63" w:rsidP="006E761F">
      <w:pPr>
        <w:pStyle w:val="ListParagraph"/>
        <w:numPr>
          <w:ilvl w:val="0"/>
          <w:numId w:val="1"/>
        </w:numPr>
        <w:jc w:val="both"/>
      </w:pPr>
      <w:r>
        <w:t xml:space="preserve">Credential </w:t>
      </w:r>
      <w:r w:rsidR="006E761F">
        <w:t>Validation: This service is responsible for validating the assertion</w:t>
      </w:r>
      <w:r>
        <w:t>s</w:t>
      </w:r>
      <w:r w:rsidR="006E761F">
        <w:t xml:space="preserve"> sent by the </w:t>
      </w:r>
      <w:r w:rsidR="00F30B3C">
        <w:t xml:space="preserve">IdP (via the </w:t>
      </w:r>
      <w:r w:rsidR="006E761F">
        <w:t>client</w:t>
      </w:r>
      <w:r w:rsidR="00F30B3C">
        <w:t>)</w:t>
      </w:r>
      <w:r w:rsidR="006E761F">
        <w:t xml:space="preserve">. Once the </w:t>
      </w:r>
      <w:proofErr w:type="spellStart"/>
      <w:r w:rsidR="00F30B3C">
        <w:t>IdP’s</w:t>
      </w:r>
      <w:proofErr w:type="spellEnd"/>
      <w:r w:rsidR="006E761F">
        <w:t xml:space="preserve"> assertion</w:t>
      </w:r>
      <w:r>
        <w:t>s</w:t>
      </w:r>
      <w:r w:rsidR="006E761F">
        <w:t xml:space="preserve"> ha</w:t>
      </w:r>
      <w:r>
        <w:t>ve</w:t>
      </w:r>
      <w:r w:rsidR="006E761F">
        <w:t xml:space="preserve"> been validated, the middleware taking care of the </w:t>
      </w:r>
      <w:r>
        <w:t xml:space="preserve">credential </w:t>
      </w:r>
      <w:r w:rsidR="006E761F">
        <w:t>validation service will generate an “unscoped” token and send it back to the client.</w:t>
      </w:r>
    </w:p>
    <w:p w14:paraId="2EA59C9E" w14:textId="77777777" w:rsidR="006E761F" w:rsidRDefault="004E67CA" w:rsidP="00511B19">
      <w:pPr>
        <w:pStyle w:val="Heading2"/>
      </w:pPr>
      <w:r>
        <w:t>References</w:t>
      </w:r>
    </w:p>
    <w:p w14:paraId="22762168" w14:textId="77777777" w:rsidR="004E67CA" w:rsidRDefault="004E67CA" w:rsidP="00511B19">
      <w:r>
        <w:t xml:space="preserve">[1] “Open Stack </w:t>
      </w:r>
      <w:r w:rsidRPr="004E67CA">
        <w:t>Client Connection API</w:t>
      </w:r>
      <w:r>
        <w:t xml:space="preserve">”. </w:t>
      </w:r>
      <w:proofErr w:type="spellStart"/>
      <w:r>
        <w:t>Yann</w:t>
      </w:r>
      <w:proofErr w:type="spellEnd"/>
      <w:r>
        <w:t>, Damien and David. V</w:t>
      </w:r>
      <w:r w:rsidR="007563D8">
        <w:t>1.0. July 27</w:t>
      </w:r>
      <w:r>
        <w:t>, 2012</w:t>
      </w:r>
    </w:p>
    <w:p w14:paraId="28EC5B9D" w14:textId="77777777" w:rsidR="004E67CA" w:rsidRPr="004E67CA" w:rsidRDefault="004E67CA" w:rsidP="00511B19">
      <w:r>
        <w:t>[2] “</w:t>
      </w:r>
      <w:r w:rsidRPr="004E67CA">
        <w:t>Open Stack Federated Middleware Services</w:t>
      </w:r>
      <w:r>
        <w:t xml:space="preserve">”. </w:t>
      </w:r>
      <w:proofErr w:type="spellStart"/>
      <w:r>
        <w:t>Matteo</w:t>
      </w:r>
      <w:proofErr w:type="spellEnd"/>
      <w:r>
        <w:t>, Kristy and David. V</w:t>
      </w:r>
      <w:r w:rsidR="007563D8">
        <w:t>0.93</w:t>
      </w:r>
      <w:r>
        <w:t xml:space="preserve"> </w:t>
      </w:r>
      <w:r w:rsidR="007563D8">
        <w:t>July 27</w:t>
      </w:r>
      <w:r>
        <w:t>, 2012</w:t>
      </w:r>
    </w:p>
    <w:sectPr w:rsidR="004E67CA" w:rsidRPr="004E67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73D1E7" w14:textId="77777777" w:rsidR="00AD1D31" w:rsidRDefault="00AD1D31" w:rsidP="00495BC7">
      <w:pPr>
        <w:spacing w:after="0" w:line="240" w:lineRule="auto"/>
      </w:pPr>
      <w:r>
        <w:separator/>
      </w:r>
    </w:p>
  </w:endnote>
  <w:endnote w:type="continuationSeparator" w:id="0">
    <w:p w14:paraId="473C7665" w14:textId="77777777" w:rsidR="00AD1D31" w:rsidRDefault="00AD1D31" w:rsidP="00495B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0974AD" w14:textId="77777777" w:rsidR="00AD1D31" w:rsidRDefault="00AD1D31" w:rsidP="00495BC7">
      <w:pPr>
        <w:spacing w:after="0" w:line="240" w:lineRule="auto"/>
      </w:pPr>
      <w:r>
        <w:separator/>
      </w:r>
    </w:p>
  </w:footnote>
  <w:footnote w:type="continuationSeparator" w:id="0">
    <w:p w14:paraId="6065F471" w14:textId="77777777" w:rsidR="00AD1D31" w:rsidRDefault="00AD1D31" w:rsidP="00495BC7">
      <w:pPr>
        <w:spacing w:after="0" w:line="240" w:lineRule="auto"/>
      </w:pPr>
      <w:r>
        <w:continuationSeparator/>
      </w:r>
    </w:p>
  </w:footnote>
  <w:footnote w:id="1">
    <w:p w14:paraId="77343276" w14:textId="77777777" w:rsidR="000A0B11" w:rsidRPr="007563D8" w:rsidRDefault="000A0B11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GB"/>
        </w:rPr>
        <w:t xml:space="preserve">Realm is the term the user knows for his Identity Provider domain. It will typically be a domain name. For example, the user might know the realm kent.ac.uk, whereas his </w:t>
      </w:r>
      <w:proofErr w:type="spellStart"/>
      <w:r>
        <w:rPr>
          <w:lang w:val="en-GB"/>
        </w:rPr>
        <w:t>IdP</w:t>
      </w:r>
      <w:proofErr w:type="spellEnd"/>
      <w:r>
        <w:rPr>
          <w:lang w:val="en-GB"/>
        </w:rPr>
        <w:t xml:space="preserve"> might be located at https://idp4.kent.ac.uk/simplesaml/module.php</w:t>
      </w:r>
    </w:p>
  </w:footnote>
  <w:footnote w:id="2">
    <w:p w14:paraId="2880CB0F" w14:textId="77777777" w:rsidR="00495BC7" w:rsidRPr="0081165D" w:rsidRDefault="00495BC7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GB"/>
        </w:rPr>
        <w:t xml:space="preserve">In the first proof of concept implementation, there </w:t>
      </w:r>
      <w:r w:rsidR="00EE1B5D">
        <w:rPr>
          <w:lang w:val="en-GB"/>
        </w:rPr>
        <w:t>won’t</w:t>
      </w:r>
      <w:r>
        <w:rPr>
          <w:lang w:val="en-GB"/>
        </w:rPr>
        <w:t xml:space="preserve"> be a discovery service, only a discovery middleware component that will have one fixed inbuilt value that it will always return – that of our local Shibboleth </w:t>
      </w:r>
      <w:proofErr w:type="spellStart"/>
      <w:r>
        <w:rPr>
          <w:lang w:val="en-GB"/>
        </w:rPr>
        <w:t>IdP</w:t>
      </w:r>
      <w:proofErr w:type="spellEnd"/>
      <w:r>
        <w:rPr>
          <w:lang w:val="en-GB"/>
        </w:rPr>
        <w:t>.</w:t>
      </w:r>
    </w:p>
  </w:footnote>
  <w:footnote w:id="3">
    <w:p w14:paraId="6FFAD164" w14:textId="77777777" w:rsidR="00EE1B5D" w:rsidRPr="0081165D" w:rsidRDefault="00EE1B5D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GB"/>
        </w:rPr>
        <w:t xml:space="preserve">In the first proof of concept implementation this will be a SAML </w:t>
      </w:r>
      <w:proofErr w:type="spellStart"/>
      <w:r>
        <w:rPr>
          <w:lang w:val="en-GB"/>
        </w:rPr>
        <w:t>authn</w:t>
      </w:r>
      <w:proofErr w:type="spellEnd"/>
      <w:r>
        <w:rPr>
          <w:lang w:val="en-GB"/>
        </w:rPr>
        <w:t xml:space="preserve"> and attribute request signed by the </w:t>
      </w:r>
      <w:proofErr w:type="gramStart"/>
      <w:r>
        <w:rPr>
          <w:lang w:val="en-GB"/>
        </w:rPr>
        <w:t>discovery  middleware</w:t>
      </w:r>
      <w:proofErr w:type="gramEnd"/>
      <w:r>
        <w:rPr>
          <w:lang w:val="en-GB"/>
        </w:rPr>
        <w:t xml:space="preserve"> component</w:t>
      </w:r>
      <w:r w:rsidR="00AB4DB7">
        <w:rPr>
          <w:lang w:val="en-GB"/>
        </w:rPr>
        <w:t xml:space="preserve"> of the Keystone service</w:t>
      </w:r>
      <w:r>
        <w:rPr>
          <w:lang w:val="en-GB"/>
        </w:rPr>
        <w:t>.</w:t>
      </w:r>
    </w:p>
  </w:footnote>
  <w:footnote w:id="4">
    <w:p w14:paraId="043FEC75" w14:textId="77777777" w:rsidR="007563D8" w:rsidRPr="007563D8" w:rsidRDefault="007563D8">
      <w:pPr>
        <w:pStyle w:val="FootnoteText"/>
      </w:pPr>
      <w:r>
        <w:rPr>
          <w:rStyle w:val="FootnoteReference"/>
        </w:rPr>
        <w:footnoteRef/>
      </w:r>
      <w:r>
        <w:t xml:space="preserve"> If the client is unable to close the browser window then it will</w:t>
      </w:r>
      <w:r w:rsidRPr="007563D8">
        <w:t xml:space="preserve"> simply display a message to user indicating </w:t>
      </w:r>
      <w:r>
        <w:t xml:space="preserve">that they can now close the </w:t>
      </w:r>
      <w:r w:rsidRPr="007563D8">
        <w:t>browser</w:t>
      </w:r>
      <w:r>
        <w:t>.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6A185C"/>
    <w:multiLevelType w:val="hybridMultilevel"/>
    <w:tmpl w:val="C1A2F9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F0319A"/>
    <w:multiLevelType w:val="hybridMultilevel"/>
    <w:tmpl w:val="496E8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85D"/>
    <w:rsid w:val="000875F5"/>
    <w:rsid w:val="0009455E"/>
    <w:rsid w:val="000A0B11"/>
    <w:rsid w:val="00151763"/>
    <w:rsid w:val="001A6688"/>
    <w:rsid w:val="001C63A2"/>
    <w:rsid w:val="00244D10"/>
    <w:rsid w:val="002578C3"/>
    <w:rsid w:val="002B57C3"/>
    <w:rsid w:val="002D285D"/>
    <w:rsid w:val="00371FDA"/>
    <w:rsid w:val="003925CB"/>
    <w:rsid w:val="003A50AA"/>
    <w:rsid w:val="003B0245"/>
    <w:rsid w:val="003D381F"/>
    <w:rsid w:val="004110CF"/>
    <w:rsid w:val="004677EA"/>
    <w:rsid w:val="0048202E"/>
    <w:rsid w:val="00495BC7"/>
    <w:rsid w:val="004E67CA"/>
    <w:rsid w:val="00500E66"/>
    <w:rsid w:val="00510546"/>
    <w:rsid w:val="00511B19"/>
    <w:rsid w:val="00571F57"/>
    <w:rsid w:val="005D2BDC"/>
    <w:rsid w:val="006233EB"/>
    <w:rsid w:val="0063144F"/>
    <w:rsid w:val="0065082A"/>
    <w:rsid w:val="00665396"/>
    <w:rsid w:val="00671920"/>
    <w:rsid w:val="0069395D"/>
    <w:rsid w:val="006E5CCD"/>
    <w:rsid w:val="006E761F"/>
    <w:rsid w:val="006F572D"/>
    <w:rsid w:val="00706AFA"/>
    <w:rsid w:val="007145FF"/>
    <w:rsid w:val="00747216"/>
    <w:rsid w:val="007563D8"/>
    <w:rsid w:val="00771B14"/>
    <w:rsid w:val="007874EA"/>
    <w:rsid w:val="007908C2"/>
    <w:rsid w:val="007D5605"/>
    <w:rsid w:val="008107C8"/>
    <w:rsid w:val="0081165D"/>
    <w:rsid w:val="00996402"/>
    <w:rsid w:val="009C0753"/>
    <w:rsid w:val="009F2669"/>
    <w:rsid w:val="00A6780E"/>
    <w:rsid w:val="00AB4DB7"/>
    <w:rsid w:val="00AD1D31"/>
    <w:rsid w:val="00B36F2F"/>
    <w:rsid w:val="00BB52C6"/>
    <w:rsid w:val="00BF0823"/>
    <w:rsid w:val="00BF0B18"/>
    <w:rsid w:val="00C00D91"/>
    <w:rsid w:val="00C637EA"/>
    <w:rsid w:val="00CA62BE"/>
    <w:rsid w:val="00CC128C"/>
    <w:rsid w:val="00CC4B20"/>
    <w:rsid w:val="00CE4396"/>
    <w:rsid w:val="00CE5D5D"/>
    <w:rsid w:val="00CF2222"/>
    <w:rsid w:val="00DB33DF"/>
    <w:rsid w:val="00DD56BC"/>
    <w:rsid w:val="00E34337"/>
    <w:rsid w:val="00E472E9"/>
    <w:rsid w:val="00E64F63"/>
    <w:rsid w:val="00E6713D"/>
    <w:rsid w:val="00E976FA"/>
    <w:rsid w:val="00EA0FEA"/>
    <w:rsid w:val="00EB4BC8"/>
    <w:rsid w:val="00EE1B5D"/>
    <w:rsid w:val="00F2495B"/>
    <w:rsid w:val="00F30B3C"/>
    <w:rsid w:val="00F44DA2"/>
    <w:rsid w:val="00FE4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22416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8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28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28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D28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D285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D285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D285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28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85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36F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7908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08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08C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08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08C2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64F63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95BC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95BC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95BC7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8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28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28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D28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D285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D285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D285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28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85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36F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7908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08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08C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08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08C2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64F63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95BC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95BC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95BC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099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009B16-0081-2E47-84FD-FA8F924C6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889</Words>
  <Characters>5071</Characters>
  <Application>Microsoft Macintosh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Gagaro</dc:creator>
  <cp:lastModifiedBy>K.W.S.Siu</cp:lastModifiedBy>
  <cp:revision>6</cp:revision>
  <dcterms:created xsi:type="dcterms:W3CDTF">2012-07-20T11:35:00Z</dcterms:created>
  <dcterms:modified xsi:type="dcterms:W3CDTF">2012-10-25T14:59:00Z</dcterms:modified>
</cp:coreProperties>
</file>