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1F4E3D"/>
          <w:sz w:val="48"/>
        </w:rPr>
        <w:t>个人经营账本 Web 手机版</w:t>
      </w:r>
    </w:p>
    <w:p>
      <w:pPr>
        <w:jc w:val="center"/>
      </w:pPr>
      <w:r>
        <w:rPr>
          <w:color w:val="646464"/>
          <w:sz w:val="24"/>
        </w:rPr>
        <w:t>产品需求文档（PRD）｜供 AI 编程工具执行</w:t>
      </w:r>
    </w:p>
    <w:p>
      <w:r>
        <w:t>版本：V1.0　|　日期：2026-10-24　|　用途：个人经营记账、批次预定与到货核算、出货收款、利润及分红管理</w:t>
      </w:r>
    </w:p>
    <w:p>
      <w:r>
        <w:t>本文件是开发需求基准。开发时应先阅读完整文档，再制定实施计划；不得擅自删减业务模块或改变本文明确的计算规则。</w:t>
      </w:r>
    </w:p>
    <w:p>
      <w:pPr>
        <w:pStyle w:val="Heading1"/>
      </w:pPr>
      <w:r>
        <w:t>1. 项目目标与基本原则</w:t>
      </w:r>
    </w:p>
    <w:p>
      <w:pPr>
        <w:pStyle w:val="ListBullet"/>
        <w:spacing w:after="40"/>
      </w:pPr>
      <w:r>
        <w:t>开发一个适配手机浏览器的个人经营账本 Web 应用，电脑浏览器也应可用；界面采用响应式设计，可按需添加到手机桌面。</w:t>
      </w:r>
    </w:p>
    <w:p>
      <w:pPr>
        <w:pStyle w:val="ListBullet"/>
        <w:spacing w:after="40"/>
      </w:pPr>
      <w:r>
        <w:t>仅一个使用者，通过密码登录；不需要注册、组织架构、多人权限或协作功能。</w:t>
      </w:r>
    </w:p>
    <w:p>
      <w:pPr>
        <w:pStyle w:val="ListBullet"/>
        <w:spacing w:after="40"/>
      </w:pPr>
      <w:r>
        <w:t>正式数据必须保存到服务器端数据库，不得将 localStorage、sessionStorage 或浏览器缓存作为正式账本数据库。</w:t>
      </w:r>
    </w:p>
    <w:p>
      <w:pPr>
        <w:pStyle w:val="ListBullet"/>
        <w:spacing w:after="40"/>
      </w:pPr>
      <w:r>
        <w:t>所有经营账目统一以人民币 CNY 记录和汇总。U 币只用于兑换过程记录，兑换损耗折算成人民币进入经营核算。</w:t>
      </w:r>
    </w:p>
    <w:p>
      <w:pPr>
        <w:pStyle w:val="ListBullet"/>
        <w:spacing w:after="40"/>
      </w:pPr>
      <w:r>
        <w:t>一个批次必须先创建预定产品清单，再登记实际到货，之后才进入进货、U 币、出货、费用、利润和分红账目。</w:t>
      </w:r>
    </w:p>
    <w:p>
      <w:pPr>
        <w:pStyle w:val="ListBullet"/>
        <w:spacing w:after="40"/>
      </w:pPr>
      <w:r>
        <w:t>所有金额由系统按明确公式计算；输入数据与计算结果要区分。历史数据不能因为创建新批次而变化。</w:t>
      </w:r>
    </w:p>
    <w:p>
      <w:pPr>
        <w:pStyle w:val="ListBullet"/>
        <w:spacing w:after="40"/>
      </w:pPr>
      <w:r>
        <w:t>优先保证计算准确、录入简单、数据安全、可备份和可导出；不要为了视觉效果牺牲可用性。</w:t>
      </w:r>
    </w:p>
    <w:p>
      <w:pPr>
        <w:pStyle w:val="Heading1"/>
      </w:pPr>
      <w:r>
        <w:t>2. 业务流程（必须按此顺序）</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E2"/>
          </w:tcPr>
          <w:p>
            <w:pPr>
              <w:spacing w:after="0"/>
            </w:pPr>
            <w:r/>
            <w:r>
              <w:rPr>
                <w:rFonts w:ascii="Microsoft YaHei" w:hAnsi="Microsoft YaHei" w:eastAsia="微软雅黑"/>
                <w:b/>
                <w:sz w:val="18"/>
              </w:rPr>
              <w:t>步骤</w:t>
            </w:r>
          </w:p>
        </w:tc>
        <w:tc>
          <w:tcPr>
            <w:tcW w:type="dxa" w:w="3360"/>
            <w:vAlign w:val="center"/>
            <w:shd w:fill="DCEAE2"/>
          </w:tcPr>
          <w:p>
            <w:pPr>
              <w:spacing w:after="0"/>
            </w:pPr>
            <w:r/>
            <w:r>
              <w:rPr>
                <w:rFonts w:ascii="Microsoft YaHei" w:hAnsi="Microsoft YaHei" w:eastAsia="微软雅黑"/>
                <w:b/>
                <w:sz w:val="18"/>
              </w:rPr>
              <w:t>操作</w:t>
            </w:r>
          </w:p>
        </w:tc>
        <w:tc>
          <w:tcPr>
            <w:tcW w:type="dxa" w:w="3360"/>
            <w:vAlign w:val="center"/>
            <w:shd w:fill="DCEAE2"/>
          </w:tcPr>
          <w:p>
            <w:pPr>
              <w:spacing w:after="0"/>
            </w:pPr>
            <w:r/>
            <w:r>
              <w:rPr>
                <w:rFonts w:ascii="Microsoft YaHei" w:hAnsi="Microsoft YaHei" w:eastAsia="微软雅黑"/>
                <w:b/>
                <w:sz w:val="18"/>
              </w:rPr>
              <w:t>完成后</w:t>
            </w:r>
          </w:p>
        </w:tc>
      </w:tr>
      <w:tr>
        <w:tc>
          <w:tcPr>
            <w:tcW w:type="dxa" w:w="3360"/>
            <w:vAlign w:val="center"/>
          </w:tcPr>
          <w:p>
            <w:pPr>
              <w:spacing w:after="0"/>
            </w:pPr>
            <w:r/>
            <w:r>
              <w:rPr>
                <w:rFonts w:ascii="Microsoft YaHei" w:hAnsi="Microsoft YaHei" w:eastAsia="微软雅黑"/>
                <w:b w:val="0"/>
                <w:sz w:val="18"/>
              </w:rPr>
              <w:t>1</w:t>
            </w:r>
          </w:p>
        </w:tc>
        <w:tc>
          <w:tcPr>
            <w:tcW w:type="dxa" w:w="3360"/>
            <w:vAlign w:val="center"/>
          </w:tcPr>
          <w:p>
            <w:pPr>
              <w:spacing w:after="0"/>
            </w:pPr>
            <w:r/>
            <w:r>
              <w:rPr>
                <w:rFonts w:ascii="Microsoft YaHei" w:hAnsi="Microsoft YaHei" w:eastAsia="微软雅黑"/>
                <w:b w:val="0"/>
                <w:sz w:val="18"/>
              </w:rPr>
              <w:t>经营首页查看累计经营数据，创建新批次</w:t>
            </w:r>
          </w:p>
        </w:tc>
        <w:tc>
          <w:tcPr>
            <w:tcW w:type="dxa" w:w="3360"/>
            <w:vAlign w:val="center"/>
          </w:tcPr>
          <w:p>
            <w:pPr>
              <w:spacing w:after="0"/>
            </w:pPr>
            <w:r/>
            <w:r>
              <w:rPr>
                <w:rFonts w:ascii="Microsoft YaHei" w:hAnsi="Microsoft YaHei" w:eastAsia="微软雅黑"/>
                <w:b w:val="0"/>
                <w:sz w:val="18"/>
              </w:rPr>
              <w:t>进入批次预定</w:t>
            </w:r>
          </w:p>
        </w:tc>
      </w:tr>
      <w:tr>
        <w:tc>
          <w:tcPr>
            <w:tcW w:type="dxa" w:w="3360"/>
            <w:vAlign w:val="center"/>
          </w:tcPr>
          <w:p>
            <w:pPr>
              <w:spacing w:after="0"/>
            </w:pPr>
            <w:r/>
            <w:r>
              <w:rPr>
                <w:rFonts w:ascii="Microsoft YaHei" w:hAnsi="Microsoft YaHei" w:eastAsia="微软雅黑"/>
                <w:b w:val="0"/>
                <w:sz w:val="18"/>
              </w:rPr>
              <w:t>2</w:t>
            </w:r>
          </w:p>
        </w:tc>
        <w:tc>
          <w:tcPr>
            <w:tcW w:type="dxa" w:w="3360"/>
            <w:vAlign w:val="center"/>
          </w:tcPr>
          <w:p>
            <w:pPr>
              <w:spacing w:after="0"/>
            </w:pPr>
            <w:r/>
            <w:r>
              <w:rPr>
                <w:rFonts w:ascii="Microsoft YaHei" w:hAnsi="Microsoft YaHei" w:eastAsia="微软雅黑"/>
                <w:b w:val="0"/>
                <w:sz w:val="18"/>
              </w:rPr>
              <w:t>添加产品、口味、每个口味的预定数量与预定单价</w:t>
            </w:r>
          </w:p>
        </w:tc>
        <w:tc>
          <w:tcPr>
            <w:tcW w:type="dxa" w:w="3360"/>
            <w:vAlign w:val="center"/>
          </w:tcPr>
          <w:p>
            <w:pPr>
              <w:spacing w:after="0"/>
            </w:pPr>
            <w:r/>
            <w:r>
              <w:rPr>
                <w:rFonts w:ascii="Microsoft YaHei" w:hAnsi="Microsoft YaHei" w:eastAsia="微软雅黑"/>
                <w:b w:val="0"/>
                <w:sz w:val="18"/>
              </w:rPr>
              <w:t>生成预定数量和预定金额汇总</w:t>
            </w:r>
          </w:p>
        </w:tc>
      </w:tr>
      <w:tr>
        <w:tc>
          <w:tcPr>
            <w:tcW w:type="dxa" w:w="3360"/>
            <w:vAlign w:val="center"/>
          </w:tcPr>
          <w:p>
            <w:pPr>
              <w:spacing w:after="0"/>
            </w:pPr>
            <w:r/>
            <w:r>
              <w:rPr>
                <w:rFonts w:ascii="Microsoft YaHei" w:hAnsi="Microsoft YaHei" w:eastAsia="微软雅黑"/>
                <w:b w:val="0"/>
                <w:sz w:val="18"/>
              </w:rPr>
              <w:t>3</w:t>
            </w:r>
          </w:p>
        </w:tc>
        <w:tc>
          <w:tcPr>
            <w:tcW w:type="dxa" w:w="3360"/>
            <w:vAlign w:val="center"/>
          </w:tcPr>
          <w:p>
            <w:pPr>
              <w:spacing w:after="0"/>
            </w:pPr>
            <w:r/>
            <w:r>
              <w:rPr>
                <w:rFonts w:ascii="Microsoft YaHei" w:hAnsi="Microsoft YaHei" w:eastAsia="微软雅黑"/>
                <w:b w:val="0"/>
                <w:sz w:val="18"/>
              </w:rPr>
              <w:t>逐口味填写实际到货数量、实际单价</w:t>
            </w:r>
          </w:p>
        </w:tc>
        <w:tc>
          <w:tcPr>
            <w:tcW w:type="dxa" w:w="3360"/>
            <w:vAlign w:val="center"/>
          </w:tcPr>
          <w:p>
            <w:pPr>
              <w:spacing w:after="0"/>
            </w:pPr>
            <w:r/>
            <w:r>
              <w:rPr>
                <w:rFonts w:ascii="Microsoft YaHei" w:hAnsi="Microsoft YaHei" w:eastAsia="微软雅黑"/>
                <w:b w:val="0"/>
                <w:sz w:val="18"/>
              </w:rPr>
              <w:t>自动计算实际金额、缺货/多到数量及金额差异</w:t>
            </w:r>
          </w:p>
        </w:tc>
      </w:tr>
      <w:tr>
        <w:tc>
          <w:tcPr>
            <w:tcW w:type="dxa" w:w="3360"/>
            <w:vAlign w:val="center"/>
          </w:tcPr>
          <w:p>
            <w:pPr>
              <w:spacing w:after="0"/>
            </w:pPr>
            <w:r/>
            <w:r>
              <w:rPr>
                <w:rFonts w:ascii="Microsoft YaHei" w:hAnsi="Microsoft YaHei" w:eastAsia="微软雅黑"/>
                <w:b w:val="0"/>
                <w:sz w:val="18"/>
              </w:rPr>
              <w:t>4</w:t>
            </w:r>
          </w:p>
        </w:tc>
        <w:tc>
          <w:tcPr>
            <w:tcW w:type="dxa" w:w="3360"/>
            <w:vAlign w:val="center"/>
          </w:tcPr>
          <w:p>
            <w:pPr>
              <w:spacing w:after="0"/>
            </w:pPr>
            <w:r/>
            <w:r>
              <w:rPr>
                <w:rFonts w:ascii="Microsoft YaHei" w:hAnsi="Microsoft YaHei" w:eastAsia="微软雅黑"/>
                <w:b w:val="0"/>
                <w:sz w:val="18"/>
              </w:rPr>
              <w:t>确认到货信息后进入批次账本</w:t>
            </w:r>
          </w:p>
        </w:tc>
        <w:tc>
          <w:tcPr>
            <w:tcW w:type="dxa" w:w="3360"/>
            <w:vAlign w:val="center"/>
          </w:tcPr>
          <w:p>
            <w:pPr>
              <w:spacing w:after="0"/>
            </w:pPr>
            <w:r/>
            <w:r>
              <w:rPr>
                <w:rFonts w:ascii="Microsoft YaHei" w:hAnsi="Microsoft YaHei" w:eastAsia="微软雅黑"/>
                <w:b w:val="0"/>
                <w:sz w:val="18"/>
              </w:rPr>
              <w:t>开放进货、U 币兑换、出货、费用等模块</w:t>
            </w:r>
          </w:p>
        </w:tc>
      </w:tr>
      <w:tr>
        <w:tc>
          <w:tcPr>
            <w:tcW w:type="dxa" w:w="3360"/>
            <w:vAlign w:val="center"/>
          </w:tcPr>
          <w:p>
            <w:pPr>
              <w:spacing w:after="0"/>
            </w:pPr>
            <w:r/>
            <w:r>
              <w:rPr>
                <w:rFonts w:ascii="Microsoft YaHei" w:hAnsi="Microsoft YaHei" w:eastAsia="微软雅黑"/>
                <w:b w:val="0"/>
                <w:sz w:val="18"/>
              </w:rPr>
              <w:t>5</w:t>
            </w:r>
          </w:p>
        </w:tc>
        <w:tc>
          <w:tcPr>
            <w:tcW w:type="dxa" w:w="3360"/>
            <w:vAlign w:val="center"/>
          </w:tcPr>
          <w:p>
            <w:pPr>
              <w:spacing w:after="0"/>
            </w:pPr>
            <w:r/>
            <w:r>
              <w:rPr>
                <w:rFonts w:ascii="Microsoft YaHei" w:hAnsi="Microsoft YaHei" w:eastAsia="微软雅黑"/>
                <w:b w:val="0"/>
                <w:sz w:val="18"/>
              </w:rPr>
              <w:t>登记出货、客户收款、各项费用和 U 币兑换</w:t>
            </w:r>
          </w:p>
        </w:tc>
        <w:tc>
          <w:tcPr>
            <w:tcW w:type="dxa" w:w="3360"/>
            <w:vAlign w:val="center"/>
          </w:tcPr>
          <w:p>
            <w:pPr>
              <w:spacing w:after="0"/>
            </w:pPr>
            <w:r/>
            <w:r>
              <w:rPr>
                <w:rFonts w:ascii="Microsoft YaHei" w:hAnsi="Microsoft YaHei" w:eastAsia="微软雅黑"/>
                <w:b w:val="0"/>
                <w:sz w:val="18"/>
              </w:rPr>
              <w:t>自动计算应收欠款、成本、损耗与利润</w:t>
            </w:r>
          </w:p>
        </w:tc>
      </w:tr>
      <w:tr>
        <w:tc>
          <w:tcPr>
            <w:tcW w:type="dxa" w:w="3360"/>
            <w:vAlign w:val="center"/>
          </w:tcPr>
          <w:p>
            <w:pPr>
              <w:spacing w:after="0"/>
            </w:pPr>
            <w:r/>
            <w:r>
              <w:rPr>
                <w:rFonts w:ascii="Microsoft YaHei" w:hAnsi="Microsoft YaHei" w:eastAsia="微软雅黑"/>
                <w:b w:val="0"/>
                <w:sz w:val="18"/>
              </w:rPr>
              <w:t>6</w:t>
            </w:r>
          </w:p>
        </w:tc>
        <w:tc>
          <w:tcPr>
            <w:tcW w:type="dxa" w:w="3360"/>
            <w:vAlign w:val="center"/>
          </w:tcPr>
          <w:p>
            <w:pPr>
              <w:spacing w:after="0"/>
            </w:pPr>
            <w:r/>
            <w:r>
              <w:rPr>
                <w:rFonts w:ascii="Microsoft YaHei" w:hAnsi="Microsoft YaHei" w:eastAsia="微软雅黑"/>
                <w:b w:val="0"/>
                <w:sz w:val="18"/>
              </w:rPr>
              <w:t>手动填写本次最终分红总额，逐笔添加出资人姓名及金额</w:t>
            </w:r>
          </w:p>
        </w:tc>
        <w:tc>
          <w:tcPr>
            <w:tcW w:type="dxa" w:w="3360"/>
            <w:vAlign w:val="center"/>
          </w:tcPr>
          <w:p>
            <w:pPr>
              <w:spacing w:after="0"/>
            </w:pPr>
            <w:r/>
            <w:r>
              <w:rPr>
                <w:rFonts w:ascii="Microsoft YaHei" w:hAnsi="Microsoft YaHei" w:eastAsia="微软雅黑"/>
                <w:b w:val="0"/>
                <w:sz w:val="18"/>
              </w:rPr>
              <w:t>按本批次出资占比计算每人应分金额</w:t>
            </w:r>
          </w:p>
        </w:tc>
      </w:tr>
      <w:tr>
        <w:tc>
          <w:tcPr>
            <w:tcW w:type="dxa" w:w="3360"/>
            <w:vAlign w:val="center"/>
          </w:tcPr>
          <w:p>
            <w:pPr>
              <w:spacing w:after="0"/>
            </w:pPr>
            <w:r/>
            <w:r>
              <w:rPr>
                <w:rFonts w:ascii="Microsoft YaHei" w:hAnsi="Microsoft YaHei" w:eastAsia="微软雅黑"/>
                <w:b w:val="0"/>
                <w:sz w:val="18"/>
              </w:rPr>
              <w:t>7</w:t>
            </w:r>
          </w:p>
        </w:tc>
        <w:tc>
          <w:tcPr>
            <w:tcW w:type="dxa" w:w="3360"/>
            <w:vAlign w:val="center"/>
          </w:tcPr>
          <w:p>
            <w:pPr>
              <w:spacing w:after="0"/>
            </w:pPr>
            <w:r/>
            <w:r>
              <w:rPr>
                <w:rFonts w:ascii="Microsoft YaHei" w:hAnsi="Microsoft YaHei" w:eastAsia="微软雅黑"/>
                <w:b w:val="0"/>
                <w:sz w:val="18"/>
              </w:rPr>
              <w:t>登记分红分配与实际兑付，查看历史批次</w:t>
            </w:r>
          </w:p>
        </w:tc>
        <w:tc>
          <w:tcPr>
            <w:tcW w:type="dxa" w:w="3360"/>
            <w:vAlign w:val="center"/>
          </w:tcPr>
          <w:p>
            <w:pPr>
              <w:spacing w:after="0"/>
            </w:pPr>
            <w:r/>
            <w:r>
              <w:rPr>
                <w:rFonts w:ascii="Microsoft YaHei" w:hAnsi="Microsoft YaHei" w:eastAsia="微软雅黑"/>
                <w:b w:val="0"/>
                <w:sz w:val="18"/>
              </w:rPr>
              <w:t>更新首页统计，支持查询和导出</w:t>
            </w:r>
          </w:p>
        </w:tc>
      </w:tr>
    </w:tbl>
    <w:p/>
    <w:p>
      <w:pPr>
        <w:pStyle w:val="Heading1"/>
      </w:pPr>
      <w:r>
        <w:t>3. 登录与数据安全</w:t>
      </w:r>
    </w:p>
    <w:p>
      <w:pPr>
        <w:pStyle w:val="ListBullet"/>
        <w:spacing w:after="40"/>
      </w:pPr>
      <w:r>
        <w:t>仅提供登录页和退出登录功能，不提供公开注册。</w:t>
      </w:r>
    </w:p>
    <w:p>
      <w:pPr>
        <w:pStyle w:val="ListBullet"/>
        <w:spacing w:after="40"/>
      </w:pPr>
      <w:r>
        <w:t>登录凭据由服务器安全验证；密码使用安全哈希存储，不得明文保存或写入前端代码。</w:t>
      </w:r>
    </w:p>
    <w:p>
      <w:pPr>
        <w:pStyle w:val="ListBullet"/>
        <w:spacing w:after="40"/>
      </w:pPr>
      <w:r>
        <w:t>登录会话应有合理有效期；退出后需要重新登录。所有业务接口必须验证登录状态。</w:t>
      </w:r>
    </w:p>
    <w:p>
      <w:pPr>
        <w:pStyle w:val="ListBullet"/>
        <w:spacing w:after="40"/>
      </w:pPr>
      <w:r>
        <w:t>防止未登录访问账本 API；对登录尝试设置基本的频率限制。</w:t>
      </w:r>
    </w:p>
    <w:p>
      <w:pPr>
        <w:pStyle w:val="ListBullet"/>
        <w:spacing w:after="40"/>
      </w:pPr>
      <w:r>
        <w:t>提供数据库备份与恢复方案，至少支持导出账本数据；导出文件不得包含密码或认证信息。</w:t>
      </w:r>
    </w:p>
    <w:p>
      <w:pPr>
        <w:pStyle w:val="ListBullet"/>
        <w:spacing w:after="40"/>
      </w:pPr>
      <w:r>
        <w:t>删除批次或账目应使用软删除或二次确认，避免误操作导致账目永久丢失。已结算数据修改需保留修改记录。</w:t>
      </w:r>
    </w:p>
    <w:p>
      <w:pPr>
        <w:pStyle w:val="Heading1"/>
      </w:pPr>
      <w:r>
        <w:t>4. 经营首页（大屏总览）</w:t>
      </w:r>
    </w:p>
    <w:p>
      <w:r>
        <w:t>首页必须显示以下 5 个核心指标，全部从数据库真实数据自动汇总：</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E2"/>
          </w:tcPr>
          <w:p>
            <w:pPr>
              <w:spacing w:after="0"/>
            </w:pPr>
            <w:r/>
            <w:r>
              <w:rPr>
                <w:rFonts w:ascii="Microsoft YaHei" w:hAnsi="Microsoft YaHei" w:eastAsia="微软雅黑"/>
                <w:b/>
                <w:sz w:val="18"/>
              </w:rPr>
              <w:t>指标</w:t>
            </w:r>
          </w:p>
        </w:tc>
        <w:tc>
          <w:tcPr>
            <w:tcW w:type="dxa" w:w="5040"/>
            <w:vAlign w:val="center"/>
            <w:shd w:fill="DCEAE2"/>
          </w:tcPr>
          <w:p>
            <w:pPr>
              <w:spacing w:after="0"/>
            </w:pPr>
            <w:r/>
            <w:r>
              <w:rPr>
                <w:rFonts w:ascii="Microsoft YaHei" w:hAnsi="Microsoft YaHei" w:eastAsia="微软雅黑"/>
                <w:b/>
                <w:sz w:val="18"/>
              </w:rPr>
              <w:t>定义与规则</w:t>
            </w:r>
          </w:p>
        </w:tc>
      </w:tr>
      <w:tr>
        <w:tc>
          <w:tcPr>
            <w:tcW w:type="dxa" w:w="5040"/>
            <w:vAlign w:val="center"/>
          </w:tcPr>
          <w:p>
            <w:pPr>
              <w:spacing w:after="0"/>
            </w:pPr>
            <w:r/>
            <w:r>
              <w:rPr>
                <w:rFonts w:ascii="Microsoft YaHei" w:hAnsi="Microsoft YaHei" w:eastAsia="微软雅黑"/>
                <w:b w:val="0"/>
                <w:sz w:val="18"/>
              </w:rPr>
              <w:t>累计纯利（已扣除分红）</w:t>
            </w:r>
          </w:p>
        </w:tc>
        <w:tc>
          <w:tcPr>
            <w:tcW w:type="dxa" w:w="5040"/>
            <w:vAlign w:val="center"/>
          </w:tcPr>
          <w:p>
            <w:pPr>
              <w:spacing w:after="0"/>
            </w:pPr>
            <w:r/>
            <w:r>
              <w:rPr>
                <w:rFonts w:ascii="Microsoft YaHei" w:hAnsi="Microsoft YaHei" w:eastAsia="微软雅黑"/>
                <w:b w:val="0"/>
                <w:sz w:val="18"/>
              </w:rPr>
              <w:t>所有已纳入统计批次的经营利润合计，减去这些批次实际确认的分红总额。分红总额以用户手动填写的最终分红金额为准。不得重复扣除同一笔分红。</w:t>
            </w:r>
          </w:p>
        </w:tc>
      </w:tr>
      <w:tr>
        <w:tc>
          <w:tcPr>
            <w:tcW w:type="dxa" w:w="5040"/>
            <w:vAlign w:val="center"/>
          </w:tcPr>
          <w:p>
            <w:pPr>
              <w:spacing w:after="0"/>
            </w:pPr>
            <w:r/>
            <w:r>
              <w:rPr>
                <w:rFonts w:ascii="Microsoft YaHei" w:hAnsi="Microsoft YaHei" w:eastAsia="微软雅黑"/>
                <w:b w:val="0"/>
                <w:sz w:val="18"/>
              </w:rPr>
              <w:t>分红总数</w:t>
            </w:r>
          </w:p>
        </w:tc>
        <w:tc>
          <w:tcPr>
            <w:tcW w:type="dxa" w:w="5040"/>
            <w:vAlign w:val="center"/>
          </w:tcPr>
          <w:p>
            <w:pPr>
              <w:spacing w:after="0"/>
            </w:pPr>
            <w:r/>
            <w:r>
              <w:rPr>
                <w:rFonts w:ascii="Microsoft YaHei" w:hAnsi="Microsoft YaHei" w:eastAsia="微软雅黑"/>
                <w:b w:val="0"/>
                <w:sz w:val="18"/>
              </w:rPr>
              <w:t>所有批次手动确认的最终分红总额合计。</w:t>
            </w:r>
          </w:p>
        </w:tc>
      </w:tr>
      <w:tr>
        <w:tc>
          <w:tcPr>
            <w:tcW w:type="dxa" w:w="5040"/>
            <w:vAlign w:val="center"/>
          </w:tcPr>
          <w:p>
            <w:pPr>
              <w:spacing w:after="0"/>
            </w:pPr>
            <w:r/>
            <w:r>
              <w:rPr>
                <w:rFonts w:ascii="Microsoft YaHei" w:hAnsi="Microsoft YaHei" w:eastAsia="微软雅黑"/>
                <w:b w:val="0"/>
                <w:sz w:val="18"/>
              </w:rPr>
              <w:t>已分配分红</w:t>
            </w:r>
          </w:p>
        </w:tc>
        <w:tc>
          <w:tcPr>
            <w:tcW w:type="dxa" w:w="5040"/>
            <w:vAlign w:val="center"/>
          </w:tcPr>
          <w:p>
            <w:pPr>
              <w:spacing w:after="0"/>
            </w:pPr>
            <w:r/>
            <w:r>
              <w:rPr>
                <w:rFonts w:ascii="Microsoft YaHei" w:hAnsi="Microsoft YaHei" w:eastAsia="微软雅黑"/>
                <w:b w:val="0"/>
                <w:sz w:val="18"/>
              </w:rPr>
              <w:t>已明确分配到具体出资人的应分红金额合计，不等于已付款金额。</w:t>
            </w:r>
          </w:p>
        </w:tc>
      </w:tr>
      <w:tr>
        <w:tc>
          <w:tcPr>
            <w:tcW w:type="dxa" w:w="5040"/>
            <w:vAlign w:val="center"/>
          </w:tcPr>
          <w:p>
            <w:pPr>
              <w:spacing w:after="0"/>
            </w:pPr>
            <w:r/>
            <w:r>
              <w:rPr>
                <w:rFonts w:ascii="Microsoft YaHei" w:hAnsi="Microsoft YaHei" w:eastAsia="微软雅黑"/>
                <w:b w:val="0"/>
                <w:sz w:val="18"/>
              </w:rPr>
              <w:t>未分配分红</w:t>
            </w:r>
          </w:p>
        </w:tc>
        <w:tc>
          <w:tcPr>
            <w:tcW w:type="dxa" w:w="5040"/>
            <w:vAlign w:val="center"/>
          </w:tcPr>
          <w:p>
            <w:pPr>
              <w:spacing w:after="0"/>
            </w:pPr>
            <w:r/>
            <w:r>
              <w:rPr>
                <w:rFonts w:ascii="Microsoft YaHei" w:hAnsi="Microsoft YaHei" w:eastAsia="微软雅黑"/>
                <w:b w:val="0"/>
                <w:sz w:val="18"/>
              </w:rPr>
              <w:t>分红总数中尚未分配到出资人的余额。计算为分红总数减已分配金额；不得小于 0，出现超分配时应阻止保存并提示。</w:t>
            </w:r>
          </w:p>
        </w:tc>
      </w:tr>
      <w:tr>
        <w:tc>
          <w:tcPr>
            <w:tcW w:type="dxa" w:w="5040"/>
            <w:vAlign w:val="center"/>
          </w:tcPr>
          <w:p>
            <w:pPr>
              <w:spacing w:after="0"/>
            </w:pPr>
            <w:r/>
            <w:r>
              <w:rPr>
                <w:rFonts w:ascii="Microsoft YaHei" w:hAnsi="Microsoft YaHei" w:eastAsia="微软雅黑"/>
                <w:b w:val="0"/>
                <w:sz w:val="18"/>
              </w:rPr>
              <w:t>应收欠款</w:t>
            </w:r>
          </w:p>
        </w:tc>
        <w:tc>
          <w:tcPr>
            <w:tcW w:type="dxa" w:w="5040"/>
            <w:vAlign w:val="center"/>
          </w:tcPr>
          <w:p>
            <w:pPr>
              <w:spacing w:after="0"/>
            </w:pPr>
            <w:r/>
            <w:r>
              <w:rPr>
                <w:rFonts w:ascii="Microsoft YaHei" w:hAnsi="Microsoft YaHei" w:eastAsia="微软雅黑"/>
                <w:b w:val="0"/>
                <w:sz w:val="18"/>
              </w:rPr>
              <w:t>所有客户出货应收款减去已收款和确认免收的甩零金额后的未收余额合计。不得把已免收金额继续计为欠款。</w:t>
            </w:r>
          </w:p>
        </w:tc>
      </w:tr>
    </w:tbl>
    <w:p/>
    <w:p>
      <w:r>
        <w:t>首页还应显示批次列表，包括批次名称、日期、流程状态、预定总金额、实际到货金额、出货实收、当前利润和待处理事项。可点击批次进入详情。</w:t>
      </w:r>
    </w:p>
    <w:p>
      <w:r>
        <w:t>首页数字卡片必须可点击进入相应明细，例如点击应收欠款进入客户欠款列表。金额统一显示人民币符号和两位小数。</w:t>
      </w:r>
    </w:p>
    <w:p>
      <w:pPr>
        <w:pStyle w:val="Heading1"/>
      </w:pPr>
      <w:r>
        <w:t>5. 批次管理</w:t>
      </w:r>
    </w:p>
    <w:p>
      <w:pPr>
        <w:pStyle w:val="ListBullet"/>
        <w:spacing w:after="40"/>
      </w:pPr>
      <w:r>
        <w:t>可创建、查看、编辑和归档批次。每个批次至少有批次名称、日期、备注、创建时间、更新时间和状态。</w:t>
      </w:r>
    </w:p>
    <w:p>
      <w:pPr>
        <w:pStyle w:val="ListBullet"/>
        <w:spacing w:after="40"/>
      </w:pPr>
      <w:r>
        <w:t>批次状态建议为：预定中、待到货、部分到货、到货完成、经营中、已结算、已归档。状态应根据操作自动更新，必要时允许手动确认。</w:t>
      </w:r>
    </w:p>
    <w:p>
      <w:pPr>
        <w:pStyle w:val="ListBullet"/>
        <w:spacing w:after="40"/>
      </w:pPr>
      <w:r>
        <w:t>每批次独立保存预定清单、实际到货、出货、收款、费用、U 币兑换、利润和分红记录。</w:t>
      </w:r>
    </w:p>
    <w:p>
      <w:pPr>
        <w:pStyle w:val="ListBullet"/>
        <w:spacing w:after="40"/>
      </w:pPr>
      <w:r>
        <w:t>已结算或归档批次不得被普通编辑操作悄悄改动；如需修改，必须明确提示并记录修改前后内容。</w:t>
      </w:r>
    </w:p>
    <w:p>
      <w:pPr>
        <w:pStyle w:val="ListBullet"/>
        <w:spacing w:after="40"/>
      </w:pPr>
      <w:r>
        <w:t>支持按批次名称、日期、状态筛选和搜索。</w:t>
      </w:r>
    </w:p>
    <w:p>
      <w:pPr>
        <w:pStyle w:val="Heading1"/>
      </w:pPr>
      <w:r>
        <w:t>6. 预定产品清单</w:t>
      </w:r>
    </w:p>
    <w:p>
      <w:r>
        <w:t>创建批次后，必须先维护预定产品清单。一个批次可以包含多个产品，每个产品可以包含多个口味。</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E2"/>
          </w:tcPr>
          <w:p>
            <w:pPr>
              <w:spacing w:after="0"/>
            </w:pPr>
            <w:r/>
            <w:r>
              <w:rPr>
                <w:rFonts w:ascii="Microsoft YaHei" w:hAnsi="Microsoft YaHei" w:eastAsia="微软雅黑"/>
                <w:b/>
                <w:sz w:val="18"/>
              </w:rPr>
              <w:t>字段</w:t>
            </w:r>
          </w:p>
        </w:tc>
        <w:tc>
          <w:tcPr>
            <w:tcW w:type="dxa" w:w="5040"/>
            <w:vAlign w:val="center"/>
            <w:shd w:fill="DCEAE2"/>
          </w:tcPr>
          <w:p>
            <w:pPr>
              <w:spacing w:after="0"/>
            </w:pPr>
            <w:r/>
            <w:r>
              <w:rPr>
                <w:rFonts w:ascii="Microsoft YaHei" w:hAnsi="Microsoft YaHei" w:eastAsia="微软雅黑"/>
                <w:b/>
                <w:sz w:val="18"/>
              </w:rPr>
              <w:t>要求</w:t>
            </w:r>
          </w:p>
        </w:tc>
      </w:tr>
      <w:tr>
        <w:tc>
          <w:tcPr>
            <w:tcW w:type="dxa" w:w="5040"/>
            <w:vAlign w:val="center"/>
          </w:tcPr>
          <w:p>
            <w:pPr>
              <w:spacing w:after="0"/>
            </w:pPr>
            <w:r/>
            <w:r>
              <w:rPr>
                <w:rFonts w:ascii="Microsoft YaHei" w:hAnsi="Microsoft YaHei" w:eastAsia="微软雅黑"/>
                <w:b w:val="0"/>
                <w:sz w:val="18"/>
              </w:rPr>
              <w:t>产品名称</w:t>
            </w:r>
          </w:p>
        </w:tc>
        <w:tc>
          <w:tcPr>
            <w:tcW w:type="dxa" w:w="5040"/>
            <w:vAlign w:val="center"/>
          </w:tcPr>
          <w:p>
            <w:pPr>
              <w:spacing w:after="0"/>
            </w:pPr>
            <w:r/>
            <w:r>
              <w:rPr>
                <w:rFonts w:ascii="Microsoft YaHei" w:hAnsi="Microsoft YaHei" w:eastAsia="微软雅黑"/>
                <w:b w:val="0"/>
                <w:sz w:val="18"/>
              </w:rPr>
              <w:t>必填；支持同一批次添加多个产品。</w:t>
            </w:r>
          </w:p>
        </w:tc>
      </w:tr>
      <w:tr>
        <w:tc>
          <w:tcPr>
            <w:tcW w:type="dxa" w:w="5040"/>
            <w:vAlign w:val="center"/>
          </w:tcPr>
          <w:p>
            <w:pPr>
              <w:spacing w:after="0"/>
            </w:pPr>
            <w:r/>
            <w:r>
              <w:rPr>
                <w:rFonts w:ascii="Microsoft YaHei" w:hAnsi="Microsoft YaHei" w:eastAsia="微软雅黑"/>
                <w:b w:val="0"/>
                <w:sz w:val="18"/>
              </w:rPr>
              <w:t>口味</w:t>
            </w:r>
          </w:p>
        </w:tc>
        <w:tc>
          <w:tcPr>
            <w:tcW w:type="dxa" w:w="5040"/>
            <w:vAlign w:val="center"/>
          </w:tcPr>
          <w:p>
            <w:pPr>
              <w:spacing w:after="0"/>
            </w:pPr>
            <w:r/>
            <w:r>
              <w:rPr>
                <w:rFonts w:ascii="Microsoft YaHei" w:hAnsi="Microsoft YaHei" w:eastAsia="微软雅黑"/>
                <w:b w:val="0"/>
                <w:sz w:val="18"/>
              </w:rPr>
              <w:t>每个产品可添加多个口味；口味名称必填。</w:t>
            </w:r>
          </w:p>
        </w:tc>
      </w:tr>
      <w:tr>
        <w:tc>
          <w:tcPr>
            <w:tcW w:type="dxa" w:w="5040"/>
            <w:vAlign w:val="center"/>
          </w:tcPr>
          <w:p>
            <w:pPr>
              <w:spacing w:after="0"/>
            </w:pPr>
            <w:r/>
            <w:r>
              <w:rPr>
                <w:rFonts w:ascii="Microsoft YaHei" w:hAnsi="Microsoft YaHei" w:eastAsia="微软雅黑"/>
                <w:b w:val="0"/>
                <w:sz w:val="18"/>
              </w:rPr>
              <w:t>预定数量</w:t>
            </w:r>
          </w:p>
        </w:tc>
        <w:tc>
          <w:tcPr>
            <w:tcW w:type="dxa" w:w="5040"/>
            <w:vAlign w:val="center"/>
          </w:tcPr>
          <w:p>
            <w:pPr>
              <w:spacing w:after="0"/>
            </w:pPr>
            <w:r/>
            <w:r>
              <w:rPr>
                <w:rFonts w:ascii="Microsoft YaHei" w:hAnsi="Microsoft YaHei" w:eastAsia="微软雅黑"/>
                <w:b w:val="0"/>
                <w:sz w:val="18"/>
              </w:rPr>
              <w:t>每个口味单独填写，必须为非负数；若业务只允许整数，应按整数校验。</w:t>
            </w:r>
          </w:p>
        </w:tc>
      </w:tr>
      <w:tr>
        <w:tc>
          <w:tcPr>
            <w:tcW w:type="dxa" w:w="5040"/>
            <w:vAlign w:val="center"/>
          </w:tcPr>
          <w:p>
            <w:pPr>
              <w:spacing w:after="0"/>
            </w:pPr>
            <w:r/>
            <w:r>
              <w:rPr>
                <w:rFonts w:ascii="Microsoft YaHei" w:hAnsi="Microsoft YaHei" w:eastAsia="微软雅黑"/>
                <w:b w:val="0"/>
                <w:sz w:val="18"/>
              </w:rPr>
              <w:t>预定单价</w:t>
            </w:r>
          </w:p>
        </w:tc>
        <w:tc>
          <w:tcPr>
            <w:tcW w:type="dxa" w:w="5040"/>
            <w:vAlign w:val="center"/>
          </w:tcPr>
          <w:p>
            <w:pPr>
              <w:spacing w:after="0"/>
            </w:pPr>
            <w:r/>
            <w:r>
              <w:rPr>
                <w:rFonts w:ascii="Microsoft YaHei" w:hAnsi="Microsoft YaHei" w:eastAsia="微软雅黑"/>
                <w:b w:val="0"/>
                <w:sz w:val="18"/>
              </w:rPr>
              <w:t>每个口味单独填写，单位人民币元；可作为参考价保存。</w:t>
            </w:r>
          </w:p>
        </w:tc>
      </w:tr>
      <w:tr>
        <w:tc>
          <w:tcPr>
            <w:tcW w:type="dxa" w:w="5040"/>
            <w:vAlign w:val="center"/>
          </w:tcPr>
          <w:p>
            <w:pPr>
              <w:spacing w:after="0"/>
            </w:pPr>
            <w:r/>
            <w:r>
              <w:rPr>
                <w:rFonts w:ascii="Microsoft YaHei" w:hAnsi="Microsoft YaHei" w:eastAsia="微软雅黑"/>
                <w:b w:val="0"/>
                <w:sz w:val="18"/>
              </w:rPr>
              <w:t>预定金额</w:t>
            </w:r>
          </w:p>
        </w:tc>
        <w:tc>
          <w:tcPr>
            <w:tcW w:type="dxa" w:w="5040"/>
            <w:vAlign w:val="center"/>
          </w:tcPr>
          <w:p>
            <w:pPr>
              <w:spacing w:after="0"/>
            </w:pPr>
            <w:r/>
            <w:r>
              <w:rPr>
                <w:rFonts w:ascii="Microsoft YaHei" w:hAnsi="Microsoft YaHei" w:eastAsia="微软雅黑"/>
                <w:b w:val="0"/>
                <w:sz w:val="18"/>
              </w:rPr>
              <w:t>系统计算：预定数量 × 预定单价。</w:t>
            </w:r>
          </w:p>
        </w:tc>
      </w:tr>
      <w:tr>
        <w:tc>
          <w:tcPr>
            <w:tcW w:type="dxa" w:w="5040"/>
            <w:vAlign w:val="center"/>
          </w:tcPr>
          <w:p>
            <w:pPr>
              <w:spacing w:after="0"/>
            </w:pPr>
            <w:r/>
            <w:r>
              <w:rPr>
                <w:rFonts w:ascii="Microsoft YaHei" w:hAnsi="Microsoft YaHei" w:eastAsia="微软雅黑"/>
                <w:b w:val="0"/>
                <w:sz w:val="18"/>
              </w:rPr>
              <w:t>预定总数量</w:t>
            </w:r>
          </w:p>
        </w:tc>
        <w:tc>
          <w:tcPr>
            <w:tcW w:type="dxa" w:w="5040"/>
            <w:vAlign w:val="center"/>
          </w:tcPr>
          <w:p>
            <w:pPr>
              <w:spacing w:after="0"/>
            </w:pPr>
            <w:r/>
            <w:r>
              <w:rPr>
                <w:rFonts w:ascii="Microsoft YaHei" w:hAnsi="Microsoft YaHei" w:eastAsia="微软雅黑"/>
                <w:b w:val="0"/>
                <w:sz w:val="18"/>
              </w:rPr>
              <w:t>系统汇总所有口味的预定数量。</w:t>
            </w:r>
          </w:p>
        </w:tc>
      </w:tr>
      <w:tr>
        <w:tc>
          <w:tcPr>
            <w:tcW w:type="dxa" w:w="5040"/>
            <w:vAlign w:val="center"/>
          </w:tcPr>
          <w:p>
            <w:pPr>
              <w:spacing w:after="0"/>
            </w:pPr>
            <w:r/>
            <w:r>
              <w:rPr>
                <w:rFonts w:ascii="Microsoft YaHei" w:hAnsi="Microsoft YaHei" w:eastAsia="微软雅黑"/>
                <w:b w:val="0"/>
                <w:sz w:val="18"/>
              </w:rPr>
              <w:t>预定总金额</w:t>
            </w:r>
          </w:p>
        </w:tc>
        <w:tc>
          <w:tcPr>
            <w:tcW w:type="dxa" w:w="5040"/>
            <w:vAlign w:val="center"/>
          </w:tcPr>
          <w:p>
            <w:pPr>
              <w:spacing w:after="0"/>
            </w:pPr>
            <w:r/>
            <w:r>
              <w:rPr>
                <w:rFonts w:ascii="Microsoft YaHei" w:hAnsi="Microsoft YaHei" w:eastAsia="微软雅黑"/>
                <w:b w:val="0"/>
                <w:sz w:val="18"/>
              </w:rPr>
              <w:t>系统汇总所有口味的预定金额。</w:t>
            </w:r>
          </w:p>
        </w:tc>
      </w:tr>
      <w:tr>
        <w:tc>
          <w:tcPr>
            <w:tcW w:type="dxa" w:w="5040"/>
            <w:vAlign w:val="center"/>
          </w:tcPr>
          <w:p>
            <w:pPr>
              <w:spacing w:after="0"/>
            </w:pPr>
            <w:r/>
            <w:r>
              <w:rPr>
                <w:rFonts w:ascii="Microsoft YaHei" w:hAnsi="Microsoft YaHei" w:eastAsia="微软雅黑"/>
                <w:b w:val="0"/>
                <w:sz w:val="18"/>
              </w:rPr>
              <w:t>备注</w:t>
            </w:r>
          </w:p>
        </w:tc>
        <w:tc>
          <w:tcPr>
            <w:tcW w:type="dxa" w:w="5040"/>
            <w:vAlign w:val="center"/>
          </w:tcPr>
          <w:p>
            <w:pPr>
              <w:spacing w:after="0"/>
            </w:pPr>
            <w:r/>
            <w:r>
              <w:rPr>
                <w:rFonts w:ascii="Microsoft YaHei" w:hAnsi="Microsoft YaHei" w:eastAsia="微软雅黑"/>
                <w:b w:val="0"/>
                <w:sz w:val="18"/>
              </w:rPr>
              <w:t>可记录供应商说明、规格或特殊要求。</w:t>
            </w:r>
          </w:p>
        </w:tc>
      </w:tr>
    </w:tbl>
    <w:p/>
    <w:p>
      <w:r>
        <w:t>支持增加、删除口味和产品。已经开始实际到货登记的预定项如需修改，应提示并保留变更记录，不能静默覆盖原预定信息。</w:t>
      </w:r>
    </w:p>
    <w:p>
      <w:pPr>
        <w:pStyle w:val="Heading1"/>
      </w:pPr>
      <w:r>
        <w:t>7. 实际到货核对（预定之后、账本之前）</w:t>
      </w:r>
    </w:p>
    <w:p>
      <w:r>
        <w:t>实际到货页面应从预定清单生成对应行，逐个口味录入实际到货数量和实际到货单价。实际单价是实际成本的依据，不能强制沿用预定单价。</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E2"/>
          </w:tcPr>
          <w:p>
            <w:pPr>
              <w:spacing w:after="0"/>
            </w:pPr>
            <w:r/>
            <w:r>
              <w:rPr>
                <w:rFonts w:ascii="Microsoft YaHei" w:hAnsi="Microsoft YaHei" w:eastAsia="微软雅黑"/>
                <w:b/>
                <w:sz w:val="18"/>
              </w:rPr>
              <w:t>字段/指标</w:t>
            </w:r>
          </w:p>
        </w:tc>
        <w:tc>
          <w:tcPr>
            <w:tcW w:type="dxa" w:w="5040"/>
            <w:vAlign w:val="center"/>
            <w:shd w:fill="DCEAE2"/>
          </w:tcPr>
          <w:p>
            <w:pPr>
              <w:spacing w:after="0"/>
            </w:pPr>
            <w:r/>
            <w:r>
              <w:rPr>
                <w:rFonts w:ascii="Microsoft YaHei" w:hAnsi="Microsoft YaHei" w:eastAsia="微软雅黑"/>
                <w:b/>
                <w:sz w:val="18"/>
              </w:rPr>
              <w:t>计算规则</w:t>
            </w:r>
          </w:p>
        </w:tc>
      </w:tr>
      <w:tr>
        <w:tc>
          <w:tcPr>
            <w:tcW w:type="dxa" w:w="5040"/>
            <w:vAlign w:val="center"/>
          </w:tcPr>
          <w:p>
            <w:pPr>
              <w:spacing w:after="0"/>
            </w:pPr>
            <w:r/>
            <w:r>
              <w:rPr>
                <w:rFonts w:ascii="Microsoft YaHei" w:hAnsi="Microsoft YaHei" w:eastAsia="微软雅黑"/>
                <w:b w:val="0"/>
                <w:sz w:val="18"/>
              </w:rPr>
              <w:t>预定数量</w:t>
            </w:r>
          </w:p>
        </w:tc>
        <w:tc>
          <w:tcPr>
            <w:tcW w:type="dxa" w:w="5040"/>
            <w:vAlign w:val="center"/>
          </w:tcPr>
          <w:p>
            <w:pPr>
              <w:spacing w:after="0"/>
            </w:pPr>
            <w:r/>
            <w:r>
              <w:rPr>
                <w:rFonts w:ascii="Microsoft YaHei" w:hAnsi="Microsoft YaHei" w:eastAsia="微软雅黑"/>
                <w:b w:val="0"/>
                <w:sz w:val="18"/>
              </w:rPr>
              <w:t>从预定清单读取并保留原值。</w:t>
            </w:r>
          </w:p>
        </w:tc>
      </w:tr>
      <w:tr>
        <w:tc>
          <w:tcPr>
            <w:tcW w:type="dxa" w:w="5040"/>
            <w:vAlign w:val="center"/>
          </w:tcPr>
          <w:p>
            <w:pPr>
              <w:spacing w:after="0"/>
            </w:pPr>
            <w:r/>
            <w:r>
              <w:rPr>
                <w:rFonts w:ascii="Microsoft YaHei" w:hAnsi="Microsoft YaHei" w:eastAsia="微软雅黑"/>
                <w:b w:val="0"/>
                <w:sz w:val="18"/>
              </w:rPr>
              <w:t>预定单价</w:t>
            </w:r>
          </w:p>
        </w:tc>
        <w:tc>
          <w:tcPr>
            <w:tcW w:type="dxa" w:w="5040"/>
            <w:vAlign w:val="center"/>
          </w:tcPr>
          <w:p>
            <w:pPr>
              <w:spacing w:after="0"/>
            </w:pPr>
            <w:r/>
            <w:r>
              <w:rPr>
                <w:rFonts w:ascii="Microsoft YaHei" w:hAnsi="Microsoft YaHei" w:eastAsia="微软雅黑"/>
                <w:b w:val="0"/>
                <w:sz w:val="18"/>
              </w:rPr>
              <w:t>从预定清单读取并保留原值。</w:t>
            </w:r>
          </w:p>
        </w:tc>
      </w:tr>
      <w:tr>
        <w:tc>
          <w:tcPr>
            <w:tcW w:type="dxa" w:w="5040"/>
            <w:vAlign w:val="center"/>
          </w:tcPr>
          <w:p>
            <w:pPr>
              <w:spacing w:after="0"/>
            </w:pPr>
            <w:r/>
            <w:r>
              <w:rPr>
                <w:rFonts w:ascii="Microsoft YaHei" w:hAnsi="Microsoft YaHei" w:eastAsia="微软雅黑"/>
                <w:b w:val="0"/>
                <w:sz w:val="18"/>
              </w:rPr>
              <w:t>实际到货数量</w:t>
            </w:r>
          </w:p>
        </w:tc>
        <w:tc>
          <w:tcPr>
            <w:tcW w:type="dxa" w:w="5040"/>
            <w:vAlign w:val="center"/>
          </w:tcPr>
          <w:p>
            <w:pPr>
              <w:spacing w:after="0"/>
            </w:pPr>
            <w:r/>
            <w:r>
              <w:rPr>
                <w:rFonts w:ascii="Microsoft YaHei" w:hAnsi="Microsoft YaHei" w:eastAsia="微软雅黑"/>
                <w:b w:val="0"/>
                <w:sz w:val="18"/>
              </w:rPr>
              <w:t>用户手动填写；允许小于、等于或大于预定数量。</w:t>
            </w:r>
          </w:p>
        </w:tc>
      </w:tr>
      <w:tr>
        <w:tc>
          <w:tcPr>
            <w:tcW w:type="dxa" w:w="5040"/>
            <w:vAlign w:val="center"/>
          </w:tcPr>
          <w:p>
            <w:pPr>
              <w:spacing w:after="0"/>
            </w:pPr>
            <w:r/>
            <w:r>
              <w:rPr>
                <w:rFonts w:ascii="Microsoft YaHei" w:hAnsi="Microsoft YaHei" w:eastAsia="微软雅黑"/>
                <w:b w:val="0"/>
                <w:sz w:val="18"/>
              </w:rPr>
              <w:t>实际到货单价</w:t>
            </w:r>
          </w:p>
        </w:tc>
        <w:tc>
          <w:tcPr>
            <w:tcW w:type="dxa" w:w="5040"/>
            <w:vAlign w:val="center"/>
          </w:tcPr>
          <w:p>
            <w:pPr>
              <w:spacing w:after="0"/>
            </w:pPr>
            <w:r/>
            <w:r>
              <w:rPr>
                <w:rFonts w:ascii="Microsoft YaHei" w:hAnsi="Microsoft YaHei" w:eastAsia="微软雅黑"/>
                <w:b w:val="0"/>
                <w:sz w:val="18"/>
              </w:rPr>
              <w:t>用户手动填写；供应商改价时按实际价格计算。</w:t>
            </w:r>
          </w:p>
        </w:tc>
      </w:tr>
      <w:tr>
        <w:tc>
          <w:tcPr>
            <w:tcW w:type="dxa" w:w="5040"/>
            <w:vAlign w:val="center"/>
          </w:tcPr>
          <w:p>
            <w:pPr>
              <w:spacing w:after="0"/>
            </w:pPr>
            <w:r/>
            <w:r>
              <w:rPr>
                <w:rFonts w:ascii="Microsoft YaHei" w:hAnsi="Microsoft YaHei" w:eastAsia="微软雅黑"/>
                <w:b w:val="0"/>
                <w:sz w:val="18"/>
              </w:rPr>
              <w:t>实际到货金额</w:t>
            </w:r>
          </w:p>
        </w:tc>
        <w:tc>
          <w:tcPr>
            <w:tcW w:type="dxa" w:w="5040"/>
            <w:vAlign w:val="center"/>
          </w:tcPr>
          <w:p>
            <w:pPr>
              <w:spacing w:after="0"/>
            </w:pPr>
            <w:r/>
            <w:r>
              <w:rPr>
                <w:rFonts w:ascii="Microsoft YaHei" w:hAnsi="Microsoft YaHei" w:eastAsia="微软雅黑"/>
                <w:b w:val="0"/>
                <w:sz w:val="18"/>
              </w:rPr>
              <w:t>实际到货数量 × 实际到货单价。</w:t>
            </w:r>
          </w:p>
        </w:tc>
      </w:tr>
      <w:tr>
        <w:tc>
          <w:tcPr>
            <w:tcW w:type="dxa" w:w="5040"/>
            <w:vAlign w:val="center"/>
          </w:tcPr>
          <w:p>
            <w:pPr>
              <w:spacing w:after="0"/>
            </w:pPr>
            <w:r/>
            <w:r>
              <w:rPr>
                <w:rFonts w:ascii="Microsoft YaHei" w:hAnsi="Microsoft YaHei" w:eastAsia="微软雅黑"/>
                <w:b w:val="0"/>
                <w:sz w:val="18"/>
              </w:rPr>
              <w:t>缺货数量</w:t>
            </w:r>
          </w:p>
        </w:tc>
        <w:tc>
          <w:tcPr>
            <w:tcW w:type="dxa" w:w="5040"/>
            <w:vAlign w:val="center"/>
          </w:tcPr>
          <w:p>
            <w:pPr>
              <w:spacing w:after="0"/>
            </w:pPr>
            <w:r/>
            <w:r>
              <w:rPr>
                <w:rFonts w:ascii="Microsoft YaHei" w:hAnsi="Microsoft YaHei" w:eastAsia="微软雅黑"/>
                <w:b w:val="0"/>
                <w:sz w:val="18"/>
              </w:rPr>
              <w:t>max(预定数量 − 实际到货数量, 0)。</w:t>
            </w:r>
          </w:p>
        </w:tc>
      </w:tr>
      <w:tr>
        <w:tc>
          <w:tcPr>
            <w:tcW w:type="dxa" w:w="5040"/>
            <w:vAlign w:val="center"/>
          </w:tcPr>
          <w:p>
            <w:pPr>
              <w:spacing w:after="0"/>
            </w:pPr>
            <w:r/>
            <w:r>
              <w:rPr>
                <w:rFonts w:ascii="Microsoft YaHei" w:hAnsi="Microsoft YaHei" w:eastAsia="微软雅黑"/>
                <w:b w:val="0"/>
                <w:sz w:val="18"/>
              </w:rPr>
              <w:t>多到数量</w:t>
            </w:r>
          </w:p>
        </w:tc>
        <w:tc>
          <w:tcPr>
            <w:tcW w:type="dxa" w:w="5040"/>
            <w:vAlign w:val="center"/>
          </w:tcPr>
          <w:p>
            <w:pPr>
              <w:spacing w:after="0"/>
            </w:pPr>
            <w:r/>
            <w:r>
              <w:rPr>
                <w:rFonts w:ascii="Microsoft YaHei" w:hAnsi="Microsoft YaHei" w:eastAsia="微软雅黑"/>
                <w:b w:val="0"/>
                <w:sz w:val="18"/>
              </w:rPr>
              <w:t>max(实际到货数量 − 预定数量, 0)。</w:t>
            </w:r>
          </w:p>
        </w:tc>
      </w:tr>
      <w:tr>
        <w:tc>
          <w:tcPr>
            <w:tcW w:type="dxa" w:w="5040"/>
            <w:vAlign w:val="center"/>
          </w:tcPr>
          <w:p>
            <w:pPr>
              <w:spacing w:after="0"/>
            </w:pPr>
            <w:r/>
            <w:r>
              <w:rPr>
                <w:rFonts w:ascii="Microsoft YaHei" w:hAnsi="Microsoft YaHei" w:eastAsia="微软雅黑"/>
                <w:b w:val="0"/>
                <w:sz w:val="18"/>
              </w:rPr>
              <w:t>单价差异</w:t>
            </w:r>
          </w:p>
        </w:tc>
        <w:tc>
          <w:tcPr>
            <w:tcW w:type="dxa" w:w="5040"/>
            <w:vAlign w:val="center"/>
          </w:tcPr>
          <w:p>
            <w:pPr>
              <w:spacing w:after="0"/>
            </w:pPr>
            <w:r/>
            <w:r>
              <w:rPr>
                <w:rFonts w:ascii="Microsoft YaHei" w:hAnsi="Microsoft YaHei" w:eastAsia="微软雅黑"/>
                <w:b w:val="0"/>
                <w:sz w:val="18"/>
              </w:rPr>
              <w:t>实际到货单价 − 预定单价。</w:t>
            </w:r>
          </w:p>
        </w:tc>
      </w:tr>
      <w:tr>
        <w:tc>
          <w:tcPr>
            <w:tcW w:type="dxa" w:w="5040"/>
            <w:vAlign w:val="center"/>
          </w:tcPr>
          <w:p>
            <w:pPr>
              <w:spacing w:after="0"/>
            </w:pPr>
            <w:r/>
            <w:r>
              <w:rPr>
                <w:rFonts w:ascii="Microsoft YaHei" w:hAnsi="Microsoft YaHei" w:eastAsia="微软雅黑"/>
                <w:b w:val="0"/>
                <w:sz w:val="18"/>
              </w:rPr>
              <w:t>金额差异</w:t>
            </w:r>
          </w:p>
        </w:tc>
        <w:tc>
          <w:tcPr>
            <w:tcW w:type="dxa" w:w="5040"/>
            <w:vAlign w:val="center"/>
          </w:tcPr>
          <w:p>
            <w:pPr>
              <w:spacing w:after="0"/>
            </w:pPr>
            <w:r/>
            <w:r>
              <w:rPr>
                <w:rFonts w:ascii="Microsoft YaHei" w:hAnsi="Microsoft YaHei" w:eastAsia="微软雅黑"/>
                <w:b w:val="0"/>
                <w:sz w:val="18"/>
              </w:rPr>
              <w:t>实际到货金额 − 预定金额；应明确该差异同时受数量与单价变化影响。</w:t>
            </w:r>
          </w:p>
        </w:tc>
      </w:tr>
      <w:tr>
        <w:tc>
          <w:tcPr>
            <w:tcW w:type="dxa" w:w="5040"/>
            <w:vAlign w:val="center"/>
          </w:tcPr>
          <w:p>
            <w:pPr>
              <w:spacing w:after="0"/>
            </w:pPr>
            <w:r/>
            <w:r>
              <w:rPr>
                <w:rFonts w:ascii="Microsoft YaHei" w:hAnsi="Microsoft YaHei" w:eastAsia="微软雅黑"/>
                <w:b w:val="0"/>
                <w:sz w:val="18"/>
              </w:rPr>
              <w:t>实际到货总金额</w:t>
            </w:r>
          </w:p>
        </w:tc>
        <w:tc>
          <w:tcPr>
            <w:tcW w:type="dxa" w:w="5040"/>
            <w:vAlign w:val="center"/>
          </w:tcPr>
          <w:p>
            <w:pPr>
              <w:spacing w:after="0"/>
            </w:pPr>
            <w:r/>
            <w:r>
              <w:rPr>
                <w:rFonts w:ascii="Microsoft YaHei" w:hAnsi="Microsoft YaHei" w:eastAsia="微软雅黑"/>
                <w:b w:val="0"/>
                <w:sz w:val="18"/>
              </w:rPr>
              <w:t>所有口味实际到货金额合计。</w:t>
            </w:r>
          </w:p>
        </w:tc>
      </w:tr>
    </w:tbl>
    <w:p/>
    <w:p>
      <w:pPr>
        <w:pStyle w:val="ListBullet"/>
        <w:spacing w:after="40"/>
      </w:pPr>
      <w:r>
        <w:t>示例：草莓预定 2,000 个，预定单价 ¥35；实际到货 1,800 个，实际单价 ¥37。实际金额 = 1,800 × 37 = ¥66,600；缺货 200 个；预定金额 ¥70,000。</w:t>
      </w:r>
    </w:p>
    <w:p>
      <w:pPr>
        <w:pStyle w:val="ListBullet"/>
        <w:spacing w:after="40"/>
      </w:pPr>
      <w:r>
        <w:t>未到货数量不计入实际到货成本。实际到货数量为 0 时，允许实际单价暂为空；有实际到货数量时必须填写实际单价。</w:t>
      </w:r>
    </w:p>
    <w:p>
      <w:pPr>
        <w:pStyle w:val="ListBullet"/>
        <w:spacing w:after="40"/>
      </w:pPr>
      <w:r>
        <w:t>运费等额外费用不应自动塞进产品单价，除非用户明确录入为单价；默认在后续费用模块单独记录。</w:t>
      </w:r>
    </w:p>
    <w:p>
      <w:pPr>
        <w:pStyle w:val="ListBullet"/>
        <w:spacing w:after="40"/>
      </w:pPr>
      <w:r>
        <w:t>支持分批到货。同一个口味可多次登记到货，每次记录日期、数量、单价和备注；该口味实际到货数量为各次数量合计，实际金额为各次金额合计，实际平均单价可显示为总金额 ÷ 总数量。</w:t>
      </w:r>
    </w:p>
    <w:p>
      <w:pPr>
        <w:pStyle w:val="ListBullet"/>
        <w:spacing w:after="40"/>
      </w:pPr>
      <w:r>
        <w:t>确认到货后才能进入后续批次账本；若还有缺货，允许选择部分到货完成或继续等待。</w:t>
      </w:r>
    </w:p>
    <w:p>
      <w:pPr>
        <w:pStyle w:val="Heading1"/>
      </w:pPr>
      <w:r>
        <w:t>8. 批次账本模块</w:t>
      </w:r>
    </w:p>
    <w:p>
      <w:pPr>
        <w:pStyle w:val="Heading2"/>
      </w:pPr>
      <w:r>
        <w:t>8.1 进货</w:t>
      </w:r>
    </w:p>
    <w:p>
      <w:pPr>
        <w:pStyle w:val="ListBullet"/>
        <w:spacing w:after="40"/>
      </w:pPr>
      <w:r>
        <w:t>显示预定数据和实际到货数据，实际进货成本以到货记录中的实际金额为准。</w:t>
      </w:r>
    </w:p>
    <w:p>
      <w:pPr>
        <w:pStyle w:val="ListBullet"/>
        <w:spacing w:after="40"/>
      </w:pPr>
      <w:r>
        <w:t>原表中的普通数量、普通价格、加价数量、加价价格等字段应保留兼容性；如加价数量和价格有业务意义，应允许选填并单独计算。</w:t>
      </w:r>
    </w:p>
    <w:p>
      <w:pPr>
        <w:pStyle w:val="ListBullet"/>
        <w:spacing w:after="40"/>
      </w:pPr>
      <w:r>
        <w:t>不得同时将实际到货金额和同一笔进货记录重复计入成本。</w:t>
      </w:r>
    </w:p>
    <w:p>
      <w:pPr>
        <w:pStyle w:val="Heading2"/>
      </w:pPr>
      <w:r>
        <w:t>8.2 U 币兑换记录</w:t>
      </w:r>
    </w:p>
    <w:p>
      <w:r>
        <w:t>U 币只用于兑换过程记录，不作为系统主账币种。每笔兑换至少包含日期、人民币金额、U 币数量、买入汇率、付款/结算汇率、手续费（如有）、备注和系统计算的人民币兑换损耗。</w:t>
      </w:r>
    </w:p>
    <w:p>
      <w:r>
        <w:t>兑换损耗公式必须在开发时根据用户确认的业务口径实现，不得仅凭汇率差自行猜测。若采用“人民币实际支出 − 按结算汇率折算的人民币价值”的方式，需在界面明确显示计算过程。负损耗（兑换收益）如何处理应可正确记录，不应默认强制变为 0。</w:t>
      </w:r>
    </w:p>
    <w:p>
      <w:r>
        <w:t>如果当前无法确定兑换损耗公式，先完成可配置的记录字段和计算函数，并在正式结算前提示用户确认公式。</w:t>
      </w:r>
    </w:p>
    <w:p>
      <w:pPr>
        <w:pStyle w:val="Heading2"/>
      </w:pPr>
      <w:r>
        <w:t>8.3 出货、应收、实收和欠款</w:t>
      </w:r>
    </w:p>
    <w:p>
      <w:r>
        <w:t>一个批次允许多个客户、多次出货。每笔出货至少记录出货日期、客户名称、产品/口味（可选关联）、数量、销售单价、销售金额、甩零/免收金额、已收金额、剩余欠款、备注。</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E2"/>
          </w:tcPr>
          <w:p>
            <w:pPr>
              <w:spacing w:after="0"/>
            </w:pPr>
            <w:r/>
            <w:r>
              <w:rPr>
                <w:rFonts w:ascii="Microsoft YaHei" w:hAnsi="Microsoft YaHei" w:eastAsia="微软雅黑"/>
                <w:b/>
                <w:sz w:val="18"/>
              </w:rPr>
              <w:t>字段/指标</w:t>
            </w:r>
          </w:p>
        </w:tc>
        <w:tc>
          <w:tcPr>
            <w:tcW w:type="dxa" w:w="5040"/>
            <w:vAlign w:val="center"/>
            <w:shd w:fill="DCEAE2"/>
          </w:tcPr>
          <w:p>
            <w:pPr>
              <w:spacing w:after="0"/>
            </w:pPr>
            <w:r/>
            <w:r>
              <w:rPr>
                <w:rFonts w:ascii="Microsoft YaHei" w:hAnsi="Microsoft YaHei" w:eastAsia="微软雅黑"/>
                <w:b/>
                <w:sz w:val="18"/>
              </w:rPr>
              <w:t>规则</w:t>
            </w:r>
          </w:p>
        </w:tc>
      </w:tr>
      <w:tr>
        <w:tc>
          <w:tcPr>
            <w:tcW w:type="dxa" w:w="5040"/>
            <w:vAlign w:val="center"/>
          </w:tcPr>
          <w:p>
            <w:pPr>
              <w:spacing w:after="0"/>
            </w:pPr>
            <w:r/>
            <w:r>
              <w:rPr>
                <w:rFonts w:ascii="Microsoft YaHei" w:hAnsi="Microsoft YaHei" w:eastAsia="微软雅黑"/>
                <w:b w:val="0"/>
                <w:sz w:val="18"/>
              </w:rPr>
              <w:t>销售金额</w:t>
            </w:r>
          </w:p>
        </w:tc>
        <w:tc>
          <w:tcPr>
            <w:tcW w:type="dxa" w:w="5040"/>
            <w:vAlign w:val="center"/>
          </w:tcPr>
          <w:p>
            <w:pPr>
              <w:spacing w:after="0"/>
            </w:pPr>
            <w:r/>
            <w:r>
              <w:rPr>
                <w:rFonts w:ascii="Microsoft YaHei" w:hAnsi="Microsoft YaHei" w:eastAsia="微软雅黑"/>
                <w:b w:val="0"/>
                <w:sz w:val="18"/>
              </w:rPr>
              <w:t>出货数量 × 销售单价；如有多行商品，则汇总各行金额。</w:t>
            </w:r>
          </w:p>
        </w:tc>
      </w:tr>
      <w:tr>
        <w:tc>
          <w:tcPr>
            <w:tcW w:type="dxa" w:w="5040"/>
            <w:vAlign w:val="center"/>
          </w:tcPr>
          <w:p>
            <w:pPr>
              <w:spacing w:after="0"/>
            </w:pPr>
            <w:r/>
            <w:r>
              <w:rPr>
                <w:rFonts w:ascii="Microsoft YaHei" w:hAnsi="Microsoft YaHei" w:eastAsia="微软雅黑"/>
                <w:b w:val="0"/>
                <w:sz w:val="18"/>
              </w:rPr>
              <w:t>应收金额</w:t>
            </w:r>
          </w:p>
        </w:tc>
        <w:tc>
          <w:tcPr>
            <w:tcW w:type="dxa" w:w="5040"/>
            <w:vAlign w:val="center"/>
          </w:tcPr>
          <w:p>
            <w:pPr>
              <w:spacing w:after="0"/>
            </w:pPr>
            <w:r/>
            <w:r>
              <w:rPr>
                <w:rFonts w:ascii="Microsoft YaHei" w:hAnsi="Microsoft YaHei" w:eastAsia="微软雅黑"/>
                <w:b w:val="0"/>
                <w:sz w:val="18"/>
              </w:rPr>
              <w:t>销售金额；界面可同时显示甩零/免收金额。</w:t>
            </w:r>
          </w:p>
        </w:tc>
      </w:tr>
      <w:tr>
        <w:tc>
          <w:tcPr>
            <w:tcW w:type="dxa" w:w="5040"/>
            <w:vAlign w:val="center"/>
          </w:tcPr>
          <w:p>
            <w:pPr>
              <w:spacing w:after="0"/>
            </w:pPr>
            <w:r/>
            <w:r>
              <w:rPr>
                <w:rFonts w:ascii="Microsoft YaHei" w:hAnsi="Microsoft YaHei" w:eastAsia="微软雅黑"/>
                <w:b w:val="0"/>
                <w:sz w:val="18"/>
              </w:rPr>
              <w:t>累计已收款</w:t>
            </w:r>
          </w:p>
        </w:tc>
        <w:tc>
          <w:tcPr>
            <w:tcW w:type="dxa" w:w="5040"/>
            <w:vAlign w:val="center"/>
          </w:tcPr>
          <w:p>
            <w:pPr>
              <w:spacing w:after="0"/>
            </w:pPr>
            <w:r/>
            <w:r>
              <w:rPr>
                <w:rFonts w:ascii="Microsoft YaHei" w:hAnsi="Microsoft YaHei" w:eastAsia="微软雅黑"/>
                <w:b w:val="0"/>
                <w:sz w:val="18"/>
              </w:rPr>
              <w:t>该笔出货关联的所有收款记录金额合计。</w:t>
            </w:r>
          </w:p>
        </w:tc>
      </w:tr>
      <w:tr>
        <w:tc>
          <w:tcPr>
            <w:tcW w:type="dxa" w:w="5040"/>
            <w:vAlign w:val="center"/>
          </w:tcPr>
          <w:p>
            <w:pPr>
              <w:spacing w:after="0"/>
            </w:pPr>
            <w:r/>
            <w:r>
              <w:rPr>
                <w:rFonts w:ascii="Microsoft YaHei" w:hAnsi="Microsoft YaHei" w:eastAsia="微软雅黑"/>
                <w:b w:val="0"/>
                <w:sz w:val="18"/>
              </w:rPr>
              <w:t>剩余欠款</w:t>
            </w:r>
          </w:p>
        </w:tc>
        <w:tc>
          <w:tcPr>
            <w:tcW w:type="dxa" w:w="5040"/>
            <w:vAlign w:val="center"/>
          </w:tcPr>
          <w:p>
            <w:pPr>
              <w:spacing w:after="0"/>
            </w:pPr>
            <w:r/>
            <w:r>
              <w:rPr>
                <w:rFonts w:ascii="Microsoft YaHei" w:hAnsi="Microsoft YaHei" w:eastAsia="微软雅黑"/>
                <w:b w:val="0"/>
                <w:sz w:val="18"/>
              </w:rPr>
              <w:t>max(销售金额 − 确认免收金额 − 累计已收款, 0)。</w:t>
            </w:r>
          </w:p>
        </w:tc>
      </w:tr>
      <w:tr>
        <w:tc>
          <w:tcPr>
            <w:tcW w:type="dxa" w:w="5040"/>
            <w:vAlign w:val="center"/>
          </w:tcPr>
          <w:p>
            <w:pPr>
              <w:spacing w:after="0"/>
            </w:pPr>
            <w:r/>
            <w:r>
              <w:rPr>
                <w:rFonts w:ascii="Microsoft YaHei" w:hAnsi="Microsoft YaHei" w:eastAsia="微软雅黑"/>
                <w:b w:val="0"/>
                <w:sz w:val="18"/>
              </w:rPr>
              <w:t>实收</w:t>
            </w:r>
          </w:p>
        </w:tc>
        <w:tc>
          <w:tcPr>
            <w:tcW w:type="dxa" w:w="5040"/>
            <w:vAlign w:val="center"/>
          </w:tcPr>
          <w:p>
            <w:pPr>
              <w:spacing w:after="0"/>
            </w:pPr>
            <w:r/>
            <w:r>
              <w:rPr>
                <w:rFonts w:ascii="Microsoft YaHei" w:hAnsi="Microsoft YaHei" w:eastAsia="微软雅黑"/>
                <w:b w:val="0"/>
                <w:sz w:val="18"/>
              </w:rPr>
              <w:t>本次新收款金额；不能将历史累计收款误认为本次收款。</w:t>
            </w:r>
          </w:p>
        </w:tc>
      </w:tr>
      <w:tr>
        <w:tc>
          <w:tcPr>
            <w:tcW w:type="dxa" w:w="5040"/>
            <w:vAlign w:val="center"/>
          </w:tcPr>
          <w:p>
            <w:pPr>
              <w:spacing w:after="0"/>
            </w:pPr>
            <w:r/>
            <w:r>
              <w:rPr>
                <w:rFonts w:ascii="Microsoft YaHei" w:hAnsi="Microsoft YaHei" w:eastAsia="微软雅黑"/>
                <w:b w:val="0"/>
                <w:sz w:val="18"/>
              </w:rPr>
              <w:t>收款记录</w:t>
            </w:r>
          </w:p>
        </w:tc>
        <w:tc>
          <w:tcPr>
            <w:tcW w:type="dxa" w:w="5040"/>
            <w:vAlign w:val="center"/>
          </w:tcPr>
          <w:p>
            <w:pPr>
              <w:spacing w:after="0"/>
            </w:pPr>
            <w:r/>
            <w:r>
              <w:rPr>
                <w:rFonts w:ascii="Microsoft YaHei" w:hAnsi="Microsoft YaHei" w:eastAsia="微软雅黑"/>
                <w:b w:val="0"/>
                <w:sz w:val="18"/>
              </w:rPr>
              <w:t>支持分次收款，每次记录收款日期、金额、备注。</w:t>
            </w:r>
          </w:p>
        </w:tc>
      </w:tr>
      <w:tr>
        <w:tc>
          <w:tcPr>
            <w:tcW w:type="dxa" w:w="5040"/>
            <w:vAlign w:val="center"/>
          </w:tcPr>
          <w:p>
            <w:pPr>
              <w:spacing w:after="0"/>
            </w:pPr>
            <w:r/>
            <w:r>
              <w:rPr>
                <w:rFonts w:ascii="Microsoft YaHei" w:hAnsi="Microsoft YaHei" w:eastAsia="微软雅黑"/>
                <w:b w:val="0"/>
                <w:sz w:val="18"/>
              </w:rPr>
              <w:t>欠款状态</w:t>
            </w:r>
          </w:p>
        </w:tc>
        <w:tc>
          <w:tcPr>
            <w:tcW w:type="dxa" w:w="5040"/>
            <w:vAlign w:val="center"/>
          </w:tcPr>
          <w:p>
            <w:pPr>
              <w:spacing w:after="0"/>
            </w:pPr>
            <w:r/>
            <w:r>
              <w:rPr>
                <w:rFonts w:ascii="Microsoft YaHei" w:hAnsi="Microsoft YaHei" w:eastAsia="微软雅黑"/>
                <w:b w:val="0"/>
                <w:sz w:val="18"/>
              </w:rPr>
              <w:t>未收款、部分收款、已结清。</w:t>
            </w:r>
          </w:p>
        </w:tc>
      </w:tr>
    </w:tbl>
    <w:p/>
    <w:p>
      <w:pPr>
        <w:pStyle w:val="ListBullet"/>
        <w:spacing w:after="40"/>
      </w:pPr>
      <w:r>
        <w:t>客户欠款应按客户和批次查询；首页应收欠款 = 全部未结清出货的剩余欠款合计。</w:t>
      </w:r>
    </w:p>
    <w:p>
      <w:pPr>
        <w:pStyle w:val="ListBullet"/>
        <w:spacing w:after="40"/>
      </w:pPr>
      <w:r>
        <w:t>甩零/免收必须作为独立字段，不能同时算作已收款；剩余欠款计算时扣除免收金额。</w:t>
      </w:r>
    </w:p>
    <w:p>
      <w:pPr>
        <w:pStyle w:val="ListBullet"/>
        <w:spacing w:after="40"/>
      </w:pPr>
      <w:r>
        <w:t>若收款金额超过剩余欠款，默认阻止保存并提示，避免无意产生负欠款；如需要记录预收款，应作为独立功能设计。</w:t>
      </w:r>
    </w:p>
    <w:p>
      <w:pPr>
        <w:pStyle w:val="ListBullet"/>
        <w:spacing w:after="40"/>
      </w:pPr>
      <w:r>
        <w:t>出货数量和实际销售金额不应被进货缺货数量自动改写，出货与库存是否做强制校验可作为后续版本功能。</w:t>
      </w:r>
    </w:p>
    <w:p>
      <w:pPr>
        <w:pStyle w:val="Heading2"/>
      </w:pPr>
      <w:r>
        <w:t>8.4 经营费用</w:t>
      </w:r>
    </w:p>
    <w:p>
      <w:r>
        <w:t>默认费用项包含运费、加油、过路费、餐饮、住宿、话费、烟酒、送礼、杂费。用户可新增自定义费用类型。每笔费用记录日期、类别、金额、说明、凭证图片（可选）。系统自动汇总批次费用。</w:t>
      </w:r>
    </w:p>
    <w:p>
      <w:pPr>
        <w:pStyle w:val="Heading2"/>
      </w:pPr>
      <w:r>
        <w:t>8.5 利润核算</w:t>
      </w:r>
    </w:p>
    <w:p>
      <w:r>
        <w:t>默认利润公式应为：经营利润 = 出货销售金额 − 实际进货成本 − 经营费用 − 人民币兑换损耗。此公式中销售金额口径、未收欠款是否计入利润，需提供设置或在首次配置时确认；不得把“实收”和“销售金额”混用。</w:t>
      </w:r>
    </w:p>
    <w:p>
      <w:r>
        <w:t>原始表格使用实收金额核算利润。若用户确认继续按实收口径，则公式改为：经营利润 = 出货累计实收 − 实际进货成本 − 经营费用 − 人民币兑换损耗。系统需明确显示当前采用哪种口径。</w:t>
      </w:r>
    </w:p>
    <w:p>
      <w:r>
        <w:t>批次利润与累计纯利应区分：累计纯利 = 纳入统计批次的经营利润合计 − 已确认的最终分红总额合计。不能将分红重复扣除，也不能把未分配分红误认为已支付现金。</w:t>
      </w:r>
    </w:p>
    <w:p>
      <w:pPr>
        <w:pStyle w:val="Heading1"/>
      </w:pPr>
      <w:r>
        <w:t>9. 分红与出资人</w:t>
      </w:r>
    </w:p>
    <w:p>
      <w:pPr>
        <w:pStyle w:val="ListBullet"/>
        <w:spacing w:after="40"/>
      </w:pPr>
      <w:r>
        <w:t>每批次的最终分红总额由用户手动填写。该金额本身就是最终分红总额，不再乘以 30%。30% 不作为系统自动计算步骤。</w:t>
      </w:r>
    </w:p>
    <w:p>
      <w:pPr>
        <w:pStyle w:val="ListBullet"/>
        <w:spacing w:after="40"/>
      </w:pPr>
      <w:r>
        <w:t>每次分红时，用户手动添加出资人姓名和本次出资金额；不需要提前建立固定出资人名单。</w:t>
      </w:r>
    </w:p>
    <w:p>
      <w:pPr>
        <w:pStyle w:val="ListBullet"/>
        <w:spacing w:after="40"/>
      </w:pPr>
      <w:r>
        <w:t>同一批次可动态增加、编辑和删除出资记录。默认每条记录按本次出资金额参与占比分配；如果同一人出现多条记录，可在显示层按姓名汇总，但必须保留每条原始记录。</w:t>
      </w:r>
    </w:p>
    <w:p>
      <w:pPr>
        <w:pStyle w:val="ListBullet"/>
        <w:spacing w:after="40"/>
      </w:pPr>
      <w:r>
        <w:t>出资总额 = 本次所有有效出资金额之和。</w:t>
      </w:r>
    </w:p>
    <w:p>
      <w:pPr>
        <w:pStyle w:val="ListBullet"/>
        <w:spacing w:after="40"/>
      </w:pPr>
      <w:r>
        <w:t>个人出资占比 = 个人本次出资金额 ÷ 本次出资总额。</w:t>
      </w:r>
    </w:p>
    <w:p>
      <w:pPr>
        <w:pStyle w:val="ListBullet"/>
        <w:spacing w:after="40"/>
      </w:pPr>
      <w:r>
        <w:t>个人应分金额 = 手动填写的最终分红总额 × 个人出资占比。</w:t>
      </w:r>
    </w:p>
    <w:p>
      <w:pPr>
        <w:pStyle w:val="ListBullet"/>
        <w:spacing w:after="40"/>
      </w:pPr>
      <w:r>
        <w:t>若出资总额为 0，禁止计算和确认分红，并提示先录入有效出资。</w:t>
      </w:r>
    </w:p>
    <w:p>
      <w:pPr>
        <w:pStyle w:val="ListBullet"/>
        <w:spacing w:after="40"/>
      </w:pPr>
      <w:r>
        <w:t>金额以人民币分为最小单位。分配后若因四舍五入出现几分钱差额，系统应将差额分配给一位出资人或单独列为舍入差额，保证个人应分合计严格等于分红总额。</w:t>
      </w:r>
    </w:p>
    <w:p>
      <w:pPr>
        <w:pStyle w:val="ListBullet"/>
        <w:spacing w:after="40"/>
      </w:pPr>
      <w:r>
        <w:t>必须区分：分红总数、已分配、未分配、个人应分、已兑付、未兑付。已分配是已归属到个人的金额；已兑付是实际支付金额。</w:t>
      </w:r>
    </w:p>
    <w:p>
      <w:pPr>
        <w:pStyle w:val="ListBullet"/>
        <w:spacing w:after="40"/>
      </w:pPr>
      <w:r>
        <w:t>每位出资人的兑付记录支持部分兑付、多次兑付、兑付日期和备注。个人未兑付 = 个人应分 − 该人累计已兑付。</w:t>
      </w:r>
    </w:p>
    <w:p>
      <w:pPr>
        <w:pStyle w:val="ListBullet"/>
        <w:spacing w:after="40"/>
      </w:pPr>
      <w:r>
        <w:t>分红总额未分配余额 = 分红总额 − 已分配金额。已分配金额不得超过分红总额；如超出，禁止保存并提示。</w:t>
      </w:r>
    </w:p>
    <w:p>
      <w:pPr>
        <w:pStyle w:val="ListBullet"/>
        <w:spacing w:after="40"/>
      </w:pPr>
      <w:r>
        <w:t>分红确认后应保存当时的出资名单、金额、比例和应分金额快照。后续批次的出资记录不得改变历史分红。</w:t>
      </w:r>
    </w:p>
    <w:p>
      <w:pPr>
        <w:pStyle w:val="Heading1"/>
      </w:pPr>
      <w:r>
        <w:t>10. 历史账本、查询和导出</w:t>
      </w:r>
    </w:p>
    <w:p>
      <w:pPr>
        <w:pStyle w:val="ListBullet"/>
        <w:spacing w:after="40"/>
      </w:pPr>
      <w:r>
        <w:t>按批次、日期、客户、产品、口味和欠款状态查询。</w:t>
      </w:r>
    </w:p>
    <w:p>
      <w:pPr>
        <w:pStyle w:val="ListBullet"/>
        <w:spacing w:after="40"/>
      </w:pPr>
      <w:r>
        <w:t>每个批次详情可查看预定、实际到货、进货成本、U 币兑换、出货、收款、费用、利润、分红和修改记录。</w:t>
      </w:r>
    </w:p>
    <w:p>
      <w:pPr>
        <w:pStyle w:val="ListBullet"/>
        <w:spacing w:after="40"/>
      </w:pPr>
      <w:r>
        <w:t>支持导出 Excel（至少包含批次汇总、预定/到货明细、出货收款、费用、U 币兑换、分红明细）。</w:t>
      </w:r>
    </w:p>
    <w:p>
      <w:pPr>
        <w:pStyle w:val="ListBullet"/>
        <w:spacing w:after="40"/>
      </w:pPr>
      <w:r>
        <w:t>支持数据库备份和恢复；导入/恢复时需要二次确认并提示覆盖风险。</w:t>
      </w:r>
    </w:p>
    <w:p>
      <w:pPr>
        <w:pStyle w:val="ListBullet"/>
        <w:spacing w:after="40"/>
      </w:pPr>
      <w:r>
        <w:t>所有重要修改保留操作时间、修改前值、修改后值。</w:t>
      </w:r>
    </w:p>
    <w:p>
      <w:pPr>
        <w:pStyle w:val="Heading1"/>
      </w:pPr>
      <w:r>
        <w:t>11. 手机端 UI/UX 要求</w:t>
      </w:r>
    </w:p>
    <w:p>
      <w:pPr>
        <w:pStyle w:val="ListBullet"/>
        <w:spacing w:after="40"/>
      </w:pPr>
      <w:r>
        <w:t>手机优先设计，适配常见 Android/iPhone 屏幕；电脑端同步适配。</w:t>
      </w:r>
    </w:p>
    <w:p>
      <w:pPr>
        <w:pStyle w:val="ListBullet"/>
        <w:spacing w:after="40"/>
      </w:pPr>
      <w:r>
        <w:t>底部导航建议：经营首页、批次、记账/出货、分红、更多/历史。导航数量可优化，但主要业务入口必须易找。</w:t>
      </w:r>
    </w:p>
    <w:p>
      <w:pPr>
        <w:pStyle w:val="ListBullet"/>
        <w:spacing w:after="40"/>
      </w:pPr>
      <w:r>
        <w:t>表格在手机上应转成卡片或横向可控的明细列表，不得把原 Excel 的多列布局直接缩小塞入手机屏幕。</w:t>
      </w:r>
    </w:p>
    <w:p>
      <w:pPr>
        <w:pStyle w:val="ListBullet"/>
        <w:spacing w:after="40"/>
      </w:pPr>
      <w:r>
        <w:t>表单采用分步骤录入、清晰标签、合理默认值和数字键盘；保存、取消、删除等操作有明确反馈。</w:t>
      </w:r>
    </w:p>
    <w:p>
      <w:pPr>
        <w:pStyle w:val="ListBullet"/>
        <w:spacing w:after="40"/>
      </w:pPr>
      <w:r>
        <w:t>损耗、欠款、缺货、未分配分红等需要处理的项目应有醒目标识，但不要使用过多颜色。</w:t>
      </w:r>
    </w:p>
    <w:p>
      <w:pPr>
        <w:pStyle w:val="ListBullet"/>
        <w:spacing w:after="40"/>
      </w:pPr>
      <w:r>
        <w:t>提供空状态、加载状态、保存失败提示和网络异常提示；用户输入未保存时离开页面应提醒。</w:t>
      </w:r>
    </w:p>
    <w:p>
      <w:pPr>
        <w:pStyle w:val="ListBullet"/>
        <w:spacing w:after="40"/>
      </w:pPr>
      <w:r>
        <w:t>所有计算结果应在录入时即时预览，并在服务器端再次校验，不能只依赖前端计算。</w:t>
      </w:r>
    </w:p>
    <w:p>
      <w:pPr>
        <w:pStyle w:val="Heading1"/>
      </w:pPr>
      <w:r>
        <w:t>12. 数据模型建议</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E2"/>
          </w:tcPr>
          <w:p>
            <w:pPr>
              <w:spacing w:after="0"/>
            </w:pPr>
            <w:r/>
            <w:r>
              <w:rPr>
                <w:rFonts w:ascii="Microsoft YaHei" w:hAnsi="Microsoft YaHei" w:eastAsia="微软雅黑"/>
                <w:b/>
                <w:sz w:val="18"/>
              </w:rPr>
              <w:t>数据实体</w:t>
            </w:r>
          </w:p>
        </w:tc>
        <w:tc>
          <w:tcPr>
            <w:tcW w:type="dxa" w:w="5040"/>
            <w:vAlign w:val="center"/>
            <w:shd w:fill="DCEAE2"/>
          </w:tcPr>
          <w:p>
            <w:pPr>
              <w:spacing w:after="0"/>
            </w:pPr>
            <w:r/>
            <w:r>
              <w:rPr>
                <w:rFonts w:ascii="Microsoft YaHei" w:hAnsi="Microsoft YaHei" w:eastAsia="微软雅黑"/>
                <w:b/>
                <w:sz w:val="18"/>
              </w:rPr>
              <w:t>关键内容</w:t>
            </w:r>
          </w:p>
        </w:tc>
      </w:tr>
      <w:tr>
        <w:tc>
          <w:tcPr>
            <w:tcW w:type="dxa" w:w="5040"/>
            <w:vAlign w:val="center"/>
          </w:tcPr>
          <w:p>
            <w:pPr>
              <w:spacing w:after="0"/>
            </w:pPr>
            <w:r/>
            <w:r>
              <w:rPr>
                <w:rFonts w:ascii="Microsoft YaHei" w:hAnsi="Microsoft YaHei" w:eastAsia="微软雅黑"/>
                <w:b w:val="0"/>
                <w:sz w:val="18"/>
              </w:rPr>
              <w:t>AppSettings / User</w:t>
            </w:r>
          </w:p>
        </w:tc>
        <w:tc>
          <w:tcPr>
            <w:tcW w:type="dxa" w:w="5040"/>
            <w:vAlign w:val="center"/>
          </w:tcPr>
          <w:p>
            <w:pPr>
              <w:spacing w:after="0"/>
            </w:pPr>
            <w:r/>
            <w:r>
              <w:rPr>
                <w:rFonts w:ascii="Microsoft YaHei" w:hAnsi="Microsoft YaHei" w:eastAsia="微软雅黑"/>
                <w:b w:val="0"/>
                <w:sz w:val="18"/>
              </w:rPr>
              <w:t>登录密码哈希、会话/安全配置、利润计算口径等设置</w:t>
            </w:r>
          </w:p>
        </w:tc>
      </w:tr>
      <w:tr>
        <w:tc>
          <w:tcPr>
            <w:tcW w:type="dxa" w:w="5040"/>
            <w:vAlign w:val="center"/>
          </w:tcPr>
          <w:p>
            <w:pPr>
              <w:spacing w:after="0"/>
            </w:pPr>
            <w:r/>
            <w:r>
              <w:rPr>
                <w:rFonts w:ascii="Microsoft YaHei" w:hAnsi="Microsoft YaHei" w:eastAsia="微软雅黑"/>
                <w:b w:val="0"/>
                <w:sz w:val="18"/>
              </w:rPr>
              <w:t>Batch</w:t>
            </w:r>
          </w:p>
        </w:tc>
        <w:tc>
          <w:tcPr>
            <w:tcW w:type="dxa" w:w="5040"/>
            <w:vAlign w:val="center"/>
          </w:tcPr>
          <w:p>
            <w:pPr>
              <w:spacing w:after="0"/>
            </w:pPr>
            <w:r/>
            <w:r>
              <w:rPr>
                <w:rFonts w:ascii="Microsoft YaHei" w:hAnsi="Microsoft YaHei" w:eastAsia="微软雅黑"/>
                <w:b w:val="0"/>
                <w:sz w:val="18"/>
              </w:rPr>
              <w:t>批次名称、日期、备注、状态、创建/更新时间</w:t>
            </w:r>
          </w:p>
        </w:tc>
      </w:tr>
      <w:tr>
        <w:tc>
          <w:tcPr>
            <w:tcW w:type="dxa" w:w="5040"/>
            <w:vAlign w:val="center"/>
          </w:tcPr>
          <w:p>
            <w:pPr>
              <w:spacing w:after="0"/>
            </w:pPr>
            <w:r/>
            <w:r>
              <w:rPr>
                <w:rFonts w:ascii="Microsoft YaHei" w:hAnsi="Microsoft YaHei" w:eastAsia="微软雅黑"/>
                <w:b w:val="0"/>
                <w:sz w:val="18"/>
              </w:rPr>
              <w:t>ProductPlan</w:t>
            </w:r>
          </w:p>
        </w:tc>
        <w:tc>
          <w:tcPr>
            <w:tcW w:type="dxa" w:w="5040"/>
            <w:vAlign w:val="center"/>
          </w:tcPr>
          <w:p>
            <w:pPr>
              <w:spacing w:after="0"/>
            </w:pPr>
            <w:r/>
            <w:r>
              <w:rPr>
                <w:rFonts w:ascii="Microsoft YaHei" w:hAnsi="Microsoft YaHei" w:eastAsia="微软雅黑"/>
                <w:b w:val="0"/>
                <w:sz w:val="18"/>
              </w:rPr>
              <w:t>批次、产品名称、口味名称、预定数量、预定单价、预定金额</w:t>
            </w:r>
          </w:p>
        </w:tc>
      </w:tr>
      <w:tr>
        <w:tc>
          <w:tcPr>
            <w:tcW w:type="dxa" w:w="5040"/>
            <w:vAlign w:val="center"/>
          </w:tcPr>
          <w:p>
            <w:pPr>
              <w:spacing w:after="0"/>
            </w:pPr>
            <w:r/>
            <w:r>
              <w:rPr>
                <w:rFonts w:ascii="Microsoft YaHei" w:hAnsi="Microsoft YaHei" w:eastAsia="微软雅黑"/>
                <w:b w:val="0"/>
                <w:sz w:val="18"/>
              </w:rPr>
              <w:t>ArrivalRecord</w:t>
            </w:r>
          </w:p>
        </w:tc>
        <w:tc>
          <w:tcPr>
            <w:tcW w:type="dxa" w:w="5040"/>
            <w:vAlign w:val="center"/>
          </w:tcPr>
          <w:p>
            <w:pPr>
              <w:spacing w:after="0"/>
            </w:pPr>
            <w:r/>
            <w:r>
              <w:rPr>
                <w:rFonts w:ascii="Microsoft YaHei" w:hAnsi="Microsoft YaHei" w:eastAsia="微软雅黑"/>
                <w:b w:val="0"/>
                <w:sz w:val="18"/>
              </w:rPr>
              <w:t>预定明细关联、到货日期、实际数量、实际单价、实际金额、备注</w:t>
            </w:r>
          </w:p>
        </w:tc>
      </w:tr>
      <w:tr>
        <w:tc>
          <w:tcPr>
            <w:tcW w:type="dxa" w:w="5040"/>
            <w:vAlign w:val="center"/>
          </w:tcPr>
          <w:p>
            <w:pPr>
              <w:spacing w:after="0"/>
            </w:pPr>
            <w:r/>
            <w:r>
              <w:rPr>
                <w:rFonts w:ascii="Microsoft YaHei" w:hAnsi="Microsoft YaHei" w:eastAsia="微软雅黑"/>
                <w:b w:val="0"/>
                <w:sz w:val="18"/>
              </w:rPr>
              <w:t>Shipment</w:t>
            </w:r>
          </w:p>
        </w:tc>
        <w:tc>
          <w:tcPr>
            <w:tcW w:type="dxa" w:w="5040"/>
            <w:vAlign w:val="center"/>
          </w:tcPr>
          <w:p>
            <w:pPr>
              <w:spacing w:after="0"/>
            </w:pPr>
            <w:r/>
            <w:r>
              <w:rPr>
                <w:rFonts w:ascii="Microsoft YaHei" w:hAnsi="Microsoft YaHei" w:eastAsia="微软雅黑"/>
                <w:b w:val="0"/>
                <w:sz w:val="18"/>
              </w:rPr>
              <w:t>批次、客户、日期、商品明细、销售金额、免收金额、状态</w:t>
            </w:r>
          </w:p>
        </w:tc>
      </w:tr>
      <w:tr>
        <w:tc>
          <w:tcPr>
            <w:tcW w:type="dxa" w:w="5040"/>
            <w:vAlign w:val="center"/>
          </w:tcPr>
          <w:p>
            <w:pPr>
              <w:spacing w:after="0"/>
            </w:pPr>
            <w:r/>
            <w:r>
              <w:rPr>
                <w:rFonts w:ascii="Microsoft YaHei" w:hAnsi="Microsoft YaHei" w:eastAsia="微软雅黑"/>
                <w:b w:val="0"/>
                <w:sz w:val="18"/>
              </w:rPr>
              <w:t>Receipt</w:t>
            </w:r>
          </w:p>
        </w:tc>
        <w:tc>
          <w:tcPr>
            <w:tcW w:type="dxa" w:w="5040"/>
            <w:vAlign w:val="center"/>
          </w:tcPr>
          <w:p>
            <w:pPr>
              <w:spacing w:after="0"/>
            </w:pPr>
            <w:r/>
            <w:r>
              <w:rPr>
                <w:rFonts w:ascii="Microsoft YaHei" w:hAnsi="Microsoft YaHei" w:eastAsia="微软雅黑"/>
                <w:b w:val="0"/>
                <w:sz w:val="18"/>
              </w:rPr>
              <w:t>出货关联、收款日期、收款金额、备注</w:t>
            </w:r>
          </w:p>
        </w:tc>
      </w:tr>
      <w:tr>
        <w:tc>
          <w:tcPr>
            <w:tcW w:type="dxa" w:w="5040"/>
            <w:vAlign w:val="center"/>
          </w:tcPr>
          <w:p>
            <w:pPr>
              <w:spacing w:after="0"/>
            </w:pPr>
            <w:r/>
            <w:r>
              <w:rPr>
                <w:rFonts w:ascii="Microsoft YaHei" w:hAnsi="Microsoft YaHei" w:eastAsia="微软雅黑"/>
                <w:b w:val="0"/>
                <w:sz w:val="18"/>
              </w:rPr>
              <w:t>Expense</w:t>
            </w:r>
          </w:p>
        </w:tc>
        <w:tc>
          <w:tcPr>
            <w:tcW w:type="dxa" w:w="5040"/>
            <w:vAlign w:val="center"/>
          </w:tcPr>
          <w:p>
            <w:pPr>
              <w:spacing w:after="0"/>
            </w:pPr>
            <w:r/>
            <w:r>
              <w:rPr>
                <w:rFonts w:ascii="Microsoft YaHei" w:hAnsi="Microsoft YaHei" w:eastAsia="微软雅黑"/>
                <w:b w:val="0"/>
                <w:sz w:val="18"/>
              </w:rPr>
              <w:t>批次、日期、类别、金额、说明、凭证</w:t>
            </w:r>
          </w:p>
        </w:tc>
      </w:tr>
      <w:tr>
        <w:tc>
          <w:tcPr>
            <w:tcW w:type="dxa" w:w="5040"/>
            <w:vAlign w:val="center"/>
          </w:tcPr>
          <w:p>
            <w:pPr>
              <w:spacing w:after="0"/>
            </w:pPr>
            <w:r/>
            <w:r>
              <w:rPr>
                <w:rFonts w:ascii="Microsoft YaHei" w:hAnsi="Microsoft YaHei" w:eastAsia="微软雅黑"/>
                <w:b w:val="0"/>
                <w:sz w:val="18"/>
              </w:rPr>
              <w:t>CurrencyExchange</w:t>
            </w:r>
          </w:p>
        </w:tc>
        <w:tc>
          <w:tcPr>
            <w:tcW w:type="dxa" w:w="5040"/>
            <w:vAlign w:val="center"/>
          </w:tcPr>
          <w:p>
            <w:pPr>
              <w:spacing w:after="0"/>
            </w:pPr>
            <w:r/>
            <w:r>
              <w:rPr>
                <w:rFonts w:ascii="Microsoft YaHei" w:hAnsi="Microsoft YaHei" w:eastAsia="微软雅黑"/>
                <w:b w:val="0"/>
                <w:sz w:val="18"/>
              </w:rPr>
              <w:t>批次、日期、人民币支出、U 币数量、汇率、费用、损耗结果</w:t>
            </w:r>
          </w:p>
        </w:tc>
      </w:tr>
      <w:tr>
        <w:tc>
          <w:tcPr>
            <w:tcW w:type="dxa" w:w="5040"/>
            <w:vAlign w:val="center"/>
          </w:tcPr>
          <w:p>
            <w:pPr>
              <w:spacing w:after="0"/>
            </w:pPr>
            <w:r/>
            <w:r>
              <w:rPr>
                <w:rFonts w:ascii="Microsoft YaHei" w:hAnsi="Microsoft YaHei" w:eastAsia="微软雅黑"/>
                <w:b w:val="0"/>
                <w:sz w:val="18"/>
              </w:rPr>
              <w:t>InvestorContribution</w:t>
            </w:r>
          </w:p>
        </w:tc>
        <w:tc>
          <w:tcPr>
            <w:tcW w:type="dxa" w:w="5040"/>
            <w:vAlign w:val="center"/>
          </w:tcPr>
          <w:p>
            <w:pPr>
              <w:spacing w:after="0"/>
            </w:pPr>
            <w:r/>
            <w:r>
              <w:rPr>
                <w:rFonts w:ascii="Microsoft YaHei" w:hAnsi="Microsoft YaHei" w:eastAsia="微软雅黑"/>
                <w:b w:val="0"/>
                <w:sz w:val="18"/>
              </w:rPr>
              <w:t>批次/分红记录、出资人姓名、出资金额、占比快照</w:t>
            </w:r>
          </w:p>
        </w:tc>
      </w:tr>
      <w:tr>
        <w:tc>
          <w:tcPr>
            <w:tcW w:type="dxa" w:w="5040"/>
            <w:vAlign w:val="center"/>
          </w:tcPr>
          <w:p>
            <w:pPr>
              <w:spacing w:after="0"/>
            </w:pPr>
            <w:r/>
            <w:r>
              <w:rPr>
                <w:rFonts w:ascii="Microsoft YaHei" w:hAnsi="Microsoft YaHei" w:eastAsia="微软雅黑"/>
                <w:b w:val="0"/>
                <w:sz w:val="18"/>
              </w:rPr>
              <w:t>Dividend</w:t>
            </w:r>
          </w:p>
        </w:tc>
        <w:tc>
          <w:tcPr>
            <w:tcW w:type="dxa" w:w="5040"/>
            <w:vAlign w:val="center"/>
          </w:tcPr>
          <w:p>
            <w:pPr>
              <w:spacing w:after="0"/>
            </w:pPr>
            <w:r/>
            <w:r>
              <w:rPr>
                <w:rFonts w:ascii="Microsoft YaHei" w:hAnsi="Microsoft YaHei" w:eastAsia="微软雅黑"/>
                <w:b w:val="0"/>
                <w:sz w:val="18"/>
              </w:rPr>
              <w:t>批次、手动最终分红总额、已分配、未分配、确认状态</w:t>
            </w:r>
          </w:p>
        </w:tc>
      </w:tr>
      <w:tr>
        <w:tc>
          <w:tcPr>
            <w:tcW w:type="dxa" w:w="5040"/>
            <w:vAlign w:val="center"/>
          </w:tcPr>
          <w:p>
            <w:pPr>
              <w:spacing w:after="0"/>
            </w:pPr>
            <w:r/>
            <w:r>
              <w:rPr>
                <w:rFonts w:ascii="Microsoft YaHei" w:hAnsi="Microsoft YaHei" w:eastAsia="微软雅黑"/>
                <w:b w:val="0"/>
                <w:sz w:val="18"/>
              </w:rPr>
              <w:t>DividendAllocation</w:t>
            </w:r>
          </w:p>
        </w:tc>
        <w:tc>
          <w:tcPr>
            <w:tcW w:type="dxa" w:w="5040"/>
            <w:vAlign w:val="center"/>
          </w:tcPr>
          <w:p>
            <w:pPr>
              <w:spacing w:after="0"/>
            </w:pPr>
            <w:r/>
            <w:r>
              <w:rPr>
                <w:rFonts w:ascii="Microsoft YaHei" w:hAnsi="Microsoft YaHei" w:eastAsia="微软雅黑"/>
                <w:b w:val="0"/>
                <w:sz w:val="18"/>
              </w:rPr>
              <w:t>出资人姓名、出资金额、比例、应分金额、已兑付金额</w:t>
            </w:r>
          </w:p>
        </w:tc>
      </w:tr>
      <w:tr>
        <w:tc>
          <w:tcPr>
            <w:tcW w:type="dxa" w:w="5040"/>
            <w:vAlign w:val="center"/>
          </w:tcPr>
          <w:p>
            <w:pPr>
              <w:spacing w:after="0"/>
            </w:pPr>
            <w:r/>
            <w:r>
              <w:rPr>
                <w:rFonts w:ascii="Microsoft YaHei" w:hAnsi="Microsoft YaHei" w:eastAsia="微软雅黑"/>
                <w:b w:val="0"/>
                <w:sz w:val="18"/>
              </w:rPr>
              <w:t>DividendPayment</w:t>
            </w:r>
          </w:p>
        </w:tc>
        <w:tc>
          <w:tcPr>
            <w:tcW w:type="dxa" w:w="5040"/>
            <w:vAlign w:val="center"/>
          </w:tcPr>
          <w:p>
            <w:pPr>
              <w:spacing w:after="0"/>
            </w:pPr>
            <w:r/>
            <w:r>
              <w:rPr>
                <w:rFonts w:ascii="Microsoft YaHei" w:hAnsi="Microsoft YaHei" w:eastAsia="微软雅黑"/>
                <w:b w:val="0"/>
                <w:sz w:val="18"/>
              </w:rPr>
              <w:t>分红分配关联、兑付日期、金额、备注</w:t>
            </w:r>
          </w:p>
        </w:tc>
      </w:tr>
      <w:tr>
        <w:tc>
          <w:tcPr>
            <w:tcW w:type="dxa" w:w="5040"/>
            <w:vAlign w:val="center"/>
          </w:tcPr>
          <w:p>
            <w:pPr>
              <w:spacing w:after="0"/>
            </w:pPr>
            <w:r/>
            <w:r>
              <w:rPr>
                <w:rFonts w:ascii="Microsoft YaHei" w:hAnsi="Microsoft YaHei" w:eastAsia="微软雅黑"/>
                <w:b w:val="0"/>
                <w:sz w:val="18"/>
              </w:rPr>
              <w:t>AuditLog</w:t>
            </w:r>
          </w:p>
        </w:tc>
        <w:tc>
          <w:tcPr>
            <w:tcW w:type="dxa" w:w="5040"/>
            <w:vAlign w:val="center"/>
          </w:tcPr>
          <w:p>
            <w:pPr>
              <w:spacing w:after="0"/>
            </w:pPr>
            <w:r/>
            <w:r>
              <w:rPr>
                <w:rFonts w:ascii="Microsoft YaHei" w:hAnsi="Microsoft YaHei" w:eastAsia="微软雅黑"/>
                <w:b w:val="0"/>
                <w:sz w:val="18"/>
              </w:rPr>
              <w:t>实体、记录 ID、修改时间、修改前后值、操作类型</w:t>
            </w:r>
          </w:p>
        </w:tc>
      </w:tr>
    </w:tbl>
    <w:p/>
    <w:p>
      <w:r>
        <w:t>数据模型可按实际技术栈调整，但必须保证批次与明细关系清晰、历史金额可追溯、出资和分红快照不被后续数据覆盖。</w:t>
      </w:r>
    </w:p>
    <w:p>
      <w:pPr>
        <w:pStyle w:val="Heading1"/>
      </w:pPr>
      <w:r>
        <w:t>13. 计算与数据校验总原则</w:t>
      </w:r>
    </w:p>
    <w:p>
      <w:pPr>
        <w:pStyle w:val="ListBullet"/>
        <w:spacing w:after="40"/>
      </w:pPr>
      <w:r>
        <w:t>所有货币计算统一使用十进制定点或整数分（分）处理，禁止直接依赖二进制浮点数进行最终金额结算。</w:t>
      </w:r>
    </w:p>
    <w:p>
      <w:pPr>
        <w:pStyle w:val="ListBullet"/>
        <w:spacing w:after="40"/>
      </w:pPr>
      <w:r>
        <w:t>数量、单价、金额字段进行非负数校验；确有退款、退货或负损耗业务时应使用明确的冲销记录，不要随意允许负数。</w:t>
      </w:r>
    </w:p>
    <w:p>
      <w:pPr>
        <w:pStyle w:val="ListBullet"/>
        <w:spacing w:after="40"/>
      </w:pPr>
      <w:r>
        <w:t>实际到货金额必须使用实际到货数量和实际到货单价计算。</w:t>
      </w:r>
    </w:p>
    <w:p>
      <w:pPr>
        <w:pStyle w:val="ListBullet"/>
        <w:spacing w:after="40"/>
      </w:pPr>
      <w:r>
        <w:t>首页统计必须从数据库记录汇总，不能手工写死示例数字。</w:t>
      </w:r>
    </w:p>
    <w:p>
      <w:pPr>
        <w:pStyle w:val="ListBullet"/>
        <w:spacing w:after="40"/>
      </w:pPr>
      <w:r>
        <w:t>删除、编辑、确认结算等重要操作必须有明确的用户反馈；失败时不能显示保存成功。</w:t>
      </w:r>
    </w:p>
    <w:p>
      <w:pPr>
        <w:pStyle w:val="ListBullet"/>
        <w:spacing w:after="40"/>
      </w:pPr>
      <w:r>
        <w:t>关键计算必须有自动化测试，尤其是欠款、实际成本、利润、分红比例、分币舍入和历史批次隔离。</w:t>
      </w:r>
    </w:p>
    <w:p>
      <w:pPr>
        <w:pStyle w:val="Heading1"/>
      </w:pPr>
      <w:r>
        <w:t>14. 验收标准（开发完成必须逐项验证）</w:t>
      </w:r>
    </w:p>
    <w:p>
      <w:pPr>
        <w:pStyle w:val="ListNumber"/>
        <w:spacing w:after="40"/>
      </w:pPr>
      <w:r>
        <w:t>未登录用户无法访问首页、批次数据和业务 API。</w:t>
      </w:r>
    </w:p>
    <w:p>
      <w:pPr>
        <w:pStyle w:val="ListNumber"/>
        <w:spacing w:after="40"/>
      </w:pPr>
      <w:r>
        <w:t>创建批次后，可以添加多个产品、多个口味及各自的预定数量、预定单价；预定总金额正确。</w:t>
      </w:r>
    </w:p>
    <w:p>
      <w:pPr>
        <w:pStyle w:val="ListNumber"/>
        <w:spacing w:after="40"/>
      </w:pPr>
      <w:r>
        <w:t>预定 2,000 个、单价 ¥35；实际到货 1,800 个、实际单价 ¥37，系统显示实际金额 ¥66,600、缺货 200、预定金额 ¥70,000。</w:t>
      </w:r>
    </w:p>
    <w:p>
      <w:pPr>
        <w:pStyle w:val="ListNumber"/>
        <w:spacing w:after="40"/>
      </w:pPr>
      <w:r>
        <w:t>支持同一口味分批到货，数量和金额汇总正确，且不会重复计入进货成本。</w:t>
      </w:r>
    </w:p>
    <w:p>
      <w:pPr>
        <w:pStyle w:val="ListNumber"/>
        <w:spacing w:after="40"/>
      </w:pPr>
      <w:r>
        <w:t>出货销售金额 ¥288,000，免收/甩零 ¥3,000，累计已收 ¥280,000，剩余欠款必须为 ¥5,000。</w:t>
      </w:r>
    </w:p>
    <w:p>
      <w:pPr>
        <w:pStyle w:val="ListNumber"/>
        <w:spacing w:after="40"/>
      </w:pPr>
      <w:r>
        <w:t>客户分次收款后，剩余欠款和首页应收欠款同步更新。</w:t>
      </w:r>
    </w:p>
    <w:p>
      <w:pPr>
        <w:pStyle w:val="ListNumber"/>
        <w:spacing w:after="40"/>
      </w:pPr>
      <w:r>
        <w:t>主页至少展示累计纯利（扣除分红）、分红总数、已分配、未分配、应收欠款，且与明细合计一致。</w:t>
      </w:r>
    </w:p>
    <w:p>
      <w:pPr>
        <w:pStyle w:val="ListNumber"/>
        <w:spacing w:after="40"/>
      </w:pPr>
      <w:r>
        <w:t>手动输入最终分红总额 ¥6,000，出资人分别出资 ¥30,000、¥30,000、¥60,000，个人应分应为 ¥1,500、¥1,500、¥3,000。</w:t>
      </w:r>
    </w:p>
    <w:p>
      <w:pPr>
        <w:pStyle w:val="ListNumber"/>
        <w:spacing w:after="40"/>
      </w:pPr>
      <w:r>
        <w:t>系统不会再对手动填写的分红总额乘以 30%。</w:t>
      </w:r>
    </w:p>
    <w:p>
      <w:pPr>
        <w:pStyle w:val="ListNumber"/>
        <w:spacing w:after="40"/>
      </w:pPr>
      <w:r>
        <w:t>分红总额未完全分配时，未分配金额正确；个人部分兑付后，已兑付和未兑付正确。</w:t>
      </w:r>
    </w:p>
    <w:p>
      <w:pPr>
        <w:pStyle w:val="ListNumber"/>
        <w:spacing w:after="40"/>
      </w:pPr>
      <w:r>
        <w:t>所有费用可汇总，用户新增费用类别后无需改代码。</w:t>
      </w:r>
    </w:p>
    <w:p>
      <w:pPr>
        <w:pStyle w:val="ListNumber"/>
        <w:spacing w:after="40"/>
      </w:pPr>
      <w:r>
        <w:t>U 币兑换记录以人民币作为账本主币种；兑换损耗公式明确显示，未确认公式时不得偷偷使用猜测公式。</w:t>
      </w:r>
    </w:p>
    <w:p>
      <w:pPr>
        <w:pStyle w:val="ListNumber"/>
        <w:spacing w:after="40"/>
      </w:pPr>
      <w:r>
        <w:t>刷新页面、退出后重新登录或更换设备后，已保存数据仍存在。</w:t>
      </w:r>
    </w:p>
    <w:p>
      <w:pPr>
        <w:pStyle w:val="ListNumber"/>
        <w:spacing w:after="40"/>
      </w:pPr>
      <w:r>
        <w:t>历史批次数据不会被新批次或后续出资人信息改变。</w:t>
      </w:r>
    </w:p>
    <w:p>
      <w:pPr>
        <w:pStyle w:val="ListNumber"/>
        <w:spacing w:after="40"/>
      </w:pPr>
      <w:r>
        <w:t>Excel 导出字段完整，导出汇总金额与页面一致。</w:t>
      </w:r>
    </w:p>
    <w:p>
      <w:pPr>
        <w:pStyle w:val="ListNumber"/>
        <w:spacing w:after="40"/>
      </w:pPr>
      <w:r>
        <w:t>手机端所有主要操作可完成，不出现横向溢出、按钮无法点击或关键表单被遮挡。</w:t>
      </w:r>
    </w:p>
    <w:p>
      <w:pPr>
        <w:pStyle w:val="Heading1"/>
      </w:pPr>
      <w:r>
        <w:t>15. 需要在正式结算前确认的业务口径</w:t>
      </w:r>
    </w:p>
    <w:p>
      <w:r>
        <w:t>以下事项不能由开发 AI 自行猜测。可先实现字段和页面，但在正式用于真实结算前，必须由用户确认：</w:t>
      </w:r>
    </w:p>
    <w:p>
      <w:pPr>
        <w:pStyle w:val="ListBullet"/>
        <w:spacing w:after="40"/>
      </w:pPr>
      <w:r>
        <w:t>利润是按出货销售金额（应收口径）计算，还是按实际收到的货款（实收口径）计算。原始表格示例使用实收金额，但本项目最终口径尚未再次确认。</w:t>
      </w:r>
    </w:p>
    <w:p>
      <w:pPr>
        <w:pStyle w:val="ListBullet"/>
        <w:spacing w:after="40"/>
      </w:pPr>
      <w:r>
        <w:t>U 币兑换损耗的精确公式、汇率字段分别代表什么、是否计入手续费，以及兑换收益如何处理。</w:t>
      </w:r>
    </w:p>
    <w:p>
      <w:pPr>
        <w:pStyle w:val="ListBullet"/>
        <w:spacing w:after="40"/>
      </w:pPr>
      <w:r>
        <w:t>首页累计纯利是否在分红金额填写后立即扣减，还是在分红确认后扣减。建议在分红确认时计入，避免未确认草稿影响首页。</w:t>
      </w:r>
    </w:p>
    <w:p>
      <w:pPr>
        <w:pStyle w:val="ListBullet"/>
        <w:spacing w:after="40"/>
      </w:pPr>
      <w:r>
        <w:t>批次中存在退货、退款、供应商补货或客户预付款时的冲销规则，可列入后续版本，但不得造成现有数据重复计入。</w:t>
      </w:r>
    </w:p>
    <w:p>
      <w:pPr>
        <w:pStyle w:val="Heading1"/>
      </w:pPr>
      <w:r>
        <w:t>16. 给 AI 编程工具的执行指令</w:t>
      </w:r>
    </w:p>
    <w:p>
      <w:pPr>
        <w:pStyle w:val="ListNumber"/>
        <w:spacing w:after="40"/>
      </w:pPr>
      <w:r>
        <w:t>先阅读本需求文档并检查现有项目代码、数据库结构、路由和登录实现，不要一开始就重写整个项目。</w:t>
      </w:r>
    </w:p>
    <w:p>
      <w:pPr>
        <w:pStyle w:val="ListNumber"/>
        <w:spacing w:after="40"/>
      </w:pPr>
      <w:r>
        <w:t>先输出实施计划、数据模型变更、页面路由清单和风险点，等用户确认后分阶段开发。</w:t>
      </w:r>
    </w:p>
    <w:p>
      <w:pPr>
        <w:pStyle w:val="ListNumber"/>
        <w:spacing w:after="40"/>
      </w:pPr>
      <w:r>
        <w:t>按“登录与数据持久化 → 批次与预定清单 → 实际到货 → 出货与收款 → 费用和 U 币 → 利润 → 分红 → 首页汇总 → 历史与导出”的顺序实现。</w:t>
      </w:r>
    </w:p>
    <w:p>
      <w:pPr>
        <w:pStyle w:val="ListNumber"/>
        <w:spacing w:after="40"/>
      </w:pPr>
      <w:r>
        <w:t>每完成一个阶段，运行类型检查、构建和相关测试；修复错误后再进入下一阶段。</w:t>
      </w:r>
    </w:p>
    <w:p>
      <w:pPr>
        <w:pStyle w:val="ListNumber"/>
        <w:spacing w:after="40"/>
      </w:pPr>
      <w:r>
        <w:t>所有计算在服务端有唯一可信实现；前端只负责录入和展示，不能形成第二套互相矛盾的数据源。</w:t>
      </w:r>
    </w:p>
    <w:p>
      <w:pPr>
        <w:pStyle w:val="ListNumber"/>
        <w:spacing w:after="40"/>
      </w:pPr>
      <w:r>
        <w:t>不得使用演示数据冒充真实数据；演示数据必须明确标记，生产环境默认空白账本。</w:t>
      </w:r>
    </w:p>
    <w:p>
      <w:pPr>
        <w:pStyle w:val="ListNumber"/>
        <w:spacing w:after="40"/>
      </w:pPr>
      <w:r>
        <w:t>不得擅自删除已有用户数据、重置数据库或执行破坏性迁移；有风险时先备份并向用户说明。</w:t>
      </w:r>
    </w:p>
    <w:p>
      <w:pPr>
        <w:pStyle w:val="ListNumber"/>
        <w:spacing w:after="40"/>
      </w:pPr>
      <w:r>
        <w:t>交付时提供启动/部署步骤、环境变量清单、数据库迁移与备份方法、测试结果和未完成事项。</w:t>
      </w:r>
    </w:p>
    <w:p>
      <w:pPr>
        <w:pStyle w:val="Heading1"/>
      </w:pPr>
      <w:r>
        <w:t>附录：核心公式速查</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E2"/>
          </w:tcPr>
          <w:p>
            <w:pPr>
              <w:spacing w:after="0"/>
            </w:pPr>
            <w:r/>
            <w:r>
              <w:rPr>
                <w:rFonts w:ascii="Microsoft YaHei" w:hAnsi="Microsoft YaHei" w:eastAsia="微软雅黑"/>
                <w:b/>
                <w:sz w:val="18"/>
              </w:rPr>
              <w:t>项目</w:t>
            </w:r>
          </w:p>
        </w:tc>
        <w:tc>
          <w:tcPr>
            <w:tcW w:type="dxa" w:w="5040"/>
            <w:vAlign w:val="center"/>
            <w:shd w:fill="DCEAE2"/>
          </w:tcPr>
          <w:p>
            <w:pPr>
              <w:spacing w:after="0"/>
            </w:pPr>
            <w:r/>
            <w:r>
              <w:rPr>
                <w:rFonts w:ascii="Microsoft YaHei" w:hAnsi="Microsoft YaHei" w:eastAsia="微软雅黑"/>
                <w:b/>
                <w:sz w:val="18"/>
              </w:rPr>
              <w:t>公式</w:t>
            </w:r>
          </w:p>
        </w:tc>
      </w:tr>
      <w:tr>
        <w:tc>
          <w:tcPr>
            <w:tcW w:type="dxa" w:w="5040"/>
            <w:vAlign w:val="center"/>
          </w:tcPr>
          <w:p>
            <w:pPr>
              <w:spacing w:after="0"/>
            </w:pPr>
            <w:r/>
            <w:r>
              <w:rPr>
                <w:rFonts w:ascii="Microsoft YaHei" w:hAnsi="Microsoft YaHei" w:eastAsia="微软雅黑"/>
                <w:b w:val="0"/>
                <w:sz w:val="18"/>
              </w:rPr>
              <w:t>预定金额</w:t>
            </w:r>
          </w:p>
        </w:tc>
        <w:tc>
          <w:tcPr>
            <w:tcW w:type="dxa" w:w="5040"/>
            <w:vAlign w:val="center"/>
          </w:tcPr>
          <w:p>
            <w:pPr>
              <w:spacing w:after="0"/>
            </w:pPr>
            <w:r/>
            <w:r>
              <w:rPr>
                <w:rFonts w:ascii="Microsoft YaHei" w:hAnsi="Microsoft YaHei" w:eastAsia="微软雅黑"/>
                <w:b w:val="0"/>
                <w:sz w:val="18"/>
              </w:rPr>
              <w:t>预定数量 × 预定单价</w:t>
            </w:r>
          </w:p>
        </w:tc>
      </w:tr>
      <w:tr>
        <w:tc>
          <w:tcPr>
            <w:tcW w:type="dxa" w:w="5040"/>
            <w:vAlign w:val="center"/>
          </w:tcPr>
          <w:p>
            <w:pPr>
              <w:spacing w:after="0"/>
            </w:pPr>
            <w:r/>
            <w:r>
              <w:rPr>
                <w:rFonts w:ascii="Microsoft YaHei" w:hAnsi="Microsoft YaHei" w:eastAsia="微软雅黑"/>
                <w:b w:val="0"/>
                <w:sz w:val="18"/>
              </w:rPr>
              <w:t>实际到货金额</w:t>
            </w:r>
          </w:p>
        </w:tc>
        <w:tc>
          <w:tcPr>
            <w:tcW w:type="dxa" w:w="5040"/>
            <w:vAlign w:val="center"/>
          </w:tcPr>
          <w:p>
            <w:pPr>
              <w:spacing w:after="0"/>
            </w:pPr>
            <w:r/>
            <w:r>
              <w:rPr>
                <w:rFonts w:ascii="Microsoft YaHei" w:hAnsi="Microsoft YaHei" w:eastAsia="微软雅黑"/>
                <w:b w:val="0"/>
                <w:sz w:val="18"/>
              </w:rPr>
              <w:t>实际到货数量 × 实际到货单价</w:t>
            </w:r>
          </w:p>
        </w:tc>
      </w:tr>
      <w:tr>
        <w:tc>
          <w:tcPr>
            <w:tcW w:type="dxa" w:w="5040"/>
            <w:vAlign w:val="center"/>
          </w:tcPr>
          <w:p>
            <w:pPr>
              <w:spacing w:after="0"/>
            </w:pPr>
            <w:r/>
            <w:r>
              <w:rPr>
                <w:rFonts w:ascii="Microsoft YaHei" w:hAnsi="Microsoft YaHei" w:eastAsia="微软雅黑"/>
                <w:b w:val="0"/>
                <w:sz w:val="18"/>
              </w:rPr>
              <w:t>缺货数量</w:t>
            </w:r>
          </w:p>
        </w:tc>
        <w:tc>
          <w:tcPr>
            <w:tcW w:type="dxa" w:w="5040"/>
            <w:vAlign w:val="center"/>
          </w:tcPr>
          <w:p>
            <w:pPr>
              <w:spacing w:after="0"/>
            </w:pPr>
            <w:r/>
            <w:r>
              <w:rPr>
                <w:rFonts w:ascii="Microsoft YaHei" w:hAnsi="Microsoft YaHei" w:eastAsia="微软雅黑"/>
                <w:b w:val="0"/>
                <w:sz w:val="18"/>
              </w:rPr>
              <w:t>max(预定数量 − 实际到货数量, 0)</w:t>
            </w:r>
          </w:p>
        </w:tc>
      </w:tr>
      <w:tr>
        <w:tc>
          <w:tcPr>
            <w:tcW w:type="dxa" w:w="5040"/>
            <w:vAlign w:val="center"/>
          </w:tcPr>
          <w:p>
            <w:pPr>
              <w:spacing w:after="0"/>
            </w:pPr>
            <w:r/>
            <w:r>
              <w:rPr>
                <w:rFonts w:ascii="Microsoft YaHei" w:hAnsi="Microsoft YaHei" w:eastAsia="微软雅黑"/>
                <w:b w:val="0"/>
                <w:sz w:val="18"/>
              </w:rPr>
              <w:t>多到数量</w:t>
            </w:r>
          </w:p>
        </w:tc>
        <w:tc>
          <w:tcPr>
            <w:tcW w:type="dxa" w:w="5040"/>
            <w:vAlign w:val="center"/>
          </w:tcPr>
          <w:p>
            <w:pPr>
              <w:spacing w:after="0"/>
            </w:pPr>
            <w:r/>
            <w:r>
              <w:rPr>
                <w:rFonts w:ascii="Microsoft YaHei" w:hAnsi="Microsoft YaHei" w:eastAsia="微软雅黑"/>
                <w:b w:val="0"/>
                <w:sz w:val="18"/>
              </w:rPr>
              <w:t>max(实际到货数量 − 预定数量, 0)</w:t>
            </w:r>
          </w:p>
        </w:tc>
      </w:tr>
      <w:tr>
        <w:tc>
          <w:tcPr>
            <w:tcW w:type="dxa" w:w="5040"/>
            <w:vAlign w:val="center"/>
          </w:tcPr>
          <w:p>
            <w:pPr>
              <w:spacing w:after="0"/>
            </w:pPr>
            <w:r/>
            <w:r>
              <w:rPr>
                <w:rFonts w:ascii="Microsoft YaHei" w:hAnsi="Microsoft YaHei" w:eastAsia="微软雅黑"/>
                <w:b w:val="0"/>
                <w:sz w:val="18"/>
              </w:rPr>
              <w:t>剩余欠款</w:t>
            </w:r>
          </w:p>
        </w:tc>
        <w:tc>
          <w:tcPr>
            <w:tcW w:type="dxa" w:w="5040"/>
            <w:vAlign w:val="center"/>
          </w:tcPr>
          <w:p>
            <w:pPr>
              <w:spacing w:after="0"/>
            </w:pPr>
            <w:r/>
            <w:r>
              <w:rPr>
                <w:rFonts w:ascii="Microsoft YaHei" w:hAnsi="Microsoft YaHei" w:eastAsia="微软雅黑"/>
                <w:b w:val="0"/>
                <w:sz w:val="18"/>
              </w:rPr>
              <w:t>销售金额 − 确认免收金额 − 累计已收款</w:t>
            </w:r>
          </w:p>
        </w:tc>
      </w:tr>
      <w:tr>
        <w:tc>
          <w:tcPr>
            <w:tcW w:type="dxa" w:w="5040"/>
            <w:vAlign w:val="center"/>
          </w:tcPr>
          <w:p>
            <w:pPr>
              <w:spacing w:after="0"/>
            </w:pPr>
            <w:r/>
            <w:r>
              <w:rPr>
                <w:rFonts w:ascii="Microsoft YaHei" w:hAnsi="Microsoft YaHei" w:eastAsia="微软雅黑"/>
                <w:b w:val="0"/>
                <w:sz w:val="18"/>
              </w:rPr>
              <w:t>个人出资占比</w:t>
            </w:r>
          </w:p>
        </w:tc>
        <w:tc>
          <w:tcPr>
            <w:tcW w:type="dxa" w:w="5040"/>
            <w:vAlign w:val="center"/>
          </w:tcPr>
          <w:p>
            <w:pPr>
              <w:spacing w:after="0"/>
            </w:pPr>
            <w:r/>
            <w:r>
              <w:rPr>
                <w:rFonts w:ascii="Microsoft YaHei" w:hAnsi="Microsoft YaHei" w:eastAsia="微软雅黑"/>
                <w:b w:val="0"/>
                <w:sz w:val="18"/>
              </w:rPr>
              <w:t>个人本次出资金额 ÷ 本次出资总额</w:t>
            </w:r>
          </w:p>
        </w:tc>
      </w:tr>
      <w:tr>
        <w:tc>
          <w:tcPr>
            <w:tcW w:type="dxa" w:w="5040"/>
            <w:vAlign w:val="center"/>
          </w:tcPr>
          <w:p>
            <w:pPr>
              <w:spacing w:after="0"/>
            </w:pPr>
            <w:r/>
            <w:r>
              <w:rPr>
                <w:rFonts w:ascii="Microsoft YaHei" w:hAnsi="Microsoft YaHei" w:eastAsia="微软雅黑"/>
                <w:b w:val="0"/>
                <w:sz w:val="18"/>
              </w:rPr>
              <w:t>个人应分</w:t>
            </w:r>
          </w:p>
        </w:tc>
        <w:tc>
          <w:tcPr>
            <w:tcW w:type="dxa" w:w="5040"/>
            <w:vAlign w:val="center"/>
          </w:tcPr>
          <w:p>
            <w:pPr>
              <w:spacing w:after="0"/>
            </w:pPr>
            <w:r/>
            <w:r>
              <w:rPr>
                <w:rFonts w:ascii="Microsoft YaHei" w:hAnsi="Microsoft YaHei" w:eastAsia="微软雅黑"/>
                <w:b w:val="0"/>
                <w:sz w:val="18"/>
              </w:rPr>
              <w:t>手动填写的最终分红总额 × 个人出资占比</w:t>
            </w:r>
          </w:p>
        </w:tc>
      </w:tr>
      <w:tr>
        <w:tc>
          <w:tcPr>
            <w:tcW w:type="dxa" w:w="5040"/>
            <w:vAlign w:val="center"/>
          </w:tcPr>
          <w:p>
            <w:pPr>
              <w:spacing w:after="0"/>
            </w:pPr>
            <w:r/>
            <w:r>
              <w:rPr>
                <w:rFonts w:ascii="Microsoft YaHei" w:hAnsi="Microsoft YaHei" w:eastAsia="微软雅黑"/>
                <w:b w:val="0"/>
                <w:sz w:val="18"/>
              </w:rPr>
              <w:t>未分配分红</w:t>
            </w:r>
          </w:p>
        </w:tc>
        <w:tc>
          <w:tcPr>
            <w:tcW w:type="dxa" w:w="5040"/>
            <w:vAlign w:val="center"/>
          </w:tcPr>
          <w:p>
            <w:pPr>
              <w:spacing w:after="0"/>
            </w:pPr>
            <w:r/>
            <w:r>
              <w:rPr>
                <w:rFonts w:ascii="Microsoft YaHei" w:hAnsi="Microsoft YaHei" w:eastAsia="微软雅黑"/>
                <w:b w:val="0"/>
                <w:sz w:val="18"/>
              </w:rPr>
              <w:t>分红总额 − 已分配金额</w:t>
            </w:r>
          </w:p>
        </w:tc>
      </w:tr>
      <w:tr>
        <w:tc>
          <w:tcPr>
            <w:tcW w:type="dxa" w:w="5040"/>
            <w:vAlign w:val="center"/>
          </w:tcPr>
          <w:p>
            <w:pPr>
              <w:spacing w:after="0"/>
            </w:pPr>
            <w:r/>
            <w:r>
              <w:rPr>
                <w:rFonts w:ascii="Microsoft YaHei" w:hAnsi="Microsoft YaHei" w:eastAsia="微软雅黑"/>
                <w:b w:val="0"/>
                <w:sz w:val="18"/>
              </w:rPr>
              <w:t>未兑付分红</w:t>
            </w:r>
          </w:p>
        </w:tc>
        <w:tc>
          <w:tcPr>
            <w:tcW w:type="dxa" w:w="5040"/>
            <w:vAlign w:val="center"/>
          </w:tcPr>
          <w:p>
            <w:pPr>
              <w:spacing w:after="0"/>
            </w:pPr>
            <w:r/>
            <w:r>
              <w:rPr>
                <w:rFonts w:ascii="Microsoft YaHei" w:hAnsi="Microsoft YaHei" w:eastAsia="微软雅黑"/>
                <w:b w:val="0"/>
                <w:sz w:val="18"/>
              </w:rPr>
              <w:t>个人应分金额 − 个人累计已兑付金额</w:t>
            </w:r>
          </w:p>
        </w:tc>
      </w:tr>
      <w:tr>
        <w:tc>
          <w:tcPr>
            <w:tcW w:type="dxa" w:w="5040"/>
            <w:vAlign w:val="center"/>
          </w:tcPr>
          <w:p>
            <w:pPr>
              <w:spacing w:after="0"/>
            </w:pPr>
            <w:r/>
            <w:r>
              <w:rPr>
                <w:rFonts w:ascii="Microsoft YaHei" w:hAnsi="Microsoft YaHei" w:eastAsia="微软雅黑"/>
                <w:b w:val="0"/>
                <w:sz w:val="18"/>
              </w:rPr>
              <w:t>累计纯利</w:t>
            </w:r>
          </w:p>
        </w:tc>
        <w:tc>
          <w:tcPr>
            <w:tcW w:type="dxa" w:w="5040"/>
            <w:vAlign w:val="center"/>
          </w:tcPr>
          <w:p>
            <w:pPr>
              <w:spacing w:after="0"/>
            </w:pPr>
            <w:r/>
            <w:r>
              <w:rPr>
                <w:rFonts w:ascii="Microsoft YaHei" w:hAnsi="Microsoft YaHei" w:eastAsia="微软雅黑"/>
                <w:b w:val="0"/>
                <w:sz w:val="18"/>
              </w:rPr>
              <w:t>纳入统计批次经营利润合计 − 已确认的最终分红总额合计</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个人经营账本 Web 手机版需求文档｜V1.0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1F4E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2F54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