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09ef2b2897647d1" /><Relationship Type="http://schemas.openxmlformats.org/officeDocument/2006/relationships/officeDocument" Target="/word/document.xml" Id="Rca85e6c64e1341c5" /><Relationship Type="http://schemas.microsoft.com/office/2011/relationships/webextensiontaskpanes" Target="/word/webextensions/taskpanes.xml" Id="R3cdcebe6b18e42d4" /><Relationship Type="http://schemas.openxmlformats.org/package/2006/relationships/metadata/core-properties" Target="/package/services/metadata/core-properties/7114ae0c22ae4f79a76b5b9476e900b8.psmdcp" Id="Rd272d52e8003489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e835858b3aa4de3" /><Relationship Type="http://schemas.openxmlformats.org/officeDocument/2006/relationships/webSettings" Target="/word/webSettings.xml" Id="R5e97d7a18c4e496f" /><Relationship Type="http://schemas.openxmlformats.org/officeDocument/2006/relationships/fontTable" Target="/word/fontTable.xml" Id="R079bb114738b4072" /><Relationship Type="http://schemas.openxmlformats.org/officeDocument/2006/relationships/settings" Target="/word/settings.xml" Id="R6a48dcc5ed654509" /><Relationship Type="http://schemas.openxmlformats.org/officeDocument/2006/relationships/styles" Target="/word/styles.xml" Id="R36d30f99a46e419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6069c368933474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6069c368933474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86ee024-77d1-4d02-b5a2-f0c6695ce2a7}">
  <we:reference id="aaf38cbe-902b-41e4-84ec-10969d9567a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