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805C" w14:textId="77777777" w:rsidR="00E613FE" w:rsidRPr="00E613FE" w:rsidRDefault="00E613FE" w:rsidP="00E613FE">
      <w:pPr>
        <w:pStyle w:val="Heading1"/>
        <w:spacing w:line="360" w:lineRule="auto"/>
        <w:jc w:val="both"/>
        <w:rPr>
          <w:rFonts w:ascii="Times New Roman" w:hAnsi="Times New Roman" w:cs="Times New Roman"/>
          <w:sz w:val="24"/>
          <w:szCs w:val="24"/>
        </w:rPr>
      </w:pPr>
      <w:bookmarkStart w:id="0" w:name="_Toc236608485"/>
      <w:r w:rsidRPr="00E613FE">
        <w:rPr>
          <w:rFonts w:ascii="Times New Roman" w:hAnsi="Times New Roman" w:cs="Times New Roman"/>
          <w:sz w:val="24"/>
          <w:szCs w:val="24"/>
        </w:rPr>
        <w:t>4.0 Results and Discussion</w:t>
      </w:r>
      <w:bookmarkEnd w:id="0"/>
    </w:p>
    <w:p w14:paraId="64C03F3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This chapter reports what the implemented system does, measured rather than asserted. Every figure is reproducible from a named script against a pinned commit, and the reproduction commands are given in Appendix A. Where a claim rests on inference rather than measurement, it is labelled as such.</w:t>
      </w:r>
    </w:p>
    <w:p w14:paraId="3E45C2C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Two conventions apply throughout. Combinatorial figures are deterministic and reproduce exactly, so they are quoted exactly. Latency figures are stochastic and are quoted to two significant figures with an observed range; no claim in this chapter rests on a tail percentile, because at microsecond scale a single garbage-collection pause dominates the tail and the p95 was observed to vary by a factor of 2.8 between runs of identical code.</w:t>
      </w:r>
    </w:p>
    <w:p w14:paraId="154DFCB3"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1" w:name="_Toc236608486"/>
      <w:r w:rsidRPr="00E613FE">
        <w:rPr>
          <w:rFonts w:ascii="Times New Roman" w:hAnsi="Times New Roman" w:cs="Times New Roman"/>
          <w:sz w:val="24"/>
          <w:szCs w:val="24"/>
        </w:rPr>
        <w:t>4.1 The delivered system</w:t>
      </w:r>
      <w:bookmarkEnd w:id="1"/>
    </w:p>
    <w:p w14:paraId="6BE41F8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platform comprises nine application routes and nine API endpoints across 110 TypeScript modules, backed by a curated catalog of 60 components.</w:t>
      </w:r>
    </w:p>
    <w:tbl>
      <w:tblPr>
        <w:tblStyle w:val="TableGridLight"/>
        <w:tblW w:w="8993" w:type="dxa"/>
        <w:tblLook w:val="04A0" w:firstRow="1" w:lastRow="0" w:firstColumn="1" w:lastColumn="0" w:noHBand="0" w:noVBand="1"/>
      </w:tblPr>
      <w:tblGrid>
        <w:gridCol w:w="4496"/>
        <w:gridCol w:w="4497"/>
      </w:tblGrid>
      <w:tr w:rsidR="00E613FE" w:rsidRPr="00E613FE" w14:paraId="2A47E367" w14:textId="77777777" w:rsidTr="009A3029">
        <w:trPr>
          <w:tblHeader/>
        </w:trPr>
        <w:tc>
          <w:tcPr>
            <w:tcW w:w="4496" w:type="dxa"/>
          </w:tcPr>
          <w:p w14:paraId="299ADA0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Route</w:t>
            </w:r>
          </w:p>
        </w:tc>
        <w:tc>
          <w:tcPr>
            <w:tcW w:w="4497" w:type="dxa"/>
          </w:tcPr>
          <w:p w14:paraId="34AB4A2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Function</w:t>
            </w:r>
          </w:p>
        </w:tc>
      </w:tr>
      <w:tr w:rsidR="00E613FE" w:rsidRPr="00E613FE" w14:paraId="154141B9" w14:textId="77777777" w:rsidTr="009A3029">
        <w:tc>
          <w:tcPr>
            <w:tcW w:w="4496" w:type="dxa"/>
          </w:tcPr>
          <w:p w14:paraId="22EBB33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w:t>
            </w:r>
          </w:p>
        </w:tc>
        <w:tc>
          <w:tcPr>
            <w:tcW w:w="4497" w:type="dxa"/>
          </w:tcPr>
          <w:p w14:paraId="47474C2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Prompt-first landing page with an animated configurator demonstration</w:t>
            </w:r>
          </w:p>
        </w:tc>
      </w:tr>
      <w:tr w:rsidR="00E613FE" w:rsidRPr="00E613FE" w14:paraId="0C27F064" w14:textId="77777777" w:rsidTr="009A3029">
        <w:tc>
          <w:tcPr>
            <w:tcW w:w="4496" w:type="dxa"/>
          </w:tcPr>
          <w:p w14:paraId="0383099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w:t>
            </w:r>
            <w:proofErr w:type="gramStart"/>
            <w:r w:rsidRPr="00E613FE">
              <w:rPr>
                <w:rFonts w:ascii="Times New Roman" w:hAnsi="Times New Roman" w:cs="Times New Roman"/>
              </w:rPr>
              <w:t>configurator</w:t>
            </w:r>
            <w:proofErr w:type="gramEnd"/>
          </w:p>
        </w:tc>
        <w:tc>
          <w:tcPr>
            <w:tcW w:w="4497" w:type="dxa"/>
          </w:tcPr>
          <w:p w14:paraId="5514706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AI recommendation flow and manual compatibility checking</w:t>
            </w:r>
          </w:p>
        </w:tc>
      </w:tr>
      <w:tr w:rsidR="00E613FE" w:rsidRPr="00E613FE" w14:paraId="14542D43" w14:textId="77777777" w:rsidTr="009A3029">
        <w:tc>
          <w:tcPr>
            <w:tcW w:w="4496" w:type="dxa"/>
          </w:tcPr>
          <w:p w14:paraId="733DD3D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w:t>
            </w:r>
            <w:proofErr w:type="gramStart"/>
            <w:r w:rsidRPr="00E613FE">
              <w:rPr>
                <w:rFonts w:ascii="Times New Roman" w:hAnsi="Times New Roman" w:cs="Times New Roman"/>
              </w:rPr>
              <w:t>browse</w:t>
            </w:r>
            <w:proofErr w:type="gramEnd"/>
          </w:p>
        </w:tc>
        <w:tc>
          <w:tcPr>
            <w:tcW w:w="4497" w:type="dxa"/>
          </w:tcPr>
          <w:p w14:paraId="25F3C83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Catalog browsing by category</w:t>
            </w:r>
          </w:p>
        </w:tc>
      </w:tr>
      <w:tr w:rsidR="00E613FE" w:rsidRPr="00E613FE" w14:paraId="30B23E2B" w14:textId="77777777" w:rsidTr="009A3029">
        <w:tc>
          <w:tcPr>
            <w:tcW w:w="4496" w:type="dxa"/>
          </w:tcPr>
          <w:p w14:paraId="7C5929E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w:t>
            </w:r>
            <w:proofErr w:type="gramStart"/>
            <w:r w:rsidRPr="00E613FE">
              <w:rPr>
                <w:rFonts w:ascii="Times New Roman" w:hAnsi="Times New Roman" w:cs="Times New Roman"/>
              </w:rPr>
              <w:t>my</w:t>
            </w:r>
            <w:proofErr w:type="gramEnd"/>
            <w:r w:rsidRPr="00E613FE">
              <w:rPr>
                <w:rFonts w:ascii="Times New Roman" w:hAnsi="Times New Roman" w:cs="Times New Roman"/>
              </w:rPr>
              <w:t>-builds</w:t>
            </w:r>
          </w:p>
        </w:tc>
        <w:tc>
          <w:tcPr>
            <w:tcW w:w="4497" w:type="dxa"/>
          </w:tcPr>
          <w:p w14:paraId="03AA20A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Account-persisted saved builds</w:t>
            </w:r>
          </w:p>
        </w:tc>
      </w:tr>
      <w:tr w:rsidR="00E613FE" w:rsidRPr="00E613FE" w14:paraId="1CCE85D7" w14:textId="77777777" w:rsidTr="009A3029">
        <w:tc>
          <w:tcPr>
            <w:tcW w:w="4496" w:type="dxa"/>
          </w:tcPr>
          <w:p w14:paraId="4107B94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w:t>
            </w:r>
            <w:proofErr w:type="gramStart"/>
            <w:r w:rsidRPr="00E613FE">
              <w:rPr>
                <w:rFonts w:ascii="Times New Roman" w:hAnsi="Times New Roman" w:cs="Times New Roman"/>
              </w:rPr>
              <w:t>community</w:t>
            </w:r>
            <w:proofErr w:type="gramEnd"/>
            <w:r w:rsidRPr="00E613FE">
              <w:rPr>
                <w:rFonts w:ascii="Times New Roman" w:hAnsi="Times New Roman" w:cs="Times New Roman"/>
              </w:rPr>
              <w:t>-gallery</w:t>
            </w:r>
          </w:p>
        </w:tc>
        <w:tc>
          <w:tcPr>
            <w:tcW w:w="4497" w:type="dxa"/>
          </w:tcPr>
          <w:p w14:paraId="605AF74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Threaded community posts with in-context AI replies</w:t>
            </w:r>
          </w:p>
        </w:tc>
      </w:tr>
      <w:tr w:rsidR="00E613FE" w:rsidRPr="00E613FE" w14:paraId="4A991C77" w14:textId="77777777" w:rsidTr="009A3029">
        <w:tc>
          <w:tcPr>
            <w:tcW w:w="4496" w:type="dxa"/>
          </w:tcPr>
          <w:p w14:paraId="39F1516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w:t>
            </w:r>
            <w:proofErr w:type="gramStart"/>
            <w:r w:rsidRPr="00E613FE">
              <w:rPr>
                <w:rFonts w:ascii="Times New Roman" w:hAnsi="Times New Roman" w:cs="Times New Roman"/>
              </w:rPr>
              <w:t>login</w:t>
            </w:r>
            <w:proofErr w:type="gramEnd"/>
            <w:r w:rsidRPr="00E613FE">
              <w:rPr>
                <w:rFonts w:ascii="Times New Roman" w:hAnsi="Times New Roman" w:cs="Times New Roman"/>
              </w:rPr>
              <w:t>, /signup</w:t>
            </w:r>
          </w:p>
        </w:tc>
        <w:tc>
          <w:tcPr>
            <w:tcW w:w="4497" w:type="dxa"/>
          </w:tcPr>
          <w:p w14:paraId="79CD0DD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Supabase-backed authentication</w:t>
            </w:r>
          </w:p>
        </w:tc>
      </w:tr>
    </w:tbl>
    <w:p w14:paraId="6EE5EAF4" w14:textId="77777777" w:rsidR="00E613FE" w:rsidRPr="00E613FE" w:rsidRDefault="00E613FE" w:rsidP="00E613FE">
      <w:pPr>
        <w:spacing w:after="0" w:line="360" w:lineRule="auto"/>
        <w:jc w:val="both"/>
        <w:rPr>
          <w:rFonts w:ascii="Times New Roman" w:hAnsi="Times New Roman" w:cs="Times New Roman"/>
        </w:rPr>
      </w:pPr>
    </w:p>
    <w:p w14:paraId="057377C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catalog holds 60 records: 19 plates, 11 stabilisers, 10 switches, 8 PCBs, 7 cases and 5 keycap sets, all verified as purchasable in Malaysia and priced in MYR from local vendor listings.</w:t>
      </w:r>
    </w:p>
    <w:p w14:paraId="39C788F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Quality gates are enforced by a single verify script chaining type checking, linting, unit tests and a production build. At submission this passes with 37 test files and 215 passing tests. Section 4.10 qualifies what those tests do and do not cover.</w:t>
      </w:r>
    </w:p>
    <w:p w14:paraId="36DEBDAE"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2" w:name="_Toc236608487"/>
      <w:r w:rsidRPr="00E613FE">
        <w:rPr>
          <w:rFonts w:ascii="Times New Roman" w:hAnsi="Times New Roman" w:cs="Times New Roman"/>
          <w:sz w:val="24"/>
          <w:szCs w:val="24"/>
        </w:rPr>
        <w:lastRenderedPageBreak/>
        <w:t>4.2 The compatibility engine</w:t>
      </w:r>
      <w:bookmarkEnd w:id="2"/>
    </w:p>
    <w:p w14:paraId="1A1F946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Objective 1 required a constraint satisfaction engine preventing physically incompatible selections. The engine is a 713-line module evaluating a complete build across seven validation categories: layout, preferred layout, mount, kit structural integrity, switch, keycap and stabiliser compatibility, plus a separate advisory layer producing non-blocking warnings.</w:t>
      </w:r>
    </w:p>
    <w:p w14:paraId="488D053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It does not short-circuit. All validators execute unconditionally and accumulate issues, so rejection costs approximately the same as acceptance. This matters for interpreting the timings in Section 4.6: there is no fast path for invalid builds.</w:t>
      </w:r>
    </w:p>
    <w:p w14:paraId="650EDC7C"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 w:name="_Toc236608488"/>
      <w:r w:rsidRPr="00E613FE">
        <w:rPr>
          <w:rFonts w:ascii="Times New Roman" w:hAnsi="Times New Roman" w:cs="Times New Roman"/>
          <w:sz w:val="24"/>
          <w:szCs w:val="24"/>
        </w:rPr>
        <w:t>4.2.1 Selectivity</w:t>
      </w:r>
      <w:bookmarkEnd w:id="3"/>
    </w:p>
    <w:p w14:paraId="062D6D6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The catalog admits 7 × 8 × 19 × 10 × 5 × 11 = </w:t>
      </w:r>
      <w:r w:rsidRPr="00E613FE">
        <w:rPr>
          <w:rFonts w:ascii="Times New Roman" w:hAnsi="Times New Roman" w:cs="Times New Roman"/>
          <w:b/>
        </w:rPr>
        <w:t>585,200</w:t>
      </w:r>
      <w:r w:rsidRPr="00E613FE">
        <w:rPr>
          <w:rFonts w:ascii="Times New Roman" w:hAnsi="Times New Roman" w:cs="Times New Roman"/>
        </w:rPr>
        <w:t xml:space="preserve"> possible component combinations. All were evaluated exhaustively through the real engine in 3.1 seconds — not sampled.</w:t>
      </w:r>
    </w:p>
    <w:p w14:paraId="17CA883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3,250 combinations are valid.</w:t>
      </w:r>
      <w:r w:rsidRPr="00E613FE">
        <w:rPr>
          <w:rFonts w:ascii="Times New Roman" w:hAnsi="Times New Roman" w:cs="Times New Roman"/>
        </w:rPr>
        <w:t xml:space="preserve"> The engine eliminates </w:t>
      </w:r>
      <w:r w:rsidRPr="00E613FE">
        <w:rPr>
          <w:rFonts w:ascii="Times New Roman" w:hAnsi="Times New Roman" w:cs="Times New Roman"/>
          <w:b/>
        </w:rPr>
        <w:t>99.4446%</w:t>
      </w:r>
      <w:r w:rsidRPr="00E613FE">
        <w:rPr>
          <w:rFonts w:ascii="Times New Roman" w:hAnsi="Times New Roman" w:cs="Times New Roman"/>
        </w:rPr>
        <w:t xml:space="preserve"> of the decision space; one combination in every 180 survives.</w:t>
      </w:r>
    </w:p>
    <w:p w14:paraId="4FD7AB1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Applying the rules as a sequential cascade shows the space collapsing:</w:t>
      </w:r>
    </w:p>
    <w:tbl>
      <w:tblPr>
        <w:tblStyle w:val="TableGridLight"/>
        <w:tblW w:w="8993" w:type="dxa"/>
        <w:tblLook w:val="04A0" w:firstRow="1" w:lastRow="0" w:firstColumn="1" w:lastColumn="0" w:noHBand="0" w:noVBand="1"/>
      </w:tblPr>
      <w:tblGrid>
        <w:gridCol w:w="2997"/>
        <w:gridCol w:w="2997"/>
        <w:gridCol w:w="2999"/>
      </w:tblGrid>
      <w:tr w:rsidR="00E613FE" w:rsidRPr="00E613FE" w14:paraId="7D0DBE90" w14:textId="77777777" w:rsidTr="009A3029">
        <w:trPr>
          <w:tblHeader/>
        </w:trPr>
        <w:tc>
          <w:tcPr>
            <w:tcW w:w="2997" w:type="dxa"/>
          </w:tcPr>
          <w:p w14:paraId="1FCBBC1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Rule layer (applied in this order)</w:t>
            </w:r>
          </w:p>
        </w:tc>
        <w:tc>
          <w:tcPr>
            <w:tcW w:w="2997" w:type="dxa"/>
          </w:tcPr>
          <w:p w14:paraId="65FCA32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Surviving</w:t>
            </w:r>
          </w:p>
        </w:tc>
        <w:tc>
          <w:tcPr>
            <w:tcW w:w="2999" w:type="dxa"/>
          </w:tcPr>
          <w:p w14:paraId="280C5B0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 of total</w:t>
            </w:r>
          </w:p>
        </w:tc>
      </w:tr>
      <w:tr w:rsidR="00E613FE" w:rsidRPr="00E613FE" w14:paraId="6F1C5559" w14:textId="77777777" w:rsidTr="009A3029">
        <w:tc>
          <w:tcPr>
            <w:tcW w:w="2997" w:type="dxa"/>
          </w:tcPr>
          <w:p w14:paraId="1354870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All possible combinations</w:t>
            </w:r>
          </w:p>
        </w:tc>
        <w:tc>
          <w:tcPr>
            <w:tcW w:w="2997" w:type="dxa"/>
          </w:tcPr>
          <w:p w14:paraId="2CCD2D5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585,200</w:t>
            </w:r>
          </w:p>
        </w:tc>
        <w:tc>
          <w:tcPr>
            <w:tcW w:w="2999" w:type="dxa"/>
          </w:tcPr>
          <w:p w14:paraId="5650A6D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100%</w:t>
            </w:r>
          </w:p>
        </w:tc>
      </w:tr>
      <w:tr w:rsidR="00E613FE" w:rsidRPr="00E613FE" w14:paraId="30B8B688" w14:textId="77777777" w:rsidTr="009A3029">
        <w:tc>
          <w:tcPr>
            <w:tcW w:w="2997" w:type="dxa"/>
          </w:tcPr>
          <w:p w14:paraId="2D0324B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After layout compatibility</w:t>
            </w:r>
          </w:p>
        </w:tc>
        <w:tc>
          <w:tcPr>
            <w:tcW w:w="2997" w:type="dxa"/>
          </w:tcPr>
          <w:p w14:paraId="6CA4D4E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45,650</w:t>
            </w:r>
          </w:p>
        </w:tc>
        <w:tc>
          <w:tcPr>
            <w:tcW w:w="2999" w:type="dxa"/>
          </w:tcPr>
          <w:p w14:paraId="0A8879E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7.80%</w:t>
            </w:r>
          </w:p>
        </w:tc>
      </w:tr>
      <w:tr w:rsidR="00E613FE" w:rsidRPr="00E613FE" w14:paraId="33BA25AF" w14:textId="77777777" w:rsidTr="009A3029">
        <w:tc>
          <w:tcPr>
            <w:tcW w:w="2997" w:type="dxa"/>
          </w:tcPr>
          <w:p w14:paraId="393F5AA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After mount compatibility</w:t>
            </w:r>
          </w:p>
        </w:tc>
        <w:tc>
          <w:tcPr>
            <w:tcW w:w="2997" w:type="dxa"/>
          </w:tcPr>
          <w:p w14:paraId="4E86351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27,500</w:t>
            </w:r>
          </w:p>
        </w:tc>
        <w:tc>
          <w:tcPr>
            <w:tcW w:w="2999" w:type="dxa"/>
          </w:tcPr>
          <w:p w14:paraId="0DAFFE4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4.70%</w:t>
            </w:r>
          </w:p>
        </w:tc>
      </w:tr>
      <w:tr w:rsidR="00E613FE" w:rsidRPr="00E613FE" w14:paraId="6156C61C" w14:textId="77777777" w:rsidTr="009A3029">
        <w:tc>
          <w:tcPr>
            <w:tcW w:w="2997" w:type="dxa"/>
          </w:tcPr>
          <w:p w14:paraId="0744802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After kit structural integrity</w:t>
            </w:r>
          </w:p>
        </w:tc>
        <w:tc>
          <w:tcPr>
            <w:tcW w:w="2997" w:type="dxa"/>
          </w:tcPr>
          <w:p w14:paraId="69F4CF8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11,300</w:t>
            </w:r>
          </w:p>
        </w:tc>
        <w:tc>
          <w:tcPr>
            <w:tcW w:w="2999" w:type="dxa"/>
          </w:tcPr>
          <w:p w14:paraId="6FCB325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1.93%</w:t>
            </w:r>
          </w:p>
        </w:tc>
      </w:tr>
      <w:tr w:rsidR="00E613FE" w:rsidRPr="00E613FE" w14:paraId="133A8FB1" w14:textId="77777777" w:rsidTr="009A3029">
        <w:tc>
          <w:tcPr>
            <w:tcW w:w="2997" w:type="dxa"/>
          </w:tcPr>
          <w:p w14:paraId="58FB1B4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After switch / keycap / stabiliser fitment</w:t>
            </w:r>
          </w:p>
        </w:tc>
        <w:tc>
          <w:tcPr>
            <w:tcW w:w="2997" w:type="dxa"/>
          </w:tcPr>
          <w:p w14:paraId="34525D5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3,250</w:t>
            </w:r>
          </w:p>
        </w:tc>
        <w:tc>
          <w:tcPr>
            <w:tcW w:w="2999" w:type="dxa"/>
          </w:tcPr>
          <w:p w14:paraId="56D3B7A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0.5554%</w:t>
            </w:r>
          </w:p>
        </w:tc>
      </w:tr>
    </w:tbl>
    <w:p w14:paraId="48A727FB" w14:textId="77777777" w:rsidR="00E613FE" w:rsidRPr="00E613FE" w:rsidRDefault="00E613FE" w:rsidP="00E613FE">
      <w:pPr>
        <w:spacing w:after="0" w:line="360" w:lineRule="auto"/>
        <w:jc w:val="both"/>
        <w:rPr>
          <w:rFonts w:ascii="Times New Roman" w:hAnsi="Times New Roman" w:cs="Times New Roman"/>
        </w:rPr>
      </w:pPr>
    </w:p>
    <w:p w14:paraId="4FB5A83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This ordering is analytical, not something the engine performs. Because it does not short-circuit, whichever rule is applied first absorbs every rejection it shares with later rules, and a different ordering redistributes the attribution. Each rule's independent rejection rate against the full space is therefore reported alongside:</w:t>
      </w:r>
    </w:p>
    <w:tbl>
      <w:tblPr>
        <w:tblStyle w:val="TableGridLight"/>
        <w:tblW w:w="8993" w:type="dxa"/>
        <w:tblLook w:val="04A0" w:firstRow="1" w:lastRow="0" w:firstColumn="1" w:lastColumn="0" w:noHBand="0" w:noVBand="1"/>
      </w:tblPr>
      <w:tblGrid>
        <w:gridCol w:w="2997"/>
        <w:gridCol w:w="2997"/>
        <w:gridCol w:w="2999"/>
      </w:tblGrid>
      <w:tr w:rsidR="00E613FE" w:rsidRPr="00E613FE" w14:paraId="41B3D339" w14:textId="77777777" w:rsidTr="009A3029">
        <w:trPr>
          <w:tblHeader/>
        </w:trPr>
        <w:tc>
          <w:tcPr>
            <w:tcW w:w="2997" w:type="dxa"/>
          </w:tcPr>
          <w:p w14:paraId="0704271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Rule (applied alone)</w:t>
            </w:r>
          </w:p>
        </w:tc>
        <w:tc>
          <w:tcPr>
            <w:tcW w:w="2997" w:type="dxa"/>
          </w:tcPr>
          <w:p w14:paraId="455D868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Rejects</w:t>
            </w:r>
          </w:p>
        </w:tc>
        <w:tc>
          <w:tcPr>
            <w:tcW w:w="2999" w:type="dxa"/>
          </w:tcPr>
          <w:p w14:paraId="2FFE168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 of 585,200</w:t>
            </w:r>
          </w:p>
        </w:tc>
      </w:tr>
      <w:tr w:rsidR="00E613FE" w:rsidRPr="00E613FE" w14:paraId="442F3B6B" w14:textId="77777777" w:rsidTr="009A3029">
        <w:tc>
          <w:tcPr>
            <w:tcW w:w="2997" w:type="dxa"/>
          </w:tcPr>
          <w:p w14:paraId="2ABB0DC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Layout compatibility</w:t>
            </w:r>
          </w:p>
        </w:tc>
        <w:tc>
          <w:tcPr>
            <w:tcW w:w="2997" w:type="dxa"/>
          </w:tcPr>
          <w:p w14:paraId="650D07A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539,550</w:t>
            </w:r>
          </w:p>
        </w:tc>
        <w:tc>
          <w:tcPr>
            <w:tcW w:w="2999" w:type="dxa"/>
          </w:tcPr>
          <w:p w14:paraId="3FEB628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92.20%</w:t>
            </w:r>
          </w:p>
        </w:tc>
      </w:tr>
      <w:tr w:rsidR="00E613FE" w:rsidRPr="00E613FE" w14:paraId="11AE9796" w14:textId="77777777" w:rsidTr="009A3029">
        <w:tc>
          <w:tcPr>
            <w:tcW w:w="2997" w:type="dxa"/>
          </w:tcPr>
          <w:p w14:paraId="63074D1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Kit structural integrity</w:t>
            </w:r>
          </w:p>
        </w:tc>
        <w:tc>
          <w:tcPr>
            <w:tcW w:w="2997" w:type="dxa"/>
          </w:tcPr>
          <w:p w14:paraId="2A244CC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505,500</w:t>
            </w:r>
          </w:p>
        </w:tc>
        <w:tc>
          <w:tcPr>
            <w:tcW w:w="2999" w:type="dxa"/>
          </w:tcPr>
          <w:p w14:paraId="4DA36D8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86.38%</w:t>
            </w:r>
          </w:p>
        </w:tc>
      </w:tr>
      <w:tr w:rsidR="00E613FE" w:rsidRPr="00E613FE" w14:paraId="0EF52A1B" w14:textId="77777777" w:rsidTr="009A3029">
        <w:tc>
          <w:tcPr>
            <w:tcW w:w="2997" w:type="dxa"/>
          </w:tcPr>
          <w:p w14:paraId="71FA156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lastRenderedPageBreak/>
              <w:t>Mount compatibility</w:t>
            </w:r>
          </w:p>
        </w:tc>
        <w:tc>
          <w:tcPr>
            <w:tcW w:w="2997" w:type="dxa"/>
          </w:tcPr>
          <w:p w14:paraId="22140E4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339,900</w:t>
            </w:r>
          </w:p>
        </w:tc>
        <w:tc>
          <w:tcPr>
            <w:tcW w:w="2999" w:type="dxa"/>
          </w:tcPr>
          <w:p w14:paraId="7675597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58.08%</w:t>
            </w:r>
          </w:p>
        </w:tc>
      </w:tr>
      <w:tr w:rsidR="00E613FE" w:rsidRPr="00E613FE" w14:paraId="42FFF322" w14:textId="77777777" w:rsidTr="009A3029">
        <w:tc>
          <w:tcPr>
            <w:tcW w:w="2997" w:type="dxa"/>
          </w:tcPr>
          <w:p w14:paraId="6E5D109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Stabiliser compatibility</w:t>
            </w:r>
          </w:p>
        </w:tc>
        <w:tc>
          <w:tcPr>
            <w:tcW w:w="2997" w:type="dxa"/>
          </w:tcPr>
          <w:p w14:paraId="035184D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296,700</w:t>
            </w:r>
          </w:p>
        </w:tc>
        <w:tc>
          <w:tcPr>
            <w:tcW w:w="2999" w:type="dxa"/>
          </w:tcPr>
          <w:p w14:paraId="6960D60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50.70%</w:t>
            </w:r>
          </w:p>
        </w:tc>
      </w:tr>
      <w:tr w:rsidR="00E613FE" w:rsidRPr="00E613FE" w14:paraId="46482FB7" w14:textId="77777777" w:rsidTr="009A3029">
        <w:tc>
          <w:tcPr>
            <w:tcW w:w="2997" w:type="dxa"/>
          </w:tcPr>
          <w:p w14:paraId="701F445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Switch compatibility</w:t>
            </w:r>
          </w:p>
        </w:tc>
        <w:tc>
          <w:tcPr>
            <w:tcW w:w="2997" w:type="dxa"/>
          </w:tcPr>
          <w:p w14:paraId="7A8E2B3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170,170</w:t>
            </w:r>
          </w:p>
        </w:tc>
        <w:tc>
          <w:tcPr>
            <w:tcW w:w="2999" w:type="dxa"/>
          </w:tcPr>
          <w:p w14:paraId="3B1C432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29.08%</w:t>
            </w:r>
          </w:p>
        </w:tc>
      </w:tr>
      <w:tr w:rsidR="00E613FE" w:rsidRPr="00E613FE" w14:paraId="1FCCBD3F" w14:textId="77777777" w:rsidTr="009A3029">
        <w:tc>
          <w:tcPr>
            <w:tcW w:w="2997" w:type="dxa"/>
          </w:tcPr>
          <w:p w14:paraId="5A5B5A7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Keycap compatibility</w:t>
            </w:r>
          </w:p>
        </w:tc>
        <w:tc>
          <w:tcPr>
            <w:tcW w:w="2997" w:type="dxa"/>
          </w:tcPr>
          <w:p w14:paraId="7DA98E8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0</w:t>
            </w:r>
          </w:p>
        </w:tc>
        <w:tc>
          <w:tcPr>
            <w:tcW w:w="2999" w:type="dxa"/>
          </w:tcPr>
          <w:p w14:paraId="6CCD6C9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0.00%</w:t>
            </w:r>
          </w:p>
        </w:tc>
      </w:tr>
    </w:tbl>
    <w:p w14:paraId="0C84D742" w14:textId="77777777" w:rsidR="00E613FE" w:rsidRPr="00E613FE" w:rsidRDefault="00E613FE" w:rsidP="00E613FE">
      <w:pPr>
        <w:spacing w:after="0" w:line="360" w:lineRule="auto"/>
        <w:jc w:val="both"/>
        <w:rPr>
          <w:rFonts w:ascii="Times New Roman" w:hAnsi="Times New Roman" w:cs="Times New Roman"/>
        </w:rPr>
      </w:pPr>
    </w:p>
    <w:p w14:paraId="5F42A96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independent rates sum to 1,851,820 — 316% of the space — against a combined rejection of 581,950. The difference of 1,269,870 is overlap: most invalid combinations fail several rules simultaneously.</w:t>
      </w:r>
    </w:p>
    <w:p w14:paraId="1B690D7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two views disagree instructively. In the cascade, kit integrity appears a modest third-stage filter reducing 27,500 to 11,300. Applied independently it rejects 86.4%, second only to layout. Its apparent smallness is entirely an artefact of layout and mount having already removed most of what it would have caught. Reporting only the cascade would have understated the kit rule substantially.</w:t>
      </w:r>
    </w:p>
    <w:p w14:paraId="2836412F"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4" w:name="_Toc236608489"/>
      <w:r w:rsidRPr="00E613FE">
        <w:rPr>
          <w:rFonts w:ascii="Times New Roman" w:hAnsi="Times New Roman" w:cs="Times New Roman"/>
          <w:sz w:val="24"/>
          <w:szCs w:val="24"/>
        </w:rPr>
        <w:t>4.2.2 Physical versus commercial pruning</w:t>
      </w:r>
      <w:bookmarkEnd w:id="4"/>
    </w:p>
    <w:p w14:paraId="446F6F5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Not all pruning is physics. Kit integrity rejects combinations that would assemble perfectly but cannot be bought: case, PCB, plate and stabilisers sold together as a kit must share a </w:t>
      </w:r>
      <w:proofErr w:type="spellStart"/>
      <w:r w:rsidRPr="00E613FE">
        <w:rPr>
          <w:rFonts w:ascii="Times New Roman" w:hAnsi="Times New Roman" w:cs="Times New Roman"/>
        </w:rPr>
        <w:t>kitId</w:t>
      </w:r>
      <w:proofErr w:type="spellEnd"/>
      <w:r w:rsidRPr="00E613FE">
        <w:rPr>
          <w:rFonts w:ascii="Times New Roman" w:hAnsi="Times New Roman" w:cs="Times New Roman"/>
        </w:rPr>
        <w:t>, because the parts are not available separately.</w:t>
      </w:r>
    </w:p>
    <w:p w14:paraId="020EDFC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With the kit rule disabled and all physical rules applied, 6,130 combinations survive (1.05%). The kit rule removes a further 2,880. </w:t>
      </w:r>
      <w:proofErr w:type="gramStart"/>
      <w:r w:rsidRPr="00E613FE">
        <w:rPr>
          <w:rFonts w:ascii="Times New Roman" w:hAnsi="Times New Roman" w:cs="Times New Roman"/>
          <w:b/>
        </w:rPr>
        <w:t>So</w:t>
      </w:r>
      <w:proofErr w:type="gramEnd"/>
      <w:r w:rsidRPr="00E613FE">
        <w:rPr>
          <w:rFonts w:ascii="Times New Roman" w:hAnsi="Times New Roman" w:cs="Times New Roman"/>
          <w:b/>
        </w:rPr>
        <w:t xml:space="preserve"> 47.0% of physically buildable combinations are rejected for commercial rather than physical reasons.</w:t>
      </w:r>
    </w:p>
    <w:p w14:paraId="0FAABAB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 reader who takes the whole 99.44% to be physical impossibility is being told something untrue, and the report makes the split explicit. The finding also generalises: constraint-based configuration systems must model how products are sold, not only how they fit. This rule emerged from domain knowledge rather than from any specification, and without it the system generated builds that were technically valid and commercially useless.</w:t>
      </w:r>
    </w:p>
    <w:p w14:paraId="23C9E2E4"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5" w:name="_Toc236608490"/>
      <w:r w:rsidRPr="00E613FE">
        <w:rPr>
          <w:rFonts w:ascii="Times New Roman" w:hAnsi="Times New Roman" w:cs="Times New Roman"/>
          <w:sz w:val="24"/>
          <w:szCs w:val="24"/>
        </w:rPr>
        <w:t>4.2.3 Verification</w:t>
      </w:r>
      <w:bookmarkEnd w:id="5"/>
    </w:p>
    <w:p w14:paraId="1311F83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engine's correctness is established three ways, none of which is the unit test suite (Section 4.10 explains why).</w:t>
      </w:r>
    </w:p>
    <w:p w14:paraId="336CBA2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Exhaustive sweep.</w:t>
      </w:r>
      <w:r w:rsidRPr="00E613FE">
        <w:rPr>
          <w:rFonts w:ascii="Times New Roman" w:hAnsi="Times New Roman" w:cs="Times New Roman"/>
        </w:rPr>
        <w:t xml:space="preserve"> Every rule </w:t>
      </w:r>
      <w:proofErr w:type="gramStart"/>
      <w:r w:rsidRPr="00E613FE">
        <w:rPr>
          <w:rFonts w:ascii="Times New Roman" w:hAnsi="Times New Roman" w:cs="Times New Roman"/>
        </w:rPr>
        <w:t>fires</w:t>
      </w:r>
      <w:proofErr w:type="gramEnd"/>
      <w:r w:rsidRPr="00E613FE">
        <w:rPr>
          <w:rFonts w:ascii="Times New Roman" w:hAnsi="Times New Roman" w:cs="Times New Roman"/>
        </w:rPr>
        <w:t xml:space="preserve"> against the full combination space with counted rejections, as above. Two rules — </w:t>
      </w:r>
      <w:proofErr w:type="spellStart"/>
      <w:r w:rsidRPr="00E613FE">
        <w:rPr>
          <w:rFonts w:ascii="Times New Roman" w:hAnsi="Times New Roman" w:cs="Times New Roman"/>
        </w:rPr>
        <w:t>switch_keycap_technology_mismatch</w:t>
      </w:r>
      <w:proofErr w:type="spellEnd"/>
      <w:r w:rsidRPr="00E613FE">
        <w:rPr>
          <w:rFonts w:ascii="Times New Roman" w:hAnsi="Times New Roman" w:cs="Times New Roman"/>
        </w:rPr>
        <w:t xml:space="preserve"> and </w:t>
      </w:r>
      <w:proofErr w:type="spellStart"/>
      <w:r w:rsidRPr="00E613FE">
        <w:rPr>
          <w:rFonts w:ascii="Times New Roman" w:hAnsi="Times New Roman" w:cs="Times New Roman"/>
        </w:rPr>
        <w:t>keycap_layout_mismatch</w:t>
      </w:r>
      <w:proofErr w:type="spellEnd"/>
      <w:r w:rsidRPr="00E613FE">
        <w:rPr>
          <w:rFonts w:ascii="Times New Roman" w:hAnsi="Times New Roman" w:cs="Times New Roman"/>
        </w:rPr>
        <w:t xml:space="preserve"> </w:t>
      </w:r>
      <w:r w:rsidRPr="00E613FE">
        <w:rPr>
          <w:rFonts w:ascii="Times New Roman" w:hAnsi="Times New Roman" w:cs="Times New Roman"/>
        </w:rPr>
        <w:lastRenderedPageBreak/>
        <w:t>— recorded zero occurrences across all 585,200 combinations. The cause is catalog composition: all five keycap sets declare support for all five layouts and both switch technologies present. The rules are correctly implemented but unreachable with this data, which is reported as a limitation in Section 4.10.</w:t>
      </w:r>
    </w:p>
    <w:p w14:paraId="6D2DAE3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Independent hand-verified sample.</w:t>
      </w:r>
      <w:r w:rsidRPr="00E613FE">
        <w:rPr>
          <w:rFonts w:ascii="Times New Roman" w:hAnsi="Times New Roman" w:cs="Times New Roman"/>
        </w:rPr>
        <w:t xml:space="preserve"> Twenty combinations were selected by deterministic stratified stride. For each, the expected verdict *and its exact error-code set* were derived by hand from raw field values before consulting the engine. Agreement was </w:t>
      </w:r>
      <w:r w:rsidRPr="00E613FE">
        <w:rPr>
          <w:rFonts w:ascii="Times New Roman" w:hAnsi="Times New Roman" w:cs="Times New Roman"/>
          <w:b/>
        </w:rPr>
        <w:t>20/20</w:t>
      </w:r>
      <w:r w:rsidRPr="00E613FE">
        <w:rPr>
          <w:rFonts w:ascii="Times New Roman" w:hAnsi="Times New Roman" w:cs="Times New Roman"/>
        </w:rPr>
        <w:t xml:space="preserve"> on both verdicts and precise code sets. This is the only genuinely external check available: the sweep uses the engine to define what "incompatible" means, so sweeping and confirming agreement would be circular.</w:t>
      </w:r>
    </w:p>
    <w:p w14:paraId="0C81B4E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Pipeline conformance.</w:t>
      </w:r>
      <w:r w:rsidRPr="00E613FE">
        <w:rPr>
          <w:rFonts w:ascii="Times New Roman" w:hAnsi="Times New Roman" w:cs="Times New Roman"/>
        </w:rPr>
        <w:t xml:space="preserve"> Every build emitted by the recommendation service was re-validated and every referenced component ID checked against the catalog. Result: 18 builds emitted across 8 prompts, all valid, all components resolving, reproduced identically across 7 runs on two architectures. This tests the architectural guarantee — that no unvalidated build can reach a user — rather than testing the validator against itself.</w:t>
      </w:r>
    </w:p>
    <w:p w14:paraId="67069115"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6" w:name="_Toc236608491"/>
      <w:r w:rsidRPr="00E613FE">
        <w:rPr>
          <w:rFonts w:ascii="Times New Roman" w:hAnsi="Times New Roman" w:cs="Times New Roman"/>
          <w:sz w:val="24"/>
          <w:szCs w:val="24"/>
        </w:rPr>
        <w:t>4.3 The decision-space reduction chain</w:t>
      </w:r>
      <w:bookmarkEnd w:id="6"/>
    </w:p>
    <w:p w14:paraId="01F8BA2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choice-overload argument from Chapter 1 is completed only by measuring both stages of reduction. The engine narrows the combinatorial space; ranking narrows the surviving set to what a user actually sees.</w:t>
      </w:r>
    </w:p>
    <w:p w14:paraId="3E0B519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Eight fixed prompts spanning the CP1 personas were run in deterministic mode. The system returns a mean of 2.25 builds, range 0–3, against a hard cap of 3. These counts reproduced byte-identically across seven runs on two architectures.</w:t>
      </w:r>
    </w:p>
    <w:p w14:paraId="53464116" w14:textId="77777777" w:rsidR="00E613FE" w:rsidRPr="00E613FE" w:rsidRDefault="00E613FE" w:rsidP="00E613FE">
      <w:pPr>
        <w:spacing w:after="0" w:line="360" w:lineRule="auto"/>
        <w:ind w:left="720"/>
        <w:jc w:val="both"/>
        <w:rPr>
          <w:rFonts w:ascii="Times New Roman" w:hAnsi="Times New Roman" w:cs="Times New Roman"/>
        </w:rPr>
      </w:pPr>
      <w:r w:rsidRPr="00E613FE">
        <w:rPr>
          <w:rFonts w:ascii="Times New Roman" w:hAnsi="Times New Roman" w:cs="Times New Roman"/>
        </w:rPr>
        <w:t>585,200   possible combinations</w:t>
      </w:r>
    </w:p>
    <w:p w14:paraId="493BC60E" w14:textId="77777777" w:rsidR="00E613FE" w:rsidRPr="00E613FE" w:rsidRDefault="00E613FE" w:rsidP="00E613FE">
      <w:pPr>
        <w:spacing w:after="0" w:line="360" w:lineRule="auto"/>
        <w:ind w:left="720"/>
        <w:jc w:val="both"/>
        <w:rPr>
          <w:rFonts w:ascii="Times New Roman" w:hAnsi="Times New Roman" w:cs="Times New Roman"/>
        </w:rPr>
      </w:pPr>
      <w:r w:rsidRPr="00E613FE">
        <w:rPr>
          <w:rFonts w:ascii="Times New Roman" w:hAnsi="Times New Roman" w:cs="Times New Roman"/>
        </w:rPr>
        <w:t xml:space="preserve">    3,250   pass the rule engine     </w:t>
      </w:r>
      <w:proofErr w:type="gramStart"/>
      <w:r w:rsidRPr="00E613FE">
        <w:rPr>
          <w:rFonts w:ascii="Times New Roman" w:hAnsi="Times New Roman" w:cs="Times New Roman"/>
        </w:rPr>
        <w:t xml:space="preserve">   (</w:t>
      </w:r>
      <w:proofErr w:type="gramEnd"/>
      <w:r w:rsidRPr="00E613FE">
        <w:rPr>
          <w:rFonts w:ascii="Times New Roman" w:hAnsi="Times New Roman" w:cs="Times New Roman"/>
        </w:rPr>
        <w:t>99.4446% removed)</w:t>
      </w:r>
    </w:p>
    <w:p w14:paraId="1529D17E" w14:textId="77777777" w:rsidR="00E613FE" w:rsidRPr="00E613FE" w:rsidRDefault="00E613FE" w:rsidP="00E613FE">
      <w:pPr>
        <w:spacing w:after="0" w:line="360" w:lineRule="auto"/>
        <w:ind w:left="720"/>
        <w:jc w:val="both"/>
        <w:rPr>
          <w:rFonts w:ascii="Times New Roman" w:hAnsi="Times New Roman" w:cs="Times New Roman"/>
        </w:rPr>
      </w:pPr>
      <w:r w:rsidRPr="00E613FE">
        <w:rPr>
          <w:rFonts w:ascii="Times New Roman" w:hAnsi="Times New Roman" w:cs="Times New Roman"/>
        </w:rPr>
        <w:t xml:space="preserve">        3   presented to the user    </w:t>
      </w:r>
      <w:proofErr w:type="gramStart"/>
      <w:r w:rsidRPr="00E613FE">
        <w:rPr>
          <w:rFonts w:ascii="Times New Roman" w:hAnsi="Times New Roman" w:cs="Times New Roman"/>
        </w:rPr>
        <w:t xml:space="preserve">   (</w:t>
      </w:r>
      <w:proofErr w:type="gramEnd"/>
      <w:r w:rsidRPr="00E613FE">
        <w:rPr>
          <w:rFonts w:ascii="Times New Roman" w:hAnsi="Times New Roman" w:cs="Times New Roman"/>
        </w:rPr>
        <w:t>99.91% of the remainder removed)</w:t>
      </w:r>
    </w:p>
    <w:p w14:paraId="0056906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Overall: 585,200 → 3, a reduction of 99.9995%.</w:t>
      </w:r>
    </w:p>
    <w:p w14:paraId="13EEEA7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This is the empirical form of the CP1 problem statement. </w:t>
      </w:r>
      <w:proofErr w:type="spellStart"/>
      <w:r w:rsidRPr="00E613FE">
        <w:rPr>
          <w:rFonts w:ascii="Times New Roman" w:hAnsi="Times New Roman" w:cs="Times New Roman"/>
        </w:rPr>
        <w:t>Scheibehenne</w:t>
      </w:r>
      <w:proofErr w:type="spellEnd"/>
      <w:r w:rsidRPr="00E613FE">
        <w:rPr>
          <w:rFonts w:ascii="Times New Roman" w:hAnsi="Times New Roman" w:cs="Times New Roman"/>
        </w:rPr>
        <w:t xml:space="preserve">, </w:t>
      </w:r>
      <w:proofErr w:type="spellStart"/>
      <w:r w:rsidRPr="00E613FE">
        <w:rPr>
          <w:rFonts w:ascii="Times New Roman" w:hAnsi="Times New Roman" w:cs="Times New Roman"/>
        </w:rPr>
        <w:t>Greifeneder</w:t>
      </w:r>
      <w:proofErr w:type="spellEnd"/>
      <w:r w:rsidRPr="00E613FE">
        <w:rPr>
          <w:rFonts w:ascii="Times New Roman" w:hAnsi="Times New Roman" w:cs="Times New Roman"/>
        </w:rPr>
        <w:t xml:space="preserve"> and Todd (2010) establish that choice overload occurs most reliably when a decision is complex and the chooser lacks domain expertise; Chernev (2003) shows the effect is moderated by the availability of a clear ideal point. A novice keyboard buyer has neither expertise nor an ideal point, and 585,200 options is precisely the condition the literature predicts will produce </w:t>
      </w:r>
      <w:r w:rsidRPr="00E613FE">
        <w:rPr>
          <w:rFonts w:ascii="Times New Roman" w:hAnsi="Times New Roman" w:cs="Times New Roman"/>
        </w:rPr>
        <w:lastRenderedPageBreak/>
        <w:t>paralysis. The measured reduction is the mechanism by which the system removes that condition, and it is stronger evidence than either stage alone: the engine alone still leaves 3,250 builds, which no person can evaluate.</w:t>
      </w:r>
    </w:p>
    <w:p w14:paraId="4FA63E7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Two of the eight prompts returned zero builds. Section 4.8 shows this is correct behaviour arising from catalog economics rather than a defect.</w:t>
      </w:r>
    </w:p>
    <w:p w14:paraId="37B70B8B"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7" w:name="_Toc236608492"/>
      <w:r w:rsidRPr="00E613FE">
        <w:rPr>
          <w:rFonts w:ascii="Times New Roman" w:hAnsi="Times New Roman" w:cs="Times New Roman"/>
          <w:sz w:val="24"/>
          <w:szCs w:val="24"/>
        </w:rPr>
        <w:t>4.4 The AI layer</w:t>
      </w:r>
      <w:bookmarkEnd w:id="7"/>
    </w:p>
    <w:p w14:paraId="044294E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Objective 2 required a retrieval-augmented system translating sensory intent into validated specifications. Performance was measured with a purpose-built suite of 50 cases — 30 intent extraction, 10 assistant grounding, 10 </w:t>
      </w:r>
      <w:proofErr w:type="gramStart"/>
      <w:r w:rsidRPr="00E613FE">
        <w:rPr>
          <w:rFonts w:ascii="Times New Roman" w:hAnsi="Times New Roman" w:cs="Times New Roman"/>
        </w:rPr>
        <w:t>retrieval</w:t>
      </w:r>
      <w:proofErr w:type="gramEnd"/>
      <w:r w:rsidRPr="00E613FE">
        <w:rPr>
          <w:rFonts w:ascii="Times New Roman" w:hAnsi="Times New Roman" w:cs="Times New Roman"/>
        </w:rPr>
        <w:t xml:space="preserve"> — encoding domain expertise from over 150 completed keyboard sales in the Malaysian market.</w:t>
      </w:r>
    </w:p>
    <w:p w14:paraId="0957781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Each suite runs in two modes: an offline deterministic baseline using a local keyword extractor with no API key, and a full-stack mode using structured LLM extraction with pgvector retrieval. This isolates the contribution of the AI components.</w:t>
      </w:r>
    </w:p>
    <w:p w14:paraId="7BA64B0A"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8" w:name="_Toc236608493"/>
      <w:r w:rsidRPr="00E613FE">
        <w:rPr>
          <w:rFonts w:ascii="Times New Roman" w:hAnsi="Times New Roman" w:cs="Times New Roman"/>
          <w:sz w:val="24"/>
          <w:szCs w:val="24"/>
        </w:rPr>
        <w:t>4.4.1 Baseline versus full stack</w:t>
      </w:r>
      <w:bookmarkEnd w:id="8"/>
    </w:p>
    <w:p w14:paraId="3599AC2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Measured at commit 4f019d3, across the original 50 cases:</w:t>
      </w:r>
    </w:p>
    <w:tbl>
      <w:tblPr>
        <w:tblStyle w:val="TableGridLight"/>
        <w:tblW w:w="8993" w:type="dxa"/>
        <w:tblLook w:val="04A0" w:firstRow="1" w:lastRow="0" w:firstColumn="1" w:lastColumn="0" w:noHBand="0" w:noVBand="1"/>
      </w:tblPr>
      <w:tblGrid>
        <w:gridCol w:w="2997"/>
        <w:gridCol w:w="2997"/>
        <w:gridCol w:w="2999"/>
      </w:tblGrid>
      <w:tr w:rsidR="00E613FE" w:rsidRPr="00E613FE" w14:paraId="28885AF0" w14:textId="77777777" w:rsidTr="009A3029">
        <w:trPr>
          <w:tblHeader/>
        </w:trPr>
        <w:tc>
          <w:tcPr>
            <w:tcW w:w="2997" w:type="dxa"/>
          </w:tcPr>
          <w:p w14:paraId="636F29C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Suite</w:t>
            </w:r>
          </w:p>
        </w:tc>
        <w:tc>
          <w:tcPr>
            <w:tcW w:w="2997" w:type="dxa"/>
          </w:tcPr>
          <w:p w14:paraId="3AA221D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Offline (deterministic)</w:t>
            </w:r>
          </w:p>
        </w:tc>
        <w:tc>
          <w:tcPr>
            <w:tcW w:w="2999" w:type="dxa"/>
          </w:tcPr>
          <w:p w14:paraId="78F9F71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Semantic (3 runs)</w:t>
            </w:r>
          </w:p>
        </w:tc>
      </w:tr>
      <w:tr w:rsidR="00E613FE" w:rsidRPr="00E613FE" w14:paraId="02EA2F33" w14:textId="77777777" w:rsidTr="009A3029">
        <w:tc>
          <w:tcPr>
            <w:tcW w:w="2997" w:type="dxa"/>
          </w:tcPr>
          <w:p w14:paraId="1215642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Intent Extraction (30)</w:t>
            </w:r>
          </w:p>
        </w:tc>
        <w:tc>
          <w:tcPr>
            <w:tcW w:w="2997" w:type="dxa"/>
          </w:tcPr>
          <w:p w14:paraId="59B02A7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30 </w:t>
            </w:r>
            <w:proofErr w:type="gramStart"/>
            <w:r w:rsidRPr="00E613FE">
              <w:rPr>
                <w:rFonts w:ascii="Times New Roman" w:hAnsi="Times New Roman" w:cs="Times New Roman"/>
              </w:rPr>
              <w:t>pass</w:t>
            </w:r>
            <w:proofErr w:type="gramEnd"/>
          </w:p>
        </w:tc>
        <w:tc>
          <w:tcPr>
            <w:tcW w:w="2999" w:type="dxa"/>
          </w:tcPr>
          <w:p w14:paraId="565B2D6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30 / 30 / 30</w:t>
            </w:r>
          </w:p>
        </w:tc>
      </w:tr>
      <w:tr w:rsidR="00E613FE" w:rsidRPr="00E613FE" w14:paraId="51DE21D4" w14:textId="77777777" w:rsidTr="009A3029">
        <w:tc>
          <w:tcPr>
            <w:tcW w:w="2997" w:type="dxa"/>
          </w:tcPr>
          <w:p w14:paraId="6D217C62" w14:textId="77777777" w:rsidR="00E613FE" w:rsidRPr="00E613FE" w:rsidRDefault="00E613FE" w:rsidP="00E613FE">
            <w:pPr>
              <w:spacing w:line="360" w:lineRule="auto"/>
              <w:jc w:val="both"/>
              <w:rPr>
                <w:rFonts w:ascii="Times New Roman" w:hAnsi="Times New Roman" w:cs="Times New Roman"/>
              </w:rPr>
            </w:pPr>
            <w:proofErr w:type="spellStart"/>
            <w:r w:rsidRPr="00E613FE">
              <w:rPr>
                <w:rFonts w:ascii="Times New Roman" w:hAnsi="Times New Roman" w:cs="Times New Roman"/>
              </w:rPr>
              <w:t>Keybot</w:t>
            </w:r>
            <w:proofErr w:type="spellEnd"/>
            <w:r w:rsidRPr="00E613FE">
              <w:rPr>
                <w:rFonts w:ascii="Times New Roman" w:hAnsi="Times New Roman" w:cs="Times New Roman"/>
              </w:rPr>
              <w:t xml:space="preserve"> Grounding (10)</w:t>
            </w:r>
          </w:p>
        </w:tc>
        <w:tc>
          <w:tcPr>
            <w:tcW w:w="2997" w:type="dxa"/>
          </w:tcPr>
          <w:p w14:paraId="38ADB90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8 pass, 2 fail</w:t>
            </w:r>
          </w:p>
        </w:tc>
        <w:tc>
          <w:tcPr>
            <w:tcW w:w="2999" w:type="dxa"/>
          </w:tcPr>
          <w:p w14:paraId="7BA05B5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7 / 8 / 8</w:t>
            </w:r>
          </w:p>
        </w:tc>
      </w:tr>
      <w:tr w:rsidR="00E613FE" w:rsidRPr="00E613FE" w14:paraId="687078D5" w14:textId="77777777" w:rsidTr="009A3029">
        <w:tc>
          <w:tcPr>
            <w:tcW w:w="2997" w:type="dxa"/>
          </w:tcPr>
          <w:p w14:paraId="51C4A57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RAG Retrieval (10)</w:t>
            </w:r>
          </w:p>
        </w:tc>
        <w:tc>
          <w:tcPr>
            <w:tcW w:w="2997" w:type="dxa"/>
          </w:tcPr>
          <w:p w14:paraId="000BE1A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6 </w:t>
            </w:r>
            <w:proofErr w:type="gramStart"/>
            <w:r w:rsidRPr="00E613FE">
              <w:rPr>
                <w:rFonts w:ascii="Times New Roman" w:hAnsi="Times New Roman" w:cs="Times New Roman"/>
              </w:rPr>
              <w:t>pass</w:t>
            </w:r>
            <w:proofErr w:type="gramEnd"/>
            <w:r w:rsidRPr="00E613FE">
              <w:rPr>
                <w:rFonts w:ascii="Times New Roman" w:hAnsi="Times New Roman" w:cs="Times New Roman"/>
              </w:rPr>
              <w:t>, 2 expected-fail, 2 pending</w:t>
            </w:r>
          </w:p>
        </w:tc>
        <w:tc>
          <w:tcPr>
            <w:tcW w:w="2999" w:type="dxa"/>
          </w:tcPr>
          <w:p w14:paraId="62DD8CD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8 / 8 / 8</w:t>
            </w:r>
          </w:p>
        </w:tc>
      </w:tr>
      <w:tr w:rsidR="00E613FE" w:rsidRPr="00E613FE" w14:paraId="1BC1066F" w14:textId="77777777" w:rsidTr="009A3029">
        <w:tc>
          <w:tcPr>
            <w:tcW w:w="2997" w:type="dxa"/>
          </w:tcPr>
          <w:p w14:paraId="3DD8665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Total</w:t>
            </w:r>
          </w:p>
        </w:tc>
        <w:tc>
          <w:tcPr>
            <w:tcW w:w="2997" w:type="dxa"/>
          </w:tcPr>
          <w:p w14:paraId="31DBAF3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44</w:t>
            </w:r>
          </w:p>
        </w:tc>
        <w:tc>
          <w:tcPr>
            <w:tcW w:w="2999" w:type="dxa"/>
          </w:tcPr>
          <w:p w14:paraId="53DE8C8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45 / 46 / 46</w:t>
            </w:r>
          </w:p>
        </w:tc>
      </w:tr>
    </w:tbl>
    <w:p w14:paraId="5720946F" w14:textId="77777777" w:rsidR="00E613FE" w:rsidRPr="00E613FE" w:rsidRDefault="00E613FE" w:rsidP="00E613FE">
      <w:pPr>
        <w:spacing w:after="0" w:line="360" w:lineRule="auto"/>
        <w:jc w:val="both"/>
        <w:rPr>
          <w:rFonts w:ascii="Times New Roman" w:hAnsi="Times New Roman" w:cs="Times New Roman"/>
        </w:rPr>
      </w:pPr>
    </w:p>
    <w:p w14:paraId="17EB447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An earlier evaluation dated 13 June reported 34 offline and 46 semantic. Those figures are superseded: commit 7192a73 substantially improved the keyword fallback between the two measurements. The comparison is stated explicitly because the two runs measure different code, not different performance of the same code.</w:t>
      </w:r>
    </w:p>
    <w:p w14:paraId="37AD358F"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9" w:name="_Toc236608494"/>
      <w:r w:rsidRPr="00E613FE">
        <w:rPr>
          <w:rFonts w:ascii="Times New Roman" w:hAnsi="Times New Roman" w:cs="Times New Roman"/>
          <w:sz w:val="24"/>
          <w:szCs w:val="24"/>
        </w:rPr>
        <w:t>4.4.2 Deterministic parity on structured extraction</w:t>
      </w:r>
      <w:bookmarkEnd w:id="9"/>
    </w:p>
    <w:p w14:paraId="0AEC839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The most surprising result is that the keyword fallback now matches the language model on </w:t>
      </w:r>
      <w:r w:rsidRPr="00E613FE">
        <w:rPr>
          <w:rFonts w:ascii="Times New Roman" w:hAnsi="Times New Roman" w:cs="Times New Roman"/>
          <w:b/>
        </w:rPr>
        <w:t>all 30</w:t>
      </w:r>
      <w:r w:rsidRPr="00E613FE">
        <w:rPr>
          <w:rFonts w:ascii="Times New Roman" w:hAnsi="Times New Roman" w:cs="Times New Roman"/>
        </w:rPr>
        <w:t xml:space="preserve"> intent extraction cases. Explicit and semi-explicit specifications — budgets, layouts, use cases, stated sound preferences — are fully recoverable by deterministic rules.</w:t>
      </w:r>
    </w:p>
    <w:p w14:paraId="2E8227F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lastRenderedPageBreak/>
        <w:t xml:space="preserve">This narrows the AI contribution considerably and is worth stating plainly rather than obscuring behind a headline total. The reproducible gain of the full stack over a well-engineered deterministic fallback is </w:t>
      </w:r>
      <w:r w:rsidRPr="00E613FE">
        <w:rPr>
          <w:rFonts w:ascii="Times New Roman" w:hAnsi="Times New Roman" w:cs="Times New Roman"/>
          <w:b/>
        </w:rPr>
        <w:t>exactly two cases</w:t>
      </w:r>
      <w:r w:rsidRPr="00E613FE">
        <w:rPr>
          <w:rFonts w:ascii="Times New Roman" w:hAnsi="Times New Roman" w:cs="Times New Roman"/>
        </w:rPr>
        <w:t>, and both are semantic-gap cases.</w:t>
      </w:r>
    </w:p>
    <w:p w14:paraId="52448B05"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10" w:name="_Toc236608495"/>
      <w:r w:rsidRPr="00E613FE">
        <w:rPr>
          <w:rFonts w:ascii="Times New Roman" w:hAnsi="Times New Roman" w:cs="Times New Roman"/>
          <w:sz w:val="24"/>
          <w:szCs w:val="24"/>
        </w:rPr>
        <w:t>4.4.3 Closing the semantic gap</w:t>
      </w:r>
      <w:bookmarkEnd w:id="10"/>
    </w:p>
    <w:p w14:paraId="2A96198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Two retrieval cases were documented as expected failures from the outset, representing precisely the gap defined in Chapter 1. In these, users describe sound in sensory language — "buttery smooth", "deep thud" — with no lexical overlap with the </w:t>
      </w:r>
      <w:proofErr w:type="spellStart"/>
      <w:r w:rsidRPr="00E613FE">
        <w:rPr>
          <w:rFonts w:ascii="Times New Roman" w:hAnsi="Times New Roman" w:cs="Times New Roman"/>
        </w:rPr>
        <w:t>catalog's</w:t>
      </w:r>
      <w:proofErr w:type="spellEnd"/>
      <w:r w:rsidRPr="00E613FE">
        <w:rPr>
          <w:rFonts w:ascii="Times New Roman" w:hAnsi="Times New Roman" w:cs="Times New Roman"/>
        </w:rPr>
        <w:t xml:space="preserve"> technical vocabulary. Keyword retrieval cannot resolve them by construction.</w:t>
      </w:r>
    </w:p>
    <w:p w14:paraId="5B5F352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Both moved from expected-fail to pass once pgvector embeddings were seeded, with "buttery smooth" retrieving creamy linear switches and "deep thud" retrieving thocky components. Both pass in every semantic run recorded.</w:t>
      </w:r>
    </w:p>
    <w:p w14:paraId="6E86E77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This is the most direct empirical answer to the research question. It demonstrates that the semantic gap is measurable, that it is not resolvable by lexical means, and that vector retrieval over component descriptions closes it — while the rule engine continues to guarantee the retrieved components form a physically valid build. Mandal, </w:t>
      </w:r>
      <w:proofErr w:type="spellStart"/>
      <w:r w:rsidRPr="00E613FE">
        <w:rPr>
          <w:rFonts w:ascii="Times New Roman" w:hAnsi="Times New Roman" w:cs="Times New Roman"/>
        </w:rPr>
        <w:t>Tunkelang</w:t>
      </w:r>
      <w:proofErr w:type="spellEnd"/>
      <w:r w:rsidRPr="00E613FE">
        <w:rPr>
          <w:rFonts w:ascii="Times New Roman" w:hAnsi="Times New Roman" w:cs="Times New Roman"/>
        </w:rPr>
        <w:t xml:space="preserve"> and Wu (2023) identify semantic equivalence as the core failure of lexical matching in e-commerce queries, and Lewis et al. (2020) establish retrieval-augmented generation as the mechanism for grounding generation externally. The two mechanisms here are complementary rather than competing: retrieval widens the candidate space in a way keyword matching cannot, and validation narrows it in a way generation cannot be trusted to do.</w:t>
      </w:r>
    </w:p>
    <w:p w14:paraId="486AB950"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11" w:name="_Toc236608496"/>
      <w:r w:rsidRPr="00E613FE">
        <w:rPr>
          <w:rFonts w:ascii="Times New Roman" w:hAnsi="Times New Roman" w:cs="Times New Roman"/>
          <w:sz w:val="24"/>
          <w:szCs w:val="24"/>
        </w:rPr>
        <w:t>4.4.4 Grounding stability, and an inversion</w:t>
      </w:r>
      <w:bookmarkEnd w:id="11"/>
    </w:p>
    <w:p w14:paraId="4154204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grounding suite behaves differently from the other two, in a way that is itself a finding.</w:t>
      </w:r>
    </w:p>
    <w:p w14:paraId="53674B6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Its offline score is stable at 8/10, failing the same two cases every run. Its semantic score varies: across seven semantic runs it scored 7, 8, 8, 9, 8, 9 and 8 — a three-case swing on a ten-case suite from model non-determinism alone, with two cases flipping between runs. One case, requiring curated expert knowledge about specific budget recommendations and lubrication technique not present in the catalog, fails in every run and every mode.</w:t>
      </w:r>
    </w:p>
    <w:p w14:paraId="3CC4F28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Two conclusions follow. First, </w:t>
      </w:r>
      <w:r w:rsidRPr="00E613FE">
        <w:rPr>
          <w:rFonts w:ascii="Times New Roman" w:hAnsi="Times New Roman" w:cs="Times New Roman"/>
          <w:b/>
        </w:rPr>
        <w:t>the deterministic path is more reliably constraint-compliant than the model</w:t>
      </w:r>
      <w:r w:rsidRPr="00E613FE">
        <w:rPr>
          <w:rFonts w:ascii="Times New Roman" w:hAnsi="Times New Roman" w:cs="Times New Roman"/>
        </w:rPr>
        <w:t xml:space="preserve">: one recurring semantic failure is the assistant using a term the grounding rules forbid, a violation the keyword path never commits. Second, the offline suite is the reliable </w:t>
      </w:r>
      <w:r w:rsidRPr="00E613FE">
        <w:rPr>
          <w:rFonts w:ascii="Times New Roman" w:hAnsi="Times New Roman" w:cs="Times New Roman"/>
        </w:rPr>
        <w:lastRenderedPageBreak/>
        <w:t>regression signal, and any movement of one or two grounding cases in semantic mode falls within observed noise and cannot be attributed to a code change.</w:t>
      </w:r>
    </w:p>
    <w:p w14:paraId="6A98264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That grounding does not improve under the full stack is the expected and desired result. Grounding is enforced by retrieval and validation, not by model capability, so a stronger model should not improve it. Its stability across conditions is evidence that the mechanism, rather than the model, is doing the work — which is the central architectural claim of this project.</w:t>
      </w:r>
    </w:p>
    <w:p w14:paraId="6A00CBA7"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12" w:name="_Toc236608497"/>
      <w:r w:rsidRPr="00E613FE">
        <w:rPr>
          <w:rFonts w:ascii="Times New Roman" w:hAnsi="Times New Roman" w:cs="Times New Roman"/>
          <w:sz w:val="24"/>
          <w:szCs w:val="24"/>
        </w:rPr>
        <w:t>4.5 Design Cycle 2: user testing and remediation</w:t>
      </w:r>
      <w:bookmarkEnd w:id="12"/>
    </w:p>
    <w:p w14:paraId="3B91B46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Design Science Research proceeds through iterative cycles of design and evaluation. Cycle 1 is documented in Section 4.9: the removal of the proposed 2D visual builder on evaluation evidence. Cycle 2 is reported here — user testing, triage, implementation and re-measurement.</w:t>
      </w:r>
    </w:p>
    <w:p w14:paraId="5FC30BD1"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13" w:name="_Toc236608498"/>
      <w:r w:rsidRPr="00E613FE">
        <w:rPr>
          <w:rFonts w:ascii="Times New Roman" w:hAnsi="Times New Roman" w:cs="Times New Roman"/>
          <w:sz w:val="24"/>
          <w:szCs w:val="24"/>
        </w:rPr>
        <w:t>4.5.1 Findings and triage</w:t>
      </w:r>
      <w:bookmarkEnd w:id="13"/>
    </w:p>
    <w:p w14:paraId="58A92B7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Testers were given navigation tasks in the working system. Four findings emerged, all triaged as implement-now rather than deferred:</w:t>
      </w:r>
    </w:p>
    <w:tbl>
      <w:tblPr>
        <w:tblStyle w:val="TableGridLight"/>
        <w:tblW w:w="8993" w:type="dxa"/>
        <w:tblLook w:val="04A0" w:firstRow="1" w:lastRow="0" w:firstColumn="1" w:lastColumn="0" w:noHBand="0" w:noVBand="1"/>
      </w:tblPr>
      <w:tblGrid>
        <w:gridCol w:w="2997"/>
        <w:gridCol w:w="2997"/>
        <w:gridCol w:w="2999"/>
      </w:tblGrid>
      <w:tr w:rsidR="00E613FE" w:rsidRPr="00E613FE" w14:paraId="68D266D9" w14:textId="77777777" w:rsidTr="009A3029">
        <w:trPr>
          <w:tblHeader/>
        </w:trPr>
        <w:tc>
          <w:tcPr>
            <w:tcW w:w="2997" w:type="dxa"/>
          </w:tcPr>
          <w:p w14:paraId="6CF451B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w:t>
            </w:r>
          </w:p>
        </w:tc>
        <w:tc>
          <w:tcPr>
            <w:tcW w:w="2997" w:type="dxa"/>
          </w:tcPr>
          <w:p w14:paraId="73EF8DC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Finding</w:t>
            </w:r>
          </w:p>
        </w:tc>
        <w:tc>
          <w:tcPr>
            <w:tcW w:w="2999" w:type="dxa"/>
          </w:tcPr>
          <w:p w14:paraId="481F036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Nature</w:t>
            </w:r>
          </w:p>
        </w:tc>
      </w:tr>
      <w:tr w:rsidR="00E613FE" w:rsidRPr="00E613FE" w14:paraId="79597B0D" w14:textId="77777777" w:rsidTr="009A3029">
        <w:tc>
          <w:tcPr>
            <w:tcW w:w="2997" w:type="dxa"/>
          </w:tcPr>
          <w:p w14:paraId="6AC08A4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w:t>
            </w:r>
          </w:p>
        </w:tc>
        <w:tc>
          <w:tcPr>
            <w:tcW w:w="2997" w:type="dxa"/>
          </w:tcPr>
          <w:p w14:paraId="7785411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 request for a "purple and blue themed" build returned keycaps unrelated to any colour</w:t>
            </w:r>
          </w:p>
        </w:tc>
        <w:tc>
          <w:tcPr>
            <w:tcW w:w="2999" w:type="dxa"/>
          </w:tcPr>
          <w:p w14:paraId="4E1E3EB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Functional gap</w:t>
            </w:r>
          </w:p>
        </w:tc>
      </w:tr>
      <w:tr w:rsidR="00E613FE" w:rsidRPr="00E613FE" w14:paraId="0D01AFCC" w14:textId="77777777" w:rsidTr="009A3029">
        <w:tc>
          <w:tcPr>
            <w:tcW w:w="2997" w:type="dxa"/>
          </w:tcPr>
          <w:p w14:paraId="78D289D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2</w:t>
            </w:r>
          </w:p>
        </w:tc>
        <w:tc>
          <w:tcPr>
            <w:tcW w:w="2997" w:type="dxa"/>
          </w:tcPr>
          <w:p w14:paraId="40001C6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community page "does not look like a page for posts"</w:t>
            </w:r>
          </w:p>
        </w:tc>
        <w:tc>
          <w:tcPr>
            <w:tcW w:w="2999" w:type="dxa"/>
          </w:tcPr>
          <w:p w14:paraId="5F4FA1D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Affordance</w:t>
            </w:r>
          </w:p>
        </w:tc>
      </w:tr>
      <w:tr w:rsidR="00E613FE" w:rsidRPr="00E613FE" w14:paraId="4E9787D2" w14:textId="77777777" w:rsidTr="009A3029">
        <w:tc>
          <w:tcPr>
            <w:tcW w:w="2997" w:type="dxa"/>
          </w:tcPr>
          <w:p w14:paraId="14C1D90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3</w:t>
            </w:r>
          </w:p>
        </w:tc>
        <w:tc>
          <w:tcPr>
            <w:tcW w:w="2997" w:type="dxa"/>
          </w:tcPr>
          <w:p w14:paraId="6BB0036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Saved builds could not be located</w:t>
            </w:r>
          </w:p>
        </w:tc>
        <w:tc>
          <w:tcPr>
            <w:tcW w:w="2999" w:type="dxa"/>
          </w:tcPr>
          <w:p w14:paraId="5A7ED3F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Discoverability</w:t>
            </w:r>
          </w:p>
        </w:tc>
      </w:tr>
      <w:tr w:rsidR="00E613FE" w:rsidRPr="00E613FE" w14:paraId="79AC209D" w14:textId="77777777" w:rsidTr="009A3029">
        <w:tc>
          <w:tcPr>
            <w:tcW w:w="2997" w:type="dxa"/>
          </w:tcPr>
          <w:p w14:paraId="2642673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4</w:t>
            </w:r>
          </w:p>
        </w:tc>
        <w:tc>
          <w:tcPr>
            <w:tcW w:w="2997" w:type="dxa"/>
          </w:tcPr>
          <w:p w14:paraId="5C7F9B3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design is too plain, with little visualisation</w:t>
            </w:r>
          </w:p>
        </w:tc>
        <w:tc>
          <w:tcPr>
            <w:tcW w:w="2999" w:type="dxa"/>
          </w:tcPr>
          <w:p w14:paraId="2671E00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Presentation</w:t>
            </w:r>
          </w:p>
        </w:tc>
      </w:tr>
    </w:tbl>
    <w:p w14:paraId="5B6C3074" w14:textId="77777777" w:rsidR="00E613FE" w:rsidRPr="00E613FE" w:rsidRDefault="00E613FE" w:rsidP="00E613FE">
      <w:pPr>
        <w:spacing w:after="0" w:line="360" w:lineRule="auto"/>
        <w:jc w:val="both"/>
        <w:rPr>
          <w:rFonts w:ascii="Times New Roman" w:hAnsi="Times New Roman" w:cs="Times New Roman"/>
        </w:rPr>
      </w:pPr>
    </w:p>
    <w:p w14:paraId="608BB11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Finding 4 is the most consequential for this report and is discussed in Section 4.9, because it independently corroborates the cost of a Cycle 1 decision.</w:t>
      </w:r>
    </w:p>
    <w:p w14:paraId="6A15050F"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14" w:name="_Toc236608499"/>
      <w:r w:rsidRPr="00E613FE">
        <w:rPr>
          <w:rFonts w:ascii="Times New Roman" w:hAnsi="Times New Roman" w:cs="Times New Roman"/>
          <w:sz w:val="24"/>
          <w:szCs w:val="24"/>
        </w:rPr>
        <w:t>4.5.2 Finding 1: colourway intent</w:t>
      </w:r>
      <w:bookmarkEnd w:id="14"/>
    </w:p>
    <w:p w14:paraId="4370048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Investigation showed the intent schema extracted budget, layout, sound profile, use case, switch technology, beginner-friendliness, priorities and constraints — and </w:t>
      </w:r>
      <w:r w:rsidRPr="00E613FE">
        <w:rPr>
          <w:rFonts w:ascii="Times New Roman" w:hAnsi="Times New Roman" w:cs="Times New Roman"/>
          <w:b/>
        </w:rPr>
        <w:t xml:space="preserve">no colour field at </w:t>
      </w:r>
      <w:r w:rsidRPr="00E613FE">
        <w:rPr>
          <w:rFonts w:ascii="Times New Roman" w:hAnsi="Times New Roman" w:cs="Times New Roman"/>
          <w:b/>
        </w:rPr>
        <w:lastRenderedPageBreak/>
        <w:t>all</w:t>
      </w:r>
      <w:r w:rsidRPr="00E613FE">
        <w:rPr>
          <w:rFonts w:ascii="Times New Roman" w:hAnsi="Times New Roman" w:cs="Times New Roman"/>
        </w:rPr>
        <w:t>. Aesthetic intent was discarded silently during extraction. Further, only keycaps carried any colour data; cases, plates and PCBs carried none.</w:t>
      </w:r>
    </w:p>
    <w:p w14:paraId="3B69FD4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fix was implemented failing-test-first. Eight evaluation cases were written and committed *before* any implementation, and the failing baseline recorded. The cases are reported as three separate claims, because the instrument changed between baseline and after-state and a single total would invite a false inference:</w:t>
      </w:r>
    </w:p>
    <w:tbl>
      <w:tblPr>
        <w:tblStyle w:val="TableGridLight"/>
        <w:tblW w:w="8993" w:type="dxa"/>
        <w:tblLook w:val="04A0" w:firstRow="1" w:lastRow="0" w:firstColumn="1" w:lastColumn="0" w:noHBand="0" w:noVBand="1"/>
      </w:tblPr>
      <w:tblGrid>
        <w:gridCol w:w="2248"/>
        <w:gridCol w:w="2248"/>
        <w:gridCol w:w="2248"/>
        <w:gridCol w:w="2249"/>
      </w:tblGrid>
      <w:tr w:rsidR="00E613FE" w:rsidRPr="00E613FE" w14:paraId="037A9351" w14:textId="77777777" w:rsidTr="009A3029">
        <w:trPr>
          <w:tblHeader/>
        </w:trPr>
        <w:tc>
          <w:tcPr>
            <w:tcW w:w="2248" w:type="dxa"/>
          </w:tcPr>
          <w:p w14:paraId="6C26E8B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Claim</w:t>
            </w:r>
          </w:p>
        </w:tc>
        <w:tc>
          <w:tcPr>
            <w:tcW w:w="2248" w:type="dxa"/>
          </w:tcPr>
          <w:p w14:paraId="2BBA460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Cases</w:t>
            </w:r>
          </w:p>
        </w:tc>
        <w:tc>
          <w:tcPr>
            <w:tcW w:w="2248" w:type="dxa"/>
          </w:tcPr>
          <w:p w14:paraId="241CCE6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Offline</w:t>
            </w:r>
          </w:p>
        </w:tc>
        <w:tc>
          <w:tcPr>
            <w:tcW w:w="2249" w:type="dxa"/>
          </w:tcPr>
          <w:p w14:paraId="00276C8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Semantic</w:t>
            </w:r>
          </w:p>
        </w:tc>
      </w:tr>
      <w:tr w:rsidR="00E613FE" w:rsidRPr="00E613FE" w14:paraId="38A00640" w14:textId="77777777" w:rsidTr="009A3029">
        <w:tc>
          <w:tcPr>
            <w:tcW w:w="2248" w:type="dxa"/>
          </w:tcPr>
          <w:p w14:paraId="107246F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Capability</w:t>
            </w:r>
          </w:p>
        </w:tc>
        <w:tc>
          <w:tcPr>
            <w:tcW w:w="2248" w:type="dxa"/>
          </w:tcPr>
          <w:p w14:paraId="0B19775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col-001–004, col-008</w:t>
            </w:r>
          </w:p>
        </w:tc>
        <w:tc>
          <w:tcPr>
            <w:tcW w:w="2248" w:type="dxa"/>
          </w:tcPr>
          <w:p w14:paraId="6B031C3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0/5 → </w:t>
            </w:r>
            <w:r w:rsidRPr="00E613FE">
              <w:rPr>
                <w:rFonts w:ascii="Times New Roman" w:hAnsi="Times New Roman" w:cs="Times New Roman"/>
                <w:b/>
              </w:rPr>
              <w:t>5/5</w:t>
            </w:r>
          </w:p>
        </w:tc>
        <w:tc>
          <w:tcPr>
            <w:tcW w:w="2249" w:type="dxa"/>
          </w:tcPr>
          <w:p w14:paraId="715DDAC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0/5 → </w:t>
            </w:r>
            <w:r w:rsidRPr="00E613FE">
              <w:rPr>
                <w:rFonts w:ascii="Times New Roman" w:hAnsi="Times New Roman" w:cs="Times New Roman"/>
                <w:b/>
              </w:rPr>
              <w:t>5/5</w:t>
            </w:r>
            <w:r w:rsidRPr="00E613FE">
              <w:rPr>
                <w:rFonts w:ascii="Times New Roman" w:hAnsi="Times New Roman" w:cs="Times New Roman"/>
              </w:rPr>
              <w:t xml:space="preserve"> (3 runs)</w:t>
            </w:r>
          </w:p>
        </w:tc>
      </w:tr>
      <w:tr w:rsidR="00E613FE" w:rsidRPr="00E613FE" w14:paraId="1E831BE3" w14:textId="77777777" w:rsidTr="009A3029">
        <w:tc>
          <w:tcPr>
            <w:tcW w:w="2248" w:type="dxa"/>
          </w:tcPr>
          <w:p w14:paraId="6E1C910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Control A</w:t>
            </w:r>
          </w:p>
        </w:tc>
        <w:tc>
          <w:tcPr>
            <w:tcW w:w="2248" w:type="dxa"/>
          </w:tcPr>
          <w:p w14:paraId="58F39F5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col-005–007</w:t>
            </w:r>
          </w:p>
        </w:tc>
        <w:tc>
          <w:tcPr>
            <w:tcW w:w="2248" w:type="dxa"/>
          </w:tcPr>
          <w:p w14:paraId="1534ADA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3/3 → 3/3</w:t>
            </w:r>
          </w:p>
        </w:tc>
        <w:tc>
          <w:tcPr>
            <w:tcW w:w="2249" w:type="dxa"/>
          </w:tcPr>
          <w:p w14:paraId="20F628A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3/3 → 3/3</w:t>
            </w:r>
          </w:p>
        </w:tc>
      </w:tr>
      <w:tr w:rsidR="00E613FE" w:rsidRPr="00E613FE" w14:paraId="777FDB5F" w14:textId="77777777" w:rsidTr="009A3029">
        <w:tc>
          <w:tcPr>
            <w:tcW w:w="2248" w:type="dxa"/>
          </w:tcPr>
          <w:p w14:paraId="26D19F4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Control B</w:t>
            </w:r>
          </w:p>
        </w:tc>
        <w:tc>
          <w:tcPr>
            <w:tcW w:w="2248" w:type="dxa"/>
          </w:tcPr>
          <w:p w14:paraId="52D8D33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original 50</w:t>
            </w:r>
          </w:p>
        </w:tc>
        <w:tc>
          <w:tcPr>
            <w:tcW w:w="2248" w:type="dxa"/>
          </w:tcPr>
          <w:p w14:paraId="632ADB8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unchanged</w:t>
            </w:r>
          </w:p>
        </w:tc>
        <w:tc>
          <w:tcPr>
            <w:tcW w:w="2249" w:type="dxa"/>
          </w:tcPr>
          <w:p w14:paraId="7E35F83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unchanged</w:t>
            </w:r>
          </w:p>
        </w:tc>
      </w:tr>
    </w:tbl>
    <w:p w14:paraId="7F0FCEB5" w14:textId="77777777" w:rsidR="00E613FE" w:rsidRPr="00E613FE" w:rsidRDefault="00E613FE" w:rsidP="00E613FE">
      <w:pPr>
        <w:spacing w:after="0" w:line="360" w:lineRule="auto"/>
        <w:jc w:val="both"/>
        <w:rPr>
          <w:rFonts w:ascii="Times New Roman" w:hAnsi="Times New Roman" w:cs="Times New Roman"/>
        </w:rPr>
      </w:pPr>
    </w:p>
    <w:p w14:paraId="1C79F80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Control A is a set of adversarial guards — prompts baiting a colour tag without naming one, such as "aluminium case, premium feel", where *silver* is in the controlled vocabulary and *aluminium* is a material. A control earns its place by not moving, and these did not move: no colour hallucination was introduced.</w:t>
      </w:r>
    </w:p>
    <w:p w14:paraId="0E2E062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Control B is protected twice over. The runner skips any case not declaring an expected colour, so the original assertions are untouched by construction; and independently, none of the 30 original prompts contains a vocabulary colour word, so extraction cannot fire on them at all.</w:t>
      </w:r>
    </w:p>
    <w:p w14:paraId="16AE000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Suite totals moved from 47 pass / 7 fail to 52 pass / 2 fail offline, and from 50 to a mean of 54.33 (range 54–55) semantic, both against a denominator of 58. The denominator changed from 50 because eight cases were added; passes rose by five and failures fell by five for that reason, and the totals are not comparable across the change.</w:t>
      </w:r>
    </w:p>
    <w:p w14:paraId="2C44A0F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Colour ranks; it never filters. Candidate selection never receives colour, so a colour preference reorders results and can never empty them. Three properties are unit tested: the ranking is a no-op when no colour is requested, so every pre-existing ranking is bit-identical to before the feature existed; an untagged component scores the same as a tagged non-match, so ranking cannot encode catalog curation completeness; and matches only ever add. Colour is not a compatibility concern and the rule engine never reads it.</w:t>
      </w:r>
    </w:p>
    <w:p w14:paraId="5FDF8D40"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15" w:name="_Toc236608500"/>
      <w:r w:rsidRPr="00E613FE">
        <w:rPr>
          <w:rFonts w:ascii="Times New Roman" w:hAnsi="Times New Roman" w:cs="Times New Roman"/>
          <w:sz w:val="24"/>
          <w:szCs w:val="24"/>
        </w:rPr>
        <w:lastRenderedPageBreak/>
        <w:t>4.5.3 A defect found by screenshot, not by evaluation</w:t>
      </w:r>
      <w:bookmarkEnd w:id="15"/>
    </w:p>
    <w:p w14:paraId="1E3ABD9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first after-screenshot showed no change whatsoever. Extraction was passing 5/5, the ranking unit tests passed, and a direct probe confirmed the scoring function reordered candidates correctly. The feature was nonetheless completely inert in the running application.</w:t>
      </w:r>
    </w:p>
    <w:p w14:paraId="4E87646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cause was configuration, not code. The application reads its catalog from Supabase whenever credentials are present, falling back to the seed file only when they are absent. The colour tags had been added to the seed file. Every component in the running system therefore reported no colour, the ranking term contributed zero, and output was identical to before for reasons entirely unconnected to the implementation.</w:t>
      </w:r>
    </w:p>
    <w:p w14:paraId="3B239F8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Resolution was a targeted merge of </w:t>
      </w:r>
      <w:proofErr w:type="spellStart"/>
      <w:proofErr w:type="gramStart"/>
      <w:r w:rsidRPr="00E613FE">
        <w:rPr>
          <w:rFonts w:ascii="Times New Roman" w:hAnsi="Times New Roman" w:cs="Times New Roman"/>
        </w:rPr>
        <w:t>metadata.colour</w:t>
      </w:r>
      <w:proofErr w:type="spellEnd"/>
      <w:proofErr w:type="gramEnd"/>
      <w:r w:rsidRPr="00E613FE">
        <w:rPr>
          <w:rFonts w:ascii="Times New Roman" w:hAnsi="Times New Roman" w:cs="Times New Roman"/>
        </w:rPr>
        <w:t xml:space="preserve"> into the five keycap rows, preserving existing keys, verified afterwards as 60 rows with colour on 5 and </w:t>
      </w:r>
      <w:proofErr w:type="spellStart"/>
      <w:r w:rsidRPr="00E613FE">
        <w:rPr>
          <w:rFonts w:ascii="Times New Roman" w:hAnsi="Times New Roman" w:cs="Times New Roman"/>
        </w:rPr>
        <w:t>kitId</w:t>
      </w:r>
      <w:proofErr w:type="spellEnd"/>
      <w:r w:rsidRPr="00E613FE">
        <w:rPr>
          <w:rFonts w:ascii="Times New Roman" w:hAnsi="Times New Roman" w:cs="Times New Roman"/>
        </w:rPr>
        <w:t>/</w:t>
      </w:r>
      <w:proofErr w:type="spellStart"/>
      <w:r w:rsidRPr="00E613FE">
        <w:rPr>
          <w:rFonts w:ascii="Times New Roman" w:hAnsi="Times New Roman" w:cs="Times New Roman"/>
        </w:rPr>
        <w:t>kitLock</w:t>
      </w:r>
      <w:proofErr w:type="spellEnd"/>
      <w:r w:rsidRPr="00E613FE">
        <w:rPr>
          <w:rFonts w:ascii="Times New Roman" w:hAnsi="Times New Roman" w:cs="Times New Roman"/>
        </w:rPr>
        <w:t xml:space="preserve"> intact on 30 each.</w:t>
      </w:r>
    </w:p>
    <w:p w14:paraId="60AAFAC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This is the most transferable finding in the project.</w:t>
      </w:r>
      <w:r w:rsidRPr="00E613FE">
        <w:rPr>
          <w:rFonts w:ascii="Times New Roman" w:hAnsi="Times New Roman" w:cs="Times New Roman"/>
        </w:rPr>
        <w:t xml:space="preserve"> A change can pass every unit test, every evaluation case and a direct functional probe, and still do nothing in the deployed configuration, because tests and production may not read the same data source. It was caught only because the design cycle required a before-and-after screenshot rather than trusting a green evaluation — which retroactively justifies the screenshot protocol, since without it the fix would have shipped green and broken.</w:t>
      </w:r>
    </w:p>
    <w:p w14:paraId="1A63286B"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16" w:name="_Toc236608501"/>
      <w:r w:rsidRPr="00E613FE">
        <w:rPr>
          <w:rFonts w:ascii="Times New Roman" w:hAnsi="Times New Roman" w:cs="Times New Roman"/>
          <w:sz w:val="24"/>
          <w:szCs w:val="24"/>
        </w:rPr>
        <w:t>4.5.4 Findings 2, 3 and 4</w:t>
      </w:r>
      <w:bookmarkEnd w:id="16"/>
    </w:p>
    <w:p w14:paraId="691243F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Finding 3</w:t>
      </w:r>
      <w:r w:rsidRPr="00E613FE">
        <w:rPr>
          <w:rFonts w:ascii="Times New Roman" w:hAnsi="Times New Roman" w:cs="Times New Roman"/>
        </w:rPr>
        <w:t xml:space="preserve"> was diagnosed precisely: /my-builds existed and worked, but was reachable only through an unlabelled avatar trigger, and the post-save confirmation named "the My Builds page" in plain text — telling users where the build had gone without giving them any way to get there. Both were corrected. Three existing tests asserted the *opposite* behaviour and were inverted rather than deleted, since those assertions encoded exactly what user testing rejected. This is the classic implemented-but-not-usable result: the feature was complete and the affordance absent.</w:t>
      </w:r>
    </w:p>
    <w:p w14:paraId="7CC67CA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Finding 2</w:t>
      </w:r>
      <w:r w:rsidRPr="00E613FE">
        <w:rPr>
          <w:rFonts w:ascii="Times New Roman" w:hAnsi="Times New Roman" w:cs="Times New Roman"/>
        </w:rPr>
        <w:t xml:space="preserve"> was addressed </w:t>
      </w:r>
      <w:proofErr w:type="spellStart"/>
      <w:r w:rsidRPr="00E613FE">
        <w:rPr>
          <w:rFonts w:ascii="Times New Roman" w:hAnsi="Times New Roman" w:cs="Times New Roman"/>
        </w:rPr>
        <w:t>presentationally</w:t>
      </w:r>
      <w:proofErr w:type="spellEnd"/>
      <w:r w:rsidRPr="00E613FE">
        <w:rPr>
          <w:rFonts w:ascii="Times New Roman" w:hAnsi="Times New Roman" w:cs="Times New Roman"/>
        </w:rPr>
        <w:t xml:space="preserve">. The gallery was a three-column image grid, carrying photo-gallery affordances where the image leads and author, timestamp and discussion are secondary or absent. It was restructured as a single-column feed using the conventions readers recognise as posts. No data model or server action changed. One requested affordance — a per-post reply count — was deliberately not implemented, because the count is not present in the </w:t>
      </w:r>
      <w:r w:rsidRPr="00E613FE">
        <w:rPr>
          <w:rFonts w:ascii="Times New Roman" w:hAnsi="Times New Roman" w:cs="Times New Roman"/>
        </w:rPr>
        <w:lastRenderedPageBreak/>
        <w:t>list query and adding it would exceed the presentational scope; the card invites the thread rather than asserting a number it cannot know.</w:t>
      </w:r>
    </w:p>
    <w:p w14:paraId="65A8DA4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Finding 4</w:t>
      </w:r>
      <w:r w:rsidRPr="00E613FE">
        <w:rPr>
          <w:rFonts w:ascii="Times New Roman" w:hAnsi="Times New Roman" w:cs="Times New Roman"/>
        </w:rPr>
        <w:t xml:space="preserve"> was timeboxed, and an audit found two of its three scoped items already implemented before user testing, while the third targeted a component that nothing in the product renders. Rather than perform work that either already existed or would be invisible, the scope was reduced to one change with real substance: the recommendation card now names the build's colourway semantically rather than only showing hex swatches. Reporting this honestly matters — quietly "completing" the original three items would have placed claims in this report that were either untrue or pre-existing.</w:t>
      </w:r>
    </w:p>
    <w:p w14:paraId="19CB8854"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17" w:name="_Toc236608502"/>
      <w:r w:rsidRPr="00E613FE">
        <w:rPr>
          <w:rFonts w:ascii="Times New Roman" w:hAnsi="Times New Roman" w:cs="Times New Roman"/>
          <w:sz w:val="24"/>
          <w:szCs w:val="24"/>
        </w:rPr>
        <w:t xml:space="preserve">4.6 </w:t>
      </w:r>
      <w:proofErr w:type="gramStart"/>
      <w:r w:rsidRPr="00E613FE">
        <w:rPr>
          <w:rFonts w:ascii="Times New Roman" w:hAnsi="Times New Roman" w:cs="Times New Roman"/>
          <w:sz w:val="24"/>
          <w:szCs w:val="24"/>
        </w:rPr>
        <w:t>Non-functional</w:t>
      </w:r>
      <w:proofErr w:type="gramEnd"/>
      <w:r w:rsidRPr="00E613FE">
        <w:rPr>
          <w:rFonts w:ascii="Times New Roman" w:hAnsi="Times New Roman" w:cs="Times New Roman"/>
          <w:sz w:val="24"/>
          <w:szCs w:val="24"/>
        </w:rPr>
        <w:t xml:space="preserve"> requirements</w:t>
      </w:r>
      <w:bookmarkEnd w:id="17"/>
    </w:p>
    <w:p w14:paraId="3039B58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CP1 §3.2.4, Table 3.4 specified seven non-functional requirements. All are evaluated.</w:t>
      </w:r>
    </w:p>
    <w:tbl>
      <w:tblPr>
        <w:tblStyle w:val="TableGridLight"/>
        <w:tblW w:w="8993" w:type="dxa"/>
        <w:tblLook w:val="04A0" w:firstRow="1" w:lastRow="0" w:firstColumn="1" w:lastColumn="0" w:noHBand="0" w:noVBand="1"/>
      </w:tblPr>
      <w:tblGrid>
        <w:gridCol w:w="2248"/>
        <w:gridCol w:w="2248"/>
        <w:gridCol w:w="2248"/>
        <w:gridCol w:w="2249"/>
      </w:tblGrid>
      <w:tr w:rsidR="00E613FE" w:rsidRPr="00E613FE" w14:paraId="24E68DC2" w14:textId="77777777" w:rsidTr="009A3029">
        <w:trPr>
          <w:tblHeader/>
        </w:trPr>
        <w:tc>
          <w:tcPr>
            <w:tcW w:w="2248" w:type="dxa"/>
          </w:tcPr>
          <w:p w14:paraId="30F548D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w:t>
            </w:r>
          </w:p>
        </w:tc>
        <w:tc>
          <w:tcPr>
            <w:tcW w:w="2248" w:type="dxa"/>
          </w:tcPr>
          <w:p w14:paraId="4CF9442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Requirement</w:t>
            </w:r>
          </w:p>
        </w:tc>
        <w:tc>
          <w:tcPr>
            <w:tcW w:w="2248" w:type="dxa"/>
          </w:tcPr>
          <w:p w14:paraId="11B8DF1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Measured</w:t>
            </w:r>
          </w:p>
        </w:tc>
        <w:tc>
          <w:tcPr>
            <w:tcW w:w="2249" w:type="dxa"/>
          </w:tcPr>
          <w:p w14:paraId="7C535B6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Verdict</w:t>
            </w:r>
          </w:p>
        </w:tc>
      </w:tr>
      <w:tr w:rsidR="00E613FE" w:rsidRPr="00E613FE" w14:paraId="621F94D2" w14:textId="77777777" w:rsidTr="009A3029">
        <w:tc>
          <w:tcPr>
            <w:tcW w:w="2248" w:type="dxa"/>
          </w:tcPr>
          <w:p w14:paraId="3BD9116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w:t>
            </w:r>
          </w:p>
        </w:tc>
        <w:tc>
          <w:tcPr>
            <w:tcW w:w="2248" w:type="dxa"/>
          </w:tcPr>
          <w:p w14:paraId="117CC88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Validation under 200 </w:t>
            </w:r>
            <w:proofErr w:type="spellStart"/>
            <w:r w:rsidRPr="00E613FE">
              <w:rPr>
                <w:rFonts w:ascii="Times New Roman" w:hAnsi="Times New Roman" w:cs="Times New Roman"/>
              </w:rPr>
              <w:t>ms</w:t>
            </w:r>
            <w:proofErr w:type="spellEnd"/>
          </w:p>
        </w:tc>
        <w:tc>
          <w:tcPr>
            <w:tcW w:w="2248" w:type="dxa"/>
          </w:tcPr>
          <w:p w14:paraId="7B249F8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median 0.0068 </w:t>
            </w:r>
            <w:proofErr w:type="spellStart"/>
            <w:r w:rsidRPr="00E613FE">
              <w:rPr>
                <w:rFonts w:ascii="Times New Roman" w:hAnsi="Times New Roman" w:cs="Times New Roman"/>
              </w:rPr>
              <w:t>ms</w:t>
            </w:r>
            <w:proofErr w:type="spellEnd"/>
            <w:r w:rsidRPr="00E613FE">
              <w:rPr>
                <w:rFonts w:ascii="Times New Roman" w:hAnsi="Times New Roman" w:cs="Times New Roman"/>
              </w:rPr>
              <w:t xml:space="preserve"> (range 0.0068–0.0091), n=1000</w:t>
            </w:r>
          </w:p>
        </w:tc>
        <w:tc>
          <w:tcPr>
            <w:tcW w:w="2249" w:type="dxa"/>
          </w:tcPr>
          <w:p w14:paraId="4709E83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MET</w:t>
            </w:r>
            <w:r w:rsidRPr="00E613FE">
              <w:rPr>
                <w:rFonts w:ascii="Times New Roman" w:hAnsi="Times New Roman" w:cs="Times New Roman"/>
              </w:rPr>
              <w:t>, ~29,000× margin</w:t>
            </w:r>
          </w:p>
        </w:tc>
      </w:tr>
      <w:tr w:rsidR="00E613FE" w:rsidRPr="00E613FE" w14:paraId="32391E79" w14:textId="77777777" w:rsidTr="009A3029">
        <w:tc>
          <w:tcPr>
            <w:tcW w:w="2248" w:type="dxa"/>
          </w:tcPr>
          <w:p w14:paraId="709D379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2</w:t>
            </w:r>
          </w:p>
        </w:tc>
        <w:tc>
          <w:tcPr>
            <w:tcW w:w="2248" w:type="dxa"/>
          </w:tcPr>
          <w:p w14:paraId="5A6BA7D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First text token under 2 s</w:t>
            </w:r>
          </w:p>
        </w:tc>
        <w:tc>
          <w:tcPr>
            <w:tcW w:w="2248" w:type="dxa"/>
          </w:tcPr>
          <w:p w14:paraId="6F132EF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assistant median 2,410 </w:t>
            </w:r>
            <w:proofErr w:type="spellStart"/>
            <w:r w:rsidRPr="00E613FE">
              <w:rPr>
                <w:rFonts w:ascii="Times New Roman" w:hAnsi="Times New Roman" w:cs="Times New Roman"/>
              </w:rPr>
              <w:t>ms</w:t>
            </w:r>
            <w:proofErr w:type="spellEnd"/>
            <w:r w:rsidRPr="00E613FE">
              <w:rPr>
                <w:rFonts w:ascii="Times New Roman" w:hAnsi="Times New Roman" w:cs="Times New Roman"/>
              </w:rPr>
              <w:t xml:space="preserve">, p95 4,110 </w:t>
            </w:r>
            <w:proofErr w:type="spellStart"/>
            <w:r w:rsidRPr="00E613FE">
              <w:rPr>
                <w:rFonts w:ascii="Times New Roman" w:hAnsi="Times New Roman" w:cs="Times New Roman"/>
              </w:rPr>
              <w:t>ms</w:t>
            </w:r>
            <w:proofErr w:type="spellEnd"/>
          </w:p>
        </w:tc>
        <w:tc>
          <w:tcPr>
            <w:tcW w:w="2249" w:type="dxa"/>
          </w:tcPr>
          <w:p w14:paraId="4DFE5CC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NOT MET</w:t>
            </w:r>
          </w:p>
        </w:tc>
      </w:tr>
      <w:tr w:rsidR="00E613FE" w:rsidRPr="00E613FE" w14:paraId="3CFA7039" w14:textId="77777777" w:rsidTr="009A3029">
        <w:tc>
          <w:tcPr>
            <w:tcW w:w="2248" w:type="dxa"/>
          </w:tcPr>
          <w:p w14:paraId="5452D0F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3</w:t>
            </w:r>
          </w:p>
        </w:tc>
        <w:tc>
          <w:tcPr>
            <w:tcW w:w="2248" w:type="dxa"/>
          </w:tcPr>
          <w:p w14:paraId="08265DE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100% prevention of incompatible pairs</w:t>
            </w:r>
          </w:p>
        </w:tc>
        <w:tc>
          <w:tcPr>
            <w:tcW w:w="2248" w:type="dxa"/>
          </w:tcPr>
          <w:p w14:paraId="42EC60A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18/18 emitted builds valid across 7 runs; 20/20 independent agreement</w:t>
            </w:r>
          </w:p>
        </w:tc>
        <w:tc>
          <w:tcPr>
            <w:tcW w:w="2249" w:type="dxa"/>
          </w:tcPr>
          <w:p w14:paraId="014486F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MET</w:t>
            </w:r>
          </w:p>
        </w:tc>
      </w:tr>
      <w:tr w:rsidR="00E613FE" w:rsidRPr="00E613FE" w14:paraId="6C22372D" w14:textId="77777777" w:rsidTr="009A3029">
        <w:tc>
          <w:tcPr>
            <w:tcW w:w="2248" w:type="dxa"/>
          </w:tcPr>
          <w:p w14:paraId="6EB000E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4</w:t>
            </w:r>
          </w:p>
        </w:tc>
        <w:tc>
          <w:tcPr>
            <w:tcW w:w="2248" w:type="dxa"/>
          </w:tcPr>
          <w:p w14:paraId="711FFDE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All recommendations reference existing entries</w:t>
            </w:r>
          </w:p>
        </w:tc>
        <w:tc>
          <w:tcPr>
            <w:tcW w:w="2248" w:type="dxa"/>
          </w:tcPr>
          <w:p w14:paraId="735B77B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18/18, all IDs resolve</w:t>
            </w:r>
          </w:p>
        </w:tc>
        <w:tc>
          <w:tcPr>
            <w:tcW w:w="2249" w:type="dxa"/>
          </w:tcPr>
          <w:p w14:paraId="170D166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MET</w:t>
            </w:r>
          </w:p>
        </w:tc>
      </w:tr>
      <w:tr w:rsidR="00E613FE" w:rsidRPr="00E613FE" w14:paraId="16B2A96C" w14:textId="77777777" w:rsidTr="009A3029">
        <w:tc>
          <w:tcPr>
            <w:tcW w:w="2248" w:type="dxa"/>
          </w:tcPr>
          <w:p w14:paraId="77ABA28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5</w:t>
            </w:r>
          </w:p>
        </w:tc>
        <w:tc>
          <w:tcPr>
            <w:tcW w:w="2248" w:type="dxa"/>
          </w:tcPr>
          <w:p w14:paraId="0E87AF9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JSONB for variable attributes</w:t>
            </w:r>
          </w:p>
        </w:tc>
        <w:tc>
          <w:tcPr>
            <w:tcW w:w="2248" w:type="dxa"/>
          </w:tcPr>
          <w:p w14:paraId="0668593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6 columns across 3 migrations</w:t>
            </w:r>
          </w:p>
        </w:tc>
        <w:tc>
          <w:tcPr>
            <w:tcW w:w="2249" w:type="dxa"/>
          </w:tcPr>
          <w:p w14:paraId="6C33B4F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MET</w:t>
            </w:r>
          </w:p>
        </w:tc>
      </w:tr>
      <w:tr w:rsidR="00E613FE" w:rsidRPr="00E613FE" w14:paraId="6C0CF4DD" w14:textId="77777777" w:rsidTr="009A3029">
        <w:tc>
          <w:tcPr>
            <w:tcW w:w="2248" w:type="dxa"/>
          </w:tcPr>
          <w:p w14:paraId="5F1A5C8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6</w:t>
            </w:r>
          </w:p>
        </w:tc>
        <w:tc>
          <w:tcPr>
            <w:tcW w:w="2248" w:type="dxa"/>
          </w:tcPr>
          <w:p w14:paraId="115CFED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Accurate layered rendering</w:t>
            </w:r>
          </w:p>
        </w:tc>
        <w:tc>
          <w:tcPr>
            <w:tcW w:w="2248" w:type="dxa"/>
          </w:tcPr>
          <w:p w14:paraId="37A9366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w:t>
            </w:r>
          </w:p>
        </w:tc>
        <w:tc>
          <w:tcPr>
            <w:tcW w:w="2249" w:type="dxa"/>
          </w:tcPr>
          <w:p w14:paraId="7197EA8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SCOPED OUT</w:t>
            </w:r>
            <w:r w:rsidRPr="00E613FE">
              <w:rPr>
                <w:rFonts w:ascii="Times New Roman" w:hAnsi="Times New Roman" w:cs="Times New Roman"/>
              </w:rPr>
              <w:t xml:space="preserve"> (§4.9)</w:t>
            </w:r>
          </w:p>
        </w:tc>
      </w:tr>
      <w:tr w:rsidR="00E613FE" w:rsidRPr="00E613FE" w14:paraId="16769C48" w14:textId="77777777" w:rsidTr="009A3029">
        <w:tc>
          <w:tcPr>
            <w:tcW w:w="2248" w:type="dxa"/>
          </w:tcPr>
          <w:p w14:paraId="481AA89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7</w:t>
            </w:r>
          </w:p>
        </w:tc>
        <w:tc>
          <w:tcPr>
            <w:tcW w:w="2248" w:type="dxa"/>
          </w:tcPr>
          <w:p w14:paraId="41C173E7" w14:textId="77777777" w:rsidR="00E613FE" w:rsidRPr="00E613FE" w:rsidRDefault="00E613FE" w:rsidP="00E613FE">
            <w:pPr>
              <w:spacing w:line="360" w:lineRule="auto"/>
              <w:jc w:val="both"/>
              <w:rPr>
                <w:rFonts w:ascii="Times New Roman" w:hAnsi="Times New Roman" w:cs="Times New Roman"/>
              </w:rPr>
            </w:pPr>
            <w:proofErr w:type="spellStart"/>
            <w:r w:rsidRPr="00E613FE">
              <w:rPr>
                <w:rFonts w:ascii="Times New Roman" w:hAnsi="Times New Roman" w:cs="Times New Roman"/>
              </w:rPr>
              <w:t>bcrypt</w:t>
            </w:r>
            <w:proofErr w:type="spellEnd"/>
            <w:r w:rsidRPr="00E613FE">
              <w:rPr>
                <w:rFonts w:ascii="Times New Roman" w:hAnsi="Times New Roman" w:cs="Times New Roman"/>
              </w:rPr>
              <w:t xml:space="preserve"> hashing; server-side API keys</w:t>
            </w:r>
          </w:p>
        </w:tc>
        <w:tc>
          <w:tcPr>
            <w:tcW w:w="2248" w:type="dxa"/>
          </w:tcPr>
          <w:p w14:paraId="35884BB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0 of 18 client components </w:t>
            </w:r>
            <w:r w:rsidRPr="00E613FE">
              <w:rPr>
                <w:rFonts w:ascii="Times New Roman" w:hAnsi="Times New Roman" w:cs="Times New Roman"/>
              </w:rPr>
              <w:lastRenderedPageBreak/>
              <w:t>reference secrets; 22 RLS policies</w:t>
            </w:r>
          </w:p>
        </w:tc>
        <w:tc>
          <w:tcPr>
            <w:tcW w:w="2249" w:type="dxa"/>
          </w:tcPr>
          <w:p w14:paraId="48CDB3C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lastRenderedPageBreak/>
              <w:t>MET BY DELEGATION</w:t>
            </w:r>
          </w:p>
        </w:tc>
      </w:tr>
    </w:tbl>
    <w:p w14:paraId="5F563877" w14:textId="77777777" w:rsidR="00E613FE" w:rsidRPr="00E613FE" w:rsidRDefault="00E613FE" w:rsidP="00E613FE">
      <w:pPr>
        <w:spacing w:after="0" w:line="360" w:lineRule="auto"/>
        <w:jc w:val="both"/>
        <w:rPr>
          <w:rFonts w:ascii="Times New Roman" w:hAnsi="Times New Roman" w:cs="Times New Roman"/>
        </w:rPr>
      </w:pPr>
    </w:p>
    <w:p w14:paraId="09C123E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Three results merit discussion.</w:t>
      </w:r>
    </w:p>
    <w:p w14:paraId="518BBD6B"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Requirement 1 is an overwhelming pass, and that is the interesting part.</w:t>
      </w:r>
      <w:r w:rsidRPr="00E613FE">
        <w:rPr>
          <w:rFonts w:ascii="Times New Roman" w:hAnsi="Times New Roman" w:cs="Times New Roman"/>
        </w:rPr>
        <w:t xml:space="preserve"> CP1 allocated a 200 </w:t>
      </w:r>
      <w:proofErr w:type="spellStart"/>
      <w:r w:rsidRPr="00E613FE">
        <w:rPr>
          <w:rFonts w:ascii="Times New Roman" w:hAnsi="Times New Roman" w:cs="Times New Roman"/>
        </w:rPr>
        <w:t>ms</w:t>
      </w:r>
      <w:proofErr w:type="spellEnd"/>
      <w:r w:rsidRPr="00E613FE">
        <w:rPr>
          <w:rFonts w:ascii="Times New Roman" w:hAnsi="Times New Roman" w:cs="Times New Roman"/>
        </w:rPr>
        <w:t xml:space="preserve"> budget to compatibility validation, implying an expectation that validation would be a meaningful share of user-perceived latency. It is not: validation costs roughly four thousandths of one percent of its allowance. Meanwhile the project's own offline pipeline — with zero network calls — has a median of about 95 </w:t>
      </w:r>
      <w:proofErr w:type="spellStart"/>
      <w:r w:rsidRPr="00E613FE">
        <w:rPr>
          <w:rFonts w:ascii="Times New Roman" w:hAnsi="Times New Roman" w:cs="Times New Roman"/>
        </w:rPr>
        <w:t>ms</w:t>
      </w:r>
      <w:proofErr w:type="spellEnd"/>
      <w:r w:rsidRPr="00E613FE">
        <w:rPr>
          <w:rFonts w:ascii="Times New Roman" w:hAnsi="Times New Roman" w:cs="Times New Roman"/>
        </w:rPr>
        <w:t xml:space="preserve"> and a p95 of about 240 </w:t>
      </w:r>
      <w:proofErr w:type="spellStart"/>
      <w:r w:rsidRPr="00E613FE">
        <w:rPr>
          <w:rFonts w:ascii="Times New Roman" w:hAnsi="Times New Roman" w:cs="Times New Roman"/>
        </w:rPr>
        <w:t>ms</w:t>
      </w:r>
      <w:proofErr w:type="spellEnd"/>
      <w:r w:rsidRPr="00E613FE">
        <w:rPr>
          <w:rFonts w:ascii="Times New Roman" w:hAnsi="Times New Roman" w:cs="Times New Roman"/>
        </w:rPr>
        <w:t>, so the p95 of the surrounding logic *exceeds* the budget assigned to validation alone. The requirement was placed on the cheapest component of the pipeline. This is a reflection on requirements-setting at proposal stage rather than an engineering result.</w:t>
      </w:r>
    </w:p>
    <w:p w14:paraId="78EEA3E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Validation scales linearly with catalog size, not flatly. The cause is identifiable in code: the lookup index is rebuilt on every call, which is O(n) in catalog size, while the compatibility rules themselves inspect only the six selected components and are </w:t>
      </w:r>
      <w:proofErr w:type="gramStart"/>
      <w:r w:rsidRPr="00E613FE">
        <w:rPr>
          <w:rFonts w:ascii="Times New Roman" w:hAnsi="Times New Roman" w:cs="Times New Roman"/>
        </w:rPr>
        <w:t>O(</w:t>
      </w:r>
      <w:proofErr w:type="gramEnd"/>
      <w:r w:rsidRPr="00E613FE">
        <w:rPr>
          <w:rFonts w:ascii="Times New Roman" w:hAnsi="Times New Roman" w:cs="Times New Roman"/>
        </w:rPr>
        <w:t xml:space="preserve">1). The entire linear term is index construction. Extrapolating, the catalog would need roughly 3.1 million records to breach the 200 </w:t>
      </w:r>
      <w:proofErr w:type="spellStart"/>
      <w:r w:rsidRPr="00E613FE">
        <w:rPr>
          <w:rFonts w:ascii="Times New Roman" w:hAnsi="Times New Roman" w:cs="Times New Roman"/>
        </w:rPr>
        <w:t>ms</w:t>
      </w:r>
      <w:proofErr w:type="spellEnd"/>
      <w:r w:rsidRPr="00E613FE">
        <w:rPr>
          <w:rFonts w:ascii="Times New Roman" w:hAnsi="Times New Roman" w:cs="Times New Roman"/>
        </w:rPr>
        <w:t xml:space="preserve"> </w:t>
      </w:r>
      <w:proofErr w:type="gramStart"/>
      <w:r w:rsidRPr="00E613FE">
        <w:rPr>
          <w:rFonts w:ascii="Times New Roman" w:hAnsi="Times New Roman" w:cs="Times New Roman"/>
        </w:rPr>
        <w:t>requirement</w:t>
      </w:r>
      <w:proofErr w:type="gramEnd"/>
      <w:r w:rsidRPr="00E613FE">
        <w:rPr>
          <w:rFonts w:ascii="Times New Roman" w:hAnsi="Times New Roman" w:cs="Times New Roman"/>
        </w:rPr>
        <w:t>, so this is an architectural observation rather than a risk — but hoisting the index would make validation effectively constant-time, and that is a future-work item supported by measurement rather than intuition.</w:t>
      </w:r>
    </w:p>
    <w:p w14:paraId="76130D0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Requirement 2 is the project's only failed NFR, and the failure is threefold.</w:t>
      </w:r>
      <w:r w:rsidRPr="00E613FE">
        <w:rPr>
          <w:rFonts w:ascii="Times New Roman" w:hAnsi="Times New Roman" w:cs="Times New Roman"/>
        </w:rPr>
        <w:t xml:space="preserve"> First, it cannot be evaluated as written: time-to-first-token presupposes streaming, and no streaming exists anywhere in the implementation. Second, on the closest measurable quantity it fails outright — the assistant's median total response is 2,410 </w:t>
      </w:r>
      <w:proofErr w:type="spellStart"/>
      <w:r w:rsidRPr="00E613FE">
        <w:rPr>
          <w:rFonts w:ascii="Times New Roman" w:hAnsi="Times New Roman" w:cs="Times New Roman"/>
        </w:rPr>
        <w:t>ms</w:t>
      </w:r>
      <w:proofErr w:type="spellEnd"/>
      <w:r w:rsidRPr="00E613FE">
        <w:rPr>
          <w:rFonts w:ascii="Times New Roman" w:hAnsi="Times New Roman" w:cs="Times New Roman"/>
        </w:rPr>
        <w:t xml:space="preserve"> against a 2,000 </w:t>
      </w:r>
      <w:proofErr w:type="spellStart"/>
      <w:r w:rsidRPr="00E613FE">
        <w:rPr>
          <w:rFonts w:ascii="Times New Roman" w:hAnsi="Times New Roman" w:cs="Times New Roman"/>
        </w:rPr>
        <w:t>ms</w:t>
      </w:r>
      <w:proofErr w:type="spellEnd"/>
      <w:r w:rsidRPr="00E613FE">
        <w:rPr>
          <w:rFonts w:ascii="Times New Roman" w:hAnsi="Times New Roman" w:cs="Times New Roman"/>
        </w:rPr>
        <w:t xml:space="preserve"> budget, and intent extraction, while passing at the median, exceeds the budget at p95. Third — and this is inference rather than measurement — because nothing streams, the user sees nothing until the entire payload arrives, so total latency *is* the user's time to first text. It is not a proxy for the requirement; it is the same quantity the requirement was written to constrain. Whether a streaming implementation would have delivered a first token inside two seconds is plausible but untested, and is not claimed here.</w:t>
      </w:r>
    </w:p>
    <w:p w14:paraId="53E7378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Requirement 7 is met differently from how it was specified.</w:t>
      </w:r>
      <w:r w:rsidRPr="00E613FE">
        <w:rPr>
          <w:rFonts w:ascii="Times New Roman" w:hAnsi="Times New Roman" w:cs="Times New Roman"/>
        </w:rPr>
        <w:t xml:space="preserve"> No </w:t>
      </w:r>
      <w:proofErr w:type="spellStart"/>
      <w:r w:rsidRPr="00E613FE">
        <w:rPr>
          <w:rFonts w:ascii="Times New Roman" w:hAnsi="Times New Roman" w:cs="Times New Roman"/>
        </w:rPr>
        <w:t>bcrypt</w:t>
      </w:r>
      <w:proofErr w:type="spellEnd"/>
      <w:r w:rsidRPr="00E613FE">
        <w:rPr>
          <w:rFonts w:ascii="Times New Roman" w:hAnsi="Times New Roman" w:cs="Times New Roman"/>
        </w:rPr>
        <w:t xml:space="preserve"> implementation exists anywhere in the codebase, because password hashing is delegated entirely to Supabase </w:t>
      </w:r>
      <w:r w:rsidRPr="00E613FE">
        <w:rPr>
          <w:rFonts w:ascii="Times New Roman" w:hAnsi="Times New Roman" w:cs="Times New Roman"/>
        </w:rPr>
        <w:lastRenderedPageBreak/>
        <w:t>Auth and the application never handles a raw password. The security property is satisfied; the named mechanism is absent. Both facts are reported.</w:t>
      </w:r>
    </w:p>
    <w:p w14:paraId="684A3798"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18" w:name="_Toc236608503"/>
      <w:r w:rsidRPr="00E613FE">
        <w:rPr>
          <w:rFonts w:ascii="Times New Roman" w:hAnsi="Times New Roman" w:cs="Times New Roman"/>
          <w:sz w:val="24"/>
          <w:szCs w:val="24"/>
        </w:rPr>
        <w:t>4.7 The competitive audit, re-run</w:t>
      </w:r>
      <w:bookmarkEnd w:id="18"/>
    </w:p>
    <w:p w14:paraId="02439E3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CP1 §2.6.2 audited existing market solutions across ten dimensions and concluded that no single tool integrates AI guidance, compatibility logic, sensory feedback and community. Applying the same instrument to the delivered system, with a Sharkeys (delivered) column added beside CP1's Sharkeys (proposed), and scoring any cell without concrete evidence — a route, file, endpoint or test — as not delivered:</w:t>
      </w:r>
    </w:p>
    <w:p w14:paraId="771A195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Four dimensions delivered, three partial, three not delivered.</w:t>
      </w:r>
    </w:p>
    <w:tbl>
      <w:tblPr>
        <w:tblStyle w:val="TableGridLight"/>
        <w:tblW w:w="8993" w:type="dxa"/>
        <w:tblLook w:val="04A0" w:firstRow="1" w:lastRow="0" w:firstColumn="1" w:lastColumn="0" w:noHBand="0" w:noVBand="1"/>
      </w:tblPr>
      <w:tblGrid>
        <w:gridCol w:w="2997"/>
        <w:gridCol w:w="2997"/>
        <w:gridCol w:w="2999"/>
      </w:tblGrid>
      <w:tr w:rsidR="00E613FE" w:rsidRPr="00E613FE" w14:paraId="5E0D6D80" w14:textId="77777777" w:rsidTr="009A3029">
        <w:trPr>
          <w:tblHeader/>
        </w:trPr>
        <w:tc>
          <w:tcPr>
            <w:tcW w:w="2997" w:type="dxa"/>
          </w:tcPr>
          <w:p w14:paraId="3F4C267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CP1 module</w:t>
            </w:r>
          </w:p>
        </w:tc>
        <w:tc>
          <w:tcPr>
            <w:tcW w:w="2997" w:type="dxa"/>
          </w:tcPr>
          <w:p w14:paraId="676D2CD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Status</w:t>
            </w:r>
          </w:p>
        </w:tc>
        <w:tc>
          <w:tcPr>
            <w:tcW w:w="2999" w:type="dxa"/>
          </w:tcPr>
          <w:p w14:paraId="625E7DD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Basis</w:t>
            </w:r>
          </w:p>
        </w:tc>
      </w:tr>
      <w:tr w:rsidR="00E613FE" w:rsidRPr="00E613FE" w14:paraId="298CC95D" w14:textId="77777777" w:rsidTr="009A3029">
        <w:tc>
          <w:tcPr>
            <w:tcW w:w="2997" w:type="dxa"/>
          </w:tcPr>
          <w:p w14:paraId="442EB8A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AI guidance</w:t>
            </w:r>
          </w:p>
        </w:tc>
        <w:tc>
          <w:tcPr>
            <w:tcW w:w="2997" w:type="dxa"/>
          </w:tcPr>
          <w:p w14:paraId="4F6E500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Closed</w:t>
            </w:r>
          </w:p>
        </w:tc>
        <w:tc>
          <w:tcPr>
            <w:tcW w:w="2999" w:type="dxa"/>
          </w:tcPr>
          <w:p w14:paraId="5602192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Natural-language intent, semantic retrieval, agent pipeline, vision intent</w:t>
            </w:r>
          </w:p>
        </w:tc>
      </w:tr>
      <w:tr w:rsidR="00E613FE" w:rsidRPr="00E613FE" w14:paraId="201855A1" w14:textId="77777777" w:rsidTr="009A3029">
        <w:tc>
          <w:tcPr>
            <w:tcW w:w="2997" w:type="dxa"/>
          </w:tcPr>
          <w:p w14:paraId="1915AB7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Compatibility checks</w:t>
            </w:r>
          </w:p>
        </w:tc>
        <w:tc>
          <w:tcPr>
            <w:tcW w:w="2997" w:type="dxa"/>
          </w:tcPr>
          <w:p w14:paraId="6F607E7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Closed</w:t>
            </w:r>
          </w:p>
        </w:tc>
        <w:tc>
          <w:tcPr>
            <w:tcW w:w="2999" w:type="dxa"/>
          </w:tcPr>
          <w:p w14:paraId="63DFE9C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Deterministic engine; 99.44% decision-space reduction measured</w:t>
            </w:r>
          </w:p>
        </w:tc>
      </w:tr>
      <w:tr w:rsidR="00E613FE" w:rsidRPr="00E613FE" w14:paraId="0FC5B399" w14:textId="77777777" w:rsidTr="009A3029">
        <w:tc>
          <w:tcPr>
            <w:tcW w:w="2997" w:type="dxa"/>
          </w:tcPr>
          <w:p w14:paraId="6099CF4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Community</w:t>
            </w:r>
          </w:p>
        </w:tc>
        <w:tc>
          <w:tcPr>
            <w:tcW w:w="2997" w:type="dxa"/>
          </w:tcPr>
          <w:p w14:paraId="07B12C0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Partially closed</w:t>
            </w:r>
          </w:p>
        </w:tc>
        <w:tc>
          <w:tcPr>
            <w:tcW w:w="2999" w:type="dxa"/>
          </w:tcPr>
          <w:p w14:paraId="32F22D6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Gallery, threads and in-context assistant delivered; one-click cloning absent</w:t>
            </w:r>
          </w:p>
        </w:tc>
      </w:tr>
      <w:tr w:rsidR="00E613FE" w:rsidRPr="00E613FE" w14:paraId="2A6256AE" w14:textId="77777777" w:rsidTr="009A3029">
        <w:tc>
          <w:tcPr>
            <w:tcW w:w="2997" w:type="dxa"/>
          </w:tcPr>
          <w:p w14:paraId="2E87B7D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Sensory feedback</w:t>
            </w:r>
          </w:p>
        </w:tc>
        <w:tc>
          <w:tcPr>
            <w:tcW w:w="2997" w:type="dxa"/>
          </w:tcPr>
          <w:p w14:paraId="27A59DD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Not closed</w:t>
            </w:r>
          </w:p>
        </w:tc>
        <w:tc>
          <w:tcPr>
            <w:tcW w:w="2999" w:type="dxa"/>
          </w:tcPr>
          <w:p w14:paraId="17A4DA9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No audio assets, no data, no playback anywhere in the repository</w:t>
            </w:r>
          </w:p>
        </w:tc>
      </w:tr>
    </w:tbl>
    <w:p w14:paraId="19A40ECE" w14:textId="77777777" w:rsidR="00E613FE" w:rsidRPr="00E613FE" w:rsidRDefault="00E613FE" w:rsidP="00E613FE">
      <w:pPr>
        <w:spacing w:after="0" w:line="360" w:lineRule="auto"/>
        <w:jc w:val="both"/>
        <w:rPr>
          <w:rFonts w:ascii="Times New Roman" w:hAnsi="Times New Roman" w:cs="Times New Roman"/>
        </w:rPr>
      </w:pPr>
    </w:p>
    <w:p w14:paraId="45D8B42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delivered system closes two of the four gaps, partially closes a third, and does not close the fourth. CP1's stated contribution was the integration of all four, and on this evidence that integration claim is not fully supported. The sensory dimension — which CP1 argued most strongly was the unaddressed market barrier — is the one the delivered system also leaves unaddressed.</w:t>
      </w:r>
    </w:p>
    <w:p w14:paraId="2584024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Two further observations qualify the picture. The compatibility engine deviates from CP1's specification of "real-time AI validation": the delivered engine is deterministic and contains no AI whatsoever. This is an architectural inversion rather than a shortfall, and validation that cannot hallucinate is a stronger guarantee than the one specified — but it is not what CP1 </w:t>
      </w:r>
      <w:r w:rsidRPr="00E613FE">
        <w:rPr>
          <w:rFonts w:ascii="Times New Roman" w:hAnsi="Times New Roman" w:cs="Times New Roman"/>
        </w:rPr>
        <w:lastRenderedPageBreak/>
        <w:t>described. And a light re-verification found that one competitor has since added a guided, explicitly jargon-free quiz, narrowing the differentiation CP1 claimed on two dimensions. The core distinction holds, since that competitor remains a discovery tool over finished boards rather than a component-level configurator, but the margin is smaller than the proposal asserted.</w:t>
      </w:r>
    </w:p>
    <w:p w14:paraId="54591E6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Two capabilities were delivered *beyond* the CP1 instrument and are therefore invisible in its table: vision-based intent extraction, and the evaluation suite itself. The audit understates the project to that extent.</w:t>
      </w:r>
    </w:p>
    <w:p w14:paraId="79F08532"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19" w:name="_Toc236608504"/>
      <w:r w:rsidRPr="00E613FE">
        <w:rPr>
          <w:rFonts w:ascii="Times New Roman" w:hAnsi="Times New Roman" w:cs="Times New Roman"/>
          <w:sz w:val="24"/>
          <w:szCs w:val="24"/>
        </w:rPr>
        <w:t>4.8 Target-market economics</w:t>
      </w:r>
      <w:bookmarkEnd w:id="19"/>
    </w:p>
    <w:p w14:paraId="1B32D45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Pricing every valid build through the production price estimator produces a result that contradicts a CP1 positioning claim.</w:t>
      </w:r>
    </w:p>
    <w:tbl>
      <w:tblPr>
        <w:tblStyle w:val="TableGridLight"/>
        <w:tblW w:w="8993" w:type="dxa"/>
        <w:tblLook w:val="04A0" w:firstRow="1" w:lastRow="0" w:firstColumn="1" w:lastColumn="0" w:noHBand="0" w:noVBand="1"/>
      </w:tblPr>
      <w:tblGrid>
        <w:gridCol w:w="4496"/>
        <w:gridCol w:w="4497"/>
      </w:tblGrid>
      <w:tr w:rsidR="00E613FE" w:rsidRPr="00E613FE" w14:paraId="2A99CFB6" w14:textId="77777777" w:rsidTr="009A3029">
        <w:trPr>
          <w:tblHeader/>
        </w:trPr>
        <w:tc>
          <w:tcPr>
            <w:tcW w:w="4496" w:type="dxa"/>
          </w:tcPr>
          <w:p w14:paraId="0807D25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Statistic</w:t>
            </w:r>
          </w:p>
        </w:tc>
        <w:tc>
          <w:tcPr>
            <w:tcW w:w="4497" w:type="dxa"/>
          </w:tcPr>
          <w:p w14:paraId="2F1DF05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MYR</w:t>
            </w:r>
          </w:p>
        </w:tc>
      </w:tr>
      <w:tr w:rsidR="00E613FE" w:rsidRPr="00E613FE" w14:paraId="43DB7587" w14:textId="77777777" w:rsidTr="009A3029">
        <w:tc>
          <w:tcPr>
            <w:tcW w:w="4496" w:type="dxa"/>
          </w:tcPr>
          <w:p w14:paraId="69C242F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Cheapest valid build</w:t>
            </w:r>
          </w:p>
        </w:tc>
        <w:tc>
          <w:tcPr>
            <w:tcW w:w="4497" w:type="dxa"/>
          </w:tcPr>
          <w:p w14:paraId="5C910E3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281.00</w:t>
            </w:r>
          </w:p>
        </w:tc>
      </w:tr>
      <w:tr w:rsidR="00E613FE" w:rsidRPr="00E613FE" w14:paraId="559F02C0" w14:textId="77777777" w:rsidTr="009A3029">
        <w:tc>
          <w:tcPr>
            <w:tcW w:w="4496" w:type="dxa"/>
          </w:tcPr>
          <w:p w14:paraId="5538873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Median</w:t>
            </w:r>
          </w:p>
        </w:tc>
        <w:tc>
          <w:tcPr>
            <w:tcW w:w="4497" w:type="dxa"/>
          </w:tcPr>
          <w:p w14:paraId="74A76A1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600.00</w:t>
            </w:r>
          </w:p>
        </w:tc>
      </w:tr>
      <w:tr w:rsidR="00E613FE" w:rsidRPr="00E613FE" w14:paraId="1267DF76" w14:textId="77777777" w:rsidTr="009A3029">
        <w:tc>
          <w:tcPr>
            <w:tcW w:w="4496" w:type="dxa"/>
          </w:tcPr>
          <w:p w14:paraId="5039515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Builds at or under RM250</w:t>
            </w:r>
          </w:p>
        </w:tc>
        <w:tc>
          <w:tcPr>
            <w:tcW w:w="4497" w:type="dxa"/>
          </w:tcPr>
          <w:p w14:paraId="41F295C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0</w:t>
            </w:r>
          </w:p>
        </w:tc>
      </w:tr>
    </w:tbl>
    <w:p w14:paraId="35F47D3F" w14:textId="77777777" w:rsidR="00E613FE" w:rsidRPr="00E613FE" w:rsidRDefault="00E613FE" w:rsidP="00E613FE">
      <w:pPr>
        <w:spacing w:after="0" w:line="360" w:lineRule="auto"/>
        <w:jc w:val="both"/>
        <w:rPr>
          <w:rFonts w:ascii="Times New Roman" w:hAnsi="Times New Roman" w:cs="Times New Roman"/>
        </w:rPr>
      </w:pPr>
    </w:p>
    <w:p w14:paraId="7F75A96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CP1 targets the RM150–250 segment of the Malaysian market. </w:t>
      </w:r>
      <w:r w:rsidRPr="00E613FE">
        <w:rPr>
          <w:rFonts w:ascii="Times New Roman" w:hAnsi="Times New Roman" w:cs="Times New Roman"/>
          <w:b/>
        </w:rPr>
        <w:t>No valid build exists below RM281 — RM31 above the ceiling of the target band, and RM131 above its floor.</w:t>
      </w:r>
      <w:r w:rsidRPr="00E613FE">
        <w:rPr>
          <w:rFonts w:ascii="Times New Roman" w:hAnsi="Times New Roman" w:cs="Times New Roman"/>
        </w:rPr>
        <w:t xml:space="preserve"> Not one of the 3,250 valid builds falls anywhere within the stated target market, and the median build costs roughly 2.4 times the top of the range.</w:t>
      </w:r>
    </w:p>
    <w:p w14:paraId="5FF00A1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This explains the two zero-result prompts in Section 4.3 and confirms they are not defects. Intent extraction parsed both correctly, the engine found no build meeting the constraints within budget, and the system degraded gracefully with an accurate near-miss message inviting the user to raise the budget or relax a preference. The behaviour is correct; the economics are the finding.</w:t>
      </w:r>
    </w:p>
    <w:p w14:paraId="16BFE70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Two explanations are consistent with the data and cannot be distinguished without vendor survey work not undertaken here. Either the catalog under-samples the budget segment and cheaper components exist that were not curated in; or a complete build from separately purchased components genuinely does not exist below approximately RM280 in this market, and CP1's target band was set without testing feasibility. The first is a curation limitation with an obvious remedy; the second invalidates a CP1 assumption. Distinguishing them is listed as future work.</w:t>
      </w:r>
    </w:p>
    <w:p w14:paraId="5B0DD240"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20" w:name="_Toc236608505"/>
      <w:r w:rsidRPr="00E613FE">
        <w:rPr>
          <w:rFonts w:ascii="Times New Roman" w:hAnsi="Times New Roman" w:cs="Times New Roman"/>
          <w:sz w:val="24"/>
          <w:szCs w:val="24"/>
        </w:rPr>
        <w:lastRenderedPageBreak/>
        <w:t>4.9 Achievement against the objectives, and deviations</w:t>
      </w:r>
      <w:bookmarkEnd w:id="20"/>
    </w:p>
    <w:tbl>
      <w:tblPr>
        <w:tblStyle w:val="TableGridLight"/>
        <w:tblW w:w="8993" w:type="dxa"/>
        <w:tblLook w:val="04A0" w:firstRow="1" w:lastRow="0" w:firstColumn="1" w:lastColumn="0" w:noHBand="0" w:noVBand="1"/>
      </w:tblPr>
      <w:tblGrid>
        <w:gridCol w:w="2997"/>
        <w:gridCol w:w="2997"/>
        <w:gridCol w:w="2999"/>
      </w:tblGrid>
      <w:tr w:rsidR="00E613FE" w:rsidRPr="00E613FE" w14:paraId="519B1A46" w14:textId="77777777" w:rsidTr="009A3029">
        <w:trPr>
          <w:tblHeader/>
        </w:trPr>
        <w:tc>
          <w:tcPr>
            <w:tcW w:w="2997" w:type="dxa"/>
          </w:tcPr>
          <w:p w14:paraId="3C47C6A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Objective</w:t>
            </w:r>
          </w:p>
        </w:tc>
        <w:tc>
          <w:tcPr>
            <w:tcW w:w="2997" w:type="dxa"/>
          </w:tcPr>
          <w:p w14:paraId="289BDF1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Evidence</w:t>
            </w:r>
          </w:p>
        </w:tc>
        <w:tc>
          <w:tcPr>
            <w:tcW w:w="2999" w:type="dxa"/>
          </w:tcPr>
          <w:p w14:paraId="7ECB201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Status</w:t>
            </w:r>
          </w:p>
        </w:tc>
      </w:tr>
      <w:tr w:rsidR="00E613FE" w:rsidRPr="00E613FE" w14:paraId="571545DB" w14:textId="77777777" w:rsidTr="009A3029">
        <w:tc>
          <w:tcPr>
            <w:tcW w:w="2997" w:type="dxa"/>
          </w:tcPr>
          <w:p w14:paraId="464BDC7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1. Logic-driven configurator with constraint engine</w:t>
            </w:r>
          </w:p>
        </w:tc>
        <w:tc>
          <w:tcPr>
            <w:tcW w:w="2997" w:type="dxa"/>
          </w:tcPr>
          <w:p w14:paraId="67550CA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713-line engine, 7 categories, 99.44% space reduction, 20/20 independent agreement, no invalid build emitted in any run</w:t>
            </w:r>
          </w:p>
        </w:tc>
        <w:tc>
          <w:tcPr>
            <w:tcW w:w="2999" w:type="dxa"/>
          </w:tcPr>
          <w:p w14:paraId="44D2690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Achieved</w:t>
            </w:r>
          </w:p>
        </w:tc>
      </w:tr>
      <w:tr w:rsidR="00E613FE" w:rsidRPr="00E613FE" w14:paraId="4070E761" w14:textId="77777777" w:rsidTr="009A3029">
        <w:tc>
          <w:tcPr>
            <w:tcW w:w="2997" w:type="dxa"/>
          </w:tcPr>
          <w:p w14:paraId="6625C17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2. RAG recommendation translating sensory intent</w:t>
            </w:r>
          </w:p>
        </w:tc>
        <w:tc>
          <w:tcPr>
            <w:tcW w:w="2997" w:type="dxa"/>
          </w:tcPr>
          <w:p w14:paraId="517CDDE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Both semantic-gap cases closed and reproducible; no hallucinated component in any grounding run; colour extraction 5/5 in both implementations</w:t>
            </w:r>
          </w:p>
        </w:tc>
        <w:tc>
          <w:tcPr>
            <w:tcW w:w="2999" w:type="dxa"/>
          </w:tcPr>
          <w:p w14:paraId="3E5AE78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Achieved</w:t>
            </w:r>
          </w:p>
        </w:tc>
      </w:tr>
      <w:tr w:rsidR="00E613FE" w:rsidRPr="00E613FE" w14:paraId="59560A8B" w14:textId="77777777" w:rsidTr="009A3029">
        <w:tc>
          <w:tcPr>
            <w:tcW w:w="2997" w:type="dxa"/>
          </w:tcPr>
          <w:p w14:paraId="46695D1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3. Full-stack application with social features</w:t>
            </w:r>
          </w:p>
        </w:tc>
        <w:tc>
          <w:tcPr>
            <w:tcW w:w="2997" w:type="dxa"/>
          </w:tcPr>
          <w:p w14:paraId="53240D1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Accounts, persistent builds, publishing, threaded gallery with AI replies delivered; one-click cloning not delivered</w:t>
            </w:r>
          </w:p>
        </w:tc>
        <w:tc>
          <w:tcPr>
            <w:tcW w:w="2999" w:type="dxa"/>
          </w:tcPr>
          <w:p w14:paraId="291658B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Substantially achieved</w:t>
            </w:r>
          </w:p>
        </w:tc>
      </w:tr>
    </w:tbl>
    <w:p w14:paraId="54DF5AD3" w14:textId="77777777" w:rsidR="00E613FE" w:rsidRPr="00E613FE" w:rsidRDefault="00E613FE" w:rsidP="00E613FE">
      <w:pPr>
        <w:spacing w:after="0" w:line="360" w:lineRule="auto"/>
        <w:jc w:val="both"/>
        <w:rPr>
          <w:rFonts w:ascii="Times New Roman" w:hAnsi="Times New Roman" w:cs="Times New Roman"/>
        </w:rPr>
      </w:pPr>
    </w:p>
    <w:p w14:paraId="17AC32D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Three proposed outcomes changed during implementation. It is worth noting at the outset that the 2D visual builder and the acoustic library appear in CP1 §1.4 as proposed *modules*, not among the three formal objectives in §1.3 — but they were promised, and are accounted for here.</w:t>
      </w:r>
    </w:p>
    <w:p w14:paraId="4426071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The 2D layered visual builder was removed.</w:t>
      </w:r>
      <w:r w:rsidRPr="00E613FE">
        <w:rPr>
          <w:rFonts w:ascii="Times New Roman" w:hAnsi="Times New Roman" w:cs="Times New Roman"/>
        </w:rPr>
        <w:t xml:space="preserve"> Two factors drove this. Feasibility: the approach requires photographically consistent layered assets for every component in every category, which was not achievable in the timeframe. More importantly, evaluation evidence indicated the effort was better directed elsewhere — the measured weakness at the mid-point was recommendation accuracy, not visual feedback, and the literature reviewed in Chapter 2 offers only qualified support for rich visualisation, with several studies reporting diminishing returns relative to implementation cost. The capacity was redirected into semantic retrieval, the agent architecture and the evaluation suite, which produced the gains reported in Section 4.4.</w:t>
      </w:r>
    </w:p>
    <w:p w14:paraId="01EAD9A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lastRenderedPageBreak/>
        <w:t>User testing subsequently confirmed this decision carried a real cost.</w:t>
      </w:r>
      <w:r w:rsidRPr="00E613FE">
        <w:rPr>
          <w:rFonts w:ascii="Times New Roman" w:hAnsi="Times New Roman" w:cs="Times New Roman"/>
        </w:rPr>
        <w:t xml:space="preserve"> Finding 4 — that the design is too plain with little visualisation — was raised independently and unprompted by testers, and directly corroborates the need-for-touch and visualisation literature from Chapter 2. This is reported as a limitation rather than a vindication: the trade-off had a measurable cost on both sides, which is a genuine Design Science Research finding rather than a defence of the decision.</w:t>
      </w:r>
    </w:p>
    <w:p w14:paraId="29AD469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The acoustic library was not implemented</w:t>
      </w:r>
      <w:r w:rsidRPr="00E613FE">
        <w:rPr>
          <w:rFonts w:ascii="Times New Roman" w:hAnsi="Times New Roman" w:cs="Times New Roman"/>
        </w:rPr>
        <w:t>, for the same capacity reasons and because it depends on recording or licensing consistent audio samples under controlled conditions — a data-collection problem of comparable scale to the visual asset problem. The data model anticipates it: a sound URL field and a dedicated sound-samples table both exist in the schema, entirely unpopulated. Its absence is a genuine limitation, since Chapter 2 establishes sensory verification as a real barrier, and it is accordingly the first item of future work.</w:t>
      </w:r>
    </w:p>
    <w:p w14:paraId="7779138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Community cloning was partially delivered.</w:t>
      </w:r>
      <w:r w:rsidRPr="00E613FE">
        <w:rPr>
          <w:rFonts w:ascii="Times New Roman" w:hAnsi="Times New Roman" w:cs="Times New Roman"/>
        </w:rPr>
        <w:t xml:space="preserve"> Publishing, browsing and threaded discussion with in-context AI replies were implemented; one-click cloning of another user's build was not. The social proof mechanism is present, but the frictionless adoption path CP1 identified as closing the gap between inspiration and purchase is absent.</w:t>
      </w:r>
    </w:p>
    <w:p w14:paraId="7AEEED45"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21" w:name="_Toc236608506"/>
      <w:r w:rsidRPr="00E613FE">
        <w:rPr>
          <w:rFonts w:ascii="Times New Roman" w:hAnsi="Times New Roman" w:cs="Times New Roman"/>
          <w:sz w:val="24"/>
          <w:szCs w:val="24"/>
        </w:rPr>
        <w:t>4.10 Threats to validity</w:t>
      </w:r>
      <w:bookmarkEnd w:id="21"/>
    </w:p>
    <w:p w14:paraId="3B1157F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The evaluation ground truth was authored by the researcher, who is also the domain expert.</w:t>
      </w:r>
      <w:r w:rsidRPr="00E613FE">
        <w:rPr>
          <w:rFonts w:ascii="Times New Roman" w:hAnsi="Times New Roman" w:cs="Times New Roman"/>
        </w:rPr>
        <w:t xml:space="preserve"> While grounded in commercial sales experience, this risks the test cases encoding the same assumptions as the system. Independent expert review would strengthen the evaluation and is listed as future work.</w:t>
      </w:r>
    </w:p>
    <w:p w14:paraId="236982B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The unit test suite does not cover what its headline figure implies.</w:t>
      </w:r>
      <w:r w:rsidRPr="00E613FE">
        <w:rPr>
          <w:rFonts w:ascii="Times New Roman" w:hAnsi="Times New Roman" w:cs="Times New Roman"/>
        </w:rPr>
        <w:t xml:space="preserve"> Of 257 tests, 42 are skipped — all disabled for a single reason, having been pinned to a superseded catalog and never restored. The disabled set includes ten tests in the rule engine's own suite, among them the basic valid-build case, both kit-integrity tests, the stabiliser rule and both warning-versus-error tests. Of the seven validation categories, kit integrity, stabiliser compatibility and the preference-warning layer have </w:t>
      </w:r>
      <w:r w:rsidRPr="00E613FE">
        <w:rPr>
          <w:rFonts w:ascii="Times New Roman" w:hAnsi="Times New Roman" w:cs="Times New Roman"/>
          <w:b/>
        </w:rPr>
        <w:t>no active unit test</w:t>
      </w:r>
      <w:r w:rsidRPr="00E613FE">
        <w:rPr>
          <w:rFonts w:ascii="Times New Roman" w:hAnsi="Times New Roman" w:cs="Times New Roman"/>
        </w:rPr>
        <w:t>. Also disabled elsewhere are tests asserting that recommendations contain no hallucinated claims, that explanations stay grounded in component data, that deterministic recommendations survive an OpenAI failure, and that budgets are enforced.</w:t>
      </w:r>
    </w:p>
    <w:p w14:paraId="21C87F5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lastRenderedPageBreak/>
        <w:t>Those properties are nonetheless verified — by the exhaustive sweep, the independent sample and the conformance runs, which are arguably stronger evidence because they are exhaustive rather than exemplary. But "215 tests passed" must not be read as covering them. Restoring the fixtures against the current catalog is future work; the valid component identifiers needed already exist in the benchmark output.</w:t>
      </w:r>
    </w:p>
    <w:p w14:paraId="23CA3D2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Two implemented rules are unreachable with the current catalog</w:t>
      </w:r>
      <w:r w:rsidRPr="00E613FE">
        <w:rPr>
          <w:rFonts w:ascii="Times New Roman" w:hAnsi="Times New Roman" w:cs="Times New Roman"/>
        </w:rPr>
        <w:t>, as reported in Section 4.2.3, compounding the coverage gap above.</w:t>
      </w:r>
    </w:p>
    <w:p w14:paraId="209876A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Catalog scale is small.</w:t>
      </w:r>
      <w:r w:rsidRPr="00E613FE">
        <w:rPr>
          <w:rFonts w:ascii="Times New Roman" w:hAnsi="Times New Roman" w:cs="Times New Roman"/>
        </w:rPr>
        <w:t xml:space="preserve"> Sixty components may not generalise: semantic retrieval faces more competing candidates as a catalog grows, and the reduction ratios in Section 4.3 are specific to this </w:t>
      </w:r>
      <w:proofErr w:type="spellStart"/>
      <w:r w:rsidRPr="00E613FE">
        <w:rPr>
          <w:rFonts w:ascii="Times New Roman" w:hAnsi="Times New Roman" w:cs="Times New Roman"/>
        </w:rPr>
        <w:t>catalog's</w:t>
      </w:r>
      <w:proofErr w:type="spellEnd"/>
      <w:r w:rsidRPr="00E613FE">
        <w:rPr>
          <w:rFonts w:ascii="Times New Roman" w:hAnsi="Times New Roman" w:cs="Times New Roman"/>
        </w:rPr>
        <w:t xml:space="preserve"> composition.</w:t>
      </w:r>
    </w:p>
    <w:p w14:paraId="140DBA9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Colour coverage is partial.</w:t>
      </w:r>
      <w:r w:rsidRPr="00E613FE">
        <w:rPr>
          <w:rFonts w:ascii="Times New Roman" w:hAnsi="Times New Roman" w:cs="Times New Roman"/>
        </w:rPr>
        <w:t xml:space="preserve"> Five of five keycap sets carry colour tags; zero of seven cases do, because the required data does not exist in any product name, description or vendor URL and was not fabricated. A case therefore cannot currently rank up for its colour, though the system behaves correctly with tags absent.</w:t>
      </w:r>
    </w:p>
    <w:p w14:paraId="6DBB1FD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Language model outputs are non-deterministic</w:t>
      </w:r>
      <w:r w:rsidRPr="00E613FE">
        <w:rPr>
          <w:rFonts w:ascii="Times New Roman" w:hAnsi="Times New Roman" w:cs="Times New Roman"/>
        </w:rPr>
        <w:t>, quantified in Section 4.4.4 as a three-case swing on a ten-case suite. All semantic figures are reported as means with observed ranges across three or more runs.</w:t>
      </w:r>
    </w:p>
    <w:p w14:paraId="3EC1932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Latency measurements are environment-specific.</w:t>
      </w:r>
      <w:r w:rsidRPr="00E613FE">
        <w:rPr>
          <w:rFonts w:ascii="Times New Roman" w:hAnsi="Times New Roman" w:cs="Times New Roman"/>
        </w:rPr>
        <w:t xml:space="preserve"> Figures were taken on the development machine and a containerised Linux environment; both are reported where they differ, and neither represents a production deployment.</w:t>
      </w:r>
    </w:p>
    <w:p w14:paraId="23366E5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Finally, one methodological note. Cross-checking independent measurements against each other was used deliberately as an error-detection method during this work, and it caught two real faults: a pricing calculation that disagreed with the recommendation service's own output, and a set of latency figures that had drifted from the raw data they were derived from. Where two measurements of the same system disagree, the disagreement was treated as a defect in the measurement before being treated as a finding.</w:t>
      </w:r>
    </w:p>
    <w:p w14:paraId="7A331A00" w14:textId="77777777" w:rsidR="00E613FE" w:rsidRPr="00E613FE" w:rsidRDefault="00E613FE" w:rsidP="00E613FE">
      <w:pPr>
        <w:pStyle w:val="Heading1"/>
        <w:spacing w:line="360" w:lineRule="auto"/>
        <w:jc w:val="both"/>
        <w:rPr>
          <w:rFonts w:ascii="Times New Roman" w:hAnsi="Times New Roman" w:cs="Times New Roman"/>
          <w:sz w:val="24"/>
          <w:szCs w:val="24"/>
        </w:rPr>
      </w:pPr>
      <w:bookmarkStart w:id="22" w:name="_Toc236608507"/>
      <w:r w:rsidRPr="00E613FE">
        <w:rPr>
          <w:rFonts w:ascii="Times New Roman" w:hAnsi="Times New Roman" w:cs="Times New Roman"/>
          <w:sz w:val="24"/>
          <w:szCs w:val="24"/>
        </w:rPr>
        <w:t>5.0 Conclusion and Future Work</w:t>
      </w:r>
      <w:bookmarkEnd w:id="22"/>
    </w:p>
    <w:p w14:paraId="15796684"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23" w:name="_Toc236608508"/>
      <w:r w:rsidRPr="00E613FE">
        <w:rPr>
          <w:rFonts w:ascii="Times New Roman" w:hAnsi="Times New Roman" w:cs="Times New Roman"/>
          <w:sz w:val="24"/>
          <w:szCs w:val="24"/>
        </w:rPr>
        <w:t>5.1 Conclusion</w:t>
      </w:r>
      <w:bookmarkEnd w:id="23"/>
    </w:p>
    <w:p w14:paraId="6D5E9AC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This project set out to determine whether generative artificial intelligence could be applied safely to a product configuration domain in which physical correctness is non-negotiable, and </w:t>
      </w:r>
      <w:r w:rsidRPr="00E613FE">
        <w:rPr>
          <w:rFonts w:ascii="Times New Roman" w:hAnsi="Times New Roman" w:cs="Times New Roman"/>
        </w:rPr>
        <w:lastRenderedPageBreak/>
        <w:t>to build and evaluate a system demonstrating that architecture in the custom mechanical keyboard market.</w:t>
      </w:r>
    </w:p>
    <w:p w14:paraId="6165F4A1"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24" w:name="_Toc236608509"/>
      <w:r w:rsidRPr="00E613FE">
        <w:rPr>
          <w:rFonts w:ascii="Times New Roman" w:hAnsi="Times New Roman" w:cs="Times New Roman"/>
          <w:sz w:val="24"/>
          <w:szCs w:val="24"/>
        </w:rPr>
        <w:t>5.1.1 The objectives</w:t>
      </w:r>
      <w:bookmarkEnd w:id="24"/>
    </w:p>
    <w:p w14:paraId="1F66A10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Objective 1 — a logic-driven configurator with a constraint satisfaction engine — was achieved.</w:t>
      </w:r>
      <w:r w:rsidRPr="00E613FE">
        <w:rPr>
          <w:rFonts w:ascii="Times New Roman" w:hAnsi="Times New Roman" w:cs="Times New Roman"/>
        </w:rPr>
        <w:t xml:space="preserve"> The delivered engine evaluates a complete build across seven validation categories and eliminates 99.4446% of the 585,200 combinations the catalog admits. Its correctness rests on three independent forms of evidence: an exhaustive sweep of every possible combination, a hand-derived sample of twenty cases agreeing 20/20 on both verdicts and exact error codes, and conformance runs confirming that every build the recommendation service emits re-validates cleanly. Critically, the guarantee is structural rather than statistical: validation sits inside the recommendation path, so an unvalidated build has no route to the interface.</w:t>
      </w:r>
    </w:p>
    <w:p w14:paraId="3F3C498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Objective 2 — a retrieval-augmented system translating sensory intent — was achieved</w:t>
      </w:r>
      <w:r w:rsidRPr="00E613FE">
        <w:rPr>
          <w:rFonts w:ascii="Times New Roman" w:hAnsi="Times New Roman" w:cs="Times New Roman"/>
        </w:rPr>
        <w:t>, though the result is more nuanced than anticipated. The two documented semantic-gap cases, where users describe sound in language sharing no vocabulary with the catalog, were closed by vector retrieval and could not be closed by lexical means. Colour extraction, added in response to user testing, reached 5/5 in both the language-model and deterministic implementations. No hallucinated component appeared in any grounding run in any condition.</w:t>
      </w:r>
    </w:p>
    <w:p w14:paraId="06DDC4E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Objective 3 — a full-stack application with social commerce features — was substantially achieved.</w:t>
      </w:r>
      <w:r w:rsidRPr="00E613FE">
        <w:rPr>
          <w:rFonts w:ascii="Times New Roman" w:hAnsi="Times New Roman" w:cs="Times New Roman"/>
        </w:rPr>
        <w:t xml:space="preserve"> Accounts, persistent saved builds, publishing and a threaded community gallery with in-context assistant replies were delivered. One-click cloning of another user's build was not, so the social proof mechanism is present while the frictionless adoption path is absent.</w:t>
      </w:r>
    </w:p>
    <w:p w14:paraId="04D73A8B"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25" w:name="_Toc236608510"/>
      <w:r w:rsidRPr="00E613FE">
        <w:rPr>
          <w:rFonts w:ascii="Times New Roman" w:hAnsi="Times New Roman" w:cs="Times New Roman"/>
          <w:sz w:val="24"/>
          <w:szCs w:val="24"/>
        </w:rPr>
        <w:t>5.1.2 The central finding</w:t>
      </w:r>
      <w:bookmarkEnd w:id="25"/>
    </w:p>
    <w:p w14:paraId="4FEDA68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most important result is that the two mechanisms proved complementary rather than competing, and that the measured gains came from a specific and identifiable place.</w:t>
      </w:r>
    </w:p>
    <w:p w14:paraId="6B1BA16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Every improvement recorded in this project came from better interpretation and retrieval. </w:t>
      </w:r>
      <w:r w:rsidRPr="00E613FE">
        <w:rPr>
          <w:rFonts w:ascii="Times New Roman" w:hAnsi="Times New Roman" w:cs="Times New Roman"/>
          <w:b/>
        </w:rPr>
        <w:t>None came from relaxing validation.</w:t>
      </w:r>
      <w:r w:rsidRPr="00E613FE">
        <w:rPr>
          <w:rFonts w:ascii="Times New Roman" w:hAnsi="Times New Roman" w:cs="Times New Roman"/>
        </w:rPr>
        <w:t xml:space="preserve"> The rule engine rejected every incompatible configuration in every condition tested, and its behaviour is bit-identical before and after the introduction of the AI layer.</w:t>
      </w:r>
    </w:p>
    <w:p w14:paraId="1E0BC40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More surprising is where the AI's contribution actually lies. A well-engineered deterministic keyword extractor reached parity with the language model on all thirty intent extraction cases — explicit budgets, layouts, use cases and stated preferences are fully recoverable by rules. </w:t>
      </w:r>
      <w:r w:rsidRPr="00E613FE">
        <w:rPr>
          <w:rFonts w:ascii="Times New Roman" w:hAnsi="Times New Roman" w:cs="Times New Roman"/>
        </w:rPr>
        <w:lastRenderedPageBreak/>
        <w:t>The reproducible gain from the full generative stack over that deterministic floor is exactly two cases, and both are semantic-gap cases. The language model earns its place in this architecture not by being generally better, but by resolving precisely the class of input that rules cannot express.</w:t>
      </w:r>
    </w:p>
    <w:p w14:paraId="446B679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The grounding results sharpen the point further. Grounding did not improve under the full stack, which is the desired outcome: it is enforced by retrieval and validation rather than by model capability, so a stronger model should not improve it. Its stability across conditions is evidence that the mechanism, not the model, is doing the work. </w:t>
      </w:r>
      <w:proofErr w:type="gramStart"/>
      <w:r w:rsidRPr="00E613FE">
        <w:rPr>
          <w:rFonts w:ascii="Times New Roman" w:hAnsi="Times New Roman" w:cs="Times New Roman"/>
        </w:rPr>
        <w:t>Indeed</w:t>
      </w:r>
      <w:proofErr w:type="gramEnd"/>
      <w:r w:rsidRPr="00E613FE">
        <w:rPr>
          <w:rFonts w:ascii="Times New Roman" w:hAnsi="Times New Roman" w:cs="Times New Roman"/>
        </w:rPr>
        <w:t xml:space="preserve"> the deterministic path proved *more* reliably constraint-compliant than the language model, which intermittently used terminology the grounding rules forbid.</w:t>
      </w:r>
    </w:p>
    <w:p w14:paraId="677267D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This is the practical form of the neuro-symbolic argument developed in Chapter 2. The language model widens the space of requests the system can understand; the rule engine narrows the space of answers it is permitted to give. Neither component alone would be sufficient, and the value lies specifically in the constraint between them.</w:t>
      </w:r>
    </w:p>
    <w:p w14:paraId="2B06AEB3"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26" w:name="_Toc236608511"/>
      <w:r w:rsidRPr="00E613FE">
        <w:rPr>
          <w:rFonts w:ascii="Times New Roman" w:hAnsi="Times New Roman" w:cs="Times New Roman"/>
          <w:sz w:val="24"/>
          <w:szCs w:val="24"/>
        </w:rPr>
        <w:t>5.1.3 A secondary contribution</w:t>
      </w:r>
      <w:bookmarkEnd w:id="26"/>
    </w:p>
    <w:p w14:paraId="3A68CBB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A second contribution is methodological. Encoding practitioner expertise as an executable evaluation suite converted a subjective quality question into a measurable one, and made design decisions defensible with evidence rather than assertion — including the decision to remove a proposed feature, and the decision to report an AI contribution smaller than the project's own framing would have preferred.</w:t>
      </w:r>
    </w:p>
    <w:p w14:paraId="615BF84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That framework also produced findings the project did not set out to look for. The measured decision-space reduction quantified the choice-overload claim that Chapter 1 could only assert. The build-economics analysis revealed that no valid build falls within the stated target market, contradicting a positioning assumption carried forward from the proposal. And the design cycle surfaced a defect that no test could have caught, discussed below.</w:t>
      </w:r>
    </w:p>
    <w:p w14:paraId="2050C2F7"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27" w:name="_Toc236608512"/>
      <w:r w:rsidRPr="00E613FE">
        <w:rPr>
          <w:rFonts w:ascii="Times New Roman" w:hAnsi="Times New Roman" w:cs="Times New Roman"/>
          <w:sz w:val="24"/>
          <w:szCs w:val="24"/>
        </w:rPr>
        <w:t>5.1.4 The lesson that generalises furthest</w:t>
      </w:r>
      <w:bookmarkEnd w:id="27"/>
    </w:p>
    <w:p w14:paraId="55544B48"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During remediation of a user-testing finding, a change passed every unit test, every evaluation case and a direct functional probe — and was completely inert in the running application. The cause was not the code. The application reads its catalog from the database whenever credentials are configured, while the tests read a seed file; the data the fix depended on existed only in the latter.</w:t>
      </w:r>
    </w:p>
    <w:p w14:paraId="1DD8E2E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lastRenderedPageBreak/>
        <w:t>It was caught because the design cycle required a before-and-after screenshot rather than trusting a green evaluation. Had the protocol permitted trusting the test result, the feature would have shipped passing and broken.</w:t>
      </w:r>
    </w:p>
    <w:p w14:paraId="2486427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generalisable lesson is that verification is only meaningful in the configuration that actually runs, and that a test suite reading different data from production verifies a system that does not exist. For a project whose central claim is about deterministic guarantees, this is a useful corrective: the guarantee holds only where the guaranteeing component can see the data it needs.</w:t>
      </w:r>
    </w:p>
    <w:p w14:paraId="4DAFA033"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28" w:name="_Toc236608513"/>
      <w:r w:rsidRPr="00E613FE">
        <w:rPr>
          <w:rFonts w:ascii="Times New Roman" w:hAnsi="Times New Roman" w:cs="Times New Roman"/>
          <w:sz w:val="24"/>
          <w:szCs w:val="24"/>
        </w:rPr>
        <w:t>5.1.5 Reflection on the methodology</w:t>
      </w:r>
      <w:bookmarkEnd w:id="28"/>
    </w:p>
    <w:p w14:paraId="65A1926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Design Science Research proved appropriate not because the design was correct from the outset but because it was not. Two complete cycles are documented: the removal of the proposed two-dimensional visual builder on evaluation evidence at the mid-point, and the user-testing cycle that produced four remediated findings. The second cycle also produced the uncomfortable result that testers independently identified reduced visual richness as their most common criticism — directly corroborating that the first cycle's decision carried a real cost.</w:t>
      </w:r>
    </w:p>
    <w:p w14:paraId="0279628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Reporting that as a limitation rather than a vindication is, in the author's view, the more honest reading, and it is the kind of finding a single-pass development process would not have produced.</w:t>
      </w:r>
    </w:p>
    <w:p w14:paraId="05C51C2D"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29" w:name="_Toc236608514"/>
      <w:r w:rsidRPr="00E613FE">
        <w:rPr>
          <w:rFonts w:ascii="Times New Roman" w:hAnsi="Times New Roman" w:cs="Times New Roman"/>
          <w:sz w:val="24"/>
          <w:szCs w:val="24"/>
        </w:rPr>
        <w:t>5.2 Future Work</w:t>
      </w:r>
      <w:bookmarkEnd w:id="29"/>
    </w:p>
    <w:p w14:paraId="75D6A2F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Each item below is stated against the specific limitation in Section 4.10 that motivates it, in descending order of value to the project's stated aims.</w:t>
      </w:r>
    </w:p>
    <w:p w14:paraId="4637E765"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0" w:name="_Toc236608515"/>
      <w:r w:rsidRPr="00E613FE">
        <w:rPr>
          <w:rFonts w:ascii="Times New Roman" w:hAnsi="Times New Roman" w:cs="Times New Roman"/>
          <w:sz w:val="24"/>
          <w:szCs w:val="24"/>
        </w:rPr>
        <w:t>5.2.1 The acoustic library</w:t>
      </w:r>
      <w:bookmarkEnd w:id="30"/>
    </w:p>
    <w:p w14:paraId="69B4E56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the sensory dimension is the one CP1 gap the delivered system does not close, and Chapter 2 establishes sensory verification as a genuine market barrier.</w:t>
      </w:r>
    </w:p>
    <w:p w14:paraId="5BD2A1B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This is the highest-priority item and the most significant proposed feature not delivered. The data model already anticipates it — a sound-sample table and a per-component sound URL field both exist in the schema, entirely unpopulated — so the outstanding work is data collection rather than architecture. Implementation requires recording switch samples under controlled and consistent conditions, which is the constraint that deferred it, and an A/B comparison interface. The competitive audit shows this dimension is unaddressed by every competitor reviewed, so closing it would restore the differentiation CP1 claimed.</w:t>
      </w:r>
    </w:p>
    <w:p w14:paraId="3A9229B8"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1" w:name="_Toc236608516"/>
      <w:r w:rsidRPr="00E613FE">
        <w:rPr>
          <w:rFonts w:ascii="Times New Roman" w:hAnsi="Times New Roman" w:cs="Times New Roman"/>
          <w:sz w:val="24"/>
          <w:szCs w:val="24"/>
        </w:rPr>
        <w:lastRenderedPageBreak/>
        <w:t>5.2.2 Resolving the target-market contradiction</w:t>
      </w:r>
      <w:bookmarkEnd w:id="31"/>
    </w:p>
    <w:p w14:paraId="14573B9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no valid build exists below RM281, while the stated target market is RM150–250. Zero of 3,250 valid builds fall within the band.</w:t>
      </w:r>
    </w:p>
    <w:p w14:paraId="71957E6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Two explanations are consistent with the evidence and cannot currently be distinguished: either the catalog under-samples the budget segment, or a complete build from separately purchased components does not exist below approximately RM280 in this market. The first is a curation problem with an obvious remedy; the second invalidates an assumption carried from the proposal and would require the target band to be restated.</w:t>
      </w:r>
    </w:p>
    <w:p w14:paraId="0F1EDC89"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Distinguishing them requires a vendor survey of the sub-RM280 segment — checking whether cheaper cases, PCBs and plates exist from Malaysian vendors and were simply not curated. This should be undertaken before the catalog is expanded for any other reason, because the answer determines whether expansion is a fix or merely more of the same.</w:t>
      </w:r>
    </w:p>
    <w:p w14:paraId="2DFF205A"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2" w:name="_Toc236608517"/>
      <w:r w:rsidRPr="00E613FE">
        <w:rPr>
          <w:rFonts w:ascii="Times New Roman" w:hAnsi="Times New Roman" w:cs="Times New Roman"/>
          <w:sz w:val="24"/>
          <w:szCs w:val="24"/>
        </w:rPr>
        <w:t>5.2.3 Restoring the disabled test fixtures</w:t>
      </w:r>
      <w:bookmarkEnd w:id="32"/>
    </w:p>
    <w:p w14:paraId="2F88F97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42 of 257 tests are skipped, including all unit coverage of kit integrity, stabiliser compatibility and the warning-versus-error distinction, plus tests asserting anti-hallucination, grounding and graceful degradation.</w:t>
      </w:r>
    </w:p>
    <w:p w14:paraId="34D6D26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Those properties are verified by the exhaustive sweep, the independent sample and the conformance runs, so the system is not unverified — but the unit suite does not cover what its headline figure implies, and that gap should not persist. The tests were disabled when the catalog was replaced and pinned to component identifiers that no longer exist. Restoration is mechanical rather than conceptual: valid component identifiers for every scenario already exist in the benchmark output committed with this project.</w:t>
      </w:r>
    </w:p>
    <w:p w14:paraId="3052652D"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3" w:name="_Toc236608518"/>
      <w:r w:rsidRPr="00E613FE">
        <w:rPr>
          <w:rFonts w:ascii="Times New Roman" w:hAnsi="Times New Roman" w:cs="Times New Roman"/>
          <w:sz w:val="24"/>
          <w:szCs w:val="24"/>
        </w:rPr>
        <w:t>5.2.4 Streaming, and the failed non-functional requirement</w:t>
      </w:r>
      <w:bookmarkEnd w:id="33"/>
    </w:p>
    <w:p w14:paraId="64004C2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the AI response requirement is the project's only failed NFR, failing both as specified and on the closest measurable quantity.</w:t>
      </w:r>
    </w:p>
    <w:p w14:paraId="7A7782EF"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No streaming exists in the implementation, so time-to-first-token is not a quantity the system produces, and because nothing streams the user sees nothing until the entire payload arrives. Implementing streamed responses would address the requirement directly and is the single change most likely to alter perceived responsiveness, since the underlying model latency is unlikely to fall.</w:t>
      </w:r>
    </w:p>
    <w:p w14:paraId="55E6FF3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lastRenderedPageBreak/>
        <w:t>Whether streaming alone would satisfy the two-second budget is untested and is not claimed. Measuring first-chunk latency against the same model and prompts is a small piece of work that would convert that open question into an answer, and should precede any implementation decision.</w:t>
      </w:r>
    </w:p>
    <w:p w14:paraId="19D8B1BA"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4" w:name="_Toc236608519"/>
      <w:r w:rsidRPr="00E613FE">
        <w:rPr>
          <w:rFonts w:ascii="Times New Roman" w:hAnsi="Times New Roman" w:cs="Times New Roman"/>
          <w:sz w:val="24"/>
          <w:szCs w:val="24"/>
        </w:rPr>
        <w:t>5.2.5 Extending colour coverage</w:t>
      </w:r>
      <w:bookmarkEnd w:id="34"/>
    </w:p>
    <w:p w14:paraId="2926E584"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five of five keycap sets carry colour tags; zero of seven cases do.</w:t>
      </w:r>
    </w:p>
    <w:p w14:paraId="543FD497"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The case records contain no colour information in any product name, description or vendor URL, and values were deliberately not fabricated. </w:t>
      </w:r>
      <w:proofErr w:type="gramStart"/>
      <w:r w:rsidRPr="00E613FE">
        <w:rPr>
          <w:rFonts w:ascii="Times New Roman" w:hAnsi="Times New Roman" w:cs="Times New Roman"/>
        </w:rPr>
        <w:t>Consequently</w:t>
      </w:r>
      <w:proofErr w:type="gramEnd"/>
      <w:r w:rsidRPr="00E613FE">
        <w:rPr>
          <w:rFonts w:ascii="Times New Roman" w:hAnsi="Times New Roman" w:cs="Times New Roman"/>
        </w:rPr>
        <w:t xml:space="preserve"> a case cannot rank up for its colour, and a request for a themed build can only be satisfied at the keycap level — a partial answer to the user finding that motivated the feature. The work is data curation from vendor listings rather than development, and would complete a fix that is currently only half-effective.</w:t>
      </w:r>
    </w:p>
    <w:p w14:paraId="2FCB8451"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5" w:name="_Toc236608520"/>
      <w:r w:rsidRPr="00E613FE">
        <w:rPr>
          <w:rFonts w:ascii="Times New Roman" w:hAnsi="Times New Roman" w:cs="Times New Roman"/>
          <w:sz w:val="24"/>
          <w:szCs w:val="24"/>
        </w:rPr>
        <w:t>5.2.6 An expert knowledge grounding layer</w:t>
      </w:r>
      <w:bookmarkEnd w:id="35"/>
    </w:p>
    <w:p w14:paraId="2D9FDAA3"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one grounding case fails in every run and every mode, requiring practitioner knowledge that catalog specifications do not contain.</w:t>
      </w:r>
    </w:p>
    <w:p w14:paraId="6893766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failing case concerns specific budget recommendations and lubrication technique — knowledge the domain expert possesses but which has no representation in a product catalog. A separate knowledge layer, distinct from the catalog and retrievable by the assistant, would close it and extend the system from specification matching toward genuine advice. This is arguably the most interesting extension, because it tests whether the grounding architecture generalises beyond structured product data.</w:t>
      </w:r>
    </w:p>
    <w:p w14:paraId="7C334448"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6" w:name="_Toc236608521"/>
      <w:r w:rsidRPr="00E613FE">
        <w:rPr>
          <w:rFonts w:ascii="Times New Roman" w:hAnsi="Times New Roman" w:cs="Times New Roman"/>
          <w:sz w:val="24"/>
          <w:szCs w:val="24"/>
        </w:rPr>
        <w:t>5.2.7 Independent evaluation</w:t>
      </w:r>
      <w:bookmarkEnd w:id="36"/>
    </w:p>
    <w:p w14:paraId="55CF74B1"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the evaluation ground truth was authored by the researcher, who is also the domain expert.</w:t>
      </w:r>
    </w:p>
    <w:p w14:paraId="12BC91EE"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Having the test cases reviewed, or independently authored, by domain experts other than the researcher would address the principal validity threat in this study. The current suite is grounded in commercial experience, but nothing prevents it encoding the same assumptions as the system it evaluates.</w:t>
      </w:r>
    </w:p>
    <w:p w14:paraId="673712F4"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7" w:name="_Toc236608522"/>
      <w:r w:rsidRPr="00E613FE">
        <w:rPr>
          <w:rFonts w:ascii="Times New Roman" w:hAnsi="Times New Roman" w:cs="Times New Roman"/>
          <w:sz w:val="24"/>
          <w:szCs w:val="24"/>
        </w:rPr>
        <w:t>5.2.8 Catalog scale and retrieval behaviour</w:t>
      </w:r>
      <w:bookmarkEnd w:id="37"/>
    </w:p>
    <w:p w14:paraId="46DEFD05"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sixty components may not generalise; semantic retrieval faces more competing candidates as a catalog grows.</w:t>
      </w:r>
    </w:p>
    <w:p w14:paraId="739D959C"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lastRenderedPageBreak/>
        <w:t xml:space="preserve">Expansion should be treated as an experiment rather than a data-entry exercise, with the evaluation suite re-run at each scale increment to detect where retrieval precision begins to degrade. The reduction ratios reported in Chapter 4 are specific to this </w:t>
      </w:r>
      <w:proofErr w:type="spellStart"/>
      <w:r w:rsidRPr="00E613FE">
        <w:rPr>
          <w:rFonts w:ascii="Times New Roman" w:hAnsi="Times New Roman" w:cs="Times New Roman"/>
        </w:rPr>
        <w:t>catalog's</w:t>
      </w:r>
      <w:proofErr w:type="spellEnd"/>
      <w:r w:rsidRPr="00E613FE">
        <w:rPr>
          <w:rFonts w:ascii="Times New Roman" w:hAnsi="Times New Roman" w:cs="Times New Roman"/>
        </w:rPr>
        <w:t xml:space="preserve"> composition and would need re-measuring.</w:t>
      </w:r>
    </w:p>
    <w:p w14:paraId="7F8177FB"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8" w:name="_Toc236608523"/>
      <w:r w:rsidRPr="00E613FE">
        <w:rPr>
          <w:rFonts w:ascii="Times New Roman" w:hAnsi="Times New Roman" w:cs="Times New Roman"/>
          <w:sz w:val="24"/>
          <w:szCs w:val="24"/>
        </w:rPr>
        <w:t>5.2.9 Constant-time validation</w:t>
      </w:r>
      <w:bookmarkEnd w:id="38"/>
    </w:p>
    <w:p w14:paraId="24E4D132"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validation scales linearly with catalog size because the lookup index is rebuilt on every call.</w:t>
      </w:r>
    </w:p>
    <w:p w14:paraId="793A2C20"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compatibility rules themselves inspect only the six selected components and are constant-time; the entire linear term is index construction. Hoisting the index out of the per-call path would make validation effectively constant-time. At present the catalog would need roughly 3.1 million records to breach the latency requirement, so this is not urgent — but it is a well-characterised inefficiency supported by measurement rather than intuition, and it interacts directly with Section 5.2.8.</w:t>
      </w:r>
    </w:p>
    <w:p w14:paraId="47BBB3F9" w14:textId="77777777" w:rsidR="00E613FE" w:rsidRPr="00E613FE" w:rsidRDefault="00E613FE" w:rsidP="00E613FE">
      <w:pPr>
        <w:pStyle w:val="Heading3"/>
        <w:spacing w:line="360" w:lineRule="auto"/>
        <w:jc w:val="both"/>
        <w:rPr>
          <w:rFonts w:ascii="Times New Roman" w:hAnsi="Times New Roman" w:cs="Times New Roman"/>
          <w:sz w:val="24"/>
          <w:szCs w:val="24"/>
        </w:rPr>
      </w:pPr>
      <w:bookmarkStart w:id="39" w:name="_Toc236608524"/>
      <w:r w:rsidRPr="00E613FE">
        <w:rPr>
          <w:rFonts w:ascii="Times New Roman" w:hAnsi="Times New Roman" w:cs="Times New Roman"/>
          <w:sz w:val="24"/>
          <w:szCs w:val="24"/>
        </w:rPr>
        <w:t>5.2.10 Completing the community loop</w:t>
      </w:r>
      <w:bookmarkEnd w:id="39"/>
    </w:p>
    <w:p w14:paraId="06F4241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b/>
        </w:rPr>
        <w:t>Limitation addressed:</w:t>
      </w:r>
      <w:r w:rsidRPr="00E613FE">
        <w:rPr>
          <w:rFonts w:ascii="Times New Roman" w:hAnsi="Times New Roman" w:cs="Times New Roman"/>
        </w:rPr>
        <w:t xml:space="preserve"> one-click cloning was not delivered, so the mechanism CP1 identified as closing the gap between inspiration and purchase is absent.</w:t>
      </w:r>
    </w:p>
    <w:p w14:paraId="5F1A190A"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Chapter 2 establishes observational learning and social proof as genuine decision supports, and the gallery delivers the inspiration half. Cloning a community build into a personal workspace is a small piece of work relative to its effect on the social commerce objective, and would complete the third objective in full.</w:t>
      </w:r>
    </w:p>
    <w:p w14:paraId="073F90CB" w14:textId="77777777" w:rsidR="00E613FE" w:rsidRPr="00E613FE" w:rsidRDefault="00E613FE" w:rsidP="00E613FE">
      <w:pPr>
        <w:pStyle w:val="Heading2"/>
        <w:spacing w:line="360" w:lineRule="auto"/>
        <w:jc w:val="both"/>
        <w:rPr>
          <w:rFonts w:ascii="Times New Roman" w:hAnsi="Times New Roman" w:cs="Times New Roman"/>
          <w:sz w:val="24"/>
          <w:szCs w:val="24"/>
        </w:rPr>
      </w:pPr>
      <w:bookmarkStart w:id="40" w:name="_Toc236608525"/>
      <w:r w:rsidRPr="00E613FE">
        <w:rPr>
          <w:rFonts w:ascii="Times New Roman" w:hAnsi="Times New Roman" w:cs="Times New Roman"/>
          <w:sz w:val="24"/>
          <w:szCs w:val="24"/>
        </w:rPr>
        <w:t>5.3 Closing remarks</w:t>
      </w:r>
      <w:bookmarkEnd w:id="40"/>
    </w:p>
    <w:p w14:paraId="2CA26E66"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The system delivered is a functional prototype rather than a production platform, and this report has been explicit about what it does not do. It does not address sensory verification, it does not currently serve the price segment it was designed for, and its test suite covers less than its headline figure suggests.</w:t>
      </w:r>
    </w:p>
    <w:p w14:paraId="6E7210CD" w14:textId="77777777" w:rsidR="00E613FE" w:rsidRPr="00E613FE" w:rsidRDefault="00E613FE" w:rsidP="00E613FE">
      <w:pPr>
        <w:spacing w:line="360" w:lineRule="auto"/>
        <w:jc w:val="both"/>
        <w:rPr>
          <w:rFonts w:ascii="Times New Roman" w:hAnsi="Times New Roman" w:cs="Times New Roman"/>
        </w:rPr>
      </w:pPr>
      <w:r w:rsidRPr="00E613FE">
        <w:rPr>
          <w:rFonts w:ascii="Times New Roman" w:hAnsi="Times New Roman" w:cs="Times New Roman"/>
        </w:rPr>
        <w:t xml:space="preserve">What it does demonstrate, with measurement rather than assertion, is that a generative model can be deployed safely in a domain where physical correctness is non-negotiable, provided its output is constrained by a deterministic authority that the model cannot influence. The measured decision-space reduction, the closure of the semantic gap by retrieval, and the invariance of the compatibility guarantee across every condition tested together support that </w:t>
      </w:r>
      <w:r w:rsidRPr="00E613FE">
        <w:rPr>
          <w:rFonts w:ascii="Times New Roman" w:hAnsi="Times New Roman" w:cs="Times New Roman"/>
        </w:rPr>
        <w:lastRenderedPageBreak/>
        <w:t>claim. The evaluation framework built to test it, and the defect it failed to catch, are offered as contributions in their own right.</w:t>
      </w:r>
    </w:p>
    <w:p w14:paraId="1E81C65A" w14:textId="77777777" w:rsidR="00BC359B" w:rsidRPr="00E613FE" w:rsidRDefault="00BC359B" w:rsidP="00E613FE">
      <w:pPr>
        <w:spacing w:line="360" w:lineRule="auto"/>
        <w:jc w:val="both"/>
        <w:rPr>
          <w:rFonts w:ascii="Times New Roman" w:hAnsi="Times New Roman" w:cs="Times New Roman"/>
        </w:rPr>
      </w:pPr>
    </w:p>
    <w:sectPr w:rsidR="00BC359B" w:rsidRPr="00E61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FE"/>
    <w:rsid w:val="00182B94"/>
    <w:rsid w:val="00BC359B"/>
    <w:rsid w:val="00E613FE"/>
    <w:rsid w:val="00EE43D2"/>
    <w:rsid w:val="00FB35F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8EE2"/>
  <w15:chartTrackingRefBased/>
  <w15:docId w15:val="{4A197853-1EFD-4166-A555-B38A5DA3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3FE"/>
  </w:style>
  <w:style w:type="paragraph" w:styleId="Heading1">
    <w:name w:val="heading 1"/>
    <w:basedOn w:val="Normal"/>
    <w:next w:val="Normal"/>
    <w:link w:val="Heading1Char"/>
    <w:uiPriority w:val="9"/>
    <w:qFormat/>
    <w:rsid w:val="00E61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1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1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FE"/>
    <w:rPr>
      <w:rFonts w:eastAsiaTheme="majorEastAsia" w:cstheme="majorBidi"/>
      <w:color w:val="272727" w:themeColor="text1" w:themeTint="D8"/>
    </w:rPr>
  </w:style>
  <w:style w:type="paragraph" w:styleId="Title">
    <w:name w:val="Title"/>
    <w:basedOn w:val="Normal"/>
    <w:next w:val="Normal"/>
    <w:link w:val="TitleChar"/>
    <w:uiPriority w:val="10"/>
    <w:qFormat/>
    <w:rsid w:val="00E61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FE"/>
    <w:pPr>
      <w:spacing w:before="160"/>
      <w:jc w:val="center"/>
    </w:pPr>
    <w:rPr>
      <w:i/>
      <w:iCs/>
      <w:color w:val="404040" w:themeColor="text1" w:themeTint="BF"/>
    </w:rPr>
  </w:style>
  <w:style w:type="character" w:customStyle="1" w:styleId="QuoteChar">
    <w:name w:val="Quote Char"/>
    <w:basedOn w:val="DefaultParagraphFont"/>
    <w:link w:val="Quote"/>
    <w:uiPriority w:val="29"/>
    <w:rsid w:val="00E613FE"/>
    <w:rPr>
      <w:i/>
      <w:iCs/>
      <w:color w:val="404040" w:themeColor="text1" w:themeTint="BF"/>
    </w:rPr>
  </w:style>
  <w:style w:type="paragraph" w:styleId="ListParagraph">
    <w:name w:val="List Paragraph"/>
    <w:basedOn w:val="Normal"/>
    <w:uiPriority w:val="34"/>
    <w:qFormat/>
    <w:rsid w:val="00E613FE"/>
    <w:pPr>
      <w:ind w:left="720"/>
      <w:contextualSpacing/>
    </w:pPr>
  </w:style>
  <w:style w:type="character" w:styleId="IntenseEmphasis">
    <w:name w:val="Intense Emphasis"/>
    <w:basedOn w:val="DefaultParagraphFont"/>
    <w:uiPriority w:val="21"/>
    <w:qFormat/>
    <w:rsid w:val="00E613FE"/>
    <w:rPr>
      <w:i/>
      <w:iCs/>
      <w:color w:val="0F4761" w:themeColor="accent1" w:themeShade="BF"/>
    </w:rPr>
  </w:style>
  <w:style w:type="paragraph" w:styleId="IntenseQuote">
    <w:name w:val="Intense Quote"/>
    <w:basedOn w:val="Normal"/>
    <w:next w:val="Normal"/>
    <w:link w:val="IntenseQuoteChar"/>
    <w:uiPriority w:val="30"/>
    <w:qFormat/>
    <w:rsid w:val="00E61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FE"/>
    <w:rPr>
      <w:i/>
      <w:iCs/>
      <w:color w:val="0F4761" w:themeColor="accent1" w:themeShade="BF"/>
    </w:rPr>
  </w:style>
  <w:style w:type="character" w:styleId="IntenseReference">
    <w:name w:val="Intense Reference"/>
    <w:basedOn w:val="DefaultParagraphFont"/>
    <w:uiPriority w:val="32"/>
    <w:qFormat/>
    <w:rsid w:val="00E613FE"/>
    <w:rPr>
      <w:b/>
      <w:bCs/>
      <w:smallCaps/>
      <w:color w:val="0F4761" w:themeColor="accent1" w:themeShade="BF"/>
      <w:spacing w:val="5"/>
    </w:rPr>
  </w:style>
  <w:style w:type="table" w:styleId="TableGridLight">
    <w:name w:val="Grid Table Light"/>
    <w:basedOn w:val="TableNormal"/>
    <w:uiPriority w:val="40"/>
    <w:rsid w:val="00E613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7027</Words>
  <Characters>40054</Characters>
  <Application>Microsoft Office Word</Application>
  <DocSecurity>0</DocSecurity>
  <Lines>333</Lines>
  <Paragraphs>93</Paragraphs>
  <ScaleCrop>false</ScaleCrop>
  <Company/>
  <LinksUpToDate>false</LinksUpToDate>
  <CharactersWithSpaces>46988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 User</dc:creator>
  <cp:keywords/>
  <dc:description/>
  <cp:lastModifiedBy>Unknown User</cp:lastModifiedBy>
  <cp:revision>1</cp:revision>
  <dcterms:created xsi:type="dcterms:W3CDTF">2026-08-02T16:14:00Z</dcterms:created>
  <dcterms:modified xsi:type="dcterms:W3CDTF">2026-08-02T16:17:00Z</dcterms:modified>
</cp:coreProperties>
</file>