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71"/>
        <w:pBdr/>
        <w:spacing w:line="480" w:lineRule="auto"/>
        <w:ind/>
        <w:jc w:val="left"/>
        <w:rPr>
          <w:rFonts w:ascii="Arial" w:hAnsi="Arial" w:eastAsia="Arial" w:cs="Arial"/>
          <w:sz w:val="22"/>
          <w:szCs w:val="22"/>
        </w:rPr>
      </w:pPr>
      <w:r/>
      <w:bookmarkStart w:id="0" w:name="_rkogpw759h9x"/>
      <w:r>
        <w:rPr>
          <w:rFonts w:ascii="Arial" w:hAnsi="Arial" w:eastAsia="Arial" w:cs="Arial"/>
        </w:rPr>
      </w:r>
      <w:bookmarkEnd w:id="0"/>
      <w:r>
        <w:rPr>
          <w:rFonts w:ascii="Arial" w:hAnsi="Arial" w:eastAsia="Arial" w:cs="Arial"/>
          <w:rtl w:val="0"/>
        </w:rPr>
        <w:t xml:space="preserve">Security risk assessment report</w:t>
      </w:r>
      <w:r>
        <w:rPr>
          <w:rFonts w:ascii="Arial" w:hAnsi="Arial" w:eastAsia="Arial" w:cs="Arial"/>
          <w:sz w:val="22"/>
          <w:szCs w:val="22"/>
        </w:rPr>
      </w:r>
    </w:p>
    <w:p>
      <w:pPr>
        <w:pBdr/>
        <w:spacing/>
        <w:ind/>
        <w:rPr/>
      </w:pPr>
      <w:r>
        <w:rPr>
          <w:rFonts w:ascii="Arial" w:hAnsi="Arial" w:eastAsia="Arial" w:cs="Arial"/>
          <w:rtl w:val="0"/>
        </w:rPr>
      </w:r>
      <w:r>
        <w:rPr>
          <w:rFonts w:ascii="Arial" w:hAnsi="Arial" w:eastAsia="Arial" w:cs="Arial"/>
          <w:i w:val="0"/>
          <w:iCs w:val="0"/>
          <w:sz w:val="22"/>
          <w:szCs w:val="22"/>
        </w:rPr>
        <w:t xml:space="preserve">The Botium Toys’ company has recently suffered from a data breach. </w:t>
      </w:r>
      <w:r>
        <w:rPr>
          <w:rFonts w:ascii="Arial" w:hAnsi="Arial" w:eastAsia="Arial" w:cs="Arial"/>
          <w:i w:val="0"/>
          <w:iCs w:val="0"/>
          <w:sz w:val="22"/>
          <w:szCs w:val="22"/>
        </w:rPr>
        <w:t xml:space="preserve">Four major vulnerabilities have been detected upon the assessment of the company’s network. The four vulnerabilities are as follows:</w:t>
      </w:r>
      <w:r/>
      <w:r>
        <w:rPr>
          <w:rFonts w:ascii="Arial" w:hAnsi="Arial" w:eastAsia="Arial" w:cs="Arial"/>
          <w:rtl w:val="0"/>
        </w:rPr>
      </w:r>
      <w:r>
        <w:rPr>
          <w:rFonts w:ascii="Arial" w:hAnsi="Arial" w:eastAsia="Arial" w:cs="Arial"/>
          <w:sz w:val="22"/>
          <w:szCs w:val="22"/>
        </w:rPr>
      </w:r>
      <w:r/>
    </w:p>
    <w:p>
      <w:pPr>
        <w:pStyle w:val="165"/>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sz w:val="22"/>
          <w:szCs w:val="22"/>
        </w:rPr>
        <w:t xml:space="preserve">The organization’s employees' share passwords.</w:t>
      </w:r>
      <w:r>
        <w:rPr>
          <w:rFonts w:ascii="Arial" w:hAnsi="Arial" w:eastAsia="Arial" w:cs="Arial"/>
          <w:sz w:val="22"/>
          <w:szCs w:val="22"/>
        </w:rPr>
      </w:r>
    </w:p>
    <w:p>
      <w:pPr>
        <w:pStyle w:val="165"/>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sz w:val="22"/>
          <w:szCs w:val="22"/>
        </w:rPr>
        <w:t xml:space="preserve">The admin password for the database is set to the default.</w:t>
      </w:r>
      <w:r>
        <w:rPr>
          <w:rFonts w:ascii="Arial" w:hAnsi="Arial" w:eastAsia="Arial" w:cs="Arial"/>
          <w:sz w:val="22"/>
          <w:szCs w:val="22"/>
        </w:rPr>
      </w:r>
    </w:p>
    <w:p>
      <w:pPr>
        <w:pStyle w:val="165"/>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sz w:val="22"/>
          <w:szCs w:val="22"/>
        </w:rPr>
        <w:t xml:space="preserve">The firewalls do not have rules in place to filter traffic coming in and out of the network.</w:t>
      </w:r>
      <w:r>
        <w:rPr>
          <w:rFonts w:ascii="Arial" w:hAnsi="Arial" w:eastAsia="Arial" w:cs="Arial"/>
          <w:sz w:val="22"/>
          <w:szCs w:val="22"/>
        </w:rPr>
      </w:r>
    </w:p>
    <w:p>
      <w:pPr>
        <w:pStyle w:val="165"/>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sz w:val="22"/>
          <w:szCs w:val="22"/>
        </w:rPr>
        <w:t xml:space="preserve">Multifactor authentication (MFA) is not used.</w:t>
      </w:r>
      <w:r>
        <w:rPr>
          <w:rFonts w:ascii="Arial" w:hAnsi="Arial" w:eastAsia="Arial" w:cs="Arial"/>
          <w:sz w:val="22"/>
          <w:szCs w:val="22"/>
          <w:highlight w:val="none"/>
        </w:rPr>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highlight w:val="none"/>
        </w:rPr>
      </w:pPr>
      <w:r>
        <w:rPr>
          <w:rFonts w:ascii="Arial" w:hAnsi="Arial" w:eastAsia="Arial" w:cs="Arial"/>
          <w:sz w:val="22"/>
          <w:szCs w:val="22"/>
        </w:rPr>
        <w:t xml:space="preserve">The following security risk assessment report is to analyze the incident and to provide an explanation as to what methods can be used to further secure the network.</w:t>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tbl>
      <w:tblPr>
        <w:tblStyle w:val="679"/>
        <w:tblW w:w="87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990"/>
        <w:gridCol w:w="1725"/>
        <w:tblGridChange w:id="0">
          <w:tblGrid>
            <w:gridCol w:w="6990"/>
            <w:gridCol w:w="1725"/>
          </w:tblGrid>
        </w:tblGridChange>
      </w:tblGrid>
      <w:tr>
        <w:trPr>
          <w:cantSplit w:val="false"/>
          <w:trHeight w:val="440"/>
        </w:trPr>
        <w:tc>
          <w:tcPr>
            <w:gridSpan w:val="2"/>
            <w:shd w:val="clear" w:color="auto" w:fill="cfe2f3"/>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b/>
                <w:bCs/>
                <w:sz w:val="24"/>
                <w:szCs w:val="24"/>
                <w:highlight w:val="none"/>
              </w:rPr>
            </w:pPr>
            <w:r>
              <w:rPr>
                <w:rFonts w:ascii="Arial" w:hAnsi="Arial" w:eastAsia="Arial" w:cs="Arial"/>
                <w:b/>
                <w:sz w:val="24"/>
                <w:szCs w:val="24"/>
                <w:rtl w:val="0"/>
              </w:rPr>
              <w:t xml:space="preserve">Part 1: Three hardening tools and methods to implement</w:t>
            </w:r>
            <w:r>
              <w:rPr>
                <w:rFonts w:ascii="Arial" w:hAnsi="Arial" w:eastAsia="Arial" w:cs="Arial"/>
                <w:sz w:val="24"/>
                <w:szCs w:val="24"/>
              </w:rPr>
            </w:r>
            <w:r>
              <w:rPr>
                <w:rFonts w:ascii="Arial" w:hAnsi="Arial" w:eastAsia="Arial" w:cs="Arial"/>
                <w:b/>
                <w:sz w:val="24"/>
                <w:szCs w:val="24"/>
                <w:highlight w:val="none"/>
                <w:rtl w:val="0"/>
              </w:rPr>
            </w:r>
            <w:r>
              <w:rPr>
                <w:rFonts w:ascii="Arial" w:hAnsi="Arial" w:eastAsia="Arial" w:cs="Arial"/>
                <w:b/>
                <w:sz w:val="24"/>
                <w:szCs w:val="24"/>
                <w:highlight w:val="none"/>
                <w:rtl w:val="0"/>
              </w:rPr>
            </w:r>
            <w:r>
              <w:rPr>
                <w:rFonts w:ascii="Arial" w:hAnsi="Arial" w:eastAsia="Arial" w:cs="Arial"/>
                <w:b/>
                <w:sz w:val="24"/>
                <w:szCs w:val="24"/>
                <w:highlight w:val="none"/>
                <w:rtl w:val="0"/>
              </w:rPr>
            </w:r>
            <w:r>
              <w:rPr>
                <w:rFonts w:ascii="Arial" w:hAnsi="Arial" w:eastAsia="Arial" w:cs="Arial"/>
                <w:b/>
                <w:bCs/>
                <w:sz w:val="24"/>
                <w:szCs w:val="24"/>
                <w:highlight w:val="none"/>
              </w:rPr>
            </w:r>
          </w:p>
        </w:tc>
      </w:tr>
      <w:tr>
        <w:trPr>
          <w:cantSplit w:val="false"/>
        </w:trPr>
        <w:tc>
          <w:tcPr>
            <w:gridSpan w:val="2"/>
            <w:shd w:val="clear" w:color="auto" w:fill="auto"/>
            <w:tcBorders/>
            <w:tcMar>
              <w:left w:w="100" w:type="dxa"/>
              <w:top w:w="100" w:type="dxa"/>
              <w:right w:w="100" w:type="dxa"/>
              <w:bottom w:w="100" w:type="dxa"/>
            </w:tcMar>
            <w:vAlign w:val="top"/>
            <w:vMerge w:val="restart"/>
            <w:textDirection w:val="lrTb"/>
            <w:noWrap w:val="false"/>
          </w:tcPr>
          <w:p>
            <w:pPr>
              <w:widowControl w:val="false"/>
              <w:pBdr/>
              <w:spacing w:line="240" w:lineRule="auto"/>
              <w:ind/>
              <w:rPr>
                <w:rFonts w:ascii="Arial" w:hAnsi="Arial" w:cs="Arial"/>
                <w:highlight w:val="none"/>
              </w:rPr>
            </w:pPr>
            <w:r>
              <w:rPr>
                <w:rFonts w:ascii="Arial" w:hAnsi="Arial" w:eastAsia="Arial" w:cs="Arial"/>
                <w:rtl w:val="0"/>
              </w:rPr>
              <w:t xml:space="preserve">There are primarily three security hardening tools and methods that the company will largely benefit from:</w:t>
            </w:r>
            <w:r>
              <w:rPr>
                <w:rFonts w:ascii="Arial" w:hAnsi="Arial" w:eastAsia="Arial" w:cs="Arial"/>
                <w:sz w:val="24"/>
                <w:szCs w:val="24"/>
              </w:rPr>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r>
              <w:rPr>
                <w:rFonts w:ascii="Arial" w:hAnsi="Arial" w:cs="Arial"/>
                <w:highlight w:val="none"/>
              </w:rPr>
            </w:r>
          </w:p>
          <w:p>
            <w:pPr>
              <w:pStyle w:val="165"/>
              <w:widowControl w:val="false"/>
              <w:numPr>
                <w:ilvl w:val="0"/>
                <w:numId w:val="2"/>
              </w:numPr>
              <w:pBdr/>
              <w:spacing w:line="240" w:lineRule="auto"/>
              <w:ind/>
              <w:rPr>
                <w:rFonts w:ascii="Arial" w:hAnsi="Arial" w:cs="Arial"/>
                <w:highlight w:val="none"/>
              </w:rPr>
            </w:pPr>
            <w:r>
              <w:rPr>
                <w:rFonts w:ascii="Arial" w:hAnsi="Arial" w:eastAsia="Arial" w:cs="Arial"/>
                <w:highlight w:val="none"/>
                <w:rtl w:val="0"/>
              </w:rPr>
              <w:t xml:space="preserve">Configure rules and setting up maintenace of the firewall</w:t>
            </w:r>
            <w:r>
              <w:rPr>
                <w:rFonts w:ascii="Arial" w:hAnsi="Arial" w:eastAsia="Arial" w:cs="Arial"/>
                <w:highlight w:val="none"/>
              </w:rPr>
            </w:r>
          </w:p>
          <w:p>
            <w:pPr>
              <w:pStyle w:val="165"/>
              <w:widowControl w:val="false"/>
              <w:numPr>
                <w:ilvl w:val="0"/>
                <w:numId w:val="2"/>
              </w:numPr>
              <w:pBdr/>
              <w:spacing w:line="240" w:lineRule="auto"/>
              <w:ind/>
              <w:rPr>
                <w:rFonts w:ascii="Arial" w:hAnsi="Arial" w:cs="Arial"/>
                <w:highlight w:val="none"/>
              </w:rPr>
            </w:pPr>
            <w:r>
              <w:rPr>
                <w:rFonts w:ascii="Arial" w:hAnsi="Arial" w:eastAsia="Arial" w:cs="Arial"/>
                <w:highlight w:val="none"/>
                <w:rtl w:val="0"/>
              </w:rPr>
              <w:t xml:space="preserve">Implementing MFA for all employees</w:t>
            </w:r>
            <w:r>
              <w:rPr>
                <w:rFonts w:ascii="Arial" w:hAnsi="Arial" w:eastAsia="Arial" w:cs="Arial"/>
                <w:highlight w:val="none"/>
              </w:rPr>
            </w:r>
          </w:p>
          <w:p>
            <w:pPr>
              <w:pStyle w:val="165"/>
              <w:widowControl w:val="false"/>
              <w:numPr>
                <w:ilvl w:val="0"/>
                <w:numId w:val="2"/>
              </w:numPr>
              <w:pBdr/>
              <w:spacing w:line="240" w:lineRule="auto"/>
              <w:ind/>
              <w:rPr>
                <w:rFonts w:ascii="Arial" w:hAnsi="Arial" w:cs="Arial"/>
                <w:highlight w:val="none"/>
              </w:rPr>
            </w:pPr>
            <w:r>
              <w:rPr>
                <w:rFonts w:ascii="Arial" w:hAnsi="Arial" w:eastAsia="Arial" w:cs="Arial"/>
                <w:highlight w:val="none"/>
                <w:rtl w:val="0"/>
              </w:rPr>
              <w:t xml:space="preserve">Setting and enforcing strong and secure password policies</w:t>
            </w:r>
            <w:r>
              <w:rPr>
                <w:rFonts w:ascii="Arial" w:hAnsi="Arial" w:eastAsia="Arial" w:cs="Arial"/>
                <w:highlight w:val="none"/>
                <w:rtl w:val="0"/>
              </w:rPr>
            </w:r>
            <w:r>
              <w:rPr>
                <w:rFonts w:ascii="Arial" w:hAnsi="Arial" w:eastAsia="Arial" w:cs="Arial"/>
                <w:highlight w:val="none"/>
                <w:rtl w:val="0"/>
              </w:rPr>
            </w:r>
          </w:p>
        </w:tc>
      </w:tr>
    </w:tbl>
    <w:p>
      <w:pPr>
        <w:pBdr/>
        <w:spacing w:line="480" w:lineRule="auto"/>
        <w:ind/>
        <w:rPr>
          <w:rFonts w:ascii="Arial" w:hAnsi="Arial" w:cs="Arial"/>
          <w:b/>
          <w:color w:val="38761d"/>
          <w:sz w:val="26"/>
          <w:szCs w:val="26"/>
        </w:rPr>
      </w:pPr>
      <w:r>
        <w:rPr>
          <w:rFonts w:ascii="Arial" w:hAnsi="Arial" w:eastAsia="Arial" w:cs="Arial"/>
          <w:rtl w:val="0"/>
        </w:rPr>
      </w:r>
      <w:r>
        <w:rPr>
          <w:rFonts w:ascii="Arial" w:hAnsi="Arial" w:eastAsia="Arial" w:cs="Arial"/>
          <w:b/>
          <w:color w:val="38761d"/>
          <w:sz w:val="26"/>
          <w:szCs w:val="26"/>
        </w:rPr>
      </w:r>
    </w:p>
    <w:tbl>
      <w:tblPr>
        <w:tblStyle w:val="680"/>
        <w:tblW w:w="87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715"/>
        <w:tblGridChange w:id="1">
          <w:tblGrid>
            <w:gridCol w:w="8715"/>
          </w:tblGrid>
        </w:tblGridChange>
      </w:tblGrid>
      <w:tr>
        <w:trPr>
          <w:cantSplit w:val="false"/>
          <w:trHeight w:val="470"/>
        </w:trPr>
        <w:tc>
          <w:tcPr>
            <w:shd w:val="clear" w:color="auto" w:fill="cfe2f3"/>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b/>
                <w:sz w:val="24"/>
                <w:szCs w:val="24"/>
              </w:rPr>
            </w:pPr>
            <w:r>
              <w:rPr>
                <w:rFonts w:ascii="Arial" w:hAnsi="Arial" w:eastAsia="Arial" w:cs="Arial"/>
                <w:b/>
                <w:sz w:val="24"/>
                <w:szCs w:val="24"/>
                <w:rtl w:val="0"/>
              </w:rPr>
              <w:t xml:space="preserve">Part 2: Explanation of the recommendations</w:t>
            </w:r>
            <w:r>
              <w:rPr>
                <w:rFonts w:ascii="Arial" w:hAnsi="Arial" w:eastAsia="Arial" w:cs="Arial"/>
                <w:b/>
                <w:sz w:val="24"/>
                <w:szCs w:val="24"/>
              </w:rPr>
            </w:r>
          </w:p>
        </w:tc>
      </w:tr>
      <w:tr>
        <w:trPr>
          <w:cantSplit w:val="false"/>
          <w:trHeight w:val="2432"/>
        </w:trPr>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highlight w:val="none"/>
              </w:rPr>
            </w:pPr>
            <w:r>
              <w:rPr>
                <w:rFonts w:ascii="Arial" w:hAnsi="Arial" w:eastAsia="Arial" w:cs="Arial"/>
                <w:rtl w:val="0"/>
              </w:rPr>
              <w:t xml:space="preserve">The firewall is crucial for handling outgoing and incoming traffic. Setting it up with proper rules deters malicious traffic from entering the company’s network and it also actively deters employees from accessing sites that might compromise the integrity of company data. Regular maintenance will assure that new threats are addressed and if the firewall is correctly implemented.</w:t>
            </w:r>
            <w:r>
              <w:rPr>
                <w:rFonts w:ascii="Arial" w:hAnsi="Arial" w:eastAsia="Arial" w:cs="Arial"/>
                <w:highlight w:val="none"/>
              </w:rPr>
            </w:r>
          </w:p>
          <w:p>
            <w:pPr>
              <w:widowControl w:val="false"/>
              <w:pBdr/>
              <w:spacing w:line="240" w:lineRule="auto"/>
              <w:ind/>
              <w:rPr>
                <w:rFonts w:ascii="Arial" w:hAnsi="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pPr>
              <w:widowControl w:val="false"/>
              <w:pBdr/>
              <w:spacing w:line="240" w:lineRule="auto"/>
              <w:ind/>
              <w:rPr>
                <w:rFonts w:ascii="Arial" w:hAnsi="Arial" w:cs="Arial"/>
                <w:highlight w:val="none"/>
              </w:rPr>
            </w:pPr>
            <w:r>
              <w:rPr>
                <w:rFonts w:ascii="Arial" w:hAnsi="Arial" w:eastAsia="Arial" w:cs="Arial"/>
                <w:highlight w:val="none"/>
                <w:rtl w:val="0"/>
              </w:rPr>
            </w:r>
            <w:r>
              <w:rPr>
                <w:rFonts w:ascii="Arial" w:hAnsi="Arial" w:eastAsia="Arial" w:cs="Arial"/>
                <w:highlight w:val="none"/>
                <w:rtl w:val="0"/>
              </w:rPr>
              <w:t xml:space="preserve">Implementing strong password policies is another priority to address by the company, because as of the moment, employees share passwords, which is not the best security practice. The following rule is a good baseline to start from: passwords must be a minimum of 8 characters, with at least 2 letters, 2 special characters and 2 numbers, while preventing using old passwords. This deters brute force attacks from foreign actors and boosts company security significantly.</w:t>
            </w:r>
            <w:r>
              <w:rPr>
                <w:rFonts w:ascii="Arial" w:hAnsi="Arial" w:eastAsia="Arial" w:cs="Arial"/>
                <w:highlight w:val="none"/>
                <w:rtl w:val="0"/>
              </w:rPr>
            </w:r>
            <w:r>
              <w:rPr>
                <w:rFonts w:ascii="Arial" w:hAnsi="Arial" w:eastAsia="Arial" w:cs="Arial"/>
                <w:highlight w:val="none"/>
                <w:rtl w:val="0"/>
              </w:rPr>
            </w:r>
          </w:p>
          <w:p>
            <w:pPr>
              <w:widowControl w:val="false"/>
              <w:pBdr/>
              <w:spacing w:line="240" w:lineRule="auto"/>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widowControl w:val="false"/>
              <w:pBdr/>
              <w:spacing w:line="240" w:lineRule="auto"/>
              <w:ind/>
              <w:rPr>
                <w:rFonts w:ascii="Arial" w:hAnsi="Arial" w:cs="Arial"/>
                <w:sz w:val="24"/>
                <w:szCs w:val="24"/>
              </w:rPr>
            </w:pPr>
            <w:r>
              <w:rPr>
                <w:rFonts w:ascii="Arial" w:hAnsi="Arial" w:eastAsia="Arial" w:cs="Arial"/>
                <w:highlight w:val="none"/>
                <w:rtl w:val="0"/>
              </w:rPr>
              <w:t xml:space="preserve">Multi-factor authentication, or MFA, is a 2-or more step process to confirm the identity of the employees of the company accessing the company network. This actively prevents unauthorized access by malicious actors of confidential data from the company, while tracking who is accessing the data. This prevents further from sharing passwords with other employees, since they will need extra verification to enter the network, for example using their fingerprint and then their ID card to enter a database.</w:t>
            </w:r>
            <w:r>
              <w:rPr>
                <w:rFonts w:ascii="Arial" w:hAnsi="Arial" w:eastAsia="Arial" w:cs="Arial"/>
                <w:highlight w:val="none"/>
                <w:rtl w:val="0"/>
              </w:rPr>
            </w:r>
            <w:r>
              <w:rPr>
                <w:rFonts w:ascii="Arial" w:hAnsi="Arial" w:eastAsia="Arial" w:cs="Arial"/>
                <w:highlight w:val="none"/>
                <w:rtl w:val="0"/>
              </w:rPr>
            </w:r>
          </w:p>
        </w:tc>
      </w:tr>
    </w:tbl>
    <w:p>
      <w:pPr>
        <w:pBdr/>
        <w:spacing/>
        <w:ind/>
        <w:rPr>
          <w:rFonts w:ascii="Arial" w:hAnsi="Arial" w:cs="Arial"/>
        </w:rPr>
      </w:pPr>
      <w:r>
        <w:rPr>
          <w:rFonts w:ascii="Arial" w:hAnsi="Arial" w:eastAsia="Arial" w:cs="Arial"/>
          <w:rtl w:val="0"/>
        </w:rPr>
      </w:r>
      <w:r>
        <w:rPr>
          <w:rFonts w:ascii="Arial" w:hAnsi="Arial" w:eastAsia="Arial" w:cs="Arial"/>
        </w:rPr>
      </w:r>
    </w:p>
    <w:sectPr>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08CB6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16A77B7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16A77B7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69"/>
    <w:next w:val="66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9"/>
    <w:next w:val="66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9"/>
    <w:next w:val="66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4"/>
    <w:uiPriority w:val="9"/>
    <w:pPr>
      <w:pBdr/>
      <w:spacing/>
      <w:ind/>
    </w:pPr>
    <w:rPr>
      <w:rFonts w:ascii="Arial" w:hAnsi="Arial" w:eastAsia="Arial" w:cs="Arial"/>
      <w:i/>
      <w:iCs/>
      <w:color w:val="0f4761" w:themeColor="accent1" w:themeShade="BF"/>
    </w:rPr>
  </w:style>
  <w:style w:type="character" w:styleId="154">
    <w:name w:val="Heading 5 Char"/>
    <w:basedOn w:val="148"/>
    <w:link w:val="675"/>
    <w:uiPriority w:val="9"/>
    <w:pPr>
      <w:pBdr/>
      <w:spacing/>
      <w:ind/>
    </w:pPr>
    <w:rPr>
      <w:rFonts w:ascii="Arial" w:hAnsi="Arial" w:eastAsia="Arial" w:cs="Arial"/>
      <w:color w:val="0f4761" w:themeColor="accent1" w:themeShade="BF"/>
    </w:rPr>
  </w:style>
  <w:style w:type="character" w:styleId="155">
    <w:name w:val="Heading 6 Char"/>
    <w:basedOn w:val="148"/>
    <w:link w:val="67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7"/>
    <w:uiPriority w:val="10"/>
    <w:pPr>
      <w:pBdr/>
      <w:spacing/>
      <w:ind/>
    </w:pPr>
    <w:rPr>
      <w:rFonts w:ascii="Arial" w:hAnsi="Arial" w:eastAsia="Arial" w:cs="Arial"/>
      <w:spacing w:val="-10"/>
      <w:sz w:val="56"/>
      <w:szCs w:val="56"/>
    </w:rPr>
  </w:style>
  <w:style w:type="character" w:styleId="162">
    <w:name w:val="Subtitle Char"/>
    <w:basedOn w:val="148"/>
    <w:link w:val="678"/>
    <w:uiPriority w:val="11"/>
    <w:pPr>
      <w:pBdr/>
      <w:spacing/>
      <w:ind/>
    </w:pPr>
    <w:rPr>
      <w:color w:val="595959" w:themeColor="text1" w:themeTint="A6"/>
      <w:spacing w:val="15"/>
      <w:sz w:val="28"/>
      <w:szCs w:val="28"/>
    </w:rPr>
  </w:style>
  <w:style w:type="paragraph" w:styleId="163">
    <w:name w:val="Quote"/>
    <w:basedOn w:val="669"/>
    <w:next w:val="669"/>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69"/>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9"/>
    <w:next w:val="66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69"/>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9"/>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9"/>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9"/>
    <w:next w:val="669"/>
    <w:uiPriority w:val="35"/>
    <w:unhideWhenUsed/>
    <w:qFormat/>
    <w:pPr>
      <w:pBdr/>
      <w:spacing w:after="200" w:line="240" w:lineRule="auto"/>
      <w:ind/>
    </w:pPr>
    <w:rPr>
      <w:i/>
      <w:iCs/>
      <w:color w:val="0e2841" w:themeColor="text2"/>
      <w:sz w:val="18"/>
      <w:szCs w:val="18"/>
    </w:rPr>
  </w:style>
  <w:style w:type="paragraph" w:styleId="181">
    <w:name w:val="footnote text"/>
    <w:basedOn w:val="669"/>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9"/>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9"/>
    <w:next w:val="669"/>
    <w:uiPriority w:val="39"/>
    <w:unhideWhenUsed/>
    <w:pPr>
      <w:pBdr/>
      <w:spacing w:after="100"/>
      <w:ind/>
    </w:pPr>
  </w:style>
  <w:style w:type="paragraph" w:styleId="190">
    <w:name w:val="toc 2"/>
    <w:basedOn w:val="669"/>
    <w:next w:val="669"/>
    <w:uiPriority w:val="39"/>
    <w:unhideWhenUsed/>
    <w:pPr>
      <w:pBdr/>
      <w:spacing w:after="100"/>
      <w:ind w:left="220"/>
    </w:pPr>
  </w:style>
  <w:style w:type="paragraph" w:styleId="191">
    <w:name w:val="toc 3"/>
    <w:basedOn w:val="669"/>
    <w:next w:val="669"/>
    <w:uiPriority w:val="39"/>
    <w:unhideWhenUsed/>
    <w:pPr>
      <w:pBdr/>
      <w:spacing w:after="100"/>
      <w:ind w:left="440"/>
    </w:pPr>
  </w:style>
  <w:style w:type="paragraph" w:styleId="192">
    <w:name w:val="toc 4"/>
    <w:basedOn w:val="669"/>
    <w:next w:val="669"/>
    <w:uiPriority w:val="39"/>
    <w:unhideWhenUsed/>
    <w:pPr>
      <w:pBdr/>
      <w:spacing w:after="100"/>
      <w:ind w:left="660"/>
    </w:pPr>
  </w:style>
  <w:style w:type="paragraph" w:styleId="193">
    <w:name w:val="toc 5"/>
    <w:basedOn w:val="669"/>
    <w:next w:val="669"/>
    <w:uiPriority w:val="39"/>
    <w:unhideWhenUsed/>
    <w:pPr>
      <w:pBdr/>
      <w:spacing w:after="100"/>
      <w:ind w:left="880"/>
    </w:pPr>
  </w:style>
  <w:style w:type="paragraph" w:styleId="194">
    <w:name w:val="toc 6"/>
    <w:basedOn w:val="669"/>
    <w:next w:val="669"/>
    <w:uiPriority w:val="39"/>
    <w:unhideWhenUsed/>
    <w:pPr>
      <w:pBdr/>
      <w:spacing w:after="100"/>
      <w:ind w:left="1100"/>
    </w:pPr>
  </w:style>
  <w:style w:type="paragraph" w:styleId="195">
    <w:name w:val="toc 7"/>
    <w:basedOn w:val="669"/>
    <w:next w:val="669"/>
    <w:uiPriority w:val="39"/>
    <w:unhideWhenUsed/>
    <w:pPr>
      <w:pBdr/>
      <w:spacing w:after="100"/>
      <w:ind w:left="1320"/>
    </w:pPr>
  </w:style>
  <w:style w:type="paragraph" w:styleId="196">
    <w:name w:val="toc 8"/>
    <w:basedOn w:val="669"/>
    <w:next w:val="669"/>
    <w:uiPriority w:val="39"/>
    <w:unhideWhenUsed/>
    <w:pPr>
      <w:pBdr/>
      <w:spacing w:after="100"/>
      <w:ind w:left="1540"/>
    </w:pPr>
  </w:style>
  <w:style w:type="paragraph" w:styleId="197">
    <w:name w:val="toc 9"/>
    <w:basedOn w:val="669"/>
    <w:next w:val="669"/>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9"/>
    <w:next w:val="669"/>
    <w:uiPriority w:val="99"/>
    <w:unhideWhenUsed/>
    <w:pPr>
      <w:pBdr/>
      <w:spacing w:after="0" w:afterAutospacing="0"/>
      <w:ind/>
    </w:pPr>
  </w:style>
  <w:style w:type="paragraph" w:styleId="669" w:default="1">
    <w:name w:val="Normal"/>
    <w:pPr>
      <w:pBdr/>
      <w:spacing/>
      <w:ind/>
    </w:pPr>
  </w:style>
  <w:style w:type="table" w:styleId="670">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1">
    <w:name w:val="Heading 1"/>
    <w:basedOn w:val="669"/>
    <w:next w:val="669"/>
    <w:pPr>
      <w:keepNext w:val="true"/>
      <w:keepLines w:val="true"/>
      <w:pageBreakBefore w:val="false"/>
      <w:pBdr/>
      <w:spacing w:after="120" w:before="400"/>
      <w:ind/>
    </w:pPr>
    <w:rPr>
      <w:sz w:val="40"/>
      <w:szCs w:val="40"/>
    </w:rPr>
  </w:style>
  <w:style w:type="paragraph" w:styleId="672">
    <w:name w:val="Heading 2"/>
    <w:basedOn w:val="669"/>
    <w:next w:val="669"/>
    <w:pPr>
      <w:keepNext w:val="true"/>
      <w:keepLines w:val="true"/>
      <w:pageBreakBefore w:val="false"/>
      <w:pBdr/>
      <w:spacing w:after="120" w:before="360"/>
      <w:ind/>
    </w:pPr>
    <w:rPr>
      <w:b w:val="0"/>
      <w:sz w:val="32"/>
      <w:szCs w:val="32"/>
    </w:rPr>
  </w:style>
  <w:style w:type="paragraph" w:styleId="673">
    <w:name w:val="Heading 3"/>
    <w:basedOn w:val="669"/>
    <w:next w:val="669"/>
    <w:pPr>
      <w:keepNext w:val="true"/>
      <w:keepLines w:val="true"/>
      <w:pageBreakBefore w:val="false"/>
      <w:pBdr/>
      <w:spacing w:after="80" w:before="320"/>
      <w:ind/>
    </w:pPr>
    <w:rPr>
      <w:b w:val="0"/>
      <w:color w:val="434343"/>
      <w:sz w:val="28"/>
      <w:szCs w:val="28"/>
    </w:rPr>
  </w:style>
  <w:style w:type="paragraph" w:styleId="674">
    <w:name w:val="Heading 4"/>
    <w:basedOn w:val="669"/>
    <w:next w:val="669"/>
    <w:pPr>
      <w:keepNext w:val="true"/>
      <w:keepLines w:val="true"/>
      <w:pageBreakBefore w:val="false"/>
      <w:pBdr/>
      <w:spacing w:after="80" w:before="280"/>
      <w:ind/>
    </w:pPr>
    <w:rPr>
      <w:color w:val="666666"/>
      <w:sz w:val="24"/>
      <w:szCs w:val="24"/>
    </w:rPr>
  </w:style>
  <w:style w:type="paragraph" w:styleId="675">
    <w:name w:val="Heading 5"/>
    <w:basedOn w:val="669"/>
    <w:next w:val="669"/>
    <w:pPr>
      <w:keepNext w:val="true"/>
      <w:keepLines w:val="true"/>
      <w:pageBreakBefore w:val="false"/>
      <w:pBdr/>
      <w:spacing w:after="80" w:before="240"/>
      <w:ind/>
    </w:pPr>
    <w:rPr>
      <w:color w:val="666666"/>
      <w:sz w:val="22"/>
      <w:szCs w:val="22"/>
    </w:rPr>
  </w:style>
  <w:style w:type="paragraph" w:styleId="676">
    <w:name w:val="Heading 6"/>
    <w:basedOn w:val="669"/>
    <w:next w:val="669"/>
    <w:pPr>
      <w:keepNext w:val="true"/>
      <w:keepLines w:val="true"/>
      <w:pageBreakBefore w:val="false"/>
      <w:pBdr/>
      <w:spacing w:after="80" w:before="240"/>
      <w:ind/>
    </w:pPr>
    <w:rPr>
      <w:i/>
      <w:color w:val="666666"/>
      <w:sz w:val="22"/>
      <w:szCs w:val="22"/>
    </w:rPr>
  </w:style>
  <w:style w:type="paragraph" w:styleId="677">
    <w:name w:val="Title"/>
    <w:basedOn w:val="669"/>
    <w:next w:val="669"/>
    <w:pPr>
      <w:keepNext w:val="true"/>
      <w:keepLines w:val="true"/>
      <w:pageBreakBefore w:val="false"/>
      <w:pBdr/>
      <w:spacing w:after="60" w:before="0"/>
      <w:ind/>
    </w:pPr>
    <w:rPr>
      <w:sz w:val="52"/>
      <w:szCs w:val="52"/>
    </w:rPr>
  </w:style>
  <w:style w:type="paragraph" w:styleId="678">
    <w:name w:val="Subtitle"/>
    <w:basedOn w:val="669"/>
    <w:next w:val="669"/>
    <w:pPr>
      <w:keepNext w:val="true"/>
      <w:keepLines w:val="true"/>
      <w:pageBreakBefore w:val="false"/>
      <w:pBdr/>
      <w:spacing w:after="320" w:before="0"/>
      <w:ind/>
    </w:pPr>
    <w:rPr>
      <w:rFonts w:ascii="Arial" w:hAnsi="Arial" w:eastAsia="Arial" w:cs="Arial"/>
      <w:i w:val="0"/>
      <w:color w:val="666666"/>
      <w:sz w:val="30"/>
      <w:szCs w:val="30"/>
    </w:rPr>
  </w:style>
  <w:style w:type="table" w:styleId="679">
    <w:name w:val="StGen0"/>
    <w:basedOn w:val="670"/>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StGen1"/>
    <w:basedOn w:val="670"/>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